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152B4">
      <w:pPr>
        <w:bidi w:val="0"/>
        <w:jc w:val="center"/>
        <w:rPr>
          <w:rFonts w:hint="eastAsia" w:ascii="宋体" w:hAnsi="宋体" w:eastAsia="宋体" w:cs="宋体"/>
          <w:b/>
          <w:bCs/>
          <w:color w:val="auto"/>
          <w:sz w:val="21"/>
          <w:szCs w:val="21"/>
          <w:highlight w:val="none"/>
          <w:lang w:val="en-US" w:eastAsia="zh-CN"/>
        </w:rPr>
      </w:pPr>
    </w:p>
    <w:p w14:paraId="5F01F920">
      <w:pPr>
        <w:bidi w:val="0"/>
        <w:spacing w:line="360" w:lineRule="auto"/>
        <w:ind w:left="0" w:leftChars="0" w:firstLine="0" w:firstLineChars="0"/>
        <w:jc w:val="center"/>
        <w:rPr>
          <w:rFonts w:hint="eastAsia" w:eastAsiaTheme="minorEastAsia"/>
          <w:b/>
          <w:color w:val="auto"/>
          <w:spacing w:val="-20"/>
          <w:sz w:val="44"/>
          <w:szCs w:val="44"/>
          <w:highlight w:val="none"/>
          <w:lang w:val="en-US" w:eastAsia="zh-CN"/>
        </w:rPr>
      </w:pPr>
      <w:bookmarkStart w:id="0" w:name="_Toc152042286"/>
      <w:bookmarkStart w:id="1" w:name="_Toc144974478"/>
      <w:r>
        <w:rPr>
          <w:rFonts w:hint="default"/>
          <w:b/>
          <w:color w:val="auto"/>
          <w:spacing w:val="-20"/>
          <w:sz w:val="44"/>
          <w:szCs w:val="44"/>
          <w:highlight w:val="none"/>
          <w:lang w:val="en-US" w:eastAsia="zh-CN"/>
        </w:rPr>
        <w:t>信阳市平桥区人民代表大会常务委员会平桥区人大预算与国资联网监督系统二期项目</w:t>
      </w:r>
      <w:r>
        <w:rPr>
          <w:rFonts w:hint="eastAsia"/>
          <w:b/>
          <w:color w:val="auto"/>
          <w:spacing w:val="-20"/>
          <w:sz w:val="44"/>
          <w:szCs w:val="44"/>
          <w:highlight w:val="none"/>
          <w:lang w:val="en-US" w:eastAsia="zh-CN"/>
        </w:rPr>
        <w:t>（二次）</w:t>
      </w:r>
    </w:p>
    <w:p w14:paraId="16C17C51">
      <w:pPr>
        <w:bidi w:val="0"/>
        <w:ind w:left="0" w:leftChars="0" w:firstLine="0" w:firstLineChars="0"/>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 </w:t>
      </w:r>
    </w:p>
    <w:p w14:paraId="4768EC1C">
      <w:pPr>
        <w:bidi w:val="0"/>
        <w:spacing w:line="480" w:lineRule="auto"/>
        <w:ind w:left="0" w:leftChars="0" w:firstLine="0" w:firstLineChars="0"/>
        <w:jc w:val="center"/>
        <w:rPr>
          <w:rFonts w:hint="eastAsia"/>
          <w:color w:val="auto"/>
          <w:highlight w:val="none"/>
        </w:rPr>
      </w:pPr>
      <w:r>
        <w:rPr>
          <w:rFonts w:hint="eastAsia" w:ascii="宋体" w:hAnsi="宋体"/>
          <w:b/>
          <w:bCs w:val="0"/>
          <w:color w:val="auto"/>
          <w:sz w:val="72"/>
          <w:szCs w:val="72"/>
          <w:highlight w:val="none"/>
          <w:lang w:val="en-US" w:eastAsia="zh-CN"/>
        </w:rPr>
        <w:t>竞争性</w:t>
      </w:r>
      <w:r>
        <w:rPr>
          <w:rFonts w:hint="eastAsia" w:ascii="宋体" w:hAnsi="宋体"/>
          <w:b/>
          <w:bCs w:val="0"/>
          <w:color w:val="auto"/>
          <w:sz w:val="72"/>
          <w:szCs w:val="72"/>
          <w:highlight w:val="none"/>
          <w:lang w:eastAsia="zh-CN"/>
        </w:rPr>
        <w:t>磋商文件</w:t>
      </w:r>
    </w:p>
    <w:bookmarkEnd w:id="0"/>
    <w:bookmarkEnd w:id="1"/>
    <w:p w14:paraId="3A85377B">
      <w:pPr>
        <w:spacing w:line="360" w:lineRule="auto"/>
        <w:ind w:left="0" w:leftChars="0" w:firstLine="0" w:firstLineChars="0"/>
        <w:jc w:val="center"/>
        <w:rPr>
          <w:rFonts w:hint="default" w:ascii="宋体" w:hAnsi="宋体" w:cs="宋体"/>
          <w:b/>
          <w:color w:val="auto"/>
          <w:sz w:val="32"/>
          <w:szCs w:val="32"/>
          <w:highlight w:val="none"/>
          <w:lang w:val="en-US"/>
        </w:rPr>
      </w:pPr>
      <w:bookmarkStart w:id="2" w:name="_Toc144974479"/>
      <w:bookmarkStart w:id="3" w:name="_Toc152045511"/>
      <w:bookmarkStart w:id="4" w:name="_Toc490667779"/>
      <w:bookmarkStart w:id="5" w:name="_Toc152042287"/>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val="en-US" w:eastAsia="zh-CN"/>
        </w:rPr>
        <w:t>信平财磋商采购-2025-</w:t>
      </w:r>
      <w:r>
        <w:rPr>
          <w:rFonts w:hint="eastAsia" w:ascii="宋体" w:hAnsi="宋体"/>
          <w:color w:val="000000"/>
          <w:sz w:val="24"/>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530225</wp:posOffset>
            </wp:positionV>
            <wp:extent cx="2282190" cy="2449830"/>
            <wp:effectExtent l="0" t="0" r="3810" b="7620"/>
            <wp:wrapTopAndBottom/>
            <wp:docPr id="5"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0999"/>
                    <pic:cNvPicPr>
                      <a:picLocks noChangeAspect="1"/>
                    </pic:cNvPicPr>
                  </pic:nvPicPr>
                  <pic:blipFill>
                    <a:blip r:embed="rId12"/>
                    <a:stretch>
                      <a:fillRect/>
                    </a:stretch>
                  </pic:blipFill>
                  <pic:spPr>
                    <a:xfrm>
                      <a:off x="0" y="0"/>
                      <a:ext cx="2282190" cy="2449830"/>
                    </a:xfrm>
                    <a:prstGeom prst="rect">
                      <a:avLst/>
                    </a:prstGeom>
                    <a:noFill/>
                    <a:ln>
                      <a:noFill/>
                    </a:ln>
                  </pic:spPr>
                </pic:pic>
              </a:graphicData>
            </a:graphic>
          </wp:anchor>
        </w:drawing>
      </w:r>
      <w:r>
        <w:rPr>
          <w:rFonts w:hint="default" w:ascii="宋体" w:hAnsi="宋体" w:cs="宋体"/>
          <w:b/>
          <w:color w:val="auto"/>
          <w:sz w:val="32"/>
          <w:szCs w:val="32"/>
          <w:highlight w:val="none"/>
          <w:lang w:val="en-US" w:eastAsia="zh-CN"/>
        </w:rPr>
        <w:t>41</w:t>
      </w:r>
    </w:p>
    <w:p w14:paraId="5BEE914F">
      <w:pPr>
        <w:spacing w:line="360" w:lineRule="auto"/>
        <w:jc w:val="center"/>
        <w:rPr>
          <w:rFonts w:hint="eastAsia" w:ascii="宋体" w:hAnsi="宋体" w:cs="宋体"/>
          <w:b/>
          <w:color w:val="auto"/>
          <w:sz w:val="32"/>
          <w:szCs w:val="32"/>
          <w:highlight w:val="none"/>
        </w:rPr>
      </w:pPr>
    </w:p>
    <w:p w14:paraId="22A790DB">
      <w:pPr>
        <w:spacing w:line="360" w:lineRule="auto"/>
        <w:jc w:val="center"/>
        <w:rPr>
          <w:rFonts w:hint="eastAsia" w:ascii="宋体" w:hAnsi="宋体" w:cs="宋体"/>
          <w:b/>
          <w:color w:val="auto"/>
          <w:sz w:val="32"/>
          <w:szCs w:val="32"/>
          <w:highlight w:val="none"/>
        </w:rPr>
      </w:pPr>
    </w:p>
    <w:p w14:paraId="39D8BD40">
      <w:pPr>
        <w:spacing w:line="360" w:lineRule="auto"/>
        <w:jc w:val="center"/>
        <w:rPr>
          <w:rFonts w:hint="eastAsia" w:ascii="宋体" w:hAnsi="宋体" w:cs="宋体"/>
          <w:b/>
          <w:color w:val="auto"/>
          <w:sz w:val="32"/>
          <w:szCs w:val="32"/>
          <w:highlight w:val="none"/>
        </w:rPr>
      </w:pPr>
    </w:p>
    <w:p w14:paraId="4EC5E98B">
      <w:pPr>
        <w:spacing w:line="360" w:lineRule="auto"/>
        <w:jc w:val="center"/>
        <w:rPr>
          <w:rFonts w:hint="eastAsia" w:ascii="宋体" w:hAnsi="宋体" w:cs="宋体"/>
          <w:b/>
          <w:color w:val="auto"/>
          <w:sz w:val="32"/>
          <w:szCs w:val="32"/>
          <w:highlight w:val="none"/>
        </w:rPr>
      </w:pPr>
    </w:p>
    <w:p w14:paraId="4B970186">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default" w:ascii="宋体" w:hAnsi="宋体" w:cs="宋体"/>
          <w:b/>
          <w:color w:val="auto"/>
          <w:sz w:val="32"/>
          <w:szCs w:val="32"/>
          <w:highlight w:val="none"/>
          <w:lang w:val="en-US" w:eastAsia="zh-CN"/>
        </w:rPr>
        <w:t>信阳市平桥区人民代表大会常务委员会</w:t>
      </w:r>
      <w:r>
        <w:rPr>
          <w:rFonts w:hint="eastAsia" w:ascii="宋体" w:hAnsi="宋体" w:cs="宋体"/>
          <w:b/>
          <w:color w:val="auto"/>
          <w:sz w:val="32"/>
          <w:szCs w:val="32"/>
          <w:highlight w:val="none"/>
          <w:lang w:val="en-US" w:eastAsia="zh-CN"/>
        </w:rPr>
        <w:t>办公室</w:t>
      </w:r>
    </w:p>
    <w:p w14:paraId="605D30CD">
      <w:pPr>
        <w:spacing w:line="360" w:lineRule="auto"/>
        <w:jc w:val="both"/>
        <w:rPr>
          <w:rFonts w:hint="default"/>
          <w:color w:val="auto"/>
          <w:highlight w:val="none"/>
          <w:lang w:val="en-US"/>
        </w:rPr>
      </w:pPr>
      <w:r>
        <w:rPr>
          <w:rFonts w:hint="eastAsia" w:ascii="宋体" w:hAnsi="宋体" w:cs="宋体"/>
          <w:b/>
          <w:color w:val="auto"/>
          <w:sz w:val="32"/>
          <w:szCs w:val="32"/>
          <w:highlight w:val="none"/>
        </w:rPr>
        <w:t>代理机构：</w:t>
      </w:r>
      <w:r>
        <w:rPr>
          <w:rFonts w:hint="default" w:ascii="宋体" w:hAnsi="宋体" w:cs="宋体"/>
          <w:b/>
          <w:color w:val="auto"/>
          <w:sz w:val="32"/>
          <w:szCs w:val="32"/>
          <w:highlight w:val="none"/>
          <w:lang w:val="en-US"/>
        </w:rPr>
        <w:t>中金泰富工程管理有限公司</w:t>
      </w:r>
    </w:p>
    <w:p w14:paraId="13FF45AF">
      <w:pPr>
        <w:pStyle w:val="44"/>
        <w:ind w:firstLine="643" w:firstLineChars="200"/>
        <w:jc w:val="both"/>
        <w:rPr>
          <w:rFonts w:hint="eastAsia" w:hAnsi="宋体"/>
          <w:b/>
          <w:color w:val="auto"/>
          <w:kern w:val="2"/>
          <w:sz w:val="32"/>
          <w:szCs w:val="32"/>
          <w:highlight w:val="none"/>
        </w:rPr>
      </w:pPr>
      <w:r>
        <w:rPr>
          <w:rFonts w:hint="eastAsia" w:hAnsi="宋体"/>
          <w:b/>
          <w:color w:val="auto"/>
          <w:sz w:val="32"/>
          <w:szCs w:val="32"/>
          <w:highlight w:val="none"/>
        </w:rPr>
        <w:t>日    期：</w:t>
      </w:r>
      <w:r>
        <w:rPr>
          <w:rFonts w:hint="eastAsia" w:hAnsi="宋体"/>
          <w:b/>
          <w:color w:val="auto"/>
          <w:kern w:val="2"/>
          <w:sz w:val="32"/>
          <w:szCs w:val="32"/>
          <w:highlight w:val="none"/>
        </w:rPr>
        <w:t>二○</w:t>
      </w:r>
      <w:r>
        <w:rPr>
          <w:rFonts w:hint="eastAsia" w:hAnsi="宋体"/>
          <w:b/>
          <w:color w:val="auto"/>
          <w:kern w:val="2"/>
          <w:sz w:val="32"/>
          <w:szCs w:val="32"/>
          <w:highlight w:val="none"/>
          <w:lang w:val="en-US" w:eastAsia="zh-CN"/>
        </w:rPr>
        <w:t>二五</w:t>
      </w:r>
      <w:r>
        <w:rPr>
          <w:rFonts w:hint="eastAsia" w:hAnsi="宋体"/>
          <w:b/>
          <w:color w:val="auto"/>
          <w:kern w:val="2"/>
          <w:sz w:val="32"/>
          <w:szCs w:val="32"/>
          <w:highlight w:val="none"/>
        </w:rPr>
        <w:t>年</w:t>
      </w:r>
      <w:r>
        <w:rPr>
          <w:rFonts w:hint="eastAsia" w:hAnsi="宋体"/>
          <w:b/>
          <w:color w:val="auto"/>
          <w:kern w:val="2"/>
          <w:sz w:val="32"/>
          <w:szCs w:val="32"/>
          <w:highlight w:val="none"/>
          <w:lang w:val="en-US" w:eastAsia="zh-CN"/>
        </w:rPr>
        <w:t>十</w:t>
      </w:r>
      <w:r>
        <w:rPr>
          <w:rFonts w:hint="eastAsia" w:hAnsi="宋体"/>
          <w:b/>
          <w:color w:val="auto"/>
          <w:kern w:val="2"/>
          <w:sz w:val="32"/>
          <w:szCs w:val="32"/>
          <w:highlight w:val="none"/>
        </w:rPr>
        <w:t>月</w:t>
      </w:r>
    </w:p>
    <w:p w14:paraId="3FB69F4A">
      <w:pPr>
        <w:spacing w:line="360" w:lineRule="auto"/>
        <w:rPr>
          <w:rFonts w:hint="eastAsia" w:ascii="宋体" w:hAnsi="宋体" w:cs="宋体"/>
          <w:b/>
          <w:color w:val="auto"/>
          <w:sz w:val="36"/>
          <w:szCs w:val="36"/>
          <w:highlight w:val="none"/>
        </w:rPr>
        <w:sectPr>
          <w:headerReference r:id="rId5" w:type="default"/>
          <w:footerReference r:id="rId6" w:type="default"/>
          <w:pgSz w:w="11900" w:h="16838"/>
          <w:pgMar w:top="1440" w:right="1800" w:bottom="1440" w:left="1800" w:header="907" w:footer="850" w:gutter="0"/>
          <w:pgNumType w:fmt="decimal" w:start="1"/>
          <w:cols w:space="720" w:num="1"/>
          <w:docGrid w:linePitch="360" w:charSpace="0"/>
        </w:sectPr>
      </w:pPr>
    </w:p>
    <w:p w14:paraId="3029E6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致政府采购供应商和代理机构的一封信</w:t>
      </w:r>
    </w:p>
    <w:p w14:paraId="4F166DB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rPr>
      </w:pPr>
    </w:p>
    <w:p w14:paraId="46802C1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尊敬的政府采购供应商、代理机构：</w:t>
      </w:r>
    </w:p>
    <w:p w14:paraId="36443C3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您好！非常感谢您一直以来对</w:t>
      </w:r>
      <w:r>
        <w:rPr>
          <w:rFonts w:hint="eastAsia" w:ascii="Times New Roman" w:hAnsi="Times New Roman" w:eastAsia="仿宋_GB2312"/>
          <w:color w:val="auto"/>
          <w:sz w:val="32"/>
          <w:szCs w:val="32"/>
          <w:lang w:eastAsia="zh-CN"/>
        </w:rPr>
        <w:t>信阳市</w:t>
      </w:r>
      <w:r>
        <w:rPr>
          <w:rFonts w:hint="eastAsia" w:ascii="Times New Roman" w:hAnsi="Times New Roman" w:eastAsia="仿宋_GB2312"/>
          <w:color w:val="auto"/>
          <w:sz w:val="32"/>
          <w:szCs w:val="32"/>
        </w:rPr>
        <w:t>政府采购活动的关心和支持！</w:t>
      </w:r>
    </w:p>
    <w:p w14:paraId="5A2C3F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近年来，</w:t>
      </w:r>
      <w:r>
        <w:rPr>
          <w:rFonts w:hint="eastAsia" w:ascii="Times New Roman" w:hAnsi="Times New Roman" w:eastAsia="仿宋_GB2312"/>
          <w:color w:val="auto"/>
          <w:sz w:val="32"/>
          <w:szCs w:val="32"/>
          <w:lang w:eastAsia="zh-CN"/>
        </w:rPr>
        <w:t>信阳</w:t>
      </w:r>
      <w:r>
        <w:rPr>
          <w:rFonts w:hint="eastAsia" w:ascii="Times New Roman" w:hAnsi="Times New Roman" w:eastAsia="仿宋_GB2312"/>
          <w:color w:val="auto"/>
          <w:sz w:val="32"/>
          <w:szCs w:val="32"/>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25C2FB3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208BED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尽管做了一些工作，但我们深知，离贵公司的期望还有差距。恳请贵公司对我们的工作提出宝贵意见，并持续给予关注、支持和监督！</w:t>
      </w:r>
    </w:p>
    <w:p w14:paraId="4730A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olor w:val="auto"/>
          <w:sz w:val="32"/>
          <w:szCs w:val="32"/>
          <w:lang w:eastAsia="zh-CN"/>
        </w:rPr>
        <w:t>凡涉及信阳市政府采购领域营商环境的任何问题，贵公司均可通过专线电话03</w:t>
      </w:r>
      <w:r>
        <w:rPr>
          <w:rFonts w:hint="eastAsia" w:ascii="Times New Roman" w:hAnsi="Times New Roman" w:eastAsia="仿宋_GB2312"/>
          <w:color w:val="auto"/>
          <w:sz w:val="32"/>
          <w:szCs w:val="32"/>
          <w:lang w:val="en-US" w:eastAsia="zh-CN"/>
        </w:rPr>
        <w:t>76</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6699123</w:t>
      </w:r>
      <w:r>
        <w:rPr>
          <w:rFonts w:hint="eastAsia" w:ascii="Times New Roman" w:hAnsi="Times New Roman" w:eastAsia="仿宋_GB2312"/>
          <w:color w:val="auto"/>
          <w:sz w:val="32"/>
          <w:szCs w:val="32"/>
          <w:lang w:eastAsia="zh-CN"/>
        </w:rPr>
        <w:t>、电子邮箱</w:t>
      </w:r>
      <w:r>
        <w:rPr>
          <w:rFonts w:hint="eastAsia" w:ascii="Times New Roman" w:hAnsi="Times New Roman" w:eastAsia="仿宋_GB2312"/>
          <w:color w:val="auto"/>
          <w:sz w:val="32"/>
          <w:szCs w:val="32"/>
          <w:lang w:val="en-US" w:eastAsia="zh-CN"/>
        </w:rPr>
        <w:t>czyszb228</w:t>
      </w:r>
      <w:r>
        <w:rPr>
          <w:rFonts w:hint="eastAsia" w:ascii="Times New Roman" w:hAnsi="Times New Roman" w:eastAsia="仿宋_GB2312"/>
          <w:color w:val="auto"/>
          <w:sz w:val="32"/>
          <w:szCs w:val="32"/>
          <w:lang w:eastAsia="zh-CN"/>
        </w:rPr>
        <w:t>@163.com，与信阳市财政</w:t>
      </w:r>
      <w:r>
        <w:rPr>
          <w:rFonts w:hint="eastAsia" w:ascii="Times New Roman" w:hAnsi="Times New Roman" w:eastAsia="仿宋_GB2312" w:cs="Times New Roman"/>
          <w:b w:val="0"/>
          <w:bCs w:val="0"/>
          <w:color w:val="auto"/>
          <w:kern w:val="2"/>
          <w:sz w:val="32"/>
          <w:szCs w:val="32"/>
          <w:lang w:val="en-US" w:eastAsia="zh-CN" w:bidi="ar-SA"/>
        </w:rPr>
        <w:t>局优化营商环境办公室</w:t>
      </w:r>
      <w:r>
        <w:rPr>
          <w:rFonts w:hint="eastAsia" w:ascii="Times New Roman" w:hAnsi="Times New Roman" w:eastAsia="仿宋_GB2312"/>
          <w:color w:val="auto"/>
          <w:sz w:val="32"/>
          <w:szCs w:val="32"/>
          <w:lang w:eastAsia="zh-CN"/>
        </w:rPr>
        <w:t>随时沟通交流</w:t>
      </w:r>
      <w:r>
        <w:rPr>
          <w:rFonts w:hint="eastAsia" w:ascii="Times New Roman" w:hAnsi="Times New Roman" w:eastAsia="仿宋_GB2312" w:cs="Times New Roman"/>
          <w:b w:val="0"/>
          <w:bCs w:val="0"/>
          <w:color w:val="auto"/>
          <w:kern w:val="2"/>
          <w:sz w:val="32"/>
          <w:szCs w:val="32"/>
          <w:lang w:val="en-US" w:eastAsia="zh-CN" w:bidi="ar-SA"/>
        </w:rPr>
        <w:t>，我们将竭诚为各位供应商服务，全力解决贵公司遇到的困难。</w:t>
      </w:r>
    </w:p>
    <w:p w14:paraId="0BF411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再次感谢贵公司对</w:t>
      </w:r>
      <w:r>
        <w:rPr>
          <w:rFonts w:hint="eastAsia" w:ascii="Times New Roman" w:hAnsi="Times New Roman" w:eastAsia="仿宋_GB2312"/>
          <w:color w:val="auto"/>
          <w:sz w:val="32"/>
          <w:szCs w:val="32"/>
          <w:lang w:eastAsia="zh-CN"/>
        </w:rPr>
        <w:t>信阳</w:t>
      </w:r>
      <w:r>
        <w:rPr>
          <w:rFonts w:hint="eastAsia" w:ascii="Times New Roman" w:hAnsi="Times New Roman" w:eastAsia="仿宋_GB2312"/>
          <w:color w:val="auto"/>
          <w:sz w:val="32"/>
          <w:szCs w:val="32"/>
        </w:rPr>
        <w:t>市政府采购工作的关心和支持！</w:t>
      </w:r>
      <w:r>
        <w:rPr>
          <w:rFonts w:hint="eastAsia" w:ascii="Times New Roman" w:hAnsi="Times New Roman" w:eastAsia="仿宋_GB2312"/>
          <w:color w:val="auto"/>
          <w:sz w:val="32"/>
          <w:szCs w:val="32"/>
          <w:lang w:eastAsia="zh-CN"/>
        </w:rPr>
        <w:t>让我们携起手来</w:t>
      </w:r>
      <w:r>
        <w:rPr>
          <w:rFonts w:hint="eastAsia" w:ascii="Times New Roman" w:hAnsi="Times New Roman" w:eastAsia="仿宋_GB2312"/>
          <w:color w:val="auto"/>
          <w:sz w:val="32"/>
          <w:szCs w:val="32"/>
        </w:rPr>
        <w:t>为“美好生活看信阳”做出财政贡献！</w:t>
      </w:r>
    </w:p>
    <w:p w14:paraId="61D01F25">
      <w:pPr>
        <w:keepNext w:val="0"/>
        <w:keepLines w:val="0"/>
        <w:pageBreakBefore w:val="0"/>
        <w:kinsoku/>
        <w:wordWrap/>
        <w:overflowPunct/>
        <w:topLinePunct w:val="0"/>
        <w:autoSpaceDE/>
        <w:autoSpaceDN/>
        <w:bidi w:val="0"/>
        <w:adjustRightInd/>
        <w:snapToGrid/>
        <w:spacing w:line="520" w:lineRule="exact"/>
        <w:textAlignment w:val="auto"/>
        <w:rPr>
          <w:rFonts w:hint="eastAsia"/>
          <w:color w:val="auto"/>
        </w:rPr>
      </w:pPr>
    </w:p>
    <w:p w14:paraId="1054603A">
      <w:pPr>
        <w:keepNext w:val="0"/>
        <w:keepLines w:val="0"/>
        <w:pageBreakBefore w:val="0"/>
        <w:kinsoku/>
        <w:wordWrap/>
        <w:overflowPunct/>
        <w:topLinePunct w:val="0"/>
        <w:autoSpaceDE/>
        <w:autoSpaceDN/>
        <w:bidi w:val="0"/>
        <w:adjustRightInd/>
        <w:snapToGrid/>
        <w:spacing w:line="520" w:lineRule="exact"/>
        <w:ind w:firstLine="6080" w:firstLineChars="19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信阳市财政局</w:t>
      </w:r>
    </w:p>
    <w:p w14:paraId="1EA5FD3D">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r>
        <w:rPr>
          <w:rFonts w:hint="eastAsia" w:ascii="Times New Roman" w:hAnsi="Times New Roman" w:eastAsia="仿宋_GB2312"/>
          <w:color w:val="auto"/>
          <w:sz w:val="32"/>
          <w:szCs w:val="32"/>
          <w:lang w:val="en-US" w:eastAsia="zh-CN"/>
        </w:rPr>
        <w:t xml:space="preserve">                               2025年</w:t>
      </w:r>
    </w:p>
    <w:sdt>
      <w:sdtPr>
        <w:rPr>
          <w:rFonts w:hint="eastAsia" w:asciiTheme="minorEastAsia" w:hAnsiTheme="minorEastAsia" w:eastAsiaTheme="minorEastAsia" w:cstheme="minorEastAsia"/>
          <w:b/>
          <w:bCs/>
          <w:color w:val="auto"/>
          <w:kern w:val="2"/>
          <w:sz w:val="30"/>
          <w:szCs w:val="30"/>
          <w:highlight w:val="none"/>
          <w:lang w:val="en-US" w:eastAsia="zh-CN" w:bidi="ar-SA"/>
        </w:rPr>
        <w:id w:val="147465954"/>
        <w15:color w:val="DBDBDB"/>
        <w:docPartObj>
          <w:docPartGallery w:val="Table of Contents"/>
          <w:docPartUnique/>
        </w:docPartObj>
      </w:sdtPr>
      <w:sdtEndPr>
        <w:rPr>
          <w:rFonts w:hint="eastAsia" w:ascii="宋体" w:hAnsi="宋体" w:cs="宋体" w:eastAsiaTheme="minorEastAsia"/>
          <w:b/>
          <w:bCs/>
          <w:color w:val="auto"/>
          <w:kern w:val="2"/>
          <w:sz w:val="21"/>
          <w:szCs w:val="30"/>
          <w:highlight w:val="none"/>
          <w:lang w:val="en-US" w:eastAsia="zh-CN" w:bidi="ar-SA"/>
        </w:rPr>
      </w:sdtEndPr>
      <w:sdtContent>
        <w:p w14:paraId="6CD7B727">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76102900">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7EE506FE">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0E30ABD7">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6C60A9E9">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54595134">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kern w:val="2"/>
              <w:sz w:val="30"/>
              <w:szCs w:val="30"/>
              <w:highlight w:val="none"/>
              <w:lang w:val="en-US" w:eastAsia="zh-CN" w:bidi="ar-SA"/>
            </w:rPr>
          </w:pPr>
        </w:p>
        <w:p w14:paraId="5B0D0396">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0"/>
              <w:szCs w:val="30"/>
              <w:highlight w:val="none"/>
            </w:rPr>
            <w:t>目</w:t>
          </w:r>
          <w:r>
            <w:rPr>
              <w:rFonts w:hint="eastAsia" w:asciiTheme="minorEastAsia" w:hAnsi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14:paraId="1EEB257F">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_Toc31411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第一章 </w:t>
          </w:r>
          <w:r>
            <w:rPr>
              <w:rFonts w:hint="eastAsia" w:asciiTheme="minorEastAsia" w:hAnsiTheme="minorEastAsia" w:eastAsiaTheme="minorEastAsia" w:cstheme="minorEastAsia"/>
              <w:bCs/>
              <w:color w:val="auto"/>
              <w:sz w:val="24"/>
              <w:szCs w:val="24"/>
              <w:highlight w:val="none"/>
              <w:lang w:eastAsia="zh-CN"/>
            </w:rPr>
            <w:t>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_Toc31411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80328E">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_Toc9581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第二章 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p w14:paraId="4F79E28E">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_Toc28924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第三章 评审办法（综合评分法）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_Toc28924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ABF0370">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_Toc18958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rPr>
            <w:t>河南省政府采购合同（</w:t>
          </w:r>
          <w:r>
            <w:rPr>
              <w:rFonts w:hint="eastAsia" w:asciiTheme="minorEastAsia" w:hAnsiTheme="minorEastAsia" w:eastAsiaTheme="minorEastAsia" w:cstheme="minorEastAsia"/>
              <w:color w:val="auto"/>
              <w:sz w:val="24"/>
              <w:szCs w:val="24"/>
              <w:highlight w:val="none"/>
              <w:lang w:eastAsia="zh-CN"/>
            </w:rPr>
            <w:t>参考文本</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_Toc18958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F9BC06A">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_Toc28362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eastAsia="zh-CN"/>
            </w:rPr>
            <w:t>第五章 服务内容及要求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52D4462B">
          <w:pPr>
            <w:pStyle w:val="48"/>
            <w:tabs>
              <w:tab w:val="right" w:leader="dot" w:pos="8299"/>
            </w:tabs>
            <w:spacing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_Toc1837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第六章 竞争性磋商响应文件格式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_Toc1837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576C99E">
          <w:pPr>
            <w:spacing w:line="480" w:lineRule="auto"/>
            <w:ind w:left="0" w:leftChars="0" w:firstLine="0" w:firstLineChars="0"/>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32D954B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3F38D647">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5FFFEBCF">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6979D416">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07139632">
      <w:pPr>
        <w:pStyle w:val="7"/>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color w:val="auto"/>
          <w:sz w:val="30"/>
          <w:szCs w:val="30"/>
          <w:highlight w:val="none"/>
        </w:rPr>
      </w:pPr>
    </w:p>
    <w:p w14:paraId="11F5190B">
      <w:pPr>
        <w:ind w:left="0" w:leftChars="0" w:firstLine="0" w:firstLineChars="0"/>
        <w:rPr>
          <w:rFonts w:hint="eastAsia" w:ascii="宋体" w:hAnsi="宋体" w:eastAsia="宋体" w:cs="宋体"/>
          <w:b/>
          <w:color w:val="auto"/>
          <w:spacing w:val="14"/>
          <w:sz w:val="44"/>
          <w:szCs w:val="44"/>
          <w:highlight w:val="none"/>
        </w:rPr>
      </w:pPr>
    </w:p>
    <w:p w14:paraId="7C21D722">
      <w:pPr>
        <w:pStyle w:val="47"/>
        <w:bidi w:val="0"/>
        <w:jc w:val="center"/>
        <w:rPr>
          <w:rFonts w:hint="eastAsia" w:ascii="宋体" w:hAnsi="宋体" w:cs="宋体"/>
          <w:b/>
          <w:bCs/>
          <w:color w:val="auto"/>
          <w:sz w:val="24"/>
        </w:rPr>
      </w:pPr>
      <w:r>
        <w:rPr>
          <w:rFonts w:hint="eastAsia" w:ascii="宋体" w:hAnsi="宋体" w:eastAsia="宋体" w:cs="宋体"/>
          <w:b/>
          <w:color w:val="auto"/>
          <w:spacing w:val="14"/>
          <w:sz w:val="44"/>
          <w:szCs w:val="44"/>
        </w:rPr>
        <w:t>电子招投标特别提示</w:t>
      </w:r>
    </w:p>
    <w:p w14:paraId="4B641F92">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一、投标人（供应商）注册</w:t>
      </w:r>
    </w:p>
    <w:p w14:paraId="54627DFF">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凡有意参加本项目的投标人（供应商），请</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0BE1C0D7">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二、办理CA数字证书</w:t>
      </w:r>
    </w:p>
    <w:p w14:paraId="60754F16">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楼CA窗口现场办理CA数字证书。</w:t>
      </w:r>
    </w:p>
    <w:p w14:paraId="0F8E4B5C">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三、招标（采购）文件获取方式</w:t>
      </w:r>
    </w:p>
    <w:p w14:paraId="4FB1908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投标人（供应商）凭CA数字证书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*.XYZF格式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下载后需使用“信阳市投标文件制作工具软件”打开（该工具软件可在“全国公共资源交易平台（河南省·信阳市）（</w:t>
      </w:r>
      <w:r>
        <w:rPr>
          <w:rFonts w:hint="eastAsia" w:ascii="宋体" w:hAnsi="宋体" w:eastAsia="宋体" w:cs="宋体"/>
          <w:b w:val="0"/>
          <w:bCs w:val="0"/>
          <w:color w:val="auto"/>
          <w:sz w:val="21"/>
          <w:szCs w:val="21"/>
          <w:lang w:eastAsia="zh-CN"/>
        </w:rPr>
        <w:t>https://ggzyjy.xinyang.gov.cn/</w:t>
      </w:r>
      <w:r>
        <w:rPr>
          <w:rFonts w:hint="eastAsia" w:ascii="宋体" w:hAnsi="宋体" w:eastAsia="宋体" w:cs="宋体"/>
          <w:b w:val="0"/>
          <w:bCs w:val="0"/>
          <w:color w:val="auto"/>
          <w:sz w:val="21"/>
          <w:szCs w:val="21"/>
        </w:rPr>
        <w:t>）”网站下载中心栏目内下载或在招标文件领取页面下载）。</w:t>
      </w:r>
    </w:p>
    <w:p w14:paraId="0B6DBF56">
      <w:pPr>
        <w:tabs>
          <w:tab w:val="left" w:pos="0"/>
        </w:tabs>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四、投标（响应）文件制作</w:t>
      </w:r>
    </w:p>
    <w:p w14:paraId="1A18AD63">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投标（响应）文件应使用信阳市公共资源交易系统投标文件制作专用工具软件编制，投标（响应）文件格式为“*.XYTF”。</w:t>
      </w:r>
    </w:p>
    <w:p w14:paraId="3AE5C24E">
      <w:pPr>
        <w:tabs>
          <w:tab w:val="left" w:pos="0"/>
        </w:tabs>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投标人（供应商）须在投标（响应）文件递交截止时间前制作并提交。</w:t>
      </w:r>
    </w:p>
    <w:p w14:paraId="0D6A1CCD">
      <w:pPr>
        <w:pStyle w:val="9"/>
        <w:bidi w:val="0"/>
        <w:spacing w:line="24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五、投标（响应）文件的签字和盖章要求</w:t>
      </w:r>
    </w:p>
    <w:p w14:paraId="3ECA8B01">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1、投标文件（响应）格式中所有要求投标人（供应商）加盖公章的地方都须加盖投标人（供应商）的 CA 印章。</w:t>
      </w:r>
    </w:p>
    <w:p w14:paraId="14C1F9B1">
      <w:pPr>
        <w:bidi w:val="0"/>
        <w:adjustRightInd w:val="0"/>
        <w:snapToGrid w:val="0"/>
        <w:spacing w:line="240" w:lineRule="auto"/>
        <w:ind w:left="-126" w:leftChars="-60" w:firstLine="525" w:firstLineChars="25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2、投标文件（响应）格式中所有要求法定代表人或其委托代理人签字或盖章的地方（不含授权委托书委托人签字）都须加盖法定代表人CA 印章。</w:t>
      </w:r>
    </w:p>
    <w:p w14:paraId="1D59EC84">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六、投标文件份数</w:t>
      </w:r>
    </w:p>
    <w:p w14:paraId="2BAD336B">
      <w:pPr>
        <w:bidi w:val="0"/>
        <w:adjustRightInd w:val="0"/>
        <w:snapToGrid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加密的电子投标（响应）文件壹份（*.XYTF 格式，在会员系统指定位置上传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p>
    <w:p w14:paraId="157A8E48">
      <w:pPr>
        <w:pStyle w:val="9"/>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七、投标（响应）文件的递交</w:t>
      </w:r>
    </w:p>
    <w:p w14:paraId="4F10C0EA">
      <w:pPr>
        <w:bidi w:val="0"/>
        <w:adjustRightInd w:val="0"/>
        <w:snapToGrid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1、电子投标（响应）文件的递交</w:t>
      </w:r>
    </w:p>
    <w:p w14:paraId="15058631">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4095FCFF">
      <w:pPr>
        <w:bidi w:val="0"/>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、除电子投标（响应）文件外，不再接受任何纸质文件、资料原件等。</w:t>
      </w:r>
    </w:p>
    <w:p w14:paraId="2A615448">
      <w:pPr>
        <w:bidi w:val="0"/>
        <w:spacing w:line="240" w:lineRule="auto"/>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八、澄清与变更</w:t>
      </w:r>
    </w:p>
    <w:p w14:paraId="47AB1F34">
      <w:pPr>
        <w:bidi w:val="0"/>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7F96607">
      <w:pPr>
        <w:widowControl/>
        <w:numPr>
          <w:ilvl w:val="0"/>
          <w:numId w:val="1"/>
        </w:numPr>
        <w:bidi w:val="0"/>
        <w:spacing w:line="240" w:lineRule="auto"/>
        <w:jc w:val="left"/>
        <w:rPr>
          <w:rFonts w:hint="eastAsia" w:ascii="宋体" w:hAnsi="宋体" w:eastAsia="宋体" w:cs="宋体"/>
          <w:b w:val="0"/>
          <w:bCs w:val="0"/>
          <w:color w:val="auto"/>
          <w:sz w:val="21"/>
          <w:szCs w:val="21"/>
          <w:u w:val="double"/>
        </w:rPr>
      </w:pPr>
      <w:r>
        <w:rPr>
          <w:rFonts w:hint="eastAsia" w:ascii="宋体" w:hAnsi="宋体" w:eastAsia="宋体" w:cs="宋体"/>
          <w:b w:val="0"/>
          <w:bCs w:val="0"/>
          <w:color w:val="auto"/>
          <w:sz w:val="21"/>
          <w:szCs w:val="21"/>
          <w:u w:val="double"/>
        </w:rPr>
        <w:t xml:space="preserve">其他注意事项 </w:t>
      </w:r>
    </w:p>
    <w:p w14:paraId="597CC4E0">
      <w:pPr>
        <w:widowControl/>
        <w:spacing w:line="240" w:lineRule="auto"/>
        <w:jc w:val="left"/>
        <w:rPr>
          <w:rFonts w:hint="eastAsia"/>
          <w:b w:val="0"/>
          <w:bCs w:val="0"/>
          <w:color w:val="auto"/>
          <w:lang w:val="en-US" w:eastAsia="zh-CN"/>
        </w:rPr>
      </w:pPr>
      <w:r>
        <w:rPr>
          <w:rFonts w:hint="eastAsia" w:ascii="宋体" w:hAnsi="宋体" w:eastAsia="宋体" w:cs="宋体"/>
          <w:b w:val="0"/>
          <w:bCs w:val="0"/>
          <w:color w:val="auto"/>
          <w:sz w:val="21"/>
          <w:szCs w:val="21"/>
          <w:highlight w:val="none"/>
          <w:u w:val="double"/>
          <w:lang w:val="en-US" w:eastAsia="zh-CN"/>
        </w:rPr>
        <w:t xml:space="preserve">1、供应商编制投标文件时，涉及的营业执照、资质、获奖、社保、纳税等固定内容可在交易中心主体信用信息中录入。 </w:t>
      </w:r>
    </w:p>
    <w:p w14:paraId="55107785">
      <w:pPr>
        <w:widowControl/>
        <w:bidi w:val="0"/>
        <w:spacing w:line="240" w:lineRule="auto"/>
        <w:jc w:val="left"/>
        <w:rPr>
          <w:rFonts w:hint="default" w:ascii="宋体" w:hAnsi="宋体" w:eastAsia="宋体" w:cs="宋体"/>
          <w:b w:val="0"/>
          <w:bCs w:val="0"/>
          <w:color w:val="auto"/>
          <w:sz w:val="21"/>
          <w:szCs w:val="21"/>
          <w:highlight w:val="none"/>
          <w:u w:val="double"/>
          <w:lang w:val="en-US" w:eastAsia="zh-CN"/>
        </w:rPr>
      </w:pPr>
      <w:r>
        <w:rPr>
          <w:rFonts w:hint="eastAsia" w:ascii="宋体" w:hAnsi="宋体" w:eastAsia="宋体" w:cs="宋体"/>
          <w:b w:val="0"/>
          <w:bCs w:val="0"/>
          <w:color w:val="auto"/>
          <w:sz w:val="21"/>
          <w:szCs w:val="21"/>
          <w:highlight w:val="none"/>
          <w:u w:val="double"/>
          <w:lang w:val="en-US" w:eastAsia="zh-CN"/>
        </w:rPr>
        <w:t>2、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7077708B">
      <w:pPr>
        <w:widowControl/>
        <w:bidi w:val="0"/>
        <w:spacing w:line="240" w:lineRule="auto"/>
        <w:jc w:val="left"/>
        <w:rPr>
          <w:rFonts w:hint="eastAsia" w:ascii="宋体" w:hAnsi="宋体" w:eastAsia="宋体" w:cs="宋体"/>
          <w:b w:val="0"/>
          <w:bCs w:val="0"/>
          <w:color w:val="auto"/>
          <w:sz w:val="21"/>
          <w:szCs w:val="21"/>
          <w:u w:val="double"/>
        </w:rPr>
      </w:pPr>
      <w:r>
        <w:rPr>
          <w:rFonts w:hint="default" w:ascii="宋体" w:hAnsi="宋体" w:eastAsia="宋体" w:cs="宋体"/>
          <w:b w:val="0"/>
          <w:bCs w:val="0"/>
          <w:color w:val="auto"/>
          <w:sz w:val="21"/>
          <w:szCs w:val="21"/>
          <w:highlight w:val="none"/>
          <w:u w:val="double"/>
          <w:lang w:val="en-US" w:eastAsia="zh-CN"/>
        </w:rPr>
        <w:t>3</w:t>
      </w:r>
      <w:r>
        <w:rPr>
          <w:rFonts w:hint="eastAsia" w:ascii="宋体" w:hAnsi="宋体" w:eastAsia="宋体" w:cs="宋体"/>
          <w:b w:val="0"/>
          <w:bCs w:val="0"/>
          <w:color w:val="auto"/>
          <w:sz w:val="21"/>
          <w:szCs w:val="21"/>
          <w:highlight w:val="none"/>
          <w:u w:val="double"/>
          <w:lang w:val="en-US" w:eastAsia="zh-CN"/>
        </w:rPr>
        <w:t>、投标文件中的扫描件，在确保清晰的前提下，每张最好控制在 500kb 内，生成的加密电子投标文件最好不要超过50MB。</w:t>
      </w:r>
    </w:p>
    <w:p w14:paraId="40812700">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double"/>
        </w:rPr>
        <w:t>十、特别提醒</w:t>
      </w:r>
    </w:p>
    <w:p w14:paraId="37DAA977">
      <w:pPr>
        <w:bidi w:val="0"/>
        <w:adjustRightInd w:val="0"/>
        <w:snapToGrid w:val="0"/>
        <w:spacing w:line="360" w:lineRule="auto"/>
        <w:ind w:firstLine="420" w:firstLineChars="200"/>
        <w:jc w:val="left"/>
        <w:rPr>
          <w:rFonts w:hint="eastAsia" w:ascii="宋体" w:hAnsi="宋体" w:eastAsia="宋体" w:cs="宋体"/>
          <w:b w:val="0"/>
          <w:bCs w:val="0"/>
          <w:color w:val="auto"/>
          <w:sz w:val="21"/>
          <w:szCs w:val="21"/>
        </w:rPr>
        <w:sectPr>
          <w:pgSz w:w="11905" w:h="16838"/>
          <w:pgMar w:top="1440" w:right="1282" w:bottom="1440" w:left="1383" w:header="850" w:footer="850" w:gutter="0"/>
          <w:pgNumType w:fmt="decimal"/>
          <w:cols w:space="720" w:num="1"/>
          <w:docGrid w:type="lines" w:linePitch="411" w:charSpace="0"/>
        </w:sectPr>
      </w:pPr>
      <w:r>
        <w:rPr>
          <w:rFonts w:hint="eastAsia" w:ascii="宋体" w:hAnsi="宋体" w:eastAsia="宋体" w:cs="宋体"/>
          <w:b w:val="0"/>
          <w:bCs w:val="0"/>
          <w:color w:val="auto"/>
          <w:sz w:val="21"/>
          <w:szCs w:val="21"/>
        </w:rPr>
        <w:t>招标（响应）文件与此内容不符的，以此内容为准。</w:t>
      </w:r>
    </w:p>
    <w:p w14:paraId="005970EE">
      <w:pPr>
        <w:pStyle w:val="22"/>
        <w:keepNext w:val="0"/>
        <w:keepLines w:val="0"/>
        <w:pageBreakBefore w:val="0"/>
        <w:widowControl/>
        <w:tabs>
          <w:tab w:val="right" w:leader="underscore" w:pos="8296"/>
        </w:tabs>
        <w:kinsoku/>
        <w:wordWrap/>
        <w:overflowPunct/>
        <w:topLinePunct w:val="0"/>
        <w:autoSpaceDE/>
        <w:autoSpaceDN/>
        <w:bidi w:val="0"/>
        <w:adjustRightInd/>
        <w:snapToGrid/>
        <w:spacing w:after="0" w:afterLines="0" w:line="360" w:lineRule="auto"/>
        <w:ind w:left="0" w:leftChars="0" w:firstLine="0" w:firstLineChars="0"/>
        <w:jc w:val="center"/>
        <w:textAlignment w:val="auto"/>
        <w:outlineLvl w:val="0"/>
        <w:rPr>
          <w:rFonts w:hint="eastAsia" w:ascii="宋体" w:hAnsi="宋体" w:cs="宋体" w:eastAsiaTheme="minorEastAsia"/>
          <w:b/>
          <w:bCs/>
          <w:color w:val="auto"/>
          <w:sz w:val="32"/>
          <w:szCs w:val="32"/>
          <w:highlight w:val="none"/>
          <w:lang w:eastAsia="zh-CN"/>
        </w:rPr>
      </w:pPr>
      <w:bookmarkStart w:id="6" w:name="_Toc30363"/>
      <w:bookmarkStart w:id="7" w:name="_Toc11788"/>
      <w:bookmarkStart w:id="8" w:name="_Toc9876"/>
      <w:bookmarkStart w:id="9" w:name="_Toc14361"/>
      <w:bookmarkStart w:id="10" w:name="_Toc10356"/>
      <w:bookmarkStart w:id="11" w:name="_Toc23059"/>
      <w:bookmarkStart w:id="12" w:name="_Toc31411"/>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第一章 </w:t>
      </w:r>
      <w:bookmarkEnd w:id="2"/>
      <w:bookmarkEnd w:id="3"/>
      <w:bookmarkEnd w:id="4"/>
      <w:bookmarkEnd w:id="5"/>
      <w:bookmarkEnd w:id="6"/>
      <w:r>
        <w:rPr>
          <w:rFonts w:hint="eastAsia" w:ascii="宋体" w:hAnsi="宋体" w:cs="宋体"/>
          <w:b/>
          <w:bCs/>
          <w:color w:val="auto"/>
          <w:sz w:val="32"/>
          <w:szCs w:val="32"/>
          <w:highlight w:val="none"/>
          <w:lang w:eastAsia="zh-CN"/>
        </w:rPr>
        <w:t>竞争性磋商公告</w:t>
      </w:r>
      <w:bookmarkEnd w:id="7"/>
      <w:bookmarkEnd w:id="8"/>
      <w:bookmarkEnd w:id="9"/>
      <w:bookmarkEnd w:id="10"/>
      <w:bookmarkEnd w:id="11"/>
      <w:bookmarkEnd w:id="12"/>
      <w:bookmarkStart w:id="13" w:name="_Toc152045527"/>
      <w:bookmarkStart w:id="14" w:name="_Toc9581"/>
      <w:bookmarkStart w:id="15" w:name="_Toc22351"/>
      <w:bookmarkStart w:id="16" w:name="_Toc6735"/>
      <w:bookmarkStart w:id="17" w:name="_Toc152042303"/>
      <w:bookmarkStart w:id="18" w:name="_Toc8890"/>
      <w:bookmarkStart w:id="19" w:name="_Toc144974495"/>
      <w:r>
        <w:rPr>
          <w:rFonts w:hint="eastAsia" w:ascii="宋体" w:hAnsi="宋体" w:cs="宋体"/>
          <w:b/>
          <w:bCs/>
          <w:color w:val="auto"/>
          <w:sz w:val="32"/>
          <w:szCs w:val="32"/>
          <w:highlight w:val="none"/>
          <w:lang w:val="en-US" w:eastAsia="zh-CN"/>
        </w:rPr>
        <w:t xml:space="preserve"> </w:t>
      </w:r>
    </w:p>
    <w:p w14:paraId="042914B7">
      <w:pPr>
        <w:pStyle w:val="23"/>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bookmarkStart w:id="20" w:name="OLE_LINK1"/>
      <w:r>
        <w:rPr>
          <w:rFonts w:hint="eastAsia" w:ascii="宋体" w:hAnsi="宋体" w:eastAsia="宋体" w:cs="宋体"/>
          <w:b/>
          <w:color w:val="auto"/>
          <w:sz w:val="21"/>
          <w:szCs w:val="21"/>
          <w:highlight w:val="none"/>
        </w:rPr>
        <w:t>项目概况</w:t>
      </w:r>
    </w:p>
    <w:p w14:paraId="2F77BBC5">
      <w:pPr>
        <w:pStyle w:val="23"/>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wordWrap/>
        <w:overflowPunct/>
        <w:topLinePunct w:val="0"/>
        <w:autoSpaceDE/>
        <w:autoSpaceDN/>
        <w:bidi w:val="0"/>
        <w:adjustRightInd/>
        <w:snapToGri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default" w:eastAsia="宋体" w:cs="宋体"/>
          <w:bCs/>
          <w:color w:val="auto"/>
          <w:sz w:val="21"/>
          <w:szCs w:val="21"/>
          <w:highlight w:val="none"/>
          <w:u w:val="single"/>
          <w:lang w:val="en-US" w:eastAsia="zh-CN"/>
        </w:rPr>
        <w:t>信阳市平桥区人民代表大会常务委员会平桥区人大预算与国资联网监督系统二期项目</w:t>
      </w:r>
      <w:r>
        <w:rPr>
          <w:rFonts w:hint="eastAsia" w:ascii="宋体" w:hAnsi="宋体" w:eastAsia="宋体" w:cs="宋体"/>
          <w:bCs/>
          <w:color w:val="auto"/>
          <w:sz w:val="21"/>
          <w:szCs w:val="21"/>
          <w:highlight w:val="none"/>
        </w:rPr>
        <w:t>的潜在供应商应</w:t>
      </w:r>
      <w:r>
        <w:rPr>
          <w:rFonts w:hint="eastAsia" w:ascii="宋体" w:hAnsi="宋体" w:eastAsia="宋体" w:cs="宋体"/>
          <w:bCs/>
          <w:color w:val="auto"/>
          <w:sz w:val="21"/>
          <w:szCs w:val="21"/>
          <w:highlight w:val="none"/>
          <w:lang w:eastAsia="zh-CN"/>
        </w:rPr>
        <w:t>在</w:t>
      </w:r>
      <w:r>
        <w:rPr>
          <w:rFonts w:hint="eastAsia" w:ascii="宋体" w:hAnsi="宋体" w:eastAsia="宋体" w:cs="宋体"/>
          <w:color w:val="auto"/>
          <w:kern w:val="0"/>
          <w:sz w:val="21"/>
          <w:szCs w:val="21"/>
          <w:highlight w:val="none"/>
        </w:rPr>
        <w:t>“全国公共资源交易平台（河南省·信阳市）（https://ggzyjy.xinyang.gov.cn）</w:t>
      </w:r>
      <w:r>
        <w:rPr>
          <w:rFonts w:hint="eastAsia"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凭办理的企业身份</w:t>
      </w:r>
      <w:r>
        <w:rPr>
          <w:rFonts w:hint="eastAsia" w:ascii="宋体" w:hAnsi="宋体" w:eastAsia="宋体" w:cs="宋体"/>
          <w:bCs/>
          <w:color w:val="auto"/>
          <w:sz w:val="21"/>
          <w:szCs w:val="21"/>
          <w:highlight w:val="none"/>
        </w:rPr>
        <w:t>认证锁（CA数字证书）</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会员系统获取</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，并于</w:t>
      </w:r>
      <w:r>
        <w:rPr>
          <w:rFonts w:hint="eastAsia" w:ascii="宋体" w:hAnsi="宋体" w:eastAsia="宋体" w:cs="宋体"/>
          <w:bCs/>
          <w:color w:val="auto"/>
          <w:sz w:val="21"/>
          <w:szCs w:val="21"/>
          <w:highlight w:val="none"/>
          <w:u w:val="single"/>
          <w:lang w:val="en-US" w:eastAsia="zh-CN"/>
        </w:rPr>
        <w:t>2025年</w:t>
      </w:r>
      <w:r>
        <w:rPr>
          <w:rFonts w:hint="eastAsia" w:eastAsia="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lang w:val="en-US" w:eastAsia="zh-CN"/>
        </w:rPr>
        <w:t>月</w:t>
      </w:r>
      <w:r>
        <w:rPr>
          <w:rFonts w:hint="eastAsia" w:cs="宋体"/>
          <w:color w:val="auto"/>
          <w:kern w:val="0"/>
          <w:sz w:val="21"/>
          <w:szCs w:val="21"/>
          <w:highlight w:val="none"/>
          <w:u w:val="single"/>
          <w:lang w:val="en-US" w:eastAsia="zh-CN" w:bidi="ar-SA"/>
        </w:rPr>
        <w:t>27</w:t>
      </w:r>
      <w:r>
        <w:rPr>
          <w:rFonts w:hint="eastAsia" w:ascii="宋体" w:hAnsi="宋体" w:cs="宋体" w:eastAsiaTheme="minorEastAsia"/>
          <w:color w:val="auto"/>
          <w:kern w:val="0"/>
          <w:sz w:val="21"/>
          <w:szCs w:val="21"/>
          <w:highlight w:val="none"/>
          <w:u w:val="single"/>
          <w:lang w:val="en-US" w:eastAsia="zh-CN" w:bidi="ar-SA"/>
        </w:rPr>
        <w:t>日09时30分</w:t>
      </w:r>
      <w:r>
        <w:rPr>
          <w:rFonts w:hint="eastAsia" w:ascii="宋体" w:hAnsi="宋体" w:eastAsia="宋体" w:cs="宋体"/>
          <w:bCs/>
          <w:color w:val="auto"/>
          <w:sz w:val="21"/>
          <w:szCs w:val="21"/>
          <w:highlight w:val="none"/>
          <w:shd w:val="clear"/>
        </w:rPr>
        <w:t>（北京时间</w:t>
      </w:r>
      <w:r>
        <w:rPr>
          <w:rFonts w:hint="eastAsia" w:ascii="宋体" w:hAnsi="宋体" w:eastAsia="宋体" w:cs="宋体"/>
          <w:bCs/>
          <w:color w:val="auto"/>
          <w:sz w:val="21"/>
          <w:szCs w:val="21"/>
          <w:highlight w:val="none"/>
        </w:rPr>
        <w:t>）前递交响应文件。</w:t>
      </w:r>
    </w:p>
    <w:p w14:paraId="08E7160F">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3FBCE34A">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1、项目编号：</w:t>
      </w:r>
      <w:r>
        <w:rPr>
          <w:rFonts w:hint="default" w:eastAsia="宋体" w:cs="宋体"/>
          <w:b w:val="0"/>
          <w:bCs/>
          <w:color w:val="auto"/>
          <w:sz w:val="21"/>
          <w:szCs w:val="21"/>
          <w:highlight w:val="none"/>
          <w:vertAlign w:val="baseline"/>
          <w:lang w:val="en-US" w:eastAsia="zh-CN"/>
        </w:rPr>
        <w:t>信平财磋商采购-2025-41</w:t>
      </w:r>
      <w:r>
        <w:rPr>
          <w:rFonts w:hint="eastAsia" w:eastAsia="宋体" w:cs="宋体"/>
          <w:bCs/>
          <w:color w:val="auto"/>
          <w:sz w:val="21"/>
          <w:szCs w:val="21"/>
          <w:highlight w:val="none"/>
          <w:lang w:val="en-US" w:eastAsia="zh-CN"/>
        </w:rPr>
        <w:t xml:space="preserve"> </w:t>
      </w:r>
    </w:p>
    <w:p w14:paraId="545E7BEC">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w:t>
      </w:r>
      <w:r>
        <w:rPr>
          <w:rFonts w:hint="default" w:eastAsia="宋体" w:cs="宋体"/>
          <w:bCs/>
          <w:color w:val="auto"/>
          <w:sz w:val="21"/>
          <w:szCs w:val="21"/>
          <w:highlight w:val="none"/>
          <w:lang w:val="en-US" w:eastAsia="zh-CN"/>
        </w:rPr>
        <w:t>信阳市平桥区人民代表大会常务委员会平桥区人大预算与国资联网监督系统二期项目</w:t>
      </w:r>
    </w:p>
    <w:p w14:paraId="46A8FFA6">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3、采购方式：竞争性磋商</w:t>
      </w:r>
    </w:p>
    <w:p w14:paraId="6BA64257">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4、预算金额：</w:t>
      </w:r>
      <w:r>
        <w:rPr>
          <w:rFonts w:hint="eastAsia" w:eastAsia="宋体" w:cs="宋体"/>
          <w:bCs/>
          <w:color w:val="auto"/>
          <w:sz w:val="21"/>
          <w:szCs w:val="21"/>
          <w:highlight w:val="none"/>
          <w:lang w:val="en-US" w:eastAsia="zh-CN"/>
        </w:rPr>
        <w:t>1033876.10元</w:t>
      </w:r>
    </w:p>
    <w:p w14:paraId="51003F9B">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firstLine="840" w:firstLineChars="400"/>
        <w:textAlignment w:val="auto"/>
        <w:rPr>
          <w:rFonts w:hint="eastAsia"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w:t>
      </w:r>
      <w:r>
        <w:rPr>
          <w:rFonts w:hint="eastAsia" w:eastAsia="宋体" w:cs="宋体"/>
          <w:bCs/>
          <w:color w:val="auto"/>
          <w:sz w:val="21"/>
          <w:szCs w:val="21"/>
          <w:highlight w:val="none"/>
          <w:lang w:val="en-US" w:eastAsia="zh-CN"/>
        </w:rPr>
        <w:t>1033876.10元</w:t>
      </w:r>
    </w:p>
    <w:tbl>
      <w:tblPr>
        <w:tblStyle w:val="2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4"/>
        <w:gridCol w:w="3011"/>
        <w:gridCol w:w="1455"/>
        <w:gridCol w:w="1710"/>
      </w:tblGrid>
      <w:tr w14:paraId="5BF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5" w:type="dxa"/>
            <w:noWrap w:val="0"/>
            <w:vAlign w:val="center"/>
          </w:tcPr>
          <w:p w14:paraId="1F74B7C6">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序号</w:t>
            </w:r>
          </w:p>
        </w:tc>
        <w:tc>
          <w:tcPr>
            <w:tcW w:w="1564" w:type="dxa"/>
            <w:noWrap w:val="0"/>
            <w:vAlign w:val="center"/>
          </w:tcPr>
          <w:p w14:paraId="6250C86B">
            <w:pPr>
              <w:keepNext w:val="0"/>
              <w:keepLines w:val="0"/>
              <w:widowControl/>
              <w:suppressLineNumbers w:val="0"/>
              <w:shd w:val="clear"/>
              <w:spacing w:before="0" w:beforeAutospacing="0" w:after="0" w:afterAutospacing="0" w:line="18" w:lineRule="atLeast"/>
              <w:ind w:left="0" w:leftChars="0" w:right="0" w:right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包号</w:t>
            </w:r>
          </w:p>
        </w:tc>
        <w:tc>
          <w:tcPr>
            <w:tcW w:w="3011" w:type="dxa"/>
            <w:noWrap w:val="0"/>
            <w:vAlign w:val="center"/>
          </w:tcPr>
          <w:p w14:paraId="3A282268">
            <w:pPr>
              <w:keepNext w:val="0"/>
              <w:keepLines w:val="0"/>
              <w:widowControl/>
              <w:suppressLineNumbers w:val="0"/>
              <w:shd w:val="clear"/>
              <w:spacing w:before="0" w:beforeAutospacing="0" w:after="0" w:afterAutospacing="0" w:line="18" w:lineRule="atLeast"/>
              <w:ind w:left="0" w:leftChars="0" w:right="0" w:rightChars="0" w:firstLine="843" w:firstLineChars="40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包名称</w:t>
            </w:r>
          </w:p>
        </w:tc>
        <w:tc>
          <w:tcPr>
            <w:tcW w:w="1455" w:type="dxa"/>
            <w:noWrap w:val="0"/>
            <w:vAlign w:val="center"/>
          </w:tcPr>
          <w:p w14:paraId="3A827901">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包预算（元）</w:t>
            </w:r>
          </w:p>
        </w:tc>
        <w:tc>
          <w:tcPr>
            <w:tcW w:w="1710" w:type="dxa"/>
            <w:noWrap w:val="0"/>
            <w:vAlign w:val="center"/>
          </w:tcPr>
          <w:p w14:paraId="69159FC9">
            <w:pPr>
              <w:keepNext w:val="0"/>
              <w:keepLines w:val="0"/>
              <w:widowControl/>
              <w:suppressLineNumbers w:val="0"/>
              <w:shd w:val="clear"/>
              <w:spacing w:before="0" w:beforeAutospacing="0" w:after="0" w:afterAutospacing="0" w:line="18" w:lineRule="atLeast"/>
              <w:ind w:left="0" w:leftChars="0" w:right="0" w:rightChars="0" w:firstLine="0" w:firstLineChars="0"/>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包最高限价（元）</w:t>
            </w:r>
          </w:p>
        </w:tc>
      </w:tr>
      <w:tr w14:paraId="26F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9520B6F">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eastAsia="宋体" w:cs="宋体"/>
                <w:b w:val="0"/>
                <w:bCs/>
                <w:color w:val="auto"/>
                <w:sz w:val="21"/>
                <w:szCs w:val="21"/>
                <w:highlight w:val="none"/>
                <w:vertAlign w:val="baseline"/>
                <w:lang w:val="en-US" w:eastAsia="zh-CN"/>
              </w:rPr>
              <w:t>1</w:t>
            </w:r>
          </w:p>
        </w:tc>
        <w:tc>
          <w:tcPr>
            <w:tcW w:w="1564" w:type="dxa"/>
            <w:noWrap w:val="0"/>
            <w:vAlign w:val="center"/>
          </w:tcPr>
          <w:p w14:paraId="7016670D">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default" w:ascii="宋体" w:hAnsi="宋体" w:eastAsia="宋体" w:cs="宋体"/>
                <w:b w:val="0"/>
                <w:bCs/>
                <w:color w:val="auto"/>
                <w:sz w:val="21"/>
                <w:szCs w:val="21"/>
                <w:highlight w:val="none"/>
                <w:vertAlign w:val="baseline"/>
                <w:lang w:val="en-US" w:eastAsia="zh-CN"/>
              </w:rPr>
            </w:pPr>
            <w:r>
              <w:rPr>
                <w:rFonts w:hint="default" w:eastAsia="宋体" w:cs="宋体"/>
                <w:b w:val="0"/>
                <w:bCs/>
                <w:color w:val="auto"/>
                <w:sz w:val="21"/>
                <w:szCs w:val="21"/>
                <w:highlight w:val="none"/>
                <w:vertAlign w:val="baseline"/>
                <w:lang w:val="en-US" w:eastAsia="zh-CN"/>
              </w:rPr>
              <w:t>信平财磋商采购-2025-41</w:t>
            </w:r>
          </w:p>
        </w:tc>
        <w:tc>
          <w:tcPr>
            <w:tcW w:w="3011" w:type="dxa"/>
            <w:noWrap w:val="0"/>
            <w:vAlign w:val="center"/>
          </w:tcPr>
          <w:p w14:paraId="559B9C65">
            <w:pPr>
              <w:pStyle w:val="23"/>
              <w:keepNext w:val="0"/>
              <w:keepLines w:val="0"/>
              <w:pageBreakBefore w:val="0"/>
              <w:widowControl w:val="0"/>
              <w:shd w:val="clear"/>
              <w:kinsoku/>
              <w:overflowPunct/>
              <w:topLinePunct w:val="0"/>
              <w:autoSpaceDE/>
              <w:autoSpaceDN/>
              <w:bidi w:val="0"/>
              <w:adjustRightInd/>
              <w:snapToGrid w:val="0"/>
              <w:spacing w:before="0" w:beforeLines="0" w:beforeAutospacing="0" w:after="0" w:afterLines="0" w:afterAutospacing="0" w:line="336" w:lineRule="auto"/>
              <w:ind w:left="0" w:leftChars="0" w:firstLine="0" w:firstLineChars="0"/>
              <w:jc w:val="left"/>
              <w:textAlignment w:val="auto"/>
              <w:rPr>
                <w:rFonts w:hint="eastAsia" w:ascii="宋体" w:hAnsi="宋体" w:eastAsia="宋体" w:cs="宋体"/>
                <w:b w:val="0"/>
                <w:bCs/>
                <w:color w:val="auto"/>
                <w:sz w:val="21"/>
                <w:szCs w:val="21"/>
                <w:highlight w:val="none"/>
                <w:vertAlign w:val="baseline"/>
                <w:lang w:val="en-US" w:eastAsia="zh-CN"/>
              </w:rPr>
            </w:pPr>
            <w:r>
              <w:rPr>
                <w:rFonts w:hint="default" w:eastAsia="宋体" w:cs="宋体"/>
                <w:bCs/>
                <w:color w:val="auto"/>
                <w:sz w:val="21"/>
                <w:szCs w:val="21"/>
                <w:highlight w:val="none"/>
                <w:lang w:val="en-US" w:eastAsia="zh-CN"/>
              </w:rPr>
              <w:t>信阳市平桥区人民代表大会常务委员会平桥区人大预算与国资联网监督系统二期项目</w:t>
            </w:r>
          </w:p>
        </w:tc>
        <w:tc>
          <w:tcPr>
            <w:tcW w:w="1455" w:type="dxa"/>
            <w:noWrap w:val="0"/>
            <w:vAlign w:val="center"/>
          </w:tcPr>
          <w:p w14:paraId="71CE1AB9">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1033876.10</w:t>
            </w:r>
          </w:p>
        </w:tc>
        <w:tc>
          <w:tcPr>
            <w:tcW w:w="1710" w:type="dxa"/>
            <w:noWrap w:val="0"/>
            <w:vAlign w:val="center"/>
          </w:tcPr>
          <w:p w14:paraId="4160DD64">
            <w:pPr>
              <w:shd w:val="clear"/>
              <w:ind w:left="0" w:leftChars="0" w:firstLine="0" w:firstLineChars="0"/>
              <w:jc w:val="center"/>
              <w:rPr>
                <w:rFonts w:hint="default" w:ascii="宋体" w:hAnsi="宋体" w:eastAsia="宋体" w:cs="宋体"/>
                <w:b w:val="0"/>
                <w:bCs/>
                <w:color w:val="auto"/>
                <w:sz w:val="21"/>
                <w:szCs w:val="21"/>
                <w:highlight w:val="none"/>
                <w:vertAlign w:val="baseline"/>
                <w:lang w:val="en-US" w:eastAsia="zh-CN"/>
              </w:rPr>
            </w:pPr>
            <w:r>
              <w:rPr>
                <w:rFonts w:hint="default" w:ascii="宋体" w:hAnsi="宋体" w:eastAsia="宋体" w:cs="宋体"/>
                <w:b w:val="0"/>
                <w:bCs/>
                <w:color w:val="auto"/>
                <w:sz w:val="21"/>
                <w:szCs w:val="21"/>
                <w:highlight w:val="none"/>
                <w:vertAlign w:val="baseline"/>
                <w:lang w:val="en-US" w:eastAsia="zh-CN"/>
              </w:rPr>
              <w:t>1033876.10</w:t>
            </w:r>
          </w:p>
        </w:tc>
      </w:tr>
    </w:tbl>
    <w:p w14:paraId="6C5F0CE3">
      <w:pPr>
        <w:pStyle w:val="23"/>
        <w:keepNext w:val="0"/>
        <w:keepLines w:val="0"/>
        <w:pageBreakBefore w:val="0"/>
        <w:widowControl w:val="0"/>
        <w:shd w:val="clear"/>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eastAsia="宋体" w:cs="宋体"/>
          <w:bCs/>
          <w:color w:val="auto"/>
          <w:sz w:val="21"/>
          <w:szCs w:val="21"/>
          <w:highlight w:val="none"/>
          <w:lang w:val="en-US" w:eastAsia="zh-CN"/>
        </w:rPr>
      </w:pPr>
    </w:p>
    <w:p w14:paraId="176CF955">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5、采购需求：</w:t>
      </w:r>
      <w:r>
        <w:rPr>
          <w:rFonts w:hint="eastAsia" w:ascii="宋体" w:hAnsi="宋体" w:eastAsia="宋体" w:cs="宋体"/>
          <w:bCs/>
          <w:color w:val="auto"/>
          <w:sz w:val="21"/>
          <w:szCs w:val="21"/>
          <w:highlight w:val="none"/>
          <w:lang w:eastAsia="zh-CN"/>
        </w:rPr>
        <w:t>升级现有系统和历史数据迁移；实施横向联通拓展；开发国资联网监督子系统；建设移动平台；国产化适配；政务云服务器租赁等内容的实施及日常运维服务</w:t>
      </w:r>
      <w:r>
        <w:rPr>
          <w:rFonts w:hint="default" w:eastAsia="宋体" w:cs="宋体"/>
          <w:bCs/>
          <w:color w:val="auto"/>
          <w:sz w:val="21"/>
          <w:szCs w:val="21"/>
          <w:highlight w:val="none"/>
          <w:lang w:val="en-US"/>
        </w:rPr>
        <w:t>,</w:t>
      </w:r>
      <w:r>
        <w:rPr>
          <w:rFonts w:hint="eastAsia" w:eastAsia="宋体" w:cs="宋体"/>
          <w:bCs/>
          <w:color w:val="auto"/>
          <w:sz w:val="21"/>
          <w:szCs w:val="21"/>
          <w:highlight w:val="none"/>
          <w:lang w:val="en-US" w:eastAsia="zh-CN"/>
        </w:rPr>
        <w:t xml:space="preserve">具体服务要求详见“第五章 </w:t>
      </w:r>
      <w:r>
        <w:rPr>
          <w:rFonts w:hint="eastAsia" w:eastAsia="宋体" w:cs="宋体"/>
          <w:b w:val="0"/>
          <w:bCs w:val="0"/>
          <w:color w:val="auto"/>
          <w:kern w:val="0"/>
          <w:sz w:val="21"/>
          <w:szCs w:val="21"/>
          <w:highlight w:val="none"/>
          <w:lang w:val="en-US" w:eastAsia="zh-CN"/>
        </w:rPr>
        <w:t>服务内容及要求</w:t>
      </w:r>
      <w:r>
        <w:rPr>
          <w:rFonts w:hint="eastAsia" w:eastAsia="宋体" w:cs="宋体"/>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27C4A3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5.1服务要求：满足相关专业现行规范要求，符合采购人验收的有关要求；</w:t>
      </w:r>
    </w:p>
    <w:p w14:paraId="0D0CC5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lang w:val="en-US" w:eastAsia="zh-CN"/>
        </w:rPr>
      </w:pPr>
      <w:r>
        <w:rPr>
          <w:rFonts w:hint="eastAsia" w:ascii="宋体" w:hAnsi="宋体" w:eastAsia="宋体" w:cs="宋体"/>
          <w:color w:val="auto"/>
          <w:sz w:val="21"/>
          <w:szCs w:val="21"/>
          <w:highlight w:val="none"/>
          <w:lang w:val="en-US" w:eastAsia="zh-CN"/>
        </w:rPr>
        <w:t>5.2服务期限：</w:t>
      </w:r>
      <w:r>
        <w:rPr>
          <w:rFonts w:hint="eastAsia" w:ascii="宋体" w:hAnsi="宋体" w:eastAsia="宋体" w:cs="宋体"/>
          <w:szCs w:val="21"/>
          <w:lang w:eastAsia="zh-CN"/>
        </w:rPr>
        <w:t>合同签订后3个月内完成系统安装、调试并投入使用</w:t>
      </w:r>
      <w:r>
        <w:rPr>
          <w:rFonts w:hint="eastAsia" w:ascii="宋体" w:hAnsi="宋体" w:cs="宋体"/>
          <w:color w:val="auto"/>
          <w:kern w:val="0"/>
          <w:szCs w:val="21"/>
          <w:lang w:val="en-US" w:eastAsia="zh-CN"/>
        </w:rPr>
        <w:t>；</w:t>
      </w:r>
    </w:p>
    <w:p w14:paraId="5CC4B0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5.3质保期：1年。</w:t>
      </w:r>
    </w:p>
    <w:p w14:paraId="5A56752C">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合同履行期限：同服务期限。</w:t>
      </w:r>
    </w:p>
    <w:p w14:paraId="385A847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7、本项目是否接受联合体投标：否。</w:t>
      </w:r>
    </w:p>
    <w:p w14:paraId="13AC002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p>
    <w:p w14:paraId="08918D9C">
      <w:pPr>
        <w:adjustRightInd w:val="0"/>
        <w:snapToGrid w:val="0"/>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lang w:val="en-US" w:eastAsia="zh-CN"/>
        </w:rPr>
        <w:t>9、是否专门面向中小企业：是。</w:t>
      </w:r>
    </w:p>
    <w:p w14:paraId="7B0CB301">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7CACBE10">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1、满足《中华人民共和国政府采购法》第二十二条规定。</w:t>
      </w:r>
    </w:p>
    <w:p w14:paraId="06216B32">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2、落实政府采购政策满足的资格要求</w:t>
      </w:r>
      <w:r>
        <w:rPr>
          <w:rFonts w:hint="eastAsia" w:ascii="宋体" w:hAnsi="宋体" w:eastAsia="宋体" w:cs="宋体"/>
          <w:b/>
          <w:bCs/>
          <w:color w:val="auto"/>
          <w:sz w:val="21"/>
          <w:szCs w:val="21"/>
          <w:highlight w:val="none"/>
          <w:lang w:eastAsia="zh-CN"/>
        </w:rPr>
        <w:t>：</w:t>
      </w:r>
    </w:p>
    <w:p w14:paraId="73B003B0">
      <w:pPr>
        <w:pStyle w:val="49"/>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val="0"/>
          <w:bCs w:val="0"/>
          <w:color w:val="auto"/>
          <w:spacing w:val="8"/>
          <w:sz w:val="21"/>
          <w:szCs w:val="21"/>
          <w:highlight w:val="none"/>
          <w:lang w:eastAsia="zh-CN"/>
        </w:rPr>
      </w:pPr>
      <w:r>
        <w:rPr>
          <w:rFonts w:hint="eastAsia" w:ascii="宋体" w:hAnsi="宋体" w:cs="宋体"/>
          <w:b w:val="0"/>
          <w:bCs w:val="0"/>
          <w:color w:val="auto"/>
          <w:sz w:val="21"/>
          <w:szCs w:val="21"/>
          <w:highlight w:val="none"/>
          <w:lang w:val="en-US" w:eastAsia="zh-CN"/>
        </w:rPr>
        <w:t>2.1</w:t>
      </w:r>
      <w:r>
        <w:rPr>
          <w:rFonts w:hint="eastAsia" w:ascii="宋体" w:hAnsi="宋体" w:cs="宋体" w:eastAsiaTheme="minorEastAsia"/>
          <w:color w:val="auto"/>
          <w:kern w:val="2"/>
          <w:sz w:val="21"/>
          <w:szCs w:val="21"/>
          <w:highlight w:val="none"/>
          <w:lang w:val="en-US" w:eastAsia="zh-CN" w:bidi="ar-SA"/>
        </w:rPr>
        <w:t>落实政府采购政策满足的资格要求：</w:t>
      </w:r>
      <w:r>
        <w:rPr>
          <w:rFonts w:hint="eastAsia" w:ascii="宋体" w:hAnsi="宋体" w:cs="宋体" w:eastAsiaTheme="minorEastAsia"/>
          <w:b/>
          <w:bCs/>
          <w:color w:val="auto"/>
          <w:kern w:val="2"/>
          <w:sz w:val="21"/>
          <w:szCs w:val="21"/>
          <w:highlight w:val="none"/>
          <w:lang w:val="en-US" w:eastAsia="zh-CN" w:bidi="ar-SA"/>
        </w:rPr>
        <w:t>参加本项目的中小企业须提供《中小企业声明函》（格式详见招标文件内《中小企业声明函》样本），不符合要求的声明函或未提供的将视为不符合资格要求。本项目落实节约能源、保护环境、扶持不发达地区和少数民族地区、促进中小微企业、监狱企业及残疾人福利性单位发展等政府采购政策。</w:t>
      </w:r>
    </w:p>
    <w:p w14:paraId="4011FBA4">
      <w:pPr>
        <w:pStyle w:val="24"/>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spacing w:val="8"/>
          <w:sz w:val="21"/>
          <w:szCs w:val="21"/>
          <w:highlight w:val="none"/>
          <w:lang w:val="en-US" w:eastAsia="zh-CN"/>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BB71D3A">
      <w:pPr>
        <w:keepNext w:val="0"/>
        <w:keepLines w:val="0"/>
        <w:pageBreakBefore w:val="0"/>
        <w:numPr>
          <w:ilvl w:val="0"/>
          <w:numId w:val="3"/>
        </w:numPr>
        <w:kinsoku/>
        <w:overflowPunct/>
        <w:topLinePunct w:val="0"/>
        <w:autoSpaceDE/>
        <w:autoSpaceDN/>
        <w:bidi w:val="0"/>
        <w:snapToGrid w:val="0"/>
        <w:spacing w:line="360"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本项目的特定资格要求：</w:t>
      </w:r>
      <w:r>
        <w:rPr>
          <w:rFonts w:hint="eastAsia" w:ascii="宋体" w:hAnsi="宋体" w:cs="宋体"/>
          <w:b w:val="0"/>
          <w:bCs w:val="0"/>
          <w:color w:val="auto"/>
          <w:sz w:val="21"/>
          <w:szCs w:val="21"/>
          <w:highlight w:val="none"/>
          <w:lang w:val="en-US" w:eastAsia="zh-CN"/>
        </w:rPr>
        <w:t>无</w:t>
      </w:r>
      <w:r>
        <w:rPr>
          <w:rFonts w:hint="eastAsia" w:ascii="宋体" w:hAnsi="宋体" w:eastAsia="宋体" w:cs="宋体"/>
          <w:b w:val="0"/>
          <w:bCs w:val="0"/>
          <w:color w:val="auto"/>
          <w:sz w:val="21"/>
          <w:szCs w:val="21"/>
          <w:highlight w:val="none"/>
          <w:lang w:val="en-US" w:eastAsia="zh-CN"/>
        </w:rPr>
        <w:t>。</w:t>
      </w:r>
    </w:p>
    <w:p w14:paraId="5D827C4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14:paraId="3B2D397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w:t>
      </w:r>
    </w:p>
    <w:p w14:paraId="107E3052">
      <w:pPr>
        <w:keepNext w:val="0"/>
        <w:keepLines w:val="0"/>
        <w:pageBreakBefore w:val="0"/>
        <w:widowControl/>
        <w:suppressLineNumbers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4.2本项目信用承诺（详见下述要求）。</w:t>
      </w:r>
    </w:p>
    <w:p w14:paraId="06A52CA8">
      <w:pPr>
        <w:keepNext w:val="0"/>
        <w:keepLines w:val="0"/>
        <w:pageBreakBefore w:val="0"/>
        <w:widowControl/>
        <w:suppressLineNumbers w:val="0"/>
        <w:kinsoku/>
        <w:overflowPunct/>
        <w:topLinePunct w:val="0"/>
        <w:autoSpaceDE/>
        <w:autoSpaceDN/>
        <w:bidi w:val="0"/>
        <w:snapToGrid w:val="0"/>
        <w:spacing w:line="360" w:lineRule="auto"/>
        <w:ind w:firstLine="210" w:firstLineChars="1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（一）在本项目政府采购活动中，</w:t>
      </w:r>
      <w:r>
        <w:rPr>
          <w:rFonts w:hint="eastAsia" w:ascii="宋体" w:hAnsi="宋体" w:cs="宋体"/>
          <w:b w:val="0"/>
          <w:bCs w:val="0"/>
          <w:color w:val="auto"/>
          <w:sz w:val="21"/>
          <w:szCs w:val="21"/>
          <w:highlight w:val="none"/>
          <w:lang w:val="en-US" w:eastAsia="zh-CN"/>
        </w:rPr>
        <w:t>供应商在投标（响应）时，可对照资格要求进行自主核对，确定符合资格要求的，可按照规定提供相关承诺函（详见响应文件“七、资格证明材料”附件），</w:t>
      </w:r>
      <w:r>
        <w:rPr>
          <w:rFonts w:hint="eastAsia" w:ascii="宋体" w:hAnsi="宋体" w:eastAsia="宋体" w:cs="宋体"/>
          <w:b w:val="0"/>
          <w:bCs w:val="0"/>
          <w:color w:val="auto"/>
          <w:kern w:val="0"/>
          <w:sz w:val="21"/>
          <w:szCs w:val="21"/>
          <w:highlight w:val="none"/>
          <w:lang w:val="en-US" w:eastAsia="zh-CN" w:bidi="ar"/>
        </w:rPr>
        <w:t>供应商应在资格审查环节提供满足相应条件的书面承诺书。</w:t>
      </w:r>
    </w:p>
    <w:p w14:paraId="19B14177">
      <w:pPr>
        <w:pStyle w:val="23"/>
        <w:widowControl w:val="0"/>
        <w:numPr>
          <w:ilvl w:val="0"/>
          <w:numId w:val="0"/>
        </w:numPr>
        <w:snapToGrid w:val="0"/>
        <w:spacing w:before="0" w:beforeAutospacing="0" w:after="0" w:afterAutospacing="0" w:line="360" w:lineRule="auto"/>
        <w:ind w:firstLine="420" w:firstLineChars="200"/>
        <w:rPr>
          <w:rFonts w:hint="eastAsia" w:eastAsia="宋体"/>
          <w:color w:val="auto"/>
          <w:sz w:val="21"/>
          <w:szCs w:val="21"/>
          <w:highlight w:val="none"/>
        </w:rPr>
      </w:pPr>
      <w:r>
        <w:rPr>
          <w:rFonts w:hint="eastAsia" w:eastAsia="宋体"/>
          <w:color w:val="auto"/>
          <w:sz w:val="21"/>
          <w:szCs w:val="21"/>
          <w:highlight w:val="none"/>
        </w:rPr>
        <w:t>①具有独立承担民事责任的能力，具有有效的营业执照；</w:t>
      </w:r>
    </w:p>
    <w:p w14:paraId="45A74D57">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②符合国家相关规定的财务状况报告（</w:t>
      </w:r>
      <w:r>
        <w:rPr>
          <w:rFonts w:hint="eastAsia" w:eastAsia="宋体"/>
          <w:color w:val="auto"/>
          <w:sz w:val="21"/>
          <w:szCs w:val="21"/>
          <w:highlight w:val="none"/>
          <w:lang w:val="en-US" w:eastAsia="zh-CN"/>
        </w:rPr>
        <w:t>2024年度财务审计报告或其基本开户银行出具的资信证明</w:t>
      </w:r>
      <w:r>
        <w:rPr>
          <w:rFonts w:hint="eastAsia" w:eastAsia="宋体"/>
          <w:color w:val="auto"/>
          <w:sz w:val="21"/>
          <w:szCs w:val="21"/>
          <w:highlight w:val="none"/>
        </w:rPr>
        <w:t>）；</w:t>
      </w:r>
    </w:p>
    <w:p w14:paraId="0361B3BA">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③依法缴纳税收的证明材料（</w:t>
      </w:r>
      <w:r>
        <w:rPr>
          <w:rFonts w:hint="eastAsia" w:eastAsia="宋体"/>
          <w:color w:val="auto"/>
          <w:sz w:val="21"/>
          <w:szCs w:val="21"/>
          <w:highlight w:val="none"/>
          <w:lang w:eastAsia="zh-CN"/>
        </w:rPr>
        <w:t>提供202</w:t>
      </w:r>
      <w:r>
        <w:rPr>
          <w:rFonts w:hint="eastAsia" w:eastAsia="宋体"/>
          <w:color w:val="auto"/>
          <w:sz w:val="21"/>
          <w:szCs w:val="21"/>
          <w:highlight w:val="none"/>
          <w:lang w:val="en-US" w:eastAsia="zh-CN"/>
        </w:rPr>
        <w:t>5</w:t>
      </w:r>
      <w:r>
        <w:rPr>
          <w:rFonts w:hint="eastAsia" w:eastAsia="宋体"/>
          <w:color w:val="auto"/>
          <w:sz w:val="21"/>
          <w:szCs w:val="21"/>
          <w:highlight w:val="none"/>
          <w:lang w:eastAsia="zh-CN"/>
        </w:rPr>
        <w:t>年以来任意3个月纳税证明，新成立公司不足3个月的</w:t>
      </w:r>
      <w:r>
        <w:rPr>
          <w:rFonts w:hint="eastAsia" w:eastAsia="宋体"/>
          <w:color w:val="auto"/>
          <w:sz w:val="21"/>
          <w:szCs w:val="21"/>
          <w:highlight w:val="none"/>
        </w:rPr>
        <w:t>，按已缴纳月份提供）；</w:t>
      </w:r>
    </w:p>
    <w:p w14:paraId="23CC0FE0">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④依法缴纳社会保障资金的证明材料（</w:t>
      </w:r>
      <w:r>
        <w:rPr>
          <w:rFonts w:hint="eastAsia" w:eastAsia="宋体"/>
          <w:color w:val="auto"/>
          <w:sz w:val="21"/>
          <w:szCs w:val="21"/>
          <w:highlight w:val="none"/>
          <w:lang w:eastAsia="zh-CN"/>
        </w:rPr>
        <w:t>提供</w:t>
      </w:r>
      <w:r>
        <w:rPr>
          <w:rFonts w:hint="eastAsia" w:eastAsia="宋体"/>
          <w:color w:val="auto"/>
          <w:sz w:val="21"/>
          <w:szCs w:val="21"/>
          <w:highlight w:val="none"/>
          <w:lang w:val="en-US" w:eastAsia="zh-CN"/>
        </w:rPr>
        <w:t>2025年以来任意3个月缴纳社会保障证明</w:t>
      </w:r>
      <w:r>
        <w:rPr>
          <w:rFonts w:hint="eastAsia" w:eastAsia="宋体"/>
          <w:color w:val="auto"/>
          <w:sz w:val="21"/>
          <w:szCs w:val="21"/>
          <w:highlight w:val="none"/>
        </w:rPr>
        <w:t>，新成立公司不足3个月的，按已缴纳月份提供）；</w:t>
      </w:r>
    </w:p>
    <w:p w14:paraId="2EAADD8C">
      <w:pPr>
        <w:pStyle w:val="23"/>
        <w:widowControl w:val="0"/>
        <w:snapToGrid w:val="0"/>
        <w:spacing w:before="0" w:beforeAutospacing="0" w:after="0" w:afterAutospacing="0" w:line="360" w:lineRule="auto"/>
        <w:ind w:firstLine="420"/>
        <w:rPr>
          <w:rFonts w:eastAsia="宋体"/>
          <w:color w:val="auto"/>
          <w:sz w:val="21"/>
          <w:szCs w:val="21"/>
          <w:highlight w:val="none"/>
        </w:rPr>
      </w:pPr>
      <w:r>
        <w:rPr>
          <w:rFonts w:hint="eastAsia" w:ascii="宋体" w:hAnsi="宋体" w:eastAsia="宋体" w:cs="宋体"/>
          <w:color w:val="auto"/>
          <w:sz w:val="21"/>
          <w:szCs w:val="21"/>
          <w:highlight w:val="none"/>
        </w:rPr>
        <w:t>⑤</w:t>
      </w:r>
      <w:r>
        <w:rPr>
          <w:rFonts w:hint="eastAsia" w:eastAsia="宋体"/>
          <w:color w:val="auto"/>
          <w:sz w:val="21"/>
          <w:szCs w:val="21"/>
          <w:highlight w:val="none"/>
        </w:rPr>
        <w:t>具有履行合同所必需的设备和专业技术能力（格式自拟，并加盖本单位公章）；</w:t>
      </w:r>
    </w:p>
    <w:p w14:paraId="74C947BC">
      <w:pPr>
        <w:pStyle w:val="25"/>
        <w:ind w:left="0" w:leftChars="0" w:firstLine="420" w:firstLineChars="200"/>
        <w:rPr>
          <w:rFonts w:hint="eastAsia" w:ascii="宋体" w:hAnsi="宋体" w:eastAsia="宋体" w:cs="宋体"/>
          <w:color w:val="auto"/>
          <w:spacing w:val="8"/>
          <w:szCs w:val="21"/>
          <w:highlight w:val="none"/>
        </w:rPr>
      </w:pPr>
      <w:r>
        <w:rPr>
          <w:rFonts w:hint="eastAsia" w:ascii="宋体" w:hAnsi="宋体" w:eastAsia="宋体" w:cs="宋体"/>
          <w:color w:val="auto"/>
          <w:highlight w:val="none"/>
        </w:rPr>
        <w:t>⑥</w:t>
      </w:r>
      <w:r>
        <w:rPr>
          <w:rFonts w:hint="eastAsia" w:ascii="宋体" w:hAnsi="宋体" w:eastAsia="宋体" w:cs="宋体"/>
          <w:color w:val="auto"/>
          <w:spacing w:val="8"/>
          <w:szCs w:val="21"/>
          <w:highlight w:val="none"/>
        </w:rPr>
        <w:t>参加政府采购活动前三年内，在经营活动中没有重大违法记录（格式自拟，并加盖本单位公章）；</w:t>
      </w:r>
    </w:p>
    <w:p w14:paraId="2516B637">
      <w:pPr>
        <w:pStyle w:val="25"/>
        <w:ind w:left="0" w:leftChars="0" w:firstLine="452" w:firstLineChars="20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⑦法律、行政法规规定的其他条件；</w:t>
      </w:r>
    </w:p>
    <w:p w14:paraId="77DDF6CE">
      <w:pPr>
        <w:pStyle w:val="49"/>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三、获取采购文件</w:t>
      </w:r>
    </w:p>
    <w:p w14:paraId="598099EA">
      <w:pPr>
        <w:snapToGrid w:val="0"/>
        <w:spacing w:line="360" w:lineRule="auto"/>
        <w:ind w:firstLine="420"/>
        <w:jc w:val="left"/>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shd w:val="clear"/>
        </w:rPr>
        <w:t>1、时间：</w:t>
      </w:r>
      <w:r>
        <w:rPr>
          <w:rFonts w:hint="eastAsia" w:ascii="宋体" w:hAnsi="宋体" w:cs="宋体"/>
          <w:color w:val="auto"/>
          <w:kern w:val="0"/>
          <w:szCs w:val="21"/>
          <w:highlight w:val="none"/>
          <w:u w:val="none"/>
        </w:rPr>
        <w:t>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10</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16</w:t>
      </w:r>
      <w:r>
        <w:rPr>
          <w:rFonts w:hint="eastAsia" w:ascii="宋体" w:hAnsi="宋体" w:cs="宋体"/>
          <w:color w:val="auto"/>
          <w:kern w:val="0"/>
          <w:szCs w:val="21"/>
          <w:highlight w:val="none"/>
          <w:u w:val="none"/>
        </w:rPr>
        <w:t>日至202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10</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22</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rPr>
        <w:t>，</w:t>
      </w:r>
      <w:r>
        <w:rPr>
          <w:rFonts w:hint="eastAsia" w:ascii="宋体" w:hAnsi="宋体" w:cs="宋体"/>
          <w:color w:val="auto"/>
          <w:kern w:val="0"/>
          <w:szCs w:val="21"/>
          <w:highlight w:val="none"/>
          <w:shd w:val="clear"/>
        </w:rPr>
        <w:t>每天上午00</w:t>
      </w:r>
      <w:r>
        <w:rPr>
          <w:rFonts w:hint="eastAsia" w:ascii="宋体" w:hAnsi="宋体" w:cs="宋体"/>
          <w:color w:val="auto"/>
          <w:kern w:val="0"/>
          <w:szCs w:val="21"/>
          <w:highlight w:val="none"/>
        </w:rPr>
        <w:t>:00至12:00，下午12:01至23:59（北京时间，法定节假日除外）</w:t>
      </w:r>
      <w:r>
        <w:rPr>
          <w:rFonts w:hint="eastAsia" w:ascii="宋体" w:hAnsi="宋体" w:cs="宋体"/>
          <w:color w:val="auto"/>
          <w:kern w:val="0"/>
          <w:szCs w:val="21"/>
          <w:highlight w:val="none"/>
          <w:lang w:eastAsia="zh-CN"/>
        </w:rPr>
        <w:t>。</w:t>
      </w:r>
    </w:p>
    <w:p w14:paraId="218EBF02">
      <w:pPr>
        <w:keepNext w:val="0"/>
        <w:keepLines w:val="0"/>
        <w:pageBreakBefore w:val="0"/>
        <w:widowControl w:val="0"/>
        <w:kinsoku/>
        <w:wordWrap w:val="0"/>
        <w:overflowPunct/>
        <w:topLinePunct w:val="0"/>
        <w:autoSpaceDE/>
        <w:autoSpaceDN/>
        <w:bidi w:val="0"/>
        <w:adjustRightInd/>
        <w:snapToGrid w:val="0"/>
        <w:spacing w:line="360" w:lineRule="auto"/>
        <w:ind w:firstLine="420"/>
        <w:jc w:val="left"/>
        <w:textAlignment w:val="auto"/>
        <w:rPr>
          <w:rFonts w:hint="eastAsia" w:ascii="宋体" w:hAnsi="宋体" w:cs="宋体" w:eastAsiaTheme="minorEastAsia"/>
          <w:color w:val="auto"/>
          <w:kern w:val="0"/>
          <w:szCs w:val="21"/>
          <w:highlight w:val="none"/>
          <w:u w:val="single"/>
          <w:lang w:eastAsia="zh-CN"/>
        </w:rPr>
      </w:pPr>
      <w:r>
        <w:rPr>
          <w:rFonts w:hint="eastAsia" w:ascii="宋体" w:hAnsi="宋体" w:cs="宋体"/>
          <w:color w:val="auto"/>
          <w:kern w:val="0"/>
          <w:szCs w:val="21"/>
          <w:highlight w:val="none"/>
        </w:rPr>
        <w:t>2、地点：</w:t>
      </w:r>
      <w:r>
        <w:rPr>
          <w:rFonts w:hint="eastAsia" w:ascii="宋体" w:hAnsi="宋体" w:cs="宋体"/>
          <w:color w:val="auto"/>
          <w:kern w:val="0"/>
          <w:szCs w:val="21"/>
          <w:highlight w:val="none"/>
          <w:u w:val="none"/>
        </w:rPr>
        <w:t>登录“全国公共资源交易平台（河南省·信阳市）（https://ggzyjy.xinyang.gov.cn/）”网站，凭办理的企业身份认证锁（CA数字证书）登录会员系统进行网上投标</w:t>
      </w:r>
      <w:r>
        <w:rPr>
          <w:rFonts w:hint="eastAsia" w:ascii="宋体" w:hAnsi="宋体" w:cs="宋体"/>
          <w:color w:val="auto"/>
          <w:kern w:val="0"/>
          <w:szCs w:val="21"/>
          <w:highlight w:val="none"/>
          <w:u w:val="none"/>
          <w:lang w:eastAsia="zh-CN"/>
        </w:rPr>
        <w:t>。</w:t>
      </w:r>
    </w:p>
    <w:p w14:paraId="0CFD87BC">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3、方式：</w:t>
      </w:r>
      <w:r>
        <w:rPr>
          <w:rFonts w:hint="eastAsia" w:ascii="宋体" w:hAnsi="宋体" w:cs="宋体"/>
          <w:color w:val="auto"/>
          <w:szCs w:val="21"/>
          <w:lang w:val="en-US" w:eastAsia="zh-CN"/>
        </w:rPr>
        <w:t>详见“七、其他补充事宜”；</w:t>
      </w:r>
    </w:p>
    <w:p w14:paraId="655F1BCE">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4、售价：0元。</w:t>
      </w:r>
    </w:p>
    <w:p w14:paraId="38D64C92">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四、投标截止时间及地点</w:t>
      </w:r>
    </w:p>
    <w:p w14:paraId="1A3EA143">
      <w:pPr>
        <w:pStyle w:val="23"/>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none"/>
          <w:lang w:val="en-US" w:eastAsia="zh-CN" w:bidi="ar-SA"/>
        </w:rPr>
        <w:t>2025年</w:t>
      </w:r>
      <w:r>
        <w:rPr>
          <w:rFonts w:hint="eastAsia" w:cs="宋体"/>
          <w:color w:val="auto"/>
          <w:kern w:val="0"/>
          <w:sz w:val="21"/>
          <w:szCs w:val="21"/>
          <w:highlight w:val="none"/>
          <w:u w:val="none"/>
          <w:lang w:val="en-US" w:eastAsia="zh-CN" w:bidi="ar-SA"/>
        </w:rPr>
        <w:t>10</w:t>
      </w:r>
      <w:r>
        <w:rPr>
          <w:rFonts w:hint="eastAsia" w:ascii="宋体" w:hAnsi="宋体" w:cs="宋体" w:eastAsiaTheme="minorEastAsia"/>
          <w:color w:val="auto"/>
          <w:kern w:val="0"/>
          <w:sz w:val="21"/>
          <w:szCs w:val="21"/>
          <w:highlight w:val="none"/>
          <w:u w:val="none"/>
          <w:lang w:val="en-US" w:eastAsia="zh-CN" w:bidi="ar-SA"/>
        </w:rPr>
        <w:t>月</w:t>
      </w:r>
      <w:r>
        <w:rPr>
          <w:rFonts w:hint="eastAsia" w:cs="宋体"/>
          <w:color w:val="auto"/>
          <w:kern w:val="0"/>
          <w:sz w:val="21"/>
          <w:szCs w:val="21"/>
          <w:highlight w:val="none"/>
          <w:u w:val="none"/>
          <w:lang w:val="en-US" w:eastAsia="zh-CN" w:bidi="ar-SA"/>
        </w:rPr>
        <w:t>27</w:t>
      </w:r>
      <w:r>
        <w:rPr>
          <w:rFonts w:hint="eastAsia" w:ascii="宋体" w:hAnsi="宋体" w:cs="宋体" w:eastAsiaTheme="minorEastAsia"/>
          <w:color w:val="auto"/>
          <w:kern w:val="0"/>
          <w:sz w:val="21"/>
          <w:szCs w:val="21"/>
          <w:highlight w:val="none"/>
          <w:u w:val="none"/>
          <w:lang w:val="en-US" w:eastAsia="zh-CN" w:bidi="ar-SA"/>
        </w:rPr>
        <w:t>日09时</w:t>
      </w:r>
      <w:r>
        <w:rPr>
          <w:rFonts w:hint="eastAsia" w:cs="宋体"/>
          <w:color w:val="auto"/>
          <w:kern w:val="0"/>
          <w:sz w:val="21"/>
          <w:szCs w:val="21"/>
          <w:highlight w:val="none"/>
          <w:u w:val="none"/>
          <w:lang w:val="en-US" w:eastAsia="zh-CN" w:bidi="ar-SA"/>
        </w:rPr>
        <w:t>0</w:t>
      </w:r>
      <w:r>
        <w:rPr>
          <w:rFonts w:hint="eastAsia" w:ascii="宋体" w:hAnsi="宋体" w:cs="宋体" w:eastAsiaTheme="minorEastAsia"/>
          <w:color w:val="auto"/>
          <w:kern w:val="0"/>
          <w:sz w:val="21"/>
          <w:szCs w:val="21"/>
          <w:highlight w:val="none"/>
          <w:u w:val="none"/>
          <w:lang w:val="en-US" w:eastAsia="zh-CN" w:bidi="ar-SA"/>
        </w:rPr>
        <w:t>0分</w:t>
      </w:r>
      <w:r>
        <w:rPr>
          <w:rFonts w:hint="eastAsia" w:eastAsia="宋体"/>
          <w:color w:val="auto"/>
          <w:sz w:val="21"/>
          <w:szCs w:val="21"/>
          <w:highlight w:val="none"/>
        </w:rPr>
        <w:t>（北京时间）。</w:t>
      </w:r>
    </w:p>
    <w:p w14:paraId="54880224">
      <w:pPr>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2、地点：供应商必须在投标文件提交截止时间前通过信阳市公共资源交易中心电子招投标系统上传加密的电子投标文件(*.XYTF格式)。注：加密电子投标文件逾期上传采购人不予受理。</w:t>
      </w:r>
    </w:p>
    <w:p w14:paraId="3226D2B0">
      <w:pPr>
        <w:widowControl/>
        <w:snapToGrid w:val="0"/>
        <w:spacing w:line="360" w:lineRule="auto"/>
        <w:ind w:firstLine="422"/>
        <w:rPr>
          <w:rFonts w:hint="default" w:ascii="宋体" w:hAnsi="宋体" w:cs="宋体" w:eastAsiaTheme="minorEastAsia"/>
          <w:b/>
          <w:bCs/>
          <w:color w:val="auto"/>
          <w:kern w:val="0"/>
          <w:szCs w:val="21"/>
          <w:highlight w:val="none"/>
          <w:lang w:val="en-US" w:eastAsia="zh-CN"/>
        </w:rPr>
      </w:pPr>
      <w:r>
        <w:rPr>
          <w:rFonts w:hint="eastAsia" w:ascii="宋体" w:hAnsi="宋体" w:cs="宋体"/>
          <w:b/>
          <w:bCs/>
          <w:color w:val="auto"/>
          <w:kern w:val="0"/>
          <w:szCs w:val="21"/>
          <w:highlight w:val="none"/>
        </w:rPr>
        <w:t>五、</w:t>
      </w:r>
      <w:r>
        <w:rPr>
          <w:rFonts w:hint="eastAsia" w:ascii="宋体" w:hAnsi="宋体" w:cs="宋体"/>
          <w:b/>
          <w:bCs/>
          <w:color w:val="auto"/>
          <w:kern w:val="0"/>
          <w:szCs w:val="21"/>
          <w:highlight w:val="none"/>
          <w:lang w:eastAsia="zh-CN"/>
        </w:rPr>
        <w:t>开标</w:t>
      </w:r>
      <w:r>
        <w:rPr>
          <w:rFonts w:hint="eastAsia" w:ascii="宋体" w:hAnsi="宋体" w:cs="宋体"/>
          <w:b/>
          <w:bCs/>
          <w:color w:val="auto"/>
          <w:kern w:val="0"/>
          <w:szCs w:val="21"/>
          <w:highlight w:val="none"/>
          <w:lang w:val="en-US" w:eastAsia="zh-CN"/>
        </w:rPr>
        <w:t>时间及地点</w:t>
      </w:r>
    </w:p>
    <w:p w14:paraId="403121A3">
      <w:pPr>
        <w:pStyle w:val="23"/>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highlight w:val="none"/>
        </w:rPr>
      </w:pPr>
      <w:r>
        <w:rPr>
          <w:rFonts w:hint="eastAsia" w:eastAsia="宋体"/>
          <w:color w:val="auto"/>
          <w:sz w:val="21"/>
          <w:szCs w:val="21"/>
          <w:highlight w:val="none"/>
        </w:rPr>
        <w:t>1、时间：</w:t>
      </w:r>
      <w:r>
        <w:rPr>
          <w:rFonts w:hint="eastAsia" w:ascii="宋体" w:hAnsi="宋体" w:cs="宋体" w:eastAsiaTheme="minorEastAsia"/>
          <w:color w:val="auto"/>
          <w:kern w:val="0"/>
          <w:sz w:val="21"/>
          <w:szCs w:val="21"/>
          <w:highlight w:val="none"/>
          <w:u w:val="none"/>
          <w:lang w:val="en-US" w:eastAsia="zh-CN" w:bidi="ar-SA"/>
        </w:rPr>
        <w:t>2025年</w:t>
      </w:r>
      <w:r>
        <w:rPr>
          <w:rFonts w:hint="eastAsia" w:cs="宋体"/>
          <w:color w:val="auto"/>
          <w:kern w:val="0"/>
          <w:sz w:val="21"/>
          <w:szCs w:val="21"/>
          <w:highlight w:val="none"/>
          <w:u w:val="none"/>
          <w:lang w:val="en-US" w:eastAsia="zh-CN" w:bidi="ar-SA"/>
        </w:rPr>
        <w:t>10</w:t>
      </w:r>
      <w:r>
        <w:rPr>
          <w:rFonts w:hint="eastAsia" w:ascii="宋体" w:hAnsi="宋体" w:cs="宋体" w:eastAsiaTheme="minorEastAsia"/>
          <w:color w:val="auto"/>
          <w:kern w:val="0"/>
          <w:sz w:val="21"/>
          <w:szCs w:val="21"/>
          <w:highlight w:val="none"/>
          <w:u w:val="none"/>
          <w:lang w:val="en-US" w:eastAsia="zh-CN" w:bidi="ar-SA"/>
        </w:rPr>
        <w:t>月</w:t>
      </w:r>
      <w:r>
        <w:rPr>
          <w:rFonts w:hint="eastAsia" w:cs="宋体"/>
          <w:color w:val="auto"/>
          <w:kern w:val="0"/>
          <w:sz w:val="21"/>
          <w:szCs w:val="21"/>
          <w:highlight w:val="none"/>
          <w:u w:val="none"/>
          <w:lang w:val="en-US" w:eastAsia="zh-CN" w:bidi="ar-SA"/>
        </w:rPr>
        <w:t>27</w:t>
      </w:r>
      <w:r>
        <w:rPr>
          <w:rFonts w:hint="eastAsia" w:ascii="宋体" w:hAnsi="宋体" w:cs="宋体" w:eastAsiaTheme="minorEastAsia"/>
          <w:color w:val="auto"/>
          <w:kern w:val="0"/>
          <w:sz w:val="21"/>
          <w:szCs w:val="21"/>
          <w:highlight w:val="none"/>
          <w:u w:val="none"/>
          <w:lang w:val="en-US" w:eastAsia="zh-CN" w:bidi="ar-SA"/>
        </w:rPr>
        <w:t>日09时</w:t>
      </w:r>
      <w:r>
        <w:rPr>
          <w:rFonts w:hint="eastAsia" w:cs="宋体"/>
          <w:color w:val="auto"/>
          <w:kern w:val="0"/>
          <w:sz w:val="21"/>
          <w:szCs w:val="21"/>
          <w:highlight w:val="none"/>
          <w:u w:val="none"/>
          <w:lang w:val="en-US" w:eastAsia="zh-CN" w:bidi="ar-SA"/>
        </w:rPr>
        <w:t>0</w:t>
      </w:r>
      <w:r>
        <w:rPr>
          <w:rFonts w:hint="eastAsia" w:ascii="宋体" w:hAnsi="宋体" w:cs="宋体" w:eastAsiaTheme="minorEastAsia"/>
          <w:color w:val="auto"/>
          <w:kern w:val="0"/>
          <w:sz w:val="21"/>
          <w:szCs w:val="21"/>
          <w:highlight w:val="none"/>
          <w:u w:val="none"/>
          <w:lang w:val="en-US" w:eastAsia="zh-CN" w:bidi="ar-SA"/>
        </w:rPr>
        <w:t>0分</w:t>
      </w:r>
      <w:r>
        <w:rPr>
          <w:rFonts w:hint="eastAsia" w:eastAsia="宋体"/>
          <w:color w:val="auto"/>
          <w:sz w:val="21"/>
          <w:szCs w:val="21"/>
          <w:highlight w:val="none"/>
        </w:rPr>
        <w:t>（北京时间）。</w:t>
      </w:r>
    </w:p>
    <w:p w14:paraId="2D51CE2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2、地点：信阳市公共资源交易中心AI机器人开标虚拟</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 xml:space="preserve">厅。  </w:t>
      </w:r>
    </w:p>
    <w:p w14:paraId="7A576D0B">
      <w:pPr>
        <w:widowControl/>
        <w:snapToGrid w:val="0"/>
        <w:spacing w:line="360" w:lineRule="auto"/>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六、发布公告的媒介及招标公告期限</w:t>
      </w:r>
    </w:p>
    <w:p w14:paraId="0FFCE09A">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本次招标公告在《河南省政府采购网》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《全国公共资源交易平台（河南省·信阳市）》网上发布，招标公告期限为五个工作日。</w:t>
      </w:r>
    </w:p>
    <w:p w14:paraId="12A52F8F">
      <w:pPr>
        <w:pStyle w:val="9"/>
        <w:snapToGrid w:val="0"/>
        <w:spacing w:after="0"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七、其他补充事宜</w:t>
      </w:r>
    </w:p>
    <w:p w14:paraId="31A2BC3A">
      <w:pPr>
        <w:keepNext w:val="0"/>
        <w:keepLines w:val="0"/>
        <w:pageBreakBefore w:val="0"/>
        <w:widowControl/>
        <w:kinsoku/>
        <w:wordWrap w:val="0"/>
        <w:overflowPunct/>
        <w:topLinePunct w:val="0"/>
        <w:autoSpaceDE/>
        <w:autoSpaceDN/>
        <w:bidi w:val="0"/>
        <w:adjustRightInd/>
        <w:snapToGrid w:val="0"/>
        <w:spacing w:line="360" w:lineRule="auto"/>
        <w:ind w:firstLine="42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本项目采用“不见面开标”交易方式，不见面开标大厅网址为https://ggzyjy.xinyang.gov.cn/BidOpening/bidhall/xinyang/login.html，供应商无需寄送和递交非加密的电子投标文件，无需到现场参加开标会议，无需到达现场提交原件资料。</w:t>
      </w:r>
    </w:p>
    <w:p w14:paraId="26A7CC62">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2、供应商应当在投标文件提交截止时间前，使用供应商CA数字证书登录不见面开标大厅，在线签到并准时参加开标活动，并在规定时间内完成投标文件解密、答疑澄清等。</w:t>
      </w:r>
    </w:p>
    <w:p w14:paraId="300C90F3">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3、逾期解密或者没有准时在线参加开标活动导致的一切后果供应商自行承担。</w:t>
      </w:r>
    </w:p>
    <w:p w14:paraId="053B4B0A">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4、不见面开标服务的具体事宜，请查阅信阳市公共资源交易中心网站首页—下载中心—信阳市不见面开标大厅系统操作手册。</w:t>
      </w:r>
    </w:p>
    <w:p w14:paraId="4A606B9C">
      <w:pPr>
        <w:widowControl/>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特别提示：供应商在线签到时，应如实准确的填写授权委托人的联系电话，开标当天请务必保证电话保持畅通。</w:t>
      </w:r>
    </w:p>
    <w:p w14:paraId="07E165BA">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7A6282B8">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5C7B695C">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74F11DA1">
      <w:pPr>
        <w:adjustRightInd w:val="0"/>
        <w:snapToGrid w:val="0"/>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请投标人下载招标文件后及时关注系统业务菜单（“答疑澄清文件领取”，“控制价文件领取”）内该项目是否有新的答疑澄清文件或控制价文件。如有请直接下载，不再另行通知。</w:t>
      </w:r>
    </w:p>
    <w:p w14:paraId="7F542685">
      <w:pPr>
        <w:adjustRightInd w:val="0"/>
        <w:snapToGrid w:val="0"/>
        <w:spacing w:line="360" w:lineRule="auto"/>
        <w:ind w:firstLine="420"/>
        <w:rPr>
          <w:rFonts w:hint="default" w:ascii="宋体" w:hAnsi="宋体" w:cs="宋体"/>
          <w:color w:val="auto"/>
          <w:szCs w:val="21"/>
          <w:lang w:val="en-US" w:eastAsia="zh-CN"/>
        </w:rPr>
      </w:pPr>
      <w:r>
        <w:rPr>
          <w:rFonts w:hint="eastAsia" w:ascii="宋体" w:hAnsi="宋体" w:cs="宋体"/>
          <w:color w:val="auto"/>
          <w:kern w:val="0"/>
          <w:szCs w:val="21"/>
          <w:highlight w:val="none"/>
          <w:lang w:val="en-US" w:eastAsia="zh-CN"/>
        </w:rPr>
        <w:t>9、代理服务费的收取参照河南省招标代理服务收费指导意见《豫招协（2023）002号》文件的规定</w:t>
      </w:r>
      <w:r>
        <w:rPr>
          <w:rFonts w:hint="eastAsia" w:ascii="宋体" w:hAnsi="宋体" w:cs="宋体"/>
          <w:color w:val="auto"/>
          <w:szCs w:val="21"/>
          <w:lang w:val="en-US" w:eastAsia="zh-CN"/>
        </w:rPr>
        <w:t>收取，收费金额为：17396.00元。</w:t>
      </w:r>
    </w:p>
    <w:p w14:paraId="3CCEBFF0">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10、监督部门信息</w:t>
      </w:r>
    </w:p>
    <w:p w14:paraId="250A4C00">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监督单位：信阳市平桥区政府采购管理办公室 </w:t>
      </w:r>
    </w:p>
    <w:p w14:paraId="34958259">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联系电话：0376-3562077</w:t>
      </w:r>
    </w:p>
    <w:p w14:paraId="3204E65F">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八、凡对本次招标提出询问，请按照以下方式联系</w:t>
      </w:r>
    </w:p>
    <w:p w14:paraId="3E2E7A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1、采购人信息</w:t>
      </w:r>
      <w:r>
        <w:rPr>
          <w:rFonts w:hint="eastAsia" w:ascii="宋体" w:hAnsi="宋体" w:cs="宋体"/>
          <w:color w:val="auto"/>
          <w:sz w:val="21"/>
          <w:szCs w:val="21"/>
          <w:highlight w:val="none"/>
          <w:lang w:val="en-US" w:eastAsia="zh-CN"/>
        </w:rPr>
        <w:t xml:space="preserve"> </w:t>
      </w:r>
    </w:p>
    <w:p w14:paraId="7740E4D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采 购 人：信阳市平桥区人民代表大会常务委员会办公室 </w:t>
      </w:r>
    </w:p>
    <w:p w14:paraId="7068D82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地    址：信阳市平桥区人民政府内 </w:t>
      </w:r>
    </w:p>
    <w:p w14:paraId="05B8DFB9">
      <w:pPr>
        <w:pStyle w:val="44"/>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hAnsi="宋体" w:cs="宋体"/>
          <w:color w:val="auto"/>
          <w:sz w:val="21"/>
          <w:szCs w:val="21"/>
          <w:highlight w:val="none"/>
          <w:lang w:val="en-US" w:eastAsia="zh-CN"/>
        </w:rPr>
        <w:t>吴先生</w:t>
      </w:r>
    </w:p>
    <w:p w14:paraId="4E55EE6C">
      <w:pPr>
        <w:pStyle w:val="44"/>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w:t>
      </w:r>
      <w:r>
        <w:rPr>
          <w:rFonts w:hint="eastAsia" w:hAnsi="宋体" w:cs="宋体"/>
          <w:color w:val="auto"/>
          <w:sz w:val="21"/>
          <w:szCs w:val="21"/>
          <w:highlight w:val="none"/>
          <w:lang w:val="en-US" w:eastAsia="zh-CN"/>
        </w:rPr>
        <w:t>0376-3771101</w:t>
      </w:r>
    </w:p>
    <w:p w14:paraId="412B2A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2、采购代理机构信息 </w:t>
      </w:r>
    </w:p>
    <w:p w14:paraId="7740530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default" w:ascii="宋体" w:hAnsi="宋体" w:cs="宋体"/>
          <w:color w:val="auto"/>
          <w:sz w:val="21"/>
          <w:szCs w:val="21"/>
          <w:highlight w:val="none"/>
          <w:lang w:val="en-US" w:eastAsia="zh-CN"/>
        </w:rPr>
        <w:t>中金泰富工程管理有限公司</w:t>
      </w:r>
    </w:p>
    <w:p w14:paraId="26EEAE1F">
      <w:pPr>
        <w:keepNext w:val="0"/>
        <w:keepLines w:val="0"/>
        <w:pageBreakBefore w:val="0"/>
        <w:kinsoku/>
        <w:wordWrap/>
        <w:overflowPunct/>
        <w:topLinePunct w:val="0"/>
        <w:autoSpaceDE/>
        <w:autoSpaceDN/>
        <w:bidi w:val="0"/>
        <w:adjustRightInd w:val="0"/>
        <w:snapToGrid w:val="0"/>
        <w:spacing w:line="360" w:lineRule="auto"/>
        <w:textAlignment w:val="auto"/>
        <w:rPr>
          <w:rStyle w:val="62"/>
          <w:rFonts w:hint="default" w:ascii="Times New Roman" w:hAnsi="Times New Roman"/>
          <w:b w:val="0"/>
          <w:i w:val="0"/>
          <w:caps w:val="0"/>
          <w:color w:val="auto"/>
          <w:spacing w:val="0"/>
          <w:w w:val="100"/>
          <w:kern w:val="2"/>
          <w:sz w:val="21"/>
          <w:szCs w:val="21"/>
          <w:highlight w:val="none"/>
          <w:lang w:val="en-US" w:eastAsia="zh-CN" w:bidi="ar-SA"/>
        </w:rPr>
      </w:pPr>
      <w:r>
        <w:rPr>
          <w:rFonts w:hint="eastAsia" w:ascii="宋体" w:hAnsi="宋体" w:cs="宋体"/>
          <w:color w:val="auto"/>
          <w:sz w:val="21"/>
          <w:szCs w:val="21"/>
          <w:highlight w:val="none"/>
          <w:lang w:val="en-US" w:eastAsia="zh-CN"/>
        </w:rPr>
        <w:t>地    址：</w:t>
      </w:r>
      <w:r>
        <w:rPr>
          <w:rFonts w:hint="eastAsia" w:ascii="宋体" w:hAnsi="宋体" w:cs="宋体"/>
          <w:color w:val="auto"/>
          <w:szCs w:val="21"/>
        </w:rPr>
        <w:t>郑州市红专路与经七路交叉口向北200米路东中亨大厦7楼712室</w:t>
      </w:r>
    </w:p>
    <w:p w14:paraId="2BCA413D">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 系 人：许先生</w:t>
      </w:r>
    </w:p>
    <w:p w14:paraId="7A994F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电    话：15518597586 </w:t>
      </w:r>
    </w:p>
    <w:p w14:paraId="751CC932">
      <w:pPr>
        <w:pStyle w:val="25"/>
        <w:numPr>
          <w:ilvl w:val="0"/>
          <w:numId w:val="0"/>
        </w:numPr>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3、项目联系方式</w:t>
      </w:r>
    </w:p>
    <w:p w14:paraId="74D674E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联系人：许先生</w:t>
      </w:r>
    </w:p>
    <w:p w14:paraId="058AF730">
      <w:pPr>
        <w:pStyle w:val="25"/>
        <w:ind w:left="0" w:leftChars="0" w:firstLine="420" w:firstLineChars="200"/>
        <w:rPr>
          <w:rFonts w:hint="default" w:ascii="宋体" w:hAnsi="宋体" w:eastAsia="宋体" w:cs="宋体"/>
          <w:bCs/>
          <w:color w:val="auto"/>
          <w:kern w:val="0"/>
          <w:szCs w:val="24"/>
          <w:highlight w:val="none"/>
          <w:lang w:val="en-US"/>
        </w:rPr>
      </w:pPr>
      <w:r>
        <w:rPr>
          <w:rFonts w:hint="eastAsia" w:ascii="宋体" w:hAnsi="宋体" w:cs="宋体"/>
          <w:color w:val="auto"/>
          <w:sz w:val="21"/>
          <w:szCs w:val="21"/>
          <w:highlight w:val="none"/>
          <w:lang w:val="en-US" w:eastAsia="zh-CN"/>
        </w:rPr>
        <w:t>联系电话：</w:t>
      </w:r>
      <w:bookmarkEnd w:id="20"/>
      <w:r>
        <w:rPr>
          <w:rFonts w:hint="eastAsia" w:ascii="宋体" w:hAnsi="宋体" w:cs="宋体"/>
          <w:color w:val="auto"/>
          <w:sz w:val="21"/>
          <w:szCs w:val="21"/>
          <w:highlight w:val="none"/>
          <w:lang w:val="en-US" w:eastAsia="zh-CN"/>
        </w:rPr>
        <w:t>15518597586</w:t>
      </w:r>
    </w:p>
    <w:p w14:paraId="67712A8D">
      <w:pPr>
        <w:rPr>
          <w:rFonts w:hint="eastAsia" w:ascii="宋体" w:hAnsi="宋体" w:cs="宋体"/>
          <w:b/>
          <w:bCs w:val="0"/>
          <w:color w:val="auto"/>
          <w:sz w:val="32"/>
          <w:highlight w:val="none"/>
        </w:rPr>
      </w:pPr>
      <w:r>
        <w:rPr>
          <w:rFonts w:hint="eastAsia" w:ascii="宋体" w:hAnsi="宋体" w:cs="宋体"/>
          <w:b/>
          <w:bCs w:val="0"/>
          <w:color w:val="auto"/>
          <w:sz w:val="32"/>
          <w:highlight w:val="none"/>
        </w:rPr>
        <w:br w:type="page"/>
      </w:r>
    </w:p>
    <w:p w14:paraId="5BDB629B">
      <w:pPr>
        <w:keepNext w:val="0"/>
        <w:keepLines w:val="0"/>
        <w:pageBreakBefore w:val="0"/>
        <w:widowControl/>
        <w:numPr>
          <w:ilvl w:val="0"/>
          <w:numId w:val="4"/>
        </w:numPr>
        <w:kinsoku/>
        <w:overflowPunct/>
        <w:topLinePunct w:val="0"/>
        <w:autoSpaceDE/>
        <w:autoSpaceDN/>
        <w:bidi w:val="0"/>
        <w:spacing w:line="360" w:lineRule="auto"/>
        <w:ind w:left="0" w:leftChars="0" w:firstLine="0" w:firstLineChars="0"/>
        <w:jc w:val="center"/>
        <w:textAlignment w:val="auto"/>
        <w:outlineLvl w:val="0"/>
        <w:rPr>
          <w:rFonts w:hint="eastAsia" w:ascii="宋体" w:hAnsi="宋体" w:cs="宋体"/>
          <w:b/>
          <w:bCs w:val="0"/>
          <w:color w:val="auto"/>
          <w:sz w:val="32"/>
          <w:highlight w:val="none"/>
        </w:rPr>
      </w:pPr>
      <w:r>
        <w:rPr>
          <w:rFonts w:hint="eastAsia" w:ascii="宋体" w:hAnsi="宋体" w:cs="宋体"/>
          <w:b/>
          <w:bCs w:val="0"/>
          <w:color w:val="auto"/>
          <w:sz w:val="32"/>
          <w:highlight w:val="none"/>
        </w:rPr>
        <w:t>供应商须知</w:t>
      </w:r>
      <w:bookmarkEnd w:id="13"/>
      <w:bookmarkEnd w:id="14"/>
      <w:bookmarkEnd w:id="15"/>
      <w:bookmarkEnd w:id="16"/>
      <w:bookmarkEnd w:id="17"/>
      <w:bookmarkEnd w:id="18"/>
      <w:bookmarkEnd w:id="19"/>
    </w:p>
    <w:p w14:paraId="2CA5D8F9">
      <w:pPr>
        <w:keepNext w:val="0"/>
        <w:keepLines w:val="0"/>
        <w:pageBreakBefore w:val="0"/>
        <w:widowControl/>
        <w:numPr>
          <w:ilvl w:val="0"/>
          <w:numId w:val="0"/>
        </w:numPr>
        <w:kinsoku/>
        <w:overflowPunct/>
        <w:topLinePunct w:val="0"/>
        <w:autoSpaceDE/>
        <w:autoSpaceDN/>
        <w:bidi w:val="0"/>
        <w:spacing w:line="360" w:lineRule="auto"/>
        <w:ind w:leftChars="0"/>
        <w:jc w:val="center"/>
        <w:textAlignment w:val="auto"/>
        <w:outlineLvl w:val="0"/>
        <w:rPr>
          <w:rFonts w:hint="eastAsia" w:ascii="宋体" w:hAnsi="宋体" w:cs="宋体"/>
          <w:b/>
          <w:bCs w:val="0"/>
          <w:color w:val="auto"/>
          <w:sz w:val="32"/>
          <w:highlight w:val="none"/>
          <w:lang w:eastAsia="zh-CN"/>
        </w:rPr>
      </w:pPr>
      <w:r>
        <w:rPr>
          <w:rFonts w:hint="eastAsia" w:ascii="宋体" w:hAnsi="宋体" w:cs="宋体"/>
          <w:b/>
          <w:bCs w:val="0"/>
          <w:color w:val="auto"/>
          <w:sz w:val="24"/>
          <w:szCs w:val="24"/>
          <w:lang w:val="en-US" w:eastAsia="zh-CN"/>
        </w:rPr>
        <w:t>供应商</w:t>
      </w:r>
      <w:r>
        <w:rPr>
          <w:rFonts w:hint="eastAsia" w:ascii="宋体" w:hAnsi="宋体" w:cs="宋体"/>
          <w:b/>
          <w:bCs w:val="0"/>
          <w:color w:val="auto"/>
          <w:sz w:val="24"/>
          <w:szCs w:val="24"/>
        </w:rPr>
        <w:t>须知前附表</w:t>
      </w:r>
    </w:p>
    <w:tbl>
      <w:tblPr>
        <w:tblStyle w:val="26"/>
        <w:tblW w:w="0" w:type="auto"/>
        <w:jc w:val="center"/>
        <w:tblLayout w:type="autofit"/>
        <w:tblCellMar>
          <w:top w:w="0" w:type="dxa"/>
          <w:left w:w="108" w:type="dxa"/>
          <w:bottom w:w="0" w:type="dxa"/>
          <w:right w:w="108" w:type="dxa"/>
        </w:tblCellMar>
      </w:tblPr>
      <w:tblGrid>
        <w:gridCol w:w="741"/>
        <w:gridCol w:w="1240"/>
        <w:gridCol w:w="7475"/>
      </w:tblGrid>
      <w:tr w14:paraId="075AB8AA">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9B1668">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27B110">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78FF108">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编  列  内  容</w:t>
            </w:r>
          </w:p>
        </w:tc>
      </w:tr>
      <w:tr w14:paraId="21C45458">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C80AC0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7D614E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726E43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采 购 人：信阳市平桥区人民代表大会常务委员会办公室 </w:t>
            </w:r>
          </w:p>
          <w:p w14:paraId="0488312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地    址：信阳市平桥区人民政府内 </w:t>
            </w:r>
          </w:p>
          <w:p w14:paraId="4FC0F89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 系 人：吴先生</w:t>
            </w:r>
          </w:p>
          <w:p w14:paraId="25AC1C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电    话：0376-3771101</w:t>
            </w:r>
          </w:p>
        </w:tc>
      </w:tr>
      <w:tr w14:paraId="2DB5EBAE">
        <w:tblPrEx>
          <w:tblCellMar>
            <w:top w:w="0" w:type="dxa"/>
            <w:left w:w="108" w:type="dxa"/>
            <w:bottom w:w="0" w:type="dxa"/>
            <w:right w:w="108" w:type="dxa"/>
          </w:tblCellMar>
        </w:tblPrEx>
        <w:trPr>
          <w:trHeight w:val="159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4F846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36930AF">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6DBAA5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代理机构：中金泰富工程管理有限公司</w:t>
            </w:r>
          </w:p>
          <w:p w14:paraId="63E4A99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    址：郑州市红专路与经七路交叉口向北200米路东中亨大厦7楼712室</w:t>
            </w:r>
          </w:p>
          <w:p w14:paraId="25C280B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 系 人：许先生</w:t>
            </w:r>
          </w:p>
          <w:p w14:paraId="661111D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电    话：15518597586</w:t>
            </w:r>
          </w:p>
        </w:tc>
      </w:tr>
      <w:tr w14:paraId="77ABA66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7B22D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1A6701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AEFAFD9">
            <w:pPr>
              <w:keepNext w:val="0"/>
              <w:keepLines w:val="0"/>
              <w:pageBreakBefore w:val="0"/>
              <w:kinsoku/>
              <w:wordWrap/>
              <w:overflowPunct/>
              <w:bidi w:val="0"/>
              <w:snapToGrid w:val="0"/>
              <w:spacing w:line="360" w:lineRule="auto"/>
              <w:ind w:left="0" w:leftChars="0" w:firstLine="0" w:firstLineChars="0"/>
              <w:rPr>
                <w:rFonts w:hint="eastAsia" w:ascii="宋体" w:hAnsi="宋体" w:eastAsia="宋体" w:cs="宋体"/>
                <w:color w:val="auto"/>
                <w:szCs w:val="21"/>
                <w:highlight w:val="none"/>
                <w:lang w:eastAsia="zh-CN"/>
              </w:rPr>
            </w:pPr>
            <w:r>
              <w:rPr>
                <w:rFonts w:hint="default" w:ascii="宋体" w:hAnsi="宋体" w:eastAsia="宋体" w:cs="宋体"/>
                <w:bCs/>
                <w:color w:val="auto"/>
                <w:sz w:val="21"/>
                <w:szCs w:val="21"/>
                <w:highlight w:val="none"/>
                <w:lang w:val="en-US" w:eastAsia="zh-CN"/>
              </w:rPr>
              <w:t>信阳市平桥区人民代表大会常务委员会平桥区人大预算与国资联网监督系统二期项目</w:t>
            </w:r>
          </w:p>
        </w:tc>
      </w:tr>
      <w:tr w14:paraId="65C127F1">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415838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8D13F8">
            <w:pPr>
              <w:keepNext w:val="0"/>
              <w:keepLines w:val="0"/>
              <w:pageBreakBefore w:val="0"/>
              <w:kinsoku/>
              <w:wordWrap/>
              <w:overflowPunct/>
              <w:topLinePunct w:val="0"/>
              <w:autoSpaceDE w:val="0"/>
              <w:autoSpaceDN w:val="0"/>
              <w:bidi w:val="0"/>
              <w:adjustRightInd w:val="0"/>
              <w:snapToGrid w:val="0"/>
              <w:spacing w:line="360" w:lineRule="auto"/>
              <w:ind w:left="0" w:leftChars="0" w:right="35" w:rightChars="0" w:firstLine="0" w:firstLineChars="0"/>
              <w:jc w:val="both"/>
              <w:rPr>
                <w:rFonts w:hint="eastAsia"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42FD7B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default" w:ascii="宋体" w:hAnsi="宋体" w:eastAsia="宋体" w:cs="宋体"/>
                <w:color w:val="auto"/>
                <w:spacing w:val="1"/>
                <w:kern w:val="0"/>
                <w:sz w:val="21"/>
                <w:szCs w:val="21"/>
                <w:highlight w:val="none"/>
                <w:lang w:val="en-US" w:eastAsia="zh-CN" w:bidi="ar-SA"/>
              </w:rPr>
            </w:pPr>
            <w:r>
              <w:rPr>
                <w:rFonts w:hint="eastAsia" w:ascii="宋体" w:hAnsi="宋体" w:eastAsia="宋体" w:cs="宋体"/>
                <w:color w:val="auto"/>
                <w:spacing w:val="1"/>
                <w:kern w:val="0"/>
                <w:sz w:val="21"/>
                <w:szCs w:val="21"/>
                <w:highlight w:val="none"/>
                <w:lang w:val="en-US" w:eastAsia="zh-CN" w:bidi="ar-SA"/>
              </w:rPr>
              <w:t>竞争性磋商</w:t>
            </w:r>
          </w:p>
        </w:tc>
      </w:tr>
      <w:tr w14:paraId="0F3E65D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E3713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1751D48">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预算价</w:t>
            </w:r>
          </w:p>
          <w:p w14:paraId="2289805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kern w:val="0"/>
                <w:sz w:val="21"/>
                <w:szCs w:val="21"/>
                <w:highlight w:val="none"/>
                <w:lang w:eastAsia="zh-CN"/>
              </w:rPr>
              <w:t>）</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713221E">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预算价（最高限价）</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1033876.10</w:t>
            </w:r>
            <w:r>
              <w:rPr>
                <w:rFonts w:hint="eastAsia" w:ascii="宋体" w:hAnsi="宋体" w:eastAsia="宋体" w:cs="宋体"/>
                <w:b w:val="0"/>
                <w:bCs w:val="0"/>
                <w:color w:val="auto"/>
                <w:kern w:val="0"/>
                <w:sz w:val="21"/>
                <w:szCs w:val="21"/>
                <w:highlight w:val="none"/>
                <w:lang w:val="en-US" w:eastAsia="zh-CN"/>
              </w:rPr>
              <w:t>元</w:t>
            </w:r>
          </w:p>
          <w:p w14:paraId="67BF4704">
            <w:pPr>
              <w:pStyle w:val="53"/>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lang w:eastAsia="zh-CN"/>
              </w:rPr>
              <w:t>第一次</w:t>
            </w:r>
            <w:r>
              <w:rPr>
                <w:rFonts w:hint="eastAsia" w:ascii="宋体" w:hAnsi="宋体" w:eastAsia="宋体" w:cs="宋体"/>
                <w:b w:val="0"/>
                <w:bCs w:val="0"/>
                <w:color w:val="auto"/>
                <w:kern w:val="0"/>
                <w:szCs w:val="21"/>
                <w:highlight w:val="none"/>
              </w:rPr>
              <w:t>报价超过</w:t>
            </w:r>
            <w:r>
              <w:rPr>
                <w:rFonts w:hint="eastAsia" w:ascii="宋体" w:hAnsi="宋体" w:eastAsia="宋体" w:cs="宋体"/>
                <w:b w:val="0"/>
                <w:bCs w:val="0"/>
                <w:color w:val="auto"/>
                <w:kern w:val="0"/>
                <w:szCs w:val="21"/>
                <w:highlight w:val="none"/>
                <w:lang w:eastAsia="zh-CN"/>
              </w:rPr>
              <w:t>预算价</w:t>
            </w:r>
            <w:r>
              <w:rPr>
                <w:rFonts w:hint="eastAsia" w:ascii="宋体" w:hAnsi="宋体" w:eastAsia="宋体" w:cs="宋体"/>
                <w:b w:val="0"/>
                <w:bCs w:val="0"/>
                <w:color w:val="auto"/>
                <w:kern w:val="0"/>
                <w:sz w:val="21"/>
                <w:szCs w:val="21"/>
                <w:highlight w:val="none"/>
                <w:lang w:eastAsia="zh-CN"/>
              </w:rPr>
              <w:t>（最高限价）</w:t>
            </w:r>
            <w:r>
              <w:rPr>
                <w:rFonts w:hint="eastAsia" w:ascii="宋体" w:hAnsi="宋体" w:eastAsia="宋体" w:cs="宋体"/>
                <w:b w:val="0"/>
                <w:bCs w:val="0"/>
                <w:color w:val="auto"/>
                <w:kern w:val="0"/>
                <w:szCs w:val="21"/>
                <w:highlight w:val="none"/>
              </w:rPr>
              <w:t>按无效</w:t>
            </w:r>
            <w:r>
              <w:rPr>
                <w:rFonts w:hint="eastAsia" w:ascii="宋体" w:hAnsi="宋体" w:eastAsia="宋体" w:cs="宋体"/>
                <w:b w:val="0"/>
                <w:bCs w:val="0"/>
                <w:color w:val="auto"/>
                <w:kern w:val="0"/>
                <w:szCs w:val="21"/>
                <w:highlight w:val="none"/>
                <w:lang w:eastAsia="zh-CN"/>
              </w:rPr>
              <w:t>投标</w:t>
            </w:r>
            <w:r>
              <w:rPr>
                <w:rFonts w:hint="eastAsia" w:ascii="宋体" w:hAnsi="宋体" w:eastAsia="宋体" w:cs="宋体"/>
                <w:b w:val="0"/>
                <w:bCs w:val="0"/>
                <w:color w:val="auto"/>
                <w:kern w:val="0"/>
                <w:szCs w:val="21"/>
                <w:highlight w:val="none"/>
              </w:rPr>
              <w:t>处理</w:t>
            </w:r>
          </w:p>
        </w:tc>
      </w:tr>
      <w:tr w14:paraId="2425A24E">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727D63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4573587">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磋商内容</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B611783">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default" w:ascii="宋体" w:hAnsi="宋体" w:cs="宋体" w:eastAsiaTheme="minorEastAsia"/>
                <w:color w:val="auto"/>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 xml:space="preserve">升级现有系统和历史数据迁移；实施横向联通拓展；开发国资联网监督子系统；建设移动平台；国产化适配；政务云服务器租赁等内容的实施及日常运维服务,具体服务要求详见“第五章 </w:t>
            </w:r>
            <w:r>
              <w:rPr>
                <w:rFonts w:hint="eastAsia" w:ascii="宋体" w:hAnsi="宋体" w:eastAsia="宋体" w:cs="宋体"/>
                <w:b w:val="0"/>
                <w:bCs w:val="0"/>
                <w:color w:val="auto"/>
                <w:kern w:val="0"/>
                <w:sz w:val="21"/>
                <w:szCs w:val="21"/>
                <w:highlight w:val="none"/>
                <w:lang w:val="en-US" w:eastAsia="zh-CN"/>
              </w:rPr>
              <w:t>采购内容及要求</w:t>
            </w:r>
            <w:r>
              <w:rPr>
                <w:rFonts w:hint="default" w:ascii="宋体" w:hAnsi="宋体" w:eastAsia="宋体" w:cs="宋体"/>
                <w:b w:val="0"/>
                <w:bCs w:val="0"/>
                <w:color w:val="auto"/>
                <w:kern w:val="0"/>
                <w:sz w:val="21"/>
                <w:szCs w:val="21"/>
                <w:highlight w:val="none"/>
                <w:lang w:val="en-US" w:eastAsia="zh-CN"/>
              </w:rPr>
              <w:t>”</w:t>
            </w:r>
          </w:p>
        </w:tc>
      </w:tr>
      <w:tr w14:paraId="6047C9E0">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1DA2E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1.4.2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200963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质保期</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8E02689">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1年</w:t>
            </w:r>
          </w:p>
        </w:tc>
      </w:tr>
      <w:tr w14:paraId="269288D5">
        <w:tblPrEx>
          <w:tblCellMar>
            <w:top w:w="0" w:type="dxa"/>
            <w:left w:w="108" w:type="dxa"/>
            <w:bottom w:w="0" w:type="dxa"/>
            <w:right w:w="108" w:type="dxa"/>
          </w:tblCellMar>
        </w:tblPrEx>
        <w:trPr>
          <w:trHeight w:val="5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BFE4D2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A80417">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期限</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EF593A7">
            <w:pPr>
              <w:keepNext w:val="0"/>
              <w:keepLines w:val="0"/>
              <w:pageBreakBefore w:val="0"/>
              <w:kinsoku/>
              <w:wordWrap/>
              <w:overflowPunct/>
              <w:bidi w:val="0"/>
              <w:snapToGrid w:val="0"/>
              <w:spacing w:line="360" w:lineRule="auto"/>
              <w:ind w:left="0" w:leftChars="0" w:firstLine="0" w:firstLineChars="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合同签订后3个月内完成系统安装、调试并投入使用</w:t>
            </w:r>
          </w:p>
        </w:tc>
      </w:tr>
      <w:tr w14:paraId="6DCF893F">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56C789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5B8A4E5">
            <w:pPr>
              <w:keepNext w:val="0"/>
              <w:keepLines w:val="0"/>
              <w:pageBreakBefore w:val="0"/>
              <w:kinsoku/>
              <w:wordWrap/>
              <w:overflowPunct/>
              <w:bidi w:val="0"/>
              <w:snapToGrid w:val="0"/>
              <w:spacing w:line="360" w:lineRule="auto"/>
              <w:ind w:left="0" w:leftChars="0" w:firstLine="0" w:firstLineChars="0"/>
              <w:jc w:val="both"/>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26D4A0C">
            <w:pPr>
              <w:keepNext w:val="0"/>
              <w:keepLines w:val="0"/>
              <w:pageBreakBefore w:val="0"/>
              <w:kinsoku/>
              <w:wordWrap/>
              <w:overflowPunct/>
              <w:bidi w:val="0"/>
              <w:snapToGrid w:val="0"/>
              <w:spacing w:line="360" w:lineRule="auto"/>
              <w:ind w:left="0" w:leftChars="0" w:firstLine="0" w:firstLineChars="0"/>
              <w:jc w:val="left"/>
              <w:rPr>
                <w:rFonts w:hint="eastAsia" w:ascii="宋体" w:hAnsi="宋体" w:eastAsiaTheme="minorEastAsia"/>
                <w:color w:val="auto"/>
                <w:szCs w:val="21"/>
                <w:highlight w:val="none"/>
                <w:lang w:val="en-US" w:eastAsia="zh-CN"/>
              </w:rPr>
            </w:pPr>
            <w:r>
              <w:rPr>
                <w:rFonts w:hint="eastAsia" w:ascii="宋体" w:hAnsi="宋体" w:cs="宋体"/>
                <w:color w:val="auto"/>
                <w:sz w:val="21"/>
                <w:szCs w:val="21"/>
                <w:highlight w:val="none"/>
                <w:lang w:val="en-US" w:eastAsia="zh-CN"/>
              </w:rPr>
              <w:t>满足相关专业现行规范要求，符合采购人验收的有关要求</w:t>
            </w:r>
          </w:p>
        </w:tc>
      </w:tr>
      <w:tr w14:paraId="38C08722">
        <w:tblPrEx>
          <w:tblCellMar>
            <w:top w:w="0" w:type="dxa"/>
            <w:left w:w="108" w:type="dxa"/>
            <w:bottom w:w="0" w:type="dxa"/>
            <w:right w:w="108" w:type="dxa"/>
          </w:tblCellMar>
        </w:tblPrEx>
        <w:trPr>
          <w:trHeight w:val="5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35BE0D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E64BBE">
            <w:pPr>
              <w:keepNext w:val="0"/>
              <w:keepLines w:val="0"/>
              <w:pageBreakBefore w:val="0"/>
              <w:kinsoku/>
              <w:wordWrap/>
              <w:overflowPunct/>
              <w:topLinePunct w:val="0"/>
              <w:bidi w:val="0"/>
              <w:snapToGrid w:val="0"/>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7E92BBF">
            <w:pPr>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签订合同时双方自行确定</w:t>
            </w:r>
          </w:p>
        </w:tc>
      </w:tr>
      <w:tr w14:paraId="27DBC05B">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674CF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3AAA6D8">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供应商资质条件及能力要求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0680429">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1、满足《中华人民共和国政府采购法》第二十二条规定。</w:t>
            </w:r>
          </w:p>
          <w:p w14:paraId="37E1065A">
            <w:pPr>
              <w:pStyle w:val="23"/>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2、落实政府采购政策满足的资格要求：</w:t>
            </w:r>
          </w:p>
          <w:p w14:paraId="55F0DA9D">
            <w:pPr>
              <w:adjustRightInd w:val="0"/>
              <w:snapToGrid w:val="0"/>
              <w:spacing w:line="360" w:lineRule="auto"/>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2.1落实政府采购政策满足的资格要求：参加本项目的中小企业须提供《中小企业声明函》（格式详见招标文件内《中小企业声明函》样本），不符合要求的声明函或未提供的将视为不符合资格要求。本项目落实节约能源、保护环境、扶持不发达地区和少数民族地区、促进中小微企业、监狱企业及残疾人福利性单位发展等政府采购政策。</w:t>
            </w:r>
          </w:p>
          <w:p w14:paraId="3B45CE4F">
            <w:pPr>
              <w:pStyle w:val="24"/>
              <w:keepNext w:val="0"/>
              <w:keepLines w:val="0"/>
              <w:pageBreakBefore w:val="0"/>
              <w:kinsoku/>
              <w:overflowPunct/>
              <w:topLinePunct w:val="0"/>
              <w:autoSpaceDE/>
              <w:autoSpaceDN/>
              <w:bidi w:val="0"/>
              <w:snapToGrid w:val="0"/>
              <w:spacing w:after="0" w:afterLines="0" w:line="360" w:lineRule="auto"/>
              <w:ind w:left="0" w:leftChars="0" w:firstLine="0" w:firstLineChars="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www.creditchina.gov.cn）、中国政府采购网（www.ccgp.gov.cn），查询截止时点为：从公告发布之日起至投标截止之日止。提供“信用中国”网站的列入失信被执行人、重大税收违法失信主体网站截图和“中国政府采购网”网站的政府采购严重违法失信行为记录名单网站截图。</w:t>
            </w:r>
          </w:p>
          <w:p w14:paraId="1C51BF9B">
            <w:pPr>
              <w:keepNext w:val="0"/>
              <w:keepLines w:val="0"/>
              <w:pageBreakBefore w:val="0"/>
              <w:numPr>
                <w:ilvl w:val="0"/>
                <w:numId w:val="0"/>
              </w:numPr>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3、本项目的特定资格要求：无</w:t>
            </w:r>
          </w:p>
          <w:p w14:paraId="40A5FBF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4、其他说明</w:t>
            </w:r>
          </w:p>
          <w:p w14:paraId="2A9A286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4.1单位负责人为同一人或者存在直接控股、管理关系的不同单位，不得同时参加同一合同项下的政府采购活动（提供加盖供应商公章的“国家企业信用信息公示系统”中公示的公司基础信息包含股东及出资信息）。</w:t>
            </w:r>
          </w:p>
          <w:p w14:paraId="6D56A27A">
            <w:pPr>
              <w:keepNext w:val="0"/>
              <w:keepLines w:val="0"/>
              <w:pageBreakBefore w:val="0"/>
              <w:widowControl/>
              <w:suppressLineNumbers w:val="0"/>
              <w:kinsoku/>
              <w:overflowPunct/>
              <w:topLinePunct w:val="0"/>
              <w:autoSpaceDE/>
              <w:autoSpaceDN/>
              <w:bidi w:val="0"/>
              <w:snapToGrid w:val="0"/>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4.2本项目信用承诺（详见下述要求）。</w:t>
            </w:r>
          </w:p>
          <w:p w14:paraId="713D83A9">
            <w:pPr>
              <w:keepNext w:val="0"/>
              <w:keepLines w:val="0"/>
              <w:pageBreakBefore w:val="0"/>
              <w:widowControl/>
              <w:numPr>
                <w:ilvl w:val="0"/>
                <w:numId w:val="5"/>
              </w:numPr>
              <w:suppressLineNumbers w:val="0"/>
              <w:kinsoku/>
              <w:overflowPunct/>
              <w:topLinePunct w:val="0"/>
              <w:autoSpaceDE/>
              <w:autoSpaceDN/>
              <w:bidi w:val="0"/>
              <w:snapToGrid w:val="0"/>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在本项目政府采购活动中，供应商在投标（响应）时，可对照资格要求进行自主核对，确定符合资格要求的，可按照规定提供相关承诺函（详见响应文件“七、资格证明材料”附件），供应商应在资格审查环节提供满足相应条件的书面承诺书。</w:t>
            </w:r>
          </w:p>
          <w:p w14:paraId="7D366228">
            <w:pPr>
              <w:keepNext w:val="0"/>
              <w:keepLines w:val="0"/>
              <w:pageBreakBefore w:val="0"/>
              <w:widowControl/>
              <w:numPr>
                <w:ilvl w:val="0"/>
                <w:numId w:val="0"/>
              </w:numPr>
              <w:suppressLineNumbers w:val="0"/>
              <w:kinsoku/>
              <w:overflowPunct/>
              <w:topLinePunct w:val="0"/>
              <w:autoSpaceDE/>
              <w:autoSpaceDN/>
              <w:bidi w:val="0"/>
              <w:snapToGrid w:val="0"/>
              <w:spacing w:line="360" w:lineRule="auto"/>
              <w:ind w:lef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①具有独立承担民事责任的能力，具有有效的营业执照；</w:t>
            </w:r>
          </w:p>
          <w:p w14:paraId="35E0B2ED">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②符合国家相关规定的财务状况报告（2024年度财务审计报告或其基本开户银行出具的资信证明）；</w:t>
            </w:r>
          </w:p>
          <w:p w14:paraId="669078E2">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③依法缴纳税收的证明材料（提供202</w:t>
            </w:r>
            <w:r>
              <w:rPr>
                <w:rFonts w:hint="default"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lang w:val="en-US" w:eastAsia="zh-CN" w:bidi="ar-SA"/>
              </w:rPr>
              <w:t>年以来任意3个月纳税证明，新成立公司不足3个月的，按已缴纳月份提供）；</w:t>
            </w:r>
          </w:p>
          <w:p w14:paraId="5FFA8925">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④依法缴纳社会保障资金的证明材料（提供2025年以来任意3个月缴纳社会保障证明，新成立公司不足3个月的，按已缴纳月份提供）；</w:t>
            </w:r>
          </w:p>
          <w:p w14:paraId="35496A98">
            <w:pPr>
              <w:pStyle w:val="23"/>
              <w:widowControl w:val="0"/>
              <w:snapToGrid w:val="0"/>
              <w:spacing w:before="0" w:beforeAutospacing="0" w:after="0" w:afterAutospacing="0" w:line="360" w:lineRule="auto"/>
              <w:ind w:left="0" w:leftChars="0" w:firstLine="0" w:firstLine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⑤具有履行合同所必需的设备和专业技术能力（格式自拟，并加盖本单位公章）；</w:t>
            </w:r>
          </w:p>
          <w:p w14:paraId="2E8C3304">
            <w:pPr>
              <w:pStyle w:val="25"/>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⑥参加政府采购活动前三年内，在经营活动中没有重大违法记录（格式自拟，并加盖本单位公章）；</w:t>
            </w:r>
          </w:p>
          <w:p w14:paraId="2E2202F5">
            <w:pPr>
              <w:pStyle w:val="25"/>
              <w:ind w:left="0" w:leftChars="0" w:firstLine="0" w:firstLineChars="0"/>
              <w:rPr>
                <w:rFonts w:hint="eastAsia" w:ascii="宋体" w:hAnsi="宋体" w:cs="宋体" w:eastAsiaTheme="minorEastAsia"/>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⑦法律、行政法规规定的其他条件。</w:t>
            </w:r>
          </w:p>
        </w:tc>
      </w:tr>
      <w:tr w14:paraId="1DDBD6C0">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DC738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1.5.2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ED510DD">
            <w:pPr>
              <w:keepNext w:val="0"/>
              <w:keepLines w:val="0"/>
              <w:pageBreakBefore w:val="0"/>
              <w:kinsoku/>
              <w:wordWrap/>
              <w:overflowPunct/>
              <w:bidi w:val="0"/>
              <w:snapToGrid w:val="0"/>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是否接受联合体</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75C6355">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不接受</w:t>
            </w:r>
          </w:p>
        </w:tc>
      </w:tr>
      <w:tr w14:paraId="7C14FD34">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C0178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4AAA8E5">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现场踏勘</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629F353">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自行踏勘</w:t>
            </w:r>
          </w:p>
        </w:tc>
      </w:tr>
      <w:tr w14:paraId="69F5C032">
        <w:tblPrEx>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ED2E2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1.11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6DC41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950749A">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084AD6B2">
        <w:tblPrEx>
          <w:tblCellMar>
            <w:top w:w="0" w:type="dxa"/>
            <w:left w:w="108" w:type="dxa"/>
            <w:bottom w:w="0" w:type="dxa"/>
            <w:right w:w="108" w:type="dxa"/>
          </w:tblCellMar>
        </w:tblPrEx>
        <w:trPr>
          <w:trHeight w:val="46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DE1E907">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D0AD55">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构成磋商文件的其他材料</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119513A">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除磋商文件外，采购人在磋商期间发出的澄清、修改、补充、补遗和</w:t>
            </w:r>
            <w:r>
              <w:rPr>
                <w:rFonts w:hint="eastAsia" w:ascii="宋体" w:hAnsi="宋体" w:cs="宋体"/>
                <w:color w:val="auto"/>
                <w:szCs w:val="21"/>
                <w:highlight w:val="none"/>
                <w:lang w:eastAsia="zh-CN"/>
              </w:rPr>
              <w:t>其他有效</w:t>
            </w:r>
            <w:r>
              <w:rPr>
                <w:rFonts w:hint="eastAsia" w:ascii="宋体" w:hAnsi="宋体" w:cs="宋体"/>
                <w:color w:val="auto"/>
                <w:szCs w:val="21"/>
                <w:highlight w:val="none"/>
              </w:rPr>
              <w:t>正式函件等内容均是磋商文件的组成部分</w:t>
            </w:r>
          </w:p>
        </w:tc>
      </w:tr>
      <w:tr w14:paraId="550EDD4F">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C0797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22AFA4">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提出问题的</w:t>
            </w:r>
            <w:r>
              <w:rPr>
                <w:rFonts w:hint="eastAsia" w:ascii="宋体" w:hAnsi="宋体" w:cs="宋体"/>
                <w:color w:val="auto"/>
                <w:szCs w:val="21"/>
                <w:highlight w:val="none"/>
              </w:rPr>
              <w:t>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302D892">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公告发布之日起</w:t>
            </w:r>
            <w:r>
              <w:rPr>
                <w:rFonts w:hint="eastAsia" w:ascii="宋体" w:hAnsi="宋体" w:cs="宋体"/>
                <w:color w:val="auto"/>
                <w:szCs w:val="21"/>
                <w:highlight w:val="none"/>
                <w:lang w:val="en-US" w:eastAsia="zh-CN"/>
              </w:rPr>
              <w:t>5个工作日内</w:t>
            </w:r>
          </w:p>
        </w:tc>
      </w:tr>
      <w:tr w14:paraId="5079C5D9">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F659C71">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9320C71">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采购人澄清磋商文件的截止时间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6D34EBC6">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递交响应文件截止之日</w:t>
            </w:r>
            <w:r>
              <w:rPr>
                <w:rFonts w:hint="eastAsia" w:ascii="宋体" w:hAnsi="宋体" w:cs="宋体"/>
                <w:color w:val="auto"/>
                <w:szCs w:val="21"/>
                <w:highlight w:val="none"/>
                <w:u w:val="single"/>
              </w:rPr>
              <w:t>5</w:t>
            </w:r>
            <w:r>
              <w:rPr>
                <w:rFonts w:hint="eastAsia" w:ascii="宋体" w:hAnsi="宋体" w:cs="宋体"/>
                <w:color w:val="auto"/>
                <w:szCs w:val="21"/>
                <w:highlight w:val="none"/>
              </w:rPr>
              <w:t>天前</w:t>
            </w:r>
          </w:p>
        </w:tc>
      </w:tr>
      <w:tr w14:paraId="7564573E">
        <w:tblPrEx>
          <w:tblCellMar>
            <w:top w:w="0" w:type="dxa"/>
            <w:left w:w="108" w:type="dxa"/>
            <w:bottom w:w="0" w:type="dxa"/>
            <w:right w:w="108" w:type="dxa"/>
          </w:tblCellMar>
        </w:tblPrEx>
        <w:trPr>
          <w:trHeight w:val="11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D5F60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7F87FD0">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供应商确认收到磋商文件澄清的时间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5F4405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在收到相应澄清文件后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3DC5A3F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438919E">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2.3.2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DDA97A">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供应商确认收到磋商文件修改的时间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CBEC1A4">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在收到相应修改文件后</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小时内</w:t>
            </w:r>
          </w:p>
        </w:tc>
      </w:tr>
      <w:tr w14:paraId="019FAD0F">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0ECF49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5DD6765">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6E1BFFB">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供应商认为需要提交的其他证明材料</w:t>
            </w:r>
          </w:p>
        </w:tc>
      </w:tr>
      <w:tr w14:paraId="5EA8E332">
        <w:tblPrEx>
          <w:tblCellMar>
            <w:top w:w="0" w:type="dxa"/>
            <w:left w:w="108" w:type="dxa"/>
            <w:bottom w:w="0" w:type="dxa"/>
            <w:right w:w="108" w:type="dxa"/>
          </w:tblCellMar>
        </w:tblPrEx>
        <w:trPr>
          <w:trHeight w:val="70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06DB56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3.3.1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EA89464">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磋商有效期</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F648CB3">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60日历天（响应文件</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截止之日起）</w:t>
            </w:r>
          </w:p>
        </w:tc>
      </w:tr>
      <w:tr w14:paraId="22278360">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157940">
            <w:pPr>
              <w:keepNext w:val="0"/>
              <w:keepLines w:val="0"/>
              <w:pageBreakBefore w:val="0"/>
              <w:kinsoku/>
              <w:wordWrap/>
              <w:overflowPunct/>
              <w:bidi w:val="0"/>
              <w:snapToGrid w:val="0"/>
              <w:spacing w:line="360" w:lineRule="auto"/>
              <w:ind w:left="0" w:leftChars="0" w:firstLine="0" w:firstLineChars="0"/>
              <w:jc w:val="center"/>
              <w:textAlignment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3.2.3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3BB9951">
            <w:pPr>
              <w:keepNext w:val="0"/>
              <w:keepLines w:val="0"/>
              <w:pageBreakBefore w:val="0"/>
              <w:kinsoku/>
              <w:wordWrap/>
              <w:overflowPunct/>
              <w:bidi w:val="0"/>
              <w:snapToGrid w:val="0"/>
              <w:spacing w:line="360" w:lineRule="auto"/>
              <w:ind w:left="0" w:leftChars="0" w:firstLine="0" w:firstLineChars="0"/>
              <w:jc w:val="both"/>
              <w:textAlignment w:val="center"/>
              <w:rPr>
                <w:rFonts w:hint="eastAsia"/>
                <w:color w:val="auto"/>
                <w:kern w:val="2"/>
                <w:sz w:val="21"/>
                <w:szCs w:val="24"/>
                <w:highlight w:val="none"/>
                <w:lang w:val="en-US" w:eastAsia="zh-CN" w:bidi="ar-SA"/>
              </w:rPr>
            </w:pPr>
            <w:r>
              <w:rPr>
                <w:color w:val="auto"/>
                <w:highlight w:val="none"/>
              </w:rPr>
              <w:t>报价方式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90915D9">
            <w:pPr>
              <w:keepNext w:val="0"/>
              <w:keepLines w:val="0"/>
              <w:pageBreakBefore w:val="0"/>
              <w:kinsoku/>
              <w:wordWrap/>
              <w:overflowPunct/>
              <w:bidi w:val="0"/>
              <w:snapToGrid w:val="0"/>
              <w:spacing w:line="360" w:lineRule="auto"/>
              <w:ind w:left="0" w:leftChars="0" w:firstLine="0" w:firstLineChars="0"/>
              <w:jc w:val="left"/>
              <w:textAlignment w:val="center"/>
              <w:rPr>
                <w:rFonts w:hint="eastAsia" w:ascii="宋体" w:hAnsi="宋体"/>
                <w:color w:val="auto"/>
                <w:kern w:val="2"/>
                <w:sz w:val="21"/>
                <w:szCs w:val="24"/>
                <w:highlight w:val="none"/>
                <w:lang w:val="en-US" w:eastAsia="zh-CN" w:bidi="ar-SA"/>
              </w:rPr>
            </w:pPr>
            <w:r>
              <w:rPr>
                <w:rFonts w:hint="eastAsia" w:ascii="宋体" w:hAnsi="宋体"/>
                <w:color w:val="auto"/>
                <w:highlight w:val="none"/>
              </w:rPr>
              <w:t>自主报价</w:t>
            </w:r>
          </w:p>
        </w:tc>
      </w:tr>
      <w:tr w14:paraId="28F03A50">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884D5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3.6</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141347C">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是否允许递交备选磋商方案</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23CFA59">
            <w:pPr>
              <w:pStyle w:val="8"/>
              <w:keepNext w:val="0"/>
              <w:keepLines w:val="0"/>
              <w:pageBreakBefore w:val="0"/>
              <w:kinsoku/>
              <w:wordWrap/>
              <w:overflowPunct/>
              <w:topLinePunct/>
              <w:bidi w:val="0"/>
              <w:adjustRightInd w:val="0"/>
              <w:snapToGrid w:val="0"/>
              <w:spacing w:line="360" w:lineRule="auto"/>
              <w:ind w:left="0" w:leftChars="0" w:firstLine="0" w:firstLineChars="0"/>
              <w:jc w:val="left"/>
              <w:textAlignment w:val="baseline"/>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不允许</w:t>
            </w:r>
          </w:p>
        </w:tc>
      </w:tr>
      <w:tr w14:paraId="417CFB3A">
        <w:tblPrEx>
          <w:tblCellMar>
            <w:top w:w="0" w:type="dxa"/>
            <w:left w:w="108" w:type="dxa"/>
            <w:bottom w:w="0" w:type="dxa"/>
            <w:right w:w="108" w:type="dxa"/>
          </w:tblCellMar>
        </w:tblPrEx>
        <w:trPr>
          <w:trHeight w:val="16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7CA7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3.7.3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BEB4C26">
            <w:pPr>
              <w:keepNext w:val="0"/>
              <w:keepLines w:val="0"/>
              <w:pageBreakBefore w:val="0"/>
              <w:kinsoku/>
              <w:wordWrap/>
              <w:overflowPunct/>
              <w:bidi w:val="0"/>
              <w:adjustRightInd w:val="0"/>
              <w:snapToGrid w:val="0"/>
              <w:spacing w:line="360" w:lineRule="auto"/>
              <w:ind w:left="0" w:leftChars="0" w:firstLine="0" w:firstLineChars="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电子响应文件签字盖章要求</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83178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（1）所有要求供应商加盖公章的地方都须加盖供应商的 CA 印章。</w:t>
            </w:r>
          </w:p>
          <w:p w14:paraId="3FF37C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（2）所有要求法定代表人或其委托代理人签字的地方都须法定代表人或其委托代理人加盖CA印章或签字。</w:t>
            </w:r>
          </w:p>
        </w:tc>
      </w:tr>
      <w:tr w14:paraId="503A1FD9">
        <w:tblPrEx>
          <w:tblCellMar>
            <w:top w:w="0" w:type="dxa"/>
            <w:left w:w="108" w:type="dxa"/>
            <w:bottom w:w="0" w:type="dxa"/>
            <w:right w:w="108" w:type="dxa"/>
          </w:tblCellMar>
        </w:tblPrEx>
        <w:trPr>
          <w:trHeight w:val="78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5B7783">
            <w:pPr>
              <w:keepNext w:val="0"/>
              <w:keepLines w:val="0"/>
              <w:pageBreakBefore w:val="0"/>
              <w:kinsoku/>
              <w:wordWrap/>
              <w:overflowPunct/>
              <w:bidi w:val="0"/>
              <w:snapToGrid w:val="0"/>
              <w:spacing w:line="360" w:lineRule="auto"/>
              <w:ind w:left="0" w:leftChars="0"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3.7.4</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DFE974">
            <w:pPr>
              <w:keepNext w:val="0"/>
              <w:keepLines w:val="0"/>
              <w:pageBreakBefore w:val="0"/>
              <w:kinsoku/>
              <w:wordWrap/>
              <w:overflowPunct/>
              <w:bidi w:val="0"/>
              <w:adjustRightInd w:val="0"/>
              <w:snapToGrid w:val="0"/>
              <w:spacing w:line="360" w:lineRule="auto"/>
              <w:ind w:left="0" w:leftChars="0" w:firstLine="0" w:firstLineChars="0"/>
              <w:jc w:val="both"/>
              <w:rPr>
                <w:rFonts w:hint="eastAsia" w:ascii="宋体" w:hAnsi="宋体" w:cs="宋体"/>
                <w:bCs/>
                <w:color w:val="auto"/>
                <w:szCs w:val="21"/>
                <w:highlight w:val="none"/>
              </w:rPr>
            </w:pPr>
            <w:r>
              <w:rPr>
                <w:rFonts w:hint="eastAsia" w:ascii="宋体" w:hAnsi="宋体" w:cs="宋体"/>
                <w:bCs/>
                <w:color w:val="auto"/>
                <w:szCs w:val="21"/>
                <w:highlight w:val="none"/>
              </w:rPr>
              <w:t>响应文件份数</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0C17B78">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加密的电子响应文件壹份（*.XYTF 格式，在会员系统指定位置上传）</w:t>
            </w:r>
          </w:p>
        </w:tc>
      </w:tr>
      <w:tr w14:paraId="7C515970">
        <w:tblPrEx>
          <w:tblCellMar>
            <w:top w:w="0" w:type="dxa"/>
            <w:left w:w="108" w:type="dxa"/>
            <w:bottom w:w="0" w:type="dxa"/>
            <w:right w:w="108" w:type="dxa"/>
          </w:tblCellMar>
        </w:tblPrEx>
        <w:trPr>
          <w:trHeight w:val="61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3D03B6">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4.2</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009DC4">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响应文件的递交</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5DC9AADE">
            <w:pPr>
              <w:keepNext w:val="0"/>
              <w:keepLines w:val="0"/>
              <w:pageBreakBefore w:val="0"/>
              <w:kinsoku/>
              <w:wordWrap/>
              <w:overflowPunct/>
              <w:bidi w:val="0"/>
              <w:adjustRightInd w:val="0"/>
              <w:snapToGrid w:val="0"/>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1、电子响应文件的递交</w:t>
            </w:r>
          </w:p>
          <w:p w14:paraId="7D547C10">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5456A8F">
            <w:pPr>
              <w:keepNext w:val="0"/>
              <w:keepLines w:val="0"/>
              <w:pageBreakBefore w:val="0"/>
              <w:kinsoku/>
              <w:wordWrap/>
              <w:overflowPunct/>
              <w:bidi w:val="0"/>
              <w:adjustRightInd w:val="0"/>
              <w:snapToGrid w:val="0"/>
              <w:spacing w:line="360" w:lineRule="auto"/>
              <w:ind w:left="0" w:leftChars="0" w:firstLine="210" w:firstLineChars="100"/>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2、本项目采用“不见面开标”交易方式，</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供应商无需寄送和递交非加密的电子响应文件，无需到现场参加开标会议，无需到达现场提交原件资料。</w:t>
            </w:r>
            <w:r>
              <w:rPr>
                <w:rFonts w:hint="eastAsia" w:ascii="宋体" w:hAnsi="宋体" w:cs="宋体"/>
                <w:color w:val="auto"/>
                <w:sz w:val="21"/>
                <w:szCs w:val="21"/>
                <w:highlight w:val="none"/>
                <w:lang w:val="en-US" w:eastAsia="zh-CN"/>
              </w:rPr>
              <w:fldChar w:fldCharType="end"/>
            </w:r>
          </w:p>
        </w:tc>
      </w:tr>
      <w:tr w14:paraId="70DCBD2E">
        <w:tblPrEx>
          <w:tblCellMar>
            <w:top w:w="0" w:type="dxa"/>
            <w:left w:w="108" w:type="dxa"/>
            <w:bottom w:w="0" w:type="dxa"/>
            <w:right w:w="108" w:type="dxa"/>
          </w:tblCellMar>
        </w:tblPrEx>
        <w:trPr>
          <w:trHeight w:val="91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E3DDE0D">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5.1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43AE95B">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CD01C67">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b w:val="0"/>
                <w:bCs/>
                <w:color w:val="auto"/>
                <w:sz w:val="21"/>
                <w:szCs w:val="21"/>
                <w:highlight w:val="none"/>
                <w:lang w:val="en-US" w:eastAsia="zh-CN"/>
              </w:rPr>
              <w:t>2025年10月27日09时00分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北京时间</w:t>
            </w:r>
            <w:r>
              <w:rPr>
                <w:rFonts w:hint="eastAsia" w:ascii="宋体" w:hAnsi="宋体" w:eastAsia="宋体" w:cs="宋体"/>
                <w:b w:val="0"/>
                <w:bCs/>
                <w:color w:val="auto"/>
                <w:sz w:val="21"/>
                <w:szCs w:val="21"/>
                <w:highlight w:val="none"/>
                <w:lang w:eastAsia="zh-CN"/>
              </w:rPr>
              <w:t>）</w:t>
            </w:r>
          </w:p>
        </w:tc>
      </w:tr>
      <w:tr w14:paraId="70774A82">
        <w:tblPrEx>
          <w:tblCellMar>
            <w:top w:w="0" w:type="dxa"/>
            <w:left w:w="108" w:type="dxa"/>
            <w:bottom w:w="0" w:type="dxa"/>
            <w:right w:w="108" w:type="dxa"/>
          </w:tblCellMar>
        </w:tblPrEx>
        <w:trPr>
          <w:trHeight w:val="68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9F4AF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5.1.1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5015759">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C695925">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szCs w:val="21"/>
                <w:highlight w:val="none"/>
              </w:rPr>
              <w:t>磋商</w:t>
            </w:r>
            <w:r>
              <w:rPr>
                <w:rFonts w:hint="eastAsia" w:ascii="宋体" w:hAnsi="宋体" w:cs="宋体"/>
                <w:color w:val="auto"/>
                <w:kern w:val="0"/>
                <w:szCs w:val="21"/>
                <w:highlight w:val="none"/>
              </w:rPr>
              <w:t>时间：同</w:t>
            </w:r>
            <w:r>
              <w:rPr>
                <w:rFonts w:hint="eastAsia" w:ascii="宋体" w:hAnsi="宋体" w:cs="宋体"/>
                <w:color w:val="auto"/>
                <w:szCs w:val="21"/>
                <w:highlight w:val="none"/>
              </w:rPr>
              <w:t>响应文件提交</w:t>
            </w:r>
            <w:r>
              <w:rPr>
                <w:rFonts w:hint="eastAsia" w:ascii="宋体" w:hAnsi="宋体" w:cs="宋体"/>
                <w:color w:val="auto"/>
                <w:kern w:val="0"/>
                <w:szCs w:val="21"/>
                <w:highlight w:val="none"/>
              </w:rPr>
              <w:t>截止时间</w:t>
            </w:r>
          </w:p>
          <w:p w14:paraId="0D9ECA58">
            <w:pPr>
              <w:keepNext w:val="0"/>
              <w:keepLines w:val="0"/>
              <w:pageBreakBefore w:val="0"/>
              <w:kinsoku/>
              <w:wordWrap/>
              <w:overflowPunct/>
              <w:bidi w:val="0"/>
              <w:snapToGrid w:val="0"/>
              <w:spacing w:line="360" w:lineRule="auto"/>
              <w:ind w:left="0" w:leftChars="0" w:firstLine="0" w:firstLineChars="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磋商</w:t>
            </w:r>
            <w:r>
              <w:rPr>
                <w:rFonts w:hint="eastAsia" w:ascii="宋体" w:hAnsi="宋体" w:cs="宋体"/>
                <w:color w:val="auto"/>
                <w:kern w:val="0"/>
                <w:szCs w:val="21"/>
                <w:highlight w:val="none"/>
              </w:rPr>
              <w:t>地点：信阳市公共资源交易中心AI机器人开标虚拟</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厅</w:t>
            </w:r>
          </w:p>
        </w:tc>
      </w:tr>
      <w:tr w14:paraId="07E2BD94">
        <w:tblPrEx>
          <w:tblCellMar>
            <w:top w:w="0" w:type="dxa"/>
            <w:left w:w="108" w:type="dxa"/>
            <w:bottom w:w="0" w:type="dxa"/>
            <w:right w:w="108" w:type="dxa"/>
          </w:tblCellMar>
        </w:tblPrEx>
        <w:trPr>
          <w:trHeight w:val="5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56D8513">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6.1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ABA9BA">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磋商小组的组建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33E7883B">
            <w:pPr>
              <w:keepNext w:val="0"/>
              <w:keepLines w:val="0"/>
              <w:pageBreakBefore w:val="0"/>
              <w:kinsoku/>
              <w:wordWrap/>
              <w:overflowPunct/>
              <w:autoSpaceDE w:val="0"/>
              <w:autoSpaceDN w:val="0"/>
              <w:bidi w:val="0"/>
              <w:adjustRightInd w:val="0"/>
              <w:snapToGrid w:val="0"/>
              <w:spacing w:line="360" w:lineRule="auto"/>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磋商小组构成：</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人，技术、经济类专家</w:t>
            </w:r>
            <w:r>
              <w:rPr>
                <w:rFonts w:hint="default" w:ascii="宋体" w:hAnsi="宋体" w:cs="宋体"/>
                <w:color w:val="auto"/>
                <w:szCs w:val="21"/>
                <w:highlight w:val="none"/>
                <w:u w:val="single"/>
                <w:lang w:val="en-US" w:eastAsia="zh-CN"/>
              </w:rPr>
              <w:t>3</w:t>
            </w:r>
            <w:r>
              <w:rPr>
                <w:rFonts w:hint="eastAsia" w:ascii="宋体" w:hAnsi="宋体" w:cs="宋体"/>
                <w:color w:val="auto"/>
                <w:szCs w:val="21"/>
                <w:highlight w:val="none"/>
              </w:rPr>
              <w:t>人；</w:t>
            </w:r>
          </w:p>
          <w:p w14:paraId="10F525A0">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专家确定方式：磋商前从政府采购专家库中随机抽取。</w:t>
            </w:r>
          </w:p>
        </w:tc>
      </w:tr>
      <w:tr w14:paraId="6D582B7B">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88DF5C">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7.1</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3DA4CD2">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是否授权磋商小组确定成交人</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47D2105">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否；推荐的成交候选人数：3名</w:t>
            </w:r>
          </w:p>
        </w:tc>
      </w:tr>
      <w:tr w14:paraId="4400EB9F">
        <w:tblPrEx>
          <w:tblCellMar>
            <w:top w:w="0" w:type="dxa"/>
            <w:left w:w="108" w:type="dxa"/>
            <w:bottom w:w="0" w:type="dxa"/>
            <w:right w:w="108" w:type="dxa"/>
          </w:tblCellMar>
        </w:tblPrEx>
        <w:trPr>
          <w:trHeight w:val="7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1E51A4">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7.3</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85341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履约</w:t>
            </w:r>
            <w:r>
              <w:rPr>
                <w:rFonts w:hint="eastAsia" w:ascii="宋体" w:hAnsi="宋体" w:eastAsia="宋体" w:cs="宋体"/>
                <w:color w:val="auto"/>
                <w:kern w:val="0"/>
                <w:sz w:val="21"/>
                <w:szCs w:val="21"/>
                <w:highlight w:val="none"/>
                <w:lang w:eastAsia="zh-CN"/>
              </w:rPr>
              <w:t>保证金</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02ACB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无</w:t>
            </w:r>
          </w:p>
        </w:tc>
      </w:tr>
      <w:tr w14:paraId="4CB2EDD0">
        <w:tblPrEx>
          <w:tblCellMar>
            <w:top w:w="0" w:type="dxa"/>
            <w:left w:w="108" w:type="dxa"/>
            <w:bottom w:w="0" w:type="dxa"/>
            <w:right w:w="108" w:type="dxa"/>
          </w:tblCellMar>
        </w:tblPrEx>
        <w:trPr>
          <w:trHeight w:val="538" w:hRule="atLeast"/>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6FE1E279">
            <w:pPr>
              <w:keepNext w:val="0"/>
              <w:keepLines w:val="0"/>
              <w:pageBreakBefore w:val="0"/>
              <w:kinsoku/>
              <w:wordWrap/>
              <w:overflowPunct/>
              <w:bidi w:val="0"/>
              <w:adjustRightInd w:val="0"/>
              <w:snapToGri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14:paraId="54E7A421">
        <w:tblPrEx>
          <w:tblCellMar>
            <w:top w:w="0" w:type="dxa"/>
            <w:left w:w="108" w:type="dxa"/>
            <w:bottom w:w="0" w:type="dxa"/>
            <w:right w:w="108" w:type="dxa"/>
          </w:tblCellMar>
        </w:tblPrEx>
        <w:trPr>
          <w:trHeight w:val="5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A5F6D20">
            <w:pPr>
              <w:keepNext w:val="0"/>
              <w:keepLines w:val="0"/>
              <w:pageBreakBefore w:val="0"/>
              <w:kinsoku/>
              <w:wordWrap/>
              <w:overflowPunct/>
              <w:bidi w:val="0"/>
              <w:adjustRightInd w:val="0"/>
              <w:snapToGrid w:val="0"/>
              <w:spacing w:line="360" w:lineRule="auto"/>
              <w:ind w:left="0" w:leftChars="0"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B43A8D8">
            <w:pPr>
              <w:keepNext w:val="0"/>
              <w:keepLines w:val="0"/>
              <w:pageBreakBefore w:val="0"/>
              <w:kinsoku/>
              <w:wordWrap/>
              <w:overflowPunct/>
              <w:bidi w:val="0"/>
              <w:adjustRightInd w:val="0"/>
              <w:snapToGrid w:val="0"/>
              <w:spacing w:line="360" w:lineRule="auto"/>
              <w:ind w:left="0" w:leftChars="0" w:firstLine="0"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构成本磋商文件的各个组成文件应互为解释，互为说明；如有不明确或不一致，按</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、供应商须知、评审办法、</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5B332F8">
      <w:pPr>
        <w:pStyle w:val="52"/>
        <w:spacing w:before="0" w:beforeLines="0" w:line="240" w:lineRule="auto"/>
        <w:rPr>
          <w:rFonts w:hint="eastAsia" w:ascii="宋体" w:hAnsi="宋体" w:eastAsia="宋体"/>
          <w:color w:val="auto"/>
          <w:sz w:val="21"/>
          <w:szCs w:val="21"/>
          <w:highlight w:val="none"/>
        </w:rPr>
      </w:pPr>
      <w:bookmarkStart w:id="21" w:name="_Toc455867814"/>
      <w:bookmarkStart w:id="22" w:name="_Toc152045598"/>
      <w:bookmarkStart w:id="23" w:name="_Toc466298137"/>
      <w:bookmarkStart w:id="24" w:name="_Toc455080154"/>
      <w:bookmarkStart w:id="25" w:name="_Toc152042375"/>
      <w:bookmarkStart w:id="26" w:name="_Toc144974565"/>
      <w:r>
        <w:rPr>
          <w:rFonts w:hint="eastAsia" w:ascii="宋体" w:hAnsi="宋体" w:eastAsia="宋体"/>
          <w:b/>
          <w:bCs/>
          <w:color w:val="auto"/>
          <w:sz w:val="24"/>
          <w:szCs w:val="24"/>
          <w:highlight w:val="none"/>
        </w:rPr>
        <w:t>1</w:t>
      </w:r>
      <w:r>
        <w:rPr>
          <w:rFonts w:hint="eastAsia" w:ascii="宋体" w:hAnsi="宋体" w:eastAsia="宋体"/>
          <w:b/>
          <w:bCs/>
          <w:color w:val="auto"/>
          <w:sz w:val="21"/>
          <w:szCs w:val="21"/>
          <w:highlight w:val="none"/>
        </w:rPr>
        <w:t>. 总则</w:t>
      </w:r>
    </w:p>
    <w:p w14:paraId="158E7A52">
      <w:pPr>
        <w:pStyle w:val="54"/>
        <w:spacing w:line="240" w:lineRule="auto"/>
        <w:outlineLvl w:val="0"/>
        <w:rPr>
          <w:rFonts w:hint="eastAsia" w:ascii="宋体" w:hAnsi="宋体" w:eastAsia="宋体"/>
          <w:b/>
          <w:bCs/>
          <w:color w:val="auto"/>
          <w:sz w:val="21"/>
          <w:szCs w:val="21"/>
          <w:highlight w:val="none"/>
        </w:rPr>
      </w:pPr>
      <w:bookmarkStart w:id="27" w:name="_Toc466298092"/>
      <w:bookmarkStart w:id="28" w:name="_Toc6747"/>
      <w:bookmarkStart w:id="29" w:name="_Toc20827"/>
      <w:bookmarkStart w:id="30" w:name="_Toc1172"/>
      <w:bookmarkStart w:id="31" w:name="_Toc281380952"/>
      <w:bookmarkStart w:id="32" w:name="_Toc10273"/>
      <w:bookmarkStart w:id="33" w:name="_Toc455867769"/>
      <w:bookmarkStart w:id="34" w:name="_Toc490667828"/>
      <w:bookmarkStart w:id="35" w:name="_Toc318450675"/>
      <w:bookmarkStart w:id="36" w:name="_Toc30015"/>
      <w:bookmarkStart w:id="37" w:name="_Toc455080109"/>
      <w:bookmarkStart w:id="38" w:name="_Toc21266"/>
      <w:bookmarkStart w:id="39" w:name="_Toc29023"/>
      <w:bookmarkStart w:id="40" w:name="_Toc15709"/>
      <w:bookmarkStart w:id="41" w:name="_Toc31404"/>
      <w:bookmarkStart w:id="42" w:name="_Toc274409866"/>
      <w:bookmarkStart w:id="43" w:name="_Toc658"/>
      <w:bookmarkStart w:id="44" w:name="_Toc21458"/>
      <w:bookmarkStart w:id="45" w:name="_Toc144974499"/>
      <w:bookmarkStart w:id="46" w:name="_Toc152045531"/>
      <w:bookmarkStart w:id="47" w:name="_Toc152042307"/>
      <w:r>
        <w:rPr>
          <w:rFonts w:hint="eastAsia" w:ascii="宋体" w:hAnsi="宋体" w:eastAsia="宋体"/>
          <w:b/>
          <w:bCs/>
          <w:color w:val="auto"/>
          <w:sz w:val="21"/>
          <w:szCs w:val="21"/>
          <w:highlight w:val="none"/>
        </w:rPr>
        <w:t>1.1 适用范围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A9DB0D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1.1.1根据《中华人民共和国政府采购法》等有关法律、法规和规章的规定，编制本项目磋商文件。</w:t>
      </w:r>
    </w:p>
    <w:p w14:paraId="5D58D3F7">
      <w:pPr>
        <w:pStyle w:val="54"/>
        <w:tabs>
          <w:tab w:val="left" w:pos="7410"/>
        </w:tabs>
        <w:spacing w:line="240" w:lineRule="auto"/>
        <w:outlineLvl w:val="0"/>
        <w:rPr>
          <w:rFonts w:hint="eastAsia" w:ascii="宋体" w:hAnsi="宋体" w:eastAsia="宋体"/>
          <w:b/>
          <w:bCs/>
          <w:color w:val="auto"/>
          <w:sz w:val="21"/>
          <w:szCs w:val="21"/>
          <w:highlight w:val="none"/>
        </w:rPr>
      </w:pPr>
      <w:bookmarkStart w:id="48" w:name="_Toc3336"/>
      <w:bookmarkStart w:id="49" w:name="_Toc13858"/>
      <w:bookmarkStart w:id="50" w:name="_Toc2929"/>
      <w:bookmarkStart w:id="51" w:name="_Toc455867770"/>
      <w:bookmarkStart w:id="52" w:name="_Toc24852"/>
      <w:bookmarkStart w:id="53" w:name="_Toc25773"/>
      <w:bookmarkStart w:id="54" w:name="_Toc466298093"/>
      <w:bookmarkStart w:id="55" w:name="_Toc10556"/>
      <w:bookmarkStart w:id="56" w:name="_Toc274409867"/>
      <w:bookmarkStart w:id="57" w:name="_Toc7237"/>
      <w:bookmarkStart w:id="58" w:name="_Toc455080110"/>
      <w:bookmarkStart w:id="59" w:name="_Toc318450676"/>
      <w:bookmarkStart w:id="60" w:name="_Toc281405468"/>
      <w:bookmarkStart w:id="61" w:name="_Toc30891"/>
      <w:bookmarkStart w:id="62" w:name="_Toc10269"/>
      <w:bookmarkStart w:id="63" w:name="_Toc32619"/>
      <w:bookmarkStart w:id="64" w:name="_Toc710"/>
      <w:bookmarkStart w:id="65" w:name="_Toc490667829"/>
      <w:r>
        <w:rPr>
          <w:rFonts w:hint="eastAsia" w:ascii="宋体" w:hAnsi="宋体" w:eastAsia="宋体"/>
          <w:b/>
          <w:bCs/>
          <w:color w:val="auto"/>
          <w:sz w:val="21"/>
          <w:szCs w:val="21"/>
          <w:highlight w:val="none"/>
        </w:rPr>
        <w:t>1.2 招标项目说明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76BF043">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本项目</w:t>
      </w:r>
      <w:r>
        <w:rPr>
          <w:rFonts w:hint="eastAsia" w:ascii="宋体" w:hAnsi="宋体"/>
          <w:color w:val="auto"/>
          <w:szCs w:val="21"/>
          <w:highlight w:val="none"/>
        </w:rPr>
        <w:t>采购人</w:t>
      </w:r>
      <w:r>
        <w:rPr>
          <w:rFonts w:hint="eastAsia" w:ascii="宋体" w:hAnsi="宋体" w:cs="宋体"/>
          <w:color w:val="auto"/>
          <w:szCs w:val="21"/>
          <w:highlight w:val="none"/>
        </w:rPr>
        <w:t>：见供应商须知前附表。</w:t>
      </w:r>
    </w:p>
    <w:p w14:paraId="42EABA6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本项目采购代理机构：见供应商须知前附表。</w:t>
      </w:r>
    </w:p>
    <w:p w14:paraId="19B2FD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本项目名称：见供应商须知前附表。</w:t>
      </w:r>
    </w:p>
    <w:p w14:paraId="5234D6F0">
      <w:pPr>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1.2.4本项目采购方式</w:t>
      </w:r>
      <w:r>
        <w:rPr>
          <w:rFonts w:hint="eastAsia" w:ascii="宋体" w:hAnsi="宋体" w:eastAsia="宋体" w:cs="宋体"/>
          <w:color w:val="auto"/>
          <w:szCs w:val="21"/>
          <w:highlight w:val="none"/>
        </w:rPr>
        <w:t>：见供应商须知前附表。</w:t>
      </w:r>
    </w:p>
    <w:p w14:paraId="7676BF86">
      <w:pPr>
        <w:spacing w:line="24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1.2.5本项目预算价（最高限价）</w:t>
      </w:r>
      <w:r>
        <w:rPr>
          <w:rFonts w:hint="eastAsia" w:ascii="宋体" w:hAnsi="宋体" w:eastAsia="宋体" w:cs="宋体"/>
          <w:color w:val="auto"/>
          <w:szCs w:val="21"/>
          <w:highlight w:val="none"/>
        </w:rPr>
        <w:t>：见供应商须知前附表。</w:t>
      </w:r>
    </w:p>
    <w:p w14:paraId="45C41BE1">
      <w:pPr>
        <w:pStyle w:val="54"/>
        <w:spacing w:line="240" w:lineRule="auto"/>
        <w:outlineLvl w:val="0"/>
        <w:rPr>
          <w:rFonts w:hint="eastAsia" w:ascii="宋体" w:hAnsi="宋体" w:eastAsia="宋体"/>
          <w:b/>
          <w:bCs/>
          <w:color w:val="auto"/>
          <w:sz w:val="21"/>
          <w:szCs w:val="21"/>
          <w:highlight w:val="none"/>
        </w:rPr>
      </w:pPr>
      <w:bookmarkStart w:id="66" w:name="_Toc490667830"/>
      <w:bookmarkStart w:id="67" w:name="_Toc281405469"/>
      <w:bookmarkStart w:id="68" w:name="_Toc318450677"/>
      <w:bookmarkStart w:id="69" w:name="_Toc4563"/>
      <w:bookmarkStart w:id="70" w:name="_Toc7622"/>
      <w:bookmarkStart w:id="71" w:name="_Toc455867771"/>
      <w:bookmarkStart w:id="72" w:name="_Toc4122"/>
      <w:bookmarkStart w:id="73" w:name="_Toc466298094"/>
      <w:bookmarkStart w:id="74" w:name="_Toc22979"/>
      <w:bookmarkStart w:id="75" w:name="_Toc455080111"/>
      <w:bookmarkStart w:id="76" w:name="_Toc18960"/>
      <w:bookmarkStart w:id="77" w:name="_Toc4952"/>
      <w:bookmarkStart w:id="78" w:name="_Toc17146"/>
      <w:bookmarkStart w:id="79" w:name="_Toc3477"/>
      <w:bookmarkStart w:id="80" w:name="_Toc16931"/>
      <w:bookmarkStart w:id="81" w:name="_Toc274409868"/>
      <w:bookmarkStart w:id="82" w:name="_Toc17016"/>
      <w:bookmarkStart w:id="83" w:name="_Toc1373"/>
      <w:r>
        <w:rPr>
          <w:rFonts w:hint="eastAsia" w:ascii="宋体" w:hAnsi="宋体" w:eastAsia="宋体"/>
          <w:b/>
          <w:bCs/>
          <w:color w:val="auto"/>
          <w:sz w:val="21"/>
          <w:szCs w:val="21"/>
          <w:highlight w:val="none"/>
        </w:rPr>
        <w:t>1.3 定义及解释</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D05BAE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w:t>
      </w:r>
      <w:r>
        <w:rPr>
          <w:rFonts w:hint="eastAsia" w:ascii="宋体" w:hAnsi="宋体"/>
          <w:color w:val="auto"/>
          <w:szCs w:val="21"/>
          <w:highlight w:val="none"/>
        </w:rPr>
        <w:t>采购人</w:t>
      </w:r>
      <w:r>
        <w:rPr>
          <w:rFonts w:hint="eastAsia" w:ascii="宋体" w:hAnsi="宋体" w:cs="宋体"/>
          <w:color w:val="auto"/>
          <w:szCs w:val="21"/>
          <w:highlight w:val="none"/>
        </w:rPr>
        <w:t>：依法进行政府采购的国家机关、事业单位、团体组织。</w:t>
      </w:r>
    </w:p>
    <w:p w14:paraId="0D47448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w:t>
      </w:r>
      <w:r>
        <w:rPr>
          <w:rFonts w:hint="eastAsia" w:ascii="宋体" w:hAnsi="宋体"/>
          <w:color w:val="auto"/>
          <w:szCs w:val="21"/>
          <w:highlight w:val="none"/>
        </w:rPr>
        <w:t>采购代理机构</w:t>
      </w:r>
      <w:r>
        <w:rPr>
          <w:rFonts w:hint="eastAsia" w:ascii="宋体" w:hAnsi="宋体" w:cs="宋体"/>
          <w:color w:val="auto"/>
          <w:szCs w:val="21"/>
          <w:highlight w:val="none"/>
        </w:rPr>
        <w:t>：取得政府采购招标代理资质，受采购人委托组织招标活动的社会中介组织。</w:t>
      </w:r>
    </w:p>
    <w:p w14:paraId="77A29ED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1.3.3服务：系指根据本磋商文件规定供应商须承担的服务以及其他类似的义务等。</w:t>
      </w:r>
    </w:p>
    <w:p w14:paraId="4460E501">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1.3.4供应商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：供应商是响应磋商文件、参加磋商竞争的中华人民共和国境内的法人、其它组织。</w:t>
      </w:r>
    </w:p>
    <w:p w14:paraId="5D4BB0C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1.3.5响应文件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：指供应商根据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提交的所有文件。</w:t>
      </w:r>
    </w:p>
    <w:p w14:paraId="78F5515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1.3.6磋商小组：依据</w:t>
      </w:r>
      <w:r>
        <w:rPr>
          <w:rFonts w:hint="eastAsia" w:ascii="宋体" w:hAnsi="宋体" w:cs="宋体"/>
          <w:color w:val="auto"/>
          <w:szCs w:val="21"/>
          <w:highlight w:val="none"/>
          <w:lang w:bidi="en-US"/>
        </w:rPr>
        <w:t>《中华人民共和国政府采购法》及有关法律、法规的规定依法组建的专门负责本次评标工作的临时机构</w:t>
      </w:r>
      <w:r>
        <w:rPr>
          <w:rFonts w:hint="eastAsia" w:ascii="宋体" w:hAnsi="宋体" w:cs="宋体"/>
          <w:color w:val="auto"/>
          <w:szCs w:val="21"/>
          <w:highlight w:val="none"/>
        </w:rPr>
        <w:t>。</w:t>
      </w:r>
    </w:p>
    <w:p w14:paraId="4F3C823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1.3.7偏离：响应文件的响应相对于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要求的偏差，该偏差优于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要求的为正偏离；劣于的，为负偏离。</w:t>
      </w:r>
    </w:p>
    <w:p w14:paraId="2D02542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1.3.8“日期”或“天”：指日历天。</w:t>
      </w:r>
    </w:p>
    <w:p w14:paraId="624A527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1.3.9合同：指依据本次服务采购招标结果签订的协议或合约文件。</w:t>
      </w:r>
    </w:p>
    <w:p w14:paraId="1BE0DDB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1.3.10</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中的标题或题名仅起引导作用，而不应视为对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内容的理解和解释。</w:t>
      </w:r>
    </w:p>
    <w:bookmarkEnd w:id="45"/>
    <w:bookmarkEnd w:id="46"/>
    <w:bookmarkEnd w:id="47"/>
    <w:p w14:paraId="0221DEB5">
      <w:pPr>
        <w:pStyle w:val="54"/>
        <w:spacing w:line="240" w:lineRule="auto"/>
        <w:outlineLvl w:val="0"/>
        <w:rPr>
          <w:rFonts w:hint="eastAsia" w:ascii="宋体" w:hAnsi="宋体" w:eastAsia="宋体"/>
          <w:b/>
          <w:bCs/>
          <w:color w:val="auto"/>
          <w:sz w:val="21"/>
          <w:szCs w:val="21"/>
          <w:highlight w:val="none"/>
          <w:lang w:eastAsia="zh-CN"/>
        </w:rPr>
      </w:pPr>
      <w:bookmarkStart w:id="84" w:name="_Toc466298095"/>
      <w:bookmarkStart w:id="85" w:name="_Toc318450678"/>
      <w:bookmarkStart w:id="86" w:name="_Toc490667831"/>
      <w:bookmarkStart w:id="87" w:name="_Toc152045532"/>
      <w:bookmarkStart w:id="88" w:name="_Toc144974500"/>
      <w:bookmarkStart w:id="89" w:name="_Toc19363"/>
      <w:bookmarkStart w:id="90" w:name="_Toc17908"/>
      <w:bookmarkStart w:id="91" w:name="_Toc455867772"/>
      <w:bookmarkStart w:id="92" w:name="_Toc17808"/>
      <w:bookmarkStart w:id="93" w:name="_Toc27407"/>
      <w:bookmarkStart w:id="94" w:name="_Toc152042308"/>
      <w:bookmarkStart w:id="95" w:name="_Toc16470"/>
      <w:bookmarkStart w:id="96" w:name="_Toc10894"/>
      <w:bookmarkStart w:id="97" w:name="_Toc21766"/>
      <w:bookmarkStart w:id="98" w:name="_Toc12752"/>
      <w:bookmarkStart w:id="99" w:name="_Toc14043"/>
      <w:bookmarkStart w:id="100" w:name="_Toc455080112"/>
      <w:bookmarkStart w:id="101" w:name="_Toc18207"/>
      <w:bookmarkStart w:id="102" w:name="_Toc32236"/>
      <w:r>
        <w:rPr>
          <w:rFonts w:hint="eastAsia" w:ascii="宋体" w:hAnsi="宋体" w:eastAsia="宋体"/>
          <w:b/>
          <w:bCs/>
          <w:color w:val="auto"/>
          <w:sz w:val="21"/>
          <w:szCs w:val="21"/>
          <w:highlight w:val="none"/>
        </w:rPr>
        <w:t xml:space="preserve">1.4 </w:t>
      </w:r>
      <w:r>
        <w:rPr>
          <w:rFonts w:hint="eastAsia" w:ascii="宋体" w:hAnsi="宋体" w:eastAsia="宋体"/>
          <w:b/>
          <w:bCs/>
          <w:color w:val="auto"/>
          <w:sz w:val="21"/>
          <w:szCs w:val="21"/>
          <w:highlight w:val="none"/>
          <w:lang w:eastAsia="zh-CN"/>
        </w:rPr>
        <w:t>磋商内容、工期、质保期</w:t>
      </w:r>
      <w:r>
        <w:rPr>
          <w:rFonts w:hint="eastAsia" w:ascii="宋体" w:hAnsi="宋体" w:eastAsia="宋体"/>
          <w:b/>
          <w:bCs/>
          <w:color w:val="auto"/>
          <w:sz w:val="21"/>
          <w:szCs w:val="21"/>
          <w:highlight w:val="none"/>
        </w:rPr>
        <w:t>和</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b/>
          <w:bCs/>
          <w:color w:val="auto"/>
          <w:sz w:val="21"/>
          <w:szCs w:val="21"/>
          <w:highlight w:val="none"/>
          <w:lang w:eastAsia="zh-CN"/>
        </w:rPr>
        <w:t>服务要求</w:t>
      </w:r>
    </w:p>
    <w:p w14:paraId="06B5683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本次</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：见供应商须知前附表。</w:t>
      </w:r>
    </w:p>
    <w:p w14:paraId="7440603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本项目的</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：见供应商须知前附表。</w:t>
      </w:r>
    </w:p>
    <w:p w14:paraId="2F5AC24C">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1.4.3本项目的</w:t>
      </w:r>
      <w:r>
        <w:rPr>
          <w:rFonts w:hint="eastAsia" w:ascii="宋体" w:hAnsi="宋体" w:cs="宋体"/>
          <w:color w:val="auto"/>
          <w:szCs w:val="21"/>
          <w:highlight w:val="none"/>
          <w:lang w:eastAsia="zh-CN"/>
        </w:rPr>
        <w:t>质保期</w:t>
      </w:r>
      <w:r>
        <w:rPr>
          <w:rFonts w:hint="eastAsia" w:ascii="宋体" w:hAnsi="宋体" w:cs="宋体"/>
          <w:color w:val="auto"/>
          <w:szCs w:val="21"/>
          <w:highlight w:val="none"/>
        </w:rPr>
        <w:t>：见供应商须知前附表。</w:t>
      </w:r>
    </w:p>
    <w:p w14:paraId="2283B4F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：见供应商须知前附表。</w:t>
      </w:r>
    </w:p>
    <w:p w14:paraId="5D1EFD4C">
      <w:pPr>
        <w:pStyle w:val="54"/>
        <w:spacing w:line="240" w:lineRule="auto"/>
        <w:outlineLvl w:val="0"/>
        <w:rPr>
          <w:rFonts w:hint="eastAsia" w:ascii="宋体" w:hAnsi="宋体" w:eastAsia="宋体"/>
          <w:b/>
          <w:bCs/>
          <w:color w:val="auto"/>
          <w:sz w:val="21"/>
          <w:szCs w:val="21"/>
          <w:highlight w:val="none"/>
        </w:rPr>
      </w:pPr>
      <w:bookmarkStart w:id="103" w:name="_Toc318450679"/>
      <w:bookmarkStart w:id="104" w:name="_Toc144974502"/>
      <w:bookmarkStart w:id="105" w:name="_Toc152042310"/>
      <w:bookmarkStart w:id="106" w:name="_Toc152045534"/>
      <w:bookmarkStart w:id="107" w:name="_Toc4711"/>
      <w:bookmarkStart w:id="108" w:name="_Toc466298096"/>
      <w:bookmarkStart w:id="109" w:name="_Toc490667832"/>
      <w:bookmarkStart w:id="110" w:name="_Toc18004"/>
      <w:bookmarkStart w:id="111" w:name="_Toc32156"/>
      <w:bookmarkStart w:id="112" w:name="_Toc1602"/>
      <w:bookmarkStart w:id="113" w:name="_Toc5019"/>
      <w:bookmarkStart w:id="114" w:name="_Toc22643"/>
      <w:bookmarkStart w:id="115" w:name="_Toc11063"/>
      <w:bookmarkStart w:id="116" w:name="_Toc455867773"/>
      <w:bookmarkStart w:id="117" w:name="_Toc455080113"/>
      <w:bookmarkStart w:id="118" w:name="_Toc19634"/>
      <w:bookmarkStart w:id="119" w:name="_Toc18689"/>
      <w:bookmarkStart w:id="120" w:name="_Toc4301"/>
      <w:bookmarkStart w:id="121" w:name="_Toc7209"/>
      <w:r>
        <w:rPr>
          <w:rFonts w:hint="eastAsia" w:ascii="宋体" w:hAnsi="宋体" w:eastAsia="宋体"/>
          <w:b/>
          <w:bCs/>
          <w:color w:val="auto"/>
          <w:sz w:val="21"/>
          <w:szCs w:val="21"/>
          <w:highlight w:val="none"/>
        </w:rPr>
        <w:t xml:space="preserve">1.5 </w:t>
      </w:r>
      <w:bookmarkEnd w:id="103"/>
      <w:bookmarkEnd w:id="104"/>
      <w:bookmarkEnd w:id="105"/>
      <w:bookmarkEnd w:id="106"/>
      <w:r>
        <w:rPr>
          <w:rFonts w:hint="eastAsia" w:ascii="宋体" w:hAnsi="宋体" w:eastAsia="宋体"/>
          <w:b/>
          <w:bCs/>
          <w:color w:val="auto"/>
          <w:sz w:val="21"/>
          <w:szCs w:val="21"/>
          <w:highlight w:val="none"/>
        </w:rPr>
        <w:t>供应商资质条件和能力</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854EE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1.5.1供应商资质及能力要求：见供应商须知前附表。</w:t>
      </w:r>
    </w:p>
    <w:p w14:paraId="15196A22">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1.5.2是否接受联合体：见供应商须知前附表。</w:t>
      </w:r>
    </w:p>
    <w:p w14:paraId="3B1FC1E3">
      <w:pPr>
        <w:pStyle w:val="54"/>
        <w:spacing w:line="240" w:lineRule="auto"/>
        <w:outlineLvl w:val="0"/>
        <w:rPr>
          <w:rFonts w:hint="eastAsia" w:ascii="宋体" w:hAnsi="宋体" w:eastAsia="宋体"/>
          <w:b/>
          <w:bCs/>
          <w:color w:val="auto"/>
          <w:sz w:val="21"/>
          <w:szCs w:val="21"/>
          <w:highlight w:val="none"/>
        </w:rPr>
      </w:pPr>
      <w:bookmarkStart w:id="122" w:name="_Toc31854"/>
      <w:bookmarkStart w:id="123" w:name="_Toc5162"/>
      <w:bookmarkStart w:id="124" w:name="_Toc32446"/>
      <w:bookmarkStart w:id="125" w:name="_Toc455867774"/>
      <w:bookmarkStart w:id="126" w:name="_Toc28135"/>
      <w:bookmarkStart w:id="127" w:name="_Toc152042311"/>
      <w:bookmarkStart w:id="128" w:name="_Toc318450680"/>
      <w:bookmarkStart w:id="129" w:name="_Toc9505"/>
      <w:bookmarkStart w:id="130" w:name="_Toc981"/>
      <w:bookmarkStart w:id="131" w:name="_Toc490667833"/>
      <w:bookmarkStart w:id="132" w:name="_Toc144974503"/>
      <w:bookmarkStart w:id="133" w:name="_Toc4046"/>
      <w:bookmarkStart w:id="134" w:name="_Toc16889"/>
      <w:bookmarkStart w:id="135" w:name="_Toc11905"/>
      <w:bookmarkStart w:id="136" w:name="_Toc455080114"/>
      <w:bookmarkStart w:id="137" w:name="_Toc651"/>
      <w:bookmarkStart w:id="138" w:name="_Toc12403"/>
      <w:bookmarkStart w:id="139" w:name="_Toc152045535"/>
      <w:bookmarkStart w:id="140" w:name="_Toc466298097"/>
      <w:r>
        <w:rPr>
          <w:rFonts w:hint="eastAsia" w:ascii="宋体" w:hAnsi="宋体" w:eastAsia="宋体"/>
          <w:b/>
          <w:bCs/>
          <w:color w:val="auto"/>
          <w:sz w:val="21"/>
          <w:szCs w:val="21"/>
          <w:highlight w:val="none"/>
        </w:rPr>
        <w:t>1.6 费用承担</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518701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供应商准备和参加磋商活动发生的费用自理，不论磋商的结果如何，采购人和采购代理机构在任何情况下均无义务和责任承担这些费用。</w:t>
      </w:r>
    </w:p>
    <w:p w14:paraId="3B305A83">
      <w:pPr>
        <w:pStyle w:val="54"/>
        <w:spacing w:line="240" w:lineRule="auto"/>
        <w:outlineLvl w:val="0"/>
        <w:rPr>
          <w:rFonts w:hint="eastAsia" w:ascii="宋体" w:hAnsi="宋体" w:eastAsia="宋体"/>
          <w:b/>
          <w:bCs/>
          <w:color w:val="auto"/>
          <w:sz w:val="21"/>
          <w:szCs w:val="21"/>
          <w:highlight w:val="none"/>
        </w:rPr>
      </w:pPr>
      <w:bookmarkStart w:id="141" w:name="_Toc318450681"/>
      <w:bookmarkStart w:id="142" w:name="_Toc2622"/>
      <w:bookmarkStart w:id="143" w:name="_Toc152045536"/>
      <w:bookmarkStart w:id="144" w:name="_Toc466298098"/>
      <w:bookmarkStart w:id="145" w:name="_Toc455080115"/>
      <w:bookmarkStart w:id="146" w:name="_Toc152042312"/>
      <w:bookmarkStart w:id="147" w:name="_Toc8055"/>
      <w:bookmarkStart w:id="148" w:name="_Toc22800"/>
      <w:bookmarkStart w:id="149" w:name="_Toc32053"/>
      <w:bookmarkStart w:id="150" w:name="_Toc455867775"/>
      <w:bookmarkStart w:id="151" w:name="_Toc5402"/>
      <w:bookmarkStart w:id="152" w:name="_Toc490667834"/>
      <w:bookmarkStart w:id="153" w:name="_Toc20145"/>
      <w:bookmarkStart w:id="154" w:name="_Toc144974504"/>
      <w:bookmarkStart w:id="155" w:name="_Toc6014"/>
      <w:bookmarkStart w:id="156" w:name="_Toc24601"/>
      <w:bookmarkStart w:id="157" w:name="_Toc22136"/>
      <w:bookmarkStart w:id="158" w:name="_Toc237"/>
      <w:bookmarkStart w:id="159" w:name="_Toc1879"/>
      <w:r>
        <w:rPr>
          <w:rFonts w:hint="eastAsia" w:ascii="宋体" w:hAnsi="宋体" w:eastAsia="宋体"/>
          <w:b/>
          <w:bCs/>
          <w:color w:val="auto"/>
          <w:sz w:val="21"/>
          <w:szCs w:val="21"/>
          <w:highlight w:val="none"/>
        </w:rPr>
        <w:t>1.7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5C7F2F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参与磋商活动的各方应对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和响应文件中的商业和技术等秘密保密，违者应对由此造成的后果承担法律责任。 </w:t>
      </w:r>
    </w:p>
    <w:p w14:paraId="41C0522F">
      <w:pPr>
        <w:pStyle w:val="54"/>
        <w:spacing w:line="240" w:lineRule="auto"/>
        <w:outlineLvl w:val="0"/>
        <w:rPr>
          <w:rFonts w:hint="eastAsia" w:ascii="宋体" w:hAnsi="宋体" w:eastAsia="宋体"/>
          <w:b/>
          <w:bCs/>
          <w:color w:val="auto"/>
          <w:sz w:val="21"/>
          <w:szCs w:val="21"/>
          <w:highlight w:val="none"/>
        </w:rPr>
      </w:pPr>
      <w:bookmarkStart w:id="160" w:name="_Toc144974505"/>
      <w:bookmarkStart w:id="161" w:name="_Toc30583"/>
      <w:bookmarkStart w:id="162" w:name="_Toc7274"/>
      <w:bookmarkStart w:id="163" w:name="_Toc13976"/>
      <w:bookmarkStart w:id="164" w:name="_Toc152042313"/>
      <w:bookmarkStart w:id="165" w:name="_Toc455867776"/>
      <w:bookmarkStart w:id="166" w:name="_Toc14775"/>
      <w:bookmarkStart w:id="167" w:name="_Toc152045537"/>
      <w:bookmarkStart w:id="168" w:name="_Toc30747"/>
      <w:bookmarkStart w:id="169" w:name="_Toc21089"/>
      <w:bookmarkStart w:id="170" w:name="_Toc455080116"/>
      <w:bookmarkStart w:id="171" w:name="_Toc490667835"/>
      <w:bookmarkStart w:id="172" w:name="_Toc15673"/>
      <w:bookmarkStart w:id="173" w:name="_Toc25517"/>
      <w:bookmarkStart w:id="174" w:name="_Toc3628"/>
      <w:bookmarkStart w:id="175" w:name="_Toc7031"/>
      <w:bookmarkStart w:id="176" w:name="_Toc318450682"/>
      <w:bookmarkStart w:id="177" w:name="_Toc6615"/>
      <w:bookmarkStart w:id="178" w:name="_Toc466298099"/>
      <w:r>
        <w:rPr>
          <w:rFonts w:hint="eastAsia" w:ascii="宋体" w:hAnsi="宋体" w:eastAsia="宋体"/>
          <w:b/>
          <w:bCs/>
          <w:color w:val="auto"/>
          <w:sz w:val="21"/>
          <w:szCs w:val="21"/>
          <w:highlight w:val="none"/>
        </w:rPr>
        <w:t>1.8 语言</w:t>
      </w:r>
      <w:bookmarkEnd w:id="160"/>
      <w:r>
        <w:rPr>
          <w:rFonts w:hint="eastAsia" w:ascii="宋体" w:hAnsi="宋体" w:eastAsia="宋体"/>
          <w:b/>
          <w:bCs/>
          <w:color w:val="auto"/>
          <w:sz w:val="21"/>
          <w:szCs w:val="21"/>
          <w:highlight w:val="none"/>
        </w:rPr>
        <w:t>文字</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5A6EB5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r>
        <w:rPr>
          <w:rFonts w:hint="eastAsia" w:ascii="宋体" w:hAnsi="宋体" w:cs="宋体"/>
          <w:color w:val="auto"/>
          <w:szCs w:val="21"/>
          <w:highlight w:val="none"/>
          <w:lang w:bidi="en-US"/>
        </w:rPr>
        <w:t>对不同文字文本响应文件的解释发生异议的，以中文文本为准。</w:t>
      </w:r>
    </w:p>
    <w:p w14:paraId="1928F8CC">
      <w:pPr>
        <w:pStyle w:val="54"/>
        <w:spacing w:line="240" w:lineRule="auto"/>
        <w:outlineLvl w:val="0"/>
        <w:rPr>
          <w:rFonts w:hint="eastAsia" w:ascii="宋体" w:hAnsi="宋体" w:eastAsia="宋体"/>
          <w:b/>
          <w:bCs/>
          <w:color w:val="auto"/>
          <w:sz w:val="21"/>
          <w:szCs w:val="21"/>
          <w:highlight w:val="none"/>
        </w:rPr>
      </w:pPr>
      <w:bookmarkStart w:id="179" w:name="_Toc466298100"/>
      <w:bookmarkStart w:id="180" w:name="_Toc32507"/>
      <w:bookmarkStart w:id="181" w:name="_Toc14934"/>
      <w:bookmarkStart w:id="182" w:name="_Toc4237"/>
      <w:bookmarkStart w:id="183" w:name="_Toc9446"/>
      <w:bookmarkStart w:id="184" w:name="_Toc455867777"/>
      <w:bookmarkStart w:id="185" w:name="_Toc22378"/>
      <w:bookmarkStart w:id="186" w:name="_Toc490667836"/>
      <w:bookmarkStart w:id="187" w:name="_Toc152045538"/>
      <w:bookmarkStart w:id="188" w:name="_Toc455080117"/>
      <w:bookmarkStart w:id="189" w:name="_Toc152042314"/>
      <w:bookmarkStart w:id="190" w:name="_Toc2702"/>
      <w:bookmarkStart w:id="191" w:name="_Toc4501"/>
      <w:bookmarkStart w:id="192" w:name="_Toc144974506"/>
      <w:bookmarkStart w:id="193" w:name="_Toc318450683"/>
      <w:bookmarkStart w:id="194" w:name="_Toc25300"/>
      <w:bookmarkStart w:id="195" w:name="_Toc22415"/>
      <w:bookmarkStart w:id="196" w:name="_Toc18357"/>
      <w:bookmarkStart w:id="197" w:name="_Toc24337"/>
      <w:r>
        <w:rPr>
          <w:rFonts w:hint="eastAsia" w:ascii="宋体" w:hAnsi="宋体" w:eastAsia="宋体"/>
          <w:b/>
          <w:bCs/>
          <w:color w:val="auto"/>
          <w:sz w:val="21"/>
          <w:szCs w:val="21"/>
          <w:highlight w:val="none"/>
        </w:rPr>
        <w:t>1.9 计量单位</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7B8263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93F8F9C">
      <w:pPr>
        <w:pStyle w:val="54"/>
        <w:spacing w:line="240" w:lineRule="auto"/>
        <w:outlineLvl w:val="0"/>
        <w:rPr>
          <w:rFonts w:hint="eastAsia" w:ascii="宋体" w:hAnsi="宋体" w:eastAsia="宋体"/>
          <w:b w:val="0"/>
          <w:bCs w:val="0"/>
          <w:color w:val="auto"/>
          <w:sz w:val="21"/>
          <w:szCs w:val="21"/>
          <w:highlight w:val="none"/>
          <w:lang w:eastAsia="zh-CN"/>
        </w:rPr>
      </w:pPr>
      <w:bookmarkStart w:id="198" w:name="_Toc490667837"/>
      <w:bookmarkStart w:id="199" w:name="_Toc12027"/>
      <w:bookmarkStart w:id="200" w:name="_Toc27570"/>
      <w:bookmarkStart w:id="201" w:name="_Toc19685"/>
      <w:bookmarkStart w:id="202" w:name="_Toc2508"/>
      <w:bookmarkStart w:id="203" w:name="_Toc31195"/>
      <w:bookmarkStart w:id="204" w:name="_Toc284"/>
      <w:bookmarkStart w:id="205" w:name="_Toc455080118"/>
      <w:bookmarkStart w:id="206" w:name="_Toc18589"/>
      <w:bookmarkStart w:id="207" w:name="_Toc318450684"/>
      <w:bookmarkStart w:id="208" w:name="_Toc152042316"/>
      <w:bookmarkStart w:id="209" w:name="_Toc29845"/>
      <w:bookmarkStart w:id="210" w:name="_Toc466298101"/>
      <w:bookmarkStart w:id="211" w:name="_Toc144974508"/>
      <w:bookmarkStart w:id="212" w:name="_Toc455867778"/>
      <w:bookmarkStart w:id="213" w:name="_Toc152045540"/>
      <w:bookmarkStart w:id="214" w:name="_Toc338"/>
      <w:bookmarkStart w:id="215" w:name="_Toc13675"/>
      <w:bookmarkStart w:id="216" w:name="_Toc21668"/>
      <w:r>
        <w:rPr>
          <w:rFonts w:hint="eastAsia" w:ascii="宋体" w:hAnsi="宋体" w:eastAsia="宋体"/>
          <w:b/>
          <w:bCs/>
          <w:color w:val="auto"/>
          <w:sz w:val="21"/>
          <w:szCs w:val="21"/>
          <w:highlight w:val="none"/>
        </w:rPr>
        <w:t xml:space="preserve">1.10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宋体" w:hAnsi="宋体" w:eastAsia="宋体"/>
          <w:b/>
          <w:bCs/>
          <w:color w:val="auto"/>
          <w:sz w:val="21"/>
          <w:szCs w:val="21"/>
          <w:highlight w:val="none"/>
          <w:lang w:eastAsia="zh-CN"/>
        </w:rPr>
        <w:t>现场踏勘：</w:t>
      </w:r>
      <w:r>
        <w:rPr>
          <w:rFonts w:hint="eastAsia" w:ascii="宋体" w:hAnsi="宋体" w:eastAsia="宋体"/>
          <w:b w:val="0"/>
          <w:bCs w:val="0"/>
          <w:color w:val="auto"/>
          <w:sz w:val="21"/>
          <w:szCs w:val="21"/>
          <w:highlight w:val="none"/>
          <w:lang w:eastAsia="zh-CN"/>
        </w:rPr>
        <w:t>自行踏勘，与之相关的费用，供应商自行承担。</w:t>
      </w:r>
      <w:bookmarkEnd w:id="216"/>
    </w:p>
    <w:p w14:paraId="6005D6FC">
      <w:pPr>
        <w:pStyle w:val="54"/>
        <w:spacing w:line="240" w:lineRule="auto"/>
        <w:outlineLvl w:val="0"/>
        <w:rPr>
          <w:rFonts w:hint="eastAsia" w:ascii="宋体" w:hAnsi="宋体" w:eastAsia="宋体"/>
          <w:b/>
          <w:bCs/>
          <w:color w:val="auto"/>
          <w:sz w:val="21"/>
          <w:szCs w:val="21"/>
          <w:highlight w:val="none"/>
        </w:rPr>
      </w:pPr>
      <w:bookmarkStart w:id="217" w:name="_Toc32757"/>
      <w:bookmarkStart w:id="218" w:name="_Toc455080119"/>
      <w:bookmarkStart w:id="219" w:name="_Toc23635"/>
      <w:bookmarkStart w:id="220" w:name="_Toc466298102"/>
      <w:bookmarkStart w:id="221" w:name="_Toc144974509"/>
      <w:bookmarkStart w:id="222" w:name="_Toc318450685"/>
      <w:bookmarkStart w:id="223" w:name="_Toc23678"/>
      <w:bookmarkStart w:id="224" w:name="_Toc25208"/>
      <w:bookmarkStart w:id="225" w:name="_Toc11744"/>
      <w:bookmarkStart w:id="226" w:name="_Toc24262"/>
      <w:bookmarkStart w:id="227" w:name="_Toc12562"/>
      <w:bookmarkStart w:id="228" w:name="_Toc3853"/>
      <w:bookmarkStart w:id="229" w:name="_Toc455867779"/>
      <w:bookmarkStart w:id="230" w:name="_Toc31725"/>
      <w:bookmarkStart w:id="231" w:name="_Toc16631"/>
      <w:bookmarkStart w:id="232" w:name="_Toc9182"/>
      <w:bookmarkStart w:id="233" w:name="_Toc490667838"/>
      <w:bookmarkStart w:id="234" w:name="_Toc152042317"/>
      <w:bookmarkStart w:id="235" w:name="_Toc152045541"/>
      <w:r>
        <w:rPr>
          <w:rFonts w:hint="eastAsia" w:ascii="宋体" w:hAnsi="宋体" w:eastAsia="宋体"/>
          <w:b/>
          <w:bCs/>
          <w:color w:val="auto"/>
          <w:sz w:val="21"/>
          <w:szCs w:val="21"/>
          <w:highlight w:val="none"/>
        </w:rPr>
        <w:t>1.11分包</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B1A652F">
      <w:pPr>
        <w:spacing w:line="24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是否允许分包：见供应商须知前附表。</w:t>
      </w:r>
      <w:bookmarkStart w:id="236" w:name="_Toc144974510"/>
      <w:bookmarkStart w:id="237" w:name="_Toc152045542"/>
      <w:bookmarkStart w:id="238" w:name="_Toc152042318"/>
      <w:bookmarkStart w:id="239" w:name="_Toc455080120"/>
    </w:p>
    <w:bookmarkEnd w:id="236"/>
    <w:bookmarkEnd w:id="237"/>
    <w:bookmarkEnd w:id="238"/>
    <w:p w14:paraId="581168EF">
      <w:pPr>
        <w:spacing w:line="240" w:lineRule="auto"/>
        <w:outlineLvl w:val="1"/>
        <w:rPr>
          <w:rFonts w:hint="eastAsia" w:ascii="宋体" w:hAnsi="宋体" w:eastAsia="宋体"/>
          <w:b/>
          <w:bCs/>
          <w:color w:val="auto"/>
          <w:szCs w:val="21"/>
          <w:highlight w:val="none"/>
          <w:lang w:eastAsia="zh-CN"/>
        </w:rPr>
      </w:pPr>
      <w:bookmarkStart w:id="240" w:name="_Toc12453"/>
      <w:r>
        <w:rPr>
          <w:rFonts w:hint="eastAsia" w:ascii="宋体" w:hAnsi="宋体"/>
          <w:b/>
          <w:bCs/>
          <w:color w:val="auto"/>
          <w:szCs w:val="21"/>
          <w:highlight w:val="none"/>
        </w:rPr>
        <w:t>2.</w:t>
      </w:r>
      <w:bookmarkEnd w:id="239"/>
      <w:bookmarkEnd w:id="240"/>
      <w:r>
        <w:rPr>
          <w:rFonts w:hint="eastAsia" w:ascii="宋体" w:hAnsi="宋体"/>
          <w:b/>
          <w:bCs/>
          <w:color w:val="auto"/>
          <w:szCs w:val="21"/>
          <w:highlight w:val="none"/>
          <w:lang w:eastAsia="zh-CN"/>
        </w:rPr>
        <w:t>竞争性磋商文件</w:t>
      </w:r>
    </w:p>
    <w:p w14:paraId="09201A52">
      <w:pPr>
        <w:pStyle w:val="54"/>
        <w:spacing w:line="240" w:lineRule="auto"/>
        <w:outlineLvl w:val="0"/>
        <w:rPr>
          <w:rFonts w:hint="eastAsia" w:ascii="宋体" w:hAnsi="宋体" w:eastAsia="宋体"/>
          <w:b/>
          <w:bCs/>
          <w:color w:val="auto"/>
          <w:sz w:val="21"/>
          <w:szCs w:val="21"/>
          <w:highlight w:val="none"/>
        </w:rPr>
      </w:pPr>
      <w:bookmarkStart w:id="241" w:name="_Toc152045543"/>
      <w:bookmarkStart w:id="242" w:name="_Toc11599"/>
      <w:bookmarkStart w:id="243" w:name="_Toc12640"/>
      <w:bookmarkStart w:id="244" w:name="_Toc23649"/>
      <w:bookmarkStart w:id="245" w:name="_Toc32711"/>
      <w:bookmarkStart w:id="246" w:name="_Toc318450687"/>
      <w:bookmarkStart w:id="247" w:name="_Toc1008"/>
      <w:bookmarkStart w:id="248" w:name="_Toc3982"/>
      <w:bookmarkStart w:id="249" w:name="_Toc12004"/>
      <w:bookmarkStart w:id="250" w:name="_Toc17386"/>
      <w:bookmarkStart w:id="251" w:name="_Toc9780"/>
      <w:bookmarkStart w:id="252" w:name="_Toc11567"/>
      <w:bookmarkStart w:id="253" w:name="_Toc455867781"/>
      <w:bookmarkStart w:id="254" w:name="_Toc144974511"/>
      <w:bookmarkStart w:id="255" w:name="_Toc455080121"/>
      <w:bookmarkStart w:id="256" w:name="_Toc152042319"/>
      <w:bookmarkStart w:id="257" w:name="_Toc490667840"/>
      <w:bookmarkStart w:id="258" w:name="_Toc466298104"/>
      <w:bookmarkStart w:id="259" w:name="_Toc7999"/>
      <w:r>
        <w:rPr>
          <w:rFonts w:hint="eastAsia" w:ascii="宋体" w:hAnsi="宋体" w:eastAsia="宋体"/>
          <w:b/>
          <w:bCs/>
          <w:color w:val="auto"/>
          <w:sz w:val="21"/>
          <w:szCs w:val="21"/>
          <w:highlight w:val="none"/>
        </w:rPr>
        <w:t>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 xml:space="preserve">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3A9D05F">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包括：</w:t>
      </w:r>
    </w:p>
    <w:p w14:paraId="25D6BAC5">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w:t>
      </w:r>
    </w:p>
    <w:p w14:paraId="4537DAEB">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674A0096">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（3）评审办法；</w:t>
      </w:r>
    </w:p>
    <w:p w14:paraId="244411EA">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河南省政府采购合同（参考文本）</w:t>
      </w:r>
      <w:r>
        <w:rPr>
          <w:rFonts w:hint="eastAsia" w:ascii="宋体" w:hAnsi="宋体" w:cs="宋体"/>
          <w:color w:val="auto"/>
          <w:szCs w:val="21"/>
          <w:highlight w:val="none"/>
        </w:rPr>
        <w:t>；</w:t>
      </w:r>
    </w:p>
    <w:p w14:paraId="6CDC1ED1">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服务内容及要求</w:t>
      </w:r>
      <w:r>
        <w:rPr>
          <w:rFonts w:hint="eastAsia" w:ascii="宋体" w:hAnsi="宋体" w:cs="宋体"/>
          <w:color w:val="auto"/>
          <w:szCs w:val="21"/>
          <w:highlight w:val="none"/>
        </w:rPr>
        <w:t>；</w:t>
      </w:r>
    </w:p>
    <w:p w14:paraId="6074996C">
      <w:pPr>
        <w:spacing w:line="240" w:lineRule="auto"/>
        <w:ind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w:t>
      </w:r>
    </w:p>
    <w:p w14:paraId="2BF57AF5">
      <w:pPr>
        <w:spacing w:line="24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2D3063DA">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根据本章第2.2款和第2.3款对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所作的澄清、修改，构成</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的组成部分。</w:t>
      </w:r>
    </w:p>
    <w:p w14:paraId="6708E0A3">
      <w:pPr>
        <w:pStyle w:val="54"/>
        <w:spacing w:line="240" w:lineRule="auto"/>
        <w:outlineLvl w:val="0"/>
        <w:rPr>
          <w:rFonts w:hint="eastAsia" w:ascii="宋体" w:hAnsi="宋体" w:eastAsia="宋体"/>
          <w:b/>
          <w:bCs/>
          <w:color w:val="auto"/>
          <w:sz w:val="21"/>
          <w:szCs w:val="21"/>
          <w:highlight w:val="none"/>
        </w:rPr>
      </w:pPr>
      <w:bookmarkStart w:id="260" w:name="_Toc15658"/>
      <w:bookmarkStart w:id="261" w:name="_Toc31680"/>
      <w:bookmarkStart w:id="262" w:name="_Toc152045546"/>
      <w:bookmarkStart w:id="263" w:name="_Toc152042322"/>
      <w:bookmarkStart w:id="264" w:name="_Toc144974514"/>
      <w:bookmarkStart w:id="265" w:name="_Toc455080124"/>
      <w:r>
        <w:rPr>
          <w:rFonts w:hint="eastAsia" w:ascii="宋体" w:hAnsi="宋体" w:eastAsia="宋体"/>
          <w:b/>
          <w:bCs/>
          <w:color w:val="auto"/>
          <w:sz w:val="21"/>
          <w:szCs w:val="21"/>
          <w:highlight w:val="none"/>
        </w:rPr>
        <w:t xml:space="preserve">2.2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的澄清</w:t>
      </w:r>
      <w:bookmarkEnd w:id="260"/>
      <w:bookmarkEnd w:id="261"/>
    </w:p>
    <w:p w14:paraId="642E253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2.2.1供应商应仔细阅读和检查</w:t>
      </w:r>
      <w:r>
        <w:rPr>
          <w:rFonts w:hint="eastAsia" w:ascii="宋体" w:hAnsi="宋体" w:cs="宋体"/>
          <w:color w:val="auto"/>
          <w:highlight w:val="none"/>
          <w:lang w:eastAsia="zh-CN"/>
        </w:rPr>
        <w:t>竞争性磋商文件</w:t>
      </w:r>
      <w:r>
        <w:rPr>
          <w:rFonts w:hint="eastAsia" w:ascii="宋体" w:hAnsi="宋体" w:cs="宋体"/>
          <w:color w:val="auto"/>
          <w:highlight w:val="none"/>
        </w:rPr>
        <w:t>的全部内容。</w:t>
      </w:r>
      <w:r>
        <w:rPr>
          <w:rFonts w:hint="eastAsia" w:ascii="宋体" w:hAnsi="宋体" w:cs="宋体"/>
          <w:color w:val="auto"/>
          <w:szCs w:val="21"/>
          <w:highlight w:val="none"/>
        </w:rPr>
        <w:t>如发现缺页或附件不全，应及时向采购人提出，以便补齐。</w:t>
      </w:r>
      <w:r>
        <w:rPr>
          <w:rFonts w:hint="eastAsia" w:ascii="宋体" w:hAnsi="宋体" w:cs="宋体"/>
          <w:color w:val="auto"/>
          <w:highlight w:val="none"/>
        </w:rPr>
        <w:t>如有疑问，应在供应商须知前附表规定的时间前</w:t>
      </w:r>
      <w:r>
        <w:rPr>
          <w:rFonts w:hint="eastAsia" w:ascii="宋体" w:hAnsi="宋体"/>
          <w:color w:val="auto"/>
          <w:szCs w:val="21"/>
          <w:highlight w:val="none"/>
        </w:rPr>
        <w:t>以书面形式（包括信函、电报、传真等可以有形表现所载内容的形式，下同），</w:t>
      </w:r>
      <w:r>
        <w:rPr>
          <w:rFonts w:hint="eastAsia" w:ascii="宋体" w:hAnsi="宋体" w:cs="宋体"/>
          <w:color w:val="auto"/>
          <w:highlight w:val="none"/>
        </w:rPr>
        <w:t>要求采购人对</w:t>
      </w:r>
      <w:r>
        <w:rPr>
          <w:rFonts w:hint="eastAsia" w:ascii="宋体" w:hAnsi="宋体" w:cs="宋体"/>
          <w:color w:val="auto"/>
          <w:highlight w:val="none"/>
          <w:lang w:eastAsia="zh-CN"/>
        </w:rPr>
        <w:t>竞争性磋商文件</w:t>
      </w:r>
      <w:r>
        <w:rPr>
          <w:rFonts w:hint="eastAsia" w:ascii="宋体" w:hAnsi="宋体" w:cs="宋体"/>
          <w:color w:val="auto"/>
          <w:highlight w:val="none"/>
        </w:rPr>
        <w:t>予以澄清。</w:t>
      </w:r>
    </w:p>
    <w:p w14:paraId="0801FE6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2.2.2 </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的澄清将在供应商须知前附表规定的响应文件递交截止时间5天前在信阳市公共资源交易系统“变更公告”或“答疑文件”</w:t>
      </w:r>
      <w:r>
        <w:rPr>
          <w:rFonts w:hint="eastAsia" w:ascii="宋体" w:hAnsi="宋体"/>
          <w:color w:val="auto"/>
          <w:szCs w:val="21"/>
          <w:highlight w:val="none"/>
        </w:rPr>
        <w:t>将澄清内容予以发布，</w:t>
      </w:r>
      <w:r>
        <w:rPr>
          <w:rFonts w:hint="eastAsia" w:ascii="宋体" w:hAnsi="宋体" w:cs="宋体"/>
          <w:color w:val="auto"/>
          <w:highlight w:val="none"/>
        </w:rPr>
        <w:t>但不指明澄清问题的来源。如果澄清的内容可能影响响应文件编制且发出的时间距响应文件递交截止时间不足5天，相应延长投标截止时间。</w:t>
      </w:r>
    </w:p>
    <w:p w14:paraId="4CEBCF7B">
      <w:pPr>
        <w:spacing w:line="240" w:lineRule="auto"/>
        <w:ind w:firstLine="420" w:firstLineChars="200"/>
        <w:rPr>
          <w:rFonts w:hint="eastAsia"/>
          <w:color w:val="auto"/>
          <w:highlight w:val="none"/>
        </w:rPr>
      </w:pPr>
      <w:r>
        <w:rPr>
          <w:rFonts w:hint="eastAsia" w:ascii="宋体" w:hAnsi="宋体"/>
          <w:color w:val="auto"/>
          <w:szCs w:val="21"/>
          <w:highlight w:val="none"/>
        </w:rPr>
        <w:t>2.2.3供应商应在响应文件递交截止时间前及时查看澄清内容，因供应商未及时查看而造成的后果自负。</w:t>
      </w:r>
    </w:p>
    <w:p w14:paraId="552941FB">
      <w:pPr>
        <w:pStyle w:val="54"/>
        <w:spacing w:line="240" w:lineRule="auto"/>
        <w:outlineLvl w:val="0"/>
        <w:rPr>
          <w:rFonts w:hint="eastAsia" w:ascii="宋体" w:hAnsi="宋体" w:eastAsia="宋体"/>
          <w:b/>
          <w:bCs/>
          <w:color w:val="auto"/>
          <w:sz w:val="21"/>
          <w:szCs w:val="21"/>
          <w:highlight w:val="none"/>
        </w:rPr>
      </w:pPr>
      <w:bookmarkStart w:id="266" w:name="_Toc8263"/>
      <w:bookmarkStart w:id="267" w:name="_Toc2276"/>
      <w:r>
        <w:rPr>
          <w:rFonts w:hint="eastAsia" w:ascii="宋体" w:hAnsi="宋体" w:eastAsia="宋体"/>
          <w:b/>
          <w:bCs/>
          <w:color w:val="auto"/>
          <w:sz w:val="21"/>
          <w:szCs w:val="21"/>
          <w:highlight w:val="none"/>
        </w:rPr>
        <w:t xml:space="preserve">2.3 </w:t>
      </w:r>
      <w:r>
        <w:rPr>
          <w:rFonts w:hint="eastAsia" w:ascii="宋体" w:hAnsi="宋体" w:eastAsia="宋体"/>
          <w:b/>
          <w:bCs/>
          <w:color w:val="auto"/>
          <w:sz w:val="21"/>
          <w:szCs w:val="21"/>
          <w:highlight w:val="none"/>
          <w:lang w:eastAsia="zh-CN"/>
        </w:rPr>
        <w:t>竞争性磋商文件</w:t>
      </w:r>
      <w:r>
        <w:rPr>
          <w:rFonts w:hint="eastAsia" w:ascii="宋体" w:hAnsi="宋体" w:eastAsia="宋体"/>
          <w:b/>
          <w:bCs/>
          <w:color w:val="auto"/>
          <w:sz w:val="21"/>
          <w:szCs w:val="21"/>
          <w:highlight w:val="none"/>
        </w:rPr>
        <w:t>的修改</w:t>
      </w:r>
      <w:bookmarkEnd w:id="266"/>
      <w:bookmarkEnd w:id="267"/>
    </w:p>
    <w:p w14:paraId="4923679E">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2.3.1 在响应文件递交截止时间5天前，采购人可以修改</w:t>
      </w:r>
      <w:r>
        <w:rPr>
          <w:rFonts w:hint="eastAsia" w:ascii="宋体" w:hAnsi="宋体" w:cs="宋体"/>
          <w:color w:val="auto"/>
          <w:highlight w:val="none"/>
          <w:lang w:eastAsia="zh-CN"/>
        </w:rPr>
        <w:t>竞争性磋商文件</w:t>
      </w:r>
      <w:r>
        <w:rPr>
          <w:rFonts w:hint="eastAsia" w:ascii="宋体" w:hAnsi="宋体" w:cs="宋体"/>
          <w:color w:val="auto"/>
          <w:highlight w:val="none"/>
        </w:rPr>
        <w:t>。如有修改，应在信阳市公共资源交易系统“变更公告”或“答疑文件”</w:t>
      </w:r>
      <w:r>
        <w:rPr>
          <w:rFonts w:hint="eastAsia" w:ascii="宋体" w:hAnsi="宋体"/>
          <w:color w:val="auto"/>
          <w:szCs w:val="21"/>
          <w:highlight w:val="none"/>
        </w:rPr>
        <w:t>将修改内容予以发布</w:t>
      </w:r>
      <w:r>
        <w:rPr>
          <w:rFonts w:hint="eastAsia" w:ascii="宋体" w:hAnsi="宋体" w:cs="宋体"/>
          <w:color w:val="auto"/>
          <w:highlight w:val="none"/>
        </w:rPr>
        <w:t>。如果修改的内容可能影响响应文件编制且发出的时间距响应文件递交截止时间不足5天，相应延长响应文件递交截止时间。</w:t>
      </w:r>
    </w:p>
    <w:p w14:paraId="49E40C6D">
      <w:pPr>
        <w:spacing w:line="240" w:lineRule="auto"/>
        <w:ind w:firstLine="420"/>
        <w:rPr>
          <w:rFonts w:hint="eastAsia" w:ascii="宋体" w:hAnsi="宋体"/>
          <w:color w:val="auto"/>
          <w:szCs w:val="21"/>
          <w:highlight w:val="none"/>
        </w:rPr>
      </w:pPr>
      <w:r>
        <w:rPr>
          <w:rFonts w:hint="eastAsia" w:ascii="宋体" w:hAnsi="宋体" w:cs="宋体"/>
          <w:color w:val="auto"/>
          <w:highlight w:val="none"/>
        </w:rPr>
        <w:t>2.3.2当</w:t>
      </w:r>
      <w:r>
        <w:rPr>
          <w:rFonts w:hint="eastAsia" w:ascii="宋体" w:hAnsi="宋体" w:cs="宋体"/>
          <w:color w:val="auto"/>
          <w:highlight w:val="none"/>
          <w:lang w:eastAsia="zh-CN"/>
        </w:rPr>
        <w:t>竞争性磋商文件</w:t>
      </w:r>
      <w:r>
        <w:rPr>
          <w:rFonts w:hint="eastAsia" w:ascii="宋体" w:hAnsi="宋体" w:cs="宋体"/>
          <w:color w:val="auto"/>
          <w:highlight w:val="none"/>
        </w:rPr>
        <w:t>的澄清、修改、补充等在同一内容的表述上不一致时，</w:t>
      </w:r>
      <w:r>
        <w:rPr>
          <w:rFonts w:hint="eastAsia" w:ascii="宋体" w:hAnsi="宋体"/>
          <w:color w:val="auto"/>
          <w:szCs w:val="21"/>
          <w:highlight w:val="none"/>
        </w:rPr>
        <w:t>以最后在信阳市公共资源交易系统发出的文件为准。</w:t>
      </w:r>
    </w:p>
    <w:p w14:paraId="6A5B08AC">
      <w:pPr>
        <w:spacing w:line="240" w:lineRule="auto"/>
        <w:ind w:firstLine="420" w:firstLineChars="200"/>
        <w:rPr>
          <w:color w:val="auto"/>
          <w:highlight w:val="none"/>
        </w:rPr>
      </w:pPr>
      <w:r>
        <w:rPr>
          <w:rFonts w:hint="eastAsia" w:ascii="宋体" w:hAnsi="宋体" w:cs="宋体"/>
          <w:color w:val="auto"/>
          <w:highlight w:val="none"/>
        </w:rPr>
        <w:t>2.3.3</w:t>
      </w:r>
      <w:r>
        <w:rPr>
          <w:rFonts w:hint="eastAsia" w:ascii="宋体" w:hAnsi="宋体"/>
          <w:color w:val="auto"/>
          <w:szCs w:val="21"/>
          <w:highlight w:val="none"/>
        </w:rPr>
        <w:t>供应商应在响应文件递交截止时间前及时查看修改内容，因供应商未及时查看而造成的后果自负。</w:t>
      </w:r>
    </w:p>
    <w:p w14:paraId="5EF55D7F">
      <w:pPr>
        <w:pStyle w:val="52"/>
        <w:spacing w:before="0" w:beforeLines="0" w:line="240" w:lineRule="auto"/>
        <w:rPr>
          <w:rFonts w:hint="eastAsia" w:ascii="宋体" w:hAnsi="宋体" w:eastAsia="宋体"/>
          <w:b/>
          <w:bCs/>
          <w:color w:val="auto"/>
          <w:sz w:val="21"/>
          <w:szCs w:val="21"/>
          <w:highlight w:val="none"/>
        </w:rPr>
      </w:pPr>
      <w:bookmarkStart w:id="268" w:name="_Toc4666"/>
      <w:r>
        <w:rPr>
          <w:rFonts w:hint="eastAsia" w:ascii="宋体" w:hAnsi="宋体" w:eastAsia="宋体"/>
          <w:b/>
          <w:bCs/>
          <w:color w:val="auto"/>
          <w:sz w:val="21"/>
          <w:szCs w:val="21"/>
          <w:highlight w:val="none"/>
        </w:rPr>
        <w:t xml:space="preserve">3. </w:t>
      </w:r>
      <w:bookmarkEnd w:id="262"/>
      <w:bookmarkEnd w:id="263"/>
      <w:bookmarkEnd w:id="264"/>
      <w:r>
        <w:rPr>
          <w:rFonts w:hint="eastAsia" w:ascii="宋体" w:hAnsi="宋体" w:eastAsia="宋体"/>
          <w:b/>
          <w:bCs/>
          <w:color w:val="auto"/>
          <w:sz w:val="21"/>
          <w:szCs w:val="21"/>
          <w:highlight w:val="none"/>
        </w:rPr>
        <w:t>响应文件</w:t>
      </w:r>
      <w:bookmarkEnd w:id="265"/>
      <w:bookmarkEnd w:id="268"/>
    </w:p>
    <w:p w14:paraId="5320E3B5">
      <w:pPr>
        <w:pStyle w:val="54"/>
        <w:spacing w:line="240" w:lineRule="auto"/>
        <w:outlineLvl w:val="9"/>
        <w:rPr>
          <w:rFonts w:hint="eastAsia" w:ascii="宋体" w:hAnsi="宋体" w:eastAsia="宋体"/>
          <w:b/>
          <w:bCs/>
          <w:color w:val="auto"/>
          <w:sz w:val="21"/>
          <w:szCs w:val="21"/>
          <w:highlight w:val="none"/>
        </w:rPr>
      </w:pPr>
      <w:bookmarkStart w:id="269" w:name="_Toc152042323"/>
      <w:bookmarkStart w:id="270" w:name="_Toc152045547"/>
      <w:bookmarkStart w:id="271" w:name="_Toc27373"/>
      <w:bookmarkStart w:id="272" w:name="_Toc16198"/>
      <w:bookmarkStart w:id="273" w:name="_Toc24440"/>
      <w:bookmarkStart w:id="274" w:name="_Toc10096"/>
      <w:bookmarkStart w:id="275" w:name="_Toc144974515"/>
      <w:bookmarkStart w:id="276" w:name="_Toc9273"/>
      <w:bookmarkStart w:id="277" w:name="_Toc15810"/>
      <w:bookmarkStart w:id="278" w:name="_Toc490667844"/>
      <w:bookmarkStart w:id="279" w:name="_Toc318450691"/>
      <w:r>
        <w:rPr>
          <w:rFonts w:hint="eastAsia" w:ascii="宋体" w:hAnsi="宋体" w:eastAsia="宋体"/>
          <w:b/>
          <w:bCs/>
          <w:color w:val="auto"/>
          <w:sz w:val="21"/>
          <w:szCs w:val="21"/>
          <w:highlight w:val="none"/>
        </w:rPr>
        <w:t>3.1 响应文件的组成</w:t>
      </w:r>
      <w:bookmarkEnd w:id="269"/>
      <w:bookmarkEnd w:id="270"/>
      <w:bookmarkEnd w:id="271"/>
      <w:bookmarkEnd w:id="272"/>
      <w:bookmarkEnd w:id="273"/>
      <w:bookmarkEnd w:id="274"/>
      <w:bookmarkEnd w:id="275"/>
      <w:bookmarkEnd w:id="276"/>
      <w:bookmarkEnd w:id="277"/>
      <w:bookmarkEnd w:id="278"/>
      <w:bookmarkEnd w:id="279"/>
    </w:p>
    <w:p w14:paraId="67903D59">
      <w:pPr>
        <w:spacing w:line="240" w:lineRule="auto"/>
        <w:rPr>
          <w:rFonts w:hint="eastAsia" w:ascii="宋体" w:hAnsi="宋体" w:cs="宋体"/>
          <w:b w:val="0"/>
          <w:bCs w:val="0"/>
          <w:color w:val="auto"/>
          <w:szCs w:val="21"/>
          <w:highlight w:val="none"/>
          <w:lang w:val="en-US" w:eastAsia="zh-CN"/>
        </w:rPr>
      </w:pPr>
      <w:bookmarkStart w:id="280" w:name="_Toc152042324"/>
      <w:bookmarkStart w:id="281" w:name="_Toc26291"/>
      <w:bookmarkStart w:id="282" w:name="_Toc279156232"/>
      <w:bookmarkStart w:id="283" w:name="_Toc318450692"/>
      <w:bookmarkStart w:id="284" w:name="_Toc144974516"/>
      <w:bookmarkStart w:id="285" w:name="_Toc899"/>
      <w:bookmarkStart w:id="286" w:name="_Toc152045548"/>
      <w:r>
        <w:rPr>
          <w:rFonts w:hint="eastAsia" w:ascii="宋体" w:hAnsi="宋体" w:cs="宋体"/>
          <w:b w:val="0"/>
          <w:bCs w:val="0"/>
          <w:color w:val="auto"/>
          <w:szCs w:val="21"/>
          <w:highlight w:val="none"/>
          <w:lang w:val="en-US" w:eastAsia="zh-CN"/>
        </w:rPr>
        <w:t>详见响应文件格式要求</w:t>
      </w:r>
    </w:p>
    <w:p w14:paraId="32FA1BFE">
      <w:pPr>
        <w:spacing w:line="240" w:lineRule="auto"/>
        <w:rPr>
          <w:rFonts w:hint="eastAsia" w:ascii="宋体" w:hAnsi="宋体" w:cs="宋体"/>
          <w:b/>
          <w:bCs/>
          <w:color w:val="auto"/>
          <w:szCs w:val="21"/>
          <w:highlight w:val="none"/>
        </w:rPr>
      </w:pPr>
      <w:r>
        <w:rPr>
          <w:rFonts w:hint="eastAsia" w:ascii="宋体" w:hAnsi="宋体" w:cs="宋体"/>
          <w:b/>
          <w:bCs/>
          <w:color w:val="auto"/>
          <w:szCs w:val="21"/>
          <w:highlight w:val="none"/>
        </w:rPr>
        <w:t>3.2 磋商报价</w:t>
      </w:r>
      <w:bookmarkEnd w:id="280"/>
      <w:bookmarkEnd w:id="281"/>
      <w:bookmarkEnd w:id="282"/>
      <w:bookmarkEnd w:id="283"/>
      <w:bookmarkEnd w:id="284"/>
      <w:bookmarkEnd w:id="285"/>
      <w:bookmarkEnd w:id="286"/>
    </w:p>
    <w:p w14:paraId="123A5EAE">
      <w:pPr>
        <w:tabs>
          <w:tab w:val="left" w:pos="0"/>
          <w:tab w:val="left" w:pos="1050"/>
        </w:tabs>
        <w:spacing w:line="240" w:lineRule="auto"/>
        <w:ind w:firstLine="365" w:firstLineChars="174"/>
        <w:rPr>
          <w:rFonts w:hint="eastAsia" w:ascii="宋体" w:hAnsi="宋体" w:cs="宋体"/>
          <w:color w:val="auto"/>
          <w:szCs w:val="21"/>
          <w:highlight w:val="none"/>
        </w:rPr>
      </w:pPr>
      <w:bookmarkStart w:id="287" w:name="_Toc12402"/>
      <w:bookmarkStart w:id="288" w:name="_Toc21600"/>
      <w:bookmarkStart w:id="289" w:name="_Toc7910"/>
      <w:bookmarkStart w:id="290" w:name="_Toc25387"/>
      <w:bookmarkStart w:id="291" w:name="_Toc455867786"/>
      <w:bookmarkStart w:id="292" w:name="_Toc3624"/>
      <w:bookmarkStart w:id="293" w:name="_Toc318450693"/>
      <w:bookmarkStart w:id="294" w:name="_Toc490667846"/>
      <w:bookmarkStart w:id="295" w:name="_Toc152042325"/>
      <w:bookmarkStart w:id="296" w:name="_Toc455080126"/>
      <w:bookmarkStart w:id="297" w:name="_Toc6105"/>
      <w:bookmarkStart w:id="298" w:name="_Toc144974517"/>
      <w:bookmarkStart w:id="299" w:name="_Toc11968"/>
      <w:bookmarkStart w:id="300" w:name="_Toc152045549"/>
      <w:bookmarkStart w:id="301" w:name="_Toc466298109"/>
      <w:bookmarkStart w:id="302" w:name="_Toc29133"/>
      <w:bookmarkStart w:id="303" w:name="_Toc21680"/>
      <w:bookmarkStart w:id="304" w:name="_Toc2425"/>
      <w:bookmarkStart w:id="305" w:name="_Toc7105"/>
      <w:r>
        <w:rPr>
          <w:rFonts w:hint="eastAsia" w:ascii="宋体" w:hAnsi="宋体" w:cs="宋体"/>
          <w:color w:val="auto"/>
          <w:szCs w:val="21"/>
          <w:highlight w:val="none"/>
        </w:rPr>
        <w:t>3.2.1本项目的磋商报价应按照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、补充通知、答疑纪要、现场情况、承包范围，并充分考虑</w:t>
      </w:r>
      <w:r>
        <w:rPr>
          <w:rFonts w:hint="eastAsia" w:ascii="宋体" w:hAnsi="宋体" w:cs="宋体"/>
          <w:color w:val="auto"/>
          <w:szCs w:val="21"/>
          <w:highlight w:val="none"/>
          <w:lang w:eastAsia="zh-CN"/>
        </w:rPr>
        <w:t>供货</w:t>
      </w:r>
      <w:r>
        <w:rPr>
          <w:rFonts w:hint="eastAsia" w:ascii="宋体" w:hAnsi="宋体" w:cs="宋体"/>
          <w:color w:val="auto"/>
          <w:szCs w:val="21"/>
          <w:highlight w:val="none"/>
        </w:rPr>
        <w:t>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的报价格式填报，第二次报价在磋商中填报，第二次报价（不得高于</w:t>
      </w:r>
      <w:r>
        <w:rPr>
          <w:rFonts w:hint="eastAsia" w:ascii="宋体" w:hAnsi="宋体" w:cs="宋体"/>
          <w:color w:val="auto"/>
          <w:szCs w:val="21"/>
          <w:highlight w:val="none"/>
          <w:lang w:eastAsia="zh-CN"/>
        </w:rPr>
        <w:t>第</w:t>
      </w:r>
      <w:r>
        <w:rPr>
          <w:rFonts w:hint="eastAsia" w:ascii="宋体" w:hAnsi="宋体" w:cs="宋体"/>
          <w:color w:val="auto"/>
          <w:szCs w:val="21"/>
          <w:highlight w:val="none"/>
        </w:rPr>
        <w:t>一次报价）即为最终报价</w:t>
      </w:r>
      <w:bookmarkEnd w:id="287"/>
      <w:r>
        <w:rPr>
          <w:rFonts w:hint="eastAsia" w:ascii="宋体" w:hAnsi="宋体" w:cs="宋体"/>
          <w:color w:val="auto"/>
          <w:szCs w:val="21"/>
          <w:highlight w:val="none"/>
        </w:rPr>
        <w:t>。</w:t>
      </w:r>
    </w:p>
    <w:p w14:paraId="6DC6B80F">
      <w:pPr>
        <w:tabs>
          <w:tab w:val="left" w:pos="0"/>
          <w:tab w:val="left" w:pos="1050"/>
        </w:tabs>
        <w:spacing w:line="240" w:lineRule="auto"/>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3.2.2供应商应充分了解该项目的总体情况以及影响磋商报价的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要素，考虑</w:t>
      </w:r>
      <w:r>
        <w:rPr>
          <w:rFonts w:hint="eastAsia" w:ascii="宋体" w:hAnsi="宋体" w:cs="宋体"/>
          <w:color w:val="auto"/>
          <w:szCs w:val="21"/>
          <w:highlight w:val="none"/>
          <w:lang w:eastAsia="zh-CN"/>
        </w:rPr>
        <w:t>供货期间</w:t>
      </w:r>
      <w:r>
        <w:rPr>
          <w:rFonts w:hint="eastAsia" w:ascii="宋体" w:hAnsi="宋体" w:cs="宋体"/>
          <w:color w:val="auto"/>
          <w:szCs w:val="21"/>
          <w:highlight w:val="none"/>
        </w:rPr>
        <w:t>的价格风险因素，成交价在合同实施期内不得调整，同时也不因市场价格变动而调整。</w:t>
      </w:r>
    </w:p>
    <w:p w14:paraId="7FF943D0">
      <w:pPr>
        <w:tabs>
          <w:tab w:val="left" w:pos="0"/>
          <w:tab w:val="left" w:pos="1050"/>
        </w:tabs>
        <w:spacing w:line="240" w:lineRule="auto"/>
        <w:ind w:firstLine="365" w:firstLineChars="174"/>
        <w:rPr>
          <w:rFonts w:hint="eastAsia" w:ascii="宋体" w:hAnsi="宋体" w:cs="宋体"/>
          <w:color w:val="auto"/>
          <w:szCs w:val="21"/>
          <w:highlight w:val="none"/>
        </w:rPr>
      </w:pPr>
      <w:r>
        <w:rPr>
          <w:rFonts w:hint="eastAsia" w:ascii="宋体" w:hAnsi="宋体" w:cs="宋体"/>
          <w:color w:val="auto"/>
          <w:szCs w:val="21"/>
          <w:highlight w:val="none"/>
        </w:rPr>
        <w:t>3.2.3 响应报价表中的大写金额和小写金额不一致的，以大写金额为准。</w:t>
      </w:r>
    </w:p>
    <w:p w14:paraId="044ABFBE">
      <w:pPr>
        <w:tabs>
          <w:tab w:val="left" w:pos="0"/>
          <w:tab w:val="left" w:pos="1050"/>
        </w:tabs>
        <w:spacing w:line="240" w:lineRule="auto"/>
        <w:ind w:firstLine="365" w:firstLineChars="174"/>
        <w:rPr>
          <w:rFonts w:hint="eastAsia" w:ascii="宋体" w:hAnsi="宋体" w:cs="宋体"/>
          <w:b/>
          <w:bCs/>
          <w:color w:val="auto"/>
          <w:szCs w:val="21"/>
          <w:highlight w:val="none"/>
        </w:rPr>
      </w:pPr>
      <w:r>
        <w:rPr>
          <w:rFonts w:hint="eastAsia" w:ascii="宋体" w:hAnsi="宋体" w:cs="宋体"/>
          <w:b w:val="0"/>
          <w:bCs w:val="0"/>
          <w:color w:val="auto"/>
          <w:szCs w:val="21"/>
          <w:highlight w:val="none"/>
        </w:rPr>
        <w:t>3.2.4供应商的报价明显低于其他通过符合性审查供应商的报价，有可能影响</w:t>
      </w:r>
      <w:r>
        <w:rPr>
          <w:rFonts w:hint="eastAsia" w:ascii="宋体" w:hAnsi="宋体" w:cs="宋体"/>
          <w:b w:val="0"/>
          <w:bCs w:val="0"/>
          <w:color w:val="auto"/>
          <w:szCs w:val="21"/>
          <w:highlight w:val="none"/>
          <w:lang w:eastAsia="zh-CN"/>
        </w:rPr>
        <w:t>产品</w:t>
      </w:r>
      <w:r>
        <w:rPr>
          <w:rFonts w:hint="eastAsia" w:ascii="宋体" w:hAnsi="宋体" w:cs="宋体"/>
          <w:b w:val="0"/>
          <w:bCs w:val="0"/>
          <w:color w:val="auto"/>
          <w:szCs w:val="21"/>
          <w:highlight w:val="none"/>
        </w:rPr>
        <w:t>质量或者不能诚信履约的，磋商委员会应当要求其在磋商现场</w:t>
      </w:r>
      <w:r>
        <w:rPr>
          <w:rFonts w:hint="eastAsia" w:ascii="宋体" w:hAnsi="宋体" w:cs="宋体"/>
          <w:b w:val="0"/>
          <w:bCs w:val="0"/>
          <w:color w:val="auto"/>
          <w:kern w:val="0"/>
          <w:szCs w:val="21"/>
          <w:highlight w:val="none"/>
          <w:lang w:eastAsia="zh-CN"/>
        </w:rPr>
        <w:t>（或电子交易系统）</w:t>
      </w:r>
      <w:r>
        <w:rPr>
          <w:rFonts w:hint="eastAsia" w:ascii="宋体" w:hAnsi="宋体" w:cs="宋体"/>
          <w:b w:val="0"/>
          <w:bCs w:val="0"/>
          <w:color w:val="auto"/>
          <w:szCs w:val="21"/>
          <w:highlight w:val="none"/>
        </w:rPr>
        <w:t>合理的时间内提供书面说明</w:t>
      </w:r>
      <w:r>
        <w:rPr>
          <w:rFonts w:hint="eastAsia" w:ascii="宋体" w:hAnsi="宋体" w:cs="宋体"/>
          <w:b w:val="0"/>
          <w:bCs w:val="0"/>
          <w:color w:val="auto"/>
          <w:kern w:val="0"/>
          <w:szCs w:val="21"/>
          <w:highlight w:val="none"/>
          <w:lang w:eastAsia="zh-CN"/>
        </w:rPr>
        <w:t>（或电子澄清说明文件）</w:t>
      </w:r>
      <w:r>
        <w:rPr>
          <w:rFonts w:hint="eastAsia" w:ascii="宋体" w:hAnsi="宋体" w:cs="宋体"/>
          <w:b w:val="0"/>
          <w:bCs w:val="0"/>
          <w:color w:val="auto"/>
          <w:szCs w:val="21"/>
          <w:highlight w:val="none"/>
        </w:rPr>
        <w:t xml:space="preserve">，必要时提交相关证明材料；供应商不能证明其报价合理性的，磋商委员会应当将其作为无效投标处理。 </w:t>
      </w:r>
      <w:r>
        <w:rPr>
          <w:rFonts w:hint="eastAsia" w:ascii="宋体" w:hAnsi="宋体" w:cs="宋体"/>
          <w:b/>
          <w:bCs/>
          <w:color w:val="auto"/>
          <w:szCs w:val="21"/>
          <w:highlight w:val="none"/>
        </w:rPr>
        <w:t xml:space="preserve"> </w:t>
      </w:r>
    </w:p>
    <w:p w14:paraId="7F3A4CAA">
      <w:pPr>
        <w:pageBreakBefore w:val="0"/>
        <w:kinsoku/>
        <w:wordWrap/>
        <w:overflowPunct/>
        <w:topLinePunct w:val="0"/>
        <w:bidi w:val="0"/>
        <w:snapToGrid/>
        <w:spacing w:line="24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p>
    <w:p w14:paraId="3FA14438">
      <w:pPr>
        <w:pageBreakBefore w:val="0"/>
        <w:kinsoku/>
        <w:wordWrap/>
        <w:overflowPunct/>
        <w:topLinePunct w:val="0"/>
        <w:bidi w:val="0"/>
        <w:snapToGrid/>
        <w:spacing w:line="240" w:lineRule="auto"/>
        <w:ind w:left="0" w:leftChars="0" w:firstLine="42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zh-CN"/>
        </w:rPr>
        <w:t>小型微型企业认定及评标价格评审（非专门面向中小企业适用）</w:t>
      </w:r>
    </w:p>
    <w:tbl>
      <w:tblPr>
        <w:tblStyle w:val="26"/>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5BB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22B44319">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内容</w:t>
            </w:r>
          </w:p>
        </w:tc>
        <w:tc>
          <w:tcPr>
            <w:tcW w:w="1561" w:type="dxa"/>
            <w:noWrap w:val="0"/>
            <w:vAlign w:val="center"/>
          </w:tcPr>
          <w:p w14:paraId="220AC823">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大型企业</w:t>
            </w:r>
          </w:p>
        </w:tc>
        <w:tc>
          <w:tcPr>
            <w:tcW w:w="1492" w:type="dxa"/>
            <w:noWrap w:val="0"/>
            <w:vAlign w:val="center"/>
          </w:tcPr>
          <w:p w14:paraId="4AEE023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中型企业</w:t>
            </w:r>
          </w:p>
        </w:tc>
        <w:tc>
          <w:tcPr>
            <w:tcW w:w="2273" w:type="dxa"/>
            <w:noWrap w:val="0"/>
            <w:vAlign w:val="center"/>
          </w:tcPr>
          <w:p w14:paraId="307E0DC5">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小型企业</w:t>
            </w:r>
          </w:p>
        </w:tc>
        <w:tc>
          <w:tcPr>
            <w:tcW w:w="2094" w:type="dxa"/>
            <w:noWrap w:val="0"/>
            <w:vAlign w:val="center"/>
          </w:tcPr>
          <w:p w14:paraId="2DC490D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微型企业</w:t>
            </w:r>
          </w:p>
        </w:tc>
      </w:tr>
      <w:tr w14:paraId="1BBE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75CD8A0D">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w:t>
            </w:r>
          </w:p>
        </w:tc>
        <w:tc>
          <w:tcPr>
            <w:tcW w:w="1561" w:type="dxa"/>
            <w:noWrap w:val="0"/>
            <w:vAlign w:val="center"/>
          </w:tcPr>
          <w:p w14:paraId="790AC250">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1492" w:type="dxa"/>
            <w:noWrap w:val="0"/>
            <w:vAlign w:val="center"/>
          </w:tcPr>
          <w:p w14:paraId="1229AAB7">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2273" w:type="dxa"/>
            <w:noWrap w:val="0"/>
            <w:vAlign w:val="center"/>
          </w:tcPr>
          <w:p w14:paraId="10D87134">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c>
          <w:tcPr>
            <w:tcW w:w="2094" w:type="dxa"/>
            <w:noWrap w:val="0"/>
            <w:vAlign w:val="center"/>
          </w:tcPr>
          <w:p w14:paraId="6BE937BD">
            <w:pPr>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lang w:val="zh-CN"/>
              </w:rPr>
              <w:t>%）</w:t>
            </w:r>
          </w:p>
        </w:tc>
      </w:tr>
    </w:tbl>
    <w:p w14:paraId="0E9F3318">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根据《政府采购促进中小企业发展管理办法》（财库[20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11]300号）、河南省财政厅 河南省工业和信息化厅《关于政府采购促进小型微型企业发展的实施意见》（豫财购[</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13]14号）文件规定，对小型和微型企业产品的价格给予</w:t>
      </w:r>
      <w:r>
        <w:rPr>
          <w:rFonts w:hint="default"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的扣除，用扣除后的价格参与评审。</w:t>
      </w:r>
    </w:p>
    <w:p w14:paraId="0552DEBF">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7E82DB7B">
      <w:pPr>
        <w:pageBreakBefore w:val="0"/>
        <w:kinsoku/>
        <w:wordWrap/>
        <w:overflowPunct/>
        <w:topLinePunct w:val="0"/>
        <w:bidi w:val="0"/>
        <w:snapToGrid/>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3根据财库(2017)141号文件规定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享受预留份额、评审中价格扣除等促进中小企业发展的政府采购政策。残疾人福利性单位属于小型、微型企业的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不重复享受政策。符合条件的残疾人福利性单位在参加政府采购活动时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应当提供《残疾人福利性单位声明函》(见</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w:t>
      </w:r>
    </w:p>
    <w:p w14:paraId="665450E1">
      <w:pPr>
        <w:pageBreakBefore w:val="0"/>
        <w:kinsoku/>
        <w:wordWrap/>
        <w:overflowPunct/>
        <w:topLinePunct w:val="0"/>
        <w:bidi w:val="0"/>
        <w:snapToGrid/>
        <w:spacing w:line="240" w:lineRule="auto"/>
        <w:ind w:left="0" w:leftChars="0"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注：投标价格为含税价，应包含</w:t>
      </w:r>
      <w:r>
        <w:rPr>
          <w:rFonts w:hint="eastAsia" w:ascii="宋体" w:hAnsi="宋体" w:eastAsia="宋体" w:cs="宋体"/>
          <w:b/>
          <w:bCs/>
          <w:color w:val="auto"/>
          <w:sz w:val="21"/>
          <w:szCs w:val="21"/>
          <w:highlight w:val="none"/>
          <w:lang w:eastAsia="zh-CN"/>
        </w:rPr>
        <w:t>货物</w:t>
      </w:r>
      <w:r>
        <w:rPr>
          <w:rFonts w:hint="eastAsia" w:ascii="宋体" w:hAnsi="宋体" w:eastAsia="宋体" w:cs="宋体"/>
          <w:b/>
          <w:bCs/>
          <w:color w:val="auto"/>
          <w:sz w:val="21"/>
          <w:szCs w:val="21"/>
          <w:highlight w:val="none"/>
        </w:rPr>
        <w:t>配送到</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指定地点落地交货前的一切费用及后期培训费用等。</w:t>
      </w:r>
    </w:p>
    <w:p w14:paraId="5F223E39">
      <w:pPr>
        <w:pStyle w:val="54"/>
        <w:spacing w:line="240" w:lineRule="auto"/>
        <w:outlineLvl w:val="0"/>
        <w:rPr>
          <w:rFonts w:hint="eastAsia" w:ascii="宋体" w:hAnsi="宋体" w:eastAsia="宋体"/>
          <w:b/>
          <w:bCs/>
          <w:color w:val="auto"/>
          <w:sz w:val="21"/>
          <w:szCs w:val="21"/>
          <w:highlight w:val="none"/>
          <w:lang w:eastAsia="zh-CN"/>
        </w:rPr>
      </w:pPr>
      <w:bookmarkStart w:id="306" w:name="_Toc8053"/>
      <w:r>
        <w:rPr>
          <w:rFonts w:hint="eastAsia" w:ascii="宋体" w:hAnsi="宋体" w:eastAsia="宋体"/>
          <w:b/>
          <w:bCs/>
          <w:color w:val="auto"/>
          <w:sz w:val="21"/>
          <w:szCs w:val="21"/>
          <w:highlight w:val="none"/>
          <w:lang w:eastAsia="zh-CN"/>
        </w:rPr>
        <w:t>（本项目专门面向中小企业）</w:t>
      </w:r>
    </w:p>
    <w:p w14:paraId="37F96A38">
      <w:pPr>
        <w:pStyle w:val="54"/>
        <w:spacing w:line="240" w:lineRule="auto"/>
        <w:outlineLvl w:val="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3.3 磋商有效期</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B57B75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在供应商须知前附表规定的磋商有效期内，供应商不得要求撤销或修改其响应文件。</w:t>
      </w:r>
    </w:p>
    <w:p w14:paraId="29725C3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3.3.2出现特殊情况需要延长磋商有效期的，采购人以书面形式通知所有供应商延长磋商有效期。供应商同意延长的，但不得要求或被允许修改或撤销其响应文件；供应商拒绝延长的，其响应文件失效。 </w:t>
      </w:r>
      <w:bookmarkStart w:id="307" w:name="_Toc2505"/>
      <w:bookmarkStart w:id="308" w:name="_Toc22634"/>
      <w:bookmarkStart w:id="309" w:name="_Toc30697"/>
      <w:bookmarkStart w:id="310" w:name="_Toc7973"/>
      <w:bookmarkStart w:id="311" w:name="_Toc7057"/>
      <w:bookmarkStart w:id="312" w:name="_Toc8406"/>
      <w:bookmarkStart w:id="313" w:name="_Toc455080127"/>
      <w:bookmarkStart w:id="314" w:name="_Toc7618"/>
      <w:bookmarkStart w:id="315" w:name="_Toc10370"/>
      <w:bookmarkStart w:id="316" w:name="_Toc152045550"/>
      <w:bookmarkStart w:id="317" w:name="_Toc490667847"/>
      <w:bookmarkStart w:id="318" w:name="_Toc466298110"/>
      <w:bookmarkStart w:id="319" w:name="_Toc4165"/>
      <w:bookmarkStart w:id="320" w:name="_Toc144974518"/>
      <w:bookmarkStart w:id="321" w:name="_Toc318450694"/>
      <w:bookmarkStart w:id="322" w:name="_Toc152042326"/>
      <w:bookmarkStart w:id="323" w:name="_Toc455867787"/>
      <w:bookmarkStart w:id="324" w:name="_Toc13921"/>
      <w:bookmarkStart w:id="325" w:name="_Toc19960"/>
    </w:p>
    <w:p w14:paraId="2F4D9412">
      <w:pPr>
        <w:spacing w:line="240" w:lineRule="auto"/>
        <w:ind w:firstLine="422" w:firstLineChars="20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3.4 磋商保证金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6" w:name="_Toc152045552"/>
      <w:bookmarkStart w:id="327" w:name="_Toc318450695"/>
      <w:bookmarkStart w:id="328" w:name="_Toc144974520"/>
      <w:bookmarkStart w:id="329" w:name="_Toc152042328"/>
      <w:r>
        <w:rPr>
          <w:rFonts w:hint="eastAsia" w:ascii="宋体" w:hAnsi="宋体" w:eastAsia="宋体"/>
          <w:b/>
          <w:bCs/>
          <w:color w:val="auto"/>
          <w:sz w:val="21"/>
          <w:szCs w:val="21"/>
          <w:highlight w:val="none"/>
          <w:lang w:eastAsia="zh-CN"/>
        </w:rPr>
        <w:t>：无。</w:t>
      </w:r>
      <w:bookmarkEnd w:id="324"/>
      <w:bookmarkEnd w:id="325"/>
      <w:bookmarkStart w:id="330" w:name="_Toc490667848"/>
      <w:bookmarkStart w:id="331" w:name="_Toc455080128"/>
      <w:bookmarkStart w:id="332" w:name="_Toc10038"/>
      <w:bookmarkStart w:id="333" w:name="_Toc15547"/>
      <w:bookmarkStart w:id="334" w:name="_Toc466298111"/>
      <w:bookmarkStart w:id="335" w:name="_Toc13680"/>
      <w:bookmarkStart w:id="336" w:name="_Toc16747"/>
      <w:bookmarkStart w:id="337" w:name="_Toc11077"/>
      <w:bookmarkStart w:id="338" w:name="_Toc20328"/>
      <w:bookmarkStart w:id="339" w:name="_Toc22527"/>
      <w:bookmarkStart w:id="340" w:name="_Toc455867788"/>
      <w:bookmarkStart w:id="341" w:name="_Toc27579"/>
      <w:bookmarkStart w:id="342" w:name="_Toc17153"/>
      <w:bookmarkStart w:id="343" w:name="_Toc22384"/>
      <w:bookmarkStart w:id="344" w:name="_Toc2794"/>
    </w:p>
    <w:p w14:paraId="011FAC0A">
      <w:pPr>
        <w:spacing w:line="24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3.5资格审查资料</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Toc31446"/>
      <w:bookmarkStart w:id="346" w:name="_Toc4586"/>
      <w:bookmarkStart w:id="347" w:name="_Toc11694"/>
      <w:bookmarkStart w:id="348" w:name="_Toc152042329"/>
      <w:bookmarkStart w:id="349" w:name="_Toc1228"/>
      <w:bookmarkStart w:id="350" w:name="_Toc455867789"/>
      <w:bookmarkStart w:id="351" w:name="_Toc30442"/>
      <w:bookmarkStart w:id="352" w:name="_Toc3286"/>
      <w:bookmarkStart w:id="353" w:name="_Toc466298112"/>
      <w:bookmarkStart w:id="354" w:name="_Toc9015"/>
      <w:bookmarkStart w:id="355" w:name="_Toc5132"/>
      <w:bookmarkStart w:id="356" w:name="_Toc152045553"/>
      <w:bookmarkStart w:id="357" w:name="_Toc19724"/>
      <w:bookmarkStart w:id="358" w:name="_Toc455080129"/>
      <w:bookmarkStart w:id="359" w:name="_Toc26258"/>
      <w:bookmarkStart w:id="360" w:name="_Toc144974521"/>
      <w:bookmarkStart w:id="361" w:name="_Toc490667849"/>
      <w:bookmarkStart w:id="362" w:name="_Toc18915"/>
      <w:bookmarkStart w:id="363" w:name="_Toc318450696"/>
    </w:p>
    <w:p w14:paraId="5606573F">
      <w:pPr>
        <w:spacing w:line="240" w:lineRule="auto"/>
        <w:ind w:firstLine="420" w:firstLineChars="200"/>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按照第二章供应商须知表“供应商须知前附表”1.5.1要求，提供其他相关材料。</w:t>
      </w:r>
      <w:bookmarkEnd w:id="345"/>
      <w:bookmarkEnd w:id="346"/>
      <w:bookmarkStart w:id="364" w:name="_Toc30939"/>
      <w:bookmarkStart w:id="365" w:name="_Toc24859"/>
    </w:p>
    <w:p w14:paraId="7B04CAC7">
      <w:pPr>
        <w:spacing w:line="24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3.6 备选方案</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EEABBF0">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除供应商须知前附表另有规定外，供应商不得递交备选磋商方案。</w:t>
      </w:r>
    </w:p>
    <w:p w14:paraId="690A77DE">
      <w:pPr>
        <w:pStyle w:val="54"/>
        <w:spacing w:line="240" w:lineRule="auto"/>
        <w:outlineLvl w:val="0"/>
        <w:rPr>
          <w:rFonts w:hint="eastAsia" w:ascii="宋体" w:hAnsi="宋体" w:eastAsia="宋体"/>
          <w:b/>
          <w:bCs/>
          <w:color w:val="auto"/>
          <w:sz w:val="21"/>
          <w:szCs w:val="21"/>
          <w:highlight w:val="none"/>
        </w:rPr>
      </w:pPr>
      <w:bookmarkStart w:id="366" w:name="_Toc17697"/>
      <w:bookmarkStart w:id="367" w:name="_Toc7966"/>
      <w:bookmarkStart w:id="368" w:name="_Toc152045554"/>
      <w:bookmarkStart w:id="369" w:name="_Toc18912"/>
      <w:bookmarkStart w:id="370" w:name="_Toc466298113"/>
      <w:bookmarkStart w:id="371" w:name="_Toc144974522"/>
      <w:bookmarkStart w:id="372" w:name="_Toc3917"/>
      <w:bookmarkStart w:id="373" w:name="_Toc12275"/>
      <w:bookmarkStart w:id="374" w:name="_Toc6323"/>
      <w:bookmarkStart w:id="375" w:name="_Toc25620"/>
      <w:bookmarkStart w:id="376" w:name="_Toc7626"/>
      <w:bookmarkStart w:id="377" w:name="_Toc152042330"/>
      <w:bookmarkStart w:id="378" w:name="_Toc490667850"/>
      <w:bookmarkStart w:id="379" w:name="_Toc12541"/>
      <w:bookmarkStart w:id="380" w:name="_Toc455867790"/>
      <w:bookmarkStart w:id="381" w:name="_Toc318450697"/>
      <w:bookmarkStart w:id="382" w:name="_Toc455080130"/>
      <w:bookmarkStart w:id="383" w:name="_Toc28656"/>
      <w:bookmarkStart w:id="384" w:name="_Toc5516"/>
      <w:r>
        <w:rPr>
          <w:rFonts w:hint="eastAsia" w:ascii="宋体" w:hAnsi="宋体" w:eastAsia="宋体"/>
          <w:b/>
          <w:bCs/>
          <w:color w:val="auto"/>
          <w:sz w:val="21"/>
          <w:szCs w:val="21"/>
          <w:highlight w:val="none"/>
        </w:rPr>
        <w:t>3.7 响应文件的编制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506B0E7">
      <w:pPr>
        <w:spacing w:line="240" w:lineRule="auto"/>
        <w:ind w:firstLine="420" w:firstLineChars="200"/>
        <w:rPr>
          <w:rFonts w:hint="eastAsia" w:ascii="宋体" w:hAnsi="宋体" w:cs="宋体"/>
          <w:color w:val="auto"/>
          <w:szCs w:val="21"/>
          <w:highlight w:val="none"/>
        </w:rPr>
      </w:pPr>
      <w:bookmarkStart w:id="385" w:name="_Toc152042331"/>
      <w:bookmarkStart w:id="386" w:name="_Toc144974523"/>
      <w:bookmarkStart w:id="387" w:name="_Toc455080131"/>
      <w:bookmarkStart w:id="388" w:name="_Toc152045555"/>
      <w:r>
        <w:rPr>
          <w:rFonts w:hint="eastAsia" w:ascii="宋体" w:hAnsi="宋体" w:cs="宋体"/>
          <w:color w:val="auto"/>
          <w:szCs w:val="21"/>
          <w:highlight w:val="none"/>
        </w:rPr>
        <w:t>3.7.1响应文件应按</w:t>
      </w:r>
      <w:r>
        <w:rPr>
          <w:rFonts w:hint="eastAsia" w:ascii="宋体" w:hAnsi="宋体" w:cs="宋体"/>
          <w:color w:val="auto"/>
          <w:szCs w:val="21"/>
          <w:highlight w:val="none"/>
          <w:lang w:eastAsia="zh-CN"/>
        </w:rPr>
        <w:t>第六章</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”进行编写，如有必要，可以增加附页，作为响应文件的组成部分。其中，</w:t>
      </w:r>
      <w:r>
        <w:rPr>
          <w:rFonts w:hint="eastAsia" w:ascii="宋体" w:hAnsi="宋体" w:cs="宋体"/>
          <w:color w:val="auto"/>
          <w:szCs w:val="21"/>
          <w:highlight w:val="none"/>
          <w:lang w:eastAsia="zh-CN"/>
        </w:rPr>
        <w:t>响应函</w:t>
      </w:r>
      <w:r>
        <w:rPr>
          <w:rFonts w:hint="eastAsia" w:ascii="宋体" w:hAnsi="宋体" w:cs="宋体"/>
          <w:color w:val="auto"/>
          <w:szCs w:val="21"/>
          <w:highlight w:val="none"/>
        </w:rPr>
        <w:t>附录在满足</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实质性要求的基础上，可以提出比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要求更有利于采购人的承诺。</w:t>
      </w:r>
    </w:p>
    <w:p w14:paraId="4E77B22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响应文件应当对</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有关</w:t>
      </w:r>
      <w:r>
        <w:rPr>
          <w:rFonts w:hint="eastAsia" w:ascii="宋体" w:hAnsi="宋体" w:cs="宋体"/>
          <w:color w:val="auto"/>
          <w:szCs w:val="21"/>
          <w:highlight w:val="none"/>
          <w:lang w:eastAsia="zh-CN"/>
        </w:rPr>
        <w:t>工期</w:t>
      </w:r>
      <w:r>
        <w:rPr>
          <w:rFonts w:hint="eastAsia" w:ascii="宋体" w:hAnsi="宋体" w:cs="宋体"/>
          <w:color w:val="auto"/>
          <w:szCs w:val="21"/>
          <w:highlight w:val="none"/>
        </w:rPr>
        <w:t>、磋商有效期、</w:t>
      </w:r>
      <w:r>
        <w:rPr>
          <w:rFonts w:hint="eastAsia" w:ascii="宋体" w:hAnsi="宋体" w:cs="宋体"/>
          <w:color w:val="auto"/>
          <w:szCs w:val="21"/>
          <w:highlight w:val="none"/>
          <w:lang w:eastAsia="zh-CN"/>
        </w:rPr>
        <w:t>服务要求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磋商内容</w:t>
      </w:r>
      <w:r>
        <w:rPr>
          <w:rFonts w:hint="eastAsia" w:ascii="宋体" w:hAnsi="宋体" w:cs="宋体"/>
          <w:color w:val="auto"/>
          <w:szCs w:val="21"/>
          <w:highlight w:val="none"/>
        </w:rPr>
        <w:t>作出响应。</w:t>
      </w:r>
    </w:p>
    <w:p w14:paraId="4EB7C52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3.7.3响应文件应使用信阳市公共资源交易系统投标文件制作专用工具软件编制，</w:t>
      </w:r>
      <w:r>
        <w:rPr>
          <w:rFonts w:hint="eastAsia" w:ascii="宋体" w:hAnsi="宋体" w:cs="宋体"/>
          <w:color w:val="auto"/>
          <w:szCs w:val="21"/>
          <w:highlight w:val="none"/>
          <w:lang w:eastAsia="zh-CN"/>
        </w:rPr>
        <w:t>竞争性磋商响应文件格式</w:t>
      </w:r>
      <w:r>
        <w:rPr>
          <w:rFonts w:hint="eastAsia" w:ascii="宋体" w:hAnsi="宋体" w:cs="宋体"/>
          <w:color w:val="auto"/>
          <w:szCs w:val="21"/>
          <w:highlight w:val="none"/>
        </w:rPr>
        <w:t>为“*.XYTF”。电子响应文件签字或盖章的具体要求见供应商须知前附表。）供应商须在</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递交截止时间前制作并提交。</w:t>
      </w:r>
    </w:p>
    <w:p w14:paraId="0F701E62">
      <w:pPr>
        <w:spacing w:line="24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3.7.4 响应文件份数见供应商须知前附表。</w:t>
      </w:r>
    </w:p>
    <w:p w14:paraId="778AFDF5">
      <w:pPr>
        <w:pStyle w:val="52"/>
        <w:spacing w:before="0" w:beforeLines="0" w:line="240" w:lineRule="auto"/>
        <w:rPr>
          <w:rFonts w:hint="eastAsia" w:ascii="宋体" w:hAnsi="宋体" w:eastAsia="宋体"/>
          <w:b/>
          <w:bCs/>
          <w:color w:val="auto"/>
          <w:sz w:val="21"/>
          <w:szCs w:val="21"/>
          <w:highlight w:val="none"/>
        </w:rPr>
      </w:pPr>
      <w:bookmarkStart w:id="389" w:name="_Toc19433"/>
      <w:r>
        <w:rPr>
          <w:rFonts w:hint="eastAsia" w:ascii="宋体" w:hAnsi="宋体" w:eastAsia="宋体"/>
          <w:b/>
          <w:bCs/>
          <w:color w:val="auto"/>
          <w:sz w:val="21"/>
          <w:szCs w:val="21"/>
          <w:highlight w:val="none"/>
        </w:rPr>
        <w:t xml:space="preserve">4. </w:t>
      </w:r>
      <w:bookmarkEnd w:id="385"/>
      <w:bookmarkEnd w:id="386"/>
      <w:bookmarkEnd w:id="387"/>
      <w:bookmarkEnd w:id="388"/>
      <w:r>
        <w:rPr>
          <w:rFonts w:hint="eastAsia" w:ascii="宋体" w:hAnsi="宋体" w:eastAsia="宋体"/>
          <w:b/>
          <w:bCs/>
          <w:color w:val="auto"/>
          <w:sz w:val="21"/>
          <w:szCs w:val="21"/>
          <w:highlight w:val="none"/>
        </w:rPr>
        <w:t>磋商</w:t>
      </w:r>
      <w:bookmarkEnd w:id="389"/>
    </w:p>
    <w:p w14:paraId="08CAC660">
      <w:pPr>
        <w:pStyle w:val="54"/>
        <w:spacing w:line="240" w:lineRule="auto"/>
        <w:outlineLvl w:val="0"/>
        <w:rPr>
          <w:rFonts w:hint="eastAsia" w:ascii="宋体" w:hAnsi="宋体" w:eastAsia="宋体"/>
          <w:b/>
          <w:bCs/>
          <w:color w:val="auto"/>
          <w:sz w:val="21"/>
          <w:szCs w:val="21"/>
          <w:highlight w:val="none"/>
          <w:lang w:eastAsia="zh-CN"/>
        </w:rPr>
      </w:pPr>
      <w:bookmarkStart w:id="390" w:name="_Toc466298115"/>
      <w:bookmarkStart w:id="391" w:name="_Toc318450699"/>
      <w:bookmarkStart w:id="392" w:name="_Toc31492"/>
      <w:bookmarkStart w:id="393" w:name="_Toc26583"/>
      <w:bookmarkStart w:id="394" w:name="_Toc455867792"/>
      <w:bookmarkStart w:id="395" w:name="_Toc22961"/>
      <w:bookmarkStart w:id="396" w:name="_Toc455080132"/>
      <w:bookmarkStart w:id="397" w:name="_Toc11243"/>
      <w:bookmarkStart w:id="398" w:name="_Toc16344"/>
      <w:bookmarkStart w:id="399" w:name="_Toc26550"/>
      <w:bookmarkStart w:id="400" w:name="_Toc152042332"/>
      <w:bookmarkStart w:id="401" w:name="_Toc16962"/>
      <w:bookmarkStart w:id="402" w:name="_Toc490667852"/>
      <w:bookmarkStart w:id="403" w:name="_Toc144974524"/>
      <w:bookmarkStart w:id="404" w:name="_Toc18820"/>
      <w:bookmarkStart w:id="405" w:name="_Toc16783"/>
      <w:bookmarkStart w:id="406" w:name="_Toc152045556"/>
      <w:bookmarkStart w:id="407" w:name="_Toc21145"/>
      <w:bookmarkStart w:id="408" w:name="_Toc26853"/>
      <w:r>
        <w:rPr>
          <w:rFonts w:hint="eastAsia" w:ascii="宋体" w:hAnsi="宋体" w:eastAsia="宋体"/>
          <w:b/>
          <w:bCs/>
          <w:color w:val="auto"/>
          <w:sz w:val="21"/>
          <w:szCs w:val="21"/>
          <w:highlight w:val="none"/>
        </w:rPr>
        <w:t>4.1 响应文件的</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b/>
          <w:bCs/>
          <w:color w:val="auto"/>
          <w:sz w:val="21"/>
          <w:szCs w:val="21"/>
          <w:highlight w:val="none"/>
          <w:lang w:eastAsia="zh-CN"/>
        </w:rPr>
        <w:t>上传</w:t>
      </w:r>
      <w:bookmarkEnd w:id="407"/>
      <w:bookmarkEnd w:id="408"/>
    </w:p>
    <w:p w14:paraId="414AB0ED">
      <w:pPr>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4.1.1网上上传的电子响应文件应使用供应商数字证书认证并加密</w:t>
      </w:r>
      <w:r>
        <w:rPr>
          <w:rFonts w:hint="eastAsia" w:ascii="宋体" w:hAnsi="宋体"/>
          <w:color w:val="auto"/>
          <w:szCs w:val="21"/>
          <w:highlight w:val="none"/>
        </w:rPr>
        <w:t>。</w:t>
      </w:r>
    </w:p>
    <w:p w14:paraId="7D14C70D">
      <w:pPr>
        <w:pStyle w:val="54"/>
        <w:spacing w:line="240" w:lineRule="auto"/>
        <w:outlineLvl w:val="0"/>
        <w:rPr>
          <w:rFonts w:hint="eastAsia" w:ascii="宋体" w:hAnsi="宋体" w:eastAsia="宋体"/>
          <w:b/>
          <w:bCs/>
          <w:color w:val="auto"/>
          <w:sz w:val="21"/>
          <w:szCs w:val="21"/>
          <w:highlight w:val="none"/>
        </w:rPr>
      </w:pPr>
      <w:bookmarkStart w:id="409" w:name="_Toc21072"/>
      <w:bookmarkStart w:id="410" w:name="_Toc455080133"/>
      <w:bookmarkStart w:id="411" w:name="_Toc27132"/>
      <w:bookmarkStart w:id="412" w:name="_Toc8754"/>
      <w:bookmarkStart w:id="413" w:name="_Toc16832"/>
      <w:bookmarkStart w:id="414" w:name="_Toc462"/>
      <w:bookmarkStart w:id="415" w:name="_Toc152045557"/>
      <w:bookmarkStart w:id="416" w:name="_Toc28272"/>
      <w:bookmarkStart w:id="417" w:name="_Toc490667853"/>
      <w:bookmarkStart w:id="418" w:name="_Toc455867793"/>
      <w:bookmarkStart w:id="419" w:name="_Toc466298116"/>
      <w:bookmarkStart w:id="420" w:name="_Toc21897"/>
      <w:bookmarkStart w:id="421" w:name="_Toc23044"/>
      <w:bookmarkStart w:id="422" w:name="_Toc318450700"/>
      <w:bookmarkStart w:id="423" w:name="_Toc7663"/>
      <w:bookmarkStart w:id="424" w:name="_Toc20259"/>
      <w:bookmarkStart w:id="425" w:name="_Toc4767"/>
      <w:bookmarkStart w:id="426" w:name="_Toc144974525"/>
      <w:bookmarkStart w:id="427" w:name="_Toc152042333"/>
      <w:r>
        <w:rPr>
          <w:rFonts w:hint="eastAsia" w:ascii="宋体" w:hAnsi="宋体" w:eastAsia="宋体"/>
          <w:b/>
          <w:bCs/>
          <w:color w:val="auto"/>
          <w:sz w:val="21"/>
          <w:szCs w:val="21"/>
          <w:highlight w:val="none"/>
        </w:rPr>
        <w:t>4.2 响应文件的递交</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AB4683D">
      <w:pPr>
        <w:spacing w:line="240" w:lineRule="auto"/>
        <w:ind w:firstLine="420" w:firstLineChars="200"/>
        <w:rPr>
          <w:rFonts w:hint="eastAsia" w:ascii="宋体" w:hAnsi="宋体" w:cs="宋体"/>
          <w:color w:val="auto"/>
          <w:highlight w:val="none"/>
        </w:rPr>
      </w:pPr>
      <w:bookmarkStart w:id="428" w:name="_Toc466298117"/>
      <w:bookmarkStart w:id="429" w:name="_Toc17161"/>
      <w:bookmarkStart w:id="430" w:name="_Toc318450701"/>
      <w:bookmarkStart w:id="431" w:name="_Toc455867794"/>
      <w:bookmarkStart w:id="432" w:name="_Toc455080134"/>
      <w:bookmarkStart w:id="433" w:name="_Toc20281"/>
      <w:bookmarkStart w:id="434" w:name="_Toc21890"/>
      <w:bookmarkStart w:id="435" w:name="_Toc19951"/>
      <w:bookmarkStart w:id="436" w:name="_Toc152042334"/>
      <w:bookmarkStart w:id="437" w:name="_Toc26684"/>
      <w:bookmarkStart w:id="438" w:name="_Toc490667854"/>
      <w:bookmarkStart w:id="439" w:name="_Toc152045558"/>
      <w:bookmarkStart w:id="440" w:name="_Toc5102"/>
      <w:bookmarkStart w:id="441" w:name="_Toc144974526"/>
      <w:bookmarkStart w:id="442" w:name="_Toc11817"/>
      <w:bookmarkStart w:id="443" w:name="_Toc30860"/>
      <w:bookmarkStart w:id="444" w:name="_Toc2952"/>
      <w:r>
        <w:rPr>
          <w:rFonts w:hint="eastAsia" w:ascii="宋体" w:hAnsi="宋体" w:cs="宋体"/>
          <w:color w:val="auto"/>
          <w:highlight w:val="none"/>
        </w:rPr>
        <w:t>4.2.1电子响应文件的递交</w:t>
      </w:r>
    </w:p>
    <w:p w14:paraId="56DD9DCA">
      <w:pPr>
        <w:spacing w:line="240" w:lineRule="auto"/>
        <w:ind w:firstLine="420" w:firstLineChars="200"/>
        <w:rPr>
          <w:rFonts w:hint="eastAsia" w:ascii="宋体" w:hAnsi="宋体" w:cs="宋体"/>
          <w:color w:val="auto"/>
          <w:highlight w:val="none"/>
        </w:rPr>
      </w:pPr>
      <w:r>
        <w:rPr>
          <w:rFonts w:hint="eastAsia" w:ascii="宋体" w:hAnsi="宋体" w:cs="宋体"/>
          <w:color w:val="auto"/>
          <w:highlight w:val="none"/>
        </w:rPr>
        <w:t>各供应商应在</w:t>
      </w:r>
      <w:r>
        <w:rPr>
          <w:rFonts w:hint="eastAsia" w:ascii="宋体" w:hAnsi="宋体" w:cs="宋体"/>
          <w:color w:val="auto"/>
          <w:highlight w:val="none"/>
          <w:lang w:eastAsia="zh-CN"/>
        </w:rPr>
        <w:t>响应文件提交截止时间前</w:t>
      </w:r>
      <w:r>
        <w:rPr>
          <w:rFonts w:hint="eastAsia" w:ascii="宋体" w:hAnsi="宋体" w:cs="宋体"/>
          <w:color w:val="auto"/>
          <w:highlight w:val="none"/>
        </w:rPr>
        <w:t>上传加密的电子响应文件（*.XYTF）到会员系统的指定位置。上传的电子响应文件应使用</w:t>
      </w:r>
      <w:r>
        <w:rPr>
          <w:rFonts w:hint="eastAsia" w:ascii="宋体" w:hAnsi="宋体" w:cs="宋体"/>
          <w:color w:val="auto"/>
          <w:highlight w:val="none"/>
          <w:lang w:eastAsia="zh-CN"/>
        </w:rPr>
        <w:t>供应商</w:t>
      </w:r>
      <w:r>
        <w:rPr>
          <w:rFonts w:hint="eastAsia" w:ascii="宋体" w:hAnsi="宋体" w:cs="宋体"/>
          <w:color w:val="auto"/>
          <w:highlight w:val="none"/>
        </w:rPr>
        <w:t>CA数字证书认证并加密。上传时必须得到交易系统“上传成功”的确认回复后方为上传成功。请供应商在上传前务必认真检查上传响应文件是否完整、正确。</w:t>
      </w:r>
    </w:p>
    <w:p w14:paraId="456B4CCD">
      <w:pPr>
        <w:pStyle w:val="54"/>
        <w:spacing w:line="240" w:lineRule="auto"/>
        <w:outlineLvl w:val="0"/>
        <w:rPr>
          <w:rFonts w:hint="eastAsia" w:ascii="宋体" w:hAnsi="宋体" w:eastAsia="宋体"/>
          <w:b/>
          <w:bCs/>
          <w:color w:val="auto"/>
          <w:sz w:val="21"/>
          <w:szCs w:val="21"/>
          <w:highlight w:val="none"/>
        </w:rPr>
      </w:pPr>
      <w:bookmarkStart w:id="445" w:name="_Toc1790"/>
      <w:bookmarkStart w:id="446" w:name="_Toc20194"/>
      <w:r>
        <w:rPr>
          <w:rFonts w:hint="eastAsia" w:ascii="宋体" w:hAnsi="宋体" w:eastAsia="宋体"/>
          <w:b/>
          <w:bCs/>
          <w:color w:val="auto"/>
          <w:sz w:val="21"/>
          <w:szCs w:val="21"/>
          <w:highlight w:val="none"/>
        </w:rPr>
        <w:t>4.3 响应文件的修改与撤回</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874351F">
      <w:pPr>
        <w:spacing w:line="240" w:lineRule="auto"/>
        <w:ind w:firstLine="420" w:firstLineChars="200"/>
        <w:rPr>
          <w:rFonts w:hint="eastAsia" w:ascii="宋体" w:hAnsi="宋体" w:cs="宋体"/>
          <w:color w:val="auto"/>
          <w:szCs w:val="21"/>
          <w:highlight w:val="none"/>
        </w:rPr>
      </w:pPr>
      <w:bookmarkStart w:id="447" w:name="_Toc152042335"/>
      <w:bookmarkStart w:id="448" w:name="_Toc152045559"/>
      <w:bookmarkStart w:id="449" w:name="_Toc144974527"/>
      <w:bookmarkStart w:id="450" w:name="_Toc455080135"/>
      <w:r>
        <w:rPr>
          <w:rFonts w:hint="eastAsia" w:ascii="宋体" w:hAnsi="宋体" w:cs="宋体"/>
          <w:color w:val="auto"/>
          <w:szCs w:val="21"/>
          <w:highlight w:val="none"/>
        </w:rPr>
        <w:t>4.3.1 在第一章“</w:t>
      </w:r>
      <w:r>
        <w:rPr>
          <w:rFonts w:hint="eastAsia" w:ascii="宋体" w:hAnsi="宋体" w:cs="宋体"/>
          <w:color w:val="auto"/>
          <w:szCs w:val="21"/>
          <w:highlight w:val="none"/>
          <w:lang w:eastAsia="zh-CN"/>
        </w:rPr>
        <w:t>竞争性磋商公告</w:t>
      </w:r>
      <w:r>
        <w:rPr>
          <w:rFonts w:hint="eastAsia" w:ascii="宋体" w:hAnsi="宋体" w:cs="宋体"/>
          <w:color w:val="auto"/>
          <w:szCs w:val="21"/>
          <w:highlight w:val="none"/>
        </w:rPr>
        <w:t>”规定的</w:t>
      </w:r>
      <w:r>
        <w:rPr>
          <w:rFonts w:hint="eastAsia" w:ascii="宋体" w:hAnsi="宋体" w:cs="宋体"/>
          <w:color w:val="auto"/>
          <w:szCs w:val="21"/>
          <w:highlight w:val="none"/>
          <w:lang w:eastAsia="zh-CN"/>
        </w:rPr>
        <w:t>响应文件提交</w:t>
      </w:r>
      <w:r>
        <w:rPr>
          <w:rFonts w:hint="eastAsia" w:ascii="宋体" w:hAnsi="宋体" w:cs="宋体"/>
          <w:color w:val="auto"/>
          <w:szCs w:val="21"/>
          <w:highlight w:val="none"/>
        </w:rPr>
        <w:t>截止时间前，供应商可以多次修改或撤回已递交的响应文件，最终响应文件以</w:t>
      </w:r>
      <w:r>
        <w:rPr>
          <w:rFonts w:hint="eastAsia" w:ascii="宋体" w:hAnsi="宋体" w:cs="宋体"/>
          <w:color w:val="auto"/>
          <w:szCs w:val="21"/>
          <w:highlight w:val="none"/>
          <w:lang w:eastAsia="zh-CN"/>
        </w:rPr>
        <w:t>响应文件提交截止时间前</w:t>
      </w:r>
      <w:r>
        <w:rPr>
          <w:rFonts w:hint="eastAsia" w:ascii="宋体" w:hAnsi="宋体" w:cs="宋体"/>
          <w:color w:val="auto"/>
          <w:szCs w:val="21"/>
          <w:highlight w:val="none"/>
        </w:rPr>
        <w:t>完成上传至信阳市公共资源交易中心交易系统最后一份响应文件为准。</w:t>
      </w:r>
    </w:p>
    <w:p w14:paraId="3D88871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4.3.2修改的响应文件应按照本章第3.7条、第4.2条规定进行编制和递交。</w:t>
      </w:r>
    </w:p>
    <w:bookmarkEnd w:id="447"/>
    <w:bookmarkEnd w:id="448"/>
    <w:bookmarkEnd w:id="449"/>
    <w:p w14:paraId="7C061120">
      <w:pPr>
        <w:spacing w:line="240" w:lineRule="auto"/>
        <w:outlineLvl w:val="1"/>
        <w:rPr>
          <w:rFonts w:hint="eastAsia" w:ascii="宋体" w:hAnsi="宋体"/>
          <w:b/>
          <w:bCs/>
          <w:color w:val="auto"/>
          <w:szCs w:val="21"/>
          <w:highlight w:val="none"/>
        </w:rPr>
      </w:pPr>
      <w:bookmarkStart w:id="451" w:name="_Toc14969"/>
      <w:r>
        <w:rPr>
          <w:rFonts w:hint="eastAsia" w:ascii="宋体" w:hAnsi="宋体"/>
          <w:b/>
          <w:bCs/>
          <w:color w:val="auto"/>
          <w:szCs w:val="21"/>
          <w:highlight w:val="none"/>
        </w:rPr>
        <w:t>5.磋商开始</w:t>
      </w:r>
      <w:bookmarkEnd w:id="450"/>
      <w:bookmarkEnd w:id="451"/>
      <w:bookmarkStart w:id="452" w:name="_Toc20660"/>
      <w:bookmarkStart w:id="453" w:name="_Toc152042336"/>
      <w:bookmarkStart w:id="454" w:name="_Toc26426"/>
      <w:bookmarkStart w:id="455" w:name="_Toc466298119"/>
      <w:bookmarkStart w:id="456" w:name="_Toc14"/>
      <w:bookmarkStart w:id="457" w:name="_Toc455080136"/>
      <w:bookmarkStart w:id="458" w:name="_Toc20333"/>
      <w:bookmarkStart w:id="459" w:name="_Toc455867796"/>
      <w:bookmarkStart w:id="460" w:name="_Toc490667856"/>
      <w:bookmarkStart w:id="461" w:name="_Toc318450703"/>
      <w:bookmarkStart w:id="462" w:name="_Toc16040"/>
      <w:bookmarkStart w:id="463" w:name="_Toc25809"/>
      <w:bookmarkStart w:id="464" w:name="_Toc9969"/>
      <w:bookmarkStart w:id="465" w:name="_Toc6763"/>
      <w:bookmarkStart w:id="466" w:name="_Toc152045560"/>
      <w:bookmarkStart w:id="467" w:name="_Toc144974528"/>
      <w:bookmarkStart w:id="468" w:name="_Toc25533"/>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2EB8404B">
      <w:pPr>
        <w:spacing w:line="240" w:lineRule="auto"/>
        <w:rPr>
          <w:rFonts w:hint="eastAsia" w:ascii="宋体" w:hAnsi="宋体"/>
          <w:b/>
          <w:bCs/>
          <w:color w:val="auto"/>
          <w:sz w:val="21"/>
          <w:szCs w:val="21"/>
          <w:highlight w:val="none"/>
        </w:rPr>
      </w:pPr>
      <w:bookmarkStart w:id="469" w:name="_Toc747"/>
      <w:bookmarkStart w:id="470" w:name="_Toc25911"/>
      <w:bookmarkStart w:id="471" w:name="_Toc144974529"/>
      <w:bookmarkStart w:id="472" w:name="_Toc318450704"/>
      <w:bookmarkStart w:id="473" w:name="_Toc152042337"/>
      <w:bookmarkStart w:id="474" w:name="_Toc30792"/>
      <w:bookmarkStart w:id="475" w:name="_Toc152045561"/>
      <w:bookmarkStart w:id="476" w:name="_Toc30965"/>
      <w:bookmarkStart w:id="477" w:name="_Toc3865"/>
      <w:bookmarkStart w:id="478" w:name="_Toc466298120"/>
      <w:bookmarkStart w:id="479" w:name="_Toc455867797"/>
      <w:bookmarkStart w:id="480" w:name="_Toc18582"/>
      <w:bookmarkStart w:id="481" w:name="_Toc455080137"/>
      <w:bookmarkStart w:id="482" w:name="_Toc11148"/>
      <w:bookmarkStart w:id="483" w:name="_Toc9328"/>
      <w:bookmarkStart w:id="484" w:name="_Toc30074"/>
      <w:bookmarkStart w:id="485" w:name="_Toc17491"/>
      <w:bookmarkStart w:id="486" w:name="_Toc490667857"/>
      <w:r>
        <w:rPr>
          <w:rFonts w:hint="eastAsia" w:ascii="宋体" w:hAnsi="宋体"/>
          <w:b/>
          <w:bCs/>
          <w:color w:val="auto"/>
          <w:sz w:val="21"/>
          <w:szCs w:val="21"/>
          <w:highlight w:val="none"/>
        </w:rPr>
        <w:t>5.1 磋商时间和地点</w:t>
      </w:r>
    </w:p>
    <w:p w14:paraId="190B50DE">
      <w:pPr>
        <w:spacing w:line="24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5.1.1 采购人在本章规定的投标截止时间（</w:t>
      </w: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时间）和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须知前附表规定的地点开标。</w:t>
      </w:r>
    </w:p>
    <w:p w14:paraId="6601EECB">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 xml:space="preserve">5.1.2 </w:t>
      </w:r>
      <w:r>
        <w:rPr>
          <w:rFonts w:hint="eastAsia" w:ascii="宋体" w:hAnsi="宋体"/>
          <w:b/>
          <w:bCs/>
          <w:color w:val="auto"/>
          <w:sz w:val="21"/>
          <w:szCs w:val="21"/>
          <w:highlight w:val="none"/>
          <w:lang w:val="en-US" w:eastAsia="zh-CN"/>
        </w:rPr>
        <w:t xml:space="preserve">本项目采用“不见面开标”交易方式，不见面开标大厅网址为 </w:t>
      </w:r>
      <w:r>
        <w:rPr>
          <w:rFonts w:hint="eastAsia" w:ascii="宋体" w:hAnsi="宋体"/>
          <w:b/>
          <w:bCs/>
          <w:color w:val="auto"/>
          <w:sz w:val="21"/>
          <w:szCs w:val="21"/>
          <w:highlight w:val="none"/>
          <w:lang w:val="en-US" w:eastAsia="zh-CN"/>
        </w:rPr>
        <w:fldChar w:fldCharType="begin"/>
      </w:r>
      <w:r>
        <w:rPr>
          <w:rFonts w:hint="eastAsia" w:ascii="宋体" w:hAnsi="宋体"/>
          <w:b/>
          <w:bCs/>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b/>
          <w:bCs/>
          <w:color w:val="auto"/>
          <w:sz w:val="21"/>
          <w:szCs w:val="21"/>
          <w:highlight w:val="none"/>
          <w:lang w:val="en-US" w:eastAsia="zh-CN"/>
        </w:rPr>
        <w:fldChar w:fldCharType="separate"/>
      </w:r>
      <w:r>
        <w:rPr>
          <w:rFonts w:hint="eastAsia" w:ascii="宋体" w:hAnsi="宋体"/>
          <w:b/>
          <w:bCs/>
          <w:color w:val="auto"/>
          <w:sz w:val="21"/>
          <w:szCs w:val="21"/>
          <w:highlight w:val="none"/>
          <w:lang w:val="en-US" w:eastAsia="zh-CN"/>
        </w:rPr>
        <w:t>https://ggzyjy.xinyang.gov.cn/BidOpening/bidhall/xinyang/login.html，供应商无需寄送和递交</w:t>
      </w:r>
      <w:r>
        <w:rPr>
          <w:rFonts w:hint="eastAsia" w:ascii="宋体" w:hAnsi="宋体"/>
          <w:b/>
          <w:bCs/>
          <w:color w:val="auto"/>
          <w:sz w:val="21"/>
          <w:szCs w:val="21"/>
          <w:highlight w:val="none"/>
        </w:rPr>
        <w:t>非加密的电子</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lang w:val="en-US" w:eastAsia="zh-CN"/>
        </w:rPr>
        <w:t>无需到现场参加开标会议，无需到达现场提交原件资料。</w:t>
      </w:r>
      <w:r>
        <w:rPr>
          <w:rFonts w:hint="eastAsia" w:ascii="宋体" w:hAnsi="宋体"/>
          <w:b/>
          <w:bCs/>
          <w:color w:val="auto"/>
          <w:sz w:val="21"/>
          <w:szCs w:val="21"/>
          <w:highlight w:val="none"/>
          <w:lang w:val="en-US" w:eastAsia="zh-CN"/>
        </w:rPr>
        <w:fldChar w:fldCharType="end"/>
      </w:r>
    </w:p>
    <w:p w14:paraId="5EDA030E">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供应商应当在响应文件提交截止时间前，使用供应商CA数字证书登录不见面开标大厅，在线签到并准时参加开标活动，并在规定时间内完成响应文件解密、答疑澄清等。</w:t>
      </w:r>
    </w:p>
    <w:p w14:paraId="522BB91F">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44CB561">
      <w:pPr>
        <w:spacing w:line="24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不见面开标服务的具体事宜，请查阅信阳市公共资源交易中心网站首页—下载中心—信阳市不见面开标大厅系统操作手册。</w:t>
      </w:r>
    </w:p>
    <w:p w14:paraId="1FBCE775">
      <w:pPr>
        <w:spacing w:line="240"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开标</w:t>
      </w:r>
      <w:r>
        <w:rPr>
          <w:rFonts w:hint="eastAsia" w:ascii="宋体" w:hAnsi="宋体"/>
          <w:b/>
          <w:bCs/>
          <w:color w:val="auto"/>
          <w:sz w:val="21"/>
          <w:szCs w:val="21"/>
          <w:highlight w:val="none"/>
          <w:lang w:eastAsia="zh-CN"/>
        </w:rPr>
        <w:t>过程中</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b/>
          <w:bCs/>
          <w:color w:val="auto"/>
          <w:sz w:val="21"/>
          <w:szCs w:val="21"/>
          <w:highlight w:val="none"/>
        </w:rPr>
        <w:t>如有异议，须</w:t>
      </w:r>
      <w:r>
        <w:rPr>
          <w:rFonts w:hint="eastAsia" w:ascii="宋体" w:hAnsi="宋体"/>
          <w:b/>
          <w:bCs/>
          <w:color w:val="auto"/>
          <w:sz w:val="21"/>
          <w:szCs w:val="21"/>
          <w:highlight w:val="none"/>
          <w:lang w:eastAsia="zh-CN"/>
        </w:rPr>
        <w:t>在开标结束前</w:t>
      </w:r>
      <w:r>
        <w:rPr>
          <w:rFonts w:hint="eastAsia" w:ascii="宋体" w:hAnsi="宋体"/>
          <w:b/>
          <w:bCs/>
          <w:color w:val="auto"/>
          <w:sz w:val="21"/>
          <w:szCs w:val="21"/>
          <w:highlight w:val="none"/>
        </w:rPr>
        <w:t>通过系统提出，否则视同</w:t>
      </w:r>
      <w:r>
        <w:rPr>
          <w:rFonts w:hint="eastAsia" w:ascii="宋体" w:hAnsi="宋体"/>
          <w:b/>
          <w:bCs/>
          <w:color w:val="auto"/>
          <w:sz w:val="21"/>
          <w:szCs w:val="21"/>
          <w:highlight w:val="none"/>
          <w:lang w:eastAsia="zh-CN"/>
        </w:rPr>
        <w:t>认可</w:t>
      </w:r>
      <w:r>
        <w:rPr>
          <w:rFonts w:hint="eastAsia" w:ascii="宋体" w:hAnsi="宋体"/>
          <w:b/>
          <w:bCs/>
          <w:color w:val="auto"/>
          <w:sz w:val="21"/>
          <w:szCs w:val="21"/>
          <w:highlight w:val="none"/>
        </w:rPr>
        <w:t>开标记录</w:t>
      </w:r>
      <w:r>
        <w:rPr>
          <w:rFonts w:hint="eastAsia" w:ascii="宋体" w:hAnsi="宋体"/>
          <w:b/>
          <w:bCs/>
          <w:color w:val="auto"/>
          <w:sz w:val="21"/>
          <w:szCs w:val="21"/>
          <w:highlight w:val="none"/>
          <w:lang w:eastAsia="zh-CN"/>
        </w:rPr>
        <w:t>。开标结束后，</w:t>
      </w:r>
      <w:r>
        <w:rPr>
          <w:rFonts w:hint="eastAsia" w:ascii="宋体" w:hAnsi="宋体"/>
          <w:b/>
          <w:bCs/>
          <w:color w:val="auto"/>
          <w:sz w:val="21"/>
          <w:szCs w:val="21"/>
          <w:highlight w:val="none"/>
        </w:rPr>
        <w:t>对开标记录</w:t>
      </w:r>
      <w:r>
        <w:rPr>
          <w:rFonts w:hint="eastAsia" w:ascii="宋体" w:hAnsi="宋体"/>
          <w:b/>
          <w:bCs/>
          <w:color w:val="auto"/>
          <w:sz w:val="21"/>
          <w:szCs w:val="21"/>
          <w:highlight w:val="none"/>
          <w:lang w:eastAsia="zh-CN"/>
        </w:rPr>
        <w:t>的</w:t>
      </w:r>
      <w:r>
        <w:rPr>
          <w:rFonts w:hint="eastAsia" w:ascii="宋体" w:hAnsi="宋体"/>
          <w:b/>
          <w:bCs/>
          <w:color w:val="auto"/>
          <w:sz w:val="21"/>
          <w:szCs w:val="21"/>
          <w:highlight w:val="none"/>
        </w:rPr>
        <w:t>任何异议</w:t>
      </w:r>
      <w:r>
        <w:rPr>
          <w:rFonts w:hint="eastAsia" w:ascii="宋体" w:hAnsi="宋体"/>
          <w:b/>
          <w:bCs/>
          <w:color w:val="auto"/>
          <w:sz w:val="21"/>
          <w:szCs w:val="21"/>
          <w:highlight w:val="none"/>
          <w:lang w:eastAsia="zh-CN"/>
        </w:rPr>
        <w:t>不再接受</w:t>
      </w:r>
      <w:r>
        <w:rPr>
          <w:rFonts w:hint="eastAsia" w:ascii="宋体" w:hAnsi="宋体"/>
          <w:b/>
          <w:bCs/>
          <w:color w:val="auto"/>
          <w:sz w:val="21"/>
          <w:szCs w:val="21"/>
          <w:highlight w:val="none"/>
        </w:rPr>
        <w:t xml:space="preserve">。 </w:t>
      </w:r>
    </w:p>
    <w:p w14:paraId="19FC38A8">
      <w:pPr>
        <w:pStyle w:val="54"/>
        <w:spacing w:line="240" w:lineRule="auto"/>
        <w:outlineLvl w:val="0"/>
        <w:rPr>
          <w:rFonts w:hint="eastAsia" w:ascii="宋体" w:hAnsi="宋体" w:eastAsia="宋体"/>
          <w:b/>
          <w:bCs/>
          <w:color w:val="auto"/>
          <w:sz w:val="21"/>
          <w:szCs w:val="21"/>
          <w:highlight w:val="none"/>
        </w:rPr>
      </w:pPr>
      <w:bookmarkStart w:id="487" w:name="_Toc4557"/>
      <w:r>
        <w:rPr>
          <w:rFonts w:hint="eastAsia" w:ascii="宋体" w:hAnsi="宋体" w:eastAsia="宋体"/>
          <w:b/>
          <w:bCs/>
          <w:color w:val="auto"/>
          <w:sz w:val="21"/>
          <w:szCs w:val="21"/>
          <w:highlight w:val="none"/>
        </w:rPr>
        <w:t>5.2 磋商程序</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FB842B5">
      <w:pPr>
        <w:pStyle w:val="54"/>
        <w:spacing w:line="240" w:lineRule="auto"/>
        <w:outlineLvl w:val="0"/>
        <w:rPr>
          <w:rFonts w:ascii="宋体" w:hAnsi="宋体" w:eastAsia="宋体"/>
          <w:b/>
          <w:bCs/>
          <w:color w:val="auto"/>
          <w:sz w:val="21"/>
          <w:szCs w:val="21"/>
          <w:highlight w:val="none"/>
          <w:lang w:val="en-US" w:eastAsia="zh-CN"/>
        </w:rPr>
      </w:pPr>
      <w:bookmarkStart w:id="488" w:name="_Toc13802"/>
      <w:bookmarkStart w:id="489" w:name="_Toc30403"/>
      <w:r>
        <w:rPr>
          <w:rFonts w:hint="eastAsia" w:ascii="宋体" w:hAnsi="宋体" w:eastAsia="宋体"/>
          <w:color w:val="auto"/>
          <w:sz w:val="21"/>
          <w:szCs w:val="21"/>
          <w:highlight w:val="none"/>
          <w:lang w:val="en-US" w:eastAsia="zh-CN"/>
        </w:rPr>
        <w:t>5.2.1磋商小组对竞争性磋商文件进行熟悉确认。</w:t>
      </w:r>
      <w:bookmarkEnd w:id="488"/>
      <w:bookmarkEnd w:id="489"/>
    </w:p>
    <w:p w14:paraId="4F6F39AB">
      <w:pPr>
        <w:spacing w:line="240" w:lineRule="auto"/>
        <w:ind w:firstLine="472" w:firstLineChars="225"/>
        <w:rPr>
          <w:rFonts w:hint="eastAsia" w:ascii="宋体" w:hAnsi="宋体" w:cs="宋体"/>
          <w:color w:val="auto"/>
          <w:szCs w:val="21"/>
          <w:highlight w:val="none"/>
        </w:rPr>
      </w:pPr>
      <w:bookmarkStart w:id="490" w:name="_Toc152042338"/>
      <w:bookmarkStart w:id="491" w:name="_Toc144974530"/>
      <w:bookmarkStart w:id="492" w:name="_Toc152045562"/>
      <w:r>
        <w:rPr>
          <w:rFonts w:hint="eastAsia" w:ascii="宋体" w:hAnsi="宋体" w:cs="宋体"/>
          <w:color w:val="auto"/>
          <w:szCs w:val="21"/>
          <w:highlight w:val="none"/>
        </w:rPr>
        <w:t>5.2.2磋商小组推选组长，讨论、通过磋商工作流程和磋商要点。</w:t>
      </w:r>
    </w:p>
    <w:p w14:paraId="26E90B0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资格评审审查：采购人依据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供应商进行审查，以确定磋商供应商是否具备参与磋商的资格。</w:t>
      </w:r>
    </w:p>
    <w:p w14:paraId="1AF8FA7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符合性</w:t>
      </w:r>
      <w:r>
        <w:rPr>
          <w:rFonts w:hint="eastAsia" w:ascii="宋体" w:hAnsi="宋体" w:cs="宋体"/>
          <w:color w:val="auto"/>
          <w:szCs w:val="21"/>
          <w:highlight w:val="none"/>
        </w:rPr>
        <w:t>评审审查：磋商开始后，磋商小组依据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规定，对通过资格评审的供应商进行审查，以确定磋商供应商是否具备参与磋商的资格。</w:t>
      </w:r>
    </w:p>
    <w:p w14:paraId="1A2E0F70">
      <w:pPr>
        <w:spacing w:line="24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磋商小组对通过资格性和符合性审查的响应文件进行评估，确定与各竞标人磋商的具体内容。</w:t>
      </w:r>
    </w:p>
    <w:p w14:paraId="289545A2">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磋商过程中，磋商小组可以根据磋商情况实质性变动招标需求中的技术、服务要求以及合同草案条款，但不得变动</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中的其他内容。实质性变动的内容需经采购人(业主)代表确认。并以书面形式通知所有参加磋商的供应商，该变动是</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的有效组成部分。供应商应当按照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5D88643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磋商小组对符合招标需求的供应商进行两轮报价；供应商只有通过资格评审</w:t>
      </w:r>
      <w:r>
        <w:rPr>
          <w:rFonts w:hint="eastAsia" w:ascii="宋体" w:hAnsi="宋体" w:cs="宋体"/>
          <w:color w:val="auto"/>
          <w:szCs w:val="21"/>
          <w:highlight w:val="none"/>
          <w:lang w:eastAsia="zh-CN"/>
        </w:rPr>
        <w:t>及符合性</w:t>
      </w:r>
      <w:r>
        <w:rPr>
          <w:rFonts w:hint="eastAsia" w:ascii="宋体" w:hAnsi="宋体" w:cs="宋体"/>
          <w:color w:val="auto"/>
          <w:szCs w:val="21"/>
          <w:highlight w:val="none"/>
        </w:rPr>
        <w:t>评审后方可进入下一轮报价，在规定的时间内同时提交报价，最终报价不得超过响应文件中报价。</w:t>
      </w:r>
    </w:p>
    <w:p w14:paraId="6F5F3B0D">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经磋商确定最终招标需求，由磋商小组采用综合评分法对通过初步评审的供应商的响应文件进行综合评分。</w:t>
      </w:r>
    </w:p>
    <w:p w14:paraId="3DFF4678">
      <w:pPr>
        <w:pStyle w:val="52"/>
        <w:spacing w:before="0" w:beforeLines="0" w:line="240" w:lineRule="auto"/>
        <w:rPr>
          <w:rFonts w:hint="eastAsia" w:ascii="宋体" w:hAnsi="宋体" w:eastAsia="宋体"/>
          <w:b/>
          <w:bCs/>
          <w:color w:val="auto"/>
          <w:sz w:val="21"/>
          <w:szCs w:val="21"/>
          <w:highlight w:val="none"/>
        </w:rPr>
      </w:pPr>
      <w:bookmarkStart w:id="493" w:name="_Toc455080138"/>
      <w:bookmarkStart w:id="494" w:name="_Toc14039"/>
      <w:r>
        <w:rPr>
          <w:rFonts w:hint="eastAsia" w:ascii="宋体" w:hAnsi="宋体" w:eastAsia="宋体"/>
          <w:b/>
          <w:bCs/>
          <w:color w:val="auto"/>
          <w:sz w:val="21"/>
          <w:szCs w:val="21"/>
          <w:highlight w:val="none"/>
        </w:rPr>
        <w:t xml:space="preserve">6. </w:t>
      </w:r>
      <w:bookmarkEnd w:id="490"/>
      <w:bookmarkEnd w:id="491"/>
      <w:bookmarkEnd w:id="492"/>
      <w:r>
        <w:rPr>
          <w:rFonts w:hint="eastAsia" w:ascii="宋体" w:hAnsi="宋体" w:eastAsia="宋体"/>
          <w:b/>
          <w:bCs/>
          <w:color w:val="auto"/>
          <w:sz w:val="21"/>
          <w:szCs w:val="21"/>
          <w:highlight w:val="none"/>
        </w:rPr>
        <w:t>磋商</w:t>
      </w:r>
      <w:bookmarkEnd w:id="493"/>
      <w:r>
        <w:rPr>
          <w:rFonts w:hint="eastAsia" w:ascii="宋体" w:hAnsi="宋体" w:eastAsia="宋体"/>
          <w:b/>
          <w:bCs/>
          <w:color w:val="auto"/>
          <w:sz w:val="21"/>
          <w:szCs w:val="21"/>
          <w:highlight w:val="none"/>
        </w:rPr>
        <w:t>小组</w:t>
      </w:r>
      <w:bookmarkEnd w:id="494"/>
    </w:p>
    <w:p w14:paraId="2CC9F7A0">
      <w:pPr>
        <w:pStyle w:val="54"/>
        <w:spacing w:line="240" w:lineRule="auto"/>
        <w:outlineLvl w:val="0"/>
        <w:rPr>
          <w:rFonts w:hint="eastAsia" w:ascii="宋体" w:hAnsi="宋体" w:eastAsia="宋体"/>
          <w:b/>
          <w:bCs/>
          <w:color w:val="auto"/>
          <w:sz w:val="21"/>
          <w:szCs w:val="21"/>
          <w:highlight w:val="none"/>
        </w:rPr>
      </w:pPr>
      <w:bookmarkStart w:id="495" w:name="_Toc26098"/>
      <w:bookmarkStart w:id="496" w:name="_Toc22250"/>
      <w:bookmarkStart w:id="497" w:name="_Toc152045563"/>
      <w:bookmarkStart w:id="498" w:name="_Toc318450706"/>
      <w:bookmarkStart w:id="499" w:name="_Toc152042339"/>
      <w:bookmarkStart w:id="500" w:name="_Toc9808"/>
      <w:bookmarkStart w:id="501" w:name="_Toc144974531"/>
      <w:bookmarkStart w:id="502" w:name="_Toc18985"/>
      <w:bookmarkStart w:id="503" w:name="_Toc8157"/>
      <w:bookmarkStart w:id="504" w:name="_Toc13978"/>
      <w:bookmarkStart w:id="505" w:name="_Toc455080139"/>
      <w:bookmarkStart w:id="506" w:name="_Toc1546"/>
      <w:bookmarkStart w:id="507" w:name="_Toc8725"/>
      <w:bookmarkStart w:id="508" w:name="_Toc455867799"/>
      <w:bookmarkStart w:id="509" w:name="_Toc20134"/>
      <w:bookmarkStart w:id="510" w:name="_Toc490667859"/>
      <w:bookmarkStart w:id="511" w:name="_Toc23138"/>
      <w:bookmarkStart w:id="512" w:name="_Toc1574"/>
      <w:bookmarkStart w:id="513" w:name="_Toc466298122"/>
      <w:r>
        <w:rPr>
          <w:rFonts w:hint="eastAsia" w:ascii="宋体" w:hAnsi="宋体" w:eastAsia="宋体"/>
          <w:b/>
          <w:bCs/>
          <w:color w:val="auto"/>
          <w:sz w:val="21"/>
          <w:szCs w:val="21"/>
          <w:highlight w:val="none"/>
        </w:rPr>
        <w:t>6.1</w:t>
      </w:r>
      <w:bookmarkEnd w:id="495"/>
      <w:bookmarkEnd w:id="496"/>
      <w:bookmarkEnd w:id="497"/>
      <w:bookmarkEnd w:id="498"/>
      <w:bookmarkEnd w:id="499"/>
      <w:bookmarkEnd w:id="500"/>
      <w:bookmarkEnd w:id="501"/>
      <w:r>
        <w:rPr>
          <w:rFonts w:hint="eastAsia" w:ascii="宋体" w:hAnsi="宋体" w:eastAsia="宋体"/>
          <w:b/>
          <w:bCs/>
          <w:color w:val="auto"/>
          <w:sz w:val="21"/>
          <w:szCs w:val="21"/>
          <w:highlight w:val="none"/>
        </w:rPr>
        <w:t>磋商小组</w:t>
      </w:r>
      <w:bookmarkEnd w:id="502"/>
      <w:bookmarkEnd w:id="503"/>
      <w:bookmarkEnd w:id="504"/>
      <w:bookmarkEnd w:id="505"/>
      <w:bookmarkEnd w:id="506"/>
      <w:bookmarkEnd w:id="507"/>
      <w:bookmarkEnd w:id="508"/>
      <w:bookmarkEnd w:id="509"/>
      <w:bookmarkEnd w:id="510"/>
      <w:bookmarkEnd w:id="511"/>
      <w:bookmarkEnd w:id="512"/>
      <w:bookmarkEnd w:id="513"/>
    </w:p>
    <w:p w14:paraId="592B74EB">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磋商由采购人依法组建的磋商小组负责。磋商小组由采购人代表以及有关技术、经济等方面的专家组成。磋商小组成员人数以及技术、经济等方面专家的确定方式见供应商须知前附表。</w:t>
      </w:r>
    </w:p>
    <w:p w14:paraId="5B8A3CBF">
      <w:pPr>
        <w:pStyle w:val="54"/>
        <w:tabs>
          <w:tab w:val="left" w:pos="2620"/>
        </w:tabs>
        <w:spacing w:line="240" w:lineRule="auto"/>
        <w:outlineLvl w:val="0"/>
        <w:rPr>
          <w:rFonts w:hint="eastAsia" w:ascii="宋体" w:hAnsi="宋体" w:eastAsia="宋体"/>
          <w:b/>
          <w:bCs/>
          <w:color w:val="auto"/>
          <w:sz w:val="21"/>
          <w:szCs w:val="21"/>
          <w:highlight w:val="none"/>
        </w:rPr>
      </w:pPr>
      <w:bookmarkStart w:id="514" w:name="_Toc318450707"/>
      <w:bookmarkStart w:id="515" w:name="_Toc21034"/>
      <w:bookmarkStart w:id="516" w:name="_Toc466298123"/>
      <w:bookmarkStart w:id="517" w:name="_Toc25721"/>
      <w:bookmarkStart w:id="518" w:name="_Toc22143"/>
      <w:bookmarkStart w:id="519" w:name="_Toc490667860"/>
      <w:bookmarkStart w:id="520" w:name="_Toc27035"/>
      <w:bookmarkStart w:id="521" w:name="_Toc455080140"/>
      <w:bookmarkStart w:id="522" w:name="_Toc13368"/>
      <w:bookmarkStart w:id="523" w:name="_Toc152042340"/>
      <w:bookmarkStart w:id="524" w:name="_Toc4435"/>
      <w:bookmarkStart w:id="525" w:name="_Toc7286"/>
      <w:bookmarkStart w:id="526" w:name="_Toc8240"/>
      <w:bookmarkStart w:id="527" w:name="_Toc144974532"/>
      <w:bookmarkStart w:id="528" w:name="_Toc21102"/>
      <w:bookmarkStart w:id="529" w:name="_Toc455867800"/>
      <w:bookmarkStart w:id="530" w:name="_Toc8248"/>
      <w:bookmarkStart w:id="531" w:name="_Toc9532"/>
      <w:bookmarkStart w:id="532" w:name="_Toc152045564"/>
      <w:r>
        <w:rPr>
          <w:rFonts w:hint="eastAsia" w:ascii="宋体" w:hAnsi="宋体" w:eastAsia="宋体"/>
          <w:b/>
          <w:bCs/>
          <w:color w:val="auto"/>
          <w:sz w:val="21"/>
          <w:szCs w:val="21"/>
          <w:highlight w:val="none"/>
        </w:rPr>
        <w:t>6.2 磋商原则</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4C73C1E">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磋商活动遵循公平、公正、科学和择优的原则。</w:t>
      </w:r>
    </w:p>
    <w:p w14:paraId="6151C712">
      <w:pPr>
        <w:pStyle w:val="54"/>
        <w:spacing w:line="240" w:lineRule="auto"/>
        <w:outlineLvl w:val="0"/>
        <w:rPr>
          <w:rFonts w:hint="eastAsia" w:ascii="宋体" w:hAnsi="宋体" w:eastAsia="宋体"/>
          <w:color w:val="auto"/>
          <w:sz w:val="21"/>
          <w:szCs w:val="21"/>
          <w:highlight w:val="none"/>
        </w:rPr>
      </w:pPr>
      <w:bookmarkStart w:id="533" w:name="_Toc152045565"/>
      <w:bookmarkStart w:id="534" w:name="_Toc318450708"/>
      <w:bookmarkStart w:id="535" w:name="_Toc8705"/>
      <w:bookmarkStart w:id="536" w:name="_Toc144974533"/>
      <w:bookmarkStart w:id="537" w:name="_Toc152042341"/>
      <w:bookmarkStart w:id="538" w:name="_Toc15595"/>
      <w:bookmarkStart w:id="539" w:name="_Toc16725"/>
      <w:bookmarkStart w:id="540" w:name="_Toc24358"/>
      <w:bookmarkStart w:id="541" w:name="_Toc27036"/>
      <w:bookmarkStart w:id="542" w:name="_Toc466298124"/>
      <w:bookmarkStart w:id="543" w:name="_Toc28734"/>
      <w:bookmarkStart w:id="544" w:name="_Toc3606"/>
      <w:bookmarkStart w:id="545" w:name="_Toc490667861"/>
      <w:bookmarkStart w:id="546" w:name="_Toc455867801"/>
      <w:bookmarkStart w:id="547" w:name="_Toc18756"/>
      <w:bookmarkStart w:id="548" w:name="_Toc1956"/>
      <w:bookmarkStart w:id="549" w:name="_Toc20062"/>
      <w:bookmarkStart w:id="550" w:name="_Toc455080141"/>
      <w:bookmarkStart w:id="551" w:name="_Toc7890"/>
      <w:r>
        <w:rPr>
          <w:rFonts w:hint="eastAsia" w:ascii="宋体" w:hAnsi="宋体" w:eastAsia="宋体"/>
          <w:b/>
          <w:bCs/>
          <w:color w:val="auto"/>
          <w:sz w:val="21"/>
          <w:szCs w:val="21"/>
          <w:highlight w:val="none"/>
        </w:rPr>
        <w:t xml:space="preserve">6.3 </w:t>
      </w:r>
      <w:bookmarkEnd w:id="533"/>
      <w:bookmarkEnd w:id="534"/>
      <w:bookmarkEnd w:id="535"/>
      <w:bookmarkEnd w:id="536"/>
      <w:bookmarkEnd w:id="537"/>
      <w:bookmarkEnd w:id="538"/>
      <w:bookmarkEnd w:id="539"/>
      <w:r>
        <w:rPr>
          <w:rFonts w:hint="eastAsia" w:ascii="宋体" w:hAnsi="宋体" w:eastAsia="宋体"/>
          <w:b/>
          <w:bCs/>
          <w:color w:val="auto"/>
          <w:sz w:val="21"/>
          <w:szCs w:val="21"/>
          <w:highlight w:val="none"/>
        </w:rPr>
        <w:t>磋商</w:t>
      </w:r>
      <w:bookmarkEnd w:id="540"/>
      <w:bookmarkEnd w:id="541"/>
      <w:bookmarkEnd w:id="542"/>
      <w:bookmarkEnd w:id="543"/>
      <w:bookmarkEnd w:id="544"/>
      <w:bookmarkEnd w:id="545"/>
      <w:bookmarkEnd w:id="546"/>
      <w:bookmarkEnd w:id="547"/>
      <w:bookmarkEnd w:id="548"/>
      <w:bookmarkEnd w:id="549"/>
      <w:bookmarkEnd w:id="550"/>
      <w:bookmarkEnd w:id="551"/>
    </w:p>
    <w:p w14:paraId="68E024BF">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磋商小组按照第三章“评审办法”规定的方法、评审因素、标准和程序对响应文件进行评审。第三章“评审办法”没有规定的方法、评审因素和标准，不作为评标依据。</w:t>
      </w:r>
    </w:p>
    <w:p w14:paraId="5ACB34DF">
      <w:pPr>
        <w:pStyle w:val="52"/>
        <w:spacing w:before="0" w:beforeLines="0" w:line="240" w:lineRule="auto"/>
        <w:rPr>
          <w:rFonts w:hint="eastAsia" w:ascii="宋体" w:hAnsi="宋体" w:eastAsia="宋体"/>
          <w:b/>
          <w:bCs/>
          <w:color w:val="auto"/>
          <w:sz w:val="21"/>
          <w:szCs w:val="21"/>
          <w:highlight w:val="none"/>
        </w:rPr>
      </w:pPr>
      <w:bookmarkStart w:id="552" w:name="_Toc144974534"/>
      <w:bookmarkStart w:id="553" w:name="_Toc152045566"/>
      <w:bookmarkStart w:id="554" w:name="_Toc9522"/>
      <w:bookmarkStart w:id="555" w:name="_Toc152042342"/>
      <w:bookmarkStart w:id="556" w:name="_Toc455080142"/>
      <w:r>
        <w:rPr>
          <w:rFonts w:hint="eastAsia" w:ascii="宋体" w:hAnsi="宋体" w:eastAsia="宋体"/>
          <w:b/>
          <w:bCs/>
          <w:color w:val="auto"/>
          <w:sz w:val="21"/>
          <w:szCs w:val="21"/>
          <w:highlight w:val="none"/>
        </w:rPr>
        <w:t>7. 合同授予</w:t>
      </w:r>
      <w:bookmarkEnd w:id="552"/>
      <w:bookmarkEnd w:id="553"/>
      <w:bookmarkEnd w:id="554"/>
      <w:bookmarkEnd w:id="555"/>
      <w:bookmarkEnd w:id="556"/>
    </w:p>
    <w:p w14:paraId="1EEF3667">
      <w:pPr>
        <w:pStyle w:val="54"/>
        <w:spacing w:line="240" w:lineRule="auto"/>
        <w:outlineLvl w:val="0"/>
        <w:rPr>
          <w:rFonts w:hint="eastAsia" w:ascii="宋体" w:hAnsi="宋体" w:eastAsia="宋体"/>
          <w:b/>
          <w:bCs/>
          <w:color w:val="auto"/>
          <w:sz w:val="21"/>
          <w:szCs w:val="21"/>
          <w:highlight w:val="none"/>
        </w:rPr>
      </w:pPr>
      <w:bookmarkStart w:id="557" w:name="_Toc7358"/>
      <w:bookmarkStart w:id="558" w:name="_Toc455867803"/>
      <w:bookmarkStart w:id="559" w:name="_Toc14528"/>
      <w:bookmarkStart w:id="560" w:name="_Toc22461"/>
      <w:bookmarkStart w:id="561" w:name="_Toc25316"/>
      <w:bookmarkStart w:id="562" w:name="_Toc17660"/>
      <w:bookmarkStart w:id="563" w:name="_Toc27540"/>
      <w:bookmarkStart w:id="564" w:name="_Toc28919"/>
      <w:bookmarkStart w:id="565" w:name="_Toc11409"/>
      <w:bookmarkStart w:id="566" w:name="_Toc29686"/>
      <w:bookmarkStart w:id="567" w:name="_Toc144974535"/>
      <w:bookmarkStart w:id="568" w:name="_Toc490667863"/>
      <w:bookmarkStart w:id="569" w:name="_Toc466298126"/>
      <w:bookmarkStart w:id="570" w:name="_Toc152042343"/>
      <w:bookmarkStart w:id="571" w:name="_Toc152045567"/>
      <w:bookmarkStart w:id="572" w:name="_Toc318450710"/>
      <w:bookmarkStart w:id="573" w:name="_Toc29664"/>
      <w:bookmarkStart w:id="574" w:name="_Toc20777"/>
      <w:bookmarkStart w:id="575" w:name="_Toc455080143"/>
      <w:r>
        <w:rPr>
          <w:rFonts w:hint="eastAsia" w:ascii="宋体" w:hAnsi="宋体" w:eastAsia="宋体"/>
          <w:b/>
          <w:bCs/>
          <w:color w:val="auto"/>
          <w:sz w:val="21"/>
          <w:szCs w:val="21"/>
          <w:highlight w:val="none"/>
        </w:rPr>
        <w:t>7.1 定标方式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514786E">
      <w:pPr>
        <w:spacing w:line="240" w:lineRule="auto"/>
        <w:ind w:firstLine="420" w:firstLineChars="200"/>
        <w:rPr>
          <w:rFonts w:hint="eastAsia" w:ascii="宋体" w:hAnsi="宋体" w:cs="宋体"/>
          <w:color w:val="auto"/>
          <w:szCs w:val="21"/>
          <w:highlight w:val="none"/>
        </w:rPr>
      </w:pPr>
      <w:bookmarkStart w:id="576" w:name="_Toc10868"/>
      <w:bookmarkStart w:id="577" w:name="_Toc318450711"/>
      <w:bookmarkStart w:id="578" w:name="_Toc28254"/>
      <w:bookmarkStart w:id="579" w:name="_Toc7066"/>
      <w:bookmarkStart w:id="580" w:name="_Toc144974536"/>
      <w:bookmarkStart w:id="581" w:name="_Toc152042344"/>
      <w:bookmarkStart w:id="582" w:name="_Toc152045568"/>
      <w:r>
        <w:rPr>
          <w:rFonts w:hint="eastAsia" w:ascii="宋体" w:hAnsi="宋体" w:cs="宋体"/>
          <w:color w:val="auto"/>
          <w:szCs w:val="21"/>
          <w:highlight w:val="none"/>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要求提交履约保证金，或者被查实存在影响成交结果的违法行为等情形，不符合成交条件的，采购人可以按照磋商小组提出的成交候选人名单排序依次确定其他成交候选人为成交人，也可以重新磋商。</w:t>
      </w:r>
    </w:p>
    <w:p w14:paraId="27E5A52E">
      <w:pPr>
        <w:pStyle w:val="54"/>
        <w:spacing w:line="240" w:lineRule="auto"/>
        <w:outlineLvl w:val="0"/>
        <w:rPr>
          <w:rFonts w:hint="eastAsia" w:ascii="宋体" w:hAnsi="宋体" w:eastAsia="宋体"/>
          <w:b/>
          <w:bCs/>
          <w:color w:val="auto"/>
          <w:sz w:val="21"/>
          <w:szCs w:val="21"/>
          <w:highlight w:val="none"/>
        </w:rPr>
      </w:pPr>
      <w:bookmarkStart w:id="583" w:name="_Toc15825"/>
      <w:bookmarkStart w:id="584" w:name="_Toc490667864"/>
      <w:bookmarkStart w:id="585" w:name="_Toc9566"/>
      <w:bookmarkStart w:id="586" w:name="_Toc9775"/>
      <w:bookmarkStart w:id="587" w:name="_Toc455080144"/>
      <w:bookmarkStart w:id="588" w:name="_Toc28177"/>
      <w:bookmarkStart w:id="589" w:name="_Toc9897"/>
      <w:bookmarkStart w:id="590" w:name="_Toc466298127"/>
      <w:bookmarkStart w:id="591" w:name="_Toc455867804"/>
      <w:bookmarkStart w:id="592" w:name="_Toc5428"/>
      <w:bookmarkStart w:id="593" w:name="_Toc5668"/>
      <w:bookmarkStart w:id="594" w:name="_Toc16163"/>
      <w:r>
        <w:rPr>
          <w:rFonts w:hint="eastAsia" w:ascii="宋体" w:hAnsi="宋体" w:eastAsia="宋体"/>
          <w:b/>
          <w:bCs/>
          <w:color w:val="auto"/>
          <w:sz w:val="21"/>
          <w:szCs w:val="21"/>
          <w:highlight w:val="none"/>
        </w:rPr>
        <w:t>7.2 成交通知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844775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在本章第3.3.1款规定的磋商有效期内，采购人以书面形式向成交人发出成交通知书，同时将成交结果通知未成交的供应商。</w:t>
      </w:r>
    </w:p>
    <w:p w14:paraId="1CA898AC">
      <w:pPr>
        <w:pageBreakBefore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7.3 履约保证金</w:t>
      </w:r>
    </w:p>
    <w:p w14:paraId="6451E10E">
      <w:pPr>
        <w:pStyle w:val="54"/>
        <w:spacing w:line="240" w:lineRule="auto"/>
        <w:outlineLvl w:val="0"/>
        <w:rPr>
          <w:rFonts w:hint="eastAsia" w:ascii="宋体" w:hAnsi="宋体" w:eastAsia="宋体" w:cs="宋体"/>
          <w:b/>
          <w:bCs/>
          <w:color w:val="auto"/>
          <w:sz w:val="21"/>
          <w:szCs w:val="21"/>
          <w:highlight w:val="none"/>
          <w:lang w:val="en-US" w:eastAsia="zh-CN"/>
        </w:rPr>
      </w:pPr>
      <w:bookmarkStart w:id="595" w:name="_Toc12068"/>
      <w:bookmarkStart w:id="596" w:name="_Toc466298128"/>
      <w:bookmarkStart w:id="597" w:name="_Toc26915"/>
      <w:bookmarkStart w:id="598" w:name="_Toc21271"/>
      <w:bookmarkStart w:id="599" w:name="_Toc26760"/>
      <w:bookmarkStart w:id="600" w:name="_Toc8886"/>
      <w:bookmarkStart w:id="601" w:name="_Toc152042346"/>
      <w:bookmarkStart w:id="602" w:name="_Toc15458"/>
      <w:bookmarkStart w:id="603" w:name="_Toc455080145"/>
      <w:bookmarkStart w:id="604" w:name="_Toc455867805"/>
      <w:bookmarkStart w:id="605" w:name="_Toc490667865"/>
      <w:bookmarkStart w:id="606" w:name="_Toc26655"/>
      <w:bookmarkStart w:id="607" w:name="_Toc144974538"/>
      <w:bookmarkStart w:id="608" w:name="_Toc24026"/>
      <w:bookmarkStart w:id="609" w:name="_Toc13147"/>
      <w:bookmarkStart w:id="610" w:name="_Toc12663"/>
      <w:bookmarkStart w:id="611" w:name="_Toc10082"/>
      <w:bookmarkStart w:id="612" w:name="_Toc318450712"/>
      <w:bookmarkStart w:id="613" w:name="_Toc152045570"/>
      <w:r>
        <w:rPr>
          <w:rFonts w:hint="eastAsia" w:ascii="宋体" w:hAnsi="宋体" w:eastAsia="宋体" w:cs="宋体"/>
          <w:b/>
          <w:bCs/>
          <w:color w:val="auto"/>
          <w:sz w:val="21"/>
          <w:szCs w:val="21"/>
          <w:highlight w:val="none"/>
          <w:lang w:val="en-US" w:eastAsia="zh-CN"/>
        </w:rPr>
        <w:t>免收履约保证金</w:t>
      </w:r>
      <w:bookmarkEnd w:id="595"/>
    </w:p>
    <w:p w14:paraId="75E264A0">
      <w:pPr>
        <w:pStyle w:val="54"/>
        <w:spacing w:line="240" w:lineRule="auto"/>
        <w:outlineLvl w:val="0"/>
        <w:rPr>
          <w:rFonts w:hint="eastAsia" w:ascii="宋体" w:hAnsi="宋体" w:eastAsia="宋体"/>
          <w:b/>
          <w:bCs/>
          <w:color w:val="auto"/>
          <w:sz w:val="21"/>
          <w:szCs w:val="21"/>
          <w:highlight w:val="none"/>
        </w:rPr>
      </w:pPr>
      <w:bookmarkStart w:id="614" w:name="_Toc29844"/>
      <w:r>
        <w:rPr>
          <w:rFonts w:hint="eastAsia" w:ascii="宋体" w:hAnsi="宋体" w:eastAsia="宋体"/>
          <w:b/>
          <w:bCs/>
          <w:color w:val="auto"/>
          <w:sz w:val="21"/>
          <w:szCs w:val="21"/>
          <w:highlight w:val="none"/>
        </w:rPr>
        <w:t>7.</w:t>
      </w:r>
      <w:r>
        <w:rPr>
          <w:rFonts w:hint="eastAsia" w:ascii="宋体" w:hAnsi="宋体" w:eastAsia="宋体"/>
          <w:b/>
          <w:bCs/>
          <w:color w:val="auto"/>
          <w:sz w:val="21"/>
          <w:szCs w:val="21"/>
          <w:highlight w:val="none"/>
          <w:lang w:val="en-US" w:eastAsia="zh-CN"/>
        </w:rPr>
        <w:t>4</w:t>
      </w:r>
      <w:r>
        <w:rPr>
          <w:rFonts w:hint="eastAsia" w:ascii="宋体" w:hAnsi="宋体" w:eastAsia="宋体"/>
          <w:b/>
          <w:bCs/>
          <w:color w:val="auto"/>
          <w:sz w:val="21"/>
          <w:szCs w:val="21"/>
          <w:highlight w:val="none"/>
        </w:rPr>
        <w:t xml:space="preserve"> 签订合同</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42E75EA6">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.1采购人和成交人应当自成交通知书发出之日起</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天内，根据</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14:paraId="7FA7756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 发出成交通知书后，采购人无正当理由拒签合同的，采购人向成交人退还磋商保证金；给成交人造成损失的，还应当赔偿损失。 </w:t>
      </w:r>
      <w:bookmarkStart w:id="615" w:name="_Toc152045574"/>
      <w:bookmarkStart w:id="616" w:name="_Toc144974542"/>
      <w:bookmarkStart w:id="617" w:name="_Toc152042350"/>
    </w:p>
    <w:p w14:paraId="794EDB2E">
      <w:pPr>
        <w:pStyle w:val="52"/>
        <w:spacing w:before="0" w:beforeLines="0" w:line="240" w:lineRule="auto"/>
        <w:rPr>
          <w:rFonts w:hint="eastAsia" w:ascii="宋体" w:hAnsi="宋体" w:eastAsia="宋体"/>
          <w:b/>
          <w:bCs/>
          <w:color w:val="auto"/>
          <w:sz w:val="21"/>
          <w:szCs w:val="21"/>
          <w:highlight w:val="none"/>
        </w:rPr>
      </w:pPr>
      <w:bookmarkStart w:id="618" w:name="_Toc455080146"/>
      <w:bookmarkStart w:id="619" w:name="_Toc16866"/>
      <w:r>
        <w:rPr>
          <w:rFonts w:hint="eastAsia" w:ascii="宋体" w:hAnsi="宋体" w:eastAsia="宋体"/>
          <w:b/>
          <w:bCs/>
          <w:color w:val="auto"/>
          <w:sz w:val="21"/>
          <w:szCs w:val="21"/>
          <w:highlight w:val="none"/>
        </w:rPr>
        <w:t>8.重新招标</w:t>
      </w:r>
      <w:bookmarkEnd w:id="618"/>
      <w:bookmarkEnd w:id="619"/>
    </w:p>
    <w:p w14:paraId="792FA375">
      <w:pPr>
        <w:spacing w:line="240" w:lineRule="auto"/>
        <w:rPr>
          <w:rFonts w:hint="eastAsia" w:ascii="宋体" w:hAnsi="宋体"/>
          <w:color w:val="auto"/>
          <w:szCs w:val="21"/>
          <w:highlight w:val="none"/>
        </w:rPr>
      </w:pPr>
      <w:bookmarkStart w:id="620" w:name="_Toc16556"/>
      <w:r>
        <w:rPr>
          <w:rFonts w:hint="eastAsia" w:ascii="宋体" w:hAnsi="宋体"/>
          <w:b/>
          <w:bCs/>
          <w:color w:val="auto"/>
          <w:szCs w:val="21"/>
          <w:highlight w:val="none"/>
        </w:rPr>
        <w:t>8.1 重新招标</w:t>
      </w:r>
      <w:bookmarkEnd w:id="620"/>
    </w:p>
    <w:p w14:paraId="540A8B5B">
      <w:pPr>
        <w:spacing w:line="240" w:lineRule="auto"/>
        <w:rPr>
          <w:rFonts w:hint="eastAsia" w:ascii="宋体" w:hAnsi="宋体"/>
          <w:color w:val="auto"/>
          <w:szCs w:val="21"/>
          <w:highlight w:val="none"/>
        </w:rPr>
      </w:pPr>
      <w:bookmarkStart w:id="621" w:name="_Toc25063"/>
      <w:r>
        <w:rPr>
          <w:rFonts w:hint="eastAsia" w:ascii="宋体" w:hAnsi="宋体"/>
          <w:color w:val="auto"/>
          <w:szCs w:val="21"/>
          <w:highlight w:val="none"/>
        </w:rPr>
        <w:t>（1）提交响应文件截止时间止，供应商少于</w:t>
      </w:r>
      <w:r>
        <w:rPr>
          <w:rFonts w:hint="eastAsia" w:ascii="宋体" w:hAnsi="宋体"/>
          <w:color w:val="auto"/>
          <w:szCs w:val="21"/>
          <w:highlight w:val="none"/>
          <w:lang w:val="en-US" w:eastAsia="zh-CN"/>
        </w:rPr>
        <w:t>3</w:t>
      </w:r>
      <w:r>
        <w:rPr>
          <w:rFonts w:hint="eastAsia" w:ascii="宋体" w:hAnsi="宋体"/>
          <w:color w:val="auto"/>
          <w:szCs w:val="21"/>
          <w:highlight w:val="none"/>
        </w:rPr>
        <w:t>个的；</w:t>
      </w:r>
      <w:bookmarkEnd w:id="621"/>
      <w:r>
        <w:rPr>
          <w:rFonts w:hint="eastAsia" w:ascii="宋体" w:hAnsi="宋体"/>
          <w:color w:val="auto"/>
          <w:szCs w:val="21"/>
          <w:highlight w:val="none"/>
        </w:rPr>
        <w:t xml:space="preserve"> </w:t>
      </w:r>
    </w:p>
    <w:p w14:paraId="4B1E6FCA">
      <w:pPr>
        <w:spacing w:line="240" w:lineRule="auto"/>
        <w:rPr>
          <w:rFonts w:hint="eastAsia" w:ascii="宋体" w:hAnsi="宋体"/>
          <w:color w:val="auto"/>
          <w:szCs w:val="21"/>
          <w:highlight w:val="none"/>
        </w:rPr>
      </w:pPr>
      <w:bookmarkStart w:id="622" w:name="_Toc17911"/>
      <w:r>
        <w:rPr>
          <w:rFonts w:hint="eastAsia" w:ascii="宋体" w:hAnsi="宋体"/>
          <w:color w:val="auto"/>
          <w:szCs w:val="21"/>
          <w:highlight w:val="none"/>
        </w:rPr>
        <w:t>（2）经磋商小组评审后否决所有响应文件的。</w:t>
      </w:r>
      <w:bookmarkEnd w:id="622"/>
    </w:p>
    <w:p w14:paraId="4C6826AA">
      <w:pPr>
        <w:pStyle w:val="52"/>
        <w:spacing w:before="0" w:beforeLines="0" w:line="240" w:lineRule="auto"/>
        <w:rPr>
          <w:rFonts w:hint="eastAsia" w:ascii="宋体" w:hAnsi="宋体" w:eastAsia="宋体"/>
          <w:b/>
          <w:bCs/>
          <w:color w:val="auto"/>
          <w:sz w:val="21"/>
          <w:szCs w:val="21"/>
          <w:highlight w:val="none"/>
        </w:rPr>
      </w:pPr>
      <w:bookmarkStart w:id="623" w:name="_Toc9996"/>
      <w:bookmarkStart w:id="624" w:name="_Toc455080147"/>
      <w:r>
        <w:rPr>
          <w:rFonts w:hint="eastAsia" w:ascii="宋体" w:hAnsi="宋体" w:eastAsia="宋体"/>
          <w:b/>
          <w:bCs/>
          <w:color w:val="auto"/>
          <w:sz w:val="21"/>
          <w:szCs w:val="21"/>
          <w:highlight w:val="none"/>
        </w:rPr>
        <w:t>9.纪律和监督</w:t>
      </w:r>
      <w:bookmarkEnd w:id="615"/>
      <w:bookmarkEnd w:id="616"/>
      <w:bookmarkEnd w:id="617"/>
      <w:bookmarkEnd w:id="623"/>
      <w:bookmarkEnd w:id="624"/>
    </w:p>
    <w:p w14:paraId="20D363E2">
      <w:pPr>
        <w:pStyle w:val="54"/>
        <w:spacing w:line="240" w:lineRule="auto"/>
        <w:outlineLvl w:val="0"/>
        <w:rPr>
          <w:rFonts w:hint="eastAsia" w:ascii="宋体" w:hAnsi="宋体" w:eastAsia="宋体"/>
          <w:b/>
          <w:bCs/>
          <w:color w:val="auto"/>
          <w:sz w:val="21"/>
          <w:szCs w:val="21"/>
          <w:highlight w:val="none"/>
        </w:rPr>
      </w:pPr>
      <w:bookmarkStart w:id="625" w:name="_Toc697"/>
      <w:bookmarkStart w:id="626" w:name="_Toc15769"/>
      <w:bookmarkStart w:id="627" w:name="_Toc20009"/>
      <w:bookmarkStart w:id="628" w:name="_Toc27836"/>
      <w:bookmarkStart w:id="629" w:name="_Toc152042351"/>
      <w:bookmarkStart w:id="630" w:name="_Toc144974543"/>
      <w:bookmarkStart w:id="631" w:name="_Toc318450714"/>
      <w:bookmarkStart w:id="632" w:name="_Toc152045575"/>
      <w:bookmarkStart w:id="633" w:name="_Toc455080148"/>
      <w:bookmarkStart w:id="634" w:name="_Toc466298131"/>
      <w:bookmarkStart w:id="635" w:name="_Toc9066"/>
      <w:bookmarkStart w:id="636" w:name="_Toc1282"/>
      <w:bookmarkStart w:id="637" w:name="_Toc455867808"/>
      <w:bookmarkStart w:id="638" w:name="_Toc12992"/>
      <w:bookmarkStart w:id="639" w:name="_Toc13970"/>
      <w:bookmarkStart w:id="640" w:name="_Toc19159"/>
      <w:bookmarkStart w:id="641" w:name="_Toc490667868"/>
      <w:bookmarkStart w:id="642" w:name="_Toc15592"/>
      <w:bookmarkStart w:id="643" w:name="_Toc269"/>
      <w:r>
        <w:rPr>
          <w:rFonts w:hint="eastAsia" w:ascii="宋体" w:hAnsi="宋体" w:eastAsia="宋体"/>
          <w:b/>
          <w:bCs/>
          <w:color w:val="auto"/>
          <w:sz w:val="21"/>
          <w:szCs w:val="21"/>
          <w:highlight w:val="none"/>
        </w:rPr>
        <w:t>9.1 对</w:t>
      </w:r>
      <w:r>
        <w:rPr>
          <w:rFonts w:hint="eastAsia" w:ascii="宋体" w:hAnsi="宋体" w:eastAsia="宋体"/>
          <w:b/>
          <w:bCs/>
          <w:color w:val="auto"/>
          <w:sz w:val="21"/>
          <w:szCs w:val="21"/>
          <w:highlight w:val="none"/>
          <w:lang w:eastAsia="zh-CN"/>
        </w:rPr>
        <w:t>采购人</w:t>
      </w:r>
      <w:r>
        <w:rPr>
          <w:rFonts w:hint="eastAsia" w:ascii="宋体" w:hAnsi="宋体" w:eastAsia="宋体"/>
          <w:b/>
          <w:bCs/>
          <w:color w:val="auto"/>
          <w:sz w:val="21"/>
          <w:szCs w:val="21"/>
          <w:highlight w:val="none"/>
        </w:rPr>
        <w:t>的纪律要求</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8F05975">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不得泄露</w:t>
      </w:r>
      <w:r>
        <w:rPr>
          <w:rFonts w:hint="eastAsia" w:ascii="宋体" w:hAnsi="宋体" w:cs="宋体"/>
          <w:color w:val="auto"/>
          <w:szCs w:val="21"/>
          <w:highlight w:val="none"/>
        </w:rPr>
        <w:t>磋商活动中应当保密的情况和资料，不得与供应商串通损害国家利益、社会公共利益或者他人合法权益。</w:t>
      </w:r>
    </w:p>
    <w:p w14:paraId="2FAE43F6">
      <w:pPr>
        <w:pStyle w:val="54"/>
        <w:spacing w:line="240" w:lineRule="auto"/>
        <w:outlineLvl w:val="0"/>
        <w:rPr>
          <w:rFonts w:hint="eastAsia" w:ascii="宋体" w:hAnsi="宋体" w:eastAsia="宋体"/>
          <w:color w:val="auto"/>
          <w:sz w:val="21"/>
          <w:szCs w:val="21"/>
          <w:highlight w:val="none"/>
        </w:rPr>
      </w:pPr>
      <w:bookmarkStart w:id="644" w:name="_Toc18204"/>
      <w:bookmarkStart w:id="645" w:name="_Toc152045576"/>
      <w:bookmarkStart w:id="646" w:name="_Toc466298132"/>
      <w:bookmarkStart w:id="647" w:name="_Toc144974544"/>
      <w:bookmarkStart w:id="648" w:name="_Toc152042352"/>
      <w:bookmarkStart w:id="649" w:name="_Toc21646"/>
      <w:bookmarkStart w:id="650" w:name="_Toc25381"/>
      <w:bookmarkStart w:id="651" w:name="_Toc20261"/>
      <w:bookmarkStart w:id="652" w:name="_Toc1743"/>
      <w:bookmarkStart w:id="653" w:name="_Toc7572"/>
      <w:bookmarkStart w:id="654" w:name="_Toc490667869"/>
      <w:bookmarkStart w:id="655" w:name="_Toc18604"/>
      <w:bookmarkStart w:id="656" w:name="_Toc27698"/>
      <w:bookmarkStart w:id="657" w:name="_Toc455080149"/>
      <w:bookmarkStart w:id="658" w:name="_Toc318450715"/>
      <w:bookmarkStart w:id="659" w:name="_Toc3089"/>
      <w:bookmarkStart w:id="660" w:name="_Toc455867809"/>
      <w:bookmarkStart w:id="661" w:name="_Toc17040"/>
      <w:bookmarkStart w:id="662" w:name="_Toc19167"/>
      <w:r>
        <w:rPr>
          <w:rFonts w:hint="eastAsia" w:ascii="宋体" w:hAnsi="宋体" w:eastAsia="宋体"/>
          <w:b/>
          <w:bCs/>
          <w:color w:val="auto"/>
          <w:sz w:val="21"/>
          <w:szCs w:val="21"/>
          <w:highlight w:val="none"/>
        </w:rPr>
        <w:t>9.2 对供应商的纪律要求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F037104">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供应商不得相互串通或者与采购人串通，不得向采购人或者谈判小组行贿谋取成交，不得以他人名义或者以其他方式弄虚作假骗取成交；供应商不得以任何方式干扰、影响评审工作。</w:t>
      </w:r>
    </w:p>
    <w:p w14:paraId="476E911F">
      <w:pPr>
        <w:pStyle w:val="54"/>
        <w:spacing w:line="240" w:lineRule="auto"/>
        <w:outlineLvl w:val="0"/>
        <w:rPr>
          <w:rFonts w:hint="eastAsia" w:ascii="宋体" w:hAnsi="宋体" w:eastAsia="宋体"/>
          <w:b/>
          <w:bCs/>
          <w:color w:val="auto"/>
          <w:sz w:val="21"/>
          <w:szCs w:val="21"/>
          <w:highlight w:val="none"/>
        </w:rPr>
      </w:pPr>
      <w:bookmarkStart w:id="663" w:name="_Toc25241"/>
      <w:bookmarkStart w:id="664" w:name="_Toc7107"/>
      <w:bookmarkStart w:id="665" w:name="_Toc455867810"/>
      <w:bookmarkStart w:id="666" w:name="_Toc12177"/>
      <w:bookmarkStart w:id="667" w:name="_Toc25211"/>
      <w:bookmarkStart w:id="668" w:name="_Toc8751"/>
      <w:bookmarkStart w:id="669" w:name="_Toc30153"/>
      <w:bookmarkStart w:id="670" w:name="_Toc152045577"/>
      <w:bookmarkStart w:id="671" w:name="_Toc28813"/>
      <w:bookmarkStart w:id="672" w:name="_Toc32320"/>
      <w:bookmarkStart w:id="673" w:name="_Toc318450716"/>
      <w:bookmarkStart w:id="674" w:name="_Toc31001"/>
      <w:bookmarkStart w:id="675" w:name="_Toc455080150"/>
      <w:bookmarkStart w:id="676" w:name="_Toc490667870"/>
      <w:bookmarkStart w:id="677" w:name="_Toc152042353"/>
      <w:bookmarkStart w:id="678" w:name="_Toc7439"/>
      <w:bookmarkStart w:id="679" w:name="_Toc19965"/>
      <w:bookmarkStart w:id="680" w:name="_Toc466298133"/>
      <w:bookmarkStart w:id="681" w:name="_Toc144974545"/>
      <w:r>
        <w:rPr>
          <w:rFonts w:hint="eastAsia" w:ascii="宋体" w:hAnsi="宋体" w:eastAsia="宋体"/>
          <w:b/>
          <w:bCs/>
          <w:color w:val="auto"/>
          <w:sz w:val="21"/>
          <w:szCs w:val="21"/>
          <w:highlight w:val="none"/>
        </w:rPr>
        <w:t>9.3 对磋商小组成员的纪律要求</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23734539">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297A7764">
      <w:pPr>
        <w:pStyle w:val="54"/>
        <w:spacing w:line="240" w:lineRule="auto"/>
        <w:outlineLvl w:val="0"/>
        <w:rPr>
          <w:rFonts w:hint="eastAsia" w:ascii="宋体" w:hAnsi="宋体" w:eastAsia="宋体"/>
          <w:color w:val="auto"/>
          <w:sz w:val="21"/>
          <w:szCs w:val="21"/>
          <w:highlight w:val="none"/>
        </w:rPr>
      </w:pPr>
      <w:bookmarkStart w:id="682" w:name="_Toc152045578"/>
      <w:bookmarkStart w:id="683" w:name="_Toc7368"/>
      <w:bookmarkStart w:id="684" w:name="_Toc27559"/>
      <w:bookmarkStart w:id="685" w:name="_Toc26462"/>
      <w:bookmarkStart w:id="686" w:name="_Toc152042354"/>
      <w:bookmarkStart w:id="687" w:name="_Toc397"/>
      <w:bookmarkStart w:id="688" w:name="_Toc466298134"/>
      <w:bookmarkStart w:id="689" w:name="_Toc23717"/>
      <w:bookmarkStart w:id="690" w:name="_Toc19485"/>
      <w:bookmarkStart w:id="691" w:name="_Toc455867811"/>
      <w:bookmarkStart w:id="692" w:name="_Toc9063"/>
      <w:bookmarkStart w:id="693" w:name="_Toc318450717"/>
      <w:bookmarkStart w:id="694" w:name="_Toc490667871"/>
      <w:bookmarkStart w:id="695" w:name="_Toc1295"/>
      <w:bookmarkStart w:id="696" w:name="_Toc455080151"/>
      <w:bookmarkStart w:id="697" w:name="_Toc235"/>
      <w:bookmarkStart w:id="698" w:name="_Toc20546"/>
      <w:bookmarkStart w:id="699" w:name="_Toc24"/>
      <w:bookmarkStart w:id="700" w:name="_Toc144974546"/>
      <w:r>
        <w:rPr>
          <w:rFonts w:hint="eastAsia" w:ascii="宋体" w:hAnsi="宋体" w:eastAsia="宋体"/>
          <w:b/>
          <w:bCs/>
          <w:color w:val="auto"/>
          <w:sz w:val="21"/>
          <w:szCs w:val="21"/>
          <w:highlight w:val="none"/>
        </w:rPr>
        <w:t>9.4 对与评标活动有关的工作人员的纪律要求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34A780B1">
      <w:pPr>
        <w:spacing w:line="240" w:lineRule="auto"/>
        <w:ind w:firstLine="420" w:firstLineChars="200"/>
        <w:rPr>
          <w:rFonts w:hint="eastAsia" w:ascii="宋体" w:hAnsi="宋体" w:cs="宋体"/>
          <w:color w:val="auto"/>
          <w:szCs w:val="21"/>
          <w:highlight w:val="none"/>
        </w:rPr>
      </w:pPr>
      <w:bookmarkStart w:id="701"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对响应文件的评审和比较、成交候选人的推荐情况以及评标有关的其他情况。在评标活动中，与评标活动有关的工作人员不得擅离职守，影响评标程序正常进行。</w:t>
      </w:r>
      <w:bookmarkEnd w:id="701"/>
    </w:p>
    <w:p w14:paraId="2477A20E">
      <w:pPr>
        <w:pStyle w:val="54"/>
        <w:spacing w:line="240" w:lineRule="auto"/>
        <w:outlineLvl w:val="0"/>
        <w:rPr>
          <w:rFonts w:hint="eastAsia" w:ascii="宋体" w:hAnsi="宋体" w:eastAsia="宋体"/>
          <w:b/>
          <w:bCs/>
          <w:color w:val="auto"/>
          <w:sz w:val="21"/>
          <w:szCs w:val="21"/>
          <w:highlight w:val="none"/>
        </w:rPr>
      </w:pPr>
      <w:bookmarkStart w:id="702" w:name="_Toc8074"/>
      <w:bookmarkStart w:id="703" w:name="_Toc152042356"/>
      <w:bookmarkStart w:id="704" w:name="_Toc32675"/>
      <w:bookmarkStart w:id="705" w:name="_Toc31010"/>
      <w:bookmarkStart w:id="706" w:name="_Toc2159"/>
      <w:bookmarkStart w:id="707" w:name="_Toc1820"/>
      <w:bookmarkStart w:id="708" w:name="_Toc466298135"/>
      <w:bookmarkStart w:id="709" w:name="_Toc3617"/>
      <w:bookmarkStart w:id="710" w:name="_Toc5504"/>
      <w:bookmarkStart w:id="711" w:name="_Toc318450718"/>
      <w:bookmarkStart w:id="712" w:name="_Toc25751"/>
      <w:bookmarkStart w:id="713" w:name="_Toc490667872"/>
      <w:bookmarkStart w:id="714" w:name="_Toc455867812"/>
      <w:bookmarkStart w:id="715" w:name="_Toc17735"/>
      <w:bookmarkStart w:id="716" w:name="_Toc6199"/>
      <w:bookmarkStart w:id="717" w:name="_Toc152045579"/>
      <w:bookmarkStart w:id="718" w:name="_Toc455080152"/>
      <w:bookmarkStart w:id="719" w:name="_Toc3303"/>
      <w:r>
        <w:rPr>
          <w:rFonts w:hint="eastAsia" w:ascii="宋体" w:hAnsi="宋体" w:eastAsia="宋体"/>
          <w:b/>
          <w:bCs/>
          <w:color w:val="auto"/>
          <w:sz w:val="21"/>
          <w:szCs w:val="21"/>
          <w:highlight w:val="none"/>
        </w:rPr>
        <w:t>9.5 投诉</w:t>
      </w:r>
      <w:bookmarkEnd w:id="700"/>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7C5B0CF7">
      <w:pPr>
        <w:spacing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供应商和其他利害关系人认为本次磋商活动违反法律、法规和规章规定的，有权向有关行政监督部门投诉。</w:t>
      </w:r>
    </w:p>
    <w:p w14:paraId="06A56B45">
      <w:pPr>
        <w:pStyle w:val="52"/>
        <w:spacing w:before="0" w:beforeLines="0" w:line="240" w:lineRule="auto"/>
        <w:rPr>
          <w:rFonts w:hint="eastAsia" w:ascii="宋体" w:hAnsi="宋体" w:eastAsia="宋体"/>
          <w:b/>
          <w:bCs/>
          <w:color w:val="auto"/>
          <w:sz w:val="21"/>
          <w:szCs w:val="21"/>
          <w:highlight w:val="none"/>
        </w:rPr>
      </w:pPr>
      <w:bookmarkStart w:id="720" w:name="_Toc152042357"/>
      <w:bookmarkStart w:id="721" w:name="_Toc14221"/>
      <w:bookmarkStart w:id="722" w:name="_Toc152045580"/>
      <w:bookmarkStart w:id="723" w:name="_Toc144974547"/>
      <w:bookmarkStart w:id="724" w:name="_Toc455080153"/>
      <w:r>
        <w:rPr>
          <w:rFonts w:hint="eastAsia" w:ascii="宋体" w:hAnsi="宋体" w:eastAsia="宋体"/>
          <w:b/>
          <w:bCs/>
          <w:color w:val="auto"/>
          <w:sz w:val="21"/>
          <w:szCs w:val="21"/>
          <w:highlight w:val="none"/>
        </w:rPr>
        <w:t>10. 需要补充的其他内容</w:t>
      </w:r>
      <w:bookmarkEnd w:id="720"/>
      <w:bookmarkEnd w:id="721"/>
      <w:bookmarkEnd w:id="722"/>
      <w:bookmarkEnd w:id="723"/>
      <w:bookmarkEnd w:id="724"/>
    </w:p>
    <w:p w14:paraId="1DDA8911">
      <w:pPr>
        <w:outlineLvl w:val="9"/>
        <w:rPr>
          <w:rFonts w:hint="eastAsia" w:ascii="宋体" w:hAnsi="宋体" w:cs="宋体" w:eastAsiaTheme="minorEastAsia"/>
          <w:b/>
          <w:color w:val="auto"/>
          <w:kern w:val="44"/>
          <w:sz w:val="28"/>
          <w:szCs w:val="28"/>
          <w:highlight w:val="none"/>
          <w:lang w:val="en-US" w:eastAsia="zh-CN" w:bidi="ar-SA"/>
        </w:rPr>
      </w:pPr>
    </w:p>
    <w:p w14:paraId="739E23C1">
      <w:pPr>
        <w:outlineLvl w:val="9"/>
        <w:rPr>
          <w:rFonts w:hint="eastAsia" w:ascii="宋体" w:hAnsi="宋体" w:cs="宋体"/>
          <w:b/>
          <w:color w:val="auto"/>
          <w:kern w:val="44"/>
          <w:sz w:val="28"/>
          <w:szCs w:val="28"/>
          <w:highlight w:val="none"/>
        </w:rPr>
      </w:pPr>
    </w:p>
    <w:bookmarkEnd w:id="21"/>
    <w:bookmarkEnd w:id="22"/>
    <w:bookmarkEnd w:id="23"/>
    <w:bookmarkEnd w:id="24"/>
    <w:bookmarkEnd w:id="25"/>
    <w:bookmarkEnd w:id="26"/>
    <w:p w14:paraId="2F551842">
      <w:pPr>
        <w:ind w:left="0" w:leftChars="0" w:firstLine="0" w:firstLineChars="0"/>
        <w:jc w:val="center"/>
        <w:outlineLvl w:val="0"/>
        <w:rPr>
          <w:rFonts w:hint="eastAsia" w:ascii="宋体" w:hAnsi="宋体" w:cs="宋体"/>
          <w:bCs/>
          <w:color w:val="auto"/>
          <w:sz w:val="32"/>
          <w:szCs w:val="32"/>
          <w:highlight w:val="none"/>
        </w:rPr>
      </w:pPr>
      <w:bookmarkStart w:id="725" w:name="_Toc9758"/>
      <w:bookmarkStart w:id="726" w:name="_Toc28924"/>
      <w:bookmarkStart w:id="727" w:name="_Toc281405527"/>
      <w:bookmarkStart w:id="728" w:name="_Toc27806"/>
      <w:bookmarkStart w:id="729" w:name="_Toc455867816"/>
      <w:bookmarkStart w:id="730" w:name="_Toc318450721"/>
      <w:bookmarkStart w:id="731" w:name="_Toc12296"/>
      <w:bookmarkStart w:id="732" w:name="_Toc144974566"/>
      <w:bookmarkStart w:id="733" w:name="_Toc152042376"/>
      <w:bookmarkStart w:id="734" w:name="_Toc455080156"/>
      <w:bookmarkStart w:id="735" w:name="_Toc466298139"/>
      <w:bookmarkStart w:id="736" w:name="_Toc28069"/>
      <w:bookmarkStart w:id="737" w:name="_Toc12092"/>
      <w:bookmarkStart w:id="738" w:name="_Toc21310"/>
      <w:bookmarkStart w:id="739" w:name="_Toc152045599"/>
      <w:r>
        <w:rPr>
          <w:rFonts w:hint="eastAsia" w:ascii="宋体" w:hAnsi="宋体" w:cs="宋体"/>
          <w:b/>
          <w:color w:val="auto"/>
          <w:kern w:val="44"/>
          <w:sz w:val="32"/>
          <w:szCs w:val="32"/>
          <w:highlight w:val="none"/>
        </w:rPr>
        <w:t>第三章  评审办法（综合评分法）</w:t>
      </w:r>
      <w:bookmarkEnd w:id="725"/>
      <w:bookmarkEnd w:id="726"/>
    </w:p>
    <w:p w14:paraId="157695BD">
      <w:pPr>
        <w:ind w:left="0" w:leftChars="0" w:firstLine="0" w:firstLineChars="0"/>
        <w:jc w:val="center"/>
        <w:outlineLvl w:val="9"/>
        <w:rPr>
          <w:rFonts w:hint="eastAsia" w:ascii="宋体" w:hAnsi="宋体"/>
          <w:b/>
          <w:bCs/>
          <w:color w:val="auto"/>
          <w:sz w:val="24"/>
          <w:highlight w:val="none"/>
        </w:rPr>
      </w:pPr>
      <w:r>
        <w:rPr>
          <w:rFonts w:hint="eastAsia" w:ascii="宋体" w:hAnsi="宋体"/>
          <w:b/>
          <w:bCs/>
          <w:color w:val="auto"/>
          <w:sz w:val="24"/>
          <w:highlight w:val="none"/>
        </w:rPr>
        <w:t>评审办法前附表</w:t>
      </w:r>
      <w:bookmarkEnd w:id="727"/>
      <w:bookmarkEnd w:id="728"/>
      <w:bookmarkEnd w:id="729"/>
      <w:bookmarkEnd w:id="730"/>
      <w:bookmarkEnd w:id="731"/>
      <w:bookmarkEnd w:id="732"/>
      <w:bookmarkEnd w:id="733"/>
      <w:bookmarkEnd w:id="734"/>
      <w:bookmarkEnd w:id="735"/>
      <w:bookmarkEnd w:id="736"/>
      <w:bookmarkEnd w:id="737"/>
      <w:bookmarkEnd w:id="738"/>
      <w:bookmarkEnd w:id="73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83"/>
        <w:gridCol w:w="2460"/>
        <w:gridCol w:w="4231"/>
      </w:tblGrid>
      <w:tr w14:paraId="1683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24" w:type="dxa"/>
            <w:gridSpan w:val="2"/>
            <w:noWrap w:val="0"/>
            <w:vAlign w:val="center"/>
          </w:tcPr>
          <w:p w14:paraId="4C1322C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460" w:type="dxa"/>
            <w:noWrap w:val="0"/>
            <w:vAlign w:val="center"/>
          </w:tcPr>
          <w:p w14:paraId="5075032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231" w:type="dxa"/>
            <w:noWrap w:val="0"/>
            <w:vAlign w:val="center"/>
          </w:tcPr>
          <w:p w14:paraId="70C8CFB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1EB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41" w:type="dxa"/>
            <w:vMerge w:val="restart"/>
            <w:noWrap w:val="0"/>
            <w:vAlign w:val="center"/>
          </w:tcPr>
          <w:p w14:paraId="07B2B2F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83" w:type="dxa"/>
            <w:vMerge w:val="restart"/>
            <w:noWrap w:val="0"/>
            <w:vAlign w:val="center"/>
          </w:tcPr>
          <w:p w14:paraId="6C1A563C">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0F7388">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460" w:type="dxa"/>
            <w:noWrap w:val="0"/>
            <w:vAlign w:val="center"/>
          </w:tcPr>
          <w:p w14:paraId="6AB840E2">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符合《中华人民共和国政府采购法》</w:t>
            </w:r>
            <w:r>
              <w:rPr>
                <w:rFonts w:hint="eastAsia" w:ascii="宋体" w:hAnsi="宋体" w:eastAsia="宋体" w:cs="宋体"/>
                <w:color w:val="auto"/>
                <w:sz w:val="21"/>
                <w:szCs w:val="21"/>
                <w:highlight w:val="none"/>
                <w:lang w:eastAsia="zh-CN"/>
              </w:rPr>
              <w:t>第二十二条</w:t>
            </w:r>
            <w:r>
              <w:rPr>
                <w:rFonts w:hint="eastAsia" w:ascii="宋体" w:hAnsi="宋体" w:eastAsia="宋体" w:cs="宋体"/>
                <w:color w:val="auto"/>
                <w:sz w:val="21"/>
                <w:szCs w:val="21"/>
                <w:highlight w:val="none"/>
              </w:rPr>
              <w:t>规定</w:t>
            </w:r>
          </w:p>
        </w:tc>
        <w:tc>
          <w:tcPr>
            <w:tcW w:w="4231" w:type="dxa"/>
            <w:noWrap w:val="0"/>
            <w:vAlign w:val="center"/>
          </w:tcPr>
          <w:p w14:paraId="4F8A08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260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1" w:type="dxa"/>
            <w:vMerge w:val="continue"/>
            <w:noWrap w:val="0"/>
            <w:vAlign w:val="center"/>
          </w:tcPr>
          <w:p w14:paraId="3B7F1DA1">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7A5FDCB7">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20D1585">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落实政府采购政策</w:t>
            </w:r>
          </w:p>
        </w:tc>
        <w:tc>
          <w:tcPr>
            <w:tcW w:w="4231" w:type="dxa"/>
            <w:noWrap w:val="0"/>
            <w:vAlign w:val="center"/>
          </w:tcPr>
          <w:p w14:paraId="7974D5A7">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288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1" w:type="dxa"/>
            <w:vMerge w:val="continue"/>
            <w:noWrap w:val="0"/>
            <w:vAlign w:val="center"/>
          </w:tcPr>
          <w:p w14:paraId="58CDAA00">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375CB669">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E78D72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4231" w:type="dxa"/>
            <w:noWrap w:val="0"/>
            <w:vAlign w:val="center"/>
          </w:tcPr>
          <w:p w14:paraId="178F2957">
            <w:pPr>
              <w:widowControl/>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须知”第1.5.1项规定</w:t>
            </w:r>
          </w:p>
        </w:tc>
      </w:tr>
      <w:tr w14:paraId="3FF9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41" w:type="dxa"/>
            <w:vMerge w:val="restart"/>
            <w:noWrap w:val="0"/>
            <w:vAlign w:val="center"/>
          </w:tcPr>
          <w:p w14:paraId="25E0A3D1">
            <w:pPr>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83" w:type="dxa"/>
            <w:vMerge w:val="restart"/>
            <w:noWrap w:val="0"/>
            <w:vAlign w:val="center"/>
          </w:tcPr>
          <w:p w14:paraId="2A8F4B62">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w:t>
            </w:r>
          </w:p>
        </w:tc>
        <w:tc>
          <w:tcPr>
            <w:tcW w:w="2460" w:type="dxa"/>
            <w:noWrap w:val="0"/>
            <w:vAlign w:val="center"/>
          </w:tcPr>
          <w:p w14:paraId="53E317E3">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供应商名称</w:t>
            </w:r>
          </w:p>
        </w:tc>
        <w:tc>
          <w:tcPr>
            <w:tcW w:w="4231" w:type="dxa"/>
            <w:noWrap w:val="0"/>
            <w:vAlign w:val="center"/>
          </w:tcPr>
          <w:p w14:paraId="7A3C589E">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与营业执照一致</w:t>
            </w:r>
          </w:p>
        </w:tc>
      </w:tr>
      <w:tr w14:paraId="4944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56FCFC88">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0CFEB12">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5B4C981F">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响应函</w:t>
            </w:r>
            <w:r>
              <w:rPr>
                <w:rFonts w:hint="eastAsia" w:ascii="宋体" w:hAnsi="宋体" w:eastAsia="宋体" w:cs="宋体"/>
                <w:color w:val="auto"/>
                <w:sz w:val="21"/>
                <w:szCs w:val="21"/>
                <w:highlight w:val="none"/>
              </w:rPr>
              <w:t>签字盖章</w:t>
            </w:r>
          </w:p>
        </w:tc>
        <w:tc>
          <w:tcPr>
            <w:tcW w:w="4231" w:type="dxa"/>
            <w:noWrap w:val="0"/>
            <w:vAlign w:val="center"/>
          </w:tcPr>
          <w:p w14:paraId="7AF5EF60">
            <w:pPr>
              <w:spacing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符合</w:t>
            </w:r>
            <w:r>
              <w:rPr>
                <w:rFonts w:hint="eastAsia" w:ascii="宋体" w:hAnsi="宋体" w:eastAsia="宋体" w:cs="宋体"/>
                <w:color w:val="auto"/>
                <w:spacing w:val="-6"/>
                <w:sz w:val="21"/>
                <w:szCs w:val="21"/>
                <w:highlight w:val="none"/>
                <w:lang w:eastAsia="zh-CN"/>
              </w:rPr>
              <w:t>第六章</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竞争性磋商响应文件格式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响应函签字盖章</w:t>
            </w:r>
            <w:r>
              <w:rPr>
                <w:rFonts w:hint="eastAsia" w:ascii="宋体" w:hAnsi="宋体" w:eastAsia="宋体" w:cs="宋体"/>
                <w:color w:val="auto"/>
                <w:spacing w:val="-6"/>
                <w:sz w:val="21"/>
                <w:szCs w:val="21"/>
                <w:highlight w:val="none"/>
              </w:rPr>
              <w:t>的要求</w:t>
            </w:r>
          </w:p>
        </w:tc>
      </w:tr>
      <w:tr w14:paraId="2DE4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41" w:type="dxa"/>
            <w:vMerge w:val="continue"/>
            <w:noWrap w:val="0"/>
            <w:vAlign w:val="center"/>
          </w:tcPr>
          <w:p w14:paraId="7E048793">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52F85AC">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ABFF2E9">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响应文件格式</w:t>
            </w:r>
          </w:p>
        </w:tc>
        <w:tc>
          <w:tcPr>
            <w:tcW w:w="4231" w:type="dxa"/>
            <w:noWrap w:val="0"/>
            <w:vAlign w:val="center"/>
          </w:tcPr>
          <w:p w14:paraId="3342B09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竞争性磋商响应文件格式</w:t>
            </w:r>
            <w:r>
              <w:rPr>
                <w:rFonts w:hint="eastAsia" w:ascii="宋体" w:hAnsi="宋体" w:eastAsia="宋体" w:cs="宋体"/>
                <w:color w:val="auto"/>
                <w:sz w:val="21"/>
                <w:szCs w:val="21"/>
                <w:highlight w:val="none"/>
              </w:rPr>
              <w:t>”的要求</w:t>
            </w:r>
          </w:p>
        </w:tc>
      </w:tr>
      <w:tr w14:paraId="4C78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41" w:type="dxa"/>
            <w:vMerge w:val="continue"/>
            <w:noWrap w:val="0"/>
            <w:vAlign w:val="center"/>
          </w:tcPr>
          <w:p w14:paraId="54D4F814">
            <w:pPr>
              <w:spacing w:line="360" w:lineRule="auto"/>
              <w:rPr>
                <w:rFonts w:hint="eastAsia" w:ascii="宋体" w:hAnsi="宋体" w:eastAsia="宋体" w:cs="宋体"/>
                <w:color w:val="auto"/>
                <w:sz w:val="21"/>
                <w:szCs w:val="21"/>
                <w:highlight w:val="none"/>
              </w:rPr>
            </w:pPr>
          </w:p>
        </w:tc>
        <w:tc>
          <w:tcPr>
            <w:tcW w:w="1083" w:type="dxa"/>
            <w:vMerge w:val="continue"/>
            <w:noWrap w:val="0"/>
            <w:vAlign w:val="center"/>
          </w:tcPr>
          <w:p w14:paraId="0AF905CD">
            <w:pPr>
              <w:spacing w:line="360" w:lineRule="auto"/>
              <w:jc w:val="center"/>
              <w:rPr>
                <w:rFonts w:hint="eastAsia" w:ascii="宋体" w:hAnsi="宋体" w:eastAsia="宋体" w:cs="宋体"/>
                <w:color w:val="auto"/>
                <w:sz w:val="21"/>
                <w:szCs w:val="21"/>
                <w:highlight w:val="none"/>
              </w:rPr>
            </w:pPr>
          </w:p>
        </w:tc>
        <w:tc>
          <w:tcPr>
            <w:tcW w:w="2460" w:type="dxa"/>
            <w:noWrap w:val="0"/>
            <w:vAlign w:val="center"/>
          </w:tcPr>
          <w:p w14:paraId="135B2FCD">
            <w:pPr>
              <w:tabs>
                <w:tab w:val="left" w:pos="477"/>
                <w:tab w:val="center" w:pos="1083"/>
              </w:tabs>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4231" w:type="dxa"/>
            <w:noWrap w:val="0"/>
            <w:vAlign w:val="center"/>
          </w:tcPr>
          <w:p w14:paraId="04DAD6E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符合第二章“供应商须知”第1.4.1项规定</w:t>
            </w:r>
          </w:p>
        </w:tc>
      </w:tr>
      <w:tr w14:paraId="379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41" w:type="dxa"/>
            <w:vMerge w:val="continue"/>
            <w:noWrap w:val="0"/>
            <w:vAlign w:val="center"/>
          </w:tcPr>
          <w:p w14:paraId="1207ECF7">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1D3094E">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3D59F8A7">
            <w:pPr>
              <w:tabs>
                <w:tab w:val="left" w:pos="693"/>
                <w:tab w:val="center" w:pos="1083"/>
              </w:tabs>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eastAsia="zh-CN"/>
              </w:rPr>
              <w:t>质保期</w:t>
            </w:r>
          </w:p>
        </w:tc>
        <w:tc>
          <w:tcPr>
            <w:tcW w:w="4231" w:type="dxa"/>
            <w:noWrap w:val="0"/>
            <w:vAlign w:val="center"/>
          </w:tcPr>
          <w:p w14:paraId="7E08927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default"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项规定</w:t>
            </w:r>
          </w:p>
        </w:tc>
      </w:tr>
      <w:tr w14:paraId="3062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9B3BB7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6A6C7553">
            <w:pPr>
              <w:widowControl/>
              <w:spacing w:line="360" w:lineRule="auto"/>
              <w:jc w:val="left"/>
              <w:rPr>
                <w:rFonts w:hint="eastAsia" w:ascii="宋体" w:hAnsi="宋体" w:eastAsia="宋体" w:cs="宋体"/>
                <w:color w:val="auto"/>
                <w:sz w:val="21"/>
                <w:szCs w:val="21"/>
                <w:highlight w:val="none"/>
              </w:rPr>
            </w:pPr>
          </w:p>
        </w:tc>
        <w:tc>
          <w:tcPr>
            <w:tcW w:w="2460" w:type="dxa"/>
            <w:shd w:val="clear" w:color="auto" w:fill="auto"/>
            <w:noWrap w:val="0"/>
            <w:vAlign w:val="center"/>
          </w:tcPr>
          <w:p w14:paraId="67B8278D">
            <w:pPr>
              <w:tabs>
                <w:tab w:val="left" w:pos="693"/>
                <w:tab w:val="center" w:pos="1083"/>
              </w:tabs>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服务期限</w:t>
            </w:r>
          </w:p>
        </w:tc>
        <w:tc>
          <w:tcPr>
            <w:tcW w:w="4231" w:type="dxa"/>
            <w:shd w:val="clear" w:color="auto" w:fill="auto"/>
            <w:noWrap w:val="0"/>
            <w:vAlign w:val="center"/>
          </w:tcPr>
          <w:p w14:paraId="51412675">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项规定</w:t>
            </w:r>
          </w:p>
        </w:tc>
      </w:tr>
      <w:tr w14:paraId="12E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noWrap w:val="0"/>
            <w:vAlign w:val="center"/>
          </w:tcPr>
          <w:p w14:paraId="587BFBA1">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764E02DA">
            <w:pPr>
              <w:widowControl/>
              <w:spacing w:line="360" w:lineRule="auto"/>
              <w:jc w:val="left"/>
              <w:rPr>
                <w:rFonts w:hint="eastAsia" w:ascii="宋体" w:hAnsi="宋体" w:eastAsia="宋体" w:cs="宋体"/>
                <w:color w:val="auto"/>
                <w:sz w:val="21"/>
                <w:szCs w:val="21"/>
                <w:highlight w:val="none"/>
              </w:rPr>
            </w:pPr>
          </w:p>
        </w:tc>
        <w:tc>
          <w:tcPr>
            <w:tcW w:w="2460" w:type="dxa"/>
            <w:shd w:val="clear" w:color="auto" w:fill="auto"/>
            <w:noWrap w:val="0"/>
            <w:vAlign w:val="center"/>
          </w:tcPr>
          <w:p w14:paraId="4193CF8D">
            <w:pPr>
              <w:spacing w:line="36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服务要求</w:t>
            </w:r>
          </w:p>
        </w:tc>
        <w:tc>
          <w:tcPr>
            <w:tcW w:w="4231" w:type="dxa"/>
            <w:shd w:val="clear" w:color="auto" w:fill="auto"/>
            <w:noWrap w:val="0"/>
            <w:vAlign w:val="center"/>
          </w:tcPr>
          <w:p w14:paraId="2D1F95F6">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项规定</w:t>
            </w:r>
          </w:p>
        </w:tc>
      </w:tr>
      <w:tr w14:paraId="70A7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1" w:type="dxa"/>
            <w:vMerge w:val="continue"/>
            <w:noWrap w:val="0"/>
            <w:vAlign w:val="center"/>
          </w:tcPr>
          <w:p w14:paraId="07BA43CF">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2B9BB8F6">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0837D653">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tc>
        <w:tc>
          <w:tcPr>
            <w:tcW w:w="4231" w:type="dxa"/>
            <w:noWrap w:val="0"/>
            <w:vAlign w:val="center"/>
          </w:tcPr>
          <w:p w14:paraId="66538158">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符合第二章“供应商须知”第3.3.1项规定</w:t>
            </w:r>
          </w:p>
        </w:tc>
      </w:tr>
      <w:tr w14:paraId="0BF4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1" w:type="dxa"/>
            <w:vMerge w:val="continue"/>
            <w:noWrap w:val="0"/>
            <w:vAlign w:val="center"/>
          </w:tcPr>
          <w:p w14:paraId="1FB4B60E">
            <w:pPr>
              <w:widowControl/>
              <w:spacing w:line="360" w:lineRule="auto"/>
              <w:jc w:val="left"/>
              <w:rPr>
                <w:rFonts w:hint="eastAsia" w:ascii="宋体" w:hAnsi="宋体" w:eastAsia="宋体" w:cs="宋体"/>
                <w:color w:val="auto"/>
                <w:sz w:val="21"/>
                <w:szCs w:val="21"/>
                <w:highlight w:val="none"/>
              </w:rPr>
            </w:pPr>
          </w:p>
        </w:tc>
        <w:tc>
          <w:tcPr>
            <w:tcW w:w="1083" w:type="dxa"/>
            <w:vMerge w:val="continue"/>
            <w:noWrap w:val="0"/>
            <w:vAlign w:val="center"/>
          </w:tcPr>
          <w:p w14:paraId="19A8F513">
            <w:pPr>
              <w:widowControl/>
              <w:spacing w:line="360" w:lineRule="auto"/>
              <w:jc w:val="left"/>
              <w:rPr>
                <w:rFonts w:hint="eastAsia" w:ascii="宋体" w:hAnsi="宋体" w:eastAsia="宋体" w:cs="宋体"/>
                <w:color w:val="auto"/>
                <w:sz w:val="21"/>
                <w:szCs w:val="21"/>
                <w:highlight w:val="none"/>
              </w:rPr>
            </w:pPr>
          </w:p>
        </w:tc>
        <w:tc>
          <w:tcPr>
            <w:tcW w:w="2460" w:type="dxa"/>
            <w:noWrap w:val="0"/>
            <w:vAlign w:val="center"/>
          </w:tcPr>
          <w:p w14:paraId="27FFE4FD">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4231" w:type="dxa"/>
            <w:noWrap w:val="0"/>
            <w:vAlign w:val="center"/>
          </w:tcPr>
          <w:p w14:paraId="27CA6B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报价不超过</w:t>
            </w:r>
            <w:r>
              <w:rPr>
                <w:rFonts w:hint="eastAsia" w:ascii="宋体" w:hAnsi="宋体" w:eastAsia="宋体" w:cs="宋体"/>
                <w:color w:val="auto"/>
                <w:sz w:val="21"/>
                <w:szCs w:val="21"/>
                <w:highlight w:val="none"/>
                <w:lang w:eastAsia="zh-CN"/>
              </w:rPr>
              <w:t>预算价（最高限价）</w:t>
            </w:r>
          </w:p>
        </w:tc>
      </w:tr>
    </w:tbl>
    <w:p w14:paraId="65DECEBA">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Cs w:val="21"/>
          <w:highlight w:val="none"/>
        </w:rPr>
      </w:pPr>
      <w:bookmarkStart w:id="740" w:name="_Toc152045600"/>
      <w:bookmarkStart w:id="741" w:name="_Toc152042377"/>
      <w:bookmarkStart w:id="742" w:name="_Toc281405528"/>
      <w:bookmarkStart w:id="743" w:name="_Toc29897"/>
      <w:bookmarkStart w:id="744" w:name="_Toc318450722"/>
      <w:bookmarkStart w:id="745" w:name="_Toc15036"/>
      <w:bookmarkStart w:id="746" w:name="_Toc31578"/>
      <w:bookmarkStart w:id="747" w:name="_Toc29279"/>
      <w:bookmarkStart w:id="748" w:name="_Toc144974567"/>
    </w:p>
    <w:p w14:paraId="1FA22D1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444D9C30">
      <w:pPr>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color w:val="auto"/>
          <w:sz w:val="24"/>
          <w:szCs w:val="24"/>
          <w:highlight w:val="none"/>
          <w:lang w:val="en-US" w:eastAsia="zh-CN"/>
        </w:rPr>
      </w:pPr>
      <w:r>
        <w:rPr>
          <w:rFonts w:hint="eastAsia" w:ascii="宋体" w:hAnsi="宋体" w:eastAsia="宋体" w:cs="宋体"/>
          <w:b/>
          <w:bCs/>
          <w:color w:val="auto"/>
          <w:sz w:val="24"/>
          <w:szCs w:val="24"/>
          <w:highlight w:val="none"/>
        </w:rPr>
        <w:t>评分标准</w:t>
      </w:r>
    </w:p>
    <w:tbl>
      <w:tblPr>
        <w:tblStyle w:val="2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64"/>
        <w:gridCol w:w="1350"/>
        <w:gridCol w:w="6645"/>
      </w:tblGrid>
      <w:tr w14:paraId="0A89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1064" w:type="dxa"/>
            <w:noWrap w:val="0"/>
            <w:vAlign w:val="center"/>
          </w:tcPr>
          <w:p w14:paraId="2C4EBF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评审项目</w:t>
            </w:r>
          </w:p>
        </w:tc>
        <w:tc>
          <w:tcPr>
            <w:tcW w:w="1350" w:type="dxa"/>
            <w:noWrap w:val="0"/>
            <w:vAlign w:val="center"/>
          </w:tcPr>
          <w:p w14:paraId="2C45535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分值</w:t>
            </w:r>
          </w:p>
        </w:tc>
        <w:tc>
          <w:tcPr>
            <w:tcW w:w="6645" w:type="dxa"/>
            <w:noWrap w:val="0"/>
            <w:vAlign w:val="center"/>
          </w:tcPr>
          <w:p w14:paraId="19B33BC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评审细则</w:t>
            </w:r>
          </w:p>
        </w:tc>
      </w:tr>
      <w:tr w14:paraId="0405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2" w:hRule="atLeast"/>
          <w:jc w:val="center"/>
        </w:trPr>
        <w:tc>
          <w:tcPr>
            <w:tcW w:w="1064" w:type="dxa"/>
            <w:noWrap w:val="0"/>
            <w:vAlign w:val="center"/>
          </w:tcPr>
          <w:p w14:paraId="7F3FA8E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商务部分</w:t>
            </w:r>
          </w:p>
          <w:p w14:paraId="37FF36B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20分</w:t>
            </w:r>
          </w:p>
        </w:tc>
        <w:tc>
          <w:tcPr>
            <w:tcW w:w="1350" w:type="dxa"/>
            <w:noWrap w:val="0"/>
            <w:vAlign w:val="center"/>
          </w:tcPr>
          <w:p w14:paraId="346B961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报价得分</w:t>
            </w:r>
          </w:p>
          <w:p w14:paraId="79CB3A6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（20分）</w:t>
            </w:r>
          </w:p>
        </w:tc>
        <w:tc>
          <w:tcPr>
            <w:tcW w:w="6645" w:type="dxa"/>
            <w:noWrap w:val="0"/>
            <w:vAlign w:val="center"/>
          </w:tcPr>
          <w:p w14:paraId="035823F8">
            <w:pPr>
              <w:spacing w:line="24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报价分采用低价优先法计算，即满足招标文件要求且最终报价最低的有效投标报价为评标基准价，其价格分为满分。其他供应商的价格分统一按照下列公式计算：投标报价得分=（评标基准价/投标报价）×20分。</w:t>
            </w:r>
          </w:p>
          <w:p w14:paraId="3183BB6B">
            <w:pPr>
              <w:spacing w:line="24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注：1.价格分计算保留小数点后二位； </w:t>
            </w:r>
          </w:p>
          <w:p w14:paraId="733D029B">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2.在评标过程中，评标专家发现供应商的报价明显低于其他通过符合性审查供应商的报价，且该供应商的技术等主要指标有大量或明细不符，可能影响采购质量或项目履约的，应该要求其在评标现场合理的时间内提供书面说明，供应商不能证明其报价合理性的，评标委员会应当将其作为无效投标处理。</w:t>
            </w:r>
          </w:p>
        </w:tc>
      </w:tr>
      <w:tr w14:paraId="753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4" w:hRule="atLeast"/>
          <w:jc w:val="center"/>
        </w:trPr>
        <w:tc>
          <w:tcPr>
            <w:tcW w:w="1064" w:type="dxa"/>
            <w:vMerge w:val="restart"/>
            <w:noWrap w:val="0"/>
            <w:vAlign w:val="center"/>
          </w:tcPr>
          <w:p w14:paraId="4A8CF3E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技术部分</w:t>
            </w:r>
          </w:p>
          <w:p w14:paraId="18551C0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36分</w:t>
            </w:r>
          </w:p>
        </w:tc>
        <w:tc>
          <w:tcPr>
            <w:tcW w:w="1350" w:type="dxa"/>
            <w:noWrap w:val="0"/>
            <w:vAlign w:val="center"/>
          </w:tcPr>
          <w:p w14:paraId="31D1ED2E">
            <w:pPr>
              <w:pStyle w:val="24"/>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系统功能需求</w:t>
            </w:r>
          </w:p>
          <w:p w14:paraId="6D2AA61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26分</w:t>
            </w:r>
            <w:r>
              <w:rPr>
                <w:rFonts w:hint="eastAsia" w:ascii="宋体" w:hAnsi="宋体" w:eastAsia="宋体" w:cs="宋体"/>
                <w:b/>
                <w:bCs/>
                <w:sz w:val="21"/>
                <w:szCs w:val="21"/>
                <w:lang w:eastAsia="zh-CN"/>
              </w:rPr>
              <w:t>）</w:t>
            </w:r>
          </w:p>
        </w:tc>
        <w:tc>
          <w:tcPr>
            <w:tcW w:w="6645" w:type="dxa"/>
            <w:noWrap w:val="0"/>
            <w:vAlign w:val="center"/>
          </w:tcPr>
          <w:p w14:paraId="7A3E0C16">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1.供应商提供的技术方案完全满足人大预算审查；决算审查；政府债务管理；部门预算；转移支付；重大投资项目和重点支出；审计整改监督要求的得1</w:t>
            </w: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分，每有一项不满足扣2分，扣完为止。</w:t>
            </w:r>
          </w:p>
          <w:p w14:paraId="1C70A43D">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2.供应商提供的技术方案完全满足国有资产全景监督；报告审议；四类资产报表查询分析；资产评价指标；资产报告；审议整改功能要求的得1</w:t>
            </w: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分，每有一项不满足扣</w:t>
            </w: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分，扣完为止。</w:t>
            </w:r>
          </w:p>
        </w:tc>
      </w:tr>
      <w:tr w14:paraId="13D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9" w:hRule="atLeast"/>
          <w:jc w:val="center"/>
        </w:trPr>
        <w:tc>
          <w:tcPr>
            <w:tcW w:w="1064" w:type="dxa"/>
            <w:vMerge w:val="continue"/>
            <w:noWrap w:val="0"/>
            <w:vAlign w:val="center"/>
          </w:tcPr>
          <w:p w14:paraId="0D501CC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02F6B393">
            <w:pPr>
              <w:spacing w:line="500" w:lineRule="exact"/>
              <w:ind w:left="0" w:leftChars="0" w:firstLine="0" w:firstLineChars="0"/>
              <w:jc w:val="center"/>
              <w:rPr>
                <w:rFonts w:hint="eastAsia" w:ascii="宋体" w:cs="宋体"/>
                <w:b/>
                <w:bCs/>
                <w:kern w:val="0"/>
              </w:rPr>
            </w:pPr>
            <w:r>
              <w:rPr>
                <w:rFonts w:hint="eastAsia" w:ascii="宋体" w:cs="宋体"/>
                <w:b/>
                <w:bCs/>
                <w:kern w:val="0"/>
              </w:rPr>
              <w:t>对业务需求的理解</w:t>
            </w:r>
          </w:p>
          <w:p w14:paraId="712FFC78">
            <w:pPr>
              <w:spacing w:line="500" w:lineRule="exact"/>
              <w:ind w:left="0" w:leftChars="0" w:firstLine="0" w:firstLineChars="0"/>
              <w:jc w:val="center"/>
              <w:rPr>
                <w:rFonts w:hint="eastAsia" w:ascii="宋体" w:hAnsi="宋体" w:cs="宋体" w:eastAsiaTheme="minorEastAsia"/>
                <w:kern w:val="2"/>
                <w:sz w:val="21"/>
                <w:szCs w:val="21"/>
                <w:lang w:val="en-US" w:eastAsia="zh-CN" w:bidi="ar-SA"/>
              </w:rPr>
            </w:pPr>
            <w:r>
              <w:rPr>
                <w:rFonts w:hint="eastAsia" w:ascii="宋体" w:cs="宋体"/>
                <w:b/>
                <w:bCs/>
                <w:kern w:val="0"/>
                <w:lang w:eastAsia="zh-CN"/>
              </w:rPr>
              <w:t>（</w:t>
            </w:r>
            <w:r>
              <w:rPr>
                <w:rFonts w:hint="eastAsia" w:ascii="宋体" w:cs="宋体"/>
                <w:b/>
                <w:bCs/>
                <w:kern w:val="0"/>
                <w:lang w:val="en-US" w:eastAsia="zh-CN"/>
              </w:rPr>
              <w:t>4</w:t>
            </w:r>
            <w:r>
              <w:rPr>
                <w:rFonts w:hint="eastAsia" w:ascii="宋体" w:cs="宋体"/>
                <w:b/>
                <w:bCs/>
                <w:kern w:val="0"/>
                <w:lang w:eastAsia="zh-CN"/>
              </w:rPr>
              <w:t>分）</w:t>
            </w:r>
          </w:p>
        </w:tc>
        <w:tc>
          <w:tcPr>
            <w:tcW w:w="6645" w:type="dxa"/>
            <w:shd w:val="clear" w:color="auto" w:fill="auto"/>
            <w:noWrap w:val="0"/>
            <w:vAlign w:val="center"/>
          </w:tcPr>
          <w:p w14:paraId="438F6FA4">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（一）预算决算审查监督（0-</w:t>
            </w:r>
            <w:r>
              <w:rPr>
                <w:rFonts w:hint="eastAsia" w:ascii="宋体" w:hAnsi="宋体" w:eastAsia="宋体" w:cs="宋体"/>
                <w:b/>
                <w:bCs w:val="0"/>
                <w:color w:val="000000" w:themeColor="text1"/>
                <w:szCs w:val="24"/>
                <w:lang w:val="en-US" w:eastAsia="zh-CN"/>
                <w14:textFill>
                  <w14:solidFill>
                    <w14:schemeClr w14:val="tx1"/>
                  </w14:solidFill>
                </w14:textFill>
              </w:rPr>
              <w:t>1</w:t>
            </w:r>
            <w:r>
              <w:rPr>
                <w:rFonts w:hint="eastAsia" w:ascii="宋体" w:hAnsi="宋体" w:eastAsia="宋体" w:cs="宋体"/>
                <w:b/>
                <w:bCs w:val="0"/>
                <w:color w:val="000000" w:themeColor="text1"/>
                <w:szCs w:val="24"/>
                <w14:textFill>
                  <w14:solidFill>
                    <w14:schemeClr w14:val="tx1"/>
                  </w14:solidFill>
                </w14:textFill>
              </w:rPr>
              <w:t>分）</w:t>
            </w:r>
          </w:p>
          <w:p w14:paraId="7CB6493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以预算草案、预算执行情况、预算调整方案和决算草案的数据信息为基础，建立健全审查、分析、预警指标体系，不断创新丰富系统智能分析模型体系，多维度进行数据分析比对，强化对预算的全口径审查和全过程监管。应用智能审查、分析预警功能，对预算安排变动、预算执行进度、决算与预算差异、部门结转结余资金、政策实施效果和项目支出及其绩效目标完成等情况进行多维度分析比对，自动生成预算审查、预算执行、决算审查等分析报告。</w:t>
            </w:r>
          </w:p>
          <w:p w14:paraId="59E1129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（1）需求理解全面透彻，涵盖采购需求内容全面，功能方案完整，对预算决算审查监督业务功能分析详尽准确，内容表述清晰，设计合理，基于采购需求特点有很强的针对性，完全满足采购需求要求，得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7E6CAB3D">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346623B6">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2C4D9E4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p w14:paraId="6F49D4B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（二）国有资产管理监督（0-</w:t>
            </w:r>
            <w:r>
              <w:rPr>
                <w:rFonts w:hint="eastAsia" w:ascii="宋体" w:hAnsi="宋体" w:eastAsia="宋体" w:cs="宋体"/>
                <w:b/>
                <w:bCs w:val="0"/>
                <w:color w:val="000000" w:themeColor="text1"/>
                <w:szCs w:val="24"/>
                <w:lang w:val="en-US" w:eastAsia="zh-CN"/>
                <w14:textFill>
                  <w14:solidFill>
                    <w14:schemeClr w14:val="tx1"/>
                  </w14:solidFill>
                </w14:textFill>
              </w:rPr>
              <w:t>1</w:t>
            </w:r>
            <w:r>
              <w:rPr>
                <w:rFonts w:hint="eastAsia" w:ascii="宋体" w:hAnsi="宋体" w:eastAsia="宋体" w:cs="宋体"/>
                <w:b/>
                <w:bCs w:val="0"/>
                <w:color w:val="000000" w:themeColor="text1"/>
                <w:szCs w:val="24"/>
                <w14:textFill>
                  <w14:solidFill>
                    <w14:schemeClr w14:val="tx1"/>
                  </w14:solidFill>
                </w14:textFill>
              </w:rPr>
              <w:t>分）</w:t>
            </w:r>
          </w:p>
          <w:p w14:paraId="09C1A22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运用系统重点监督企业和金融企业国有资产保值增值、收益管理、安全支撑、风险防范、服务保障、支持引导经济社会发展情况；行政事业性国有资产节约高效使用、实现基本公共服务均等化情况；国有自然资源资产保护利用情况；国有资本经营预算和审计查出问题整改情况等内容，实现国资联网监督系统“内容全面覆盖、部门协同高效、数据共享利用、风险自动识别预警、结果分析准确客观、决策支持精准有力”。研究建立智能分析模型体系，依托数据资源生成综合性国有资产管理情况监督报告和分类型、分领域的专题分析报告，提高监督质量。</w:t>
            </w:r>
          </w:p>
          <w:p w14:paraId="5C55C4A5">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（1）需求理解全面透彻，涵盖采购需求内容全面，功能方案完整，对国有资产管理监督业务功能分析详尽准确，内容表述清晰，设计合理，基于采购需求特点有很强的针对性，完全满足采购需求要求，得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115E51E7">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75F3B58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2EDB469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lang w:eastAsia="zh-CN"/>
                <w14:textFill>
                  <w14:solidFill>
                    <w14:schemeClr w14:val="tx1"/>
                  </w14:solidFill>
                </w14:textFill>
              </w:rPr>
              <w:t>（</w:t>
            </w:r>
            <w:r>
              <w:rPr>
                <w:rFonts w:hint="eastAsia" w:ascii="宋体" w:hAnsi="宋体" w:eastAsia="宋体" w:cs="宋体"/>
                <w:bCs/>
                <w:color w:val="000000" w:themeColor="text1"/>
                <w:szCs w:val="24"/>
                <w14:textFill>
                  <w14:solidFill>
                    <w14:schemeClr w14:val="tx1"/>
                  </w14:solidFill>
                </w14:textFill>
              </w:rPr>
              <w:t>4）未提供不得分。</w:t>
            </w:r>
          </w:p>
          <w:p w14:paraId="7552D08A">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（三）政府债务管理监督（0-1分）</w:t>
            </w:r>
          </w:p>
          <w:p w14:paraId="09EDF85E">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主要通过汇集各类政府债务数据，动态跟踪分析政府债券发行、还本付息、资金下达使用等情况，实现对债券项目和资金的全过程监督。通过债务率、利息支出率等指标，及时监测债务风险情况。运用分析预警指标，及时发现债务管理中存在的问题，分析问题原因，研究提出建议，形成专题报告。</w:t>
            </w:r>
          </w:p>
          <w:p w14:paraId="71DE350B">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（1）需求理解全面透彻，涵盖采购需求内容全面，功能方案完整，对政府债务管理监督业务功能分析详尽准确，内容表述清晰，设计合理，基于采购需求特点有很强的针对性，完全满足采购需求要求，得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069968D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0C6871D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1D98A2C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p w14:paraId="288D3AA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（四）审计工作和审计整改监督（0-1分）</w:t>
            </w:r>
          </w:p>
          <w:p w14:paraId="422A109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运用系统，对审计查出问题及其整改情况进行多维度、跨年度的穿透式分析，聚焦“反复出现、经常发生”的问题，确定开展跟踪监督的突出问题。通过线上分析与线下调研相结合，持续开展跟踪监督，强化问题原因分析，提出跟踪监督报告，推动健全审计整改长效机制。通过系统汇集审计整改相关数据信息，自动生成专题分析报告。</w:t>
            </w:r>
          </w:p>
          <w:p w14:paraId="1A95ED6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（1）需求理解全面透彻，涵盖采购需求内容全面，功能方案完整，对审计工作和审计整改监督业务功能分析详尽准确，内容表述清晰，设计合理，基于采购需求特点有很强的针对性，完全满足采购需求要求，得</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475F2523">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（2）需求理解一般，涵盖采购需求内容较为全面，设计较为合理，功能方案基本完整，基本满足采购需求要求，得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7FF8982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（3）需求理解有偏差，针对采购需求设计针对性不强，方案内容存在缺陷，得0.</w:t>
            </w:r>
            <w:r>
              <w:rPr>
                <w:rFonts w:hint="eastAsia" w:ascii="宋体" w:hAnsi="宋体" w:eastAsia="宋体" w:cs="宋体"/>
                <w:bCs/>
                <w:color w:val="000000" w:themeColor="text1"/>
                <w:szCs w:val="24"/>
                <w:lang w:val="en-US" w:eastAsia="zh-CN"/>
                <w14:textFill>
                  <w14:solidFill>
                    <w14:schemeClr w14:val="tx1"/>
                  </w14:solidFill>
                </w14:textFill>
              </w:rPr>
              <w:t>1</w:t>
            </w:r>
            <w:r>
              <w:rPr>
                <w:rFonts w:hint="eastAsia" w:ascii="宋体" w:hAnsi="宋体" w:eastAsia="宋体" w:cs="宋体"/>
                <w:bCs/>
                <w:color w:val="000000" w:themeColor="text1"/>
                <w:szCs w:val="24"/>
                <w14:textFill>
                  <w14:solidFill>
                    <w14:schemeClr w14:val="tx1"/>
                  </w14:solidFill>
                </w14:textFill>
              </w:rPr>
              <w:t>分</w:t>
            </w:r>
          </w:p>
          <w:p w14:paraId="6CFD8A31">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1B8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2" w:hRule="atLeast"/>
          <w:jc w:val="center"/>
        </w:trPr>
        <w:tc>
          <w:tcPr>
            <w:tcW w:w="1064" w:type="dxa"/>
            <w:vMerge w:val="continue"/>
            <w:noWrap w:val="0"/>
            <w:vAlign w:val="center"/>
          </w:tcPr>
          <w:p w14:paraId="3A84D25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20BC3307">
            <w:pPr>
              <w:widowControl/>
              <w:spacing w:line="360" w:lineRule="auto"/>
              <w:ind w:left="0" w:leftChars="0" w:firstLine="0" w:firstLineChars="0"/>
              <w:jc w:val="center"/>
              <w:textAlignment w:val="bottom"/>
              <w:rPr>
                <w:rFonts w:hint="eastAsia" w:ascii="宋体" w:hAnsi="宋体" w:cs="宋体"/>
                <w:b/>
                <w:bCs/>
                <w:kern w:val="0"/>
              </w:rPr>
            </w:pPr>
            <w:r>
              <w:rPr>
                <w:rFonts w:hint="eastAsia" w:ascii="宋体" w:hAnsi="宋体" w:cs="宋体"/>
                <w:b/>
                <w:bCs/>
              </w:rPr>
              <w:t>横向联网与</w:t>
            </w:r>
            <w:r>
              <w:rPr>
                <w:rFonts w:hint="eastAsia" w:ascii="宋体" w:hAnsi="宋体" w:cs="宋体"/>
                <w:b/>
                <w:bCs/>
                <w:kern w:val="0"/>
              </w:rPr>
              <w:t>纵向贯通能力</w:t>
            </w:r>
          </w:p>
          <w:p w14:paraId="548CB59D">
            <w:pPr>
              <w:widowControl/>
              <w:spacing w:line="360" w:lineRule="auto"/>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912232D">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（一）系统要求与横联部门通过接口方式和数据报送平台在线传输，实现横联部门根据人大下发的数据报送任务和要求，及时、准确、安全地报送数据，为人大开展专题监督提供数据支撑。（0-</w:t>
            </w:r>
            <w:r>
              <w:rPr>
                <w:rFonts w:hint="eastAsia" w:ascii="宋体" w:hAnsi="宋体" w:eastAsia="宋体" w:cs="宋体"/>
                <w:b/>
                <w:bCs w:val="0"/>
                <w:color w:val="000000" w:themeColor="text1"/>
                <w:szCs w:val="24"/>
                <w:lang w:val="en-US" w:eastAsia="zh-CN"/>
                <w14:textFill>
                  <w14:solidFill>
                    <w14:schemeClr w14:val="tx1"/>
                  </w14:solidFill>
                </w14:textFill>
              </w:rPr>
              <w:t>0.5</w:t>
            </w:r>
            <w:r>
              <w:rPr>
                <w:rFonts w:hint="eastAsia" w:ascii="宋体" w:hAnsi="宋体" w:eastAsia="宋体" w:cs="宋体"/>
                <w:b/>
                <w:bCs w:val="0"/>
                <w:color w:val="000000" w:themeColor="text1"/>
                <w:szCs w:val="24"/>
                <w14:textFill>
                  <w14:solidFill>
                    <w14:schemeClr w14:val="tx1"/>
                  </w14:solidFill>
                </w14:textFill>
              </w:rPr>
              <w:t>分）</w:t>
            </w:r>
          </w:p>
          <w:p w14:paraId="72F88CE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（1）满足横向联网要求，得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 xml:space="preserve">分； </w:t>
            </w:r>
          </w:p>
          <w:p w14:paraId="0CFFBED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（2）基本满足横向联网要求，得0.</w:t>
            </w:r>
            <w:r>
              <w:rPr>
                <w:rFonts w:hint="eastAsia" w:ascii="宋体" w:hAnsi="宋体" w:eastAsia="宋体" w:cs="宋体"/>
                <w:bCs/>
                <w:color w:val="000000" w:themeColor="text1"/>
                <w:szCs w:val="24"/>
                <w:lang w:val="en-US" w:eastAsia="zh-CN"/>
                <w14:textFill>
                  <w14:solidFill>
                    <w14:schemeClr w14:val="tx1"/>
                  </w14:solidFill>
                </w14:textFill>
              </w:rPr>
              <w:t>2</w:t>
            </w:r>
            <w:r>
              <w:rPr>
                <w:rFonts w:hint="eastAsia" w:ascii="宋体" w:hAnsi="宋体" w:eastAsia="宋体" w:cs="宋体"/>
                <w:bCs/>
                <w:color w:val="000000" w:themeColor="text1"/>
                <w:szCs w:val="24"/>
                <w14:textFill>
                  <w14:solidFill>
                    <w14:schemeClr w14:val="tx1"/>
                  </w14:solidFill>
                </w14:textFill>
              </w:rPr>
              <w:t>分；</w:t>
            </w:r>
          </w:p>
          <w:p w14:paraId="185ED22D">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（3）不满足横向联网要求，得</w:t>
            </w:r>
            <w:r>
              <w:rPr>
                <w:rFonts w:hint="eastAsia" w:ascii="宋体" w:hAnsi="宋体" w:eastAsia="宋体" w:cs="宋体"/>
                <w:bCs/>
                <w:color w:val="000000" w:themeColor="text1"/>
                <w:szCs w:val="24"/>
                <w:lang w:val="en-US" w:eastAsia="zh-CN"/>
                <w14:textFill>
                  <w14:solidFill>
                    <w14:schemeClr w14:val="tx1"/>
                  </w14:solidFill>
                </w14:textFill>
              </w:rPr>
              <w:t>0</w:t>
            </w:r>
            <w:r>
              <w:rPr>
                <w:rFonts w:hint="eastAsia" w:ascii="宋体" w:hAnsi="宋体" w:eastAsia="宋体" w:cs="宋体"/>
                <w:bCs/>
                <w:color w:val="000000" w:themeColor="text1"/>
                <w:szCs w:val="24"/>
                <w14:textFill>
                  <w14:solidFill>
                    <w14:schemeClr w14:val="tx1"/>
                  </w14:solidFill>
                </w14:textFill>
              </w:rPr>
              <w:t>分。</w:t>
            </w:r>
          </w:p>
          <w:p w14:paraId="716409C9">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注：供应商或所投产品制造商需具备横向联网技术服务能力（提供相关证明材料并加盖制造商公章）</w:t>
            </w:r>
          </w:p>
          <w:p w14:paraId="40D545CD">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二）基于全国人大统一下发的纵向贯通平台，与预算联网监督系统集成，实现接收上级人大下发的数据报送任务，定期按照报送规范报送本地区财政预算、执行、决算数据和上下级人大电子公文在线加密传输。（0-</w:t>
            </w:r>
            <w:r>
              <w:rPr>
                <w:rFonts w:hint="eastAsia" w:ascii="宋体" w:hAnsi="宋体" w:eastAsia="宋体" w:cs="宋体"/>
                <w:b/>
                <w:bCs w:val="0"/>
                <w:color w:val="000000" w:themeColor="text1"/>
                <w:szCs w:val="24"/>
                <w:lang w:val="en-US" w:eastAsia="zh-CN"/>
                <w14:textFill>
                  <w14:solidFill>
                    <w14:schemeClr w14:val="tx1"/>
                  </w14:solidFill>
                </w14:textFill>
              </w:rPr>
              <w:t>0.5</w:t>
            </w:r>
            <w:r>
              <w:rPr>
                <w:rFonts w:hint="eastAsia" w:ascii="宋体" w:hAnsi="宋体" w:eastAsia="宋体" w:cs="宋体"/>
                <w:b/>
                <w:bCs w:val="0"/>
                <w:color w:val="000000" w:themeColor="text1"/>
                <w:szCs w:val="24"/>
                <w14:textFill>
                  <w14:solidFill>
                    <w14:schemeClr w14:val="tx1"/>
                  </w14:solidFill>
                </w14:textFill>
              </w:rPr>
              <w:t>分）</w:t>
            </w:r>
          </w:p>
          <w:p w14:paraId="7342000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（1）满足纵向贯通要求，得</w:t>
            </w:r>
            <w:r>
              <w:rPr>
                <w:rFonts w:hint="eastAsia" w:ascii="宋体" w:hAnsi="宋体" w:eastAsia="宋体" w:cs="宋体"/>
                <w:bCs/>
                <w:color w:val="000000" w:themeColor="text1"/>
                <w:szCs w:val="24"/>
                <w:lang w:val="en-US" w:eastAsia="zh-CN"/>
                <w14:textFill>
                  <w14:solidFill>
                    <w14:schemeClr w14:val="tx1"/>
                  </w14:solidFill>
                </w14:textFill>
              </w:rPr>
              <w:t>0.5</w:t>
            </w:r>
            <w:r>
              <w:rPr>
                <w:rFonts w:hint="eastAsia" w:ascii="宋体" w:hAnsi="宋体" w:eastAsia="宋体" w:cs="宋体"/>
                <w:bCs/>
                <w:color w:val="000000" w:themeColor="text1"/>
                <w:szCs w:val="24"/>
                <w14:textFill>
                  <w14:solidFill>
                    <w14:schemeClr w14:val="tx1"/>
                  </w14:solidFill>
                </w14:textFill>
              </w:rPr>
              <w:t>分；</w:t>
            </w:r>
          </w:p>
          <w:p w14:paraId="56EDB92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（2）基本满足纵向贯通要求，得0.</w:t>
            </w:r>
            <w:r>
              <w:rPr>
                <w:rFonts w:hint="eastAsia" w:ascii="宋体" w:hAnsi="宋体" w:eastAsia="宋体" w:cs="宋体"/>
                <w:bCs/>
                <w:color w:val="000000" w:themeColor="text1"/>
                <w:szCs w:val="24"/>
                <w:lang w:val="en-US" w:eastAsia="zh-CN"/>
                <w14:textFill>
                  <w14:solidFill>
                    <w14:schemeClr w14:val="tx1"/>
                  </w14:solidFill>
                </w14:textFill>
              </w:rPr>
              <w:t>2</w:t>
            </w:r>
            <w:r>
              <w:rPr>
                <w:rFonts w:hint="eastAsia" w:ascii="宋体" w:hAnsi="宋体" w:eastAsia="宋体" w:cs="宋体"/>
                <w:bCs/>
                <w:color w:val="000000" w:themeColor="text1"/>
                <w:szCs w:val="24"/>
                <w14:textFill>
                  <w14:solidFill>
                    <w14:schemeClr w14:val="tx1"/>
                  </w14:solidFill>
                </w14:textFill>
              </w:rPr>
              <w:t>分；</w:t>
            </w:r>
          </w:p>
          <w:p w14:paraId="79E9DFD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（3）不满足纵向贯通要求，得0分。</w:t>
            </w:r>
          </w:p>
          <w:p w14:paraId="11E57FDB">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注：供应商或所投产品制造商需具备纵向贯通技术服务能力（提供相关证明材料并加盖制造商公章）</w:t>
            </w:r>
          </w:p>
        </w:tc>
      </w:tr>
      <w:tr w14:paraId="6C1B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1064" w:type="dxa"/>
            <w:vMerge w:val="continue"/>
            <w:noWrap w:val="0"/>
            <w:vAlign w:val="center"/>
          </w:tcPr>
          <w:p w14:paraId="49036950">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6DCAD25A">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kern w:val="0"/>
              </w:rPr>
              <w:t>功能、流程设计合理性</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4AB958F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根据响应方案针对系统应用架构、数据结构、业务处理、工作流程、信息交互、界面友好和技术框架的设计情况进行打分。（0-1分）</w:t>
            </w:r>
          </w:p>
          <w:p w14:paraId="223AE594">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（1）功能、流程设计合理，得1分；</w:t>
            </w:r>
          </w:p>
          <w:p w14:paraId="1E58D9E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（2）功能、流程设计基本合理，得0.5分；</w:t>
            </w:r>
          </w:p>
          <w:p w14:paraId="60D666EC">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（3）功能、流程设计不合理，得0.1分；</w:t>
            </w:r>
          </w:p>
          <w:p w14:paraId="566399E4">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3F13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2" w:hRule="atLeast"/>
          <w:jc w:val="center"/>
        </w:trPr>
        <w:tc>
          <w:tcPr>
            <w:tcW w:w="1064" w:type="dxa"/>
            <w:vMerge w:val="continue"/>
            <w:noWrap w:val="0"/>
            <w:vAlign w:val="center"/>
          </w:tcPr>
          <w:p w14:paraId="433B0A9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1C4F1998">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kern w:val="0"/>
              </w:rPr>
              <w:t>系统性能</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4687876B">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系统性能指标需满足磋商文件要求，从软件开发、应用中间件、数据库等系统性能设计要点，根据供应商提供的保证系统性能采取的具体措施和建议等进行打分。（0-1分）</w:t>
            </w:r>
          </w:p>
          <w:p w14:paraId="46E92215">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（1）完全满足系统性能要求，得1分；</w:t>
            </w:r>
          </w:p>
          <w:p w14:paraId="21B4140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（2）基本满足系统性能要求，得0.5分；</w:t>
            </w:r>
          </w:p>
          <w:p w14:paraId="495F25A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（3）不满足系统性能要求，得0.1分；</w:t>
            </w:r>
          </w:p>
          <w:p w14:paraId="2985AA89">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5E17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62A95AFB">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09A80A3C">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质保及售后服务</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CD86BE2">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根据售后服务内容、方式详尽程度，流程清晰程度及售后服务响应时间、应急处理能力综合评定。（0-1分）</w:t>
            </w:r>
          </w:p>
          <w:p w14:paraId="63CB208F">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（1）合理，可行性高，得1分； </w:t>
            </w:r>
          </w:p>
          <w:p w14:paraId="4D11FD3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 xml:space="preserve">（2）可行性一般，得0.5分； </w:t>
            </w:r>
          </w:p>
          <w:p w14:paraId="2EE25F9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（3）可行性较差得0.1分；</w:t>
            </w:r>
          </w:p>
          <w:p w14:paraId="40E24321">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3224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025FA40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22AC829B">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实施服务保障</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1BF692F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对供应商提供的含进度安排、人员安排、风险控制、质量管理等方面的实施方案进行打分。（0-1分）</w:t>
            </w:r>
          </w:p>
          <w:p w14:paraId="02D25980">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（1）实施方案能够切合本次采购要求，论述详尽，清晰全面、科学合理、细致具体、可操作性强的得1分；</w:t>
            </w:r>
          </w:p>
          <w:p w14:paraId="4A094F9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（2）实施方案基本科学合理、可操作性一般的得0.5分；</w:t>
            </w:r>
          </w:p>
          <w:p w14:paraId="4FBAAF27">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（3）实施方案科学性较差、可操作性较差得0.1分；</w:t>
            </w:r>
          </w:p>
          <w:p w14:paraId="745A1AA6">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29A3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64" w:type="dxa"/>
            <w:vMerge w:val="continue"/>
            <w:noWrap w:val="0"/>
            <w:vAlign w:val="center"/>
          </w:tcPr>
          <w:p w14:paraId="4AF13CC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p>
        </w:tc>
        <w:tc>
          <w:tcPr>
            <w:tcW w:w="1350" w:type="dxa"/>
            <w:shd w:val="clear" w:color="auto" w:fill="auto"/>
            <w:noWrap w:val="0"/>
            <w:vAlign w:val="center"/>
          </w:tcPr>
          <w:p w14:paraId="6BE8F756">
            <w:pPr>
              <w:widowControl/>
              <w:spacing w:line="360" w:lineRule="auto"/>
              <w:ind w:left="0" w:leftChars="0" w:firstLine="0" w:firstLineChars="0"/>
              <w:jc w:val="center"/>
              <w:textAlignment w:val="bottom"/>
              <w:rPr>
                <w:rFonts w:hint="eastAsia" w:ascii="宋体" w:hAnsi="宋体" w:eastAsia="宋体" w:cs="宋体"/>
                <w:b/>
                <w:bCs/>
                <w:kern w:val="2"/>
                <w:sz w:val="21"/>
                <w:szCs w:val="21"/>
                <w:lang w:val="en-US" w:eastAsia="zh-CN" w:bidi="ar-SA"/>
              </w:rPr>
            </w:pPr>
            <w:r>
              <w:rPr>
                <w:rFonts w:hint="eastAsia" w:ascii="宋体" w:hAnsi="宋体" w:cs="宋体"/>
                <w:b/>
                <w:bCs/>
              </w:rPr>
              <w:t>培训方案</w:t>
            </w:r>
            <w:r>
              <w:rPr>
                <w:rFonts w:hint="eastAsia" w:ascii="宋体" w:cs="宋体"/>
                <w:b/>
                <w:bCs/>
                <w:kern w:val="0"/>
                <w:lang w:eastAsia="zh-CN"/>
              </w:rPr>
              <w:t>（</w:t>
            </w:r>
            <w:r>
              <w:rPr>
                <w:rFonts w:hint="eastAsia" w:ascii="宋体" w:cs="宋体"/>
                <w:b/>
                <w:bCs/>
                <w:kern w:val="0"/>
                <w:lang w:val="en-US" w:eastAsia="zh-CN"/>
              </w:rPr>
              <w:t>1</w:t>
            </w:r>
            <w:r>
              <w:rPr>
                <w:rFonts w:hint="eastAsia" w:ascii="宋体" w:cs="宋体"/>
                <w:b/>
                <w:bCs/>
                <w:kern w:val="0"/>
                <w:lang w:eastAsia="zh-CN"/>
              </w:rPr>
              <w:t>分）</w:t>
            </w:r>
          </w:p>
        </w:tc>
        <w:tc>
          <w:tcPr>
            <w:tcW w:w="6645" w:type="dxa"/>
            <w:shd w:val="clear" w:color="auto" w:fill="auto"/>
            <w:noWrap w:val="0"/>
            <w:vAlign w:val="center"/>
          </w:tcPr>
          <w:p w14:paraId="26136676">
            <w:pPr>
              <w:spacing w:line="240" w:lineRule="auto"/>
              <w:ind w:firstLine="0" w:firstLineChars="0"/>
              <w:rPr>
                <w:rFonts w:hint="eastAsia" w:ascii="宋体" w:hAnsi="宋体" w:eastAsia="宋体" w:cs="宋体"/>
                <w:b/>
                <w:bCs w:val="0"/>
                <w:color w:val="000000" w:themeColor="text1"/>
                <w:szCs w:val="24"/>
                <w14:textFill>
                  <w14:solidFill>
                    <w14:schemeClr w14:val="tx1"/>
                  </w14:solidFill>
                </w14:textFill>
              </w:rPr>
            </w:pPr>
            <w:r>
              <w:rPr>
                <w:rFonts w:hint="eastAsia" w:ascii="宋体" w:hAnsi="宋体" w:eastAsia="宋体" w:cs="宋体"/>
                <w:b/>
                <w:bCs w:val="0"/>
                <w:color w:val="000000" w:themeColor="text1"/>
                <w:szCs w:val="24"/>
                <w14:textFill>
                  <w14:solidFill>
                    <w14:schemeClr w14:val="tx1"/>
                  </w14:solidFill>
                </w14:textFill>
              </w:rPr>
              <w:t>供应商承诺为项目交付的软件产品提供培训，提供一份切实可行的培训方案，包括但不限于培训计划安排、培训内容、培训手册等，评委根据供应商的方案及承诺打分 。（0-1分）</w:t>
            </w:r>
          </w:p>
          <w:p w14:paraId="61EED24E">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（1）培训方案阐述详细完善，针对性和可执行性强得1分；</w:t>
            </w:r>
          </w:p>
          <w:p w14:paraId="4625EBAF">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（2）培训方案阐述有待完善得0.5分；</w:t>
            </w:r>
          </w:p>
          <w:p w14:paraId="28379C29">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（3）培训方案阐述较差得0.1分；</w:t>
            </w:r>
          </w:p>
          <w:p w14:paraId="7491B66E">
            <w:pPr>
              <w:spacing w:line="240" w:lineRule="auto"/>
              <w:ind w:firstLine="0" w:firstLineChars="0"/>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(4）未提供不得分。</w:t>
            </w:r>
          </w:p>
        </w:tc>
      </w:tr>
      <w:tr w14:paraId="04A4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4" w:hRule="atLeast"/>
          <w:jc w:val="center"/>
        </w:trPr>
        <w:tc>
          <w:tcPr>
            <w:tcW w:w="1064" w:type="dxa"/>
            <w:vMerge w:val="restart"/>
            <w:noWrap w:val="0"/>
            <w:vAlign w:val="center"/>
          </w:tcPr>
          <w:p w14:paraId="04F67DD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综合部分</w:t>
            </w:r>
          </w:p>
          <w:p w14:paraId="3DFFEED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44</w:t>
            </w:r>
            <w:r>
              <w:rPr>
                <w:rFonts w:hint="eastAsia" w:ascii="宋体" w:hAnsi="宋体" w:eastAsia="宋体" w:cs="宋体"/>
                <w:b/>
                <w:bCs/>
                <w:color w:val="auto"/>
                <w:sz w:val="21"/>
                <w:szCs w:val="21"/>
                <w:highlight w:val="none"/>
              </w:rPr>
              <w:t>分</w:t>
            </w:r>
          </w:p>
        </w:tc>
        <w:tc>
          <w:tcPr>
            <w:tcW w:w="1350" w:type="dxa"/>
            <w:noWrap w:val="0"/>
            <w:vAlign w:val="center"/>
          </w:tcPr>
          <w:p w14:paraId="6E601B8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业绩</w:t>
            </w:r>
          </w:p>
          <w:p w14:paraId="664C7BB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eastAsia="zh-CN"/>
              </w:rPr>
              <w:t>分）</w:t>
            </w:r>
          </w:p>
        </w:tc>
        <w:tc>
          <w:tcPr>
            <w:tcW w:w="6645" w:type="dxa"/>
            <w:shd w:val="clear" w:color="auto" w:fill="auto"/>
            <w:noWrap w:val="0"/>
            <w:vAlign w:val="center"/>
          </w:tcPr>
          <w:p w14:paraId="229C736B">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000000" w:themeColor="text1"/>
                <w:szCs w:val="24"/>
                <w14:textFill>
                  <w14:solidFill>
                    <w14:schemeClr w14:val="tx1"/>
                  </w14:solidFill>
                </w14:textFill>
              </w:rPr>
              <w:t>供应商提供202</w:t>
            </w:r>
            <w:r>
              <w:rPr>
                <w:rFonts w:hint="eastAsia" w:ascii="宋体" w:hAnsi="宋体" w:eastAsia="宋体" w:cs="宋体"/>
                <w:bCs/>
                <w:color w:val="000000" w:themeColor="text1"/>
                <w:szCs w:val="24"/>
                <w:lang w:val="en-US" w:eastAsia="zh-CN"/>
                <w14:textFill>
                  <w14:solidFill>
                    <w14:schemeClr w14:val="tx1"/>
                  </w14:solidFill>
                </w14:textFill>
              </w:rPr>
              <w:t>1年</w:t>
            </w:r>
            <w:r>
              <w:rPr>
                <w:rFonts w:hint="eastAsia" w:ascii="宋体" w:hAnsi="宋体" w:eastAsia="宋体" w:cs="宋体"/>
                <w:bCs/>
                <w:color w:val="000000" w:themeColor="text1"/>
                <w:szCs w:val="24"/>
                <w14:textFill>
                  <w14:solidFill>
                    <w14:schemeClr w14:val="tx1"/>
                  </w14:solidFill>
                </w14:textFill>
              </w:rPr>
              <w:t>1月1日以来至响应文件递交截止时间止承担过类似项目的业绩，每提供一个类似业绩得</w:t>
            </w:r>
            <w:r>
              <w:rPr>
                <w:rFonts w:hint="eastAsia" w:ascii="宋体" w:hAnsi="宋体" w:eastAsia="宋体" w:cs="宋体"/>
                <w:bCs/>
                <w:color w:val="000000" w:themeColor="text1"/>
                <w:szCs w:val="24"/>
                <w:lang w:val="en-US" w:eastAsia="zh-CN"/>
                <w14:textFill>
                  <w14:solidFill>
                    <w14:schemeClr w14:val="tx1"/>
                  </w14:solidFill>
                </w14:textFill>
              </w:rPr>
              <w:t>6</w:t>
            </w:r>
            <w:r>
              <w:rPr>
                <w:rFonts w:hint="eastAsia" w:ascii="宋体" w:hAnsi="宋体" w:eastAsia="宋体" w:cs="宋体"/>
                <w:bCs/>
                <w:color w:val="000000" w:themeColor="text1"/>
                <w:szCs w:val="24"/>
                <w14:textFill>
                  <w14:solidFill>
                    <w14:schemeClr w14:val="tx1"/>
                  </w14:solidFill>
                </w14:textFill>
              </w:rPr>
              <w:t>分，本项最高得</w:t>
            </w:r>
            <w:r>
              <w:rPr>
                <w:rFonts w:hint="eastAsia" w:ascii="宋体" w:hAnsi="宋体" w:eastAsia="宋体" w:cs="宋体"/>
                <w:bCs/>
                <w:color w:val="000000" w:themeColor="text1"/>
                <w:szCs w:val="24"/>
                <w:lang w:val="en-US" w:eastAsia="zh-CN"/>
                <w14:textFill>
                  <w14:solidFill>
                    <w14:schemeClr w14:val="tx1"/>
                  </w14:solidFill>
                </w14:textFill>
              </w:rPr>
              <w:t>18</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响应文件中附合同协议书原件的扫描件或复印件，时间以合同签订日期为准，未提供的不得分</w:t>
            </w:r>
            <w:r>
              <w:rPr>
                <w:rFonts w:hint="eastAsia" w:ascii="宋体" w:hAnsi="宋体" w:eastAsia="宋体" w:cs="宋体"/>
                <w:bCs/>
                <w:color w:val="000000" w:themeColor="text1"/>
                <w:szCs w:val="24"/>
                <w14:textFill>
                  <w14:solidFill>
                    <w14:schemeClr w14:val="tx1"/>
                  </w14:solidFill>
                </w14:textFill>
              </w:rPr>
              <w:t>）。</w:t>
            </w:r>
          </w:p>
        </w:tc>
      </w:tr>
      <w:tr w14:paraId="3E1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6" w:hRule="atLeast"/>
          <w:jc w:val="center"/>
        </w:trPr>
        <w:tc>
          <w:tcPr>
            <w:tcW w:w="1064" w:type="dxa"/>
            <w:vMerge w:val="continue"/>
            <w:noWrap w:val="0"/>
            <w:vAlign w:val="center"/>
          </w:tcPr>
          <w:p w14:paraId="257766F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rPr>
            </w:pPr>
          </w:p>
        </w:tc>
        <w:tc>
          <w:tcPr>
            <w:tcW w:w="1350" w:type="dxa"/>
            <w:noWrap w:val="0"/>
            <w:vAlign w:val="center"/>
          </w:tcPr>
          <w:p w14:paraId="6FF6282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lang w:eastAsia="zh-CN"/>
              </w:rPr>
              <w:t>企业实力</w:t>
            </w:r>
            <w:r>
              <w:rPr>
                <w:rFonts w:hint="eastAsia" w:ascii="宋体" w:hAnsi="宋体" w:eastAsia="宋体" w:cs="宋体"/>
                <w:b/>
                <w:bCs/>
                <w:color w:val="auto"/>
                <w:szCs w:val="21"/>
              </w:rPr>
              <w:t xml:space="preserve">         </w:t>
            </w:r>
            <w:r>
              <w:rPr>
                <w:rFonts w:ascii="宋体" w:hAnsi="宋体" w:eastAsia="宋体" w:cs="宋体"/>
                <w:b/>
                <w:bCs/>
                <w:color w:val="auto"/>
                <w:szCs w:val="21"/>
              </w:rPr>
              <w:t>（</w:t>
            </w:r>
            <w:r>
              <w:rPr>
                <w:rFonts w:hint="eastAsia" w:ascii="宋体" w:hAnsi="宋体" w:eastAsia="宋体" w:cs="宋体"/>
                <w:b/>
                <w:bCs/>
                <w:color w:val="auto"/>
                <w:szCs w:val="21"/>
                <w:lang w:val="en-US" w:eastAsia="zh-CN"/>
              </w:rPr>
              <w:t>26</w:t>
            </w:r>
            <w:r>
              <w:rPr>
                <w:rFonts w:hint="eastAsia" w:ascii="宋体" w:hAnsi="宋体" w:eastAsia="宋体" w:cs="宋体"/>
                <w:b/>
                <w:bCs/>
                <w:color w:val="auto"/>
                <w:szCs w:val="21"/>
              </w:rPr>
              <w:t>分</w:t>
            </w:r>
            <w:r>
              <w:rPr>
                <w:rFonts w:ascii="宋体" w:hAnsi="宋体" w:eastAsia="宋体" w:cs="宋体"/>
                <w:b/>
                <w:bCs/>
                <w:color w:val="auto"/>
                <w:szCs w:val="21"/>
              </w:rPr>
              <w:t>）</w:t>
            </w:r>
          </w:p>
        </w:tc>
        <w:tc>
          <w:tcPr>
            <w:tcW w:w="6645" w:type="dxa"/>
            <w:noWrap w:val="0"/>
            <w:vAlign w:val="center"/>
          </w:tcPr>
          <w:p w14:paraId="292EBC72">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1.供应商或所投产品制造商具有CMM5/CMMI5及以上证书的得</w:t>
            </w:r>
            <w:r>
              <w:rPr>
                <w:rFonts w:hint="eastAsia" w:ascii="宋体" w:hAnsi="宋体" w:eastAsia="宋体" w:cs="宋体"/>
                <w:bCs/>
                <w:color w:val="000000" w:themeColor="text1"/>
                <w:szCs w:val="24"/>
                <w:lang w:val="en-US" w:eastAsia="zh-CN"/>
                <w14:textFill>
                  <w14:solidFill>
                    <w14:schemeClr w14:val="tx1"/>
                  </w14:solidFill>
                </w14:textFill>
              </w:rPr>
              <w:t>5</w:t>
            </w:r>
            <w:r>
              <w:rPr>
                <w:rFonts w:hint="eastAsia" w:ascii="宋体" w:hAnsi="宋体" w:eastAsia="宋体" w:cs="宋体"/>
                <w:bCs/>
                <w:color w:val="000000" w:themeColor="text1"/>
                <w:szCs w:val="24"/>
                <w14:textFill>
                  <w14:solidFill>
                    <w14:schemeClr w14:val="tx1"/>
                  </w14:solidFill>
                </w14:textFill>
              </w:rPr>
              <w:t>分，CMM4/CMMI4证书的得</w:t>
            </w:r>
            <w:r>
              <w:rPr>
                <w:rFonts w:hint="eastAsia" w:ascii="宋体" w:hAnsi="宋体" w:eastAsia="宋体" w:cs="宋体"/>
                <w:bCs/>
                <w:color w:val="000000" w:themeColor="text1"/>
                <w:szCs w:val="24"/>
                <w:lang w:val="en-US" w:eastAsia="zh-CN"/>
                <w14:textFill>
                  <w14:solidFill>
                    <w14:schemeClr w14:val="tx1"/>
                  </w14:solidFill>
                </w14:textFill>
              </w:rPr>
              <w:t>3</w:t>
            </w:r>
            <w:r>
              <w:rPr>
                <w:rFonts w:hint="eastAsia" w:ascii="宋体" w:hAnsi="宋体" w:eastAsia="宋体" w:cs="宋体"/>
                <w:bCs/>
                <w:color w:val="000000" w:themeColor="text1"/>
                <w:szCs w:val="24"/>
                <w14:textFill>
                  <w14:solidFill>
                    <w14:schemeClr w14:val="tx1"/>
                  </w14:solidFill>
                </w14:textFill>
              </w:rPr>
              <w:t>分，CMM3/CMMI3证书的得1分，其他不得分。（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4F7EC52B">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2.供应商或所投产品制造商具有ISO27001信息安全管理体系认证证书的得</w:t>
            </w:r>
            <w:r>
              <w:rPr>
                <w:rFonts w:hint="eastAsia" w:ascii="宋体" w:hAnsi="宋体" w:eastAsia="宋体" w:cs="宋体"/>
                <w:bCs/>
                <w:color w:val="000000" w:themeColor="text1"/>
                <w:szCs w:val="24"/>
                <w:lang w:val="en-US" w:eastAsia="zh-CN"/>
                <w14:textFill>
                  <w14:solidFill>
                    <w14:schemeClr w14:val="tx1"/>
                  </w14:solidFill>
                </w14:textFill>
              </w:rPr>
              <w:t>4</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2AAE8C38">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3.供应商或所投产品制造商具有ISO20000-1信息技术服务管理体系认证证书的得</w:t>
            </w:r>
            <w:r>
              <w:rPr>
                <w:rFonts w:hint="eastAsia" w:ascii="宋体" w:hAnsi="宋体" w:eastAsia="宋体" w:cs="宋体"/>
                <w:bCs/>
                <w:color w:val="000000" w:themeColor="text1"/>
                <w:szCs w:val="24"/>
                <w:lang w:val="en-US" w:eastAsia="zh-CN"/>
                <w14:textFill>
                  <w14:solidFill>
                    <w14:schemeClr w14:val="tx1"/>
                  </w14:solidFill>
                </w14:textFill>
              </w:rPr>
              <w:t>4</w:t>
            </w:r>
            <w:r>
              <w:rPr>
                <w:rFonts w:hint="eastAsia" w:ascii="宋体" w:hAnsi="宋体" w:eastAsia="宋体" w:cs="宋体"/>
                <w:bCs/>
                <w:color w:val="000000" w:themeColor="text1"/>
                <w:szCs w:val="24"/>
                <w14:textFill>
                  <w14:solidFill>
                    <w14:schemeClr w14:val="tx1"/>
                  </w14:solidFill>
                </w14:textFill>
              </w:rPr>
              <w:t>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6EA66B0A">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4.供应商或所投产品制造商具有国家保密局颁发的涉密信息系统集成资质证书（业务种类包括：总体集成/软件开发/运行维护等），甲级证书的得</w:t>
            </w:r>
            <w:r>
              <w:rPr>
                <w:rFonts w:hint="eastAsia" w:ascii="宋体" w:hAnsi="宋体" w:eastAsia="宋体" w:cs="宋体"/>
                <w:bCs/>
                <w:color w:val="000000" w:themeColor="text1"/>
                <w:szCs w:val="24"/>
                <w:lang w:val="en-US" w:eastAsia="zh-CN"/>
                <w14:textFill>
                  <w14:solidFill>
                    <w14:schemeClr w14:val="tx1"/>
                  </w14:solidFill>
                </w14:textFill>
              </w:rPr>
              <w:t>5</w:t>
            </w:r>
            <w:r>
              <w:rPr>
                <w:rFonts w:hint="eastAsia" w:ascii="宋体" w:hAnsi="宋体" w:eastAsia="宋体" w:cs="宋体"/>
                <w:bCs/>
                <w:color w:val="000000" w:themeColor="text1"/>
                <w:szCs w:val="24"/>
                <w14:textFill>
                  <w14:solidFill>
                    <w14:schemeClr w14:val="tx1"/>
                  </w14:solidFill>
                </w14:textFill>
              </w:rPr>
              <w:t>分，乙级证书的得</w:t>
            </w:r>
            <w:r>
              <w:rPr>
                <w:rFonts w:hint="eastAsia" w:ascii="宋体" w:hAnsi="宋体" w:eastAsia="宋体" w:cs="宋体"/>
                <w:bCs/>
                <w:color w:val="000000" w:themeColor="text1"/>
                <w:szCs w:val="24"/>
                <w:lang w:val="en-US" w:eastAsia="zh-CN"/>
                <w14:textFill>
                  <w14:solidFill>
                    <w14:schemeClr w14:val="tx1"/>
                  </w14:solidFill>
                </w14:textFill>
              </w:rPr>
              <w:t>3</w:t>
            </w:r>
            <w:r>
              <w:rPr>
                <w:rFonts w:hint="eastAsia" w:ascii="宋体" w:hAnsi="宋体" w:eastAsia="宋体" w:cs="宋体"/>
                <w:bCs/>
                <w:color w:val="000000" w:themeColor="text1"/>
                <w:szCs w:val="24"/>
                <w14:textFill>
                  <w14:solidFill>
                    <w14:schemeClr w14:val="tx1"/>
                  </w14:solidFill>
                </w14:textFill>
              </w:rPr>
              <w:t>分，其他不得分（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011329A1">
            <w:pPr>
              <w:spacing w:line="240" w:lineRule="auto"/>
              <w:ind w:firstLine="0" w:firstLineChars="0"/>
              <w:rPr>
                <w:rFonts w:hint="eastAsia"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5.供应商或所投产品制造商具有中华人民共和国国家版权局颁发的“人大预算联网监督系统”方面软件著作权登记证书的得4分。（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p w14:paraId="797FB1C3">
            <w:pPr>
              <w:numPr>
                <w:ilvl w:val="0"/>
                <w:numId w:val="0"/>
              </w:numPr>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000000" w:themeColor="text1"/>
                <w:szCs w:val="24"/>
                <w14:textFill>
                  <w14:solidFill>
                    <w14:schemeClr w14:val="tx1"/>
                  </w14:solidFill>
                </w14:textFill>
              </w:rPr>
              <w:t>6.供应商或所投产品制造商具有中华人民共和国国家版权局颁发的“人大国资联网监督系统”方面软件著作权登记证书的得4分。（</w:t>
            </w:r>
            <w:r>
              <w:rPr>
                <w:rFonts w:hint="eastAsia" w:ascii="宋体" w:hAnsi="宋体" w:eastAsia="宋体" w:cs="宋体"/>
                <w:b/>
                <w:bCs w:val="0"/>
                <w:color w:val="000000" w:themeColor="text1"/>
                <w:szCs w:val="24"/>
                <w14:textFill>
                  <w14:solidFill>
                    <w14:schemeClr w14:val="tx1"/>
                  </w14:solidFill>
                </w14:textFill>
              </w:rPr>
              <w:t>需提供相关证明材料原件扫描件或复印件并加盖制造商公章，否则不得分</w:t>
            </w:r>
            <w:r>
              <w:rPr>
                <w:rFonts w:hint="eastAsia" w:ascii="宋体" w:hAnsi="宋体" w:eastAsia="宋体" w:cs="宋体"/>
                <w:bCs/>
                <w:color w:val="000000" w:themeColor="text1"/>
                <w:szCs w:val="24"/>
                <w14:textFill>
                  <w14:solidFill>
                    <w14:schemeClr w14:val="tx1"/>
                  </w14:solidFill>
                </w14:textFill>
              </w:rPr>
              <w:t>）。</w:t>
            </w:r>
          </w:p>
        </w:tc>
      </w:tr>
    </w:tbl>
    <w:p w14:paraId="1E278E77">
      <w:pPr>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评审方法</w:t>
      </w:r>
      <w:bookmarkEnd w:id="740"/>
      <w:bookmarkEnd w:id="741"/>
      <w:bookmarkEnd w:id="742"/>
      <w:bookmarkEnd w:id="743"/>
      <w:bookmarkEnd w:id="744"/>
      <w:bookmarkEnd w:id="745"/>
      <w:bookmarkEnd w:id="746"/>
      <w:bookmarkEnd w:id="747"/>
      <w:bookmarkEnd w:id="748"/>
    </w:p>
    <w:p w14:paraId="2743B6F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bidi="en-US"/>
        </w:rPr>
        <w:t>1.1</w:t>
      </w:r>
      <w:r>
        <w:rPr>
          <w:rFonts w:hint="eastAsia" w:ascii="宋体" w:hAnsi="宋体" w:eastAsia="宋体" w:cs="宋体"/>
          <w:color w:val="auto"/>
          <w:szCs w:val="21"/>
          <w:highlight w:val="none"/>
          <w:lang w:bidi="en-US"/>
        </w:rPr>
        <w:t>本次评审采用综合评分法。磋商小组对满足</w:t>
      </w:r>
      <w:r>
        <w:rPr>
          <w:rFonts w:hint="eastAsia" w:ascii="宋体" w:hAnsi="宋体" w:eastAsia="宋体" w:cs="宋体"/>
          <w:color w:val="auto"/>
          <w:szCs w:val="21"/>
          <w:highlight w:val="none"/>
          <w:lang w:eastAsia="zh-CN" w:bidi="en-US"/>
        </w:rPr>
        <w:t>竞争性磋商文件</w:t>
      </w:r>
      <w:r>
        <w:rPr>
          <w:rFonts w:hint="eastAsia" w:ascii="宋体" w:hAnsi="宋体" w:eastAsia="宋体" w:cs="宋体"/>
          <w:color w:val="auto"/>
          <w:szCs w:val="21"/>
          <w:highlight w:val="none"/>
          <w:lang w:bidi="en-US"/>
        </w:rPr>
        <w:t>实质性要求的响应文件</w:t>
      </w:r>
      <w:r>
        <w:rPr>
          <w:rFonts w:hint="eastAsia" w:ascii="宋体" w:hAnsi="宋体" w:eastAsia="宋体" w:cs="宋体"/>
          <w:color w:val="auto"/>
          <w:szCs w:val="21"/>
          <w:highlight w:val="none"/>
        </w:rPr>
        <w:t>，按照本章规定的评分标准进行打分，并按得分由高到低顺序推荐成交候选人，</w:t>
      </w:r>
      <w:r>
        <w:rPr>
          <w:rFonts w:hint="eastAsia" w:ascii="宋体" w:hAnsi="宋体" w:eastAsia="宋体" w:cs="宋体"/>
          <w:color w:val="auto"/>
          <w:kern w:val="0"/>
          <w:szCs w:val="21"/>
          <w:highlight w:val="none"/>
        </w:rPr>
        <w:t>综合评分相等时，以报价得分高的优先；报价得分也相等的</w:t>
      </w:r>
      <w:r>
        <w:rPr>
          <w:rFonts w:hint="eastAsia" w:ascii="宋体" w:hAnsi="宋体" w:eastAsia="宋体" w:cs="宋体"/>
          <w:szCs w:val="21"/>
        </w:rPr>
        <w:t>，以技术标得分高的优先</w:t>
      </w:r>
      <w:r>
        <w:rPr>
          <w:rFonts w:hint="eastAsia" w:ascii="宋体" w:hAnsi="宋体" w:eastAsia="宋体" w:cs="宋体"/>
          <w:color w:val="auto"/>
          <w:kern w:val="0"/>
          <w:szCs w:val="21"/>
          <w:highlight w:val="none"/>
        </w:rPr>
        <w:t>。</w:t>
      </w:r>
      <w:bookmarkStart w:id="749" w:name="_Toc20837"/>
      <w:bookmarkStart w:id="750" w:name="_Toc466298140"/>
      <w:bookmarkStart w:id="751" w:name="_Toc455080157"/>
      <w:bookmarkStart w:id="752" w:name="_Toc24936"/>
      <w:bookmarkStart w:id="753" w:name="_Toc318450723"/>
      <w:bookmarkStart w:id="754" w:name="_Toc144974568"/>
      <w:bookmarkStart w:id="755" w:name="_Toc152042378"/>
      <w:bookmarkStart w:id="756" w:name="_Toc490667876"/>
      <w:bookmarkStart w:id="757" w:name="_Toc6612"/>
      <w:bookmarkStart w:id="758" w:name="_Toc152045601"/>
      <w:bookmarkStart w:id="759" w:name="_Toc455867817"/>
      <w:bookmarkStart w:id="760" w:name="_Toc281405529"/>
      <w:bookmarkStart w:id="761" w:name="_Toc29362"/>
      <w:bookmarkStart w:id="762" w:name="_Toc26131"/>
    </w:p>
    <w:p w14:paraId="031C37D8">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sz w:val="21"/>
          <w:szCs w:val="21"/>
          <w:highlight w:val="none"/>
        </w:rPr>
        <w:t>经评标委员会初步评审后有效投标不足3个的，评标委员会应予废标。</w:t>
      </w:r>
    </w:p>
    <w:p w14:paraId="02E4868A">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评审标准</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Start w:id="763" w:name="_Toc455080158"/>
      <w:bookmarkStart w:id="764" w:name="_Toc15813"/>
      <w:bookmarkStart w:id="765" w:name="_Toc455867818"/>
      <w:bookmarkStart w:id="766" w:name="_Toc31037"/>
      <w:bookmarkStart w:id="767" w:name="_Toc11223"/>
      <w:bookmarkStart w:id="768" w:name="_Toc19934"/>
      <w:bookmarkStart w:id="769" w:name="_Toc25637"/>
      <w:bookmarkStart w:id="770" w:name="_Toc6711"/>
      <w:bookmarkStart w:id="771" w:name="_Toc152042379"/>
      <w:bookmarkStart w:id="772" w:name="_Toc466298141"/>
      <w:bookmarkStart w:id="773" w:name="_Toc144974569"/>
      <w:bookmarkStart w:id="774" w:name="_Toc490667877"/>
      <w:bookmarkStart w:id="775" w:name="_Toc281405530"/>
      <w:bookmarkStart w:id="776" w:name="_Toc152045602"/>
      <w:bookmarkStart w:id="777" w:name="_Toc24558"/>
      <w:bookmarkStart w:id="778" w:name="_Toc2867"/>
      <w:bookmarkStart w:id="779" w:name="_Toc21120"/>
      <w:bookmarkStart w:id="780" w:name="_Toc318450724"/>
    </w:p>
    <w:p w14:paraId="1B147857">
      <w:pPr>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初步评审标准</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FCA0FA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资格检查评审标准：见评审办法前附表。</w:t>
      </w:r>
    </w:p>
    <w:p w14:paraId="4E112C7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性检查评审标准：见评审办法前附表。</w:t>
      </w:r>
    </w:p>
    <w:p w14:paraId="285F0C43">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781" w:name="_Toc39"/>
      <w:bookmarkStart w:id="782" w:name="_Toc14435"/>
      <w:bookmarkStart w:id="783" w:name="_Toc455867819"/>
      <w:bookmarkStart w:id="784" w:name="_Toc7284"/>
      <w:bookmarkStart w:id="785" w:name="_Toc144974570"/>
      <w:bookmarkStart w:id="786" w:name="_Toc30189"/>
      <w:bookmarkStart w:id="787" w:name="_Toc152045603"/>
      <w:bookmarkStart w:id="788" w:name="_Toc281405531"/>
      <w:bookmarkStart w:id="789" w:name="_Toc455080159"/>
      <w:bookmarkStart w:id="790" w:name="_Toc25492"/>
      <w:bookmarkStart w:id="791" w:name="_Toc22439"/>
      <w:bookmarkStart w:id="792" w:name="_Toc14049"/>
      <w:bookmarkStart w:id="793" w:name="_Toc26179"/>
      <w:bookmarkStart w:id="794" w:name="_Toc466298142"/>
      <w:bookmarkStart w:id="795" w:name="_Toc21970"/>
      <w:bookmarkStart w:id="796" w:name="_Toc24825"/>
      <w:bookmarkStart w:id="797" w:name="_Toc318450725"/>
      <w:bookmarkStart w:id="798" w:name="_Toc490667878"/>
      <w:bookmarkStart w:id="799" w:name="_Toc152042380"/>
      <w:bookmarkStart w:id="800" w:name="_Toc11061"/>
      <w:bookmarkStart w:id="801" w:name="_Toc12013"/>
      <w:r>
        <w:rPr>
          <w:rFonts w:hint="eastAsia" w:ascii="宋体" w:hAnsi="宋体" w:eastAsia="宋体" w:cs="宋体"/>
          <w:b/>
          <w:bCs/>
          <w:color w:val="auto"/>
          <w:sz w:val="21"/>
          <w:szCs w:val="21"/>
          <w:highlight w:val="none"/>
        </w:rPr>
        <w:t>2.2 分值构成与评分标准</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44D81489">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（1）商务标：见评审办法前附表；</w:t>
      </w:r>
    </w:p>
    <w:p w14:paraId="1BF052BF">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（2）技术标：见评审办法前附表；</w:t>
      </w:r>
    </w:p>
    <w:p w14:paraId="23223A76">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（3）综合标：见评审办法前附表。</w:t>
      </w:r>
    </w:p>
    <w:p w14:paraId="38812D07">
      <w:pPr>
        <w:pStyle w:val="52"/>
        <w:pageBreakBefore w:val="0"/>
        <w:widowControl w:val="0"/>
        <w:kinsoku/>
        <w:wordWrap/>
        <w:overflowPunct/>
        <w:topLinePunct w:val="0"/>
        <w:autoSpaceDE/>
        <w:autoSpaceDN/>
        <w:bidi w:val="0"/>
        <w:adjustRightInd/>
        <w:snapToGrid/>
        <w:spacing w:before="0" w:beforeLines="0" w:line="360" w:lineRule="exact"/>
        <w:textAlignment w:val="auto"/>
        <w:outlineLvl w:val="9"/>
        <w:rPr>
          <w:rFonts w:hint="eastAsia" w:ascii="宋体" w:hAnsi="宋体" w:eastAsia="宋体" w:cs="宋体"/>
          <w:b/>
          <w:bCs/>
          <w:color w:val="auto"/>
          <w:sz w:val="21"/>
          <w:szCs w:val="21"/>
          <w:highlight w:val="none"/>
        </w:rPr>
      </w:pPr>
      <w:bookmarkStart w:id="802" w:name="_Toc16479"/>
      <w:bookmarkStart w:id="803" w:name="_Toc455867820"/>
      <w:bookmarkStart w:id="804" w:name="_Toc490667879"/>
      <w:bookmarkStart w:id="805" w:name="_Toc466298143"/>
      <w:bookmarkStart w:id="806" w:name="_Toc18127"/>
      <w:bookmarkStart w:id="807" w:name="_Toc32314"/>
      <w:bookmarkStart w:id="808" w:name="_Toc730"/>
      <w:bookmarkStart w:id="809" w:name="_Toc29297"/>
      <w:bookmarkStart w:id="810" w:name="_Toc318450726"/>
      <w:bookmarkStart w:id="811" w:name="_Toc281405532"/>
      <w:bookmarkStart w:id="812" w:name="_Toc15782"/>
      <w:bookmarkStart w:id="813" w:name="_Toc455080160"/>
      <w:bookmarkStart w:id="814" w:name="_Toc8411"/>
      <w:bookmarkStart w:id="815" w:name="_Toc17308"/>
      <w:r>
        <w:rPr>
          <w:rFonts w:hint="eastAsia" w:ascii="宋体" w:hAnsi="宋体" w:eastAsia="宋体" w:cs="宋体"/>
          <w:b/>
          <w:bCs/>
          <w:color w:val="auto"/>
          <w:sz w:val="21"/>
          <w:szCs w:val="21"/>
          <w:highlight w:val="none"/>
        </w:rPr>
        <w:t>3. 评审程序</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677D95F6">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16" w:name="_Toc5427"/>
      <w:bookmarkStart w:id="817" w:name="_Toc9439"/>
      <w:bookmarkStart w:id="818" w:name="_Toc455867821"/>
      <w:bookmarkStart w:id="819" w:name="_Toc490667880"/>
      <w:bookmarkStart w:id="820" w:name="_Toc18886"/>
      <w:bookmarkStart w:id="821" w:name="_Toc318450727"/>
      <w:bookmarkStart w:id="822" w:name="_Toc22310"/>
      <w:bookmarkStart w:id="823" w:name="_Toc16892"/>
      <w:bookmarkStart w:id="824" w:name="_Toc7272"/>
      <w:bookmarkStart w:id="825" w:name="_Toc29614"/>
      <w:bookmarkStart w:id="826" w:name="_Toc14153"/>
      <w:bookmarkStart w:id="827" w:name="_Toc281405533"/>
      <w:bookmarkStart w:id="828" w:name="_Toc455080161"/>
      <w:bookmarkStart w:id="829" w:name="_Toc466298144"/>
      <w:bookmarkStart w:id="830" w:name="_Toc2410"/>
      <w:bookmarkStart w:id="831" w:name="_Toc14633"/>
      <w:bookmarkStart w:id="832" w:name="_Toc9433"/>
      <w:bookmarkStart w:id="833" w:name="_Toc30986"/>
      <w:bookmarkStart w:id="834" w:name="_Toc29092"/>
      <w:r>
        <w:rPr>
          <w:rFonts w:hint="eastAsia" w:ascii="宋体" w:hAnsi="宋体" w:eastAsia="宋体" w:cs="宋体"/>
          <w:b/>
          <w:bCs/>
          <w:color w:val="auto"/>
          <w:sz w:val="21"/>
          <w:szCs w:val="21"/>
          <w:highlight w:val="none"/>
        </w:rPr>
        <w:t>3.1 初步评审</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5074212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rPr>
      </w:pPr>
      <w:bookmarkStart w:id="835" w:name="_Toc455867822"/>
      <w:bookmarkStart w:id="836" w:name="_Toc26049"/>
      <w:bookmarkStart w:id="837" w:name="_Toc10692"/>
      <w:bookmarkStart w:id="838" w:name="_Toc21032"/>
      <w:bookmarkStart w:id="839" w:name="_Toc26280"/>
      <w:bookmarkStart w:id="840" w:name="_Toc7121"/>
      <w:bookmarkStart w:id="841" w:name="_Toc455080162"/>
      <w:bookmarkStart w:id="842" w:name="_Toc13386"/>
      <w:bookmarkStart w:id="843" w:name="_Toc318450728"/>
      <w:bookmarkStart w:id="844" w:name="_Toc16964"/>
      <w:bookmarkStart w:id="845" w:name="_Toc466298145"/>
      <w:bookmarkStart w:id="846" w:name="_Toc12406"/>
      <w:bookmarkStart w:id="847" w:name="_Toc21570"/>
      <w:bookmarkStart w:id="848" w:name="_Toc490667881"/>
      <w:bookmarkStart w:id="849" w:name="_Toc281405534"/>
      <w:bookmarkStart w:id="850" w:name="_Toc22101"/>
      <w:r>
        <w:rPr>
          <w:rFonts w:hint="eastAsia" w:ascii="宋体" w:hAnsi="宋体" w:eastAsia="宋体" w:cs="宋体"/>
          <w:color w:val="auto"/>
          <w:sz w:val="21"/>
          <w:szCs w:val="21"/>
          <w:highlight w:val="none"/>
        </w:rPr>
        <w:t>3.1.1只有通过资格审查的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才能进入</w:t>
      </w:r>
      <w:r>
        <w:rPr>
          <w:rFonts w:hint="eastAsia" w:ascii="宋体" w:hAnsi="宋体" w:eastAsia="宋体" w:cs="宋体"/>
          <w:color w:val="auto"/>
          <w:sz w:val="21"/>
          <w:szCs w:val="21"/>
          <w:highlight w:val="none"/>
          <w:lang w:eastAsia="zh-CN"/>
        </w:rPr>
        <w:t>符合性评审</w:t>
      </w:r>
      <w:r>
        <w:rPr>
          <w:rFonts w:hint="eastAsia" w:ascii="宋体" w:hAnsi="宋体" w:eastAsia="宋体" w:cs="宋体"/>
          <w:color w:val="auto"/>
          <w:sz w:val="21"/>
          <w:szCs w:val="21"/>
          <w:highlight w:val="none"/>
        </w:rPr>
        <w:t>。评标委员会依据</w:t>
      </w: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规定的内容和标准对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有一项不符合评审标准的，其投标做无效</w:t>
      </w:r>
      <w:r>
        <w:rPr>
          <w:rFonts w:hint="eastAsia" w:ascii="宋体"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处理，不得进入详细评审。</w:t>
      </w:r>
    </w:p>
    <w:p w14:paraId="354AC828">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供应商有以下情形之一的，其响应文件作无效处理：</w:t>
      </w:r>
    </w:p>
    <w:p w14:paraId="58C4D07D">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）串通或弄虚作假或有其他违法行为的；</w:t>
      </w:r>
    </w:p>
    <w:p w14:paraId="7B2CC697">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）不按磋商小组要求澄清、说明或补正的；</w:t>
      </w:r>
    </w:p>
    <w:p w14:paraId="56A1EE14">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）未按规定格式填写、内容不全或关键字迹模糊、无法辨认的；</w:t>
      </w:r>
    </w:p>
    <w:p w14:paraId="4E269834">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）响应文件附有采购人不能接受的条件；</w:t>
      </w:r>
    </w:p>
    <w:p w14:paraId="491E8DE0">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）不符合</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规定的其他实质性要求。</w:t>
      </w:r>
    </w:p>
    <w:p w14:paraId="49BF8B6C">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51" w:name="_Toc25342"/>
      <w:bookmarkStart w:id="852" w:name="_Toc9114"/>
      <w:bookmarkStart w:id="853" w:name="_Toc22958"/>
      <w:r>
        <w:rPr>
          <w:rFonts w:hint="eastAsia" w:ascii="宋体" w:hAnsi="宋体" w:eastAsia="宋体" w:cs="宋体"/>
          <w:b/>
          <w:bCs/>
          <w:color w:val="auto"/>
          <w:sz w:val="21"/>
          <w:szCs w:val="21"/>
          <w:highlight w:val="none"/>
        </w:rPr>
        <w:t>3.2 详细评审</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48676C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磋商小组按本章第2.2款规定的量化因素和分值进行打分，并计算出综合评分得分。</w:t>
      </w:r>
    </w:p>
    <w:p w14:paraId="0687AFF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6F5224FE">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3.2.3供应商的最终得分以全部小组成员打分的算术平均值为准，作为该供应商的最终得分。</w:t>
      </w:r>
    </w:p>
    <w:p w14:paraId="68AC402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3.2.4在磋商过程中，凡遇到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中无界定或界定不清、前后不一致使磋商小组意见有分歧且又难以协商一致的问题，均由磋商小组予以表决，获半数以上同意的即为通过，未获半数同意的即为否决。</w:t>
      </w:r>
    </w:p>
    <w:p w14:paraId="16009803">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rPr>
      </w:pPr>
      <w:bookmarkStart w:id="854" w:name="_Toc12374"/>
      <w:bookmarkStart w:id="855" w:name="_Toc11958"/>
      <w:bookmarkStart w:id="856" w:name="_Toc455080163"/>
      <w:bookmarkStart w:id="857" w:name="_Toc490667882"/>
      <w:bookmarkStart w:id="858" w:name="_Toc331"/>
      <w:bookmarkStart w:id="859" w:name="_Toc9377"/>
      <w:bookmarkStart w:id="860" w:name="_Toc318450729"/>
      <w:bookmarkStart w:id="861" w:name="_Toc28633"/>
      <w:bookmarkStart w:id="862" w:name="_Toc8342"/>
      <w:bookmarkStart w:id="863" w:name="_Toc466298146"/>
      <w:bookmarkStart w:id="864" w:name="_Toc281405535"/>
      <w:bookmarkStart w:id="865" w:name="_Toc10153"/>
      <w:bookmarkStart w:id="866" w:name="_Toc2657"/>
      <w:bookmarkStart w:id="867" w:name="_Toc22084"/>
      <w:bookmarkStart w:id="868" w:name="_Toc17468"/>
      <w:bookmarkStart w:id="869" w:name="_Toc8813"/>
      <w:bookmarkStart w:id="870" w:name="_Toc455867823"/>
      <w:bookmarkStart w:id="871" w:name="_Toc24862"/>
      <w:bookmarkStart w:id="872" w:name="_Toc31192"/>
      <w:r>
        <w:rPr>
          <w:rFonts w:hint="eastAsia" w:ascii="宋体" w:hAnsi="宋体" w:eastAsia="宋体" w:cs="宋体"/>
          <w:b/>
          <w:bCs/>
          <w:color w:val="auto"/>
          <w:sz w:val="21"/>
          <w:szCs w:val="21"/>
          <w:highlight w:val="none"/>
        </w:rPr>
        <w:t>3.3 响应文件的澄清和补正</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7D6F62C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638D9DD0">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澄清、说明和补正不得超出响应文件的范围或者改变响应文件的实质性内容（算术性错误修正的除外）。供应商的书面澄清、说明和补正属于响应文件的组成部分。</w:t>
      </w:r>
    </w:p>
    <w:p w14:paraId="12F8947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磋商小组对供应商提交的澄清、说明或补正有疑问的，可以要求供应商进一步澄清、说明或补正，直至满足磋商小组的要求。</w:t>
      </w:r>
    </w:p>
    <w:p w14:paraId="7D25D9BE">
      <w:pPr>
        <w:pStyle w:val="54"/>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rPr>
      </w:pPr>
      <w:bookmarkStart w:id="873" w:name="_Toc30053"/>
      <w:bookmarkStart w:id="874" w:name="_Toc455867824"/>
      <w:bookmarkStart w:id="875" w:name="_Toc5903"/>
      <w:bookmarkStart w:id="876" w:name="_Toc32183"/>
      <w:bookmarkStart w:id="877" w:name="_Toc27205"/>
      <w:bookmarkStart w:id="878" w:name="_Toc490667883"/>
      <w:bookmarkStart w:id="879" w:name="_Toc466298147"/>
      <w:bookmarkStart w:id="880" w:name="_Toc17364"/>
      <w:bookmarkStart w:id="881" w:name="_Toc318450730"/>
      <w:bookmarkStart w:id="882" w:name="_Toc26894"/>
      <w:bookmarkStart w:id="883" w:name="_Toc455080164"/>
      <w:bookmarkStart w:id="884" w:name="_Toc19938"/>
      <w:bookmarkStart w:id="885" w:name="_Toc19453"/>
      <w:bookmarkStart w:id="886" w:name="_Toc22986"/>
      <w:bookmarkStart w:id="887" w:name="_Toc1857"/>
      <w:bookmarkStart w:id="888" w:name="_Toc281405536"/>
      <w:bookmarkStart w:id="889" w:name="_Toc31702"/>
      <w:bookmarkStart w:id="890" w:name="_Toc22049"/>
      <w:bookmarkStart w:id="891" w:name="_Toc22682"/>
      <w:r>
        <w:rPr>
          <w:rFonts w:hint="eastAsia" w:ascii="宋体" w:hAnsi="宋体" w:eastAsia="宋体" w:cs="宋体"/>
          <w:color w:val="auto"/>
          <w:sz w:val="21"/>
          <w:szCs w:val="21"/>
          <w:highlight w:val="none"/>
        </w:rPr>
        <w:t>3.4 评审结果</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5445A8F">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3.4.1除第二章“供应商须知”前附表授权直接确定成交人外，磋商小组按照得分由高到低的顺序推荐成交候选人。</w:t>
      </w:r>
    </w:p>
    <w:p w14:paraId="2C2B737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磋商小组完成评审后，应当向采购人提交书面评审报告。</w:t>
      </w:r>
    </w:p>
    <w:p w14:paraId="19F62A3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bookmarkStart w:id="892" w:name="_Toc14024"/>
      <w:bookmarkStart w:id="893" w:name="_Toc152042387"/>
      <w:bookmarkStart w:id="894" w:name="_Toc144974577"/>
      <w:bookmarkStart w:id="895" w:name="_Toc152045609"/>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评标结果同时在</w:t>
      </w:r>
      <w:r>
        <w:rPr>
          <w:rFonts w:hint="eastAsia" w:ascii="宋体" w:hAnsi="宋体" w:eastAsia="宋体" w:cs="宋体"/>
          <w:color w:val="auto"/>
          <w:szCs w:val="21"/>
          <w:highlight w:val="none"/>
          <w:lang w:val="en-US" w:eastAsia="zh-CN"/>
        </w:rPr>
        <w:t>《河南省政府采购网》、《全国公共资源交易平台（河南省·信阳市）》、</w:t>
      </w:r>
      <w:r>
        <w:rPr>
          <w:rFonts w:hint="eastAsia" w:ascii="宋体" w:hAnsi="宋体" w:eastAsia="宋体" w:cs="宋体"/>
          <w:color w:val="auto"/>
          <w:szCs w:val="21"/>
          <w:highlight w:val="none"/>
        </w:rPr>
        <w:t>公示。</w:t>
      </w:r>
    </w:p>
    <w:p w14:paraId="30096349">
      <w:pPr>
        <w:pStyle w:val="24"/>
        <w:ind w:left="0" w:leftChars="0" w:firstLine="0" w:firstLineChars="0"/>
        <w:rPr>
          <w:rFonts w:hint="eastAsia"/>
          <w:color w:val="auto"/>
          <w:highlight w:val="none"/>
        </w:rPr>
      </w:pPr>
      <w:bookmarkStart w:id="896" w:name="_Toc300"/>
      <w:bookmarkStart w:id="897" w:name="_Toc29062"/>
      <w:bookmarkStart w:id="898" w:name="_Toc30291"/>
    </w:p>
    <w:p w14:paraId="02F411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0BCC0A8">
      <w:pPr>
        <w:pStyle w:val="4"/>
        <w:pageBreakBefore w:val="0"/>
        <w:numPr>
          <w:ilvl w:val="0"/>
          <w:numId w:val="0"/>
        </w:numPr>
        <w:kinsoku/>
        <w:wordWrap/>
        <w:overflowPunct/>
        <w:topLinePunct w:val="0"/>
        <w:bidi w:val="0"/>
        <w:spacing w:line="400" w:lineRule="exact"/>
        <w:ind w:left="459"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附件：废标条件</w:t>
      </w:r>
      <w:bookmarkEnd w:id="896"/>
      <w:bookmarkEnd w:id="897"/>
      <w:bookmarkEnd w:id="898"/>
    </w:p>
    <w:p w14:paraId="39E1906B">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须知”和本章正文部分所规定的废标条件的总结和补充，如果出现相互矛盾的情况，以第二章“</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须知”和本章正文部分的规定为准。</w:t>
      </w:r>
    </w:p>
    <w:p w14:paraId="7BFE657C">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 xml:space="preserve">； </w:t>
      </w:r>
    </w:p>
    <w:p w14:paraId="58ED7EA2">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要求澄清、说明或补正的；</w:t>
      </w:r>
    </w:p>
    <w:p w14:paraId="69FF9EE1">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报价有算术性错误，投标人不接受修正价格的；</w:t>
      </w:r>
    </w:p>
    <w:p w14:paraId="5294A88D">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14:paraId="15FBAF77">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14:paraId="56DE37F3">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.评标委员会认定投标人以低于成本报价竞标的；</w:t>
      </w:r>
    </w:p>
    <w:p w14:paraId="600EA441">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14:paraId="57F12D2D">
      <w:pPr>
        <w:pageBreakBefore w:val="0"/>
        <w:kinsoku/>
        <w:wordWrap/>
        <w:overflowPunct/>
        <w:topLinePunct w:val="0"/>
        <w:bidi w:val="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8.文件制作机器码、文件创建标识码有相同的；</w:t>
      </w:r>
    </w:p>
    <w:p w14:paraId="58B629CB">
      <w:pPr>
        <w:pageBreakBefore w:val="0"/>
        <w:kinsoku/>
        <w:wordWrap/>
        <w:overflowPunct/>
        <w:topLinePunct w:val="0"/>
        <w:bidi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．不符合</w:t>
      </w:r>
      <w:r>
        <w:rPr>
          <w:rFonts w:hint="eastAsia" w:ascii="宋体" w:hAnsi="宋体" w:eastAsia="宋体" w:cs="宋体"/>
          <w:b/>
          <w:color w:val="auto"/>
          <w:sz w:val="21"/>
          <w:szCs w:val="21"/>
          <w:highlight w:val="none"/>
          <w:lang w:eastAsia="zh-CN"/>
        </w:rPr>
        <w:t>竞争性磋商</w:t>
      </w:r>
      <w:r>
        <w:rPr>
          <w:rFonts w:hint="eastAsia" w:ascii="宋体" w:hAnsi="宋体" w:eastAsia="宋体" w:cs="宋体"/>
          <w:b/>
          <w:color w:val="auto"/>
          <w:sz w:val="21"/>
          <w:szCs w:val="21"/>
          <w:highlight w:val="none"/>
        </w:rPr>
        <w:t>文件规定的其他实质性要求及相关法律、法规或规章规定可以废标的其他情形。</w:t>
      </w:r>
    </w:p>
    <w:bookmarkEnd w:id="892"/>
    <w:bookmarkEnd w:id="893"/>
    <w:bookmarkEnd w:id="894"/>
    <w:bookmarkEnd w:id="895"/>
    <w:p w14:paraId="73C2FD95">
      <w:pPr>
        <w:spacing w:line="400" w:lineRule="exact"/>
        <w:ind w:left="0" w:leftChars="0" w:firstLine="0" w:firstLineChars="0"/>
        <w:jc w:val="center"/>
        <w:outlineLvl w:val="9"/>
        <w:rPr>
          <w:rFonts w:hint="eastAsia" w:ascii="宋体" w:hAnsi="宋体" w:cs="宋体"/>
          <w:b/>
          <w:bCs/>
          <w:color w:val="auto"/>
          <w:sz w:val="32"/>
          <w:szCs w:val="32"/>
          <w:highlight w:val="none"/>
        </w:rPr>
      </w:pPr>
      <w:bookmarkStart w:id="899" w:name="_Toc19053"/>
      <w:bookmarkStart w:id="900" w:name="_Toc14158"/>
      <w:bookmarkStart w:id="901" w:name="_Toc152042575"/>
      <w:bookmarkStart w:id="902" w:name="_Toc144974855"/>
      <w:bookmarkStart w:id="903" w:name="_Toc152045786"/>
    </w:p>
    <w:p w14:paraId="3F9C7077">
      <w:pPr>
        <w:spacing w:line="400" w:lineRule="exact"/>
        <w:ind w:left="0" w:leftChars="0" w:firstLine="0" w:firstLineChars="0"/>
        <w:jc w:val="center"/>
        <w:outlineLvl w:val="9"/>
        <w:rPr>
          <w:rFonts w:hint="eastAsia" w:ascii="宋体" w:hAnsi="宋体" w:cs="宋体"/>
          <w:b/>
          <w:bCs/>
          <w:color w:val="auto"/>
          <w:sz w:val="32"/>
          <w:szCs w:val="32"/>
          <w:highlight w:val="none"/>
        </w:rPr>
      </w:pPr>
    </w:p>
    <w:p w14:paraId="5175BFFC">
      <w:pPr>
        <w:pStyle w:val="24"/>
        <w:ind w:left="0" w:leftChars="0" w:firstLine="0" w:firstLineChars="0"/>
        <w:rPr>
          <w:rFonts w:hint="eastAsia"/>
          <w:color w:val="auto"/>
          <w:highlight w:val="none"/>
        </w:rPr>
      </w:pPr>
    </w:p>
    <w:p w14:paraId="4B0A191C">
      <w:pPr>
        <w:rPr>
          <w:rFonts w:hint="eastAsia"/>
          <w:color w:val="auto"/>
          <w:highlight w:val="none"/>
        </w:rPr>
      </w:pPr>
      <w:r>
        <w:rPr>
          <w:rFonts w:hint="eastAsia"/>
          <w:color w:val="auto"/>
          <w:highlight w:val="none"/>
        </w:rPr>
        <w:br w:type="page"/>
      </w:r>
    </w:p>
    <w:p w14:paraId="61904D06">
      <w:pPr>
        <w:pStyle w:val="25"/>
        <w:rPr>
          <w:rFonts w:hint="eastAsia"/>
          <w:color w:val="auto"/>
          <w:highlight w:val="none"/>
        </w:rPr>
      </w:pPr>
    </w:p>
    <w:p w14:paraId="69712D8B">
      <w:pPr>
        <w:spacing w:line="400" w:lineRule="exact"/>
        <w:ind w:left="0" w:leftChars="0" w:firstLine="0" w:firstLineChars="0"/>
        <w:jc w:val="center"/>
        <w:outlineLvl w:val="0"/>
        <w:rPr>
          <w:rFonts w:hint="eastAsia" w:ascii="宋体" w:hAnsi="宋体" w:cs="宋体"/>
          <w:b/>
          <w:bCs/>
          <w:color w:val="auto"/>
          <w:sz w:val="32"/>
          <w:szCs w:val="32"/>
          <w:highlight w:val="none"/>
        </w:rPr>
      </w:pPr>
      <w:bookmarkStart w:id="904" w:name="_Toc18526"/>
      <w:bookmarkStart w:id="905" w:name="_Toc18958"/>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河南省政府采购合同（</w:t>
      </w:r>
      <w:r>
        <w:rPr>
          <w:rFonts w:hint="eastAsia" w:ascii="宋体" w:hAnsi="宋体" w:cs="宋体"/>
          <w:b/>
          <w:color w:val="auto"/>
          <w:sz w:val="32"/>
          <w:szCs w:val="32"/>
          <w:highlight w:val="none"/>
          <w:lang w:eastAsia="zh-CN"/>
        </w:rPr>
        <w:t>参考文本</w:t>
      </w:r>
      <w:r>
        <w:rPr>
          <w:rFonts w:hint="eastAsia" w:ascii="宋体" w:hAnsi="宋体" w:cs="宋体"/>
          <w:b/>
          <w:color w:val="auto"/>
          <w:sz w:val="32"/>
          <w:szCs w:val="32"/>
          <w:highlight w:val="none"/>
        </w:rPr>
        <w:t>）</w:t>
      </w:r>
      <w:bookmarkEnd w:id="899"/>
      <w:bookmarkEnd w:id="904"/>
      <w:bookmarkEnd w:id="905"/>
    </w:p>
    <w:p w14:paraId="5964B006">
      <w:pPr>
        <w:spacing w:line="400" w:lineRule="exact"/>
        <w:ind w:firstLine="450" w:firstLineChars="150"/>
        <w:rPr>
          <w:rFonts w:hint="eastAsia" w:ascii="宋体" w:hAnsi="宋体" w:cs="宋体"/>
          <w:color w:val="auto"/>
          <w:sz w:val="30"/>
          <w:szCs w:val="30"/>
          <w:highlight w:val="none"/>
        </w:rPr>
      </w:pPr>
    </w:p>
    <w:bookmarkEnd w:id="900"/>
    <w:p w14:paraId="6372A3A8">
      <w:pPr>
        <w:snapToGrid w:val="0"/>
        <w:spacing w:line="360" w:lineRule="auto"/>
        <w:jc w:val="center"/>
        <w:rPr>
          <w:rFonts w:ascii="仿宋" w:hAnsi="仿宋" w:eastAsia="仿宋" w:cs="仿宋"/>
          <w:b/>
          <w:bCs/>
          <w:sz w:val="24"/>
          <w:szCs w:val="24"/>
        </w:rPr>
      </w:pPr>
      <w:bookmarkStart w:id="906" w:name="_Toc29292"/>
      <w:bookmarkStart w:id="907" w:name="_Toc25661"/>
      <w:bookmarkStart w:id="908" w:name="_Toc21978"/>
      <w:r>
        <w:rPr>
          <w:rFonts w:hint="eastAsia" w:ascii="仿宋" w:hAnsi="仿宋" w:eastAsia="仿宋" w:cs="仿宋"/>
          <w:b/>
          <w:bCs/>
          <w:szCs w:val="28"/>
        </w:rPr>
        <w:t>以双方实际签订合同为准</w:t>
      </w:r>
    </w:p>
    <w:p w14:paraId="489A3D64">
      <w:pPr>
        <w:numPr>
          <w:ilvl w:val="0"/>
          <w:numId w:val="0"/>
        </w:numPr>
        <w:rPr>
          <w:lang w:val="en-US" w:eastAsia="zh-CN"/>
        </w:rPr>
      </w:pPr>
    </w:p>
    <w:p w14:paraId="437456CF">
      <w:pPr>
        <w:jc w:val="center"/>
        <w:outlineLvl w:val="1"/>
        <w:rPr>
          <w:rFonts w:hint="eastAsia" w:ascii="仿宋" w:hAnsi="仿宋" w:eastAsia="仿宋" w:cs="仿宋"/>
          <w:b/>
          <w:sz w:val="32"/>
          <w:szCs w:val="32"/>
        </w:rPr>
      </w:pPr>
    </w:p>
    <w:p w14:paraId="48DF474A">
      <w:pPr>
        <w:jc w:val="center"/>
        <w:outlineLvl w:val="1"/>
        <w:rPr>
          <w:rFonts w:hint="eastAsia" w:ascii="仿宋" w:hAnsi="仿宋" w:eastAsia="仿宋" w:cs="仿宋"/>
          <w:b/>
          <w:sz w:val="32"/>
          <w:szCs w:val="32"/>
        </w:rPr>
      </w:pPr>
    </w:p>
    <w:p w14:paraId="7189044A">
      <w:pPr>
        <w:jc w:val="center"/>
        <w:outlineLvl w:val="1"/>
        <w:rPr>
          <w:rFonts w:hint="eastAsia" w:ascii="仿宋" w:hAnsi="仿宋" w:eastAsia="仿宋" w:cs="仿宋"/>
          <w:b/>
          <w:sz w:val="32"/>
          <w:szCs w:val="32"/>
        </w:rPr>
      </w:pPr>
    </w:p>
    <w:p w14:paraId="7E090464">
      <w:pPr>
        <w:jc w:val="center"/>
        <w:outlineLvl w:val="1"/>
        <w:rPr>
          <w:rFonts w:hint="eastAsia" w:ascii="仿宋" w:hAnsi="仿宋" w:eastAsia="仿宋" w:cs="仿宋"/>
          <w:b/>
          <w:sz w:val="32"/>
          <w:szCs w:val="32"/>
        </w:rPr>
      </w:pPr>
      <w:r>
        <w:rPr>
          <w:rFonts w:hint="eastAsia" w:ascii="仿宋" w:hAnsi="仿宋" w:eastAsia="仿宋" w:cs="仿宋"/>
          <w:b/>
          <w:sz w:val="32"/>
          <w:szCs w:val="32"/>
        </w:rPr>
        <w:t>政府采购合同</w:t>
      </w:r>
    </w:p>
    <w:p w14:paraId="3A002FCF">
      <w:pPr>
        <w:jc w:val="center"/>
        <w:rPr>
          <w:rFonts w:hint="eastAsia" w:ascii="仿宋" w:hAnsi="仿宋" w:eastAsia="仿宋" w:cs="仿宋"/>
          <w:b/>
          <w:sz w:val="96"/>
          <w:szCs w:val="96"/>
        </w:rPr>
      </w:pPr>
    </w:p>
    <w:p w14:paraId="3DE6F402">
      <w:pPr>
        <w:jc w:val="center"/>
        <w:rPr>
          <w:rFonts w:hint="eastAsia" w:ascii="仿宋" w:hAnsi="仿宋" w:eastAsia="仿宋" w:cs="仿宋"/>
          <w:b/>
          <w:sz w:val="96"/>
          <w:szCs w:val="96"/>
        </w:rPr>
      </w:pPr>
    </w:p>
    <w:p w14:paraId="099FFC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single"/>
        </w:rPr>
        <w:t xml:space="preserve">                                   </w:t>
      </w:r>
    </w:p>
    <w:p w14:paraId="62EBA519">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政府采购管理部门备案编号：</w:t>
      </w:r>
      <w:r>
        <w:rPr>
          <w:rFonts w:hint="eastAsia" w:ascii="仿宋" w:hAnsi="仿宋" w:eastAsia="仿宋" w:cs="仿宋"/>
          <w:sz w:val="32"/>
          <w:szCs w:val="32"/>
          <w:u w:val="single"/>
        </w:rPr>
        <w:t xml:space="preserve">                   </w:t>
      </w:r>
    </w:p>
    <w:p w14:paraId="400AD9BD">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招标采购文件编号：</w:t>
      </w:r>
      <w:r>
        <w:rPr>
          <w:rFonts w:hint="eastAsia" w:ascii="仿宋" w:hAnsi="仿宋" w:eastAsia="仿宋" w:cs="仿宋"/>
          <w:sz w:val="32"/>
          <w:szCs w:val="32"/>
          <w:u w:val="single"/>
        </w:rPr>
        <w:t xml:space="preserve">                           </w:t>
      </w:r>
    </w:p>
    <w:p w14:paraId="3951580B">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甲方合同编号：</w:t>
      </w:r>
      <w:r>
        <w:rPr>
          <w:rFonts w:hint="eastAsia" w:ascii="仿宋" w:hAnsi="仿宋" w:eastAsia="仿宋" w:cs="仿宋"/>
          <w:sz w:val="32"/>
          <w:szCs w:val="32"/>
          <w:u w:val="single"/>
        </w:rPr>
        <w:t xml:space="preserve">                               </w:t>
      </w:r>
    </w:p>
    <w:p w14:paraId="5F474454">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p>
    <w:p w14:paraId="13E654E8">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14:paraId="7F6958BE">
      <w:pPr>
        <w:ind w:firstLine="640" w:firstLineChars="200"/>
        <w:outlineLvl w:val="1"/>
        <w:rPr>
          <w:rFonts w:hint="eastAsia" w:ascii="仿宋" w:hAnsi="仿宋" w:eastAsia="仿宋" w:cs="仿宋"/>
          <w:sz w:val="32"/>
          <w:szCs w:val="32"/>
          <w:u w:val="single"/>
        </w:rPr>
      </w:pPr>
      <w:r>
        <w:rPr>
          <w:rFonts w:hint="eastAsia" w:ascii="仿宋" w:hAnsi="仿宋" w:eastAsia="仿宋" w:cs="仿宋"/>
          <w:sz w:val="32"/>
          <w:szCs w:val="32"/>
        </w:rPr>
        <w:t>甲方合同法律审核部门：</w:t>
      </w:r>
      <w:r>
        <w:rPr>
          <w:rFonts w:hint="eastAsia" w:ascii="仿宋" w:hAnsi="仿宋" w:eastAsia="仿宋" w:cs="仿宋"/>
          <w:sz w:val="32"/>
          <w:szCs w:val="32"/>
          <w:u w:val="single"/>
        </w:rPr>
        <w:t xml:space="preserve">                       </w:t>
      </w:r>
    </w:p>
    <w:p w14:paraId="1007ACBB">
      <w:pPr>
        <w:rPr>
          <w:rFonts w:hint="eastAsia" w:ascii="仿宋" w:hAnsi="仿宋" w:eastAsia="仿宋" w:cs="仿宋"/>
          <w:sz w:val="32"/>
          <w:szCs w:val="32"/>
        </w:rPr>
      </w:pPr>
    </w:p>
    <w:p w14:paraId="0C1CD03F">
      <w:pPr>
        <w:rPr>
          <w:rFonts w:hint="eastAsia" w:ascii="仿宋" w:hAnsi="仿宋" w:eastAsia="仿宋" w:cs="仿宋"/>
          <w:sz w:val="32"/>
          <w:szCs w:val="32"/>
        </w:rPr>
      </w:pPr>
    </w:p>
    <w:p w14:paraId="233E81FE">
      <w:pPr>
        <w:rPr>
          <w:rFonts w:hint="eastAsia" w:ascii="仿宋" w:hAnsi="仿宋" w:eastAsia="仿宋" w:cs="仿宋"/>
          <w:sz w:val="32"/>
          <w:szCs w:val="32"/>
        </w:rPr>
      </w:pPr>
    </w:p>
    <w:p w14:paraId="3433DA77">
      <w:pPr>
        <w:jc w:val="center"/>
        <w:rPr>
          <w:rFonts w:hint="eastAsia" w:ascii="仿宋" w:hAnsi="仿宋" w:eastAsia="仿宋" w:cs="仿宋"/>
          <w:sz w:val="32"/>
          <w:szCs w:val="32"/>
        </w:rPr>
      </w:pPr>
      <w:r>
        <w:rPr>
          <w:rFonts w:hint="eastAsia" w:ascii="仿宋" w:hAnsi="仿宋" w:eastAsia="仿宋" w:cs="仿宋"/>
          <w:sz w:val="32"/>
          <w:szCs w:val="32"/>
        </w:rPr>
        <w:t>签订时间：      年    月    日</w:t>
      </w:r>
    </w:p>
    <w:p w14:paraId="7088974F">
      <w:pPr>
        <w:jc w:val="center"/>
        <w:rPr>
          <w:rFonts w:hint="eastAsia" w:ascii="仿宋" w:hAnsi="仿宋" w:eastAsia="仿宋" w:cs="仿宋"/>
          <w:sz w:val="32"/>
          <w:szCs w:val="32"/>
        </w:rPr>
      </w:pPr>
    </w:p>
    <w:p w14:paraId="3FC8DA11">
      <w:pPr>
        <w:spacing w:line="360" w:lineRule="auto"/>
        <w:ind w:left="0" w:leftChars="0" w:firstLine="0" w:firstLineChars="0"/>
        <w:rPr>
          <w:rFonts w:hint="eastAsia" w:ascii="仿宋" w:hAnsi="仿宋" w:eastAsia="仿宋" w:cs="仿宋"/>
          <w:sz w:val="24"/>
        </w:rPr>
      </w:pPr>
    </w:p>
    <w:p w14:paraId="2B654ABB">
      <w:pPr>
        <w:spacing w:line="240" w:lineRule="auto"/>
        <w:ind w:firstLine="480" w:firstLineChars="200"/>
        <w:rPr>
          <w:rFonts w:hint="eastAsia" w:ascii="宋体" w:hAnsi="宋体" w:eastAsia="宋体" w:cs="宋体"/>
          <w:sz w:val="24"/>
        </w:rPr>
      </w:pPr>
      <w:r>
        <w:rPr>
          <w:rFonts w:hint="eastAsia" w:ascii="宋体" w:hAnsi="宋体" w:eastAsia="宋体" w:cs="宋体"/>
          <w:sz w:val="24"/>
        </w:rPr>
        <w:t>（甲方）（××项目）委托（代理机构名称）进行了政府采购。按照评委会评审推荐、甲方确定乙方为中标单位。现甲乙双方协商同意签订本合同。</w:t>
      </w:r>
    </w:p>
    <w:p w14:paraId="2BB2FBDF">
      <w:pPr>
        <w:numPr>
          <w:ilvl w:val="0"/>
          <w:numId w:val="6"/>
        </w:numPr>
        <w:tabs>
          <w:tab w:val="left" w:pos="0"/>
          <w:tab w:val="clear" w:pos="720"/>
        </w:tabs>
        <w:spacing w:line="240" w:lineRule="auto"/>
        <w:ind w:left="0" w:firstLine="482" w:firstLineChars="200"/>
        <w:outlineLvl w:val="1"/>
        <w:rPr>
          <w:rFonts w:hint="eastAsia" w:ascii="宋体" w:hAnsi="宋体" w:eastAsia="宋体" w:cs="宋体"/>
          <w:b/>
          <w:sz w:val="24"/>
        </w:rPr>
      </w:pPr>
      <w:r>
        <w:rPr>
          <w:rFonts w:hint="eastAsia" w:ascii="宋体" w:hAnsi="宋体" w:eastAsia="宋体" w:cs="宋体"/>
          <w:b/>
          <w:sz w:val="24"/>
        </w:rPr>
        <w:t xml:space="preserve"> 合同文件</w:t>
      </w:r>
    </w:p>
    <w:p w14:paraId="0C0E03F6">
      <w:pPr>
        <w:spacing w:line="240" w:lineRule="auto"/>
        <w:ind w:firstLine="480" w:firstLineChars="200"/>
        <w:rPr>
          <w:rFonts w:hint="eastAsia" w:ascii="宋体" w:hAnsi="宋体" w:eastAsia="宋体" w:cs="宋体"/>
          <w:sz w:val="24"/>
        </w:rPr>
      </w:pPr>
      <w:r>
        <w:rPr>
          <w:rFonts w:hint="eastAsia" w:ascii="宋体" w:hAnsi="宋体" w:eastAsia="宋体" w:cs="宋体"/>
          <w:sz w:val="24"/>
        </w:rPr>
        <w:t>下列与本次采购活动有关的文件及附件是本合同不可分割的组成部分，与本合同具有同等法律效力，这些文件包括但不限于：</w:t>
      </w:r>
    </w:p>
    <w:p w14:paraId="0B4C60BE">
      <w:pPr>
        <w:spacing w:line="240" w:lineRule="auto"/>
        <w:ind w:firstLine="480" w:firstLineChars="200"/>
        <w:rPr>
          <w:rFonts w:hint="eastAsia" w:ascii="宋体" w:hAnsi="宋体" w:eastAsia="宋体" w:cs="宋体"/>
          <w:sz w:val="24"/>
        </w:rPr>
      </w:pPr>
      <w:r>
        <w:rPr>
          <w:rFonts w:hint="eastAsia" w:ascii="宋体" w:hAnsi="宋体" w:eastAsia="宋体" w:cs="宋体"/>
          <w:sz w:val="24"/>
        </w:rPr>
        <w:t>1.（××号）招标采购文件</w:t>
      </w:r>
    </w:p>
    <w:p w14:paraId="2EEF5E64">
      <w:pPr>
        <w:spacing w:line="240" w:lineRule="auto"/>
        <w:ind w:firstLine="480" w:firstLineChars="200"/>
        <w:rPr>
          <w:rFonts w:hint="eastAsia" w:ascii="宋体" w:hAnsi="宋体" w:eastAsia="宋体" w:cs="宋体"/>
          <w:sz w:val="24"/>
        </w:rPr>
      </w:pPr>
      <w:r>
        <w:rPr>
          <w:rFonts w:hint="eastAsia" w:ascii="宋体" w:hAnsi="宋体" w:eastAsia="宋体" w:cs="宋体"/>
          <w:sz w:val="24"/>
        </w:rPr>
        <w:t>2.投标文件</w:t>
      </w:r>
    </w:p>
    <w:p w14:paraId="7BAB145F">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3.乙方在投标时的书面承诺</w:t>
      </w:r>
    </w:p>
    <w:p w14:paraId="4A7EC404">
      <w:pPr>
        <w:spacing w:line="240" w:lineRule="auto"/>
        <w:ind w:firstLine="480" w:firstLineChars="200"/>
        <w:rPr>
          <w:rFonts w:hint="eastAsia" w:ascii="宋体" w:hAnsi="宋体" w:eastAsia="宋体" w:cs="宋体"/>
          <w:sz w:val="24"/>
        </w:rPr>
      </w:pPr>
      <w:r>
        <w:rPr>
          <w:rFonts w:hint="eastAsia" w:ascii="宋体" w:hAnsi="宋体" w:eastAsia="宋体" w:cs="宋体"/>
          <w:sz w:val="24"/>
        </w:rPr>
        <w:t>4.（××号）中标通知书</w:t>
      </w:r>
    </w:p>
    <w:p w14:paraId="67EDB650">
      <w:pPr>
        <w:spacing w:line="240" w:lineRule="auto"/>
        <w:ind w:firstLine="480" w:firstLineChars="200"/>
        <w:rPr>
          <w:rFonts w:hint="eastAsia" w:ascii="宋体" w:hAnsi="宋体" w:eastAsia="宋体" w:cs="宋体"/>
          <w:sz w:val="24"/>
        </w:rPr>
      </w:pPr>
      <w:r>
        <w:rPr>
          <w:rFonts w:hint="eastAsia" w:ascii="宋体" w:hAnsi="宋体" w:eastAsia="宋体" w:cs="宋体"/>
          <w:sz w:val="24"/>
        </w:rPr>
        <w:t>5.合同补充条款或说明</w:t>
      </w:r>
    </w:p>
    <w:p w14:paraId="698A8A13">
      <w:pPr>
        <w:spacing w:line="240" w:lineRule="auto"/>
        <w:ind w:firstLine="480" w:firstLineChars="200"/>
        <w:rPr>
          <w:rFonts w:hint="eastAsia" w:ascii="宋体" w:hAnsi="宋体" w:eastAsia="宋体" w:cs="宋体"/>
          <w:sz w:val="24"/>
        </w:rPr>
      </w:pPr>
      <w:r>
        <w:rPr>
          <w:rFonts w:hint="eastAsia" w:ascii="宋体" w:hAnsi="宋体" w:eastAsia="宋体" w:cs="宋体"/>
          <w:sz w:val="24"/>
        </w:rPr>
        <w:t>6.保密协议或条款</w:t>
      </w:r>
    </w:p>
    <w:p w14:paraId="15077364">
      <w:pPr>
        <w:spacing w:line="240" w:lineRule="auto"/>
        <w:ind w:firstLine="480" w:firstLineChars="200"/>
        <w:rPr>
          <w:rFonts w:hint="eastAsia" w:ascii="宋体" w:hAnsi="宋体" w:eastAsia="宋体" w:cs="宋体"/>
          <w:sz w:val="24"/>
        </w:rPr>
      </w:pPr>
      <w:r>
        <w:rPr>
          <w:rFonts w:hint="eastAsia" w:ascii="宋体" w:hAnsi="宋体" w:eastAsia="宋体" w:cs="宋体"/>
          <w:sz w:val="24"/>
        </w:rPr>
        <w:t>7.相关附件、图纸及电子版资料</w:t>
      </w:r>
    </w:p>
    <w:p w14:paraId="72BCE5C0">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第二条  合同内容</w:t>
      </w:r>
    </w:p>
    <w:p w14:paraId="6853299A">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服务名称：详见合同附件中《服务一览表》  </w:t>
      </w:r>
    </w:p>
    <w:p w14:paraId="7154CDC4">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第三条  合同总金额</w:t>
      </w:r>
    </w:p>
    <w:p w14:paraId="5028B2B7">
      <w:pPr>
        <w:spacing w:line="240" w:lineRule="auto"/>
        <w:ind w:firstLine="480" w:firstLineChars="200"/>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中标金额</w:t>
      </w:r>
      <w:r>
        <w:rPr>
          <w:rFonts w:hint="eastAsia" w:ascii="宋体" w:hAnsi="宋体" w:eastAsia="宋体" w:cs="宋体"/>
          <w:sz w:val="24"/>
        </w:rPr>
        <w:t>为</w:t>
      </w:r>
      <w:r>
        <w:rPr>
          <w:rFonts w:hint="eastAsia" w:ascii="宋体" w:hAnsi="宋体" w:eastAsia="宋体" w:cs="宋体"/>
          <w:sz w:val="24"/>
          <w:lang w:val="en-US" w:eastAsia="zh-CN"/>
        </w:rPr>
        <w:t xml:space="preserve">     元</w:t>
      </w:r>
      <w:r>
        <w:rPr>
          <w:rFonts w:hint="eastAsia" w:ascii="宋体" w:hAnsi="宋体" w:eastAsia="宋体" w:cs="宋体"/>
          <w:sz w:val="24"/>
        </w:rPr>
        <w:t xml:space="preserve"> 。</w:t>
      </w:r>
    </w:p>
    <w:p w14:paraId="601E167D">
      <w:pPr>
        <w:spacing w:line="240" w:lineRule="auto"/>
        <w:ind w:firstLine="480" w:firstLineChars="200"/>
        <w:rPr>
          <w:rFonts w:hint="eastAsia" w:ascii="宋体" w:hAnsi="宋体" w:eastAsia="宋体" w:cs="宋体"/>
          <w:sz w:val="24"/>
        </w:rPr>
      </w:pPr>
      <w:r>
        <w:rPr>
          <w:rFonts w:hint="eastAsia" w:ascii="宋体" w:hAnsi="宋体" w:eastAsia="宋体" w:cs="宋体"/>
          <w:sz w:val="24"/>
        </w:rPr>
        <w:t>分项价款在《服务一览表》中有明确规定。</w:t>
      </w:r>
    </w:p>
    <w:p w14:paraId="5FBD6268">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本合同总价款包括服务期间必须的日常物料、易耗品、工具、调试费、培训费等相关费用。</w:t>
      </w:r>
    </w:p>
    <w:p w14:paraId="55A2AEC6">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本合同执行期内因工作量变化而引起的服务费用的变动，在双方事先协商一致的前提下签订补充合同，但因此而增加的服务费用不得超过原中标金额的10%。</w:t>
      </w:r>
    </w:p>
    <w:p w14:paraId="499F9287">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第四条  权利义务和质量保证</w:t>
      </w:r>
    </w:p>
    <w:p w14:paraId="5E3F5A19">
      <w:pPr>
        <w:pStyle w:val="15"/>
        <w:tabs>
          <w:tab w:val="left" w:pos="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保证服务期间，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5B049531">
      <w:pPr>
        <w:pStyle w:val="15"/>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362F7EBC">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第五条  付款方式</w:t>
      </w:r>
    </w:p>
    <w:p w14:paraId="47755792">
      <w:pPr>
        <w:spacing w:line="240" w:lineRule="auto"/>
        <w:ind w:firstLine="480" w:firstLineChars="200"/>
        <w:rPr>
          <w:rFonts w:hint="eastAsia" w:ascii="宋体" w:hAnsi="宋体" w:eastAsia="宋体" w:cs="宋体"/>
          <w:sz w:val="24"/>
        </w:rPr>
      </w:pPr>
      <w:r>
        <w:rPr>
          <w:rFonts w:hint="eastAsia" w:ascii="宋体" w:hAnsi="宋体" w:eastAsia="宋体" w:cs="宋体"/>
          <w:sz w:val="24"/>
        </w:rPr>
        <w:t>1.本合同项下所有款项均以人民币支付。</w:t>
      </w:r>
    </w:p>
    <w:p w14:paraId="225FFE88">
      <w:pPr>
        <w:spacing w:line="240" w:lineRule="auto"/>
        <w:ind w:firstLine="480" w:firstLineChars="200"/>
        <w:rPr>
          <w:rFonts w:hint="eastAsia" w:ascii="宋体" w:hAnsi="宋体" w:eastAsia="宋体" w:cs="宋体"/>
          <w:sz w:val="24"/>
        </w:rPr>
      </w:pPr>
      <w:r>
        <w:rPr>
          <w:rFonts w:hint="eastAsia" w:ascii="宋体" w:hAnsi="宋体" w:eastAsia="宋体" w:cs="宋体"/>
          <w:sz w:val="24"/>
        </w:rPr>
        <w:t>2.乙方向甲方提交下列文件材料，经甲方审核无误后支付采购资金：</w:t>
      </w:r>
    </w:p>
    <w:p w14:paraId="1F67677E">
      <w:pPr>
        <w:spacing w:line="240" w:lineRule="auto"/>
        <w:ind w:firstLine="480" w:firstLineChars="200"/>
        <w:rPr>
          <w:rFonts w:hint="eastAsia" w:ascii="宋体" w:hAnsi="宋体" w:eastAsia="宋体" w:cs="宋体"/>
          <w:sz w:val="24"/>
        </w:rPr>
      </w:pPr>
      <w:r>
        <w:rPr>
          <w:rFonts w:hint="eastAsia" w:ascii="宋体" w:hAnsi="宋体" w:eastAsia="宋体" w:cs="宋体"/>
          <w:sz w:val="24"/>
        </w:rPr>
        <w:t>（1）经甲方确认的发票；</w:t>
      </w:r>
    </w:p>
    <w:p w14:paraId="0383A0DF">
      <w:pPr>
        <w:spacing w:line="240" w:lineRule="auto"/>
        <w:ind w:firstLine="480" w:firstLineChars="200"/>
        <w:rPr>
          <w:rFonts w:hint="eastAsia" w:ascii="宋体" w:hAnsi="宋体" w:eastAsia="宋体" w:cs="宋体"/>
          <w:sz w:val="24"/>
        </w:rPr>
      </w:pPr>
      <w:r>
        <w:rPr>
          <w:rFonts w:hint="eastAsia" w:ascii="宋体" w:hAnsi="宋体" w:eastAsia="宋体" w:cs="宋体"/>
          <w:sz w:val="24"/>
        </w:rPr>
        <w:t>（2）经甲乙双方确认签署的《验收报告》（或按项目进度阶段性《验收报告》）；</w:t>
      </w:r>
    </w:p>
    <w:p w14:paraId="6A427BAF">
      <w:pPr>
        <w:spacing w:line="240" w:lineRule="auto"/>
        <w:ind w:firstLine="480" w:firstLineChars="200"/>
        <w:rPr>
          <w:rFonts w:hint="eastAsia" w:ascii="宋体" w:hAnsi="宋体" w:eastAsia="宋体" w:cs="宋体"/>
          <w:sz w:val="24"/>
        </w:rPr>
      </w:pPr>
      <w:r>
        <w:rPr>
          <w:rFonts w:hint="eastAsia" w:ascii="宋体" w:hAnsi="宋体" w:eastAsia="宋体" w:cs="宋体"/>
          <w:sz w:val="24"/>
        </w:rPr>
        <w:t>（3）其他材料。</w:t>
      </w:r>
    </w:p>
    <w:p w14:paraId="00AFF856">
      <w:pPr>
        <w:pStyle w:val="15"/>
        <w:tabs>
          <w:tab w:val="left" w:pos="0"/>
        </w:tabs>
        <w:spacing w:line="240" w:lineRule="auto"/>
        <w:ind w:firstLine="480" w:firstLineChars="200"/>
        <w:rPr>
          <w:rFonts w:hint="eastAsia" w:ascii="宋体" w:hAnsi="宋体" w:eastAsia="宋体" w:cs="宋体"/>
        </w:rPr>
      </w:pPr>
      <w:r>
        <w:rPr>
          <w:rFonts w:hint="eastAsia" w:ascii="宋体" w:hAnsi="宋体" w:eastAsia="宋体" w:cs="宋体"/>
          <w:sz w:val="24"/>
        </w:rPr>
        <w:t>3.款项的支付进度以招标采购文件的有关规定为准。如招标采购文件未作特别规定，则付款进度</w:t>
      </w:r>
      <w:r>
        <w:rPr>
          <w:rFonts w:hint="eastAsia" w:ascii="宋体" w:hAnsi="宋体" w:eastAsia="宋体" w:cs="宋体"/>
          <w:sz w:val="24"/>
          <w:lang w:val="en-US" w:eastAsia="zh-CN"/>
        </w:rPr>
        <w:t>与工程款支付进度同步，每次支付至已完成服务金额的____%。</w:t>
      </w:r>
      <w:r>
        <w:rPr>
          <w:rFonts w:hint="eastAsia" w:ascii="宋体" w:hAnsi="宋体" w:eastAsia="宋体" w:cs="宋体"/>
          <w:sz w:val="24"/>
        </w:rPr>
        <w:t>余款</w:t>
      </w:r>
      <w:r>
        <w:rPr>
          <w:rFonts w:hint="eastAsia" w:ascii="宋体" w:hAnsi="宋体" w:eastAsia="宋体" w:cs="宋体"/>
          <w:sz w:val="24"/>
          <w:u w:val="single"/>
        </w:rPr>
        <w:t xml:space="preserve">     </w:t>
      </w:r>
      <w:r>
        <w:rPr>
          <w:rFonts w:hint="eastAsia" w:ascii="宋体" w:hAnsi="宋体" w:eastAsia="宋体" w:cs="宋体"/>
          <w:sz w:val="24"/>
        </w:rPr>
        <w:t>％作为质量保证金于</w:t>
      </w:r>
      <w:r>
        <w:rPr>
          <w:rFonts w:hint="eastAsia" w:ascii="宋体" w:hAnsi="宋体" w:eastAsia="宋体" w:cs="宋体"/>
          <w:sz w:val="24"/>
          <w:lang w:val="en-US" w:eastAsia="zh-CN"/>
        </w:rPr>
        <w:t>服务项目结束后</w:t>
      </w:r>
      <w:r>
        <w:rPr>
          <w:rFonts w:hint="eastAsia" w:ascii="宋体" w:hAnsi="宋体" w:eastAsia="宋体" w:cs="宋体"/>
          <w:sz w:val="24"/>
        </w:rPr>
        <w:t>期满</w:t>
      </w:r>
      <w:r>
        <w:rPr>
          <w:rFonts w:hint="eastAsia" w:ascii="宋体" w:hAnsi="宋体" w:eastAsia="宋体" w:cs="宋体"/>
          <w:sz w:val="24"/>
          <w:u w:val="single"/>
        </w:rPr>
        <w:t xml:space="preserve">     </w:t>
      </w:r>
      <w:r>
        <w:rPr>
          <w:rFonts w:hint="eastAsia" w:ascii="宋体" w:hAnsi="宋体" w:eastAsia="宋体" w:cs="宋体"/>
          <w:sz w:val="24"/>
        </w:rPr>
        <w:t>月后的</w:t>
      </w:r>
      <w:r>
        <w:rPr>
          <w:rFonts w:hint="eastAsia" w:ascii="宋体" w:hAnsi="宋体" w:eastAsia="宋体" w:cs="宋体"/>
          <w:sz w:val="24"/>
          <w:u w:val="single"/>
        </w:rPr>
        <w:t xml:space="preserve">     </w:t>
      </w:r>
      <w:r>
        <w:rPr>
          <w:rFonts w:hint="eastAsia" w:ascii="宋体" w:hAnsi="宋体" w:eastAsia="宋体" w:cs="宋体"/>
          <w:sz w:val="24"/>
        </w:rPr>
        <w:t>个工作日内付清</w:t>
      </w:r>
      <w:r>
        <w:rPr>
          <w:rFonts w:hint="eastAsia" w:ascii="宋体" w:hAnsi="宋体" w:eastAsia="宋体" w:cs="宋体"/>
          <w:sz w:val="24"/>
          <w:lang w:eastAsia="zh-CN"/>
        </w:rPr>
        <w:t>（</w:t>
      </w:r>
      <w:r>
        <w:rPr>
          <w:rFonts w:hint="eastAsia" w:ascii="宋体" w:hAnsi="宋体" w:eastAsia="宋体" w:cs="宋体"/>
          <w:b/>
          <w:color w:val="auto"/>
          <w:lang w:val="en-US" w:eastAsia="zh-CN"/>
        </w:rPr>
        <w:t>本项目</w:t>
      </w:r>
      <w:r>
        <w:rPr>
          <w:rFonts w:hint="eastAsia" w:ascii="宋体" w:hAnsi="宋体" w:eastAsia="宋体" w:cs="宋体"/>
          <w:b/>
          <w:color w:val="auto"/>
        </w:rPr>
        <w:t>采购人</w:t>
      </w:r>
      <w:r>
        <w:rPr>
          <w:rFonts w:hint="eastAsia" w:ascii="宋体" w:hAnsi="宋体" w:eastAsia="宋体" w:cs="宋体"/>
          <w:b/>
          <w:color w:val="auto"/>
          <w:lang w:val="en-US" w:eastAsia="zh-CN"/>
        </w:rPr>
        <w:t>不留质量</w:t>
      </w:r>
      <w:r>
        <w:rPr>
          <w:rFonts w:hint="eastAsia" w:ascii="宋体" w:hAnsi="宋体" w:eastAsia="宋体" w:cs="宋体"/>
          <w:b/>
          <w:color w:val="auto"/>
        </w:rPr>
        <w:t>保证金</w:t>
      </w:r>
      <w:r>
        <w:rPr>
          <w:rFonts w:hint="eastAsia" w:ascii="宋体" w:hAnsi="宋体" w:eastAsia="宋体" w:cs="宋体"/>
          <w:sz w:val="24"/>
          <w:lang w:eastAsia="zh-CN"/>
        </w:rPr>
        <w:t>）</w:t>
      </w:r>
      <w:r>
        <w:rPr>
          <w:rFonts w:hint="eastAsia" w:ascii="宋体" w:hAnsi="宋体" w:eastAsia="宋体" w:cs="宋体"/>
          <w:sz w:val="24"/>
        </w:rPr>
        <w:t>。</w:t>
      </w:r>
    </w:p>
    <w:p w14:paraId="6527F3B3">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第六条  履约保证金</w:t>
      </w:r>
      <w:r>
        <w:rPr>
          <w:rFonts w:hint="eastAsia" w:ascii="宋体" w:hAnsi="宋体" w:eastAsia="宋体" w:cs="宋体"/>
          <w:b/>
          <w:color w:val="auto"/>
        </w:rPr>
        <w:t>（</w:t>
      </w:r>
      <w:r>
        <w:rPr>
          <w:rFonts w:hint="eastAsia" w:ascii="宋体" w:hAnsi="宋体" w:eastAsia="宋体" w:cs="宋体"/>
          <w:b/>
          <w:color w:val="auto"/>
          <w:lang w:val="en-US" w:eastAsia="zh-CN"/>
        </w:rPr>
        <w:t>本项目</w:t>
      </w:r>
      <w:r>
        <w:rPr>
          <w:rFonts w:hint="eastAsia" w:ascii="宋体" w:hAnsi="宋体" w:eastAsia="宋体" w:cs="宋体"/>
          <w:b/>
          <w:color w:val="auto"/>
        </w:rPr>
        <w:t>采购人</w:t>
      </w:r>
      <w:r>
        <w:rPr>
          <w:rFonts w:hint="eastAsia" w:ascii="宋体" w:hAnsi="宋体" w:eastAsia="宋体" w:cs="宋体"/>
          <w:b/>
          <w:color w:val="auto"/>
          <w:lang w:val="en-US" w:eastAsia="zh-CN"/>
        </w:rPr>
        <w:t>不</w:t>
      </w:r>
      <w:r>
        <w:rPr>
          <w:rFonts w:hint="eastAsia" w:ascii="宋体" w:hAnsi="宋体" w:eastAsia="宋体" w:cs="宋体"/>
          <w:b/>
          <w:color w:val="auto"/>
        </w:rPr>
        <w:t>收取履约保证金）</w:t>
      </w:r>
    </w:p>
    <w:p w14:paraId="1CB66F11">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1.乙方在签订本合同之日，向甲方提交合同履约保证金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      </w:t>
      </w:r>
      <w:r>
        <w:rPr>
          <w:rFonts w:hint="eastAsia" w:ascii="宋体" w:hAnsi="宋体" w:eastAsia="宋体" w:cs="宋体"/>
          <w:sz w:val="24"/>
        </w:rPr>
        <w:t>元。</w:t>
      </w:r>
    </w:p>
    <w:p w14:paraId="47BECA17">
      <w:pPr>
        <w:spacing w:line="240" w:lineRule="auto"/>
        <w:ind w:firstLine="480" w:firstLineChars="200"/>
        <w:rPr>
          <w:rFonts w:hint="eastAsia" w:ascii="宋体" w:hAnsi="宋体" w:eastAsia="宋体" w:cs="宋体"/>
          <w:strike/>
          <w:sz w:val="24"/>
        </w:rPr>
      </w:pPr>
      <w:r>
        <w:rPr>
          <w:rFonts w:hint="eastAsia" w:ascii="宋体" w:hAnsi="宋体" w:eastAsia="宋体" w:cs="宋体"/>
          <w:sz w:val="24"/>
        </w:rPr>
        <w:t>2.履约保证金有效期为甲乙双方最终验收后1个月内。到期后，甲方向乙方无息退还。</w:t>
      </w:r>
    </w:p>
    <w:p w14:paraId="6FC5285F">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3.如乙方未能履行、或未能完全履行合同规定的义务，甲方有权从履约保证金中取得补偿。履约保证金扣除甲方应得的补偿后的余额在合同期满后 </w:t>
      </w:r>
      <w:r>
        <w:rPr>
          <w:rFonts w:hint="eastAsia" w:ascii="宋体" w:hAnsi="宋体" w:eastAsia="宋体" w:cs="宋体"/>
          <w:sz w:val="24"/>
          <w:u w:val="single"/>
        </w:rPr>
        <w:t xml:space="preserve">     </w:t>
      </w:r>
      <w:r>
        <w:rPr>
          <w:rFonts w:hint="eastAsia" w:ascii="宋体" w:hAnsi="宋体" w:eastAsia="宋体" w:cs="宋体"/>
          <w:sz w:val="24"/>
        </w:rPr>
        <w:t>天内无息退还乙方。</w:t>
      </w:r>
    </w:p>
    <w:p w14:paraId="13D667B6">
      <w:pPr>
        <w:spacing w:line="240" w:lineRule="auto"/>
        <w:ind w:left="482"/>
        <w:outlineLvl w:val="1"/>
        <w:rPr>
          <w:rFonts w:hint="eastAsia" w:ascii="宋体" w:hAnsi="宋体" w:eastAsia="宋体" w:cs="宋体"/>
          <w:b/>
          <w:sz w:val="24"/>
        </w:rPr>
      </w:pPr>
      <w:r>
        <w:rPr>
          <w:rFonts w:hint="eastAsia" w:ascii="宋体" w:hAnsi="宋体" w:eastAsia="宋体" w:cs="宋体"/>
          <w:b/>
          <w:sz w:val="24"/>
        </w:rPr>
        <w:t>第七条  验收</w:t>
      </w:r>
    </w:p>
    <w:p w14:paraId="68D0DEFA">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1.服务期限： </w:t>
      </w:r>
      <w:r>
        <w:rPr>
          <w:rFonts w:hint="eastAsia" w:ascii="宋体" w:hAnsi="宋体" w:eastAsia="宋体" w:cs="宋体"/>
          <w:sz w:val="24"/>
          <w:u w:val="single"/>
        </w:rPr>
        <w:t xml:space="preserve">                   </w:t>
      </w:r>
      <w:r>
        <w:rPr>
          <w:rFonts w:hint="eastAsia" w:ascii="宋体" w:hAnsi="宋体" w:eastAsia="宋体" w:cs="宋体"/>
          <w:sz w:val="24"/>
        </w:rPr>
        <w:t xml:space="preserve"> 至 </w:t>
      </w:r>
      <w:r>
        <w:rPr>
          <w:rFonts w:hint="eastAsia" w:ascii="宋体" w:hAnsi="宋体" w:eastAsia="宋体" w:cs="宋体"/>
          <w:sz w:val="24"/>
          <w:u w:val="single"/>
        </w:rPr>
        <w:t xml:space="preserve">                 </w:t>
      </w:r>
      <w:r>
        <w:rPr>
          <w:rFonts w:hint="eastAsia" w:ascii="宋体" w:hAnsi="宋体" w:eastAsia="宋体" w:cs="宋体"/>
          <w:sz w:val="24"/>
        </w:rPr>
        <w:t>。</w:t>
      </w:r>
    </w:p>
    <w:p w14:paraId="1C4EB192">
      <w:pPr>
        <w:spacing w:line="240" w:lineRule="auto"/>
        <w:ind w:firstLine="720" w:firstLineChars="300"/>
        <w:rPr>
          <w:rFonts w:hint="eastAsia" w:ascii="宋体" w:hAnsi="宋体" w:eastAsia="宋体" w:cs="宋体"/>
          <w:sz w:val="24"/>
        </w:rPr>
      </w:pPr>
      <w:r>
        <w:rPr>
          <w:rFonts w:hint="eastAsia" w:ascii="宋体" w:hAnsi="宋体" w:eastAsia="宋体" w:cs="宋体"/>
          <w:sz w:val="24"/>
        </w:rPr>
        <w:t xml:space="preserve">服务地点： </w:t>
      </w:r>
      <w:r>
        <w:rPr>
          <w:rFonts w:hint="eastAsia" w:ascii="宋体" w:hAnsi="宋体" w:eastAsia="宋体" w:cs="宋体"/>
          <w:sz w:val="24"/>
          <w:u w:val="single"/>
        </w:rPr>
        <w:t xml:space="preserve">                                        </w:t>
      </w:r>
      <w:r>
        <w:rPr>
          <w:rFonts w:hint="eastAsia" w:ascii="宋体" w:hAnsi="宋体" w:eastAsia="宋体" w:cs="宋体"/>
          <w:sz w:val="24"/>
        </w:rPr>
        <w:t>。</w:t>
      </w:r>
    </w:p>
    <w:p w14:paraId="677DF89E">
      <w:pPr>
        <w:spacing w:line="240" w:lineRule="auto"/>
        <w:ind w:firstLine="720" w:firstLineChars="300"/>
        <w:rPr>
          <w:rFonts w:hint="eastAsia" w:ascii="宋体" w:hAnsi="宋体" w:eastAsia="宋体" w:cs="宋体"/>
          <w:sz w:val="24"/>
          <w:u w:val="single"/>
        </w:rPr>
      </w:pPr>
      <w:r>
        <w:rPr>
          <w:rFonts w:hint="eastAsia" w:ascii="宋体" w:hAnsi="宋体" w:eastAsia="宋体" w:cs="宋体"/>
          <w:sz w:val="24"/>
        </w:rPr>
        <w:t xml:space="preserve">验收时间： </w:t>
      </w:r>
      <w:r>
        <w:rPr>
          <w:rFonts w:hint="eastAsia" w:ascii="宋体" w:hAnsi="宋体" w:eastAsia="宋体" w:cs="宋体"/>
          <w:sz w:val="24"/>
          <w:u w:val="single"/>
        </w:rPr>
        <w:t xml:space="preserve">                                        </w:t>
      </w:r>
      <w:r>
        <w:rPr>
          <w:rFonts w:hint="eastAsia" w:ascii="宋体" w:hAnsi="宋体" w:eastAsia="宋体" w:cs="宋体"/>
          <w:sz w:val="24"/>
        </w:rPr>
        <w:t>。</w:t>
      </w:r>
    </w:p>
    <w:p w14:paraId="29F7DDAF">
      <w:pPr>
        <w:pStyle w:val="15"/>
        <w:tabs>
          <w:tab w:val="left" w:pos="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乙方应对提供的服务成果作出全面自查和整理，并列出清单，作为甲方验收和使用的服务条件依据，清单应随提供的服务成果交给甲方。</w:t>
      </w:r>
    </w:p>
    <w:p w14:paraId="10F57ADD">
      <w:pPr>
        <w:spacing w:line="240" w:lineRule="auto"/>
        <w:ind w:firstLine="480" w:firstLineChars="200"/>
        <w:rPr>
          <w:rFonts w:hint="eastAsia" w:ascii="宋体" w:hAnsi="宋体" w:eastAsia="宋体" w:cs="宋体"/>
          <w:sz w:val="24"/>
        </w:rPr>
      </w:pPr>
      <w:r>
        <w:rPr>
          <w:rFonts w:hint="eastAsia" w:ascii="宋体" w:hAnsi="宋体" w:eastAsia="宋体" w:cs="宋体"/>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31B2F202">
      <w:pPr>
        <w:snapToGrid w:val="0"/>
        <w:spacing w:line="240" w:lineRule="auto"/>
        <w:ind w:firstLine="482"/>
        <w:textAlignment w:val="baseline"/>
        <w:rPr>
          <w:rFonts w:hint="eastAsia" w:ascii="宋体" w:hAnsi="宋体" w:eastAsia="宋体" w:cs="宋体"/>
          <w:sz w:val="24"/>
        </w:rPr>
      </w:pPr>
      <w:r>
        <w:rPr>
          <w:rFonts w:hint="eastAsia" w:ascii="宋体" w:hAnsi="宋体" w:eastAsia="宋体" w:cs="宋体"/>
          <w:sz w:val="24"/>
        </w:rPr>
        <w:t>4.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21562F9A">
      <w:pPr>
        <w:snapToGrid w:val="0"/>
        <w:spacing w:line="240" w:lineRule="auto"/>
        <w:ind w:firstLine="482"/>
        <w:textAlignment w:val="baseline"/>
        <w:rPr>
          <w:rFonts w:hint="eastAsia" w:ascii="宋体" w:hAnsi="宋体" w:eastAsia="宋体" w:cs="宋体"/>
          <w:sz w:val="24"/>
        </w:rPr>
      </w:pPr>
      <w:r>
        <w:rPr>
          <w:rFonts w:hint="eastAsia" w:ascii="宋体" w:hAnsi="宋体" w:eastAsia="宋体" w:cs="宋体"/>
          <w:sz w:val="24"/>
        </w:rPr>
        <w:t>5.如根据项目实施情况需要分阶段验收，则双方分阶段签署《验收报告》。</w:t>
      </w:r>
    </w:p>
    <w:p w14:paraId="1A6CB3F3">
      <w:pPr>
        <w:spacing w:line="240" w:lineRule="auto"/>
        <w:ind w:firstLine="480" w:firstLineChars="200"/>
        <w:rPr>
          <w:rFonts w:hint="eastAsia" w:ascii="宋体" w:hAnsi="宋体" w:eastAsia="宋体" w:cs="宋体"/>
          <w:sz w:val="24"/>
        </w:rPr>
      </w:pPr>
      <w:r>
        <w:rPr>
          <w:rFonts w:hint="eastAsia" w:ascii="宋体" w:hAnsi="宋体" w:eastAsia="宋体" w:cs="宋体"/>
          <w:sz w:val="24"/>
        </w:rPr>
        <w:t>6.如果合同双方对《验收报告》有分歧，双方须于出现分歧后</w:t>
      </w:r>
      <w:r>
        <w:rPr>
          <w:rFonts w:hint="eastAsia" w:ascii="宋体" w:hAnsi="宋体" w:eastAsia="宋体" w:cs="宋体"/>
          <w:sz w:val="24"/>
          <w:u w:val="single"/>
        </w:rPr>
        <w:t xml:space="preserve">    </w:t>
      </w:r>
      <w:r>
        <w:rPr>
          <w:rFonts w:hint="eastAsia" w:ascii="宋体" w:hAnsi="宋体" w:eastAsia="宋体" w:cs="宋体"/>
          <w:sz w:val="24"/>
        </w:rPr>
        <w:t>天内给对方书面声明，以陈述己方的理由及要求，并附有关证据。分歧应通过协商解决。</w:t>
      </w:r>
    </w:p>
    <w:p w14:paraId="17F33CEB">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第八条  项目管理服务</w:t>
      </w:r>
    </w:p>
    <w:p w14:paraId="2D65C585">
      <w:pPr>
        <w:spacing w:line="240" w:lineRule="auto"/>
        <w:ind w:firstLine="480" w:firstLineChars="200"/>
        <w:rPr>
          <w:rFonts w:hint="eastAsia" w:ascii="宋体" w:hAnsi="宋体" w:eastAsia="宋体" w:cs="宋体"/>
          <w:sz w:val="24"/>
        </w:rPr>
      </w:pPr>
      <w:r>
        <w:rPr>
          <w:rFonts w:hint="eastAsia" w:ascii="宋体" w:hAnsi="宋体" w:eastAsia="宋体" w:cs="宋体"/>
          <w:sz w:val="24"/>
        </w:rPr>
        <w:t>乙方应组建技术熟练、称职的团队全面履行合同,并指定不少于一人全权全程负责本项目服务的落实，包括服务的咨询、执行和后续工作。</w:t>
      </w:r>
    </w:p>
    <w:p w14:paraId="5B2C2D70">
      <w:pPr>
        <w:snapToGrid w:val="0"/>
        <w:spacing w:line="240" w:lineRule="auto"/>
        <w:ind w:firstLine="481"/>
        <w:textAlignment w:val="baseline"/>
        <w:rPr>
          <w:rFonts w:hint="eastAsia" w:ascii="宋体" w:hAnsi="宋体" w:eastAsia="宋体" w:cs="宋体"/>
        </w:rPr>
      </w:pPr>
      <w:r>
        <w:rPr>
          <w:rFonts w:hint="eastAsia" w:ascii="宋体" w:hAnsi="宋体" w:eastAsia="宋体" w:cs="宋体"/>
          <w:sz w:val="24"/>
        </w:rPr>
        <w:t xml:space="preserve">项目负责人姓名： </w:t>
      </w:r>
      <w:r>
        <w:rPr>
          <w:rFonts w:hint="eastAsia" w:ascii="宋体" w:hAnsi="宋体" w:eastAsia="宋体" w:cs="宋体"/>
          <w:sz w:val="24"/>
          <w:u w:val="single" w:color="000000"/>
        </w:rPr>
        <w:t xml:space="preserve">              </w:t>
      </w:r>
      <w:r>
        <w:rPr>
          <w:rFonts w:hint="eastAsia" w:ascii="宋体" w:hAnsi="宋体" w:eastAsia="宋体" w:cs="宋体"/>
          <w:sz w:val="24"/>
        </w:rPr>
        <w:t>； 联系电话：</w:t>
      </w:r>
      <w:r>
        <w:rPr>
          <w:rFonts w:hint="eastAsia" w:ascii="宋体" w:hAnsi="宋体" w:eastAsia="宋体" w:cs="宋体"/>
          <w:sz w:val="24"/>
          <w:u w:val="single" w:color="000000"/>
        </w:rPr>
        <w:t xml:space="preserve">                      </w:t>
      </w:r>
      <w:r>
        <w:rPr>
          <w:rFonts w:hint="eastAsia" w:ascii="宋体" w:hAnsi="宋体" w:eastAsia="宋体" w:cs="宋体"/>
          <w:sz w:val="24"/>
        </w:rPr>
        <w:t>。</w:t>
      </w:r>
    </w:p>
    <w:p w14:paraId="6C93813D">
      <w:pPr>
        <w:spacing w:line="240" w:lineRule="auto"/>
        <w:ind w:firstLine="472" w:firstLineChars="196"/>
        <w:outlineLvl w:val="1"/>
        <w:rPr>
          <w:rFonts w:hint="eastAsia" w:ascii="宋体" w:hAnsi="宋体" w:eastAsia="宋体" w:cs="宋体"/>
          <w:b/>
          <w:sz w:val="24"/>
        </w:rPr>
      </w:pPr>
      <w:r>
        <w:rPr>
          <w:rFonts w:hint="eastAsia" w:ascii="宋体" w:hAnsi="宋体" w:eastAsia="宋体" w:cs="宋体"/>
          <w:b/>
          <w:sz w:val="24"/>
        </w:rPr>
        <w:t>第九条  售后服务</w:t>
      </w:r>
    </w:p>
    <w:p w14:paraId="3BAA0DC5">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1.乙方提供服务的质量保证期为自服务通过最终验收之日起</w:t>
      </w:r>
      <w:r>
        <w:rPr>
          <w:rFonts w:hint="eastAsia" w:ascii="宋体" w:hAnsi="宋体" w:eastAsia="宋体" w:cs="宋体"/>
          <w:sz w:val="24"/>
          <w:u w:val="single"/>
        </w:rPr>
        <w:t xml:space="preserve">    </w:t>
      </w:r>
      <w:r>
        <w:rPr>
          <w:rFonts w:hint="eastAsia" w:ascii="宋体" w:hAnsi="宋体" w:eastAsia="宋体" w:cs="宋体"/>
          <w:sz w:val="24"/>
        </w:rPr>
        <w:t>个月。若国家有明确规定的质量保证期高于此质量保证期的，执行国家规定。</w:t>
      </w:r>
    </w:p>
    <w:p w14:paraId="5E817105">
      <w:pPr>
        <w:spacing w:line="240" w:lineRule="auto"/>
        <w:ind w:firstLine="480" w:firstLineChars="200"/>
        <w:rPr>
          <w:rFonts w:hint="eastAsia" w:ascii="宋体" w:hAnsi="宋体" w:eastAsia="宋体" w:cs="宋体"/>
          <w:sz w:val="24"/>
        </w:rPr>
      </w:pPr>
      <w:r>
        <w:rPr>
          <w:rFonts w:hint="eastAsia" w:ascii="宋体" w:hAnsi="宋体" w:eastAsia="宋体" w:cs="宋体"/>
          <w:sz w:val="24"/>
        </w:rPr>
        <w:t>2.服务期内，乙方应提供相关服务支持。对甲方所反映的任何服务问题在</w:t>
      </w:r>
      <w:r>
        <w:rPr>
          <w:rFonts w:hint="eastAsia" w:ascii="宋体" w:hAnsi="宋体" w:eastAsia="宋体" w:cs="宋体"/>
          <w:sz w:val="24"/>
          <w:u w:val="single"/>
        </w:rPr>
        <w:t>××</w:t>
      </w:r>
      <w:r>
        <w:rPr>
          <w:rFonts w:hint="eastAsia" w:ascii="宋体" w:hAnsi="宋体" w:eastAsia="宋体" w:cs="宋体"/>
          <w:sz w:val="24"/>
        </w:rPr>
        <w:t>日（小时）之内做出及时响应，在</w:t>
      </w:r>
      <w:r>
        <w:rPr>
          <w:rFonts w:hint="eastAsia" w:ascii="宋体" w:hAnsi="宋体" w:eastAsia="宋体" w:cs="宋体"/>
          <w:sz w:val="24"/>
          <w:u w:val="single"/>
        </w:rPr>
        <w:t xml:space="preserve">    </w:t>
      </w:r>
      <w:r>
        <w:rPr>
          <w:rFonts w:hint="eastAsia" w:ascii="宋体" w:hAnsi="宋体" w:eastAsia="宋体" w:cs="宋体"/>
          <w:sz w:val="24"/>
        </w:rPr>
        <w:t>日（小时）之内赶到现场实地解决问题。若问题在</w:t>
      </w:r>
      <w:r>
        <w:rPr>
          <w:rFonts w:hint="eastAsia" w:ascii="宋体" w:hAnsi="宋体" w:eastAsia="宋体" w:cs="宋体"/>
          <w:sz w:val="24"/>
          <w:u w:val="single"/>
        </w:rPr>
        <w:t xml:space="preserve">    </w:t>
      </w:r>
      <w:r>
        <w:rPr>
          <w:rFonts w:hint="eastAsia" w:ascii="宋体" w:hAnsi="宋体" w:eastAsia="宋体" w:cs="宋体"/>
          <w:sz w:val="24"/>
        </w:rPr>
        <w:t>工作日（小时）后仍无法解决，乙方应在</w:t>
      </w:r>
      <w:r>
        <w:rPr>
          <w:rFonts w:hint="eastAsia" w:ascii="宋体" w:hAnsi="宋体" w:eastAsia="宋体" w:cs="宋体"/>
          <w:sz w:val="24"/>
          <w:u w:val="single"/>
        </w:rPr>
        <w:t xml:space="preserve">     </w:t>
      </w:r>
      <w:r>
        <w:rPr>
          <w:rFonts w:hint="eastAsia" w:ascii="宋体" w:hAnsi="宋体" w:eastAsia="宋体" w:cs="宋体"/>
          <w:sz w:val="24"/>
        </w:rPr>
        <w:t>日（小时）内免费提供服务的补偿、替换方案，直至服务恢复正常。</w:t>
      </w:r>
    </w:p>
    <w:p w14:paraId="581397B5">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3.乙方必须遵守甲方的有关管理制度、操作规程。对于乙方违规操作造成甲方损失的，由乙方按照本合同第十二条的约定承担赔偿责任。</w:t>
      </w:r>
    </w:p>
    <w:p w14:paraId="7F11A6F0">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第十条  分包</w:t>
      </w:r>
    </w:p>
    <w:p w14:paraId="28498AAC">
      <w:pPr>
        <w:spacing w:line="240" w:lineRule="auto"/>
        <w:ind w:firstLine="480" w:firstLineChars="200"/>
        <w:rPr>
          <w:rFonts w:hint="eastAsia" w:ascii="宋体" w:hAnsi="宋体" w:eastAsia="宋体" w:cs="宋体"/>
          <w:strike/>
          <w:sz w:val="24"/>
        </w:rPr>
      </w:pPr>
      <w:r>
        <w:rPr>
          <w:rFonts w:hint="eastAsia" w:ascii="宋体" w:hAnsi="宋体" w:eastAsia="宋体" w:cs="宋体"/>
          <w:sz w:val="24"/>
        </w:rPr>
        <w:t>除招标采购文件事先说明、且经甲方事先书面同意外，乙方不得分包、转包其应履行的合同义务。</w:t>
      </w:r>
    </w:p>
    <w:p w14:paraId="10147C09">
      <w:pPr>
        <w:spacing w:line="240" w:lineRule="auto"/>
        <w:ind w:firstLine="482" w:firstLineChars="200"/>
        <w:outlineLvl w:val="1"/>
        <w:rPr>
          <w:rFonts w:hint="eastAsia" w:ascii="宋体" w:hAnsi="宋体" w:eastAsia="宋体" w:cs="宋体"/>
          <w:b/>
          <w:sz w:val="24"/>
        </w:rPr>
      </w:pPr>
      <w:r>
        <w:rPr>
          <w:rFonts w:hint="eastAsia" w:ascii="宋体" w:hAnsi="宋体" w:eastAsia="宋体" w:cs="宋体"/>
          <w:b/>
          <w:sz w:val="24"/>
        </w:rPr>
        <w:t>第十一条  合同的生效</w:t>
      </w:r>
    </w:p>
    <w:p w14:paraId="5B464908">
      <w:pPr>
        <w:spacing w:line="240" w:lineRule="auto"/>
        <w:ind w:firstLine="480" w:firstLineChars="200"/>
        <w:rPr>
          <w:rFonts w:hint="eastAsia" w:ascii="宋体" w:hAnsi="宋体" w:eastAsia="宋体" w:cs="宋体"/>
          <w:sz w:val="24"/>
        </w:rPr>
      </w:pPr>
      <w:r>
        <w:rPr>
          <w:rFonts w:hint="eastAsia" w:ascii="宋体" w:hAnsi="宋体" w:eastAsia="宋体" w:cs="宋体"/>
          <w:sz w:val="24"/>
        </w:rPr>
        <w:t>1.本合同经甲乙双方授权代表签字并加盖公章或合同专用章后生效。</w:t>
      </w:r>
    </w:p>
    <w:p w14:paraId="3B49E5DC">
      <w:pPr>
        <w:spacing w:line="240" w:lineRule="auto"/>
        <w:ind w:firstLine="480" w:firstLineChars="200"/>
        <w:rPr>
          <w:rFonts w:hint="eastAsia" w:ascii="宋体" w:hAnsi="宋体" w:eastAsia="宋体" w:cs="宋体"/>
          <w:sz w:val="24"/>
        </w:rPr>
      </w:pPr>
      <w:r>
        <w:rPr>
          <w:rFonts w:hint="eastAsia" w:ascii="宋体" w:hAnsi="宋体" w:eastAsia="宋体" w:cs="宋体"/>
          <w:sz w:val="24"/>
        </w:rPr>
        <w:t>2.生效后，除《政府采购法》第49条、第50条第二款规定的情形外，甲乙双方不得擅自变更、中止或终止合同。</w:t>
      </w:r>
    </w:p>
    <w:p w14:paraId="367E718C">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第十二条  违约责任</w:t>
      </w:r>
    </w:p>
    <w:p w14:paraId="663E3550">
      <w:pPr>
        <w:spacing w:line="240" w:lineRule="auto"/>
        <w:ind w:firstLine="480" w:firstLineChars="200"/>
        <w:rPr>
          <w:rFonts w:hint="eastAsia" w:ascii="宋体" w:hAnsi="宋体" w:eastAsia="宋体" w:cs="宋体"/>
          <w:sz w:val="24"/>
        </w:rPr>
      </w:pPr>
      <w:r>
        <w:rPr>
          <w:rFonts w:hint="eastAsia" w:ascii="宋体" w:hAnsi="宋体" w:eastAsia="宋体" w:cs="宋体"/>
          <w:sz w:val="24"/>
        </w:rPr>
        <w:t>1.乙方所交付服务成果不符合本合同规定的，甲方有权拒收，乙方在得到甲方通知之日起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％的违约金。</w:t>
      </w:r>
    </w:p>
    <w:p w14:paraId="2951FC75">
      <w:pPr>
        <w:spacing w:line="240" w:lineRule="auto"/>
        <w:ind w:firstLine="480" w:firstLineChars="200"/>
        <w:rPr>
          <w:rFonts w:hint="eastAsia" w:ascii="宋体" w:hAnsi="宋体" w:eastAsia="宋体" w:cs="宋体"/>
          <w:sz w:val="24"/>
        </w:rPr>
      </w:pPr>
      <w:r>
        <w:rPr>
          <w:rFonts w:hint="eastAsia" w:ascii="宋体" w:hAnsi="宋体" w:eastAsia="宋体" w:cs="宋体"/>
          <w:sz w:val="24"/>
        </w:rPr>
        <w:t xml:space="preserve">2.甲方无正当理由拒收服务，甲方应向乙方偿付拒付服务费用 </w:t>
      </w:r>
      <w:r>
        <w:rPr>
          <w:rFonts w:hint="eastAsia" w:ascii="宋体" w:hAnsi="宋体" w:eastAsia="宋体" w:cs="宋体"/>
          <w:sz w:val="24"/>
          <w:u w:val="single"/>
        </w:rPr>
        <w:t xml:space="preserve">    </w:t>
      </w:r>
      <w:r>
        <w:rPr>
          <w:rFonts w:hint="eastAsia" w:ascii="宋体" w:hAnsi="宋体" w:eastAsia="宋体" w:cs="宋体"/>
          <w:sz w:val="24"/>
        </w:rPr>
        <w:t>％的违约金。</w:t>
      </w:r>
    </w:p>
    <w:p w14:paraId="19F859AD">
      <w:pPr>
        <w:spacing w:line="240" w:lineRule="auto"/>
        <w:ind w:firstLine="480" w:firstLineChars="200"/>
        <w:rPr>
          <w:rFonts w:hint="eastAsia" w:ascii="宋体" w:hAnsi="宋体" w:eastAsia="宋体" w:cs="宋体"/>
          <w:sz w:val="24"/>
        </w:rPr>
      </w:pPr>
      <w:r>
        <w:rPr>
          <w:rFonts w:hint="eastAsia" w:ascii="宋体" w:hAnsi="宋体" w:eastAsia="宋体" w:cs="宋体"/>
          <w:sz w:val="24"/>
        </w:rPr>
        <w:t>3.乙方无正当理由逾期交付服务的，每逾期1天，乙方向甲方偿付合同总额的</w:t>
      </w:r>
      <w:r>
        <w:rPr>
          <w:rFonts w:hint="eastAsia" w:ascii="宋体" w:hAnsi="宋体" w:eastAsia="宋体" w:cs="宋体"/>
          <w:sz w:val="24"/>
          <w:u w:val="single"/>
        </w:rPr>
        <w:t xml:space="preserve">    </w:t>
      </w:r>
      <w:r>
        <w:rPr>
          <w:rFonts w:hint="eastAsia" w:ascii="宋体" w:hAnsi="宋体" w:eastAsia="宋体" w:cs="宋体"/>
          <w:sz w:val="24"/>
        </w:rPr>
        <w:t>‰的违约金。如乙方逾期达</w:t>
      </w:r>
      <w:r>
        <w:rPr>
          <w:rFonts w:hint="eastAsia" w:ascii="宋体" w:hAnsi="宋体" w:eastAsia="宋体" w:cs="宋体"/>
          <w:sz w:val="24"/>
          <w:u w:val="single"/>
        </w:rPr>
        <w:t xml:space="preserve">    </w:t>
      </w:r>
      <w:r>
        <w:rPr>
          <w:rFonts w:hint="eastAsia" w:ascii="宋体" w:hAnsi="宋体" w:eastAsia="宋体" w:cs="宋体"/>
          <w:sz w:val="24"/>
        </w:rPr>
        <w:t>天，甲方有权解除合同，甲方解除合同的通知自到达乙方时生效。在此情况下，乙方给甲方造成的实际损失高于违约金的，对高出违约金的部分乙方应予以赔偿。</w:t>
      </w:r>
    </w:p>
    <w:p w14:paraId="71CC1271">
      <w:pPr>
        <w:spacing w:line="240" w:lineRule="auto"/>
        <w:ind w:firstLine="480" w:firstLineChars="200"/>
        <w:rPr>
          <w:rFonts w:hint="eastAsia" w:ascii="宋体" w:hAnsi="宋体" w:eastAsia="宋体" w:cs="宋体"/>
          <w:sz w:val="24"/>
        </w:rPr>
      </w:pPr>
      <w:r>
        <w:rPr>
          <w:rFonts w:hint="eastAsia" w:ascii="宋体" w:hAnsi="宋体" w:eastAsia="宋体" w:cs="宋体"/>
          <w:sz w:val="24"/>
        </w:rPr>
        <w:t>4.甲方未按合同规定的期限向乙方支付合同款的，每逾期1天甲方向乙方偿付欠款总额的</w:t>
      </w:r>
      <w:r>
        <w:rPr>
          <w:rFonts w:hint="eastAsia" w:ascii="宋体" w:hAnsi="宋体" w:eastAsia="宋体" w:cs="宋体"/>
          <w:sz w:val="24"/>
          <w:u w:val="single"/>
        </w:rPr>
        <w:t xml:space="preserve">    </w:t>
      </w:r>
      <w:r>
        <w:rPr>
          <w:rFonts w:hint="eastAsia" w:ascii="宋体" w:hAnsi="宋体" w:eastAsia="宋体" w:cs="宋体"/>
          <w:sz w:val="24"/>
        </w:rPr>
        <w:t>‰违约金，但累计违约金总额不超过欠款总额的</w:t>
      </w:r>
      <w:r>
        <w:rPr>
          <w:rFonts w:hint="eastAsia" w:ascii="宋体" w:hAnsi="宋体" w:eastAsia="宋体" w:cs="宋体"/>
          <w:sz w:val="24"/>
          <w:u w:val="single"/>
        </w:rPr>
        <w:t xml:space="preserve">    </w:t>
      </w:r>
      <w:r>
        <w:rPr>
          <w:rFonts w:hint="eastAsia" w:ascii="宋体" w:hAnsi="宋体" w:eastAsia="宋体" w:cs="宋体"/>
          <w:sz w:val="24"/>
        </w:rPr>
        <w:t>％。</w:t>
      </w:r>
    </w:p>
    <w:p w14:paraId="515D6D1B">
      <w:pPr>
        <w:spacing w:line="240" w:lineRule="auto"/>
        <w:ind w:firstLine="480" w:firstLineChars="200"/>
        <w:rPr>
          <w:rFonts w:hint="eastAsia" w:ascii="宋体" w:hAnsi="宋体" w:eastAsia="宋体" w:cs="宋体"/>
          <w:sz w:val="24"/>
        </w:rPr>
      </w:pPr>
      <w:r>
        <w:rPr>
          <w:rFonts w:hint="eastAsia" w:ascii="宋体" w:hAnsi="宋体" w:eastAsia="宋体" w:cs="宋体"/>
          <w:sz w:val="24"/>
        </w:rPr>
        <w:t>5.其它未尽事宜，以《合同法》和《政府采购法》等有关法律法规规定为准，无相关规定的，双方协商解决。</w:t>
      </w:r>
    </w:p>
    <w:p w14:paraId="027665AD">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第十三条  不可抗力</w:t>
      </w:r>
    </w:p>
    <w:p w14:paraId="744515E3">
      <w:pPr>
        <w:spacing w:line="240" w:lineRule="auto"/>
        <w:ind w:firstLine="480" w:firstLineChars="200"/>
        <w:rPr>
          <w:rFonts w:hint="eastAsia" w:ascii="宋体" w:hAnsi="宋体" w:eastAsia="宋体" w:cs="宋体"/>
          <w:sz w:val="24"/>
        </w:rPr>
      </w:pPr>
      <w:r>
        <w:rPr>
          <w:rFonts w:hint="eastAsia" w:ascii="宋体" w:hAnsi="宋体" w:eastAsia="宋体" w:cs="宋体"/>
          <w:sz w:val="24"/>
        </w:rPr>
        <w:t>甲、乙方中任何一方，因不可抗力不能按时或完全履行合同的，应及时通知对方，并在</w:t>
      </w:r>
      <w:r>
        <w:rPr>
          <w:rFonts w:hint="eastAsia" w:ascii="宋体" w:hAnsi="宋体" w:eastAsia="宋体" w:cs="宋体"/>
          <w:sz w:val="24"/>
          <w:u w:val="single"/>
        </w:rPr>
        <w:t xml:space="preserve">    </w:t>
      </w:r>
      <w:r>
        <w:rPr>
          <w:rFonts w:hint="eastAsia" w:ascii="宋体" w:hAnsi="宋体" w:eastAsia="宋体" w:cs="宋体"/>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7B28700F">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第十四条  争议的解决方式</w:t>
      </w:r>
    </w:p>
    <w:p w14:paraId="421C9E9E">
      <w:pPr>
        <w:spacing w:line="240" w:lineRule="auto"/>
        <w:ind w:firstLine="480" w:firstLineChars="200"/>
        <w:rPr>
          <w:rFonts w:hint="eastAsia" w:ascii="宋体" w:hAnsi="宋体" w:eastAsia="宋体" w:cs="宋体"/>
          <w:sz w:val="24"/>
        </w:rPr>
      </w:pPr>
      <w:r>
        <w:rPr>
          <w:rFonts w:hint="eastAsia" w:ascii="宋体" w:hAnsi="宋体" w:eastAsia="宋体" w:cs="宋体"/>
          <w:sz w:val="24"/>
        </w:rPr>
        <w:t>1.因服务质量问题发生争议的，应当邀请国家认可的质量检测机构对服务进行鉴定。服务符合标准的，鉴定费由甲方承担；不符合质量标准的，鉴定费由乙方承担。</w:t>
      </w:r>
    </w:p>
    <w:p w14:paraId="2BB75A67">
      <w:pPr>
        <w:spacing w:line="240" w:lineRule="auto"/>
        <w:ind w:firstLine="480" w:firstLineChars="200"/>
        <w:rPr>
          <w:rFonts w:hint="eastAsia" w:ascii="宋体" w:hAnsi="宋体" w:eastAsia="宋体" w:cs="宋体"/>
          <w:sz w:val="24"/>
        </w:rPr>
      </w:pPr>
      <w:r>
        <w:rPr>
          <w:rFonts w:hint="eastAsia" w:ascii="宋体" w:hAnsi="宋体" w:eastAsia="宋体" w:cs="宋体"/>
          <w:sz w:val="24"/>
        </w:rPr>
        <w:t>2.在解释或者执行本合同的过程中发生争议时，双方应通过协商方式解决。</w:t>
      </w:r>
    </w:p>
    <w:p w14:paraId="3CA68039">
      <w:pPr>
        <w:spacing w:line="240" w:lineRule="auto"/>
        <w:ind w:firstLine="480" w:firstLineChars="200"/>
        <w:rPr>
          <w:rFonts w:hint="eastAsia" w:ascii="宋体" w:hAnsi="宋体" w:eastAsia="宋体" w:cs="宋体"/>
          <w:sz w:val="24"/>
        </w:rPr>
      </w:pPr>
      <w:r>
        <w:rPr>
          <w:rFonts w:hint="eastAsia" w:ascii="宋体" w:hAnsi="宋体" w:eastAsia="宋体" w:cs="宋体"/>
          <w:sz w:val="24"/>
        </w:rPr>
        <w:t>3.经协商不能解决的争议，双方可选择以下第</w:t>
      </w:r>
      <w:r>
        <w:rPr>
          <w:rFonts w:hint="eastAsia" w:ascii="宋体" w:hAnsi="宋体" w:eastAsia="宋体" w:cs="宋体"/>
          <w:sz w:val="24"/>
          <w:u w:val="single"/>
        </w:rPr>
        <w:t xml:space="preserve">   </w:t>
      </w:r>
      <w:r>
        <w:rPr>
          <w:rFonts w:hint="eastAsia" w:ascii="宋体" w:hAnsi="宋体" w:eastAsia="宋体" w:cs="宋体"/>
          <w:sz w:val="24"/>
        </w:rPr>
        <w:t>种方式解决：</w:t>
      </w:r>
    </w:p>
    <w:p w14:paraId="35A7E4B7">
      <w:pPr>
        <w:spacing w:line="240" w:lineRule="auto"/>
        <w:ind w:firstLine="480" w:firstLineChars="200"/>
        <w:rPr>
          <w:rFonts w:hint="eastAsia" w:ascii="宋体" w:hAnsi="宋体" w:eastAsia="宋体" w:cs="宋体"/>
          <w:sz w:val="24"/>
        </w:rPr>
      </w:pPr>
      <w:r>
        <w:rPr>
          <w:rFonts w:hint="eastAsia" w:ascii="宋体" w:hAnsi="宋体" w:eastAsia="宋体" w:cs="宋体"/>
          <w:sz w:val="24"/>
        </w:rPr>
        <w:t>①向    市（县、区）有管辖权的法院提起诉讼；</w:t>
      </w:r>
    </w:p>
    <w:p w14:paraId="587107A7">
      <w:pPr>
        <w:spacing w:line="240" w:lineRule="auto"/>
        <w:ind w:firstLine="480" w:firstLineChars="200"/>
        <w:rPr>
          <w:rFonts w:hint="eastAsia" w:ascii="宋体" w:hAnsi="宋体" w:eastAsia="宋体" w:cs="宋体"/>
          <w:sz w:val="24"/>
        </w:rPr>
      </w:pPr>
      <w:r>
        <w:rPr>
          <w:rFonts w:hint="eastAsia" w:ascii="宋体" w:hAnsi="宋体" w:eastAsia="宋体" w:cs="宋体"/>
          <w:sz w:val="24"/>
        </w:rPr>
        <w:t>②向    市（县、区）仲裁委员会提出仲裁。</w:t>
      </w:r>
    </w:p>
    <w:p w14:paraId="692718B0">
      <w:pPr>
        <w:spacing w:line="240" w:lineRule="auto"/>
        <w:ind w:firstLine="480" w:firstLineChars="200"/>
        <w:rPr>
          <w:rFonts w:hint="eastAsia" w:ascii="宋体" w:hAnsi="宋体" w:eastAsia="宋体" w:cs="宋体"/>
          <w:sz w:val="24"/>
        </w:rPr>
      </w:pPr>
      <w:r>
        <w:rPr>
          <w:rFonts w:hint="eastAsia" w:ascii="宋体" w:hAnsi="宋体" w:eastAsia="宋体" w:cs="宋体"/>
          <w:sz w:val="24"/>
        </w:rPr>
        <w:t>4.在法院审理和仲裁期间，除有争议部分外，本合同其他部分可以履行的仍应按合同条款继续履行。</w:t>
      </w:r>
    </w:p>
    <w:p w14:paraId="41754749">
      <w:pPr>
        <w:spacing w:line="240" w:lineRule="auto"/>
        <w:ind w:left="482"/>
        <w:outlineLvl w:val="1"/>
        <w:rPr>
          <w:rFonts w:hint="eastAsia" w:ascii="宋体" w:hAnsi="宋体" w:eastAsia="宋体" w:cs="宋体"/>
          <w:b/>
          <w:sz w:val="24"/>
        </w:rPr>
      </w:pPr>
      <w:r>
        <w:rPr>
          <w:rFonts w:hint="eastAsia" w:ascii="宋体" w:hAnsi="宋体" w:eastAsia="宋体" w:cs="宋体"/>
          <w:b/>
          <w:sz w:val="24"/>
        </w:rPr>
        <w:t>第十五条  其他</w:t>
      </w:r>
    </w:p>
    <w:p w14:paraId="38F5AEAD">
      <w:pPr>
        <w:spacing w:line="240" w:lineRule="auto"/>
        <w:ind w:firstLine="480" w:firstLineChars="200"/>
        <w:rPr>
          <w:rFonts w:hint="eastAsia" w:ascii="宋体" w:hAnsi="宋体" w:eastAsia="宋体" w:cs="宋体"/>
          <w:sz w:val="24"/>
        </w:rPr>
      </w:pPr>
      <w:r>
        <w:rPr>
          <w:rFonts w:hint="eastAsia" w:ascii="宋体" w:hAnsi="宋体" w:eastAsia="宋体" w:cs="宋体"/>
          <w:sz w:val="24"/>
        </w:rPr>
        <w:t>符合《政府采购法》第49条规定的，经双方协商，办理政府采购手续后，可签订补充合同，所签订的补充合同与本合同具有同等法律效力。</w:t>
      </w:r>
    </w:p>
    <w:p w14:paraId="77647509">
      <w:pPr>
        <w:spacing w:line="240" w:lineRule="auto"/>
        <w:ind w:firstLine="480" w:firstLineChars="200"/>
        <w:rPr>
          <w:rFonts w:hint="eastAsia" w:ascii="宋体" w:hAnsi="宋体" w:eastAsia="宋体" w:cs="宋体"/>
          <w:sz w:val="24"/>
        </w:rPr>
      </w:pPr>
      <w:r>
        <w:rPr>
          <w:rFonts w:hint="eastAsia" w:ascii="宋体" w:hAnsi="宋体" w:eastAsia="宋体" w:cs="宋体"/>
          <w:sz w:val="24"/>
        </w:rPr>
        <w:t>本合同一式</w:t>
      </w:r>
      <w:r>
        <w:rPr>
          <w:rFonts w:hint="eastAsia" w:ascii="宋体" w:hAnsi="宋体" w:eastAsia="宋体" w:cs="宋体"/>
          <w:sz w:val="24"/>
          <w:u w:val="single"/>
        </w:rPr>
        <w:t xml:space="preserve">    </w:t>
      </w:r>
      <w:r>
        <w:rPr>
          <w:rFonts w:hint="eastAsia" w:ascii="宋体" w:hAnsi="宋体" w:eastAsia="宋体" w:cs="宋体"/>
          <w:sz w:val="24"/>
        </w:rPr>
        <w:t>份，甲、乙双方各执</w:t>
      </w:r>
      <w:r>
        <w:rPr>
          <w:rFonts w:hint="eastAsia" w:ascii="宋体" w:hAnsi="宋体" w:eastAsia="宋体" w:cs="宋体"/>
          <w:sz w:val="24"/>
          <w:u w:val="single"/>
        </w:rPr>
        <w:t xml:space="preserve">    </w:t>
      </w:r>
      <w:r>
        <w:rPr>
          <w:rFonts w:hint="eastAsia" w:ascii="宋体" w:hAnsi="宋体" w:eastAsia="宋体" w:cs="宋体"/>
          <w:sz w:val="24"/>
        </w:rPr>
        <w:t>份。</w:t>
      </w:r>
    </w:p>
    <w:p w14:paraId="709DF364">
      <w:pPr>
        <w:spacing w:line="240" w:lineRule="auto"/>
        <w:ind w:firstLine="480" w:firstLineChars="200"/>
        <w:rPr>
          <w:rFonts w:hint="eastAsia" w:ascii="宋体" w:hAnsi="宋体" w:eastAsia="宋体" w:cs="宋体"/>
          <w:sz w:val="24"/>
        </w:rPr>
      </w:pPr>
    </w:p>
    <w:p w14:paraId="1B4207C3">
      <w:pPr>
        <w:spacing w:line="240" w:lineRule="auto"/>
        <w:ind w:firstLine="480" w:firstLineChars="200"/>
        <w:rPr>
          <w:rFonts w:hint="eastAsia" w:ascii="宋体" w:hAnsi="宋体" w:eastAsia="宋体" w:cs="宋体"/>
          <w:sz w:val="24"/>
        </w:rPr>
      </w:pPr>
      <w:r>
        <w:rPr>
          <w:rFonts w:hint="eastAsia" w:ascii="宋体" w:hAnsi="宋体" w:eastAsia="宋体" w:cs="宋体"/>
          <w:sz w:val="24"/>
        </w:rPr>
        <w:t>甲   方：                        乙   方：</w:t>
      </w:r>
    </w:p>
    <w:p w14:paraId="00E4ECB7">
      <w:pPr>
        <w:spacing w:line="240" w:lineRule="auto"/>
        <w:ind w:firstLine="480" w:firstLineChars="200"/>
        <w:rPr>
          <w:rFonts w:hint="eastAsia" w:ascii="宋体" w:hAnsi="宋体" w:eastAsia="宋体" w:cs="宋体"/>
          <w:sz w:val="24"/>
        </w:rPr>
      </w:pPr>
      <w:r>
        <w:rPr>
          <w:rFonts w:hint="eastAsia" w:ascii="宋体" w:hAnsi="宋体" w:eastAsia="宋体" w:cs="宋体"/>
          <w:sz w:val="24"/>
        </w:rPr>
        <w:t>名称：（盖章）                    名称：（盖章）</w:t>
      </w:r>
    </w:p>
    <w:p w14:paraId="4239477E">
      <w:pPr>
        <w:spacing w:line="240" w:lineRule="auto"/>
        <w:ind w:firstLine="480" w:firstLineChars="200"/>
        <w:rPr>
          <w:rFonts w:hint="eastAsia" w:ascii="宋体" w:hAnsi="宋体" w:eastAsia="宋体" w:cs="宋体"/>
          <w:sz w:val="24"/>
        </w:rPr>
      </w:pPr>
      <w:r>
        <w:rPr>
          <w:rFonts w:hint="eastAsia" w:ascii="宋体" w:hAnsi="宋体" w:eastAsia="宋体" w:cs="宋体"/>
          <w:sz w:val="24"/>
        </w:rPr>
        <w:t>地址：                           地址：</w:t>
      </w:r>
    </w:p>
    <w:p w14:paraId="307E9E68">
      <w:pPr>
        <w:spacing w:line="240" w:lineRule="auto"/>
        <w:ind w:firstLine="480" w:firstLineChars="200"/>
        <w:rPr>
          <w:rFonts w:hint="eastAsia" w:ascii="宋体" w:hAnsi="宋体" w:eastAsia="宋体" w:cs="宋体"/>
          <w:sz w:val="24"/>
        </w:rPr>
      </w:pPr>
      <w:r>
        <w:rPr>
          <w:rFonts w:hint="eastAsia" w:ascii="宋体" w:hAnsi="宋体" w:eastAsia="宋体" w:cs="宋体"/>
          <w:sz w:val="24"/>
        </w:rPr>
        <w:t>法定代表人（签字）：              法定代表人（签字）：</w:t>
      </w:r>
    </w:p>
    <w:p w14:paraId="6EBAB406">
      <w:pPr>
        <w:spacing w:line="240" w:lineRule="auto"/>
        <w:ind w:firstLine="480" w:firstLineChars="200"/>
        <w:rPr>
          <w:rFonts w:hint="eastAsia" w:ascii="宋体" w:hAnsi="宋体" w:eastAsia="宋体" w:cs="宋体"/>
          <w:sz w:val="24"/>
        </w:rPr>
      </w:pPr>
      <w:r>
        <w:rPr>
          <w:rFonts w:hint="eastAsia" w:ascii="宋体" w:hAnsi="宋体" w:eastAsia="宋体" w:cs="宋体"/>
          <w:sz w:val="24"/>
        </w:rPr>
        <w:t>授权代表（签字）：                授权代表（签字）：</w:t>
      </w:r>
    </w:p>
    <w:p w14:paraId="1B6BD2A7">
      <w:pPr>
        <w:spacing w:line="240" w:lineRule="auto"/>
        <w:ind w:firstLine="480" w:firstLineChars="200"/>
        <w:rPr>
          <w:rFonts w:hint="eastAsia" w:ascii="宋体" w:hAnsi="宋体" w:eastAsia="宋体" w:cs="宋体"/>
          <w:sz w:val="24"/>
        </w:rPr>
      </w:pPr>
      <w:r>
        <w:rPr>
          <w:rFonts w:hint="eastAsia" w:ascii="宋体" w:hAnsi="宋体" w:eastAsia="宋体" w:cs="宋体"/>
          <w:sz w:val="24"/>
        </w:rPr>
        <w:t>开户银行：                       开户银行（基本账户）：</w:t>
      </w:r>
    </w:p>
    <w:p w14:paraId="05F006D8">
      <w:pPr>
        <w:spacing w:line="240" w:lineRule="auto"/>
        <w:ind w:firstLine="480" w:firstLineChars="200"/>
        <w:rPr>
          <w:rFonts w:hint="eastAsia" w:ascii="宋体" w:hAnsi="宋体" w:eastAsia="宋体" w:cs="宋体"/>
          <w:sz w:val="24"/>
        </w:rPr>
      </w:pPr>
      <w:r>
        <w:rPr>
          <w:rFonts w:hint="eastAsia" w:ascii="宋体" w:hAnsi="宋体" w:eastAsia="宋体" w:cs="宋体"/>
          <w:sz w:val="24"/>
        </w:rPr>
        <w:t>银行帐号：                       银行帐号（基本账户）：</w:t>
      </w:r>
    </w:p>
    <w:p w14:paraId="607F26F1">
      <w:pPr>
        <w:spacing w:line="240" w:lineRule="auto"/>
        <w:ind w:firstLine="480" w:firstLineChars="200"/>
        <w:rPr>
          <w:rFonts w:hint="eastAsia" w:ascii="宋体" w:hAnsi="宋体" w:eastAsia="宋体" w:cs="宋体"/>
          <w:sz w:val="24"/>
        </w:rPr>
      </w:pPr>
      <w:r>
        <w:rPr>
          <w:rFonts w:hint="eastAsia" w:ascii="宋体" w:hAnsi="宋体" w:eastAsia="宋体" w:cs="宋体"/>
          <w:sz w:val="24"/>
        </w:rPr>
        <w:t>甲方合同法律审核（盖章）：</w:t>
      </w:r>
    </w:p>
    <w:p w14:paraId="78BF12D1">
      <w:pPr>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时间：         年     月     日</w:t>
      </w:r>
    </w:p>
    <w:p w14:paraId="0ADDEB90">
      <w:pPr>
        <w:spacing w:line="240" w:lineRule="auto"/>
        <w:ind w:firstLine="422" w:firstLineChars="200"/>
        <w:rPr>
          <w:rFonts w:hint="eastAsia" w:ascii="宋体" w:hAnsi="宋体" w:eastAsia="宋体" w:cs="宋体"/>
          <w:b/>
          <w:color w:val="auto"/>
        </w:rPr>
      </w:pPr>
      <w:bookmarkStart w:id="909" w:name="_Toc310580633"/>
      <w:r>
        <w:rPr>
          <w:rFonts w:hint="eastAsia" w:ascii="宋体" w:hAnsi="宋体" w:eastAsia="宋体" w:cs="宋体"/>
          <w:b/>
          <w:color w:val="auto"/>
        </w:rPr>
        <w:t>特别说明：</w:t>
      </w:r>
    </w:p>
    <w:p w14:paraId="6D8D1025">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1.本范本根据《政府采购法》、《合同法》等法律法规制定。具体项目的采购合同条款，在本范本框架内由甲乙双方协商一致签订。空格处划横线。</w:t>
      </w:r>
    </w:p>
    <w:p w14:paraId="7065AF5C">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2.收款单位名称应与本合同乙方单位名称、项目中标单位名称、开具发票单位名称相一致。</w:t>
      </w:r>
    </w:p>
    <w:p w14:paraId="6EAEFD2E">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3.甲方（采购单位）应盖本单位公章（不允许盖内设科室章），乙方应盖单位公章或合同专用章，合同双方应盖骑缝章。</w:t>
      </w:r>
    </w:p>
    <w:p w14:paraId="5B67FFFB">
      <w:pPr>
        <w:spacing w:line="240" w:lineRule="auto"/>
        <w:ind w:firstLine="422" w:firstLineChars="200"/>
        <w:rPr>
          <w:rFonts w:hint="eastAsia" w:ascii="宋体" w:hAnsi="宋体" w:eastAsia="宋体" w:cs="宋体"/>
          <w:b/>
          <w:color w:val="auto"/>
        </w:rPr>
      </w:pPr>
      <w:r>
        <w:rPr>
          <w:rFonts w:hint="eastAsia" w:ascii="宋体" w:hAnsi="宋体" w:eastAsia="宋体" w:cs="宋体"/>
          <w:b/>
          <w:color w:val="auto"/>
        </w:rPr>
        <w:t>4. 除涉密项目外，根据《政府采购法实施条例》第50条规定：采购人应当自政府采购合同签订之日起2个工作日内，将政府采购合同在省级以上人民政府财政部门指定的媒体上公告。</w:t>
      </w:r>
    </w:p>
    <w:bookmarkEnd w:id="909"/>
    <w:p w14:paraId="3E84B41C">
      <w:pPr>
        <w:spacing w:line="240" w:lineRule="auto"/>
        <w:rPr>
          <w:rFonts w:hint="eastAsia" w:ascii="宋体" w:hAnsi="宋体" w:eastAsia="宋体" w:cs="宋体"/>
          <w:b/>
          <w:color w:val="auto"/>
        </w:rPr>
      </w:pPr>
      <w:r>
        <w:rPr>
          <w:rFonts w:hint="eastAsia" w:ascii="宋体" w:hAnsi="宋体" w:eastAsia="宋体" w:cs="宋体"/>
          <w:b/>
          <w:color w:val="auto"/>
        </w:rPr>
        <w:t>5.本合同仅供参考，具体以实际签订合同为准。</w:t>
      </w:r>
    </w:p>
    <w:p w14:paraId="1EED10CF">
      <w:pPr>
        <w:spacing w:line="413" w:lineRule="auto"/>
        <w:rPr>
          <w:rFonts w:hint="eastAsia" w:ascii="仿宋" w:hAnsi="仿宋" w:eastAsia="仿宋" w:cs="仿宋"/>
          <w:b/>
          <w:color w:val="auto"/>
        </w:rPr>
      </w:pPr>
    </w:p>
    <w:p w14:paraId="0D655483">
      <w:pPr>
        <w:spacing w:line="413" w:lineRule="auto"/>
        <w:rPr>
          <w:rFonts w:hint="eastAsia" w:ascii="仿宋" w:hAnsi="仿宋" w:eastAsia="仿宋" w:cs="仿宋"/>
          <w:b/>
          <w:color w:val="auto"/>
        </w:rPr>
      </w:pPr>
    </w:p>
    <w:p w14:paraId="2BD19D9E">
      <w:pPr>
        <w:pStyle w:val="2"/>
        <w:numPr>
          <w:ilvl w:val="0"/>
          <w:numId w:val="7"/>
        </w:numPr>
        <w:spacing w:before="120" w:beforeLines="0" w:after="120" w:afterLines="0" w:line="400" w:lineRule="exact"/>
        <w:ind w:left="1115" w:leftChars="0" w:firstLine="1405" w:firstLineChars="0"/>
        <w:jc w:val="both"/>
        <w:rPr>
          <w:rFonts w:hint="eastAsia"/>
          <w:color w:val="auto"/>
          <w:sz w:val="28"/>
          <w:szCs w:val="28"/>
          <w:highlight w:val="none"/>
          <w:lang w:eastAsia="zh-CN"/>
        </w:rPr>
      </w:pPr>
      <w:r>
        <w:rPr>
          <w:rFonts w:hint="eastAsia" w:ascii="宋体" w:hAnsi="宋体" w:cs="宋体"/>
          <w:color w:val="auto"/>
          <w:sz w:val="28"/>
          <w:szCs w:val="28"/>
          <w:highlight w:val="none"/>
          <w:lang w:val="en-US" w:eastAsia="zh-CN"/>
        </w:rPr>
        <w:t xml:space="preserve">  </w:t>
      </w:r>
      <w:bookmarkEnd w:id="901"/>
      <w:bookmarkEnd w:id="902"/>
      <w:bookmarkEnd w:id="903"/>
      <w:bookmarkEnd w:id="906"/>
      <w:bookmarkEnd w:id="907"/>
      <w:bookmarkEnd w:id="908"/>
      <w:r>
        <w:rPr>
          <w:rFonts w:hint="eastAsia" w:ascii="宋体" w:hAnsi="宋体" w:cs="宋体"/>
          <w:color w:val="auto"/>
          <w:sz w:val="28"/>
          <w:szCs w:val="28"/>
          <w:highlight w:val="none"/>
          <w:lang w:eastAsia="zh-CN"/>
        </w:rPr>
        <w:t>服务内容及要求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931"/>
        <w:gridCol w:w="6693"/>
      </w:tblGrid>
      <w:tr w14:paraId="6CE9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0878800">
            <w:pPr>
              <w:ind w:left="0" w:leftChars="0" w:firstLine="0" w:firstLineChars="0"/>
              <w:jc w:val="center"/>
              <w:rPr>
                <w:rFonts w:hint="eastAsia"/>
                <w:vertAlign w:val="baseline"/>
                <w:lang w:eastAsia="zh-CN"/>
              </w:rPr>
            </w:pPr>
            <w:r>
              <w:rPr>
                <w:rFonts w:hint="eastAsia"/>
                <w:vertAlign w:val="baseline"/>
                <w:lang w:eastAsia="zh-CN"/>
              </w:rPr>
              <w:t>序号</w:t>
            </w:r>
          </w:p>
        </w:tc>
        <w:tc>
          <w:tcPr>
            <w:tcW w:w="1931" w:type="dxa"/>
            <w:vAlign w:val="center"/>
          </w:tcPr>
          <w:p w14:paraId="7042B0A0">
            <w:pPr>
              <w:ind w:left="0" w:leftChars="0" w:firstLine="0" w:firstLineChars="0"/>
              <w:jc w:val="center"/>
              <w:rPr>
                <w:rFonts w:hint="eastAsia"/>
                <w:vertAlign w:val="baseline"/>
                <w:lang w:eastAsia="zh-CN"/>
              </w:rPr>
            </w:pPr>
            <w:r>
              <w:rPr>
                <w:rFonts w:hint="eastAsia"/>
                <w:vertAlign w:val="baseline"/>
                <w:lang w:eastAsia="zh-CN"/>
              </w:rPr>
              <w:t>服务内容</w:t>
            </w:r>
          </w:p>
        </w:tc>
        <w:tc>
          <w:tcPr>
            <w:tcW w:w="6693" w:type="dxa"/>
            <w:vAlign w:val="center"/>
          </w:tcPr>
          <w:p w14:paraId="2ABBB702">
            <w:pPr>
              <w:ind w:left="0" w:leftChars="0" w:firstLine="0" w:firstLineChars="0"/>
              <w:jc w:val="center"/>
              <w:rPr>
                <w:rFonts w:hint="eastAsia"/>
                <w:vertAlign w:val="baseline"/>
                <w:lang w:eastAsia="zh-CN"/>
              </w:rPr>
            </w:pPr>
            <w:r>
              <w:rPr>
                <w:rFonts w:hint="eastAsia"/>
                <w:vertAlign w:val="baseline"/>
                <w:lang w:eastAsia="zh-CN"/>
              </w:rPr>
              <w:t>具体要求</w:t>
            </w:r>
          </w:p>
        </w:tc>
      </w:tr>
      <w:tr w14:paraId="3E8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3A5991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b/>
                <w:bCs/>
                <w:vertAlign w:val="baseline"/>
                <w:lang w:eastAsia="zh-CN"/>
              </w:rPr>
              <w:t>横向联通</w:t>
            </w:r>
            <w:r>
              <w:rPr>
                <w:rFonts w:hint="eastAsia"/>
                <w:b/>
                <w:bCs/>
                <w:vertAlign w:val="baseline"/>
                <w:lang w:val="en-US" w:eastAsia="zh-CN"/>
              </w:rPr>
              <w:t>12个部门</w:t>
            </w:r>
          </w:p>
        </w:tc>
      </w:tr>
      <w:tr w14:paraId="3E7C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tcPr>
          <w:p w14:paraId="0BEC001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区金融服务中心联网</w:t>
            </w:r>
          </w:p>
        </w:tc>
      </w:tr>
      <w:tr w14:paraId="1DC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E84F47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B725F2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金融服务中心联网</w:t>
            </w:r>
          </w:p>
        </w:tc>
        <w:tc>
          <w:tcPr>
            <w:tcW w:w="6693" w:type="dxa"/>
          </w:tcPr>
          <w:p w14:paraId="725BDE3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部门报送数据自动推送、电子报表导入等多种方式，按照规定的频率、时间和路径，向区人大预算联网监督系统提供数据信息；</w:t>
            </w:r>
          </w:p>
          <w:p w14:paraId="40883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vertAlign w:val="baseline"/>
                <w:lang w:val="en-US" w:eastAsia="zh-CN"/>
              </w:rPr>
            </w:pPr>
            <w:r>
              <w:rPr>
                <w:rFonts w:hint="eastAsia"/>
                <w:vertAlign w:val="baseline"/>
                <w:lang w:val="en-US" w:eastAsia="zh-CN"/>
              </w:rPr>
              <w:t>二、适配数据范围：报送历年金融类企业国有资产报表，主要包含银行类、证券类、金融控股集团、保险类、金融资产管理公司、担保类等6类资产报表。</w:t>
            </w:r>
          </w:p>
        </w:tc>
      </w:tr>
      <w:tr w14:paraId="1DF4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7CB3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366BC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金融专题</w:t>
            </w:r>
          </w:p>
        </w:tc>
        <w:tc>
          <w:tcPr>
            <w:tcW w:w="6693" w:type="dxa"/>
          </w:tcPr>
          <w:p w14:paraId="353AE0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一、建立相应的量化分析指标体系，重点分析金融企业国有资产的基本情况、资本投向和布局、企业改革情况、资产监管情况等，为人大开展金融企业国资监管提供数据参考。</w:t>
            </w:r>
          </w:p>
        </w:tc>
      </w:tr>
      <w:tr w14:paraId="3593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DE049C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区发改委联网</w:t>
            </w:r>
          </w:p>
        </w:tc>
      </w:tr>
      <w:tr w14:paraId="726A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FBC26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E03ADE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发改委联网</w:t>
            </w:r>
          </w:p>
        </w:tc>
        <w:tc>
          <w:tcPr>
            <w:tcW w:w="6693" w:type="dxa"/>
          </w:tcPr>
          <w:p w14:paraId="4DB964E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发改部门报送数据自动推送、电子报表导入等多种方式，按照规定的频率、时间和路径，向区人大预算联网监督系统提供发改委数据信息；</w:t>
            </w:r>
          </w:p>
          <w:p w14:paraId="6D8060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val="en-US" w:eastAsia="zh-CN"/>
              </w:rPr>
              <w:t>二、适配数据范围：1.项目建议书；2.项目可行性研究报告；3.初步设计；4.政府投资项目年度计划；5.重大投资项目上年执行情况；6.重大投资项目本年预算情况；7.项目实施进度表；8.项目预算执行情况表；9.项目后评价报告等。</w:t>
            </w:r>
          </w:p>
        </w:tc>
      </w:tr>
      <w:tr w14:paraId="543C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1FF22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76289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重大项目专题</w:t>
            </w:r>
          </w:p>
        </w:tc>
        <w:tc>
          <w:tcPr>
            <w:tcW w:w="6693" w:type="dxa"/>
          </w:tcPr>
          <w:p w14:paraId="51CEE7F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发改委报送数据，设计整合项目支出数据、各部门项目过程数据，刻画重点项目全景信息，将项目管理流和资金流结合起来，勾勒项目从立项到结项管理全流程以及财政资金拨付轨迹，提供完善的项目情况分析，及时监控项目热行情况，发现过程中的问题及风险等。</w:t>
            </w:r>
          </w:p>
        </w:tc>
      </w:tr>
      <w:tr w14:paraId="1BDD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F6B64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区财政局联网</w:t>
            </w:r>
          </w:p>
        </w:tc>
      </w:tr>
      <w:tr w14:paraId="78C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DDF160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63410A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财政局联网</w:t>
            </w:r>
          </w:p>
        </w:tc>
        <w:tc>
          <w:tcPr>
            <w:tcW w:w="6693" w:type="dxa"/>
          </w:tcPr>
          <w:p w14:paraId="3AD135D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财政按要求收集整理有关数据，每日定时将截至到前一日24时的相关数据推送到本端数据交换库，区人大预算联网监督系统以数据接口方式每日定时到财政端数据交换库自动提取有关数据。</w:t>
            </w:r>
          </w:p>
          <w:p w14:paraId="02C09B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二、接口数据范围：1.转移支付数据共计12张表：2.预算绩效数据共计7张表；3.政府债务数据共计15张表；4.基础信息数据共计11张表；5.预算执行补充数据共计6张表。</w:t>
            </w:r>
          </w:p>
          <w:p w14:paraId="56A29A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三、财政采取电子报表导入系统自动适配方式，按照规定的频率、时间和路径，向区人大预算联网监督系统提供金融企业国有资产、行政事业单位国有资产等数据信息</w:t>
            </w:r>
          </w:p>
          <w:p w14:paraId="226B5C0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四、适配数据范围：1.行政事业性国有资产共计7张表；2金融企业国有资产银行类共计11张表；3.金融企业国有资产证券类共计12张表；4.金融企业国有资产金融控股集团类共计9张表；5.金融企业国有资产保险类共计12张表；6.金融企业国有资产金融资产管理类共计12张表；7.金融企业国有资产担保类共计12张表。</w:t>
            </w:r>
          </w:p>
        </w:tc>
      </w:tr>
      <w:tr w14:paraId="4DCC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AAB9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4F03F45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转移支付专题</w:t>
            </w:r>
          </w:p>
        </w:tc>
        <w:tc>
          <w:tcPr>
            <w:tcW w:w="6693" w:type="dxa"/>
          </w:tcPr>
          <w:p w14:paraId="4EF703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财政局报送数据，设计整合转移支付与财政事权和支出责住划分的匹配情况；转移支付对促进实现财政平衡及基本公共服务均等化情况；专项转移支付的清理整合情况；专项转移支付的整体绩效情况。监督转移支付预算执行和政策实施，重点是预算批准后在法律规定时间内批复下达以及资金使用绩效与政策实施</w:t>
            </w:r>
          </w:p>
        </w:tc>
      </w:tr>
      <w:tr w14:paraId="3AE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E1B0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5A31A2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政府债务专题</w:t>
            </w:r>
          </w:p>
        </w:tc>
        <w:tc>
          <w:tcPr>
            <w:tcW w:w="6693" w:type="dxa"/>
          </w:tcPr>
          <w:p w14:paraId="15DC21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财政局报送数据，设计整合政府债务包含债务率、利息负担率、新增债务率等风险评估指标体系。结合债务资金安排使用和偿还计划，评估债务风险水平等，通过报表形式统计，并可按债务、按单位显示不同维度、度量的债务余额、债务支出、债务偿还等汇总、明细统计结果并可通过查询条件显示统计信息，支持EXCEL导出统计表供汇报和领导查阅，为决策分析提供数据支撑等。</w:t>
            </w:r>
          </w:p>
        </w:tc>
      </w:tr>
      <w:tr w14:paraId="3E66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89BB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区人社局联网</w:t>
            </w:r>
          </w:p>
        </w:tc>
      </w:tr>
      <w:tr w14:paraId="64A8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9853A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EFBA2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人社局联网</w:t>
            </w:r>
          </w:p>
        </w:tc>
        <w:tc>
          <w:tcPr>
            <w:tcW w:w="6693" w:type="dxa"/>
          </w:tcPr>
          <w:p w14:paraId="5BE62A5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一、基于统一的数据标准规范、统一的信息安全体系，开发/安装部门报送平台，实现人社部门采取电子报表导入等方式，按照规定的频率、时间和路径，向区人大预算联网监督系统提供社会保险基金数据信息。</w:t>
            </w:r>
          </w:p>
          <w:p w14:paraId="048080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二、适配数据范围：1.社会保险基金预算数据共11张表；2.社会保险基金预算执行数据9张表；3.社会保险基金决算数据20张表。</w:t>
            </w:r>
          </w:p>
        </w:tc>
      </w:tr>
      <w:tr w14:paraId="4767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465A67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514C5D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社保专题</w:t>
            </w:r>
          </w:p>
        </w:tc>
        <w:tc>
          <w:tcPr>
            <w:tcW w:w="6693" w:type="dxa"/>
          </w:tcPr>
          <w:p w14:paraId="003799F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人社局报送数据，提供在线查询和报表下载功能，对数据进行建模分析，通过系统可以直观的看到截止目前的基金收入、支出情况，以及收支结余情况，掌握社保基金运行现状，实现预算执行、险种参保情况、老龄化程度等数据可视化。</w:t>
            </w:r>
          </w:p>
        </w:tc>
      </w:tr>
      <w:tr w14:paraId="7435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E1197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市自然资源和规划局平桥分局联网</w:t>
            </w:r>
          </w:p>
        </w:tc>
      </w:tr>
      <w:tr w14:paraId="3262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2CDBB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ED9B4B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市自然资源和规划局平桥分局联网</w:t>
            </w:r>
          </w:p>
        </w:tc>
        <w:tc>
          <w:tcPr>
            <w:tcW w:w="6693" w:type="dxa"/>
          </w:tcPr>
          <w:p w14:paraId="7E7CC31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自然资源部门采取电子报表导入等方式，按照规定的频率、时间和路径，向区人大预算联网监督系统提供国有自然资源资产相关决算数据信息。</w:t>
            </w:r>
          </w:p>
          <w:p w14:paraId="2A3D759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二、适配数据包含：1.土地资源存量及变动表；2.耕地资源质量分类面积汇总表：3.固体矿产资源存量及变动表：4.石油、天然气资源存量及变动表。</w:t>
            </w:r>
          </w:p>
        </w:tc>
      </w:tr>
      <w:tr w14:paraId="1AC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79412B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A29D75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自然资源专题</w:t>
            </w:r>
          </w:p>
        </w:tc>
        <w:tc>
          <w:tcPr>
            <w:tcW w:w="6693" w:type="dxa"/>
          </w:tcPr>
          <w:p w14:paraId="28CD0D1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自然资源部门报送数据，历年国有自然资源资产，主要包括土地、矿产、湿地、自然保护地等汇总报表的报送，通过整合自然资源局数据，基本实现分析指标全景信息,将土地、矿产、湿地资源、自然保护地等与宏观经济结合起来，提供完善的自然资源情况分析，及时监控自然资源与经济发展相关情况，发现过程中的问题及风险。</w:t>
            </w:r>
          </w:p>
        </w:tc>
      </w:tr>
      <w:tr w14:paraId="555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6C19B6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区农业农村局联网</w:t>
            </w:r>
          </w:p>
        </w:tc>
      </w:tr>
      <w:tr w14:paraId="46F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FD821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470C76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农业农村局联网</w:t>
            </w:r>
          </w:p>
        </w:tc>
        <w:tc>
          <w:tcPr>
            <w:tcW w:w="6693" w:type="dxa"/>
          </w:tcPr>
          <w:p w14:paraId="7BE78DC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农业农村局采取电子报表导入等方式，按照规定的频率、时间和路径，向区人大预算联网监督系统提供资产相关决算数据信息。</w:t>
            </w:r>
          </w:p>
          <w:p w14:paraId="407D49D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二、报送历年耕地质量等别及变动表和耕地质量等级及变动表，主要包括耕地利用等别、耕地质量等级等年度变动数据。</w:t>
            </w:r>
          </w:p>
        </w:tc>
      </w:tr>
      <w:tr w14:paraId="1D65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B1DEF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FBD94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专题分析</w:t>
            </w:r>
          </w:p>
        </w:tc>
        <w:tc>
          <w:tcPr>
            <w:tcW w:w="6693" w:type="dxa"/>
          </w:tcPr>
          <w:p w14:paraId="7A6976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通过整合农业农村数据，刻画分析耕地年初年末存量总体情况、年初年末存量平均质量情况，动态监控耕地质量等别/等级的变化趋势，以及变化与生态环境压力、宏观经济波动的相互影响关系，并对由此可能引发的耕地退化风险、粮食产能风险、生态风险及社会经济风险等进行及时预警。</w:t>
            </w:r>
          </w:p>
        </w:tc>
      </w:tr>
      <w:tr w14:paraId="435F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9C1F57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区水利局联网</w:t>
            </w:r>
          </w:p>
        </w:tc>
      </w:tr>
      <w:tr w14:paraId="62A0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CFD5B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2C8125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水利局联网</w:t>
            </w:r>
          </w:p>
        </w:tc>
        <w:tc>
          <w:tcPr>
            <w:tcW w:w="6693" w:type="dxa"/>
          </w:tcPr>
          <w:p w14:paraId="5E9907E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一、基于统一的数据标准规范、统一的信息安全体系，开发/安装部门报送平台，实现水利局采取电子报表导入等方式，按照规定的频率、时间和路径，向区人大预算联网监督系统提供水资源资产相关数据信息。</w:t>
            </w:r>
          </w:p>
          <w:p w14:paraId="796CE78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二、适配数据包含：水资源存量及变动表。</w:t>
            </w:r>
          </w:p>
        </w:tc>
      </w:tr>
      <w:tr w14:paraId="1673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BD94B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0A2DB8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水资源环境监测分析</w:t>
            </w:r>
          </w:p>
        </w:tc>
        <w:tc>
          <w:tcPr>
            <w:tcW w:w="6693" w:type="dxa"/>
          </w:tcPr>
          <w:p w14:paraId="323750C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一、报送历年水资源存量及变动表，通过整合水资源数据，刻画分析指标全景信息，提供完善的水资源情况分析</w:t>
            </w:r>
          </w:p>
        </w:tc>
      </w:tr>
      <w:tr w14:paraId="545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E50070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区审计局联网</w:t>
            </w:r>
          </w:p>
        </w:tc>
      </w:tr>
      <w:tr w14:paraId="34E0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EB521E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508F5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审计局联网</w:t>
            </w:r>
          </w:p>
        </w:tc>
        <w:tc>
          <w:tcPr>
            <w:tcW w:w="6693" w:type="dxa"/>
          </w:tcPr>
          <w:p w14:paraId="7B8DA7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审计部门采取数据电子报表导入等方式，按照规定的频率、时间和路径，向区人大预算联网监督系统提供审计查出问题和整改问题数据信息。</w:t>
            </w:r>
          </w:p>
          <w:p w14:paraId="2DE8B8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二、适配数据范围：1.审计工作报告；2.整改情况报告；3.审计公告；4.审计问题清单；5.审计问题整改清单；6.年度预算执行审计项目。</w:t>
            </w:r>
          </w:p>
        </w:tc>
      </w:tr>
      <w:tr w14:paraId="7BB6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ECA03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C6F3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审计专题</w:t>
            </w:r>
          </w:p>
        </w:tc>
        <w:tc>
          <w:tcPr>
            <w:tcW w:w="6693" w:type="dxa"/>
          </w:tcPr>
          <w:p w14:paraId="1BD8E58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审计局报送数据，实现历年预算执行情况审计报告、政府投资项目审计报告、专题审计报告、经济责任审计报告、审计查出突出问题情况报告、报表、相关资料等内容的在线查看和下载,并对审计查出问题按年度、类型、部门建立台帐，进行整改落实跟踪和对账销号。系统包括预算执行审计、政府投资项目审计、专题审计、审计问题整改跟踪、审计问题分析等功能子模块。</w:t>
            </w:r>
          </w:p>
        </w:tc>
      </w:tr>
      <w:tr w14:paraId="08CF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22568F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区统计局联网</w:t>
            </w:r>
          </w:p>
        </w:tc>
      </w:tr>
      <w:tr w14:paraId="4FC3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C1B1B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1A6FE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统计局联网</w:t>
            </w:r>
          </w:p>
        </w:tc>
        <w:tc>
          <w:tcPr>
            <w:tcW w:w="6693" w:type="dxa"/>
          </w:tcPr>
          <w:p w14:paraId="5683E7E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一、基于统一的数据标准规范、统一的信息安全体系，开发/安装部门报送平台，实现统计部门采取电子报表导入等方式，按照规定的频率、时间和路径，向区人大预算联网监督系统提供统计数据信息。</w:t>
            </w:r>
          </w:p>
          <w:p w14:paraId="00AA87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地区生产总值、农林牧渔业、工业、建筑业、批发和零售业、交通运输、仓储和邮政业、住宿和餐饮业、住宿业、餐饮业、金融业、房地产业、其他服务业、社会消费品零售总额、居民消费价格指数、城市居民消费价格指数、农村居民消费价格指数、商品零售价格指数、房地产开发投资、常住人口、第一产业、第二产业、第三产业等统计指标。</w:t>
            </w:r>
          </w:p>
        </w:tc>
      </w:tr>
      <w:tr w14:paraId="7B02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C765EA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21CEDC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经济专题</w:t>
            </w:r>
          </w:p>
        </w:tc>
        <w:tc>
          <w:tcPr>
            <w:tcW w:w="6693" w:type="dxa"/>
          </w:tcPr>
          <w:p w14:paraId="700262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统计局报送数据，报送历年经济指标数据，运用大数据理念与技术，借助专业的数据挖掘方法,结合经济发展特点，建立宏观经济分析模型，逐步形成经济指标数据库服务人大预算工委监督工作。</w:t>
            </w:r>
          </w:p>
        </w:tc>
      </w:tr>
      <w:tr w14:paraId="26A5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B16806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区医保局联网</w:t>
            </w:r>
          </w:p>
        </w:tc>
      </w:tr>
      <w:tr w14:paraId="545A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24A2E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0F317A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医保局联网</w:t>
            </w:r>
          </w:p>
        </w:tc>
        <w:tc>
          <w:tcPr>
            <w:tcW w:w="6693" w:type="dxa"/>
          </w:tcPr>
          <w:p w14:paraId="33A5C7D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一、基于统一的数据标准规范、统一的信息安全体系，开发/安装部门报送平台，实现医保部门采取电子报表导入等方式，按照规定的频率、时间和路径，向区人大预算联网监督系统提供医保基金数据信息。</w:t>
            </w:r>
          </w:p>
          <w:p w14:paraId="40BA95C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二、适配数据范围：1.医保基金预算数据共6张表；2.医保基金预算调整数据共1张表；3.社会保险基金预算执行数据10张表；4.医保基金决算数据10张表。</w:t>
            </w:r>
          </w:p>
        </w:tc>
      </w:tr>
      <w:tr w14:paraId="0DCC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381BE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4AAC7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医保专题</w:t>
            </w:r>
          </w:p>
        </w:tc>
        <w:tc>
          <w:tcPr>
            <w:tcW w:w="6693" w:type="dxa"/>
          </w:tcPr>
          <w:p w14:paraId="6644189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医保局报送数据，报送历年的医疗保险基金预算、预算调整、执行、决算的数据，包含对职工基本医疗保险、城乡居民基本医疗保险等主要险种的全面监督。提供在线查询和数据下载功能，并且建模分析,主要有医疗保险基金总体分析、使用分析等。</w:t>
            </w:r>
          </w:p>
        </w:tc>
      </w:tr>
      <w:tr w14:paraId="6FB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AA753D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区林业局联网</w:t>
            </w:r>
          </w:p>
        </w:tc>
      </w:tr>
      <w:tr w14:paraId="1047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12C54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1FA94B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林业局联网</w:t>
            </w:r>
          </w:p>
        </w:tc>
        <w:tc>
          <w:tcPr>
            <w:tcW w:w="6693" w:type="dxa"/>
          </w:tcPr>
          <w:p w14:paraId="6EC925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一、基于统一的数据标准规范、统一的信息安全体系，开发/安装部门报送平台，实现林业局采取电子报表导入等方式，按照规定的频率、时间和路径，向区人大预算联网监督系统提供水资源资产相关数据信息。</w:t>
            </w:r>
          </w:p>
          <w:p w14:paraId="712117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二、适配数据包含：1.林木资源期末(期初)存量及变动表；2.林木资源年度变动表；3.森林资源期末(期初)存量及变动表</w:t>
            </w:r>
          </w:p>
        </w:tc>
      </w:tr>
      <w:tr w14:paraId="023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123BD8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C9FBC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林木资源分析专题</w:t>
            </w:r>
          </w:p>
        </w:tc>
        <w:tc>
          <w:tcPr>
            <w:tcW w:w="6693" w:type="dxa"/>
          </w:tcPr>
          <w:p w14:paraId="76B1E7F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一、报送历年林木资源存量及变动表、森林资源存量及变动表，通过整合林业资源数据，刻画分析指标全景信息,提供完善的林业资源情况分析。</w:t>
            </w:r>
          </w:p>
        </w:tc>
      </w:tr>
      <w:tr w14:paraId="430B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AB829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区税务分局联网</w:t>
            </w:r>
          </w:p>
        </w:tc>
      </w:tr>
      <w:tr w14:paraId="65AA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66698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5BBBB9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税务分局联网</w:t>
            </w:r>
          </w:p>
        </w:tc>
        <w:tc>
          <w:tcPr>
            <w:tcW w:w="6693" w:type="dxa"/>
          </w:tcPr>
          <w:p w14:paraId="6E606D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一、基于统一的数据标准规范、统一的信息安全体系，开发/安装部门报送平台，实现税务部门采取电子报表导入等方式，按照规定的频率、时间和路径，向区人大预算联网监督系统提供税务数据信息。</w:t>
            </w:r>
          </w:p>
          <w:p w14:paraId="70086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二、适配数据范围：1.分税种分项目税费收入情况表；2.分经济类型税收收入情况表；3.分产业行业税收收入情况表；4.分单位税收收入完成情况(不含海关代征)表；5.分单位地方级收入完成情况表。</w:t>
            </w:r>
          </w:p>
        </w:tc>
      </w:tr>
      <w:tr w14:paraId="55A9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ADE2F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101677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收入专题</w:t>
            </w:r>
          </w:p>
        </w:tc>
        <w:tc>
          <w:tcPr>
            <w:tcW w:w="6693" w:type="dxa"/>
          </w:tcPr>
          <w:p w14:paraId="15763DD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通过税务局报送数据，报送管辖范围内历年来税收收入数据。针对全口径财政收入，建立多角度、多层级的多维分析体系，按照不同维度条件，提供分科目、分级次的收入预算执行监控，主要包含全口径收入监控、公共预算收入监控、政府性基金收入监控、收入质量监控、属地收入监控、分征收部门监控、分增幅监控、分税种监控、分行业监控等内容。</w:t>
            </w:r>
          </w:p>
        </w:tc>
      </w:tr>
      <w:tr w14:paraId="4AC9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8AB3B7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开发国资联网监督子系统</w:t>
            </w:r>
          </w:p>
        </w:tc>
      </w:tr>
      <w:tr w14:paraId="2B4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D7A0C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基础数据管理</w:t>
            </w:r>
          </w:p>
        </w:tc>
      </w:tr>
      <w:tr w14:paraId="021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64402F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AF6D0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被监督单位管理</w:t>
            </w:r>
          </w:p>
        </w:tc>
        <w:tc>
          <w:tcPr>
            <w:tcW w:w="6693" w:type="dxa"/>
          </w:tcPr>
          <w:p w14:paraId="193A6E8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据《中共中央关于建立国务院向全国人大常委会报告国有资产管理情况制度的意见》,国有资产监督的主要对象包括：企业国有资产(不含金融企业)、金融企业国有资产、行政事业性国有资产、国有自然资源等。目前，根据国有资产管理的特点，这些被监督的对象主要分布单位为财政局牵头管理的金融企业、非金融企业、行政事业单位、自然资源规划局牵头管理的自然资源资产等。</w:t>
            </w:r>
          </w:p>
        </w:tc>
      </w:tr>
      <w:tr w14:paraId="629D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20127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0792DF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企业分类管理</w:t>
            </w:r>
          </w:p>
        </w:tc>
        <w:tc>
          <w:tcPr>
            <w:tcW w:w="6693" w:type="dxa"/>
          </w:tcPr>
          <w:p w14:paraId="08AE24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一、为了更好的实现对政府国有资产管理情况监督，系统设计时需要对被监督单位提供配置企业分类的功能，以便于实现对企业分类分析以及分类预警管理。</w:t>
            </w:r>
          </w:p>
          <w:p w14:paraId="3C63B4B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为便于和财政局、统计局等数据未来实现口径对比统一，本项目的被监督单位的行业分类采用国家统计局统一颁布的行业分类体系进行分类。国有资产收益管理按照国有企业分类设定不同的上缴比例，为了满足国有企业经营情况和收益管理对比分析，将国有企业单位按照五级分类的情况进行设定。</w:t>
            </w:r>
          </w:p>
        </w:tc>
      </w:tr>
      <w:tr w14:paraId="003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BB5F14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343728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报表模板管理</w:t>
            </w:r>
          </w:p>
        </w:tc>
        <w:tc>
          <w:tcPr>
            <w:tcW w:w="6693" w:type="dxa"/>
          </w:tcPr>
          <w:p w14:paraId="571E81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一、系统支持报表的年度管理的功能，能够按照不同年度,设置通用的报表模块，适应财政部门、自然资源管理部门对国有资产年度管理中变更的情况。</w:t>
            </w:r>
          </w:p>
          <w:p w14:paraId="38F515B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二、新年度建立时，可以复制上一年度的报表目标进行调整。</w:t>
            </w:r>
          </w:p>
          <w:p w14:paraId="64D27DD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三、系统支持分析指标在年度模板的基础上，设置通用的分析指标，按照每年的会计报表进行指标计算，为分析、预警提供基础的财务分析指标，考虑不同年度的会计报表不同，分析指标与模板配套，为年度分析指标。</w:t>
            </w:r>
          </w:p>
        </w:tc>
      </w:tr>
      <w:tr w14:paraId="7468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B039AA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国资数据查询</w:t>
            </w:r>
          </w:p>
        </w:tc>
      </w:tr>
      <w:tr w14:paraId="3BCF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6D8FC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68C7C0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报告查询</w:t>
            </w:r>
          </w:p>
        </w:tc>
        <w:tc>
          <w:tcPr>
            <w:tcW w:w="6693" w:type="dxa"/>
          </w:tcPr>
          <w:p w14:paraId="4A8C4CE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设计管理四类国有资产报告功能，以报告归集和报告展示为基础，进行多维度的综合分析，健全国有资产管理情况报告制度，推进人大监督向数字化、信息化、智能化拓展。以接口或者文档形式获取国有资产往年的各类报告，并完成系统上线工作，国资报告完成上传后，进行分析并展示。</w:t>
            </w:r>
          </w:p>
        </w:tc>
      </w:tr>
      <w:tr w14:paraId="35C8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2ADD4B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881613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报告查询</w:t>
            </w:r>
          </w:p>
        </w:tc>
        <w:tc>
          <w:tcPr>
            <w:tcW w:w="6693" w:type="dxa"/>
          </w:tcPr>
          <w:p w14:paraId="40F9314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一、系统研发设计管理四类国有资产报表功能，以报表归集和报表展示为基础，进行多维度的综合分析，健全国有资产管理情况报表制度，推进人太监督向数字化、信息化、智能化拓展。实现以文档excel形式完成国资往年历史报表的采集上传工作，当年数据以接口或者文档excel形式完成采集上传，采集完成后进行数据清洗，数据治理等实施工作。根据人大国有资产监督的业务重点进行指标模型分析，例如资产负债分析、资本分析、资产总量分析、负债分析等等几十种指点指标分析,数据包含往年3-5年的业务数据。根据人大国有资产监督的业务重点进行预警指标模型设置，数据包含往年3-5年的业务数据。</w:t>
            </w:r>
          </w:p>
        </w:tc>
      </w:tr>
      <w:tr w14:paraId="38D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ADAAD1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国资数据分析</w:t>
            </w:r>
          </w:p>
        </w:tc>
      </w:tr>
      <w:tr w14:paraId="04F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005F46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7176B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国有资产总体分析</w:t>
            </w:r>
          </w:p>
        </w:tc>
        <w:tc>
          <w:tcPr>
            <w:tcW w:w="6693" w:type="dxa"/>
          </w:tcPr>
          <w:p w14:paraId="7EA972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有资产总体分析将企业国有资产(不含金融企业)、金融企业国有资产、行政事业性国有资产、国有自然资源资产相关资产数据进行统计分析。通过对总资产、总负债、所有者权益、资本保值增值率等方面进行总体说明，全面反映各类国有资产基本情况。</w:t>
            </w:r>
          </w:p>
        </w:tc>
      </w:tr>
      <w:tr w14:paraId="25C2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8D7324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60447D3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企业国有资产（不含金融企业）分析</w:t>
            </w:r>
          </w:p>
        </w:tc>
        <w:tc>
          <w:tcPr>
            <w:tcW w:w="6693" w:type="dxa"/>
          </w:tcPr>
          <w:p w14:paraId="3F7F181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企业国有资产(不含金融企业)监督重点为：总体资产负债，国有资本投向、布局和风险控制，国有企业改革，国有资产监管,国有资产处置和收益分配，境外投资形成的资产，企业高级管理人员薪酬等情况。</w:t>
            </w:r>
          </w:p>
        </w:tc>
      </w:tr>
      <w:tr w14:paraId="6FB5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11B6B7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25FA6B6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金融企业国有资产分析</w:t>
            </w:r>
          </w:p>
        </w:tc>
        <w:tc>
          <w:tcPr>
            <w:tcW w:w="6693" w:type="dxa"/>
          </w:tcPr>
          <w:p w14:paraId="5BF513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金融企业国有资产监督重点是：总体资产负债，国有资本投向、布局和风险控制，国有企业改革，国有资产监管，国有资产处置和收益分配，境外投资形成的资产,企业高级管理人员薪酬等情况。</w:t>
            </w:r>
          </w:p>
        </w:tc>
      </w:tr>
      <w:tr w14:paraId="137E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30B695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15A2543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行政事业性国有资产分析</w:t>
            </w:r>
          </w:p>
        </w:tc>
        <w:tc>
          <w:tcPr>
            <w:tcW w:w="6693" w:type="dxa"/>
          </w:tcPr>
          <w:p w14:paraId="63DE0CF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行政事业性国有资产监督重点是：资产负债总量，相关管理制度建立和实施，资产配置、使用、处置和效益,推进管理体制机制改革等情况。</w:t>
            </w:r>
          </w:p>
        </w:tc>
      </w:tr>
      <w:tr w14:paraId="6730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E77B1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5</w:t>
            </w:r>
          </w:p>
        </w:tc>
        <w:tc>
          <w:tcPr>
            <w:tcW w:w="1931" w:type="dxa"/>
            <w:vAlign w:val="center"/>
          </w:tcPr>
          <w:p w14:paraId="162F17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国有自然资源资产分析</w:t>
            </w:r>
          </w:p>
        </w:tc>
        <w:tc>
          <w:tcPr>
            <w:tcW w:w="6693" w:type="dxa"/>
          </w:tcPr>
          <w:p w14:paraId="2E085EE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国有自然资源资产监督重点是：土地资源、矿产资源、水资源、森林资源等方面的分年度分析功能。</w:t>
            </w:r>
          </w:p>
        </w:tc>
      </w:tr>
      <w:tr w14:paraId="24B2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18586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评价分析</w:t>
            </w:r>
          </w:p>
        </w:tc>
      </w:tr>
      <w:tr w14:paraId="17CE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93D328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BA2DE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企业国有资产（不含金融企业）</w:t>
            </w:r>
          </w:p>
        </w:tc>
        <w:tc>
          <w:tcPr>
            <w:tcW w:w="6693" w:type="dxa"/>
          </w:tcPr>
          <w:p w14:paraId="35056C2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企业国有资产(不含金融企业)的各类评价指标功能并研发设计指标配置工具，可以通过国有资产的报表自动计算相关的指标，系统提供指标配置工具，由实施人员配置资产的报表来自动计算相关的指标信息。</w:t>
            </w:r>
          </w:p>
        </w:tc>
      </w:tr>
      <w:tr w14:paraId="1A63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84E12D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5004074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金融企业国有资产</w:t>
            </w:r>
          </w:p>
        </w:tc>
        <w:tc>
          <w:tcPr>
            <w:tcW w:w="6693" w:type="dxa"/>
          </w:tcPr>
          <w:p w14:paraId="1742E3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系统研发设计金融企业国有资产的各类评价指标功能并研发设计指标配置工具，可以通过国有资产的报表自动计算相关的指标,系统提供指标配置工具，由实施人员配置资产的报表来自动计算相关的指标信息</w:t>
            </w:r>
          </w:p>
        </w:tc>
      </w:tr>
      <w:tr w14:paraId="0904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40E5E1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3FAA712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行政事业性国有资产</w:t>
            </w:r>
          </w:p>
        </w:tc>
        <w:tc>
          <w:tcPr>
            <w:tcW w:w="6693" w:type="dxa"/>
          </w:tcPr>
          <w:p w14:paraId="33A2563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系统研发设计行政事业性国有资产的各类评价指标功能并研发设计指标配置工具，可以通过国有资产的报表自动计算相关的指标，系统提供指标配置工具，由实施人员配置资产的报表来自动计算相关的指标信息。</w:t>
            </w:r>
          </w:p>
        </w:tc>
      </w:tr>
      <w:tr w14:paraId="433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BB59F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49FEA42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国有自然资源资产</w:t>
            </w:r>
          </w:p>
        </w:tc>
        <w:tc>
          <w:tcPr>
            <w:tcW w:w="6693" w:type="dxa"/>
          </w:tcPr>
          <w:p w14:paraId="4FC89FF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系统研发设计国有自然资源资产的各类评价指标功能并研发设计指标配置工具，可以通过国有资产的报表自动计算相关的指标,系统提供指标配置工具，由实施人员配置资产的报表来自动计算相关的指标信息。</w:t>
            </w:r>
          </w:p>
        </w:tc>
      </w:tr>
      <w:tr w14:paraId="233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2812F1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监督预警</w:t>
            </w:r>
          </w:p>
        </w:tc>
      </w:tr>
      <w:tr w14:paraId="5AB8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FA3A10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6833A6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预警级别定义</w:t>
            </w:r>
          </w:p>
        </w:tc>
        <w:tc>
          <w:tcPr>
            <w:tcW w:w="6693" w:type="dxa"/>
          </w:tcPr>
          <w:p w14:paraId="5958BBE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预警级别定义功能支持对预警级别进行“新增”、“修改”、“删除”,也可批量导入预警级别信息。</w:t>
            </w:r>
          </w:p>
        </w:tc>
      </w:tr>
      <w:tr w14:paraId="054C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1CE28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772E450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规划分类管理</w:t>
            </w:r>
          </w:p>
        </w:tc>
        <w:tc>
          <w:tcPr>
            <w:tcW w:w="6693" w:type="dxa"/>
          </w:tcPr>
          <w:p w14:paraId="5A4399E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用户可在系统中对预警规则实行分类管理，规则分类管理功能包括：“新增”、“修改”“删除”、"导入”。</w:t>
            </w:r>
          </w:p>
        </w:tc>
      </w:tr>
      <w:tr w14:paraId="1575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362B75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011B0FA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预警任务管理</w:t>
            </w:r>
          </w:p>
        </w:tc>
        <w:tc>
          <w:tcPr>
            <w:tcW w:w="6693" w:type="dxa"/>
          </w:tcPr>
          <w:p w14:paraId="763553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预警任务用来调用已设置好的预警规则对数据进行蓝督预警。创建监督预警任务，对监控对象进行实时预警或计划预警，最终生成预警监控结果</w:t>
            </w:r>
          </w:p>
        </w:tc>
      </w:tr>
      <w:tr w14:paraId="131E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FE6A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4</w:t>
            </w:r>
          </w:p>
        </w:tc>
        <w:tc>
          <w:tcPr>
            <w:tcW w:w="1931" w:type="dxa"/>
            <w:vAlign w:val="center"/>
          </w:tcPr>
          <w:p w14:paraId="42E11E8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预警结果处理</w:t>
            </w:r>
          </w:p>
        </w:tc>
        <w:tc>
          <w:tcPr>
            <w:tcW w:w="6693" w:type="dxa"/>
          </w:tcPr>
          <w:p w14:paraId="3594ED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系统按照审议预警和日常监督预警两类分别管理：1.国有资产审议预警结果处理；2.国有资产日常监督预警结果处理。</w:t>
            </w:r>
          </w:p>
        </w:tc>
      </w:tr>
      <w:tr w14:paraId="0BFE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F8A1B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智能监督服务</w:t>
            </w:r>
          </w:p>
        </w:tc>
      </w:tr>
      <w:tr w14:paraId="73F7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F7BD3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36CF82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分析报告</w:t>
            </w:r>
          </w:p>
        </w:tc>
        <w:tc>
          <w:tcPr>
            <w:tcW w:w="6693" w:type="dxa"/>
          </w:tcPr>
          <w:p w14:paraId="12FFE50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针对四类国有资产，支持按照月度、季度、年度等周期自动生成分析报告，支持报告在线编辑功能。</w:t>
            </w:r>
          </w:p>
        </w:tc>
      </w:tr>
      <w:tr w14:paraId="25F8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2AF323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931" w:type="dxa"/>
            <w:vAlign w:val="center"/>
          </w:tcPr>
          <w:p w14:paraId="01C3905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国资审议</w:t>
            </w:r>
          </w:p>
        </w:tc>
        <w:tc>
          <w:tcPr>
            <w:tcW w:w="6693" w:type="dxa"/>
          </w:tcPr>
          <w:p w14:paraId="5E74DE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建立人大国有资产监督评价指标体系，国有资产审议覆盖预先审议、初步审议、常委会审议。充分利用智能审查技术，根据审议重点自动形成智能化审议报告，实现国资审议高效化、全程化。</w:t>
            </w:r>
          </w:p>
        </w:tc>
      </w:tr>
      <w:tr w14:paraId="1DC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7A9AE6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3</w:t>
            </w:r>
          </w:p>
        </w:tc>
        <w:tc>
          <w:tcPr>
            <w:tcW w:w="1931" w:type="dxa"/>
            <w:vAlign w:val="center"/>
          </w:tcPr>
          <w:p w14:paraId="487DC6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审议整改</w:t>
            </w:r>
          </w:p>
        </w:tc>
        <w:tc>
          <w:tcPr>
            <w:tcW w:w="6693" w:type="dxa"/>
          </w:tcPr>
          <w:p w14:paraId="52B5063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针对国有资产监督审议意见、专题调研报告、审计报告等，系统支持整改与问责清单的分类处理和任务分发,分类推进问题整改，支持整改情况报告的反馈和人大常委会审议。发现问题、处理问题、反馈问题的闭环建立是人大国有资产监督的制度保障，系统通过全程化问题跟踪的机制，实现问题的闭环管理。</w:t>
            </w:r>
          </w:p>
        </w:tc>
      </w:tr>
      <w:tr w14:paraId="0DB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10526C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国资动态</w:t>
            </w:r>
          </w:p>
        </w:tc>
      </w:tr>
      <w:tr w14:paraId="43A0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2CCB0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F03C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国资动态</w:t>
            </w:r>
          </w:p>
        </w:tc>
        <w:tc>
          <w:tcPr>
            <w:tcW w:w="6693" w:type="dxa"/>
          </w:tcPr>
          <w:p w14:paraId="404ECF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包含重大制度出台、重大改革等情况；重大资产重组、变更、交易等情况；重大人事调整等。国资动态界面,可根据实际需求增加展示内容，比如国资要闻、通知公告等内容。</w:t>
            </w:r>
          </w:p>
        </w:tc>
      </w:tr>
      <w:tr w14:paraId="56B3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F44055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
                <w:bCs/>
                <w:vertAlign w:val="baseline"/>
                <w:lang w:eastAsia="zh-CN"/>
              </w:rPr>
            </w:pPr>
            <w:r>
              <w:rPr>
                <w:rFonts w:hint="eastAsia"/>
                <w:b/>
                <w:bCs/>
                <w:vertAlign w:val="baseline"/>
                <w:lang w:eastAsia="zh-CN"/>
              </w:rPr>
              <w:t>制度文件</w:t>
            </w:r>
          </w:p>
        </w:tc>
      </w:tr>
      <w:tr w14:paraId="1D1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2EA98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117462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制度文件</w:t>
            </w:r>
          </w:p>
        </w:tc>
        <w:tc>
          <w:tcPr>
            <w:tcW w:w="6693" w:type="dxa"/>
          </w:tcPr>
          <w:p w14:paraId="72D7D04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系统开发实现政策文件管理和政策文件上传，完成政策法规、资料文档等管理功能，便于对政策法规和文档资料进行归档管理,将国有企业资产管理的相关改革文件、政策文件、相关规定、参考文档资料等进行统一上传，便于系统操作中对相关政策法规和文档资料进行查阅。</w:t>
            </w:r>
          </w:p>
        </w:tc>
      </w:tr>
      <w:tr w14:paraId="1545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35A7A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移动服务平台</w:t>
            </w:r>
          </w:p>
        </w:tc>
      </w:tr>
      <w:tr w14:paraId="1011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54CEF4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工作动态</w:t>
            </w:r>
          </w:p>
        </w:tc>
      </w:tr>
      <w:tr w14:paraId="64E4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8F5892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7D51F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工作动态</w:t>
            </w:r>
          </w:p>
        </w:tc>
        <w:tc>
          <w:tcPr>
            <w:tcW w:w="6693" w:type="dxa"/>
          </w:tcPr>
          <w:p w14:paraId="428767A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功能实现查看工作动态，了解最新工作情况，进入工作动态模块，可以切换人大工作动态和政府财政工作动态等内容，点击对应题目，可查看详细内容，对重要内容和感兴趣内容进行收藏。</w:t>
            </w:r>
          </w:p>
        </w:tc>
      </w:tr>
      <w:tr w14:paraId="01A5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7500F6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预算审查</w:t>
            </w:r>
          </w:p>
        </w:tc>
      </w:tr>
      <w:tr w14:paraId="4A4A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751C6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B68CBA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预算审查</w:t>
            </w:r>
          </w:p>
        </w:tc>
        <w:tc>
          <w:tcPr>
            <w:tcW w:w="6693" w:type="dxa"/>
          </w:tcPr>
          <w:p w14:paraId="269AE2C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功能实现预算工委工作人员、人大代表在进行预算审查时，提供预算监督报表查询和有关数据图形分析等业务功能服务。</w:t>
            </w:r>
          </w:p>
        </w:tc>
      </w:tr>
      <w:tr w14:paraId="26A4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AF2CF7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预算执行监督</w:t>
            </w:r>
          </w:p>
        </w:tc>
      </w:tr>
      <w:tr w14:paraId="44E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0988C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BFE48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预算执行监督</w:t>
            </w:r>
          </w:p>
        </w:tc>
        <w:tc>
          <w:tcPr>
            <w:tcW w:w="6693" w:type="dxa"/>
          </w:tcPr>
          <w:p w14:paraId="744BA3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功能实现预算工委工作人员、人大代表在进行预决算审查时，提供预算执行监督报表查询和有关数据图形分析等业务功能服务。</w:t>
            </w:r>
          </w:p>
        </w:tc>
      </w:tr>
      <w:tr w14:paraId="000D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D6C29B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决算审查</w:t>
            </w:r>
          </w:p>
        </w:tc>
      </w:tr>
      <w:tr w14:paraId="46D9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37E35E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80CA70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决算审查</w:t>
            </w:r>
          </w:p>
        </w:tc>
        <w:tc>
          <w:tcPr>
            <w:tcW w:w="6693" w:type="dxa"/>
          </w:tcPr>
          <w:p w14:paraId="291F10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功能实现预算工委工作人员、人大代表在进行决算审查时，提供决算执行监督报表查询和有关数据图形分析等业务功能服务。</w:t>
            </w:r>
          </w:p>
        </w:tc>
      </w:tr>
      <w:tr w14:paraId="45A6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81FE15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代表意见建议</w:t>
            </w:r>
          </w:p>
        </w:tc>
      </w:tr>
      <w:tr w14:paraId="531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64DB79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5545C1C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代表意见建议</w:t>
            </w:r>
          </w:p>
        </w:tc>
        <w:tc>
          <w:tcPr>
            <w:tcW w:w="6693" w:type="dxa"/>
            <w:shd w:val="clear" w:color="auto" w:fill="auto"/>
            <w:vAlign w:val="top"/>
          </w:tcPr>
          <w:p w14:paraId="41FB9D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功能实现代表在APP上可以提交意见，进行列举，对意见进行编辑删除,并可以查看对意见的回复信息。</w:t>
            </w:r>
          </w:p>
        </w:tc>
      </w:tr>
      <w:tr w14:paraId="7F53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9BCB40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政策法规</w:t>
            </w:r>
          </w:p>
        </w:tc>
      </w:tr>
      <w:tr w14:paraId="6BEA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51DA53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A2FC4A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政策法规</w:t>
            </w:r>
          </w:p>
        </w:tc>
        <w:tc>
          <w:tcPr>
            <w:tcW w:w="6693" w:type="dxa"/>
            <w:shd w:val="clear" w:color="auto" w:fill="auto"/>
            <w:vAlign w:val="top"/>
          </w:tcPr>
          <w:p w14:paraId="0BF3152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功能实现满足旦常对政策法规查阅的需求，通过手机App快速切换分类查询，随时随地便捷查看，同时支持文档的放大缩小。</w:t>
            </w:r>
          </w:p>
        </w:tc>
      </w:tr>
      <w:tr w14:paraId="2A31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10C9D68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集成开发</w:t>
            </w:r>
          </w:p>
        </w:tc>
      </w:tr>
      <w:tr w14:paraId="75B6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633A51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9658B4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集成开发</w:t>
            </w:r>
          </w:p>
        </w:tc>
        <w:tc>
          <w:tcPr>
            <w:tcW w:w="6693" w:type="dxa"/>
            <w:shd w:val="clear" w:color="auto" w:fill="auto"/>
            <w:vAlign w:val="top"/>
          </w:tcPr>
          <w:p w14:paraId="1B951B4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在用户指定的移动应用内部完成人大预算联网监督系统移动app的集成服务，进行二次开发完成适配工作。</w:t>
            </w:r>
          </w:p>
        </w:tc>
      </w:tr>
      <w:tr w14:paraId="43B6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4EC1576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适配实施</w:t>
            </w:r>
          </w:p>
        </w:tc>
      </w:tr>
      <w:tr w14:paraId="0642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23C8CF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6248BA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适配实施</w:t>
            </w:r>
          </w:p>
        </w:tc>
        <w:tc>
          <w:tcPr>
            <w:tcW w:w="6693" w:type="dxa"/>
          </w:tcPr>
          <w:p w14:paraId="2DE1B9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完成移动应用的二次开发适配后，进行实施适配的配置工作。</w:t>
            </w:r>
          </w:p>
        </w:tc>
      </w:tr>
      <w:tr w14:paraId="2C22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40B69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国产化适配</w:t>
            </w:r>
          </w:p>
        </w:tc>
      </w:tr>
      <w:tr w14:paraId="563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743EC3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整体迁移流程</w:t>
            </w:r>
          </w:p>
        </w:tc>
      </w:tr>
      <w:tr w14:paraId="1C6B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7EFE92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76372F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整体迁移流程</w:t>
            </w:r>
          </w:p>
        </w:tc>
        <w:tc>
          <w:tcPr>
            <w:tcW w:w="6693" w:type="dxa"/>
          </w:tcPr>
          <w:p w14:paraId="2FBF02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国产化运行环境安可适配，系统升级需要熟悉现有系统运行的国产化环境，保证升级后系满足安全可靠要求为保证和现有系统能够数据无缝对接，功能平稳升级,需要详细梳理现有系统数据和业务功能，制定具有可行性的历史数据整理、数据迁移和业务功能升级方案。</w:t>
            </w:r>
          </w:p>
        </w:tc>
      </w:tr>
      <w:tr w14:paraId="7C9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BD56B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应用系统迁移方案</w:t>
            </w:r>
          </w:p>
        </w:tc>
      </w:tr>
      <w:tr w14:paraId="09EC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DA82AD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20C46B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应用系统迁移方案</w:t>
            </w:r>
          </w:p>
        </w:tc>
        <w:tc>
          <w:tcPr>
            <w:tcW w:w="6693" w:type="dxa"/>
          </w:tcPr>
          <w:p w14:paraId="07C09A0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人大预算联网监督系统(一期)包括财政预算监督、部门预算监督、专题监督、监督预警、政策法规、文档资料、宏观经济分析等应用主题。</w:t>
            </w:r>
          </w:p>
        </w:tc>
      </w:tr>
      <w:tr w14:paraId="4067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783336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数据迁移方案</w:t>
            </w:r>
          </w:p>
        </w:tc>
      </w:tr>
      <w:tr w14:paraId="510F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CADACF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4295DD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数据迁移方案</w:t>
            </w:r>
          </w:p>
        </w:tc>
        <w:tc>
          <w:tcPr>
            <w:tcW w:w="6693" w:type="dxa"/>
          </w:tcPr>
          <w:p w14:paraId="75C58F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大预算联网监督系统(一期)经过多年使用，已积累了大量业务数据。本次系统建设需要将历史数据完整进行升级迁移。</w:t>
            </w:r>
          </w:p>
        </w:tc>
      </w:tr>
      <w:tr w14:paraId="33FE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7D8B57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终端适配方案</w:t>
            </w:r>
          </w:p>
        </w:tc>
      </w:tr>
      <w:tr w14:paraId="69E0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4F8331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ED9BAA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终端适配方案</w:t>
            </w:r>
          </w:p>
        </w:tc>
        <w:tc>
          <w:tcPr>
            <w:tcW w:w="6693" w:type="dxa"/>
          </w:tcPr>
          <w:p w14:paraId="77BC407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val="en-US" w:eastAsia="zh-CN"/>
              </w:rPr>
              <w:t>考虑到终端可能存在不同的系统和版本，适配改造中，需要完成以下适配开发工作：1.桌面端安装卸载成功率100%；2.View可正常配置；3.插件（plugin）正常使用。</w:t>
            </w:r>
          </w:p>
        </w:tc>
      </w:tr>
      <w:tr w14:paraId="55C3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66EE89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外设适配方案</w:t>
            </w:r>
          </w:p>
        </w:tc>
      </w:tr>
      <w:tr w14:paraId="1DE2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C5F114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B51607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外设适配方案</w:t>
            </w:r>
          </w:p>
        </w:tc>
        <w:tc>
          <w:tcPr>
            <w:tcW w:w="6693" w:type="dxa"/>
          </w:tcPr>
          <w:p w14:paraId="04B0DC0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浏览器适配、打印机适配等</w:t>
            </w:r>
          </w:p>
        </w:tc>
      </w:tr>
      <w:tr w14:paraId="2A32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9C842B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一期系统升级和历史数据迁移</w:t>
            </w:r>
          </w:p>
        </w:tc>
      </w:tr>
      <w:tr w14:paraId="6933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5C5B93D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系统升级</w:t>
            </w:r>
          </w:p>
        </w:tc>
      </w:tr>
      <w:tr w14:paraId="58AE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DD1F4C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1B5A770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系统升级</w:t>
            </w:r>
          </w:p>
        </w:tc>
        <w:tc>
          <w:tcPr>
            <w:tcW w:w="6693" w:type="dxa"/>
          </w:tcPr>
          <w:p w14:paraId="3DA2140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拓展完善专题监督模块，着眼预算审查监督重点和业务发展方向，开发重点支出、政府债务审查、转移支付、审计整改等专题监督功能：丰富系统预警规则，充实预警规则库，完善预警处理流程：建立智能分析报告体系，自动生成财政预算执行、部门预算热行、预警系统运行月度、季度、年度分析报告。</w:t>
            </w:r>
          </w:p>
        </w:tc>
      </w:tr>
      <w:tr w14:paraId="1544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348A683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历史数据迁移</w:t>
            </w:r>
          </w:p>
        </w:tc>
      </w:tr>
      <w:tr w14:paraId="1C2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48B209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64798E4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历史数据迁移</w:t>
            </w:r>
          </w:p>
        </w:tc>
        <w:tc>
          <w:tcPr>
            <w:tcW w:w="6693" w:type="dxa"/>
          </w:tcPr>
          <w:p w14:paraId="53F57CB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完成2020年至2025年系统历史数据整理、数据清洗、数据迁移和历史数据维护等工作：确保历史数据的安全性、完整性、连续性，对政府预算收支信息进行多年度横向对比和融合分析，更有利于人大预算监督从宏观整体考察预算决策分配的科学性和有效性。</w:t>
            </w:r>
          </w:p>
        </w:tc>
      </w:tr>
      <w:tr w14:paraId="051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6E777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bCs/>
                <w:vertAlign w:val="baseline"/>
                <w:lang w:eastAsia="zh-CN"/>
              </w:rPr>
            </w:pPr>
            <w:r>
              <w:rPr>
                <w:rFonts w:hint="eastAsia"/>
                <w:b/>
                <w:bCs/>
                <w:vertAlign w:val="baseline"/>
                <w:lang w:eastAsia="zh-CN"/>
              </w:rPr>
              <w:t>政务云服务器</w:t>
            </w:r>
          </w:p>
        </w:tc>
      </w:tr>
      <w:tr w14:paraId="12C6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609D068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应用云服务器</w:t>
            </w:r>
          </w:p>
        </w:tc>
      </w:tr>
      <w:tr w14:paraId="6DBC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6E1B9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09E7DAE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应用云服务器</w:t>
            </w:r>
          </w:p>
        </w:tc>
        <w:tc>
          <w:tcPr>
            <w:tcW w:w="6693" w:type="dxa"/>
          </w:tcPr>
          <w:p w14:paraId="50A844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1.部署网络区域：政务云区；</w:t>
            </w:r>
          </w:p>
          <w:p w14:paraId="0119F8D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2.应用服务器：8核:内存容量：32G:硬盘容量：200G；</w:t>
            </w:r>
          </w:p>
          <w:p w14:paraId="759DAB8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64位操作系统或国产操作系统；</w:t>
            </w:r>
          </w:p>
          <w:p w14:paraId="165CD46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A4B8F4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r w14:paraId="482A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0814ECF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数据库云服务器</w:t>
            </w:r>
          </w:p>
        </w:tc>
      </w:tr>
      <w:tr w14:paraId="2A38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157D0E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DF5D9C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数据库云服务器</w:t>
            </w:r>
          </w:p>
        </w:tc>
        <w:tc>
          <w:tcPr>
            <w:tcW w:w="6693" w:type="dxa"/>
          </w:tcPr>
          <w:p w14:paraId="74D1450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1.部署网络区域：政务云区；</w:t>
            </w:r>
          </w:p>
          <w:p w14:paraId="6AA796B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2.数据库服务器：8核：内存容量：64G:硬盘容量：300G；</w:t>
            </w:r>
          </w:p>
          <w:p w14:paraId="07D3F9E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64位操作系统或国产操作系统；</w:t>
            </w:r>
          </w:p>
          <w:p w14:paraId="1C2D7CE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E9AE4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r w14:paraId="6FDD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14:paraId="23F61EC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b/>
                <w:bCs/>
                <w:vertAlign w:val="baseline"/>
                <w:lang w:eastAsia="zh-CN"/>
              </w:rPr>
              <w:t>移动应用平台服务器</w:t>
            </w:r>
          </w:p>
        </w:tc>
      </w:tr>
      <w:tr w14:paraId="53D8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089E3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931" w:type="dxa"/>
            <w:vAlign w:val="center"/>
          </w:tcPr>
          <w:p w14:paraId="3CF9B29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vertAlign w:val="baseline"/>
                <w:lang w:eastAsia="zh-CN"/>
              </w:rPr>
            </w:pPr>
            <w:r>
              <w:rPr>
                <w:rFonts w:hint="eastAsia"/>
                <w:vertAlign w:val="baseline"/>
                <w:lang w:eastAsia="zh-CN"/>
              </w:rPr>
              <w:t>移动应用平台服务器</w:t>
            </w:r>
          </w:p>
        </w:tc>
        <w:tc>
          <w:tcPr>
            <w:tcW w:w="6693" w:type="dxa"/>
          </w:tcPr>
          <w:p w14:paraId="1AC4903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1.部署网络区域：公有云区；</w:t>
            </w:r>
          </w:p>
          <w:p w14:paraId="3C8EE95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2.服务器配置：8核；内存容量：64G:硬盘容量：300G；</w:t>
            </w:r>
          </w:p>
          <w:p w14:paraId="309C282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3.操作系统：Windows Server 64位操作系统；</w:t>
            </w:r>
          </w:p>
          <w:p w14:paraId="20B6540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4.带宽：50M；</w:t>
            </w:r>
          </w:p>
          <w:p w14:paraId="5A4BC4C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vertAlign w:val="baseline"/>
                <w:lang w:eastAsia="zh-CN"/>
              </w:rPr>
            </w:pPr>
            <w:r>
              <w:rPr>
                <w:rFonts w:hint="eastAsia"/>
                <w:vertAlign w:val="baseline"/>
                <w:lang w:eastAsia="zh-CN"/>
              </w:rPr>
              <w:t>5.应用中间件：Weblogic14以上64位</w:t>
            </w:r>
          </w:p>
        </w:tc>
      </w:tr>
    </w:tbl>
    <w:p w14:paraId="0932179C">
      <w:pPr>
        <w:rPr>
          <w:rFonts w:hint="eastAsia"/>
          <w:lang w:eastAsia="zh-CN"/>
        </w:rPr>
      </w:pPr>
    </w:p>
    <w:p w14:paraId="4000A769">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bookmarkStart w:id="910" w:name="_Toc23181"/>
    </w:p>
    <w:bookmarkEnd w:id="910"/>
    <w:p w14:paraId="64AC6F4D">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14:paraId="0C4649A1">
      <w:pPr>
        <w:pStyle w:val="2"/>
        <w:numPr>
          <w:ilvl w:val="0"/>
          <w:numId w:val="0"/>
        </w:numPr>
        <w:spacing w:before="120" w:beforeLines="0" w:after="120" w:afterLines="0" w:line="400" w:lineRule="exact"/>
        <w:jc w:val="center"/>
        <w:rPr>
          <w:rFonts w:hint="eastAsia"/>
          <w:color w:val="auto"/>
          <w:sz w:val="36"/>
          <w:szCs w:val="24"/>
          <w:highlight w:val="none"/>
        </w:rPr>
      </w:pPr>
      <w:r>
        <w:rPr>
          <w:rFonts w:hint="eastAsia" w:ascii="宋体" w:hAnsi="宋体" w:cs="宋体"/>
          <w:color w:val="auto"/>
          <w:sz w:val="32"/>
          <w:szCs w:val="32"/>
          <w:highlight w:val="none"/>
          <w:lang w:val="en-US" w:eastAsia="zh-CN"/>
        </w:rPr>
        <w:t xml:space="preserve">第六章  </w:t>
      </w:r>
      <w:bookmarkStart w:id="911" w:name="_Toc1837"/>
      <w:r>
        <w:rPr>
          <w:rFonts w:hint="eastAsia" w:ascii="宋体" w:hAnsi="宋体" w:cs="宋体"/>
          <w:color w:val="auto"/>
          <w:sz w:val="32"/>
          <w:szCs w:val="32"/>
          <w:highlight w:val="none"/>
          <w:lang w:val="en-US" w:eastAsia="zh-CN"/>
        </w:rPr>
        <w:t>竞争性磋商响应文件格式</w:t>
      </w:r>
      <w:bookmarkEnd w:id="911"/>
    </w:p>
    <w:p w14:paraId="19D80244">
      <w:pPr>
        <w:jc w:val="center"/>
        <w:rPr>
          <w:rFonts w:hint="eastAsia" w:ascii="宋体" w:hAnsi="宋体" w:cs="宋体"/>
          <w:b/>
          <w:bCs/>
          <w:color w:val="auto"/>
          <w:sz w:val="30"/>
          <w:szCs w:val="30"/>
          <w:highlight w:val="none"/>
          <w:u w:val="single"/>
        </w:rPr>
      </w:pPr>
    </w:p>
    <w:p w14:paraId="7DF840C6">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 xml:space="preserve"> </w:t>
      </w:r>
    </w:p>
    <w:p w14:paraId="23D4AD66">
      <w:pPr>
        <w:pStyle w:val="21"/>
        <w:rPr>
          <w:rFonts w:hint="eastAsia"/>
          <w:color w:val="auto"/>
          <w:highlight w:val="none"/>
        </w:rPr>
      </w:pPr>
    </w:p>
    <w:p w14:paraId="441ECBD5">
      <w:pPr>
        <w:jc w:val="center"/>
        <w:rPr>
          <w:rFonts w:hint="eastAsia" w:ascii="宋体" w:hAnsi="宋体" w:cs="宋体"/>
          <w:color w:val="auto"/>
          <w:sz w:val="28"/>
          <w:szCs w:val="28"/>
          <w:highlight w:val="none"/>
        </w:rPr>
      </w:pPr>
    </w:p>
    <w:p w14:paraId="5A036E0C">
      <w:pPr>
        <w:spacing w:line="360" w:lineRule="auto"/>
        <w:jc w:val="center"/>
        <w:rPr>
          <w:rFonts w:hint="eastAsia" w:ascii="宋体" w:hAnsi="宋体" w:cs="宋体"/>
          <w:color w:val="auto"/>
          <w:sz w:val="72"/>
          <w:szCs w:val="84"/>
          <w:highlight w:val="none"/>
        </w:rPr>
      </w:pPr>
      <w:r>
        <w:rPr>
          <w:rFonts w:hint="eastAsia" w:ascii="宋体" w:hAnsi="宋体" w:cs="宋体"/>
          <w:b/>
          <w:bCs/>
          <w:color w:val="auto"/>
          <w:sz w:val="72"/>
          <w:szCs w:val="84"/>
          <w:highlight w:val="none"/>
        </w:rPr>
        <w:t>响 应 文 件</w:t>
      </w:r>
    </w:p>
    <w:p w14:paraId="61DA48D5">
      <w:pPr>
        <w:spacing w:line="400" w:lineRule="exact"/>
        <w:rPr>
          <w:rFonts w:hint="eastAsia" w:ascii="宋体" w:hAnsi="宋体" w:cs="宋体"/>
          <w:color w:val="auto"/>
          <w:sz w:val="28"/>
          <w:szCs w:val="28"/>
          <w:highlight w:val="none"/>
        </w:rPr>
      </w:pPr>
    </w:p>
    <w:p w14:paraId="7BE66A43">
      <w:pPr>
        <w:spacing w:line="400" w:lineRule="exact"/>
        <w:rPr>
          <w:rFonts w:hint="eastAsia" w:ascii="宋体" w:hAnsi="宋体" w:cs="宋体"/>
          <w:color w:val="auto"/>
          <w:sz w:val="28"/>
          <w:szCs w:val="28"/>
          <w:highlight w:val="none"/>
        </w:rPr>
      </w:pPr>
    </w:p>
    <w:p w14:paraId="57DF00F7">
      <w:pPr>
        <w:spacing w:line="400" w:lineRule="exact"/>
        <w:rPr>
          <w:rFonts w:hint="eastAsia" w:ascii="宋体" w:hAnsi="宋体" w:cs="宋体"/>
          <w:color w:val="auto"/>
          <w:sz w:val="28"/>
          <w:szCs w:val="28"/>
          <w:highlight w:val="none"/>
        </w:rPr>
      </w:pPr>
    </w:p>
    <w:p w14:paraId="0D7620F2">
      <w:pPr>
        <w:spacing w:line="400" w:lineRule="exact"/>
        <w:ind w:left="0" w:leftChars="0" w:firstLine="0" w:firstLineChars="0"/>
        <w:rPr>
          <w:rFonts w:hint="eastAsia" w:ascii="宋体" w:hAnsi="宋体" w:cs="宋体"/>
          <w:color w:val="auto"/>
          <w:sz w:val="28"/>
          <w:szCs w:val="28"/>
          <w:highlight w:val="none"/>
        </w:rPr>
      </w:pPr>
    </w:p>
    <w:p w14:paraId="3A21EAB1">
      <w:pPr>
        <w:spacing w:line="400" w:lineRule="exact"/>
        <w:rPr>
          <w:rFonts w:hint="eastAsia" w:ascii="宋体" w:hAnsi="宋体" w:cs="宋体"/>
          <w:color w:val="auto"/>
          <w:sz w:val="28"/>
          <w:szCs w:val="28"/>
          <w:highlight w:val="none"/>
        </w:rPr>
      </w:pPr>
    </w:p>
    <w:p w14:paraId="5394B907">
      <w:pPr>
        <w:spacing w:line="400" w:lineRule="exact"/>
        <w:rPr>
          <w:rFonts w:hint="eastAsia" w:ascii="宋体" w:hAnsi="宋体" w:cs="宋体"/>
          <w:color w:val="auto"/>
          <w:sz w:val="28"/>
          <w:szCs w:val="28"/>
          <w:highlight w:val="none"/>
        </w:rPr>
      </w:pPr>
    </w:p>
    <w:p w14:paraId="4720B60E">
      <w:pPr>
        <w:spacing w:line="400" w:lineRule="exact"/>
        <w:rPr>
          <w:rFonts w:hint="eastAsia" w:ascii="宋体" w:hAnsi="宋体" w:cs="宋体"/>
          <w:color w:val="auto"/>
          <w:sz w:val="28"/>
          <w:szCs w:val="28"/>
          <w:highlight w:val="none"/>
        </w:rPr>
      </w:pPr>
    </w:p>
    <w:p w14:paraId="7E2CBABD">
      <w:pPr>
        <w:spacing w:line="400" w:lineRule="exact"/>
        <w:rPr>
          <w:rFonts w:hint="eastAsia" w:ascii="宋体" w:hAnsi="宋体" w:cs="宋体"/>
          <w:color w:val="auto"/>
          <w:sz w:val="28"/>
          <w:szCs w:val="28"/>
          <w:highlight w:val="none"/>
        </w:rPr>
      </w:pPr>
    </w:p>
    <w:p w14:paraId="37B06896">
      <w:pPr>
        <w:pStyle w:val="9"/>
        <w:rPr>
          <w:rFonts w:hint="eastAsia" w:ascii="宋体" w:hAnsi="宋体" w:cs="宋体"/>
          <w:color w:val="auto"/>
          <w:sz w:val="28"/>
          <w:szCs w:val="28"/>
          <w:highlight w:val="none"/>
        </w:rPr>
      </w:pPr>
    </w:p>
    <w:p w14:paraId="6C935EAF">
      <w:pPr>
        <w:spacing w:line="400" w:lineRule="exact"/>
        <w:rPr>
          <w:rFonts w:hint="eastAsia" w:ascii="宋体" w:hAnsi="宋体" w:cs="宋体"/>
          <w:color w:val="auto"/>
          <w:sz w:val="28"/>
          <w:szCs w:val="28"/>
          <w:highlight w:val="none"/>
        </w:rPr>
      </w:pPr>
    </w:p>
    <w:p w14:paraId="0DD224A6">
      <w:pPr>
        <w:spacing w:line="400" w:lineRule="exact"/>
        <w:rPr>
          <w:rFonts w:hint="eastAsia" w:ascii="宋体" w:hAnsi="宋体" w:cs="宋体"/>
          <w:b/>
          <w:bCs/>
          <w:color w:val="auto"/>
          <w:sz w:val="28"/>
          <w:szCs w:val="28"/>
          <w:highlight w:val="none"/>
        </w:rPr>
      </w:pPr>
    </w:p>
    <w:p w14:paraId="43E7A4C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（单位电子签章）</w:t>
      </w:r>
    </w:p>
    <w:p w14:paraId="0B15677B">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法定代表人或其委托代理人：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（电子签名或盖章）</w:t>
      </w:r>
    </w:p>
    <w:p w14:paraId="47E64040">
      <w:pPr>
        <w:spacing w:line="48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日</w:t>
      </w:r>
    </w:p>
    <w:p w14:paraId="1AAD35B3">
      <w:pPr>
        <w:spacing w:line="400" w:lineRule="exact"/>
        <w:rPr>
          <w:rFonts w:hint="eastAsia" w:ascii="宋体" w:hAnsi="宋体" w:cs="宋体"/>
          <w:color w:val="auto"/>
          <w:sz w:val="22"/>
          <w:szCs w:val="28"/>
          <w:highlight w:val="none"/>
        </w:rPr>
      </w:pPr>
    </w:p>
    <w:p w14:paraId="36B0906B">
      <w:pPr>
        <w:pStyle w:val="52"/>
        <w:ind w:left="0" w:leftChars="0" w:firstLine="0" w:firstLineChars="0"/>
        <w:jc w:val="both"/>
        <w:rPr>
          <w:rFonts w:hint="eastAsia" w:ascii="宋体" w:hAnsi="宋体" w:eastAsia="宋体"/>
          <w:color w:val="auto"/>
          <w:sz w:val="32"/>
          <w:szCs w:val="32"/>
          <w:highlight w:val="none"/>
        </w:rPr>
      </w:pPr>
      <w:bookmarkStart w:id="912" w:name="_Toc466298157"/>
      <w:bookmarkStart w:id="913" w:name="_Toc152045787"/>
      <w:bookmarkStart w:id="914" w:name="_Toc152042576"/>
      <w:bookmarkStart w:id="915" w:name="_Toc8978"/>
      <w:bookmarkStart w:id="916" w:name="_Toc20198"/>
      <w:bookmarkStart w:id="917" w:name="_Toc144974856"/>
    </w:p>
    <w:p w14:paraId="6A21CF2B">
      <w:pPr>
        <w:pStyle w:val="52"/>
        <w:ind w:left="0" w:leftChars="0" w:firstLine="0" w:firstLineChars="0"/>
        <w:jc w:val="both"/>
        <w:rPr>
          <w:rFonts w:hint="eastAsia" w:ascii="宋体" w:hAnsi="宋体" w:eastAsia="宋体"/>
          <w:color w:val="auto"/>
          <w:sz w:val="32"/>
          <w:szCs w:val="32"/>
          <w:highlight w:val="none"/>
        </w:rPr>
      </w:pPr>
    </w:p>
    <w:bookmarkEnd w:id="912"/>
    <w:bookmarkEnd w:id="913"/>
    <w:bookmarkEnd w:id="914"/>
    <w:bookmarkEnd w:id="915"/>
    <w:bookmarkEnd w:id="916"/>
    <w:bookmarkEnd w:id="917"/>
    <w:p w14:paraId="4334B33D">
      <w:pPr>
        <w:spacing w:line="540" w:lineRule="exact"/>
        <w:rPr>
          <w:rFonts w:hint="eastAsia" w:ascii="宋体" w:hAnsi="宋体" w:cs="宋体"/>
          <w:color w:val="auto"/>
          <w:sz w:val="24"/>
          <w:szCs w:val="32"/>
          <w:highlight w:val="none"/>
        </w:rPr>
      </w:pPr>
    </w:p>
    <w:p w14:paraId="624FAC55">
      <w:pPr>
        <w:pStyle w:val="24"/>
        <w:rPr>
          <w:rFonts w:hint="eastAsia" w:ascii="宋体" w:hAnsi="宋体" w:cs="宋体"/>
          <w:color w:val="auto"/>
          <w:sz w:val="24"/>
          <w:szCs w:val="32"/>
          <w:highlight w:val="none"/>
        </w:rPr>
      </w:pPr>
    </w:p>
    <w:p w14:paraId="604CCFF2">
      <w:pPr>
        <w:pStyle w:val="52"/>
        <w:ind w:left="0" w:leftChars="0" w:firstLine="0" w:firstLineChars="0"/>
        <w:jc w:val="center"/>
        <w:rPr>
          <w:rFonts w:hint="eastAsia" w:ascii="宋体" w:hAnsi="宋体" w:eastAsia="宋体"/>
          <w:color w:val="auto"/>
          <w:sz w:val="32"/>
          <w:szCs w:val="32"/>
          <w:highlight w:val="none"/>
        </w:rPr>
      </w:pPr>
    </w:p>
    <w:p w14:paraId="1D39DC9C">
      <w:pPr>
        <w:pStyle w:val="52"/>
        <w:ind w:left="0" w:leftChars="0" w:firstLine="0" w:firstLineChars="0"/>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5E39A675">
      <w:pPr>
        <w:pStyle w:val="25"/>
        <w:rPr>
          <w:rFonts w:hint="eastAsia"/>
          <w:color w:val="auto"/>
          <w:highlight w:val="none"/>
        </w:rPr>
      </w:pPr>
    </w:p>
    <w:p w14:paraId="684534FF">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lang w:eastAsia="zh-CN"/>
        </w:rPr>
        <w:t>响应函</w:t>
      </w:r>
      <w:r>
        <w:rPr>
          <w:rFonts w:hint="eastAsia" w:ascii="宋体" w:hAnsi="宋体" w:cs="宋体"/>
          <w:color w:val="auto"/>
          <w:highlight w:val="none"/>
        </w:rPr>
        <w:t>及</w:t>
      </w:r>
      <w:r>
        <w:rPr>
          <w:rFonts w:hint="eastAsia" w:ascii="宋体" w:hAnsi="宋体" w:cs="宋体"/>
          <w:color w:val="auto"/>
          <w:highlight w:val="none"/>
          <w:lang w:eastAsia="zh-CN"/>
        </w:rPr>
        <w:t>响应函附录</w:t>
      </w:r>
      <w:r>
        <w:rPr>
          <w:rFonts w:hint="eastAsia" w:ascii="宋体" w:hAnsi="宋体" w:cs="宋体"/>
          <w:color w:val="auto"/>
          <w:highlight w:val="none"/>
        </w:rPr>
        <w:t xml:space="preserve"> </w:t>
      </w:r>
    </w:p>
    <w:p w14:paraId="6BAED0E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法定代表人（单位负责人）身份证明（适用于无委托代理人的情况）</w:t>
      </w:r>
    </w:p>
    <w:p w14:paraId="7D272CC0">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 xml:space="preserve">授权委托书（适用于有委托代理人的情况） </w:t>
      </w:r>
    </w:p>
    <w:p w14:paraId="4EAEBF99">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四、技术方案</w:t>
      </w:r>
    </w:p>
    <w:p w14:paraId="64A4140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资格证明材料</w:t>
      </w:r>
    </w:p>
    <w:p w14:paraId="74D1355C">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中小企业声明函</w:t>
      </w:r>
    </w:p>
    <w:p w14:paraId="54716A8E">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残疾人福利性单位声明函(如有)</w:t>
      </w:r>
      <w:r>
        <w:rPr>
          <w:rFonts w:hint="eastAsia" w:ascii="宋体" w:hAnsi="宋体" w:cs="宋体"/>
          <w:color w:val="auto"/>
          <w:highlight w:val="none"/>
          <w:lang w:eastAsia="zh-CN"/>
        </w:rPr>
        <w:t>（非专门面向中小企业适用）</w:t>
      </w:r>
    </w:p>
    <w:p w14:paraId="7CCE96BE">
      <w:pPr>
        <w:spacing w:line="540" w:lineRule="exact"/>
        <w:rPr>
          <w:rFonts w:hint="eastAsia" w:ascii="宋体" w:hAnsi="宋体" w:cs="宋体"/>
          <w:color w:val="auto"/>
          <w:highlight w:val="none"/>
          <w:lang w:eastAsia="zh-CN"/>
        </w:rPr>
      </w:pPr>
      <w:r>
        <w:rPr>
          <w:rFonts w:hint="eastAsia" w:ascii="宋体" w:hAnsi="宋体" w:cs="宋体"/>
          <w:color w:val="auto"/>
          <w:highlight w:val="none"/>
          <w:lang w:val="en-US" w:eastAsia="zh-CN"/>
        </w:rPr>
        <w:t>八、</w:t>
      </w:r>
      <w:r>
        <w:rPr>
          <w:rFonts w:hint="eastAsia" w:ascii="宋体" w:hAnsi="宋体" w:cs="宋体"/>
          <w:color w:val="auto"/>
          <w:highlight w:val="none"/>
        </w:rPr>
        <w:t>监狱企业证明文件（如有）</w:t>
      </w:r>
      <w:r>
        <w:rPr>
          <w:rFonts w:hint="eastAsia" w:ascii="宋体" w:hAnsi="宋体" w:cs="宋体"/>
          <w:color w:val="auto"/>
          <w:highlight w:val="none"/>
          <w:lang w:eastAsia="zh-CN"/>
        </w:rPr>
        <w:t>（非专门面向中小企业适用）</w:t>
      </w:r>
    </w:p>
    <w:p w14:paraId="7BF56E87">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反商业贿赂承诺书</w:t>
      </w:r>
    </w:p>
    <w:p w14:paraId="2AEC6702">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十、</w:t>
      </w:r>
      <w:r>
        <w:rPr>
          <w:rFonts w:hint="eastAsia" w:ascii="宋体" w:hAnsi="宋体" w:cs="宋体"/>
          <w:color w:val="auto"/>
          <w:highlight w:val="none"/>
        </w:rPr>
        <w:t>其他材料</w:t>
      </w:r>
    </w:p>
    <w:p w14:paraId="34C73958">
      <w:pPr>
        <w:spacing w:line="540" w:lineRule="exact"/>
        <w:rPr>
          <w:rFonts w:hint="eastAsia" w:ascii="宋体" w:hAnsi="宋体" w:cs="宋体"/>
          <w:color w:val="auto"/>
          <w:highlight w:val="none"/>
        </w:rPr>
      </w:pPr>
    </w:p>
    <w:p w14:paraId="3301B465">
      <w:pPr>
        <w:pStyle w:val="24"/>
        <w:rPr>
          <w:rFonts w:hint="eastAsia"/>
          <w:color w:val="auto"/>
          <w:highlight w:val="none"/>
        </w:rPr>
      </w:pPr>
    </w:p>
    <w:p w14:paraId="0431DCED">
      <w:pPr>
        <w:spacing w:line="540" w:lineRule="exact"/>
        <w:rPr>
          <w:rFonts w:hint="eastAsia" w:ascii="宋体" w:hAnsi="宋体" w:cs="宋体"/>
          <w:color w:val="auto"/>
          <w:highlight w:val="none"/>
        </w:rPr>
      </w:pPr>
    </w:p>
    <w:p w14:paraId="16E2A6E3">
      <w:pPr>
        <w:spacing w:line="540" w:lineRule="exact"/>
        <w:ind w:left="0" w:leftChars="0" w:firstLine="0" w:firstLineChars="0"/>
        <w:rPr>
          <w:rFonts w:hint="eastAsia" w:ascii="宋体" w:hAnsi="宋体" w:cs="宋体"/>
          <w:color w:val="auto"/>
          <w:highlight w:val="none"/>
        </w:rPr>
      </w:pPr>
    </w:p>
    <w:p w14:paraId="791DAF7A">
      <w:pPr>
        <w:pStyle w:val="44"/>
        <w:rPr>
          <w:rFonts w:hint="eastAsia" w:ascii="宋体" w:hAnsi="宋体" w:cs="宋体"/>
          <w:color w:val="auto"/>
          <w:highlight w:val="none"/>
        </w:rPr>
      </w:pPr>
    </w:p>
    <w:p w14:paraId="1977FEC1">
      <w:pPr>
        <w:pStyle w:val="21"/>
        <w:rPr>
          <w:rFonts w:hint="eastAsia" w:ascii="宋体" w:hAnsi="宋体" w:cs="宋体"/>
          <w:color w:val="auto"/>
          <w:highlight w:val="none"/>
        </w:rPr>
      </w:pPr>
    </w:p>
    <w:p w14:paraId="1C7731DD">
      <w:pPr>
        <w:pStyle w:val="21"/>
        <w:rPr>
          <w:rFonts w:hint="eastAsia" w:ascii="宋体" w:hAnsi="宋体" w:cs="宋体"/>
          <w:color w:val="auto"/>
          <w:highlight w:val="none"/>
        </w:rPr>
      </w:pPr>
    </w:p>
    <w:p w14:paraId="59B15944">
      <w:pPr>
        <w:pStyle w:val="21"/>
        <w:rPr>
          <w:rFonts w:hint="eastAsia" w:ascii="宋体" w:hAnsi="宋体" w:cs="宋体"/>
          <w:color w:val="auto"/>
          <w:highlight w:val="none"/>
        </w:rPr>
      </w:pPr>
    </w:p>
    <w:p w14:paraId="05396621">
      <w:pPr>
        <w:rPr>
          <w:rFonts w:hint="eastAsia" w:ascii="宋体" w:hAnsi="宋体" w:eastAsia="宋体"/>
          <w:b/>
          <w:color w:val="auto"/>
          <w:szCs w:val="28"/>
          <w:highlight w:val="none"/>
        </w:rPr>
      </w:pPr>
      <w:bookmarkStart w:id="918" w:name="_Toc144974857"/>
      <w:bookmarkStart w:id="919" w:name="_Toc152042577"/>
      <w:bookmarkStart w:id="920" w:name="_Toc152045788"/>
      <w:bookmarkStart w:id="921" w:name="_Toc8095"/>
      <w:bookmarkStart w:id="922" w:name="_Toc466298158"/>
      <w:bookmarkStart w:id="923" w:name="_Toc9911"/>
      <w:r>
        <w:rPr>
          <w:rFonts w:hint="eastAsia" w:ascii="宋体" w:hAnsi="宋体" w:eastAsia="宋体"/>
          <w:b/>
          <w:color w:val="auto"/>
          <w:szCs w:val="28"/>
          <w:highlight w:val="none"/>
          <w:lang w:eastAsia="zh-CN"/>
        </w:rPr>
        <w:br w:type="page"/>
      </w:r>
    </w:p>
    <w:p w14:paraId="5D217E0D">
      <w:pPr>
        <w:pStyle w:val="52"/>
        <w:numPr>
          <w:ilvl w:val="0"/>
          <w:numId w:val="8"/>
        </w:numPr>
        <w:jc w:val="center"/>
        <w:rPr>
          <w:rFonts w:hint="eastAsia" w:ascii="宋体" w:hAnsi="宋体" w:eastAsia="宋体"/>
          <w:b/>
          <w:color w:val="auto"/>
          <w:szCs w:val="28"/>
          <w:highlight w:val="none"/>
        </w:rPr>
      </w:pPr>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及</w:t>
      </w:r>
      <w:bookmarkEnd w:id="918"/>
      <w:bookmarkEnd w:id="919"/>
      <w:bookmarkEnd w:id="920"/>
      <w:r>
        <w:rPr>
          <w:rFonts w:hint="eastAsia" w:ascii="宋体" w:hAnsi="宋体" w:eastAsia="宋体"/>
          <w:b/>
          <w:color w:val="auto"/>
          <w:szCs w:val="28"/>
          <w:highlight w:val="none"/>
          <w:lang w:eastAsia="zh-CN"/>
        </w:rPr>
        <w:t>响应函</w:t>
      </w:r>
      <w:r>
        <w:rPr>
          <w:rFonts w:hint="eastAsia" w:ascii="宋体" w:hAnsi="宋体" w:eastAsia="宋体"/>
          <w:b/>
          <w:color w:val="auto"/>
          <w:szCs w:val="28"/>
          <w:highlight w:val="none"/>
        </w:rPr>
        <w:t>附录</w:t>
      </w:r>
      <w:bookmarkEnd w:id="921"/>
      <w:bookmarkEnd w:id="922"/>
      <w:bookmarkEnd w:id="923"/>
    </w:p>
    <w:p w14:paraId="491FE12A">
      <w:pPr>
        <w:pStyle w:val="54"/>
        <w:numPr>
          <w:ilvl w:val="0"/>
          <w:numId w:val="9"/>
        </w:numPr>
        <w:jc w:val="center"/>
        <w:outlineLvl w:val="0"/>
        <w:rPr>
          <w:rFonts w:hint="eastAsia" w:ascii="宋体" w:hAnsi="宋体" w:eastAsia="宋体"/>
          <w:b/>
          <w:color w:val="auto"/>
          <w:szCs w:val="23"/>
          <w:highlight w:val="none"/>
        </w:rPr>
      </w:pPr>
      <w:r>
        <w:rPr>
          <w:rFonts w:hint="eastAsia" w:ascii="宋体" w:hAnsi="宋体" w:eastAsia="宋体"/>
          <w:b/>
          <w:color w:val="auto"/>
          <w:szCs w:val="23"/>
          <w:highlight w:val="none"/>
          <w:lang w:eastAsia="zh-CN"/>
        </w:rPr>
        <w:t>响应函</w:t>
      </w:r>
    </w:p>
    <w:p w14:paraId="0BC5AE31">
      <w:pPr>
        <w:pStyle w:val="12"/>
        <w:spacing w:line="420" w:lineRule="exact"/>
        <w:ind w:left="98" w:leftChars="0" w:hanging="98" w:hangingChars="47"/>
        <w:rPr>
          <w:rFonts w:hint="eastAsia" w:ascii="宋体" w:hAnsi="宋体"/>
          <w:color w:val="auto"/>
          <w:szCs w:val="21"/>
          <w:highlight w:val="none"/>
        </w:rPr>
      </w:pPr>
      <w:bookmarkStart w:id="924" w:name="_Toc447888814"/>
      <w:bookmarkStart w:id="925" w:name="_Toc490667893"/>
      <w:bookmarkStart w:id="926" w:name="_Toc466298160"/>
      <w:bookmarkStart w:id="927" w:name="_Toc19056"/>
      <w:r>
        <w:rPr>
          <w:rFonts w:hint="eastAsia" w:ascii="宋体" w:hAnsi="宋体"/>
          <w:color w:val="auto"/>
          <w:szCs w:val="21"/>
          <w:highlight w:val="none"/>
        </w:rPr>
        <w:t>致 ：</w:t>
      </w:r>
      <w:r>
        <w:rPr>
          <w:rFonts w:hint="eastAsia" w:ascii="宋体" w:hAnsi="宋体"/>
          <w:color w:val="auto"/>
          <w:szCs w:val="21"/>
          <w:highlight w:val="none"/>
          <w:u w:val="single"/>
        </w:rPr>
        <w:t>（采购人）</w:t>
      </w:r>
    </w:p>
    <w:p w14:paraId="49F5B07B">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．根据已收到的</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w:t>
      </w:r>
      <w:r>
        <w:rPr>
          <w:rFonts w:hint="eastAsia" w:ascii="宋体" w:hAnsi="宋体"/>
          <w:color w:val="auto"/>
          <w:szCs w:val="21"/>
          <w:highlight w:val="none"/>
        </w:rPr>
        <w:t>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，遵照《中华人民共和国政府采购法》等有关规定，经考察和认真研究本项目</w:t>
      </w:r>
      <w:r>
        <w:rPr>
          <w:rFonts w:hint="eastAsia" w:ascii="宋体" w:hAnsi="宋体"/>
          <w:color w:val="auto"/>
          <w:szCs w:val="21"/>
          <w:highlight w:val="none"/>
          <w:lang w:eastAsia="zh-CN"/>
        </w:rPr>
        <w:t>竞争性磋商文件及其他有关</w:t>
      </w:r>
      <w:r>
        <w:rPr>
          <w:rFonts w:hint="eastAsia" w:ascii="宋体" w:hAnsi="宋体"/>
          <w:color w:val="auto"/>
          <w:szCs w:val="21"/>
          <w:highlight w:val="none"/>
        </w:rPr>
        <w:t>文件后，愿以人民币（大写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）的磋商总报价作为第一次磋商报价，按合同约定实施和完成本项目，并承担其任何质量缺陷等问题所造成的任何损失。</w:t>
      </w:r>
    </w:p>
    <w:p w14:paraId="0B7539EF">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．我方已详细检查全部</w:t>
      </w:r>
      <w:r>
        <w:rPr>
          <w:rFonts w:hint="eastAsia" w:ascii="宋体" w:hAnsi="宋体"/>
          <w:color w:val="auto"/>
          <w:szCs w:val="21"/>
          <w:highlight w:val="none"/>
          <w:lang w:eastAsia="zh-CN"/>
        </w:rPr>
        <w:t>竞争性磋商文件</w:t>
      </w:r>
      <w:r>
        <w:rPr>
          <w:rFonts w:hint="eastAsia" w:ascii="宋体" w:hAnsi="宋体"/>
          <w:color w:val="auto"/>
          <w:szCs w:val="21"/>
          <w:highlight w:val="none"/>
        </w:rPr>
        <w:t>包括澄清文件、补充通知（如有的话）及有关附件，并完全理解我方必须放弃提出含糊不清或误解的权力，愿按照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中的条款和要求按最后一次的报价做为最后报价。</w:t>
      </w:r>
    </w:p>
    <w:p w14:paraId="7D784DC7">
      <w:pPr>
        <w:pStyle w:val="12"/>
        <w:spacing w:line="420" w:lineRule="exact"/>
        <w:ind w:left="1" w:leftChars="0"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．我方在此承诺，我方若能成交，保证在服务期限内，全面履行</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中规定的职责和义务。</w:t>
      </w:r>
    </w:p>
    <w:p w14:paraId="62089BA7">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4．如果我方成交，我方保证按合同条款中规定的内容执行；我方保证质量达到国家及行业现行标准规范规定的合格要求，并按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和有关规定提交一切资料。</w:t>
      </w:r>
    </w:p>
    <w:p w14:paraId="618E6785">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5．如果我方成交，我方将按照采购人规定提交履约保证金。</w:t>
      </w:r>
    </w:p>
    <w:p w14:paraId="54A11513">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6．我方同意从响应文件递交截止日期起</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日历天内保持</w:t>
      </w:r>
      <w:r>
        <w:rPr>
          <w:rFonts w:hint="eastAsia" w:ascii="宋体" w:hAnsi="宋体"/>
          <w:color w:val="auto"/>
          <w:szCs w:val="21"/>
          <w:highlight w:val="none"/>
          <w:lang w:eastAsia="zh-CN"/>
        </w:rPr>
        <w:t>响应文件</w:t>
      </w:r>
      <w:r>
        <w:rPr>
          <w:rFonts w:hint="eastAsia" w:ascii="宋体" w:hAnsi="宋体"/>
          <w:color w:val="auto"/>
          <w:szCs w:val="21"/>
          <w:highlight w:val="none"/>
        </w:rPr>
        <w:t>有效，在此有效期内，我方将严格遵守</w:t>
      </w:r>
      <w:r>
        <w:rPr>
          <w:rFonts w:hint="eastAsia" w:ascii="宋体" w:hAnsi="宋体"/>
          <w:color w:val="auto"/>
          <w:szCs w:val="21"/>
          <w:highlight w:val="none"/>
          <w:lang w:eastAsia="zh-CN"/>
        </w:rPr>
        <w:t>响应文件</w:t>
      </w:r>
      <w:r>
        <w:rPr>
          <w:rFonts w:hint="eastAsia" w:ascii="宋体" w:hAnsi="宋体"/>
          <w:color w:val="auto"/>
          <w:szCs w:val="21"/>
          <w:highlight w:val="none"/>
        </w:rPr>
        <w:t>的承诺，本</w:t>
      </w:r>
      <w:r>
        <w:rPr>
          <w:rFonts w:hint="eastAsia" w:ascii="宋体" w:hAnsi="宋体"/>
          <w:color w:val="auto"/>
          <w:szCs w:val="21"/>
          <w:highlight w:val="none"/>
          <w:lang w:eastAsia="zh-CN"/>
        </w:rPr>
        <w:t>响应文件</w:t>
      </w:r>
      <w:r>
        <w:rPr>
          <w:rFonts w:hint="eastAsia" w:ascii="宋体" w:hAnsi="宋体"/>
          <w:color w:val="auto"/>
          <w:szCs w:val="21"/>
          <w:highlight w:val="none"/>
        </w:rPr>
        <w:t>对我方具有约束力，并可随时被接受成交。</w:t>
      </w:r>
    </w:p>
    <w:p w14:paraId="32E3CA90">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7．除</w:t>
      </w:r>
      <w:r>
        <w:rPr>
          <w:rFonts w:hint="eastAsia" w:ascii="宋体" w:hAnsi="宋体"/>
          <w:color w:val="auto"/>
          <w:szCs w:val="21"/>
          <w:highlight w:val="none"/>
          <w:lang w:eastAsia="zh-CN"/>
        </w:rPr>
        <w:t>响应文件</w:t>
      </w:r>
      <w:r>
        <w:rPr>
          <w:rFonts w:hint="eastAsia" w:ascii="宋体" w:hAnsi="宋体"/>
          <w:color w:val="auto"/>
          <w:szCs w:val="21"/>
          <w:highlight w:val="none"/>
        </w:rPr>
        <w:t>所提交的资料外，我方同意随时接受贵方的检查、询问，并根据磋商需要补充贵方要求提交的资料。</w:t>
      </w:r>
    </w:p>
    <w:p w14:paraId="2CD98BC7">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8．如果我方成交后，我方没有任何正当理由而拒签合同，同时我方愿意补偿该项工作因我方延误所造成的经济损失。</w:t>
      </w:r>
    </w:p>
    <w:p w14:paraId="048F798C">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9．我方愿接受合同条款中规定的合同价款计算和调整方式。</w:t>
      </w:r>
    </w:p>
    <w:p w14:paraId="48A9DE43">
      <w:pPr>
        <w:pStyle w:val="12"/>
        <w:spacing w:line="420" w:lineRule="exact"/>
        <w:ind w:left="1" w:leftChars="0" w:firstLine="420" w:firstLineChars="200"/>
        <w:rPr>
          <w:rFonts w:hint="eastAsia" w:ascii="宋体" w:hAnsi="宋体"/>
          <w:color w:val="auto"/>
          <w:szCs w:val="21"/>
          <w:highlight w:val="none"/>
        </w:rPr>
      </w:pPr>
      <w:r>
        <w:rPr>
          <w:rFonts w:hint="eastAsia" w:ascii="宋体" w:hAnsi="宋体"/>
          <w:color w:val="auto"/>
          <w:szCs w:val="21"/>
          <w:highlight w:val="none"/>
        </w:rPr>
        <w:t>10．除非另外达成协议并生效，贵方的成交通知书和本</w:t>
      </w:r>
      <w:r>
        <w:rPr>
          <w:rFonts w:hint="eastAsia" w:ascii="宋体" w:hAnsi="宋体"/>
          <w:color w:val="auto"/>
          <w:szCs w:val="21"/>
          <w:highlight w:val="none"/>
          <w:lang w:eastAsia="zh-CN"/>
        </w:rPr>
        <w:t>响应文件</w:t>
      </w:r>
      <w:r>
        <w:rPr>
          <w:rFonts w:hint="eastAsia" w:ascii="宋体" w:hAnsi="宋体"/>
          <w:color w:val="auto"/>
          <w:szCs w:val="21"/>
          <w:highlight w:val="none"/>
        </w:rPr>
        <w:t>将成为约束我方的合同文件组成部分。</w:t>
      </w:r>
    </w:p>
    <w:p w14:paraId="2E3DE229">
      <w:pPr>
        <w:pStyle w:val="12"/>
        <w:spacing w:line="420" w:lineRule="exact"/>
        <w:ind w:left="0" w:leftChars="0" w:firstLine="0" w:firstLineChars="0"/>
        <w:rPr>
          <w:rFonts w:hint="eastAsia" w:ascii="宋体" w:hAnsi="宋体"/>
          <w:color w:val="auto"/>
          <w:szCs w:val="21"/>
          <w:highlight w:val="none"/>
        </w:rPr>
      </w:pPr>
    </w:p>
    <w:p w14:paraId="7E05184E">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供应商：</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（单位电子签章）</w:t>
      </w:r>
    </w:p>
    <w:p w14:paraId="76A2C18C">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法定代表人或其委托代理人：</w:t>
      </w:r>
      <w:r>
        <w:rPr>
          <w:rFonts w:hint="eastAsia" w:ascii="宋体" w:hAnsi="宋体" w:cs="宋体"/>
          <w:b/>
          <w:bCs/>
          <w:color w:val="auto"/>
          <w:szCs w:val="21"/>
          <w:u w:val="single"/>
        </w:rPr>
        <w:t xml:space="preserve">    </w:t>
      </w:r>
      <w:r>
        <w:rPr>
          <w:rFonts w:hint="eastAsia" w:ascii="宋体" w:hAnsi="宋体" w:cs="宋体"/>
          <w:b/>
          <w:bCs/>
          <w:color w:val="auto"/>
          <w:szCs w:val="21"/>
          <w:u w:val="single"/>
          <w:lang w:val="en-US" w:eastAsia="zh-CN"/>
        </w:rPr>
        <w:t xml:space="preserve"> </w:t>
      </w:r>
      <w:r>
        <w:rPr>
          <w:rFonts w:hint="eastAsia" w:ascii="宋体" w:hAnsi="宋体" w:cs="宋体"/>
          <w:b/>
          <w:bCs/>
          <w:color w:val="auto"/>
          <w:szCs w:val="21"/>
          <w:u w:val="single"/>
        </w:rPr>
        <w:t xml:space="preserve">   </w:t>
      </w:r>
      <w:r>
        <w:rPr>
          <w:rFonts w:hint="eastAsia" w:ascii="宋体" w:hAnsi="宋体" w:cs="宋体"/>
          <w:b/>
          <w:bCs/>
          <w:color w:val="auto"/>
          <w:szCs w:val="21"/>
        </w:rPr>
        <w:t>（电子签名或盖章）</w:t>
      </w:r>
    </w:p>
    <w:p w14:paraId="045C2726">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地址：</w:t>
      </w:r>
      <w:r>
        <w:rPr>
          <w:rFonts w:hint="eastAsia" w:ascii="宋体" w:hAnsi="宋体" w:cs="宋体"/>
          <w:b/>
          <w:bCs/>
          <w:color w:val="auto"/>
          <w:szCs w:val="21"/>
          <w:u w:val="single"/>
        </w:rPr>
        <w:t xml:space="preserve">                                </w:t>
      </w:r>
    </w:p>
    <w:p w14:paraId="1E05503D">
      <w:pPr>
        <w:spacing w:line="400" w:lineRule="exact"/>
        <w:ind w:firstLine="3900" w:firstLineChars="1850"/>
        <w:rPr>
          <w:rFonts w:hint="eastAsia" w:ascii="宋体" w:hAnsi="宋体" w:cs="宋体"/>
          <w:b/>
          <w:bCs/>
          <w:color w:val="auto"/>
          <w:szCs w:val="21"/>
        </w:rPr>
      </w:pPr>
      <w:r>
        <w:rPr>
          <w:rFonts w:hint="eastAsia" w:ascii="宋体" w:hAnsi="宋体" w:cs="宋体"/>
          <w:b/>
          <w:bCs/>
          <w:color w:val="auto"/>
          <w:szCs w:val="21"/>
        </w:rPr>
        <w:t>电话：</w:t>
      </w:r>
      <w:r>
        <w:rPr>
          <w:rFonts w:hint="eastAsia" w:ascii="宋体" w:hAnsi="宋体" w:cs="宋体"/>
          <w:b/>
          <w:bCs/>
          <w:color w:val="auto"/>
          <w:szCs w:val="21"/>
          <w:u w:val="single"/>
        </w:rPr>
        <w:t xml:space="preserve">                                </w:t>
      </w:r>
    </w:p>
    <w:p w14:paraId="428D077E">
      <w:pPr>
        <w:spacing w:line="400" w:lineRule="exact"/>
        <w:ind w:firstLine="4849" w:firstLineChars="2300"/>
        <w:rPr>
          <w:rFonts w:hint="eastAsia" w:ascii="宋体" w:hAnsi="宋体" w:cs="宋体"/>
          <w:b/>
          <w:bCs/>
          <w:color w:val="auto"/>
          <w:szCs w:val="21"/>
        </w:rPr>
      </w:pPr>
      <w:r>
        <w:rPr>
          <w:rFonts w:hint="eastAsia" w:ascii="宋体" w:hAnsi="宋体" w:cs="宋体"/>
          <w:b/>
          <w:bCs/>
          <w:color w:val="auto"/>
          <w:szCs w:val="21"/>
        </w:rPr>
        <w:t xml:space="preserve">  年     月    日</w:t>
      </w:r>
    </w:p>
    <w:p w14:paraId="6F206C92">
      <w:pPr>
        <w:pStyle w:val="24"/>
        <w:spacing w:line="400" w:lineRule="exact"/>
        <w:ind w:firstLine="210"/>
        <w:rPr>
          <w:rFonts w:hint="eastAsia" w:ascii="宋体" w:hAnsi="宋体" w:cs="宋体"/>
          <w:color w:val="auto"/>
          <w:szCs w:val="21"/>
        </w:rPr>
      </w:pPr>
    </w:p>
    <w:p w14:paraId="4B4F1D77">
      <w:pPr>
        <w:pStyle w:val="3"/>
        <w:numPr>
          <w:ilvl w:val="1"/>
          <w:numId w:val="0"/>
        </w:numPr>
        <w:jc w:val="center"/>
        <w:rPr>
          <w:rFonts w:hint="eastAsia" w:ascii="宋体" w:hAnsi="宋体" w:eastAsia="宋体"/>
          <w:color w:val="auto"/>
          <w:sz w:val="28"/>
          <w:szCs w:val="28"/>
          <w:highlight w:val="none"/>
          <w:lang w:eastAsia="zh-CN"/>
        </w:rPr>
      </w:pPr>
      <w:bookmarkStart w:id="928" w:name="_Toc11398"/>
      <w:r>
        <w:rPr>
          <w:rFonts w:hint="eastAsia" w:eastAsia="宋体"/>
          <w:b/>
          <w:bCs/>
          <w:color w:val="auto"/>
          <w:szCs w:val="21"/>
          <w:highlight w:val="none"/>
          <w:lang w:val="en-US" w:eastAsia="zh-CN"/>
        </w:rPr>
        <w:t xml:space="preserve"> </w:t>
      </w:r>
    </w:p>
    <w:p w14:paraId="7B09B2B5">
      <w:pPr>
        <w:pStyle w:val="25"/>
        <w:ind w:left="0" w:leftChars="0" w:firstLine="0" w:firstLineChars="0"/>
        <w:rPr>
          <w:rFonts w:hint="eastAsia" w:ascii="宋体" w:hAnsi="宋体" w:eastAsia="宋体"/>
          <w:color w:val="auto"/>
          <w:sz w:val="28"/>
          <w:szCs w:val="28"/>
          <w:highlight w:val="none"/>
        </w:rPr>
      </w:pPr>
    </w:p>
    <w:p w14:paraId="054EF84B">
      <w:pPr>
        <w:pStyle w:val="3"/>
        <w:numPr>
          <w:ilvl w:val="1"/>
          <w:numId w:val="0"/>
        </w:numPr>
        <w:jc w:val="center"/>
        <w:rPr>
          <w:rFonts w:hint="eastAsia"/>
          <w:color w:val="auto"/>
          <w:highlight w:val="none"/>
        </w:rPr>
      </w:pPr>
      <w:r>
        <w:rPr>
          <w:rFonts w:hint="eastAsia" w:ascii="宋体" w:hAnsi="宋体" w:eastAsia="宋体"/>
          <w:color w:val="auto"/>
          <w:sz w:val="28"/>
          <w:szCs w:val="28"/>
          <w:highlight w:val="none"/>
        </w:rPr>
        <w:t>（二）</w:t>
      </w:r>
      <w:r>
        <w:rPr>
          <w:rFonts w:hint="eastAsia" w:ascii="宋体" w:hAnsi="宋体" w:eastAsia="宋体"/>
          <w:color w:val="auto"/>
          <w:sz w:val="28"/>
          <w:szCs w:val="28"/>
          <w:highlight w:val="none"/>
          <w:lang w:eastAsia="zh-CN"/>
        </w:rPr>
        <w:t>响应函</w:t>
      </w:r>
      <w:r>
        <w:rPr>
          <w:rFonts w:hint="eastAsia" w:ascii="宋体" w:hAnsi="宋体" w:eastAsia="宋体"/>
          <w:color w:val="auto"/>
          <w:sz w:val="28"/>
          <w:szCs w:val="28"/>
          <w:highlight w:val="none"/>
        </w:rPr>
        <w:t>附录</w:t>
      </w:r>
    </w:p>
    <w:bookmarkEnd w:id="924"/>
    <w:bookmarkEnd w:id="925"/>
    <w:bookmarkEnd w:id="926"/>
    <w:bookmarkEnd w:id="927"/>
    <w:bookmarkEnd w:id="928"/>
    <w:tbl>
      <w:tblPr>
        <w:tblStyle w:val="2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2558"/>
        <w:gridCol w:w="3219"/>
      </w:tblGrid>
      <w:tr w14:paraId="0C67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68CB459F">
            <w:pPr>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项目名称</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303E95A6">
            <w:pPr>
              <w:rPr>
                <w:rFonts w:hint="eastAsia" w:ascii="宋体" w:hAnsi="宋体"/>
                <w:color w:val="auto"/>
                <w:szCs w:val="21"/>
                <w:highlight w:val="none"/>
              </w:rPr>
            </w:pPr>
          </w:p>
        </w:tc>
      </w:tr>
      <w:tr w14:paraId="1116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4B929A5E">
            <w:pPr>
              <w:ind w:left="0" w:leftChars="0" w:firstLine="0" w:firstLineChars="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rPr>
              <w:t>供应商</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5683171">
            <w:pPr>
              <w:rPr>
                <w:rFonts w:hint="eastAsia" w:ascii="宋体" w:hAnsi="宋体"/>
                <w:color w:val="auto"/>
                <w:szCs w:val="21"/>
                <w:highlight w:val="none"/>
              </w:rPr>
            </w:pPr>
          </w:p>
        </w:tc>
      </w:tr>
      <w:tr w14:paraId="3A6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622" w:type="dxa"/>
            <w:vMerge w:val="restart"/>
            <w:tcBorders>
              <w:top w:val="single" w:color="auto" w:sz="4" w:space="0"/>
              <w:left w:val="single" w:color="auto" w:sz="4" w:space="0"/>
              <w:right w:val="single" w:color="auto" w:sz="4" w:space="0"/>
            </w:tcBorders>
            <w:noWrap w:val="0"/>
            <w:vAlign w:val="center"/>
          </w:tcPr>
          <w:p w14:paraId="05511BB8">
            <w:pPr>
              <w:spacing w:line="360" w:lineRule="exact"/>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磋商报价（元）</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8BEF13B">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（大写）</w:t>
            </w:r>
          </w:p>
        </w:tc>
        <w:tc>
          <w:tcPr>
            <w:tcW w:w="3219" w:type="dxa"/>
            <w:tcBorders>
              <w:top w:val="single" w:color="auto" w:sz="4" w:space="0"/>
              <w:left w:val="single" w:color="auto" w:sz="4" w:space="0"/>
              <w:bottom w:val="single" w:color="auto" w:sz="4" w:space="0"/>
              <w:right w:val="single" w:color="auto" w:sz="4" w:space="0"/>
            </w:tcBorders>
            <w:noWrap w:val="0"/>
            <w:vAlign w:val="center"/>
          </w:tcPr>
          <w:p w14:paraId="45EB7D84">
            <w:p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（小写）</w:t>
            </w:r>
          </w:p>
        </w:tc>
      </w:tr>
      <w:tr w14:paraId="4F6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622" w:type="dxa"/>
            <w:vMerge w:val="continue"/>
            <w:tcBorders>
              <w:left w:val="single" w:color="auto" w:sz="4" w:space="0"/>
              <w:bottom w:val="single" w:color="auto" w:sz="4" w:space="0"/>
              <w:right w:val="single" w:color="auto" w:sz="4" w:space="0"/>
            </w:tcBorders>
            <w:noWrap w:val="0"/>
            <w:vAlign w:val="center"/>
          </w:tcPr>
          <w:p w14:paraId="054B2760">
            <w:pPr>
              <w:spacing w:line="360" w:lineRule="exact"/>
              <w:jc w:val="center"/>
              <w:rPr>
                <w:rFonts w:hint="eastAsia" w:ascii="宋体" w:hAnsi="宋体"/>
                <w:color w:val="auto"/>
                <w:szCs w:val="21"/>
                <w:highlight w:val="none"/>
              </w:rPr>
            </w:pP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5BBF8D9D">
            <w:pPr>
              <w:ind w:left="0" w:leftChars="0" w:firstLine="0" w:firstLineChars="0"/>
              <w:rPr>
                <w:rFonts w:hint="eastAsia" w:ascii="宋体" w:hAnsi="宋体"/>
                <w:color w:val="auto"/>
                <w:szCs w:val="21"/>
                <w:highlight w:val="none"/>
              </w:rPr>
            </w:pPr>
            <w:r>
              <w:rPr>
                <w:rFonts w:hint="eastAsia" w:ascii="宋体" w:hAnsi="宋体"/>
                <w:b/>
                <w:bCs/>
                <w:color w:val="auto"/>
                <w:szCs w:val="21"/>
                <w:highlight w:val="none"/>
              </w:rPr>
              <w:t>（供应商应在此填列第一次报价，但以供应商最后一次的磋商报价为成交价）</w:t>
            </w:r>
          </w:p>
        </w:tc>
      </w:tr>
      <w:tr w14:paraId="22E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57917D80">
            <w:pPr>
              <w:ind w:left="0" w:leftChars="0" w:firstLine="0" w:firstLineChars="0"/>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lang w:val="en-US" w:eastAsia="zh-CN"/>
              </w:rPr>
              <w:t>要求</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B701532">
            <w:pPr>
              <w:ind w:left="0" w:leftChars="0" w:firstLine="0" w:firstLineChars="0"/>
              <w:jc w:val="both"/>
              <w:rPr>
                <w:rFonts w:hint="eastAsia" w:ascii="宋体" w:hAnsi="宋体"/>
                <w:color w:val="auto"/>
                <w:szCs w:val="21"/>
                <w:highlight w:val="none"/>
              </w:rPr>
            </w:pPr>
            <w:r>
              <w:rPr>
                <w:rFonts w:hint="eastAsia" w:ascii="宋体" w:hAnsi="宋体"/>
                <w:color w:val="auto"/>
                <w:szCs w:val="21"/>
                <w:highlight w:val="none"/>
                <w:lang w:val="en-US" w:eastAsia="zh-CN"/>
              </w:rPr>
              <w:t>满足相关专业现行规范要求，符合采购人验收的有关要求</w:t>
            </w:r>
          </w:p>
        </w:tc>
      </w:tr>
      <w:tr w14:paraId="23F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6C89103A">
            <w:pPr>
              <w:ind w:left="0" w:leftChars="0"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服务期限</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6730BC32">
            <w:pPr>
              <w:jc w:val="center"/>
              <w:rPr>
                <w:rFonts w:hint="eastAsia" w:ascii="宋体" w:hAnsi="宋体"/>
                <w:color w:val="auto"/>
                <w:szCs w:val="21"/>
                <w:highlight w:val="none"/>
              </w:rPr>
            </w:pPr>
          </w:p>
        </w:tc>
      </w:tr>
      <w:tr w14:paraId="1A30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19D2712F">
            <w:pPr>
              <w:ind w:left="0" w:leftChars="0" w:firstLine="0" w:firstLineChars="0"/>
              <w:jc w:val="center"/>
              <w:rPr>
                <w:rFonts w:hint="eastAsia" w:ascii="宋体" w:hAnsi="宋体"/>
                <w:color w:val="auto"/>
                <w:szCs w:val="21"/>
                <w:highlight w:val="none"/>
                <w:lang w:eastAsia="zh-CN"/>
              </w:rPr>
            </w:pPr>
            <w:bookmarkStart w:id="947" w:name="_GoBack"/>
            <w:r>
              <w:rPr>
                <w:rFonts w:hint="eastAsia" w:ascii="宋体" w:hAnsi="宋体"/>
                <w:color w:val="auto"/>
                <w:szCs w:val="21"/>
                <w:highlight w:val="none"/>
                <w:lang w:eastAsia="zh-CN"/>
              </w:rPr>
              <w:t>质保期</w:t>
            </w:r>
            <w:bookmarkEnd w:id="947"/>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5DE5B9C7">
            <w:pPr>
              <w:jc w:val="center"/>
              <w:rPr>
                <w:rFonts w:hint="eastAsia" w:ascii="宋体" w:hAnsi="宋体"/>
                <w:color w:val="auto"/>
                <w:szCs w:val="21"/>
                <w:highlight w:val="none"/>
              </w:rPr>
            </w:pPr>
          </w:p>
        </w:tc>
      </w:tr>
      <w:tr w14:paraId="331A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622" w:type="dxa"/>
            <w:tcBorders>
              <w:top w:val="single" w:color="auto" w:sz="4" w:space="0"/>
              <w:left w:val="single" w:color="auto" w:sz="4" w:space="0"/>
              <w:bottom w:val="single" w:color="auto" w:sz="4" w:space="0"/>
              <w:right w:val="single" w:color="auto" w:sz="4" w:space="0"/>
            </w:tcBorders>
            <w:noWrap w:val="0"/>
            <w:vAlign w:val="center"/>
          </w:tcPr>
          <w:p w14:paraId="170AB06E">
            <w:pPr>
              <w:spacing w:line="400" w:lineRule="exact"/>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  注</w:t>
            </w:r>
          </w:p>
        </w:tc>
        <w:tc>
          <w:tcPr>
            <w:tcW w:w="5777" w:type="dxa"/>
            <w:gridSpan w:val="2"/>
            <w:tcBorders>
              <w:top w:val="single" w:color="auto" w:sz="4" w:space="0"/>
              <w:left w:val="single" w:color="auto" w:sz="4" w:space="0"/>
              <w:bottom w:val="single" w:color="auto" w:sz="4" w:space="0"/>
              <w:right w:val="single" w:color="auto" w:sz="4" w:space="0"/>
            </w:tcBorders>
            <w:noWrap w:val="0"/>
            <w:vAlign w:val="center"/>
          </w:tcPr>
          <w:p w14:paraId="3C4120E4">
            <w:pPr>
              <w:pStyle w:val="56"/>
              <w:widowControl w:val="0"/>
              <w:autoSpaceDE w:val="0"/>
              <w:autoSpaceDN w:val="0"/>
              <w:spacing w:before="0" w:after="0" w:line="400" w:lineRule="exact"/>
              <w:jc w:val="center"/>
              <w:rPr>
                <w:rFonts w:hint="eastAsia" w:ascii="宋体" w:hAnsi="宋体" w:eastAsia="宋体" w:cs="宋体"/>
                <w:color w:val="auto"/>
                <w:spacing w:val="-1"/>
                <w:sz w:val="21"/>
                <w:szCs w:val="21"/>
                <w:highlight w:val="none"/>
                <w:lang w:eastAsia="zh-CN"/>
              </w:rPr>
            </w:pPr>
          </w:p>
        </w:tc>
      </w:tr>
    </w:tbl>
    <w:p w14:paraId="4373ADF4">
      <w:pPr>
        <w:rPr>
          <w:rFonts w:hint="eastAsia" w:ascii="宋体" w:hAnsi="宋体"/>
          <w:color w:val="auto"/>
          <w:szCs w:val="21"/>
          <w:highlight w:val="none"/>
        </w:rPr>
      </w:pPr>
    </w:p>
    <w:p w14:paraId="433F0504">
      <w:pPr>
        <w:rPr>
          <w:rFonts w:ascii="宋体" w:hAnsi="宋体"/>
          <w:color w:val="auto"/>
          <w:szCs w:val="21"/>
          <w:highlight w:val="none"/>
        </w:rPr>
      </w:pPr>
    </w:p>
    <w:p w14:paraId="69FEB86E">
      <w:pPr>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供应商法定代表人或其授权委托人(电子签名或盖章)</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p>
    <w:p w14:paraId="6D0FB124">
      <w:pPr>
        <w:spacing w:line="360" w:lineRule="auto"/>
        <w:rPr>
          <w:rFonts w:hint="eastAsia"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w:t>
      </w:r>
      <w:r>
        <w:rPr>
          <w:rFonts w:hint="eastAsia" w:ascii="宋体" w:hAnsi="宋体" w:cs="宋体"/>
          <w:color w:val="auto"/>
          <w:szCs w:val="21"/>
          <w:highlight w:val="none"/>
        </w:rPr>
        <w:t>单位电子签章</w:t>
      </w:r>
      <w:r>
        <w:rPr>
          <w:rFonts w:ascii="宋体" w:hAnsi="宋体"/>
          <w:color w:val="auto"/>
          <w:szCs w:val="21"/>
          <w:highlight w:val="none"/>
        </w:rPr>
        <w:t>):</w:t>
      </w: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ab/>
      </w:r>
    </w:p>
    <w:p w14:paraId="0CDD14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年   月   </w:t>
      </w:r>
      <w:bookmarkStart w:id="929" w:name="_Toc144974860"/>
      <w:bookmarkStart w:id="930" w:name="_Toc152045791"/>
      <w:bookmarkStart w:id="931" w:name="_Toc152042580"/>
      <w:bookmarkStart w:id="932" w:name="_Toc287367268"/>
      <w:r>
        <w:rPr>
          <w:rFonts w:hint="eastAsia" w:ascii="宋体" w:hAnsi="宋体"/>
          <w:color w:val="auto"/>
          <w:szCs w:val="21"/>
          <w:highlight w:val="none"/>
        </w:rPr>
        <w:t>日</w:t>
      </w:r>
    </w:p>
    <w:p w14:paraId="169FF3E0">
      <w:pPr>
        <w:pStyle w:val="52"/>
        <w:ind w:left="0" w:leftChars="0" w:firstLine="0" w:firstLineChars="0"/>
        <w:jc w:val="both"/>
        <w:rPr>
          <w:rFonts w:hint="eastAsia" w:ascii="宋体" w:hAnsi="宋体" w:eastAsia="宋体"/>
          <w:b/>
          <w:color w:val="auto"/>
          <w:szCs w:val="28"/>
          <w:highlight w:val="none"/>
        </w:rPr>
      </w:pPr>
      <w:bookmarkStart w:id="933" w:name="_Toc466298161"/>
      <w:bookmarkStart w:id="934" w:name="_Toc2481"/>
      <w:bookmarkStart w:id="935" w:name="_Toc31033"/>
    </w:p>
    <w:bookmarkEnd w:id="929"/>
    <w:bookmarkEnd w:id="930"/>
    <w:bookmarkEnd w:id="931"/>
    <w:bookmarkEnd w:id="932"/>
    <w:bookmarkEnd w:id="933"/>
    <w:bookmarkEnd w:id="934"/>
    <w:bookmarkEnd w:id="935"/>
    <w:p w14:paraId="28A272A5">
      <w:pPr>
        <w:rPr>
          <w:rFonts w:hint="eastAsia" w:ascii="宋体" w:hAnsi="宋体" w:eastAsia="宋体"/>
          <w:b/>
          <w:color w:val="auto"/>
          <w:szCs w:val="28"/>
          <w:highlight w:val="none"/>
        </w:rPr>
      </w:pPr>
      <w:r>
        <w:rPr>
          <w:rFonts w:hint="eastAsia" w:ascii="宋体" w:hAnsi="宋体" w:eastAsia="宋体"/>
          <w:b/>
          <w:color w:val="auto"/>
          <w:szCs w:val="28"/>
          <w:highlight w:val="none"/>
        </w:rPr>
        <w:br w:type="page"/>
      </w:r>
    </w:p>
    <w:p w14:paraId="711F07C9">
      <w:pPr>
        <w:pStyle w:val="52"/>
        <w:jc w:val="center"/>
        <w:rPr>
          <w:rFonts w:hint="eastAsia" w:ascii="宋体" w:hAnsi="宋体"/>
          <w:b/>
          <w:color w:val="auto"/>
          <w:szCs w:val="28"/>
          <w:highlight w:val="none"/>
        </w:rPr>
      </w:pPr>
      <w:r>
        <w:rPr>
          <w:rFonts w:hint="eastAsia" w:ascii="宋体" w:hAnsi="宋体" w:eastAsia="宋体"/>
          <w:b/>
          <w:color w:val="auto"/>
          <w:szCs w:val="28"/>
          <w:highlight w:val="none"/>
        </w:rPr>
        <w:t>二、法定代</w:t>
      </w:r>
      <w:r>
        <w:rPr>
          <w:rFonts w:hint="eastAsia" w:ascii="宋体" w:hAnsi="宋体" w:eastAsia="宋体"/>
          <w:b/>
          <w:color w:val="auto"/>
          <w:szCs w:val="28"/>
          <w:highlight w:val="none"/>
          <w:lang w:eastAsia="zh-CN"/>
        </w:rPr>
        <w:t>表人</w:t>
      </w:r>
      <w:r>
        <w:rPr>
          <w:rFonts w:hint="eastAsia" w:ascii="宋体" w:hAnsi="宋体" w:eastAsia="宋体"/>
          <w:b/>
          <w:color w:val="auto"/>
          <w:szCs w:val="28"/>
          <w:highlight w:val="none"/>
        </w:rPr>
        <w:t>身份证明</w:t>
      </w:r>
    </w:p>
    <w:p w14:paraId="42691E9F">
      <w:pPr>
        <w:spacing w:line="440" w:lineRule="exact"/>
        <w:jc w:val="center"/>
        <w:rPr>
          <w:rFonts w:hint="eastAsia" w:ascii="宋体" w:hAnsi="宋体" w:cs="宋体"/>
          <w:color w:val="auto"/>
          <w:szCs w:val="21"/>
          <w:highlight w:val="none"/>
        </w:rPr>
      </w:pPr>
    </w:p>
    <w:p w14:paraId="61EA2C3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EB446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2A10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15C77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43C7E94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13C2C71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EF65C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（供应商名称）的法定代表人。</w:t>
      </w:r>
    </w:p>
    <w:p w14:paraId="54BA1D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F555334">
      <w:pPr>
        <w:spacing w:line="440" w:lineRule="exact"/>
        <w:rPr>
          <w:rFonts w:hint="eastAsia" w:ascii="宋体" w:hAnsi="宋体" w:cs="宋体"/>
          <w:color w:val="auto"/>
          <w:szCs w:val="21"/>
          <w:highlight w:val="none"/>
        </w:rPr>
      </w:pPr>
    </w:p>
    <w:p w14:paraId="17D3B727">
      <w:pPr>
        <w:spacing w:line="440" w:lineRule="exact"/>
        <w:rPr>
          <w:rFonts w:hint="eastAsia" w:ascii="宋体" w:hAnsi="宋体" w:cs="宋体"/>
          <w:color w:val="auto"/>
          <w:szCs w:val="21"/>
          <w:highlight w:val="none"/>
        </w:rPr>
      </w:pPr>
    </w:p>
    <w:p w14:paraId="4B24FC9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382736F6">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7F7AA2B7">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247F49D6">
      <w:pPr>
        <w:spacing w:line="440" w:lineRule="exact"/>
        <w:rPr>
          <w:rFonts w:hint="eastAsia" w:ascii="宋体" w:hAnsi="宋体" w:cs="宋体"/>
          <w:color w:val="auto"/>
          <w:szCs w:val="21"/>
          <w:highlight w:val="none"/>
        </w:rPr>
      </w:pPr>
    </w:p>
    <w:p w14:paraId="6F841015">
      <w:pPr>
        <w:spacing w:line="440" w:lineRule="exact"/>
        <w:rPr>
          <w:rFonts w:hint="eastAsia" w:ascii="宋体" w:hAnsi="宋体" w:cs="宋体"/>
          <w:color w:val="auto"/>
          <w:szCs w:val="21"/>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AA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5D228B6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法定代表人身份证扫描件</w:t>
            </w:r>
          </w:p>
          <w:p w14:paraId="70E78E63">
            <w:pPr>
              <w:spacing w:line="440" w:lineRule="exact"/>
              <w:jc w:val="center"/>
              <w:rPr>
                <w:rFonts w:hint="eastAsia" w:ascii="宋体" w:hAnsi="宋体" w:cs="宋体"/>
                <w:color w:val="auto"/>
                <w:szCs w:val="21"/>
                <w:highlight w:val="none"/>
              </w:rPr>
            </w:pPr>
          </w:p>
        </w:tc>
      </w:tr>
    </w:tbl>
    <w:p w14:paraId="65DF4113">
      <w:pPr>
        <w:spacing w:line="440" w:lineRule="exact"/>
        <w:rPr>
          <w:rFonts w:hint="eastAsia" w:ascii="宋体" w:hAnsi="宋体" w:cs="宋体"/>
          <w:color w:val="auto"/>
          <w:szCs w:val="21"/>
          <w:highlight w:val="none"/>
        </w:rPr>
      </w:pPr>
    </w:p>
    <w:p w14:paraId="1BC87FB1">
      <w:pPr>
        <w:spacing w:line="440" w:lineRule="exact"/>
        <w:rPr>
          <w:rFonts w:hint="eastAsia" w:ascii="宋体" w:hAnsi="宋体" w:cs="宋体"/>
          <w:color w:val="auto"/>
          <w:szCs w:val="21"/>
          <w:highlight w:val="none"/>
        </w:rPr>
      </w:pPr>
    </w:p>
    <w:p w14:paraId="55126635">
      <w:pPr>
        <w:spacing w:line="440" w:lineRule="exact"/>
        <w:rPr>
          <w:rFonts w:hint="eastAsia" w:ascii="宋体" w:hAnsi="宋体" w:cs="宋体"/>
          <w:color w:val="auto"/>
          <w:sz w:val="20"/>
          <w:szCs w:val="20"/>
          <w:highlight w:val="none"/>
        </w:rPr>
      </w:pPr>
    </w:p>
    <w:p w14:paraId="62241A03">
      <w:pPr>
        <w:spacing w:line="440" w:lineRule="exact"/>
        <w:rPr>
          <w:rFonts w:hint="eastAsia" w:ascii="宋体" w:hAnsi="宋体" w:cs="宋体"/>
          <w:color w:val="auto"/>
          <w:sz w:val="20"/>
          <w:szCs w:val="20"/>
          <w:highlight w:val="none"/>
        </w:rPr>
      </w:pPr>
    </w:p>
    <w:p w14:paraId="18661AD5">
      <w:pPr>
        <w:spacing w:line="440" w:lineRule="exact"/>
        <w:rPr>
          <w:rFonts w:hint="eastAsia" w:ascii="宋体" w:hAnsi="宋体" w:cs="宋体"/>
          <w:color w:val="auto"/>
          <w:sz w:val="20"/>
          <w:szCs w:val="20"/>
          <w:highlight w:val="none"/>
        </w:rPr>
      </w:pPr>
    </w:p>
    <w:p w14:paraId="50994679">
      <w:pPr>
        <w:pStyle w:val="3"/>
        <w:numPr>
          <w:ilvl w:val="1"/>
          <w:numId w:val="0"/>
        </w:numPr>
        <w:jc w:val="center"/>
        <w:rPr>
          <w:rFonts w:ascii="Times New Roman" w:hAnsi="Times New Roman" w:eastAsia="宋体"/>
          <w:color w:val="auto"/>
          <w:sz w:val="28"/>
          <w:highlight w:val="none"/>
        </w:rPr>
      </w:pPr>
      <w:bookmarkStart w:id="936" w:name="_Toc202941490"/>
      <w:bookmarkStart w:id="937" w:name="_Toc26203"/>
      <w:bookmarkStart w:id="938" w:name="_Toc4123"/>
      <w:bookmarkStart w:id="939" w:name="_Toc441791190"/>
      <w:bookmarkStart w:id="940" w:name="_Toc318989765"/>
      <w:bookmarkStart w:id="941" w:name="_Toc466298162"/>
      <w:r>
        <w:rPr>
          <w:rFonts w:hint="eastAsia" w:ascii="Times New Roman" w:hAnsi="Times New Roman" w:eastAsia="宋体"/>
          <w:color w:val="auto"/>
          <w:sz w:val="28"/>
          <w:highlight w:val="none"/>
          <w:lang w:eastAsia="zh-CN"/>
        </w:rPr>
        <w:t>三</w:t>
      </w:r>
      <w:r>
        <w:rPr>
          <w:rFonts w:ascii="Times New Roman" w:hAnsi="Times New Roman" w:eastAsia="宋体"/>
          <w:color w:val="auto"/>
          <w:sz w:val="28"/>
          <w:highlight w:val="none"/>
        </w:rPr>
        <w:t>、授权委托书</w:t>
      </w:r>
      <w:bookmarkEnd w:id="936"/>
      <w:bookmarkEnd w:id="937"/>
      <w:bookmarkEnd w:id="938"/>
      <w:bookmarkEnd w:id="939"/>
      <w:bookmarkEnd w:id="940"/>
      <w:bookmarkEnd w:id="941"/>
    </w:p>
    <w:p w14:paraId="3ACA968A">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（项目名称）响应文件、签订合同和处理有关事宜，其法律后果由我方承担。</w:t>
      </w:r>
    </w:p>
    <w:p w14:paraId="5887F3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highlight w:val="none"/>
        </w:rPr>
        <w:t>自本委托书签署之日起至</w:t>
      </w:r>
      <w:r>
        <w:rPr>
          <w:rFonts w:hint="eastAsia" w:ascii="宋体" w:hAnsi="宋体" w:cs="宋体"/>
          <w:color w:val="auto"/>
          <w:highlight w:val="none"/>
          <w:lang w:eastAsia="zh-CN"/>
        </w:rPr>
        <w:t>磋商</w:t>
      </w:r>
      <w:r>
        <w:rPr>
          <w:rFonts w:hint="eastAsia" w:ascii="宋体" w:hAnsi="宋体" w:cs="宋体"/>
          <w:color w:val="auto"/>
          <w:highlight w:val="none"/>
        </w:rPr>
        <w:t>有效期期满。</w:t>
      </w:r>
    </w:p>
    <w:p w14:paraId="5FACBBB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C7AAD72">
      <w:pPr>
        <w:spacing w:line="440" w:lineRule="exact"/>
        <w:rPr>
          <w:rFonts w:hint="eastAsia" w:ascii="宋体" w:hAnsi="宋体" w:cs="宋体"/>
          <w:color w:val="auto"/>
          <w:szCs w:val="21"/>
          <w:highlight w:val="none"/>
        </w:rPr>
      </w:pPr>
    </w:p>
    <w:p w14:paraId="14AC0DCC">
      <w:pPr>
        <w:spacing w:line="440" w:lineRule="exact"/>
        <w:rPr>
          <w:rFonts w:hint="eastAsia" w:ascii="宋体" w:hAnsi="宋体" w:cs="宋体"/>
          <w:color w:val="auto"/>
          <w:szCs w:val="21"/>
          <w:highlight w:val="none"/>
        </w:rPr>
      </w:pPr>
    </w:p>
    <w:p w14:paraId="3DA922DC">
      <w:pPr>
        <w:spacing w:line="440" w:lineRule="exact"/>
        <w:rPr>
          <w:rFonts w:hint="eastAsia" w:ascii="宋体" w:hAnsi="宋体" w:cs="宋体"/>
          <w:color w:val="auto"/>
          <w:szCs w:val="21"/>
          <w:highlight w:val="none"/>
        </w:rPr>
      </w:pPr>
    </w:p>
    <w:p w14:paraId="447A412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（单位电子签章）</w:t>
      </w:r>
    </w:p>
    <w:p w14:paraId="2B51D00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5E3C8691">
      <w:pPr>
        <w:spacing w:line="440" w:lineRule="exact"/>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5ACA935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（电子签名或盖章）</w:t>
      </w:r>
    </w:p>
    <w:p w14:paraId="28ED3EDD">
      <w:pPr>
        <w:spacing w:line="440" w:lineRule="exact"/>
        <w:ind w:firstLine="3150" w:firstLineChars="15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6FD70DE9">
      <w:pPr>
        <w:spacing w:line="440" w:lineRule="exact"/>
        <w:ind w:firstLine="3150" w:firstLineChars="1500"/>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none"/>
          <w:lang w:val="en-US" w:eastAsia="zh-CN"/>
        </w:rPr>
        <w:t xml:space="preserve">联系方式： </w:t>
      </w:r>
      <w:r>
        <w:rPr>
          <w:rFonts w:hint="eastAsia" w:ascii="宋体" w:hAnsi="宋体" w:cs="宋体"/>
          <w:color w:val="auto"/>
          <w:szCs w:val="21"/>
          <w:highlight w:val="none"/>
          <w:u w:val="single"/>
          <w:lang w:val="en-US" w:eastAsia="zh-CN"/>
        </w:rPr>
        <w:t xml:space="preserve">                                   </w:t>
      </w:r>
    </w:p>
    <w:p w14:paraId="3A46A80B">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6E7D50D">
      <w:pPr>
        <w:spacing w:line="440" w:lineRule="exact"/>
        <w:rPr>
          <w:rFonts w:hint="eastAsia" w:ascii="宋体" w:hAnsi="宋体" w:cs="宋体"/>
          <w:color w:val="auto"/>
          <w:szCs w:val="21"/>
          <w:highlight w:val="none"/>
        </w:rPr>
      </w:pPr>
    </w:p>
    <w:p w14:paraId="0F42EE49">
      <w:pPr>
        <w:pStyle w:val="9"/>
        <w:rPr>
          <w:rFonts w:hint="eastAsia"/>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A3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52F9AE5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委托代理人身份证扫描件</w:t>
            </w:r>
          </w:p>
          <w:p w14:paraId="40BA50D1">
            <w:pPr>
              <w:spacing w:line="440" w:lineRule="exact"/>
              <w:jc w:val="center"/>
              <w:rPr>
                <w:rFonts w:hint="eastAsia" w:ascii="宋体" w:hAnsi="宋体" w:cs="宋体"/>
                <w:color w:val="auto"/>
                <w:szCs w:val="21"/>
                <w:highlight w:val="none"/>
              </w:rPr>
            </w:pPr>
          </w:p>
        </w:tc>
      </w:tr>
    </w:tbl>
    <w:p w14:paraId="789E8EFD">
      <w:pPr>
        <w:spacing w:line="440" w:lineRule="exact"/>
        <w:rPr>
          <w:rFonts w:hint="eastAsia" w:ascii="宋体" w:hAnsi="宋体" w:cs="宋体"/>
          <w:color w:val="auto"/>
          <w:szCs w:val="21"/>
          <w:highlight w:val="none"/>
        </w:rPr>
      </w:pPr>
    </w:p>
    <w:p w14:paraId="5A02D26D">
      <w:pPr>
        <w:pStyle w:val="24"/>
        <w:rPr>
          <w:rFonts w:hint="eastAsia"/>
          <w:color w:val="auto"/>
          <w:highlight w:val="none"/>
        </w:rPr>
      </w:pPr>
    </w:p>
    <w:p w14:paraId="6FE94D09">
      <w:pPr>
        <w:spacing w:line="440" w:lineRule="exact"/>
        <w:ind w:firstLine="2310" w:firstLineChars="1100"/>
        <w:rPr>
          <w:rFonts w:hint="eastAsia" w:ascii="宋体" w:hAnsi="宋体" w:cs="宋体"/>
          <w:color w:val="auto"/>
          <w:szCs w:val="21"/>
          <w:highlight w:val="none"/>
        </w:rPr>
      </w:pPr>
    </w:p>
    <w:p w14:paraId="56472A3E">
      <w:pPr>
        <w:pStyle w:val="24"/>
        <w:rPr>
          <w:rFonts w:hint="eastAsia"/>
          <w:color w:val="auto"/>
          <w:highlight w:val="none"/>
        </w:rPr>
      </w:pPr>
    </w:p>
    <w:p w14:paraId="2499C4C6">
      <w:pPr>
        <w:pStyle w:val="24"/>
        <w:numPr>
          <w:ilvl w:val="0"/>
          <w:numId w:val="0"/>
        </w:numPr>
        <w:bidi w:val="0"/>
        <w:ind w:leftChars="192" w:right="0" w:rightChars="0"/>
        <w:jc w:val="center"/>
        <w:rPr>
          <w:rFonts w:hint="eastAsia" w:ascii="宋体" w:hAnsi="宋体" w:eastAsia="宋体" w:cs="宋体"/>
          <w:b/>
          <w:color w:val="auto"/>
          <w:sz w:val="28"/>
          <w:szCs w:val="28"/>
          <w:highlight w:val="none"/>
          <w:lang w:val="en-US" w:eastAsia="zh-CN"/>
        </w:rPr>
      </w:pPr>
      <w:bookmarkStart w:id="942" w:name="_Toc475624458"/>
      <w:bookmarkStart w:id="943" w:name="_Toc5437"/>
      <w:r>
        <w:rPr>
          <w:rFonts w:hint="eastAsia" w:eastAsia="宋体" w:cs="宋体"/>
          <w:b/>
          <w:color w:val="auto"/>
          <w:sz w:val="28"/>
          <w:szCs w:val="40"/>
          <w:highlight w:val="none"/>
          <w:lang w:eastAsia="zh-CN"/>
        </w:rPr>
        <w:t>四</w:t>
      </w:r>
      <w:r>
        <w:rPr>
          <w:rFonts w:hint="eastAsia" w:ascii="宋体" w:hAnsi="宋体" w:eastAsia="宋体" w:cs="宋体"/>
          <w:b/>
          <w:color w:val="auto"/>
          <w:sz w:val="28"/>
          <w:szCs w:val="40"/>
          <w:highlight w:val="none"/>
        </w:rPr>
        <w:t>、</w:t>
      </w:r>
      <w:r>
        <w:rPr>
          <w:rFonts w:hint="eastAsia" w:ascii="宋体" w:hAnsi="宋体" w:eastAsia="宋体" w:cs="宋体"/>
          <w:b/>
          <w:color w:val="auto"/>
          <w:sz w:val="28"/>
          <w:szCs w:val="28"/>
          <w:highlight w:val="none"/>
          <w:lang w:val="en-US" w:eastAsia="zh-CN"/>
        </w:rPr>
        <w:t>技术方案</w:t>
      </w:r>
    </w:p>
    <w:p w14:paraId="437452F6">
      <w:pPr>
        <w:keepNext w:val="0"/>
        <w:keepLines w:val="0"/>
        <w:widowControl/>
        <w:suppressLineNumbers w:val="0"/>
        <w:bidi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b/>
          <w:color w:val="auto"/>
          <w:sz w:val="21"/>
          <w:szCs w:val="21"/>
          <w:highlight w:val="none"/>
        </w:rPr>
        <w:t>内容及格式由</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自拟</w:t>
      </w:r>
      <w:r>
        <w:rPr>
          <w:rFonts w:hint="eastAsia" w:ascii="宋体" w:hAnsi="宋体"/>
          <w:b/>
          <w:color w:val="auto"/>
          <w:sz w:val="21"/>
          <w:szCs w:val="21"/>
          <w:highlight w:val="none"/>
          <w:lang w:eastAsia="zh-CN"/>
        </w:rPr>
        <w:t>，要点参照评分办法得分项进行拟定</w:t>
      </w:r>
      <w:r>
        <w:rPr>
          <w:rFonts w:hint="eastAsia" w:ascii="宋体" w:hAnsi="宋体" w:eastAsia="宋体" w:cs="宋体"/>
          <w:color w:val="auto"/>
          <w:kern w:val="0"/>
          <w:sz w:val="21"/>
          <w:szCs w:val="21"/>
          <w:highlight w:val="none"/>
          <w:lang w:val="en-US" w:eastAsia="zh-CN" w:bidi="ar"/>
        </w:rPr>
        <w:t>）</w:t>
      </w:r>
    </w:p>
    <w:p w14:paraId="3DC71B10">
      <w:pPr>
        <w:pStyle w:val="24"/>
        <w:bidi w:val="0"/>
        <w:rPr>
          <w:rFonts w:hint="eastAsia" w:ascii="宋体" w:hAnsi="宋体" w:eastAsia="宋体" w:cs="宋体"/>
          <w:color w:val="auto"/>
          <w:kern w:val="0"/>
          <w:sz w:val="21"/>
          <w:szCs w:val="21"/>
          <w:highlight w:val="none"/>
          <w:lang w:val="en-US" w:eastAsia="zh-CN" w:bidi="ar"/>
        </w:rPr>
      </w:pPr>
    </w:p>
    <w:p w14:paraId="6BC44C6F">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4444B84C">
      <w:pPr>
        <w:bidi w:val="0"/>
        <w:rPr>
          <w:rFonts w:hint="eastAsia" w:ascii="宋体" w:hAnsi="宋体" w:eastAsia="宋体" w:cs="宋体"/>
          <w:color w:val="auto"/>
          <w:kern w:val="0"/>
          <w:sz w:val="21"/>
          <w:szCs w:val="21"/>
          <w:highlight w:val="none"/>
          <w:lang w:val="en-US" w:eastAsia="zh-CN" w:bidi="ar"/>
        </w:rPr>
      </w:pPr>
    </w:p>
    <w:p w14:paraId="4EF84B77">
      <w:pPr>
        <w:pStyle w:val="24"/>
        <w:bidi w:val="0"/>
        <w:rPr>
          <w:rFonts w:hint="eastAsia" w:ascii="宋体" w:hAnsi="宋体" w:eastAsia="宋体" w:cs="宋体"/>
          <w:color w:val="auto"/>
          <w:kern w:val="0"/>
          <w:sz w:val="21"/>
          <w:szCs w:val="21"/>
          <w:highlight w:val="none"/>
          <w:lang w:val="en-US" w:eastAsia="zh-CN" w:bidi="ar"/>
        </w:rPr>
      </w:pPr>
    </w:p>
    <w:p w14:paraId="21D648AC">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7BDBEEE">
      <w:pPr>
        <w:bidi w:val="0"/>
        <w:rPr>
          <w:rFonts w:hint="eastAsia" w:ascii="宋体" w:hAnsi="宋体" w:eastAsia="宋体" w:cs="宋体"/>
          <w:color w:val="auto"/>
          <w:kern w:val="0"/>
          <w:sz w:val="21"/>
          <w:szCs w:val="21"/>
          <w:highlight w:val="none"/>
          <w:lang w:val="en-US" w:eastAsia="zh-CN" w:bidi="ar"/>
        </w:rPr>
      </w:pPr>
    </w:p>
    <w:p w14:paraId="1002E848">
      <w:pPr>
        <w:pStyle w:val="24"/>
        <w:bidi w:val="0"/>
        <w:rPr>
          <w:rFonts w:hint="eastAsia" w:ascii="宋体" w:hAnsi="宋体" w:eastAsia="宋体" w:cs="宋体"/>
          <w:color w:val="auto"/>
          <w:kern w:val="0"/>
          <w:sz w:val="21"/>
          <w:szCs w:val="21"/>
          <w:highlight w:val="none"/>
          <w:lang w:val="en-US" w:eastAsia="zh-CN" w:bidi="ar"/>
        </w:rPr>
      </w:pPr>
    </w:p>
    <w:p w14:paraId="4E7337EA">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73D124C7">
      <w:pPr>
        <w:bidi w:val="0"/>
        <w:rPr>
          <w:rFonts w:hint="eastAsia" w:ascii="宋体" w:hAnsi="宋体" w:eastAsia="宋体" w:cs="宋体"/>
          <w:color w:val="auto"/>
          <w:kern w:val="0"/>
          <w:sz w:val="21"/>
          <w:szCs w:val="21"/>
          <w:highlight w:val="none"/>
          <w:lang w:val="en-US" w:eastAsia="zh-CN" w:bidi="ar"/>
        </w:rPr>
      </w:pPr>
    </w:p>
    <w:p w14:paraId="5CC980B0">
      <w:pPr>
        <w:pStyle w:val="24"/>
        <w:bidi w:val="0"/>
        <w:rPr>
          <w:rFonts w:hint="eastAsia" w:ascii="宋体" w:hAnsi="宋体" w:eastAsia="宋体" w:cs="宋体"/>
          <w:color w:val="auto"/>
          <w:kern w:val="0"/>
          <w:sz w:val="21"/>
          <w:szCs w:val="21"/>
          <w:highlight w:val="none"/>
          <w:lang w:val="en-US" w:eastAsia="zh-CN" w:bidi="ar"/>
        </w:rPr>
      </w:pPr>
    </w:p>
    <w:p w14:paraId="52271A26">
      <w:pPr>
        <w:pStyle w:val="25"/>
        <w:tabs>
          <w:tab w:val="left" w:pos="945"/>
          <w:tab w:val="left" w:pos="1155"/>
        </w:tabs>
        <w:bidi w:val="0"/>
        <w:rPr>
          <w:rFonts w:hint="eastAsia" w:ascii="宋体" w:hAnsi="宋体" w:eastAsia="宋体" w:cs="宋体"/>
          <w:color w:val="auto"/>
          <w:kern w:val="0"/>
          <w:sz w:val="21"/>
          <w:szCs w:val="21"/>
          <w:highlight w:val="none"/>
          <w:lang w:val="en-US" w:eastAsia="zh-CN" w:bidi="ar"/>
        </w:rPr>
      </w:pPr>
    </w:p>
    <w:p w14:paraId="62E51B68">
      <w:pPr>
        <w:bidi w:val="0"/>
        <w:rPr>
          <w:rFonts w:hint="eastAsia" w:ascii="宋体" w:hAnsi="宋体" w:eastAsia="宋体" w:cs="宋体"/>
          <w:color w:val="auto"/>
          <w:kern w:val="0"/>
          <w:sz w:val="21"/>
          <w:szCs w:val="21"/>
          <w:highlight w:val="none"/>
          <w:lang w:val="en-US" w:eastAsia="zh-CN" w:bidi="ar"/>
        </w:rPr>
      </w:pPr>
    </w:p>
    <w:p w14:paraId="0078BF1C">
      <w:pPr>
        <w:pStyle w:val="25"/>
        <w:tabs>
          <w:tab w:val="left" w:pos="945"/>
          <w:tab w:val="left" w:pos="1155"/>
        </w:tabs>
        <w:bidi w:val="0"/>
        <w:rPr>
          <w:rFonts w:hint="eastAsia" w:eastAsiaTheme="minorEastAsia"/>
          <w:color w:val="auto"/>
          <w:highlight w:val="none"/>
          <w:lang w:eastAsia="zh-CN"/>
        </w:rPr>
      </w:pPr>
      <w:r>
        <w:rPr>
          <w:rFonts w:hint="eastAsia" w:ascii="宋体" w:hAnsi="宋体" w:eastAsia="宋体" w:cs="宋体"/>
          <w:color w:val="auto"/>
          <w:sz w:val="21"/>
          <w:szCs w:val="21"/>
          <w:highlight w:val="none"/>
          <w:lang w:val="en-US" w:eastAsia="zh-CN"/>
        </w:rPr>
        <w:t xml:space="preserve"> </w:t>
      </w:r>
    </w:p>
    <w:p w14:paraId="39162DAF">
      <w:pPr>
        <w:pStyle w:val="25"/>
        <w:numPr>
          <w:ilvl w:val="0"/>
          <w:numId w:val="0"/>
        </w:numPr>
        <w:tabs>
          <w:tab w:val="left" w:pos="945"/>
          <w:tab w:val="left" w:pos="1155"/>
        </w:tabs>
        <w:bidi w:val="0"/>
        <w:ind w:left="840" w:leftChars="400"/>
        <w:rPr>
          <w:rFonts w:hint="eastAsia"/>
          <w:color w:val="auto"/>
          <w:highlight w:val="none"/>
          <w:lang w:val="en-US" w:eastAsia="zh-CN"/>
        </w:rPr>
      </w:pPr>
    </w:p>
    <w:p w14:paraId="64D656EE">
      <w:pPr>
        <w:pStyle w:val="24"/>
        <w:bidi w:val="0"/>
        <w:ind w:firstLine="540" w:firstLineChars="192"/>
        <w:jc w:val="center"/>
        <w:rPr>
          <w:rFonts w:hint="eastAsia" w:ascii="宋体" w:hAnsi="宋体" w:eastAsia="宋体" w:cs="宋体"/>
          <w:b/>
          <w:color w:val="auto"/>
          <w:sz w:val="28"/>
          <w:szCs w:val="28"/>
          <w:highlight w:val="none"/>
          <w:lang w:val="en-US" w:eastAsia="zh-CN"/>
        </w:rPr>
      </w:pPr>
    </w:p>
    <w:p w14:paraId="4DB13F3E">
      <w:pPr>
        <w:pStyle w:val="24"/>
        <w:bidi w:val="0"/>
        <w:ind w:firstLine="540" w:firstLineChars="192"/>
        <w:jc w:val="center"/>
        <w:rPr>
          <w:rFonts w:hint="eastAsia" w:ascii="宋体" w:hAnsi="宋体" w:eastAsia="宋体" w:cs="宋体"/>
          <w:b/>
          <w:color w:val="auto"/>
          <w:sz w:val="28"/>
          <w:szCs w:val="28"/>
          <w:highlight w:val="none"/>
          <w:lang w:val="en-US" w:eastAsia="zh-CN"/>
        </w:rPr>
      </w:pPr>
    </w:p>
    <w:p w14:paraId="70C12CB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F204933">
      <w:pPr>
        <w:numPr>
          <w:ilvl w:val="0"/>
          <w:numId w:val="0"/>
        </w:numPr>
        <w:ind w:leftChars="0"/>
        <w:jc w:val="center"/>
        <w:rPr>
          <w:rFonts w:hint="eastAsia" w:ascii="宋体" w:hAnsi="宋体"/>
          <w:b/>
          <w:color w:val="auto"/>
          <w:szCs w:val="21"/>
          <w:highlight w:val="none"/>
        </w:rPr>
      </w:pPr>
      <w:r>
        <w:rPr>
          <w:rFonts w:hint="eastAsia" w:ascii="宋体" w:hAnsi="宋体" w:eastAsia="宋体" w:cs="宋体"/>
          <w:b/>
          <w:color w:val="auto"/>
          <w:sz w:val="28"/>
          <w:szCs w:val="28"/>
          <w:highlight w:val="none"/>
          <w:lang w:val="en-US" w:eastAsia="zh-CN"/>
        </w:rPr>
        <w:t>五、</w:t>
      </w:r>
      <w:bookmarkStart w:id="944" w:name="_Toc11835"/>
      <w:r>
        <w:rPr>
          <w:rFonts w:hint="eastAsia" w:ascii="Times New Roman" w:hAnsi="Times New Roman" w:eastAsia="宋体"/>
          <w:b/>
          <w:bCs/>
          <w:color w:val="auto"/>
          <w:sz w:val="28"/>
          <w:highlight w:val="none"/>
        </w:rPr>
        <w:t>资格</w:t>
      </w:r>
      <w:bookmarkEnd w:id="942"/>
      <w:bookmarkEnd w:id="943"/>
      <w:r>
        <w:rPr>
          <w:rFonts w:hint="eastAsia" w:ascii="Times New Roman" w:hAnsi="Times New Roman" w:eastAsia="宋体"/>
          <w:b/>
          <w:bCs/>
          <w:color w:val="auto"/>
          <w:sz w:val="28"/>
          <w:highlight w:val="none"/>
          <w:lang w:eastAsia="zh-CN"/>
        </w:rPr>
        <w:t>证明材料</w:t>
      </w:r>
      <w:bookmarkEnd w:id="944"/>
      <w:bookmarkStart w:id="945" w:name="_Toc456185719"/>
    </w:p>
    <w:p w14:paraId="409CFD6F">
      <w:pPr>
        <w:numPr>
          <w:ilvl w:val="0"/>
          <w:numId w:val="0"/>
        </w:numPr>
        <w:ind w:leftChars="0"/>
        <w:jc w:val="center"/>
        <w:rPr>
          <w:rFonts w:hint="eastAsia" w:ascii="宋体" w:hAnsi="宋体"/>
          <w:b/>
          <w:color w:val="auto"/>
          <w:szCs w:val="21"/>
          <w:highlight w:val="none"/>
        </w:rPr>
      </w:pP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供应商基本情况表</w:t>
      </w:r>
      <w:bookmarkEnd w:id="945"/>
    </w:p>
    <w:p w14:paraId="163313AC">
      <w:pPr>
        <w:bidi w:val="0"/>
        <w:spacing w:line="400" w:lineRule="exact"/>
        <w:rPr>
          <w:rFonts w:hint="eastAsia" w:ascii="宋体" w:hAnsi="宋体" w:eastAsia="宋体" w:cs="宋体"/>
          <w:color w:val="auto"/>
          <w:sz w:val="21"/>
          <w:szCs w:val="21"/>
          <w:highlight w:val="none"/>
        </w:rPr>
      </w:pPr>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2"/>
        <w:gridCol w:w="1107"/>
        <w:gridCol w:w="1386"/>
        <w:gridCol w:w="216"/>
        <w:gridCol w:w="1353"/>
        <w:gridCol w:w="279"/>
        <w:gridCol w:w="768"/>
        <w:gridCol w:w="1546"/>
      </w:tblGrid>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2" w:type="dxa"/>
            <w:noWrap w:val="0"/>
            <w:vAlign w:val="center"/>
          </w:tcPr>
          <w:p w14:paraId="2D93F6AA">
            <w:pPr>
              <w:ind w:firstLine="0" w:firstLineChars="0"/>
              <w:rPr>
                <w:rFonts w:hint="eastAsia" w:ascii="宋体" w:hAnsi="宋体" w:cs="宋体"/>
                <w:color w:val="auto"/>
                <w:szCs w:val="21"/>
              </w:rPr>
            </w:pPr>
            <w:r>
              <w:rPr>
                <w:rFonts w:hint="eastAsia" w:ascii="宋体" w:hAnsi="宋体" w:cs="宋体"/>
                <w:color w:val="auto"/>
                <w:szCs w:val="21"/>
              </w:rPr>
              <w:t>供应商名称</w:t>
            </w:r>
          </w:p>
        </w:tc>
        <w:tc>
          <w:tcPr>
            <w:tcW w:w="7627" w:type="dxa"/>
            <w:gridSpan w:val="8"/>
            <w:noWrap w:val="0"/>
            <w:vAlign w:val="center"/>
          </w:tcPr>
          <w:p w14:paraId="15CF9F19">
            <w:pPr>
              <w:ind w:firstLine="420"/>
              <w:jc w:val="center"/>
              <w:rPr>
                <w:rFonts w:hint="eastAsia" w:ascii="宋体" w:hAnsi="宋体" w:cs="宋体"/>
                <w:color w:val="auto"/>
                <w:szCs w:val="21"/>
              </w:rPr>
            </w:pPr>
          </w:p>
        </w:tc>
      </w:tr>
      <w:tr w14:paraId="1A6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13D74289">
            <w:pPr>
              <w:ind w:firstLine="0" w:firstLineChars="0"/>
              <w:rPr>
                <w:rFonts w:hint="eastAsia" w:ascii="宋体" w:hAnsi="宋体" w:cs="宋体"/>
                <w:color w:val="auto"/>
                <w:szCs w:val="21"/>
              </w:rPr>
            </w:pPr>
            <w:r>
              <w:rPr>
                <w:rFonts w:hint="eastAsia" w:ascii="宋体" w:hAnsi="宋体" w:cs="宋体"/>
                <w:color w:val="auto"/>
                <w:szCs w:val="21"/>
              </w:rPr>
              <w:t>注册地址</w:t>
            </w:r>
          </w:p>
        </w:tc>
        <w:tc>
          <w:tcPr>
            <w:tcW w:w="3681" w:type="dxa"/>
            <w:gridSpan w:val="4"/>
            <w:noWrap w:val="0"/>
            <w:vAlign w:val="center"/>
          </w:tcPr>
          <w:p w14:paraId="6115282C">
            <w:pPr>
              <w:ind w:firstLine="420"/>
              <w:jc w:val="center"/>
              <w:rPr>
                <w:rFonts w:hint="eastAsia" w:ascii="宋体" w:hAnsi="宋体" w:cs="宋体"/>
                <w:color w:val="auto"/>
                <w:szCs w:val="21"/>
              </w:rPr>
            </w:pPr>
          </w:p>
        </w:tc>
        <w:tc>
          <w:tcPr>
            <w:tcW w:w="1353" w:type="dxa"/>
            <w:noWrap w:val="0"/>
            <w:vAlign w:val="center"/>
          </w:tcPr>
          <w:p w14:paraId="21E96A1F">
            <w:pPr>
              <w:ind w:firstLine="0" w:firstLineChars="0"/>
              <w:rPr>
                <w:rFonts w:hint="eastAsia" w:ascii="宋体" w:hAnsi="宋体" w:cs="宋体"/>
                <w:color w:val="auto"/>
                <w:szCs w:val="21"/>
              </w:rPr>
            </w:pPr>
            <w:r>
              <w:rPr>
                <w:rFonts w:hint="eastAsia" w:ascii="宋体" w:hAnsi="宋体" w:cs="宋体"/>
                <w:color w:val="auto"/>
                <w:szCs w:val="21"/>
              </w:rPr>
              <w:t>邮政编码</w:t>
            </w:r>
          </w:p>
        </w:tc>
        <w:tc>
          <w:tcPr>
            <w:tcW w:w="2593" w:type="dxa"/>
            <w:gridSpan w:val="3"/>
            <w:noWrap w:val="0"/>
            <w:vAlign w:val="center"/>
          </w:tcPr>
          <w:p w14:paraId="60513B63">
            <w:pPr>
              <w:ind w:firstLine="420"/>
              <w:jc w:val="center"/>
              <w:rPr>
                <w:rFonts w:hint="eastAsia" w:ascii="宋体" w:hAnsi="宋体" w:cs="宋体"/>
                <w:color w:val="auto"/>
                <w:szCs w:val="21"/>
              </w:rPr>
            </w:pPr>
          </w:p>
        </w:tc>
      </w:tr>
      <w:tr w14:paraId="13D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vMerge w:val="restart"/>
            <w:noWrap w:val="0"/>
            <w:vAlign w:val="center"/>
          </w:tcPr>
          <w:p w14:paraId="3EA3EF2C">
            <w:pPr>
              <w:ind w:firstLine="0" w:firstLineChars="0"/>
              <w:rPr>
                <w:rFonts w:hint="eastAsia" w:ascii="宋体" w:hAnsi="宋体" w:cs="宋体"/>
                <w:color w:val="auto"/>
                <w:szCs w:val="21"/>
              </w:rPr>
            </w:pPr>
            <w:r>
              <w:rPr>
                <w:rFonts w:hint="eastAsia" w:ascii="宋体" w:hAnsi="宋体" w:cs="宋体"/>
                <w:color w:val="auto"/>
                <w:szCs w:val="21"/>
              </w:rPr>
              <w:t>联系方式</w:t>
            </w:r>
          </w:p>
        </w:tc>
        <w:tc>
          <w:tcPr>
            <w:tcW w:w="972" w:type="dxa"/>
            <w:noWrap w:val="0"/>
            <w:vAlign w:val="center"/>
          </w:tcPr>
          <w:p w14:paraId="1A9F00B1">
            <w:pPr>
              <w:ind w:firstLine="0" w:firstLineChars="0"/>
              <w:rPr>
                <w:rFonts w:hint="eastAsia" w:ascii="宋体" w:hAnsi="宋体" w:cs="宋体"/>
                <w:color w:val="auto"/>
                <w:szCs w:val="21"/>
              </w:rPr>
            </w:pPr>
            <w:r>
              <w:rPr>
                <w:rFonts w:hint="eastAsia" w:ascii="宋体" w:hAnsi="宋体" w:cs="宋体"/>
                <w:color w:val="auto"/>
                <w:szCs w:val="21"/>
              </w:rPr>
              <w:t>联系人</w:t>
            </w:r>
          </w:p>
        </w:tc>
        <w:tc>
          <w:tcPr>
            <w:tcW w:w="2709" w:type="dxa"/>
            <w:gridSpan w:val="3"/>
            <w:noWrap w:val="0"/>
            <w:vAlign w:val="center"/>
          </w:tcPr>
          <w:p w14:paraId="391E848E">
            <w:pPr>
              <w:ind w:firstLine="420"/>
              <w:jc w:val="center"/>
              <w:rPr>
                <w:rFonts w:hint="eastAsia" w:ascii="宋体" w:hAnsi="宋体" w:cs="宋体"/>
                <w:color w:val="auto"/>
                <w:szCs w:val="21"/>
              </w:rPr>
            </w:pPr>
          </w:p>
        </w:tc>
        <w:tc>
          <w:tcPr>
            <w:tcW w:w="1353" w:type="dxa"/>
            <w:noWrap w:val="0"/>
            <w:vAlign w:val="center"/>
          </w:tcPr>
          <w:p w14:paraId="144B17DC">
            <w:pPr>
              <w:ind w:firstLine="0" w:firstLineChars="0"/>
              <w:rPr>
                <w:rFonts w:hint="eastAsia" w:ascii="宋体" w:hAnsi="宋体" w:cs="宋体"/>
                <w:color w:val="auto"/>
                <w:szCs w:val="21"/>
              </w:rPr>
            </w:pPr>
            <w:r>
              <w:rPr>
                <w:rFonts w:hint="eastAsia" w:ascii="宋体" w:hAnsi="宋体" w:cs="宋体"/>
                <w:color w:val="auto"/>
                <w:szCs w:val="21"/>
              </w:rPr>
              <w:t>电  话</w:t>
            </w:r>
          </w:p>
        </w:tc>
        <w:tc>
          <w:tcPr>
            <w:tcW w:w="2593" w:type="dxa"/>
            <w:gridSpan w:val="3"/>
            <w:noWrap w:val="0"/>
            <w:vAlign w:val="center"/>
          </w:tcPr>
          <w:p w14:paraId="251E93D3">
            <w:pPr>
              <w:ind w:firstLine="420"/>
              <w:jc w:val="center"/>
              <w:rPr>
                <w:rFonts w:hint="eastAsia" w:ascii="宋体" w:hAnsi="宋体" w:cs="宋体"/>
                <w:color w:val="auto"/>
                <w:szCs w:val="21"/>
              </w:rPr>
            </w:pPr>
          </w:p>
        </w:tc>
      </w:tr>
      <w:tr w14:paraId="0EA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vMerge w:val="continue"/>
            <w:noWrap w:val="0"/>
            <w:vAlign w:val="center"/>
          </w:tcPr>
          <w:p w14:paraId="43AD74B8">
            <w:pPr>
              <w:ind w:firstLine="420"/>
              <w:jc w:val="center"/>
              <w:rPr>
                <w:rFonts w:hint="eastAsia" w:ascii="宋体" w:hAnsi="宋体" w:cs="宋体"/>
                <w:color w:val="auto"/>
                <w:szCs w:val="21"/>
              </w:rPr>
            </w:pPr>
          </w:p>
        </w:tc>
        <w:tc>
          <w:tcPr>
            <w:tcW w:w="972" w:type="dxa"/>
            <w:noWrap w:val="0"/>
            <w:vAlign w:val="center"/>
          </w:tcPr>
          <w:p w14:paraId="3768C90D">
            <w:pPr>
              <w:ind w:firstLine="0" w:firstLineChars="0"/>
              <w:rPr>
                <w:rFonts w:hint="eastAsia" w:ascii="宋体" w:hAnsi="宋体" w:cs="宋体"/>
                <w:color w:val="auto"/>
                <w:szCs w:val="21"/>
              </w:rPr>
            </w:pPr>
            <w:r>
              <w:rPr>
                <w:rFonts w:hint="eastAsia" w:ascii="宋体" w:hAnsi="宋体" w:cs="宋体"/>
                <w:color w:val="auto"/>
                <w:szCs w:val="21"/>
              </w:rPr>
              <w:t>传  真</w:t>
            </w:r>
          </w:p>
        </w:tc>
        <w:tc>
          <w:tcPr>
            <w:tcW w:w="2709" w:type="dxa"/>
            <w:gridSpan w:val="3"/>
            <w:noWrap w:val="0"/>
            <w:vAlign w:val="center"/>
          </w:tcPr>
          <w:p w14:paraId="46959951">
            <w:pPr>
              <w:ind w:firstLine="420"/>
              <w:jc w:val="center"/>
              <w:rPr>
                <w:rFonts w:hint="eastAsia" w:ascii="宋体" w:hAnsi="宋体" w:cs="宋体"/>
                <w:color w:val="auto"/>
                <w:szCs w:val="21"/>
              </w:rPr>
            </w:pPr>
          </w:p>
        </w:tc>
        <w:tc>
          <w:tcPr>
            <w:tcW w:w="1353" w:type="dxa"/>
            <w:noWrap w:val="0"/>
            <w:vAlign w:val="center"/>
          </w:tcPr>
          <w:p w14:paraId="35790399">
            <w:pPr>
              <w:ind w:firstLine="0" w:firstLineChars="0"/>
              <w:rPr>
                <w:rFonts w:hint="eastAsia" w:ascii="宋体" w:hAnsi="宋体" w:cs="宋体"/>
                <w:color w:val="auto"/>
                <w:szCs w:val="21"/>
              </w:rPr>
            </w:pPr>
            <w:r>
              <w:rPr>
                <w:rFonts w:hint="eastAsia" w:ascii="宋体" w:hAnsi="宋体" w:cs="宋体"/>
                <w:color w:val="auto"/>
                <w:szCs w:val="21"/>
              </w:rPr>
              <w:t>网  址</w:t>
            </w:r>
          </w:p>
        </w:tc>
        <w:tc>
          <w:tcPr>
            <w:tcW w:w="2593" w:type="dxa"/>
            <w:gridSpan w:val="3"/>
            <w:noWrap w:val="0"/>
            <w:vAlign w:val="center"/>
          </w:tcPr>
          <w:p w14:paraId="0107F6FE">
            <w:pPr>
              <w:ind w:firstLine="420"/>
              <w:jc w:val="center"/>
              <w:rPr>
                <w:rFonts w:hint="eastAsia" w:ascii="宋体" w:hAnsi="宋体" w:cs="宋体"/>
                <w:color w:val="auto"/>
                <w:szCs w:val="21"/>
              </w:rPr>
            </w:pPr>
          </w:p>
        </w:tc>
      </w:tr>
      <w:tr w14:paraId="3192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12" w:type="dxa"/>
            <w:noWrap w:val="0"/>
            <w:vAlign w:val="center"/>
          </w:tcPr>
          <w:p w14:paraId="2DB90823">
            <w:pPr>
              <w:ind w:firstLine="0" w:firstLineChars="0"/>
              <w:rPr>
                <w:rFonts w:hint="eastAsia" w:ascii="宋体" w:hAnsi="宋体" w:cs="宋体"/>
                <w:color w:val="auto"/>
                <w:szCs w:val="21"/>
              </w:rPr>
            </w:pPr>
            <w:r>
              <w:rPr>
                <w:rFonts w:hint="eastAsia" w:ascii="宋体" w:hAnsi="宋体" w:cs="宋体"/>
                <w:color w:val="auto"/>
                <w:szCs w:val="21"/>
              </w:rPr>
              <w:t>组织结构</w:t>
            </w:r>
          </w:p>
        </w:tc>
        <w:tc>
          <w:tcPr>
            <w:tcW w:w="7627" w:type="dxa"/>
            <w:gridSpan w:val="8"/>
            <w:noWrap w:val="0"/>
            <w:vAlign w:val="center"/>
          </w:tcPr>
          <w:p w14:paraId="099AF3C0">
            <w:pPr>
              <w:ind w:firstLine="420"/>
              <w:jc w:val="center"/>
              <w:rPr>
                <w:rFonts w:hint="eastAsia" w:ascii="宋体" w:hAnsi="宋体" w:cs="宋体"/>
                <w:color w:val="auto"/>
                <w:szCs w:val="21"/>
              </w:rPr>
            </w:pPr>
          </w:p>
        </w:tc>
      </w:tr>
      <w:tr w14:paraId="28E0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12" w:type="dxa"/>
            <w:noWrap w:val="0"/>
            <w:vAlign w:val="center"/>
          </w:tcPr>
          <w:p w14:paraId="46DC44D6">
            <w:pPr>
              <w:ind w:firstLine="0" w:firstLineChars="0"/>
              <w:rPr>
                <w:rFonts w:hint="eastAsia" w:ascii="宋体" w:hAnsi="宋体" w:cs="宋体"/>
                <w:color w:val="auto"/>
                <w:szCs w:val="21"/>
              </w:rPr>
            </w:pPr>
            <w:r>
              <w:rPr>
                <w:rFonts w:hint="eastAsia" w:ascii="宋体" w:hAnsi="宋体" w:cs="宋体"/>
                <w:color w:val="auto"/>
                <w:szCs w:val="21"/>
              </w:rPr>
              <w:t>法定代表人</w:t>
            </w:r>
          </w:p>
        </w:tc>
        <w:tc>
          <w:tcPr>
            <w:tcW w:w="972" w:type="dxa"/>
            <w:noWrap w:val="0"/>
            <w:vAlign w:val="center"/>
          </w:tcPr>
          <w:p w14:paraId="0612E9BF">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129CBF3B">
            <w:pPr>
              <w:ind w:firstLine="420"/>
              <w:jc w:val="center"/>
              <w:rPr>
                <w:rFonts w:hint="eastAsia" w:ascii="宋体" w:hAnsi="宋体" w:cs="宋体"/>
                <w:color w:val="auto"/>
                <w:szCs w:val="21"/>
              </w:rPr>
            </w:pPr>
          </w:p>
        </w:tc>
        <w:tc>
          <w:tcPr>
            <w:tcW w:w="1386" w:type="dxa"/>
            <w:noWrap w:val="0"/>
            <w:vAlign w:val="center"/>
          </w:tcPr>
          <w:p w14:paraId="74B0F258">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EA724E">
            <w:pPr>
              <w:ind w:firstLine="420"/>
              <w:jc w:val="center"/>
              <w:rPr>
                <w:rFonts w:hint="eastAsia" w:ascii="宋体" w:hAnsi="宋体" w:cs="宋体"/>
                <w:color w:val="auto"/>
                <w:szCs w:val="21"/>
              </w:rPr>
            </w:pPr>
          </w:p>
        </w:tc>
        <w:tc>
          <w:tcPr>
            <w:tcW w:w="768" w:type="dxa"/>
            <w:noWrap w:val="0"/>
            <w:vAlign w:val="center"/>
          </w:tcPr>
          <w:p w14:paraId="4A4FA1A2">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173DFF54">
            <w:pPr>
              <w:ind w:firstLine="420"/>
              <w:jc w:val="center"/>
              <w:rPr>
                <w:rFonts w:hint="eastAsia" w:ascii="宋体" w:hAnsi="宋体" w:cs="宋体"/>
                <w:color w:val="auto"/>
                <w:szCs w:val="21"/>
              </w:rPr>
            </w:pPr>
          </w:p>
        </w:tc>
      </w:tr>
      <w:tr w14:paraId="29F4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00D0C0">
            <w:pPr>
              <w:ind w:firstLine="0" w:firstLineChars="0"/>
              <w:rPr>
                <w:rFonts w:hint="eastAsia" w:ascii="宋体" w:hAnsi="宋体" w:cs="宋体"/>
                <w:color w:val="auto"/>
                <w:szCs w:val="21"/>
              </w:rPr>
            </w:pPr>
            <w:r>
              <w:rPr>
                <w:rFonts w:hint="eastAsia" w:ascii="宋体" w:hAnsi="宋体" w:cs="宋体"/>
                <w:color w:val="auto"/>
                <w:szCs w:val="21"/>
              </w:rPr>
              <w:t>项目负责人</w:t>
            </w:r>
          </w:p>
        </w:tc>
        <w:tc>
          <w:tcPr>
            <w:tcW w:w="972" w:type="dxa"/>
            <w:noWrap w:val="0"/>
            <w:vAlign w:val="center"/>
          </w:tcPr>
          <w:p w14:paraId="26945820">
            <w:pPr>
              <w:ind w:firstLine="0" w:firstLineChars="0"/>
              <w:rPr>
                <w:rFonts w:hint="eastAsia" w:ascii="宋体" w:hAnsi="宋体" w:cs="宋体"/>
                <w:color w:val="auto"/>
                <w:szCs w:val="21"/>
              </w:rPr>
            </w:pPr>
            <w:r>
              <w:rPr>
                <w:rFonts w:hint="eastAsia" w:ascii="宋体" w:hAnsi="宋体" w:cs="宋体"/>
                <w:color w:val="auto"/>
                <w:szCs w:val="21"/>
              </w:rPr>
              <w:t>姓名</w:t>
            </w:r>
          </w:p>
        </w:tc>
        <w:tc>
          <w:tcPr>
            <w:tcW w:w="1107" w:type="dxa"/>
            <w:noWrap w:val="0"/>
            <w:vAlign w:val="center"/>
          </w:tcPr>
          <w:p w14:paraId="4019C4DF">
            <w:pPr>
              <w:ind w:firstLine="420"/>
              <w:jc w:val="center"/>
              <w:rPr>
                <w:rFonts w:hint="eastAsia" w:ascii="宋体" w:hAnsi="宋体" w:cs="宋体"/>
                <w:color w:val="auto"/>
                <w:szCs w:val="21"/>
              </w:rPr>
            </w:pPr>
          </w:p>
        </w:tc>
        <w:tc>
          <w:tcPr>
            <w:tcW w:w="1386" w:type="dxa"/>
            <w:noWrap w:val="0"/>
            <w:vAlign w:val="center"/>
          </w:tcPr>
          <w:p w14:paraId="57894C3A">
            <w:pPr>
              <w:ind w:firstLine="0" w:firstLineChars="0"/>
              <w:rPr>
                <w:rFonts w:hint="eastAsia" w:ascii="宋体" w:hAnsi="宋体" w:cs="宋体"/>
                <w:color w:val="auto"/>
                <w:szCs w:val="21"/>
              </w:rPr>
            </w:pPr>
            <w:r>
              <w:rPr>
                <w:rFonts w:hint="eastAsia" w:ascii="宋体" w:hAnsi="宋体" w:cs="宋体"/>
                <w:color w:val="auto"/>
                <w:szCs w:val="21"/>
              </w:rPr>
              <w:t>技术职称</w:t>
            </w:r>
          </w:p>
        </w:tc>
        <w:tc>
          <w:tcPr>
            <w:tcW w:w="1848" w:type="dxa"/>
            <w:gridSpan w:val="3"/>
            <w:noWrap w:val="0"/>
            <w:vAlign w:val="center"/>
          </w:tcPr>
          <w:p w14:paraId="0CBF4C8E">
            <w:pPr>
              <w:ind w:firstLine="420"/>
              <w:jc w:val="center"/>
              <w:rPr>
                <w:rFonts w:hint="eastAsia" w:ascii="宋体" w:hAnsi="宋体" w:cs="宋体"/>
                <w:color w:val="auto"/>
                <w:szCs w:val="21"/>
              </w:rPr>
            </w:pPr>
          </w:p>
        </w:tc>
        <w:tc>
          <w:tcPr>
            <w:tcW w:w="768" w:type="dxa"/>
            <w:noWrap w:val="0"/>
            <w:vAlign w:val="center"/>
          </w:tcPr>
          <w:p w14:paraId="44AB891E">
            <w:pPr>
              <w:ind w:firstLine="0" w:firstLineChars="0"/>
              <w:rPr>
                <w:rFonts w:hint="eastAsia" w:ascii="宋体" w:hAnsi="宋体" w:cs="宋体"/>
                <w:color w:val="auto"/>
                <w:szCs w:val="21"/>
              </w:rPr>
            </w:pPr>
            <w:r>
              <w:rPr>
                <w:rFonts w:hint="eastAsia" w:ascii="宋体" w:hAnsi="宋体" w:cs="宋体"/>
                <w:color w:val="auto"/>
                <w:szCs w:val="21"/>
              </w:rPr>
              <w:t>电话</w:t>
            </w:r>
          </w:p>
        </w:tc>
        <w:tc>
          <w:tcPr>
            <w:tcW w:w="1546" w:type="dxa"/>
            <w:noWrap w:val="0"/>
            <w:vAlign w:val="center"/>
          </w:tcPr>
          <w:p w14:paraId="5FEE1423">
            <w:pPr>
              <w:ind w:firstLine="420"/>
              <w:jc w:val="center"/>
              <w:rPr>
                <w:rFonts w:hint="eastAsia" w:ascii="宋体" w:hAnsi="宋体" w:cs="宋体"/>
                <w:color w:val="auto"/>
                <w:szCs w:val="21"/>
              </w:rPr>
            </w:pPr>
          </w:p>
        </w:tc>
      </w:tr>
      <w:tr w14:paraId="1F8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2" w:type="dxa"/>
            <w:noWrap w:val="0"/>
            <w:vAlign w:val="center"/>
          </w:tcPr>
          <w:p w14:paraId="02E5985B">
            <w:pPr>
              <w:ind w:firstLine="0" w:firstLineChars="0"/>
              <w:rPr>
                <w:rFonts w:hint="eastAsia" w:ascii="宋体" w:hAnsi="宋体" w:cs="宋体"/>
                <w:color w:val="auto"/>
                <w:szCs w:val="21"/>
              </w:rPr>
            </w:pPr>
            <w:r>
              <w:rPr>
                <w:rFonts w:hint="eastAsia" w:ascii="宋体" w:hAnsi="宋体" w:cs="宋体"/>
                <w:color w:val="auto"/>
                <w:szCs w:val="21"/>
              </w:rPr>
              <w:t>成立时间</w:t>
            </w:r>
          </w:p>
        </w:tc>
        <w:tc>
          <w:tcPr>
            <w:tcW w:w="2079" w:type="dxa"/>
            <w:gridSpan w:val="2"/>
            <w:noWrap w:val="0"/>
            <w:vAlign w:val="center"/>
          </w:tcPr>
          <w:p w14:paraId="6AF16A77">
            <w:pPr>
              <w:ind w:firstLine="420"/>
              <w:jc w:val="center"/>
              <w:rPr>
                <w:rFonts w:hint="eastAsia" w:ascii="宋体" w:hAnsi="宋体" w:cs="宋体"/>
                <w:color w:val="auto"/>
                <w:szCs w:val="21"/>
              </w:rPr>
            </w:pPr>
          </w:p>
        </w:tc>
        <w:tc>
          <w:tcPr>
            <w:tcW w:w="5548" w:type="dxa"/>
            <w:gridSpan w:val="6"/>
            <w:noWrap w:val="0"/>
            <w:vAlign w:val="center"/>
          </w:tcPr>
          <w:p w14:paraId="6FB9C8DB">
            <w:pPr>
              <w:ind w:firstLine="420"/>
              <w:jc w:val="left"/>
              <w:rPr>
                <w:rFonts w:hint="eastAsia" w:ascii="宋体" w:hAnsi="宋体" w:cs="宋体"/>
                <w:color w:val="auto"/>
                <w:szCs w:val="21"/>
              </w:rPr>
            </w:pPr>
            <w:r>
              <w:rPr>
                <w:rFonts w:hint="eastAsia" w:ascii="宋体" w:hAnsi="宋体" w:cs="宋体"/>
                <w:color w:val="auto"/>
                <w:szCs w:val="21"/>
              </w:rPr>
              <w:t>员工总人数：</w:t>
            </w:r>
          </w:p>
        </w:tc>
      </w:tr>
      <w:tr w14:paraId="2439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476BB835">
            <w:pPr>
              <w:ind w:firstLine="0" w:firstLineChars="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开户行名称</w:t>
            </w:r>
          </w:p>
        </w:tc>
        <w:tc>
          <w:tcPr>
            <w:tcW w:w="7627" w:type="dxa"/>
            <w:gridSpan w:val="8"/>
            <w:noWrap w:val="0"/>
            <w:vAlign w:val="center"/>
          </w:tcPr>
          <w:p w14:paraId="74455FB9">
            <w:pPr>
              <w:ind w:firstLine="420"/>
              <w:jc w:val="center"/>
              <w:rPr>
                <w:rFonts w:hint="eastAsia" w:ascii="宋体" w:hAnsi="宋体" w:cs="宋体"/>
                <w:color w:val="auto"/>
                <w:szCs w:val="21"/>
              </w:rPr>
            </w:pPr>
          </w:p>
        </w:tc>
      </w:tr>
      <w:tr w14:paraId="610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12" w:type="dxa"/>
            <w:noWrap w:val="0"/>
            <w:vAlign w:val="center"/>
          </w:tcPr>
          <w:p w14:paraId="73F1B24B">
            <w:pPr>
              <w:ind w:firstLine="0" w:firstLineChars="0"/>
              <w:rPr>
                <w:rFonts w:hint="default" w:ascii="宋体" w:hAnsi="宋体" w:cs="宋体"/>
                <w:color w:val="auto"/>
                <w:szCs w:val="21"/>
                <w:lang w:val="en-US" w:eastAsia="zh-CN"/>
              </w:rPr>
            </w:pPr>
            <w:r>
              <w:rPr>
                <w:rFonts w:hint="eastAsia" w:ascii="宋体" w:hAnsi="宋体" w:cs="宋体"/>
                <w:color w:val="auto"/>
                <w:szCs w:val="21"/>
                <w:lang w:val="en-US" w:eastAsia="zh-CN"/>
              </w:rPr>
              <w:t>开户行账号</w:t>
            </w:r>
          </w:p>
        </w:tc>
        <w:tc>
          <w:tcPr>
            <w:tcW w:w="7627" w:type="dxa"/>
            <w:gridSpan w:val="8"/>
            <w:noWrap w:val="0"/>
            <w:vAlign w:val="center"/>
          </w:tcPr>
          <w:p w14:paraId="3974E454">
            <w:pPr>
              <w:ind w:firstLine="420"/>
              <w:jc w:val="center"/>
              <w:rPr>
                <w:rFonts w:hint="eastAsia" w:ascii="宋体" w:hAnsi="宋体" w:cs="宋体"/>
                <w:color w:val="auto"/>
                <w:szCs w:val="21"/>
              </w:rPr>
            </w:pPr>
          </w:p>
        </w:tc>
      </w:tr>
      <w:tr w14:paraId="6A57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612" w:type="dxa"/>
            <w:noWrap w:val="0"/>
            <w:vAlign w:val="center"/>
          </w:tcPr>
          <w:p w14:paraId="21C05984">
            <w:pPr>
              <w:ind w:firstLine="0" w:firstLineChars="0"/>
              <w:rPr>
                <w:rFonts w:hint="eastAsia" w:ascii="宋体" w:hAnsi="宋体" w:cs="宋体"/>
                <w:color w:val="auto"/>
                <w:szCs w:val="21"/>
              </w:rPr>
            </w:pPr>
            <w:r>
              <w:rPr>
                <w:rFonts w:hint="eastAsia" w:ascii="宋体" w:hAnsi="宋体" w:cs="宋体"/>
                <w:color w:val="auto"/>
                <w:szCs w:val="21"/>
              </w:rPr>
              <w:t>经营范围</w:t>
            </w:r>
          </w:p>
        </w:tc>
        <w:tc>
          <w:tcPr>
            <w:tcW w:w="7627" w:type="dxa"/>
            <w:gridSpan w:val="8"/>
            <w:noWrap w:val="0"/>
            <w:vAlign w:val="center"/>
          </w:tcPr>
          <w:p w14:paraId="5F1B6975">
            <w:pPr>
              <w:ind w:firstLine="420"/>
              <w:jc w:val="center"/>
              <w:rPr>
                <w:rFonts w:hint="eastAsia" w:ascii="宋体" w:hAnsi="宋体" w:cs="宋体"/>
                <w:color w:val="auto"/>
                <w:szCs w:val="21"/>
              </w:rPr>
            </w:pPr>
          </w:p>
        </w:tc>
      </w:tr>
      <w:tr w14:paraId="16D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12" w:type="dxa"/>
            <w:noWrap w:val="0"/>
            <w:vAlign w:val="center"/>
          </w:tcPr>
          <w:p w14:paraId="1D7F6704">
            <w:pPr>
              <w:ind w:firstLine="0" w:firstLineChars="0"/>
              <w:rPr>
                <w:rFonts w:hint="eastAsia" w:ascii="宋体" w:hAnsi="宋体" w:cs="宋体"/>
                <w:color w:val="auto"/>
                <w:szCs w:val="21"/>
              </w:rPr>
            </w:pPr>
            <w:r>
              <w:rPr>
                <w:rFonts w:hint="eastAsia" w:ascii="宋体" w:hAnsi="宋体" w:cs="宋体"/>
                <w:color w:val="auto"/>
                <w:szCs w:val="21"/>
              </w:rPr>
              <w:t>备注</w:t>
            </w:r>
          </w:p>
        </w:tc>
        <w:tc>
          <w:tcPr>
            <w:tcW w:w="7627" w:type="dxa"/>
            <w:gridSpan w:val="8"/>
            <w:noWrap w:val="0"/>
            <w:vAlign w:val="center"/>
          </w:tcPr>
          <w:p w14:paraId="406015E6">
            <w:pPr>
              <w:ind w:firstLine="420"/>
              <w:jc w:val="center"/>
              <w:rPr>
                <w:rFonts w:hint="eastAsia" w:ascii="宋体" w:hAnsi="宋体" w:cs="宋体"/>
                <w:color w:val="auto"/>
                <w:szCs w:val="21"/>
              </w:rPr>
            </w:pPr>
          </w:p>
        </w:tc>
      </w:tr>
    </w:tbl>
    <w:p w14:paraId="46057ABD">
      <w:pPr>
        <w:bidi w:val="0"/>
        <w:spacing w:line="400" w:lineRule="exact"/>
        <w:rPr>
          <w:rFonts w:hint="eastAsia" w:ascii="宋体" w:hAnsi="宋体" w:eastAsia="宋体" w:cs="宋体"/>
          <w:color w:val="auto"/>
          <w:sz w:val="21"/>
          <w:szCs w:val="21"/>
          <w:highlight w:val="none"/>
        </w:rPr>
      </w:pPr>
    </w:p>
    <w:p w14:paraId="14C147AB">
      <w:pPr>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在本表后附</w:t>
      </w:r>
      <w:r>
        <w:rPr>
          <w:rFonts w:hint="eastAsia" w:ascii="宋体" w:hAnsi="宋体" w:eastAsia="宋体" w:cs="宋体"/>
          <w:b/>
          <w:bCs/>
          <w:color w:val="auto"/>
          <w:kern w:val="0"/>
          <w:sz w:val="21"/>
          <w:szCs w:val="21"/>
          <w:highlight w:val="none"/>
          <w:lang w:val="en-US" w:eastAsia="zh-CN" w:bidi="ar"/>
        </w:rPr>
        <w:t>资格要求及承诺相关证明材料</w:t>
      </w:r>
      <w:r>
        <w:rPr>
          <w:rFonts w:hint="eastAsia" w:ascii="宋体" w:hAnsi="宋体" w:eastAsia="宋体" w:cs="宋体"/>
          <w:color w:val="auto"/>
          <w:sz w:val="21"/>
          <w:szCs w:val="21"/>
          <w:highlight w:val="none"/>
        </w:rPr>
        <w:t>。</w:t>
      </w:r>
    </w:p>
    <w:p w14:paraId="01837422">
      <w:pPr>
        <w:bidi w:val="0"/>
        <w:spacing w:line="400" w:lineRule="exact"/>
        <w:rPr>
          <w:rFonts w:hint="eastAsia" w:ascii="宋体" w:hAnsi="宋体" w:eastAsia="宋体" w:cs="宋体"/>
          <w:b/>
          <w:bCs/>
          <w:color w:val="auto"/>
          <w:sz w:val="21"/>
          <w:szCs w:val="21"/>
          <w:highlight w:val="none"/>
          <w:lang w:val="en-US" w:eastAsia="zh-CN"/>
        </w:rPr>
        <w:sectPr>
          <w:headerReference r:id="rId7" w:type="default"/>
          <w:footerReference r:id="rId8" w:type="default"/>
          <w:pgSz w:w="11905" w:h="16838"/>
          <w:pgMar w:top="1440" w:right="1282" w:bottom="1440" w:left="138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b/>
          <w:bCs/>
          <w:color w:val="auto"/>
          <w:sz w:val="21"/>
          <w:szCs w:val="21"/>
          <w:highlight w:val="none"/>
          <w:lang w:val="en-US" w:eastAsia="zh-CN"/>
        </w:rPr>
        <w:t>本项目的特定资格要求（如有）：需提供相应的证明材料。</w:t>
      </w:r>
    </w:p>
    <w:p w14:paraId="04B9B8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附件：</w:t>
      </w:r>
    </w:p>
    <w:p w14:paraId="5C2BAF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信阳市政府采购供应商信用承诺函</w:t>
      </w:r>
    </w:p>
    <w:p w14:paraId="7D1CC146">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single"/>
          <w:lang w:val="en-US" w:eastAsia="zh-CN" w:bidi="ar"/>
        </w:rPr>
        <w:t xml:space="preserve">（采购人或采购代理机构）：         </w:t>
      </w:r>
      <w:r>
        <w:rPr>
          <w:rFonts w:hint="eastAsia" w:ascii="宋体" w:hAnsi="宋体" w:eastAsia="宋体" w:cs="宋体"/>
          <w:color w:val="auto"/>
          <w:kern w:val="0"/>
          <w:sz w:val="21"/>
          <w:szCs w:val="21"/>
          <w:highlight w:val="none"/>
          <w:u w:val="none"/>
          <w:lang w:val="en-US" w:eastAsia="zh-CN" w:bidi="ar"/>
        </w:rPr>
        <w:t xml:space="preserve">      </w:t>
      </w:r>
    </w:p>
    <w:p w14:paraId="665E17D5">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单位名称（自然人姓名）</w:t>
      </w:r>
      <w:r>
        <w:rPr>
          <w:rFonts w:hint="eastAsia" w:ascii="宋体" w:hAnsi="宋体" w:eastAsia="宋体" w:cs="宋体"/>
          <w:color w:val="auto"/>
          <w:kern w:val="0"/>
          <w:sz w:val="21"/>
          <w:szCs w:val="21"/>
          <w:highlight w:val="none"/>
          <w:u w:val="single"/>
          <w:lang w:val="en-US" w:eastAsia="zh-CN" w:bidi="ar"/>
        </w:rPr>
        <w:t xml:space="preserve">：            </w:t>
      </w:r>
    </w:p>
    <w:p w14:paraId="25D83F90">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统一社会信用代码（身份证号码）</w:t>
      </w:r>
      <w:r>
        <w:rPr>
          <w:rFonts w:hint="eastAsia" w:ascii="宋体" w:hAnsi="宋体" w:eastAsia="宋体" w:cs="宋体"/>
          <w:color w:val="auto"/>
          <w:kern w:val="0"/>
          <w:sz w:val="21"/>
          <w:szCs w:val="21"/>
          <w:highlight w:val="none"/>
          <w:u w:val="single"/>
          <w:lang w:val="en-US" w:eastAsia="zh-CN" w:bidi="ar"/>
        </w:rPr>
        <w:t xml:space="preserve">：     </w:t>
      </w:r>
    </w:p>
    <w:p w14:paraId="5EA6045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法定代表人（负责人）</w:t>
      </w:r>
      <w:r>
        <w:rPr>
          <w:rFonts w:hint="eastAsia" w:ascii="宋体" w:hAnsi="宋体" w:eastAsia="宋体" w:cs="宋体"/>
          <w:color w:val="auto"/>
          <w:kern w:val="0"/>
          <w:sz w:val="21"/>
          <w:szCs w:val="21"/>
          <w:highlight w:val="none"/>
          <w:u w:val="single"/>
          <w:lang w:val="en-US" w:eastAsia="zh-CN" w:bidi="ar"/>
        </w:rPr>
        <w:t xml:space="preserve">：               </w:t>
      </w:r>
    </w:p>
    <w:p w14:paraId="3BE97E0B">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联系地址和电话</w:t>
      </w:r>
      <w:r>
        <w:rPr>
          <w:rFonts w:hint="eastAsia" w:ascii="宋体" w:hAnsi="宋体" w:eastAsia="宋体" w:cs="宋体"/>
          <w:color w:val="auto"/>
          <w:kern w:val="0"/>
          <w:sz w:val="21"/>
          <w:szCs w:val="21"/>
          <w:highlight w:val="none"/>
          <w:u w:val="single"/>
          <w:lang w:val="en-US" w:eastAsia="zh-CN" w:bidi="ar"/>
        </w:rPr>
        <w:t xml:space="preserve">：              </w:t>
      </w:r>
    </w:p>
    <w:p w14:paraId="7BB86B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为维护公平、公正、公开的政府采购市场秩序，树立诚实守信的政府采购供应商形象，我单位（本人）自愿作出以下承诺：</w:t>
      </w:r>
    </w:p>
    <w:p w14:paraId="77AA6920">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0DFC25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具有独立承担民事责任的能力；</w:t>
      </w:r>
    </w:p>
    <w:p w14:paraId="2C30C9E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具有良好的商业信誉和健全的财务会计制度； </w:t>
      </w:r>
    </w:p>
    <w:p w14:paraId="14A10C8D">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具有履行合同所必需的设备和专业技术能力；</w:t>
      </w:r>
    </w:p>
    <w:p w14:paraId="09F1B808">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有依法缴纳税收和社会保障资金的良好记录； </w:t>
      </w:r>
    </w:p>
    <w:p w14:paraId="49A0065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参加政府采购活动前三年内，在经营活动中没有重大违法记录； </w:t>
      </w:r>
    </w:p>
    <w:p w14:paraId="6A741EC9">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未被列入经营异常名录或者严重违法失信名单、失信被执行人、重大税收违法案件当事人名单、政府采购严重违法失信行为记录名单；</w:t>
      </w:r>
    </w:p>
    <w:p w14:paraId="6A9A8F96">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未被相关监管部门作出行政处罚且尚在处罚有效期内； </w:t>
      </w:r>
    </w:p>
    <w:p w14:paraId="2BC8D350">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未曾做出虚假采购承诺； </w:t>
      </w:r>
    </w:p>
    <w:p w14:paraId="19356B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（九）符合法律、行政法规规定的其他条件。</w:t>
      </w:r>
    </w:p>
    <w:p w14:paraId="7ACF76F6">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D8853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78D0BA0D">
      <w:pPr>
        <w:pStyle w:val="44"/>
        <w:rPr>
          <w:rFonts w:hint="eastAsia"/>
          <w:color w:val="auto"/>
          <w:highlight w:val="none"/>
          <w:lang w:val="en-US" w:eastAsia="zh-CN"/>
        </w:rPr>
      </w:pPr>
    </w:p>
    <w:p w14:paraId="5B5C7ED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供应商（公章）：</w:t>
      </w:r>
    </w:p>
    <w:p w14:paraId="415F4F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法定代表人（签字及盖章）：</w:t>
      </w:r>
    </w:p>
    <w:p w14:paraId="53FF076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日期：  年  月  日</w:t>
      </w:r>
    </w:p>
    <w:p w14:paraId="28202A4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注：1、供应商须在响应文件中按此模板提供承诺函，未提供视为未实质性响应招标文件要求，按无效投标处理。</w:t>
      </w:r>
    </w:p>
    <w:p w14:paraId="2592D50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35" w:firstLineChars="3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2、供应商的法定代表人签字及盖章应真实、有效。</w:t>
      </w:r>
    </w:p>
    <w:p w14:paraId="6ED2782B">
      <w:pPr>
        <w:spacing w:before="312" w:beforeLines="100" w:after="156" w:afterLines="50"/>
        <w:rPr>
          <w:rFonts w:hint="eastAsia" w:ascii="宋体" w:hAnsi="宋体"/>
          <w:b/>
          <w:color w:val="auto"/>
          <w:szCs w:val="21"/>
          <w:highlight w:val="none"/>
        </w:rPr>
      </w:pPr>
    </w:p>
    <w:p w14:paraId="5652018C">
      <w:pPr>
        <w:pStyle w:val="44"/>
        <w:rPr>
          <w:rFonts w:hint="eastAsia" w:ascii="宋体" w:hAnsi="宋体"/>
          <w:b/>
          <w:color w:val="auto"/>
          <w:szCs w:val="21"/>
          <w:highlight w:val="none"/>
        </w:rPr>
      </w:pPr>
    </w:p>
    <w:p w14:paraId="6688C87E">
      <w:pPr>
        <w:pStyle w:val="21"/>
        <w:rPr>
          <w:rFonts w:hint="eastAsia" w:ascii="宋体" w:hAnsi="宋体"/>
          <w:b/>
          <w:color w:val="auto"/>
          <w:szCs w:val="21"/>
          <w:highlight w:val="none"/>
        </w:rPr>
      </w:pPr>
    </w:p>
    <w:p w14:paraId="243BFD3C">
      <w:pPr>
        <w:pStyle w:val="21"/>
        <w:rPr>
          <w:rFonts w:hint="eastAsia" w:ascii="宋体" w:hAnsi="宋体"/>
          <w:b/>
          <w:color w:val="auto"/>
          <w:szCs w:val="21"/>
          <w:highlight w:val="none"/>
        </w:rPr>
      </w:pPr>
    </w:p>
    <w:p w14:paraId="7BA44BAE">
      <w:pPr>
        <w:pStyle w:val="21"/>
        <w:rPr>
          <w:rFonts w:hint="eastAsia" w:ascii="宋体" w:hAnsi="宋体"/>
          <w:b/>
          <w:color w:val="auto"/>
          <w:szCs w:val="21"/>
          <w:highlight w:val="none"/>
        </w:rPr>
      </w:pPr>
    </w:p>
    <w:p w14:paraId="7DDCB442">
      <w:pPr>
        <w:pStyle w:val="21"/>
        <w:rPr>
          <w:rFonts w:hint="eastAsia" w:ascii="宋体" w:hAnsi="宋体"/>
          <w:b/>
          <w:color w:val="auto"/>
          <w:szCs w:val="21"/>
          <w:highlight w:val="none"/>
        </w:rPr>
      </w:pPr>
    </w:p>
    <w:p w14:paraId="7C50DC85">
      <w:pPr>
        <w:pStyle w:val="21"/>
        <w:rPr>
          <w:rFonts w:hint="eastAsia" w:ascii="宋体" w:hAnsi="宋体"/>
          <w:b/>
          <w:color w:val="auto"/>
          <w:szCs w:val="21"/>
          <w:highlight w:val="none"/>
        </w:rPr>
      </w:pPr>
    </w:p>
    <w:p w14:paraId="5788AF78">
      <w:pPr>
        <w:pStyle w:val="21"/>
        <w:rPr>
          <w:rFonts w:hint="eastAsia" w:ascii="宋体" w:hAnsi="宋体"/>
          <w:b/>
          <w:color w:val="auto"/>
          <w:szCs w:val="21"/>
          <w:highlight w:val="none"/>
        </w:rPr>
      </w:pPr>
    </w:p>
    <w:p w14:paraId="5A708680">
      <w:pPr>
        <w:pStyle w:val="21"/>
        <w:rPr>
          <w:rFonts w:hint="eastAsia" w:ascii="宋体" w:hAnsi="宋体"/>
          <w:b/>
          <w:color w:val="auto"/>
          <w:szCs w:val="21"/>
          <w:highlight w:val="none"/>
        </w:rPr>
      </w:pPr>
    </w:p>
    <w:p w14:paraId="4180CAA1">
      <w:pPr>
        <w:pStyle w:val="21"/>
        <w:rPr>
          <w:rFonts w:hint="eastAsia" w:ascii="宋体" w:hAnsi="宋体"/>
          <w:b/>
          <w:color w:val="auto"/>
          <w:szCs w:val="21"/>
          <w:highlight w:val="none"/>
        </w:rPr>
      </w:pPr>
    </w:p>
    <w:p w14:paraId="40075193">
      <w:pPr>
        <w:pStyle w:val="21"/>
        <w:rPr>
          <w:rFonts w:hint="eastAsia" w:ascii="宋体" w:hAnsi="宋体"/>
          <w:b/>
          <w:color w:val="auto"/>
          <w:szCs w:val="21"/>
          <w:highlight w:val="none"/>
        </w:rPr>
      </w:pPr>
    </w:p>
    <w:p w14:paraId="2007D775">
      <w:pPr>
        <w:pStyle w:val="21"/>
        <w:rPr>
          <w:rFonts w:hint="eastAsia" w:ascii="宋体" w:hAnsi="宋体"/>
          <w:b/>
          <w:color w:val="auto"/>
          <w:szCs w:val="21"/>
          <w:highlight w:val="none"/>
        </w:rPr>
      </w:pPr>
    </w:p>
    <w:p w14:paraId="72DE0752">
      <w:pPr>
        <w:pStyle w:val="21"/>
        <w:rPr>
          <w:rFonts w:hint="eastAsia" w:ascii="宋体" w:hAnsi="宋体"/>
          <w:b/>
          <w:color w:val="auto"/>
          <w:szCs w:val="21"/>
          <w:highlight w:val="none"/>
        </w:rPr>
      </w:pPr>
    </w:p>
    <w:p w14:paraId="5943F77E">
      <w:pPr>
        <w:pStyle w:val="21"/>
        <w:rPr>
          <w:rFonts w:hint="eastAsia" w:ascii="宋体" w:hAnsi="宋体"/>
          <w:b/>
          <w:color w:val="auto"/>
          <w:szCs w:val="21"/>
          <w:highlight w:val="none"/>
        </w:rPr>
      </w:pPr>
    </w:p>
    <w:p w14:paraId="6481B394">
      <w:pPr>
        <w:pStyle w:val="21"/>
        <w:rPr>
          <w:rFonts w:hint="eastAsia" w:ascii="宋体" w:hAnsi="宋体"/>
          <w:b/>
          <w:color w:val="auto"/>
          <w:szCs w:val="21"/>
          <w:highlight w:val="none"/>
        </w:rPr>
      </w:pPr>
    </w:p>
    <w:p w14:paraId="5B5BE902">
      <w:pPr>
        <w:pStyle w:val="21"/>
        <w:rPr>
          <w:rFonts w:hint="eastAsia" w:ascii="宋体" w:hAnsi="宋体"/>
          <w:b/>
          <w:color w:val="auto"/>
          <w:szCs w:val="21"/>
          <w:highlight w:val="none"/>
        </w:rPr>
      </w:pPr>
    </w:p>
    <w:p w14:paraId="39604B7D">
      <w:pPr>
        <w:pStyle w:val="21"/>
        <w:rPr>
          <w:rFonts w:hint="eastAsia" w:ascii="宋体" w:hAnsi="宋体"/>
          <w:b/>
          <w:color w:val="auto"/>
          <w:szCs w:val="21"/>
          <w:highlight w:val="none"/>
        </w:rPr>
      </w:pPr>
    </w:p>
    <w:p w14:paraId="2C1530B6">
      <w:pPr>
        <w:pStyle w:val="21"/>
        <w:ind w:left="0" w:leftChars="0" w:firstLine="0" w:firstLineChars="0"/>
        <w:rPr>
          <w:rFonts w:hint="eastAsia" w:ascii="宋体" w:hAnsi="宋体"/>
          <w:b/>
          <w:color w:val="auto"/>
          <w:szCs w:val="21"/>
          <w:highlight w:val="none"/>
        </w:rPr>
      </w:pPr>
    </w:p>
    <w:p w14:paraId="44D05F9D">
      <w:pPr>
        <w:bidi w:val="0"/>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8"/>
          <w:szCs w:val="28"/>
          <w:highlight w:val="none"/>
          <w:lang w:eastAsia="zh-CN"/>
        </w:rPr>
        <w:t>六、</w:t>
      </w:r>
      <w:bookmarkStart w:id="946" w:name="_bookmark1"/>
      <w:bookmarkEnd w:id="946"/>
      <w:r>
        <w:rPr>
          <w:rFonts w:hint="eastAsia" w:ascii="宋体" w:hAnsi="宋体" w:eastAsia="宋体" w:cs="宋体"/>
          <w:b/>
          <w:bCs/>
          <w:color w:val="auto"/>
          <w:sz w:val="28"/>
          <w:szCs w:val="28"/>
          <w:highlight w:val="none"/>
          <w:lang w:eastAsia="zh-CN"/>
        </w:rPr>
        <w:t>中小企业声明函（服务）</w:t>
      </w:r>
    </w:p>
    <w:p w14:paraId="69EA28F9">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40E9B9DB">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万元1，属于（中型企业、小型企业、微型企业）。</w:t>
      </w:r>
    </w:p>
    <w:p w14:paraId="6D06F384">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（采购文件中明确的所属行业）</w:t>
      </w:r>
      <w:r>
        <w:rPr>
          <w:rFonts w:hint="eastAsia" w:ascii="宋体" w:hAnsi="宋体" w:eastAsia="宋体" w:cs="宋体"/>
          <w:color w:val="auto"/>
          <w:kern w:val="2"/>
          <w:sz w:val="21"/>
          <w:szCs w:val="21"/>
          <w:highlight w:val="none"/>
          <w:lang w:val="en-US" w:eastAsia="zh-CN" w:bidi="ar-SA"/>
        </w:rPr>
        <w:t>；承建（承接）企业为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（企业名称），从业人员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万元，属于（中型企业、小型企业、微型企业）。</w:t>
      </w:r>
    </w:p>
    <w:p w14:paraId="1036BA56">
      <w:pPr>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229BE861">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3243BDD8">
      <w:pPr>
        <w:bidi w:val="0"/>
        <w:spacing w:line="48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41F6E674">
      <w:pPr>
        <w:bidi w:val="0"/>
        <w:spacing w:line="48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企业名称（盖章）：</w:t>
      </w:r>
    </w:p>
    <w:p w14:paraId="1AC299DA">
      <w:pPr>
        <w:bidi w:val="0"/>
        <w:spacing w:line="480" w:lineRule="auto"/>
        <w:ind w:firstLine="422" w:firstLineChars="200"/>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日期：</w:t>
      </w:r>
    </w:p>
    <w:p w14:paraId="72412152">
      <w:pPr>
        <w:pStyle w:val="44"/>
        <w:bidi w:val="0"/>
        <w:spacing w:line="480" w:lineRule="auto"/>
        <w:rPr>
          <w:rFonts w:hint="eastAsia" w:ascii="宋体" w:hAnsi="宋体" w:eastAsia="宋体" w:cs="宋体"/>
          <w:color w:val="auto"/>
          <w:kern w:val="2"/>
          <w:sz w:val="21"/>
          <w:szCs w:val="21"/>
          <w:highlight w:val="none"/>
          <w:lang w:val="en-US" w:eastAsia="zh-CN" w:bidi="ar-SA"/>
        </w:rPr>
      </w:pPr>
    </w:p>
    <w:p w14:paraId="083103E7">
      <w:pPr>
        <w:pStyle w:val="44"/>
        <w:bidi w:val="0"/>
        <w:spacing w:line="48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1、从业人员、营业收入、资产总额填报上一年度数据，无上一年度数据的新成立企业可不填报。</w:t>
      </w:r>
    </w:p>
    <w:p w14:paraId="5A6C8C80">
      <w:pPr>
        <w:pStyle w:val="6"/>
        <w:bidi w:val="0"/>
        <w:spacing w:line="480" w:lineRule="auto"/>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2、所投产品制造商属于中小微企业的填写，不属于的无需填写此项内容。</w:t>
      </w:r>
    </w:p>
    <w:p w14:paraId="7B2C3A3B">
      <w:pPr>
        <w:pStyle w:val="6"/>
        <w:bidi w:val="0"/>
        <w:spacing w:line="480" w:lineRule="auto"/>
        <w:ind w:left="0" w:leftChars="0" w:firstLine="0" w:firstLineChars="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szCs w:val="24"/>
          <w:highlight w:val="none"/>
          <w:shd w:val="clear" w:color="auto" w:fill="auto"/>
          <w:lang w:val="zh-CN"/>
        </w:rPr>
        <w:t>所属行</w:t>
      </w:r>
      <w:r>
        <w:rPr>
          <w:rFonts w:hint="eastAsia" w:ascii="宋体" w:hAnsi="宋体" w:eastAsia="宋体" w:cs="宋体"/>
          <w:color w:val="auto"/>
          <w:kern w:val="2"/>
          <w:sz w:val="21"/>
          <w:szCs w:val="21"/>
          <w:highlight w:val="none"/>
          <w:lang w:val="zh-CN" w:eastAsia="zh-CN" w:bidi="ar-SA"/>
        </w:rPr>
        <w:t>业：软件和信息技术服务业</w:t>
      </w:r>
      <w:r>
        <w:rPr>
          <w:rFonts w:hint="eastAsia" w:ascii="宋体" w:hAnsi="宋体" w:eastAsia="宋体" w:cs="宋体"/>
          <w:color w:val="auto"/>
          <w:kern w:val="2"/>
          <w:sz w:val="21"/>
          <w:szCs w:val="21"/>
          <w:highlight w:val="none"/>
          <w:lang w:val="en-US" w:eastAsia="zh-CN" w:bidi="ar-SA"/>
        </w:rPr>
        <w:t>。</w:t>
      </w:r>
    </w:p>
    <w:p w14:paraId="2F4FC093">
      <w:pPr>
        <w:widowControl/>
        <w:spacing w:line="330" w:lineRule="atLeast"/>
        <w:ind w:firstLine="0" w:firstLineChars="0"/>
        <w:jc w:val="center"/>
        <w:rPr>
          <w:rFonts w:ascii="宋体" w:hAnsi="宋体" w:eastAsia="宋体" w:cs="宋体"/>
          <w:color w:val="auto"/>
        </w:rPr>
      </w:pPr>
      <w:r>
        <w:rPr>
          <w:rFonts w:hint="eastAsia" w:ascii="宋体" w:hAnsi="宋体" w:eastAsia="宋体" w:cs="宋体"/>
          <w:b/>
          <w:bCs/>
          <w:color w:val="auto"/>
          <w:kern w:val="2"/>
          <w:sz w:val="21"/>
          <w:szCs w:val="21"/>
          <w:highlight w:val="none"/>
          <w:lang w:val="en-US" w:eastAsia="zh-CN" w:bidi="ar-SA"/>
        </w:rPr>
        <w:br w:type="page"/>
      </w:r>
      <w:r>
        <w:rPr>
          <w:rFonts w:hint="eastAsia" w:ascii="宋体" w:hAnsi="宋体" w:eastAsia="宋体" w:cs="宋体"/>
          <w:b/>
          <w:bCs/>
          <w:color w:val="auto"/>
          <w:kern w:val="0"/>
          <w:sz w:val="32"/>
          <w:szCs w:val="32"/>
        </w:rPr>
        <w:t>国家统计局《统计上大中小微型企业划分标准》</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427E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vAlign w:val="center"/>
          </w:tcPr>
          <w:p w14:paraId="2F07291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行业名称</w:t>
            </w:r>
          </w:p>
        </w:tc>
        <w:tc>
          <w:tcPr>
            <w:tcW w:w="2031" w:type="dxa"/>
            <w:vAlign w:val="center"/>
          </w:tcPr>
          <w:p w14:paraId="79D8648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指标名称</w:t>
            </w:r>
          </w:p>
        </w:tc>
        <w:tc>
          <w:tcPr>
            <w:tcW w:w="709" w:type="dxa"/>
            <w:vAlign w:val="center"/>
          </w:tcPr>
          <w:p w14:paraId="600E57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计量</w:t>
            </w:r>
          </w:p>
          <w:p w14:paraId="504DCE2C">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单位</w:t>
            </w:r>
          </w:p>
        </w:tc>
        <w:tc>
          <w:tcPr>
            <w:tcW w:w="1125" w:type="dxa"/>
            <w:vAlign w:val="center"/>
          </w:tcPr>
          <w:p w14:paraId="4E22AF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大型</w:t>
            </w:r>
          </w:p>
        </w:tc>
        <w:tc>
          <w:tcPr>
            <w:tcW w:w="1701" w:type="dxa"/>
            <w:vAlign w:val="center"/>
          </w:tcPr>
          <w:p w14:paraId="2D465476">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中型</w:t>
            </w:r>
          </w:p>
        </w:tc>
        <w:tc>
          <w:tcPr>
            <w:tcW w:w="1426" w:type="dxa"/>
            <w:vAlign w:val="center"/>
          </w:tcPr>
          <w:p w14:paraId="63535228">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小型</w:t>
            </w:r>
          </w:p>
        </w:tc>
        <w:tc>
          <w:tcPr>
            <w:tcW w:w="992" w:type="dxa"/>
            <w:vAlign w:val="center"/>
          </w:tcPr>
          <w:p w14:paraId="49CF261F">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微型</w:t>
            </w:r>
          </w:p>
        </w:tc>
      </w:tr>
      <w:tr w14:paraId="63F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Align w:val="center"/>
          </w:tcPr>
          <w:p w14:paraId="6A5247E5">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农、林、牧、渔业</w:t>
            </w:r>
          </w:p>
        </w:tc>
        <w:tc>
          <w:tcPr>
            <w:tcW w:w="2031" w:type="dxa"/>
            <w:vAlign w:val="center"/>
          </w:tcPr>
          <w:p w14:paraId="1E628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22AFD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205C25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25BD03D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1F0F3D9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50≤Y＜500</w:t>
            </w:r>
          </w:p>
        </w:tc>
        <w:tc>
          <w:tcPr>
            <w:tcW w:w="992" w:type="dxa"/>
            <w:vAlign w:val="center"/>
          </w:tcPr>
          <w:p w14:paraId="15C1707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5E1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2566F0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工业 *</w:t>
            </w:r>
          </w:p>
        </w:tc>
        <w:tc>
          <w:tcPr>
            <w:tcW w:w="2031" w:type="dxa"/>
            <w:vAlign w:val="center"/>
          </w:tcPr>
          <w:p w14:paraId="5C8CAE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0384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005605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361A4A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56A431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0F39902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535E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10FAF874">
            <w:pPr>
              <w:widowControl/>
              <w:ind w:firstLine="360"/>
              <w:jc w:val="center"/>
              <w:rPr>
                <w:rFonts w:asciiTheme="minorEastAsia" w:hAnsiTheme="minorEastAsia" w:cstheme="minorEastAsia"/>
                <w:color w:val="auto"/>
                <w:kern w:val="0"/>
                <w:sz w:val="18"/>
                <w:szCs w:val="18"/>
              </w:rPr>
            </w:pPr>
          </w:p>
        </w:tc>
        <w:tc>
          <w:tcPr>
            <w:tcW w:w="2031" w:type="dxa"/>
            <w:vAlign w:val="center"/>
          </w:tcPr>
          <w:p w14:paraId="6B7D506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766A78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9F98B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19A7F4F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2000≤Y＜40000</w:t>
            </w:r>
          </w:p>
        </w:tc>
        <w:tc>
          <w:tcPr>
            <w:tcW w:w="1426" w:type="dxa"/>
            <w:vAlign w:val="center"/>
          </w:tcPr>
          <w:p w14:paraId="26BBD37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300≤Y＜2000</w:t>
            </w:r>
          </w:p>
        </w:tc>
        <w:tc>
          <w:tcPr>
            <w:tcW w:w="992" w:type="dxa"/>
            <w:vAlign w:val="center"/>
          </w:tcPr>
          <w:p w14:paraId="117E46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65B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vAlign w:val="center"/>
          </w:tcPr>
          <w:p w14:paraId="08EC81A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建筑业</w:t>
            </w:r>
          </w:p>
        </w:tc>
        <w:tc>
          <w:tcPr>
            <w:tcW w:w="2031" w:type="dxa"/>
            <w:vAlign w:val="center"/>
          </w:tcPr>
          <w:p w14:paraId="76C580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E1563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82770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Y≥80000</w:t>
            </w:r>
          </w:p>
        </w:tc>
        <w:tc>
          <w:tcPr>
            <w:tcW w:w="1701" w:type="dxa"/>
            <w:vAlign w:val="center"/>
          </w:tcPr>
          <w:p w14:paraId="6DB07E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6000≤Y＜80000</w:t>
            </w:r>
          </w:p>
        </w:tc>
        <w:tc>
          <w:tcPr>
            <w:tcW w:w="1426" w:type="dxa"/>
            <w:vAlign w:val="center"/>
          </w:tcPr>
          <w:p w14:paraId="2CEC09A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300≤Y＜6000</w:t>
            </w:r>
          </w:p>
        </w:tc>
        <w:tc>
          <w:tcPr>
            <w:tcW w:w="992" w:type="dxa"/>
            <w:vAlign w:val="center"/>
          </w:tcPr>
          <w:p w14:paraId="57098F7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2B2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vAlign w:val="center"/>
          </w:tcPr>
          <w:p w14:paraId="101E34BE">
            <w:pPr>
              <w:widowControl/>
              <w:ind w:firstLine="360"/>
              <w:jc w:val="center"/>
              <w:rPr>
                <w:rFonts w:asciiTheme="minorEastAsia" w:hAnsiTheme="minorEastAsia" w:cstheme="minorEastAsia"/>
                <w:color w:val="auto"/>
                <w:kern w:val="0"/>
                <w:sz w:val="18"/>
                <w:szCs w:val="18"/>
              </w:rPr>
            </w:pPr>
          </w:p>
        </w:tc>
        <w:tc>
          <w:tcPr>
            <w:tcW w:w="2031" w:type="dxa"/>
            <w:vAlign w:val="center"/>
          </w:tcPr>
          <w:p w14:paraId="353AB9C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463EFB3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390F6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Z≥80000</w:t>
            </w:r>
          </w:p>
        </w:tc>
        <w:tc>
          <w:tcPr>
            <w:tcW w:w="1701" w:type="dxa"/>
            <w:vAlign w:val="center"/>
          </w:tcPr>
          <w:p w14:paraId="7E538B0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5000≤Z＜80000</w:t>
            </w:r>
          </w:p>
        </w:tc>
        <w:tc>
          <w:tcPr>
            <w:tcW w:w="1426" w:type="dxa"/>
            <w:vAlign w:val="center"/>
          </w:tcPr>
          <w:p w14:paraId="7D66A91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300≤Z＜5000</w:t>
            </w:r>
          </w:p>
        </w:tc>
        <w:tc>
          <w:tcPr>
            <w:tcW w:w="992" w:type="dxa"/>
            <w:vAlign w:val="center"/>
          </w:tcPr>
          <w:p w14:paraId="1C2515A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Z＜300</w:t>
            </w:r>
          </w:p>
        </w:tc>
      </w:tr>
      <w:tr w14:paraId="028E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AEF73A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批发业</w:t>
            </w:r>
          </w:p>
        </w:tc>
        <w:tc>
          <w:tcPr>
            <w:tcW w:w="2031" w:type="dxa"/>
            <w:vAlign w:val="center"/>
          </w:tcPr>
          <w:p w14:paraId="25EA384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9819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0A64BF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A1A7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20≤X＜200</w:t>
            </w:r>
          </w:p>
        </w:tc>
        <w:tc>
          <w:tcPr>
            <w:tcW w:w="1426" w:type="dxa"/>
            <w:vAlign w:val="center"/>
          </w:tcPr>
          <w:p w14:paraId="3610334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5≤X＜20</w:t>
            </w:r>
          </w:p>
        </w:tc>
        <w:tc>
          <w:tcPr>
            <w:tcW w:w="992" w:type="dxa"/>
            <w:vAlign w:val="center"/>
          </w:tcPr>
          <w:p w14:paraId="5C5EF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X＜5</w:t>
            </w:r>
          </w:p>
        </w:tc>
      </w:tr>
      <w:tr w14:paraId="73FC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vAlign w:val="center"/>
          </w:tcPr>
          <w:p w14:paraId="7A8ACE43">
            <w:pPr>
              <w:widowControl/>
              <w:ind w:firstLine="360"/>
              <w:jc w:val="center"/>
              <w:rPr>
                <w:rFonts w:asciiTheme="minorEastAsia" w:hAnsiTheme="minorEastAsia" w:cstheme="minorEastAsia"/>
                <w:color w:val="auto"/>
                <w:kern w:val="0"/>
                <w:sz w:val="18"/>
                <w:szCs w:val="18"/>
              </w:rPr>
            </w:pPr>
          </w:p>
        </w:tc>
        <w:tc>
          <w:tcPr>
            <w:tcW w:w="2031" w:type="dxa"/>
            <w:vAlign w:val="center"/>
          </w:tcPr>
          <w:p w14:paraId="4430AC8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EAE1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DDBC80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7808C13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5000≤Y＜40000</w:t>
            </w:r>
          </w:p>
        </w:tc>
        <w:tc>
          <w:tcPr>
            <w:tcW w:w="1426" w:type="dxa"/>
            <w:vAlign w:val="center"/>
          </w:tcPr>
          <w:p w14:paraId="4D087B0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992" w:type="dxa"/>
            <w:vAlign w:val="center"/>
          </w:tcPr>
          <w:p w14:paraId="4667E7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w:t>
            </w:r>
          </w:p>
        </w:tc>
      </w:tr>
      <w:tr w14:paraId="5E4E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vAlign w:val="center"/>
          </w:tcPr>
          <w:p w14:paraId="09EF367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零售业</w:t>
            </w:r>
          </w:p>
        </w:tc>
        <w:tc>
          <w:tcPr>
            <w:tcW w:w="2031" w:type="dxa"/>
            <w:vAlign w:val="center"/>
          </w:tcPr>
          <w:p w14:paraId="79111D6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23F655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2F898B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BFFBD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50≤X＜300</w:t>
            </w:r>
          </w:p>
        </w:tc>
        <w:tc>
          <w:tcPr>
            <w:tcW w:w="1426" w:type="dxa"/>
            <w:vAlign w:val="center"/>
          </w:tcPr>
          <w:p w14:paraId="0731B3F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10≤X＜50</w:t>
            </w:r>
          </w:p>
        </w:tc>
        <w:tc>
          <w:tcPr>
            <w:tcW w:w="992" w:type="dxa"/>
            <w:vAlign w:val="center"/>
          </w:tcPr>
          <w:p w14:paraId="77E6AE3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64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vAlign w:val="center"/>
          </w:tcPr>
          <w:p w14:paraId="2A4B4F5F">
            <w:pPr>
              <w:widowControl/>
              <w:ind w:firstLine="360"/>
              <w:jc w:val="center"/>
              <w:rPr>
                <w:rFonts w:asciiTheme="minorEastAsia" w:hAnsiTheme="minorEastAsia" w:cstheme="minorEastAsia"/>
                <w:color w:val="auto"/>
                <w:kern w:val="0"/>
                <w:sz w:val="18"/>
                <w:szCs w:val="18"/>
              </w:rPr>
            </w:pPr>
          </w:p>
        </w:tc>
        <w:tc>
          <w:tcPr>
            <w:tcW w:w="2031" w:type="dxa"/>
            <w:vAlign w:val="center"/>
          </w:tcPr>
          <w:p w14:paraId="42814D7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02577FB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029782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1432C1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5D628E3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100≤Y＜500</w:t>
            </w:r>
          </w:p>
        </w:tc>
        <w:tc>
          <w:tcPr>
            <w:tcW w:w="992" w:type="dxa"/>
            <w:vAlign w:val="center"/>
          </w:tcPr>
          <w:p w14:paraId="6AFECE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728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vAlign w:val="center"/>
          </w:tcPr>
          <w:p w14:paraId="700715F4">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交通运输业 *</w:t>
            </w:r>
          </w:p>
        </w:tc>
        <w:tc>
          <w:tcPr>
            <w:tcW w:w="2031" w:type="dxa"/>
            <w:vAlign w:val="center"/>
          </w:tcPr>
          <w:p w14:paraId="7CDCEDE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1DABF6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EA24E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548DA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6B0BED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36EEE7E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050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34CF7CDB">
            <w:pPr>
              <w:widowControl/>
              <w:ind w:firstLine="360"/>
              <w:jc w:val="center"/>
              <w:rPr>
                <w:rFonts w:asciiTheme="minorEastAsia" w:hAnsiTheme="minorEastAsia" w:cstheme="minorEastAsia"/>
                <w:color w:val="auto"/>
                <w:kern w:val="0"/>
                <w:sz w:val="18"/>
                <w:szCs w:val="18"/>
              </w:rPr>
            </w:pPr>
          </w:p>
        </w:tc>
        <w:tc>
          <w:tcPr>
            <w:tcW w:w="2031" w:type="dxa"/>
            <w:vAlign w:val="center"/>
          </w:tcPr>
          <w:p w14:paraId="5B9894C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62BB1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B08F3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43C193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3000≤Y＜30000</w:t>
            </w:r>
          </w:p>
        </w:tc>
        <w:tc>
          <w:tcPr>
            <w:tcW w:w="1426" w:type="dxa"/>
            <w:vAlign w:val="center"/>
          </w:tcPr>
          <w:p w14:paraId="43D109D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200≤Y＜3000</w:t>
            </w:r>
          </w:p>
        </w:tc>
        <w:tc>
          <w:tcPr>
            <w:tcW w:w="992" w:type="dxa"/>
            <w:vAlign w:val="center"/>
          </w:tcPr>
          <w:p w14:paraId="2B3447E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w:t>
            </w:r>
          </w:p>
        </w:tc>
      </w:tr>
      <w:tr w14:paraId="7A0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vAlign w:val="center"/>
          </w:tcPr>
          <w:p w14:paraId="0F1E276D">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仓储业*</w:t>
            </w:r>
          </w:p>
        </w:tc>
        <w:tc>
          <w:tcPr>
            <w:tcW w:w="2031" w:type="dxa"/>
            <w:vAlign w:val="center"/>
          </w:tcPr>
          <w:p w14:paraId="67D1DFE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908ED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93D3C7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92662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w:t>
            </w:r>
          </w:p>
        </w:tc>
        <w:tc>
          <w:tcPr>
            <w:tcW w:w="1426" w:type="dxa"/>
            <w:vAlign w:val="center"/>
          </w:tcPr>
          <w:p w14:paraId="09BF53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20≤X＜100</w:t>
            </w:r>
          </w:p>
        </w:tc>
        <w:tc>
          <w:tcPr>
            <w:tcW w:w="992" w:type="dxa"/>
            <w:vAlign w:val="center"/>
          </w:tcPr>
          <w:p w14:paraId="410B3D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4188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4F4AB448">
            <w:pPr>
              <w:widowControl/>
              <w:ind w:firstLine="360"/>
              <w:jc w:val="center"/>
              <w:rPr>
                <w:rFonts w:asciiTheme="minorEastAsia" w:hAnsiTheme="minorEastAsia" w:cstheme="minorEastAsia"/>
                <w:color w:val="auto"/>
                <w:kern w:val="0"/>
                <w:sz w:val="18"/>
                <w:szCs w:val="18"/>
              </w:rPr>
            </w:pPr>
          </w:p>
        </w:tc>
        <w:tc>
          <w:tcPr>
            <w:tcW w:w="2031" w:type="dxa"/>
            <w:vAlign w:val="center"/>
          </w:tcPr>
          <w:p w14:paraId="310076D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83FE8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5670E1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5F80C5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1000≤Y＜30000</w:t>
            </w:r>
          </w:p>
        </w:tc>
        <w:tc>
          <w:tcPr>
            <w:tcW w:w="1426" w:type="dxa"/>
            <w:vAlign w:val="center"/>
          </w:tcPr>
          <w:p w14:paraId="5C65531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478430C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6A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1FE002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邮政业</w:t>
            </w:r>
          </w:p>
        </w:tc>
        <w:tc>
          <w:tcPr>
            <w:tcW w:w="2031" w:type="dxa"/>
            <w:vAlign w:val="center"/>
          </w:tcPr>
          <w:p w14:paraId="4CF40C5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3D80E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F275EF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2DD163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1A9DD9C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5AA818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610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73E8D510">
            <w:pPr>
              <w:widowControl/>
              <w:ind w:firstLine="360"/>
              <w:jc w:val="center"/>
              <w:rPr>
                <w:rFonts w:asciiTheme="minorEastAsia" w:hAnsiTheme="minorEastAsia" w:cstheme="minorEastAsia"/>
                <w:color w:val="auto"/>
                <w:kern w:val="0"/>
                <w:sz w:val="18"/>
                <w:szCs w:val="18"/>
              </w:rPr>
            </w:pPr>
          </w:p>
        </w:tc>
        <w:tc>
          <w:tcPr>
            <w:tcW w:w="2031" w:type="dxa"/>
            <w:vAlign w:val="center"/>
          </w:tcPr>
          <w:p w14:paraId="6A77317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64071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AAD65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1CB5180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2000≤Y＜30000</w:t>
            </w:r>
          </w:p>
        </w:tc>
        <w:tc>
          <w:tcPr>
            <w:tcW w:w="1426" w:type="dxa"/>
            <w:vAlign w:val="center"/>
          </w:tcPr>
          <w:p w14:paraId="33059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C84E84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3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3C1CF0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住宿业</w:t>
            </w:r>
          </w:p>
        </w:tc>
        <w:tc>
          <w:tcPr>
            <w:tcW w:w="2031" w:type="dxa"/>
            <w:vAlign w:val="center"/>
          </w:tcPr>
          <w:p w14:paraId="12CFDF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5EAF4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88E3C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751B037">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7B619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31957D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8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vAlign w:val="center"/>
          </w:tcPr>
          <w:p w14:paraId="4ECA1812">
            <w:pPr>
              <w:widowControl/>
              <w:ind w:firstLine="360"/>
              <w:jc w:val="center"/>
              <w:rPr>
                <w:rFonts w:asciiTheme="minorEastAsia" w:hAnsiTheme="minorEastAsia" w:cstheme="minorEastAsia"/>
                <w:color w:val="auto"/>
                <w:kern w:val="0"/>
                <w:sz w:val="18"/>
                <w:szCs w:val="18"/>
              </w:rPr>
            </w:pPr>
          </w:p>
        </w:tc>
        <w:tc>
          <w:tcPr>
            <w:tcW w:w="2031" w:type="dxa"/>
            <w:vAlign w:val="center"/>
          </w:tcPr>
          <w:p w14:paraId="694B4A4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DAAA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FF5840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3C53544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36336D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7E2E861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3519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021ADA3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餐饮业</w:t>
            </w:r>
          </w:p>
        </w:tc>
        <w:tc>
          <w:tcPr>
            <w:tcW w:w="2031" w:type="dxa"/>
            <w:vAlign w:val="center"/>
          </w:tcPr>
          <w:p w14:paraId="798575E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0762D0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7C89D4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CC7CE4">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23543A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1197A2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F3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vAlign w:val="center"/>
          </w:tcPr>
          <w:p w14:paraId="44119F1C">
            <w:pPr>
              <w:widowControl/>
              <w:ind w:firstLine="360"/>
              <w:jc w:val="center"/>
              <w:rPr>
                <w:rFonts w:asciiTheme="minorEastAsia" w:hAnsiTheme="minorEastAsia" w:cstheme="minorEastAsia"/>
                <w:color w:val="auto"/>
                <w:kern w:val="0"/>
                <w:sz w:val="18"/>
                <w:szCs w:val="18"/>
              </w:rPr>
            </w:pPr>
          </w:p>
        </w:tc>
        <w:tc>
          <w:tcPr>
            <w:tcW w:w="2031" w:type="dxa"/>
            <w:vAlign w:val="center"/>
          </w:tcPr>
          <w:p w14:paraId="76D02EC0">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FD33D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37BCAE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75E29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4C38600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1B272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6304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vAlign w:val="center"/>
          </w:tcPr>
          <w:p w14:paraId="44F963D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信息传输业 *</w:t>
            </w:r>
          </w:p>
        </w:tc>
        <w:tc>
          <w:tcPr>
            <w:tcW w:w="2031" w:type="dxa"/>
            <w:vAlign w:val="center"/>
          </w:tcPr>
          <w:p w14:paraId="6DBB0A5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D18F6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D7F1AA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X≥2000</w:t>
            </w:r>
          </w:p>
        </w:tc>
        <w:tc>
          <w:tcPr>
            <w:tcW w:w="1701" w:type="dxa"/>
            <w:vAlign w:val="center"/>
          </w:tcPr>
          <w:p w14:paraId="09165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100≤X＜2000</w:t>
            </w:r>
          </w:p>
        </w:tc>
        <w:tc>
          <w:tcPr>
            <w:tcW w:w="1426" w:type="dxa"/>
            <w:vAlign w:val="center"/>
          </w:tcPr>
          <w:p w14:paraId="1014E8D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048459A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690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vAlign w:val="center"/>
          </w:tcPr>
          <w:p w14:paraId="07B32378">
            <w:pPr>
              <w:widowControl/>
              <w:ind w:firstLine="360"/>
              <w:jc w:val="center"/>
              <w:rPr>
                <w:rFonts w:asciiTheme="minorEastAsia" w:hAnsiTheme="minorEastAsia" w:cstheme="minorEastAsia"/>
                <w:color w:val="auto"/>
                <w:kern w:val="0"/>
                <w:sz w:val="18"/>
                <w:szCs w:val="18"/>
              </w:rPr>
            </w:pPr>
          </w:p>
        </w:tc>
        <w:tc>
          <w:tcPr>
            <w:tcW w:w="2031" w:type="dxa"/>
            <w:vAlign w:val="center"/>
          </w:tcPr>
          <w:p w14:paraId="5AB177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3129D84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31CB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Y≥100000</w:t>
            </w:r>
          </w:p>
        </w:tc>
        <w:tc>
          <w:tcPr>
            <w:tcW w:w="1701" w:type="dxa"/>
            <w:vAlign w:val="center"/>
          </w:tcPr>
          <w:p w14:paraId="761BEC8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1000≤Y＜100000</w:t>
            </w:r>
          </w:p>
        </w:tc>
        <w:tc>
          <w:tcPr>
            <w:tcW w:w="1426" w:type="dxa"/>
            <w:vAlign w:val="center"/>
          </w:tcPr>
          <w:p w14:paraId="1F75788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10BD4C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17D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vAlign w:val="center"/>
          </w:tcPr>
          <w:p w14:paraId="22986948">
            <w:pPr>
              <w:widowControl/>
              <w:spacing w:line="240" w:lineRule="exact"/>
              <w:ind w:firstLine="0" w:firstLineChars="0"/>
              <w:jc w:val="center"/>
              <w:rPr>
                <w:rFonts w:asciiTheme="minorEastAsia" w:hAnsiTheme="minorEastAsia" w:cstheme="minorEastAsia"/>
                <w:color w:val="auto"/>
                <w:spacing w:val="-12"/>
                <w:kern w:val="0"/>
                <w:sz w:val="18"/>
                <w:szCs w:val="18"/>
              </w:rPr>
            </w:pPr>
            <w:r>
              <w:rPr>
                <w:rFonts w:hint="eastAsia" w:asciiTheme="minorEastAsia" w:hAnsiTheme="minorEastAsia" w:cstheme="minorEastAsia"/>
                <w:color w:val="auto"/>
                <w:spacing w:val="-12"/>
                <w:kern w:val="0"/>
                <w:sz w:val="18"/>
                <w:szCs w:val="18"/>
              </w:rPr>
              <w:t>软件和信息技术服</w:t>
            </w:r>
            <w:r>
              <w:rPr>
                <w:rFonts w:hint="eastAsia" w:asciiTheme="minorEastAsia" w:hAnsiTheme="minorEastAsia" w:cstheme="minorEastAsia"/>
                <w:color w:val="auto"/>
                <w:kern w:val="0"/>
                <w:sz w:val="18"/>
                <w:szCs w:val="18"/>
              </w:rPr>
              <w:t>务业</w:t>
            </w:r>
          </w:p>
        </w:tc>
        <w:tc>
          <w:tcPr>
            <w:tcW w:w="2031" w:type="dxa"/>
            <w:vAlign w:val="center"/>
          </w:tcPr>
          <w:p w14:paraId="4375E4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C049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4FB36E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73BDF4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E51694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AFA74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B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vAlign w:val="center"/>
          </w:tcPr>
          <w:p w14:paraId="739402DB">
            <w:pPr>
              <w:widowControl/>
              <w:ind w:firstLine="312"/>
              <w:jc w:val="center"/>
              <w:rPr>
                <w:rFonts w:asciiTheme="minorEastAsia" w:hAnsiTheme="minorEastAsia" w:cstheme="minorEastAsia"/>
                <w:color w:val="auto"/>
                <w:spacing w:val="-12"/>
                <w:kern w:val="0"/>
                <w:sz w:val="18"/>
                <w:szCs w:val="18"/>
              </w:rPr>
            </w:pPr>
          </w:p>
        </w:tc>
        <w:tc>
          <w:tcPr>
            <w:tcW w:w="2031" w:type="dxa"/>
            <w:vAlign w:val="center"/>
          </w:tcPr>
          <w:p w14:paraId="08E2AC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1FE1B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2B191F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08B74BB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w:t>
            </w:r>
          </w:p>
        </w:tc>
        <w:tc>
          <w:tcPr>
            <w:tcW w:w="1426" w:type="dxa"/>
            <w:vAlign w:val="center"/>
          </w:tcPr>
          <w:p w14:paraId="1A65E60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50≤Y＜1000</w:t>
            </w:r>
          </w:p>
        </w:tc>
        <w:tc>
          <w:tcPr>
            <w:tcW w:w="992" w:type="dxa"/>
            <w:vAlign w:val="center"/>
          </w:tcPr>
          <w:p w14:paraId="65D2A21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7F3B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vAlign w:val="center"/>
          </w:tcPr>
          <w:p w14:paraId="593152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房地产开发经营</w:t>
            </w:r>
          </w:p>
        </w:tc>
        <w:tc>
          <w:tcPr>
            <w:tcW w:w="2031" w:type="dxa"/>
            <w:vAlign w:val="center"/>
          </w:tcPr>
          <w:p w14:paraId="406A548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CA173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E4A96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Y≥200000</w:t>
            </w:r>
          </w:p>
        </w:tc>
        <w:tc>
          <w:tcPr>
            <w:tcW w:w="1701" w:type="dxa"/>
            <w:vAlign w:val="center"/>
          </w:tcPr>
          <w:p w14:paraId="6430FFD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1000≤Y＜200000</w:t>
            </w:r>
          </w:p>
        </w:tc>
        <w:tc>
          <w:tcPr>
            <w:tcW w:w="1426" w:type="dxa"/>
            <w:vAlign w:val="center"/>
          </w:tcPr>
          <w:p w14:paraId="4DABC57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6632482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4DF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vAlign w:val="center"/>
          </w:tcPr>
          <w:p w14:paraId="01BD4FFC">
            <w:pPr>
              <w:widowControl/>
              <w:ind w:firstLine="360"/>
              <w:jc w:val="center"/>
              <w:rPr>
                <w:rFonts w:asciiTheme="minorEastAsia" w:hAnsiTheme="minorEastAsia" w:cstheme="minorEastAsia"/>
                <w:color w:val="auto"/>
                <w:kern w:val="0"/>
                <w:sz w:val="18"/>
                <w:szCs w:val="18"/>
              </w:rPr>
            </w:pPr>
          </w:p>
        </w:tc>
        <w:tc>
          <w:tcPr>
            <w:tcW w:w="2031" w:type="dxa"/>
            <w:vAlign w:val="center"/>
          </w:tcPr>
          <w:p w14:paraId="2D1FA2F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74EC7D7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901B2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Z≥10000</w:t>
            </w:r>
          </w:p>
        </w:tc>
        <w:tc>
          <w:tcPr>
            <w:tcW w:w="1701" w:type="dxa"/>
            <w:vAlign w:val="center"/>
          </w:tcPr>
          <w:p w14:paraId="1B59AD4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5000≤Z＜10000</w:t>
            </w:r>
          </w:p>
        </w:tc>
        <w:tc>
          <w:tcPr>
            <w:tcW w:w="1426" w:type="dxa"/>
            <w:vAlign w:val="center"/>
          </w:tcPr>
          <w:p w14:paraId="055660E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2000≤Z＜5000</w:t>
            </w:r>
          </w:p>
        </w:tc>
        <w:tc>
          <w:tcPr>
            <w:tcW w:w="992" w:type="dxa"/>
            <w:vAlign w:val="center"/>
          </w:tcPr>
          <w:p w14:paraId="56A143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Z＜2000</w:t>
            </w:r>
          </w:p>
        </w:tc>
      </w:tr>
      <w:tr w14:paraId="5BF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vAlign w:val="center"/>
          </w:tcPr>
          <w:p w14:paraId="4BD8792F">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物业管理</w:t>
            </w:r>
          </w:p>
        </w:tc>
        <w:tc>
          <w:tcPr>
            <w:tcW w:w="2031" w:type="dxa"/>
            <w:vAlign w:val="center"/>
          </w:tcPr>
          <w:p w14:paraId="0966BF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CFBE32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64C2266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CD4C4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08CB920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992" w:type="dxa"/>
            <w:vAlign w:val="center"/>
          </w:tcPr>
          <w:p w14:paraId="20FDFB2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w:t>
            </w:r>
          </w:p>
        </w:tc>
      </w:tr>
      <w:tr w14:paraId="6039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vAlign w:val="center"/>
          </w:tcPr>
          <w:p w14:paraId="5BD7539E">
            <w:pPr>
              <w:widowControl/>
              <w:ind w:firstLine="360"/>
              <w:jc w:val="center"/>
              <w:rPr>
                <w:rFonts w:asciiTheme="minorEastAsia" w:hAnsiTheme="minorEastAsia" w:cstheme="minorEastAsia"/>
                <w:color w:val="auto"/>
                <w:kern w:val="0"/>
                <w:sz w:val="18"/>
                <w:szCs w:val="18"/>
              </w:rPr>
            </w:pPr>
          </w:p>
        </w:tc>
        <w:tc>
          <w:tcPr>
            <w:tcW w:w="2031" w:type="dxa"/>
            <w:vAlign w:val="center"/>
          </w:tcPr>
          <w:p w14:paraId="2A9487B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1F1C3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EF6019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Y≥5000</w:t>
            </w:r>
          </w:p>
        </w:tc>
        <w:tc>
          <w:tcPr>
            <w:tcW w:w="1701" w:type="dxa"/>
            <w:vAlign w:val="center"/>
          </w:tcPr>
          <w:p w14:paraId="20295D89">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1426" w:type="dxa"/>
            <w:vAlign w:val="center"/>
          </w:tcPr>
          <w:p w14:paraId="32EA18D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500≤Y＜1000</w:t>
            </w:r>
          </w:p>
        </w:tc>
        <w:tc>
          <w:tcPr>
            <w:tcW w:w="992" w:type="dxa"/>
            <w:vAlign w:val="center"/>
          </w:tcPr>
          <w:p w14:paraId="08ACEF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w:t>
            </w:r>
          </w:p>
        </w:tc>
      </w:tr>
      <w:tr w14:paraId="0898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vAlign w:val="center"/>
          </w:tcPr>
          <w:p w14:paraId="2CCE54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租赁和商务服务业</w:t>
            </w:r>
          </w:p>
        </w:tc>
        <w:tc>
          <w:tcPr>
            <w:tcW w:w="2031" w:type="dxa"/>
            <w:vAlign w:val="center"/>
          </w:tcPr>
          <w:p w14:paraId="3CBF36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7B1CCA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0BF74F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7AEAA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9D566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59587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165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vAlign w:val="center"/>
          </w:tcPr>
          <w:p w14:paraId="115DC875">
            <w:pPr>
              <w:widowControl/>
              <w:ind w:firstLine="360"/>
              <w:jc w:val="center"/>
              <w:rPr>
                <w:rFonts w:asciiTheme="minorEastAsia" w:hAnsiTheme="minorEastAsia" w:cstheme="minorEastAsia"/>
                <w:color w:val="auto"/>
                <w:kern w:val="0"/>
                <w:sz w:val="18"/>
                <w:szCs w:val="18"/>
              </w:rPr>
            </w:pPr>
          </w:p>
        </w:tc>
        <w:tc>
          <w:tcPr>
            <w:tcW w:w="2031" w:type="dxa"/>
            <w:vAlign w:val="center"/>
          </w:tcPr>
          <w:p w14:paraId="0F692DAC">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3A6FF7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705A9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Z≥120000</w:t>
            </w:r>
          </w:p>
        </w:tc>
        <w:tc>
          <w:tcPr>
            <w:tcW w:w="1701" w:type="dxa"/>
            <w:vAlign w:val="center"/>
          </w:tcPr>
          <w:p w14:paraId="3CF38A4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8000≤Z＜120000</w:t>
            </w:r>
          </w:p>
        </w:tc>
        <w:tc>
          <w:tcPr>
            <w:tcW w:w="1426" w:type="dxa"/>
            <w:vAlign w:val="center"/>
          </w:tcPr>
          <w:p w14:paraId="54D669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100≤Z＜8000</w:t>
            </w:r>
          </w:p>
        </w:tc>
        <w:tc>
          <w:tcPr>
            <w:tcW w:w="992" w:type="dxa"/>
            <w:vAlign w:val="center"/>
          </w:tcPr>
          <w:p w14:paraId="7DF625B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w:t>
            </w:r>
          </w:p>
        </w:tc>
      </w:tr>
      <w:tr w14:paraId="73E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vAlign w:val="center"/>
          </w:tcPr>
          <w:p w14:paraId="27C0EE0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其他未列明行业 *</w:t>
            </w:r>
          </w:p>
        </w:tc>
        <w:tc>
          <w:tcPr>
            <w:tcW w:w="2031" w:type="dxa"/>
            <w:vAlign w:val="center"/>
          </w:tcPr>
          <w:p w14:paraId="17D4D0E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6922F4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86867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33F0090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02E60E1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F0CDD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bl>
    <w:p w14:paraId="2EA0CEF5">
      <w:pPr>
        <w:widowControl/>
        <w:spacing w:line="540" w:lineRule="exact"/>
        <w:ind w:firstLine="0" w:firstLineChars="0"/>
        <w:rPr>
          <w:rFonts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t>说明：</w:t>
      </w:r>
    </w:p>
    <w:p w14:paraId="42CE4ADB">
      <w:pPr>
        <w:widowControl/>
        <w:spacing w:line="240" w:lineRule="auto"/>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1.大型、中型和小型企业须同时满足所列指标的下限，否则下划一档；微型企业只需满足所列指标中的一项即可。</w:t>
      </w:r>
    </w:p>
    <w:p w14:paraId="084A47F6">
      <w:pPr>
        <w:spacing w:line="240" w:lineRule="auto"/>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34DFD6">
      <w:pPr>
        <w:pStyle w:val="6"/>
        <w:spacing w:line="240" w:lineRule="auto"/>
        <w:ind w:firstLine="0" w:firstLineChars="0"/>
        <w:rPr>
          <w:rFonts w:ascii="宋体" w:hAnsi="宋体" w:eastAsia="宋体" w:cs="宋体"/>
          <w:b/>
          <w:bCs/>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6CF930">
      <w:pPr>
        <w:rPr>
          <w:rFonts w:hint="eastAsia" w:ascii="宋体" w:hAnsi="宋体" w:eastAsia="宋体" w:cs="宋体"/>
          <w:b/>
          <w:bCs/>
          <w:color w:val="auto"/>
          <w:kern w:val="2"/>
          <w:sz w:val="21"/>
          <w:szCs w:val="21"/>
          <w:highlight w:val="none"/>
          <w:lang w:val="en-US" w:eastAsia="zh-CN" w:bidi="ar-SA"/>
        </w:rPr>
      </w:pPr>
    </w:p>
    <w:p w14:paraId="4DADB06C">
      <w:pPr>
        <w:rPr>
          <w:rFonts w:hint="eastAsia" w:ascii="宋体" w:hAnsi="宋体" w:eastAsia="宋体" w:cs="宋体"/>
          <w:b/>
          <w:bCs/>
          <w:color w:val="auto"/>
          <w:kern w:val="2"/>
          <w:sz w:val="21"/>
          <w:szCs w:val="21"/>
          <w:highlight w:val="none"/>
          <w:lang w:val="en-US" w:eastAsia="zh-CN" w:bidi="ar-SA"/>
        </w:rPr>
      </w:pPr>
    </w:p>
    <w:p w14:paraId="68B13FC9">
      <w:pPr>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2"/>
          <w:sz w:val="28"/>
          <w:szCs w:val="28"/>
          <w:highlight w:val="none"/>
          <w:lang w:val="en-US" w:eastAsia="zh-CN" w:bidi="ar-SA"/>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eastAsia="zh-CN"/>
        </w:rPr>
        <w:t>残疾人福利性单位声明函</w:t>
      </w:r>
    </w:p>
    <w:p w14:paraId="405C3975">
      <w:pPr>
        <w:bidi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（属于残疾人福利企业的填写，不属于的无需填写此项内容）</w:t>
      </w:r>
    </w:p>
    <w:p w14:paraId="3F59AF3B">
      <w:pPr>
        <w:pStyle w:val="46"/>
        <w:bidi w:val="0"/>
        <w:rPr>
          <w:rFonts w:hint="eastAsia" w:ascii="宋体" w:hAnsi="宋体" w:eastAsia="宋体" w:cs="宋体"/>
          <w:color w:val="auto"/>
          <w:sz w:val="21"/>
          <w:szCs w:val="21"/>
          <w:highlight w:val="none"/>
        </w:rPr>
      </w:pPr>
    </w:p>
    <w:p w14:paraId="530F6929">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81C54A">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本单位对上述声明的真实性负责。如有虚假，将承担相应的法律责任。</w:t>
      </w:r>
    </w:p>
    <w:p w14:paraId="08065115">
      <w:pPr>
        <w:bidi w:val="0"/>
        <w:spacing w:line="360" w:lineRule="auto"/>
        <w:ind w:firstLine="420" w:firstLineChars="200"/>
        <w:rPr>
          <w:rFonts w:hint="eastAsia" w:ascii="宋体" w:hAnsi="宋体" w:eastAsia="宋体" w:cs="宋体"/>
          <w:color w:val="auto"/>
          <w:sz w:val="21"/>
          <w:szCs w:val="21"/>
          <w:highlight w:val="none"/>
        </w:rPr>
      </w:pPr>
    </w:p>
    <w:p w14:paraId="573CD60C">
      <w:pPr>
        <w:bidi w:val="0"/>
        <w:spacing w:line="360" w:lineRule="auto"/>
        <w:ind w:firstLine="420" w:firstLineChars="200"/>
        <w:rPr>
          <w:rFonts w:hint="eastAsia" w:ascii="宋体" w:hAnsi="宋体" w:eastAsia="宋体" w:cs="宋体"/>
          <w:color w:val="auto"/>
          <w:sz w:val="21"/>
          <w:szCs w:val="21"/>
          <w:highlight w:val="none"/>
        </w:rPr>
      </w:pPr>
    </w:p>
    <w:p w14:paraId="22DB5704">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供应商名称（单位电子签章）：</w:t>
      </w:r>
    </w:p>
    <w:p w14:paraId="694F941F">
      <w:pPr>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w:t>
      </w:r>
    </w:p>
    <w:p w14:paraId="68FBB37D">
      <w:pPr>
        <w:pStyle w:val="2"/>
        <w:numPr>
          <w:ilvl w:val="0"/>
          <w:numId w:val="0"/>
        </w:numPr>
        <w:bidi w:val="0"/>
        <w:ind w:left="425"/>
        <w:jc w:val="center"/>
        <w:rPr>
          <w:rFonts w:hint="eastAsia" w:ascii="宋体" w:hAnsi="宋体" w:eastAsia="宋体" w:cs="宋体"/>
          <w:b/>
          <w:bCs w:val="0"/>
          <w:color w:val="auto"/>
          <w:kern w:val="2"/>
          <w:sz w:val="21"/>
          <w:szCs w:val="21"/>
          <w:highlight w:val="none"/>
          <w:lang w:val="en-US" w:eastAsia="zh-CN" w:bidi="ar-SA"/>
        </w:rPr>
      </w:pPr>
    </w:p>
    <w:p w14:paraId="746B983A">
      <w:pPr>
        <w:rPr>
          <w:rFonts w:hint="eastAsia" w:ascii="宋体" w:hAnsi="宋体" w:eastAsia="宋体" w:cs="宋体"/>
          <w:b/>
          <w:bCs w:val="0"/>
          <w:color w:val="auto"/>
          <w:kern w:val="2"/>
          <w:sz w:val="21"/>
          <w:szCs w:val="21"/>
          <w:highlight w:val="none"/>
          <w:lang w:val="en-US" w:eastAsia="zh-CN" w:bidi="ar-SA"/>
        </w:rPr>
      </w:pPr>
    </w:p>
    <w:p w14:paraId="6976A6A7">
      <w:pPr>
        <w:pStyle w:val="44"/>
        <w:rPr>
          <w:rFonts w:hint="eastAsia" w:ascii="宋体" w:hAnsi="宋体" w:eastAsia="宋体" w:cs="宋体"/>
          <w:b/>
          <w:bCs w:val="0"/>
          <w:color w:val="auto"/>
          <w:kern w:val="2"/>
          <w:sz w:val="21"/>
          <w:szCs w:val="21"/>
          <w:highlight w:val="none"/>
          <w:lang w:val="en-US" w:eastAsia="zh-CN" w:bidi="ar-SA"/>
        </w:rPr>
      </w:pPr>
    </w:p>
    <w:p w14:paraId="24A05ABB">
      <w:pPr>
        <w:pStyle w:val="21"/>
        <w:rPr>
          <w:rFonts w:hint="eastAsia" w:ascii="宋体" w:hAnsi="宋体" w:eastAsia="宋体" w:cs="宋体"/>
          <w:b/>
          <w:bCs w:val="0"/>
          <w:color w:val="auto"/>
          <w:kern w:val="2"/>
          <w:sz w:val="21"/>
          <w:szCs w:val="21"/>
          <w:highlight w:val="none"/>
          <w:lang w:val="en-US" w:eastAsia="zh-CN" w:bidi="ar-SA"/>
        </w:rPr>
      </w:pPr>
    </w:p>
    <w:p w14:paraId="55732BB4">
      <w:pPr>
        <w:pStyle w:val="21"/>
        <w:rPr>
          <w:rFonts w:hint="eastAsia" w:ascii="宋体" w:hAnsi="宋体" w:eastAsia="宋体" w:cs="宋体"/>
          <w:b/>
          <w:bCs w:val="0"/>
          <w:color w:val="auto"/>
          <w:kern w:val="2"/>
          <w:sz w:val="21"/>
          <w:szCs w:val="21"/>
          <w:highlight w:val="none"/>
          <w:lang w:val="en-US" w:eastAsia="zh-CN" w:bidi="ar-SA"/>
        </w:rPr>
      </w:pPr>
    </w:p>
    <w:p w14:paraId="28C56DEB">
      <w:pPr>
        <w:pStyle w:val="21"/>
        <w:rPr>
          <w:rFonts w:hint="eastAsia" w:ascii="宋体" w:hAnsi="宋体" w:eastAsia="宋体" w:cs="宋体"/>
          <w:b/>
          <w:bCs w:val="0"/>
          <w:color w:val="auto"/>
          <w:kern w:val="2"/>
          <w:sz w:val="21"/>
          <w:szCs w:val="21"/>
          <w:highlight w:val="none"/>
          <w:lang w:val="en-US" w:eastAsia="zh-CN" w:bidi="ar-SA"/>
        </w:rPr>
      </w:pPr>
    </w:p>
    <w:p w14:paraId="30900F03">
      <w:pPr>
        <w:pStyle w:val="21"/>
        <w:rPr>
          <w:rFonts w:hint="eastAsia" w:ascii="宋体" w:hAnsi="宋体" w:eastAsia="宋体" w:cs="宋体"/>
          <w:b/>
          <w:bCs w:val="0"/>
          <w:color w:val="auto"/>
          <w:kern w:val="2"/>
          <w:sz w:val="21"/>
          <w:szCs w:val="21"/>
          <w:highlight w:val="none"/>
          <w:lang w:val="en-US" w:eastAsia="zh-CN" w:bidi="ar-SA"/>
        </w:rPr>
      </w:pPr>
    </w:p>
    <w:p w14:paraId="5D3D239F">
      <w:pPr>
        <w:pStyle w:val="21"/>
        <w:rPr>
          <w:rFonts w:hint="eastAsia" w:ascii="宋体" w:hAnsi="宋体" w:eastAsia="宋体" w:cs="宋体"/>
          <w:b/>
          <w:bCs w:val="0"/>
          <w:color w:val="auto"/>
          <w:kern w:val="2"/>
          <w:sz w:val="21"/>
          <w:szCs w:val="21"/>
          <w:highlight w:val="none"/>
          <w:lang w:val="en-US" w:eastAsia="zh-CN" w:bidi="ar-SA"/>
        </w:rPr>
      </w:pPr>
    </w:p>
    <w:p w14:paraId="48F137C5">
      <w:pPr>
        <w:pStyle w:val="21"/>
        <w:rPr>
          <w:rFonts w:hint="eastAsia" w:ascii="宋体" w:hAnsi="宋体" w:eastAsia="宋体" w:cs="宋体"/>
          <w:b/>
          <w:bCs w:val="0"/>
          <w:color w:val="auto"/>
          <w:kern w:val="2"/>
          <w:sz w:val="21"/>
          <w:szCs w:val="21"/>
          <w:highlight w:val="none"/>
          <w:lang w:val="en-US" w:eastAsia="zh-CN" w:bidi="ar-SA"/>
        </w:rPr>
      </w:pPr>
    </w:p>
    <w:p w14:paraId="1A84ABA6">
      <w:pPr>
        <w:pStyle w:val="21"/>
        <w:rPr>
          <w:rFonts w:hint="eastAsia" w:ascii="宋体" w:hAnsi="宋体" w:eastAsia="宋体" w:cs="宋体"/>
          <w:b/>
          <w:bCs w:val="0"/>
          <w:color w:val="auto"/>
          <w:kern w:val="2"/>
          <w:sz w:val="21"/>
          <w:szCs w:val="21"/>
          <w:highlight w:val="none"/>
          <w:lang w:val="en-US" w:eastAsia="zh-CN" w:bidi="ar-SA"/>
        </w:rPr>
      </w:pPr>
    </w:p>
    <w:p w14:paraId="47930F37">
      <w:pPr>
        <w:pStyle w:val="21"/>
        <w:rPr>
          <w:rFonts w:hint="eastAsia" w:ascii="宋体" w:hAnsi="宋体" w:eastAsia="宋体" w:cs="宋体"/>
          <w:b/>
          <w:bCs w:val="0"/>
          <w:color w:val="auto"/>
          <w:kern w:val="2"/>
          <w:sz w:val="21"/>
          <w:szCs w:val="21"/>
          <w:highlight w:val="none"/>
          <w:lang w:val="en-US" w:eastAsia="zh-CN" w:bidi="ar-SA"/>
        </w:rPr>
      </w:pPr>
    </w:p>
    <w:p w14:paraId="663FB7FF">
      <w:pPr>
        <w:pStyle w:val="21"/>
        <w:rPr>
          <w:rFonts w:hint="eastAsia" w:ascii="宋体" w:hAnsi="宋体" w:eastAsia="宋体" w:cs="宋体"/>
          <w:b/>
          <w:bCs w:val="0"/>
          <w:color w:val="auto"/>
          <w:kern w:val="2"/>
          <w:sz w:val="21"/>
          <w:szCs w:val="21"/>
          <w:highlight w:val="none"/>
          <w:lang w:val="en-US" w:eastAsia="zh-CN" w:bidi="ar-SA"/>
        </w:rPr>
      </w:pPr>
    </w:p>
    <w:p w14:paraId="41763950">
      <w:pPr>
        <w:pStyle w:val="21"/>
        <w:rPr>
          <w:rFonts w:hint="eastAsia" w:ascii="宋体" w:hAnsi="宋体" w:eastAsia="宋体" w:cs="宋体"/>
          <w:b/>
          <w:bCs w:val="0"/>
          <w:color w:val="auto"/>
          <w:kern w:val="2"/>
          <w:sz w:val="21"/>
          <w:szCs w:val="21"/>
          <w:highlight w:val="none"/>
          <w:lang w:val="en-US" w:eastAsia="zh-CN" w:bidi="ar-SA"/>
        </w:rPr>
      </w:pPr>
    </w:p>
    <w:p w14:paraId="218E6155">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八、监狱企业证明文件（如有）</w:t>
      </w:r>
    </w:p>
    <w:p w14:paraId="51F21B99">
      <w:pPr>
        <w:bidi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5B49684">
      <w:pPr>
        <w:bidi w:val="0"/>
        <w:spacing w:line="360" w:lineRule="auto"/>
        <w:jc w:val="center"/>
        <w:rPr>
          <w:rFonts w:hint="eastAsia" w:ascii="宋体" w:hAnsi="宋体" w:eastAsia="宋体" w:cs="宋体"/>
          <w:color w:val="auto"/>
          <w:sz w:val="21"/>
          <w:szCs w:val="21"/>
          <w:highlight w:val="none"/>
        </w:rPr>
      </w:pPr>
    </w:p>
    <w:p w14:paraId="4A022141">
      <w:pPr>
        <w:bidi w:val="0"/>
        <w:spacing w:line="360" w:lineRule="auto"/>
        <w:jc w:val="center"/>
        <w:rPr>
          <w:rFonts w:hint="eastAsia" w:ascii="宋体" w:hAnsi="宋体" w:eastAsia="宋体" w:cs="宋体"/>
          <w:color w:val="auto"/>
          <w:sz w:val="21"/>
          <w:szCs w:val="21"/>
          <w:highlight w:val="none"/>
        </w:rPr>
      </w:pPr>
    </w:p>
    <w:p w14:paraId="400D4D6C">
      <w:pPr>
        <w:bidi w:val="0"/>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注：在</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文件中附扫描件</w:t>
      </w:r>
      <w:r>
        <w:rPr>
          <w:rFonts w:hint="eastAsia" w:ascii="宋体" w:hAnsi="宋体" w:eastAsia="宋体" w:cs="宋体"/>
          <w:color w:val="auto"/>
          <w:sz w:val="21"/>
          <w:szCs w:val="21"/>
          <w:highlight w:val="none"/>
          <w:u w:val="none"/>
          <w:lang w:val="en-US" w:eastAsia="zh-CN"/>
        </w:rPr>
        <w:t>。</w:t>
      </w:r>
    </w:p>
    <w:p w14:paraId="622687BE">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2AFA66">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A19C771">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7BF71BAD">
      <w:pPr>
        <w:pStyle w:val="2"/>
        <w:numPr>
          <w:ilvl w:val="0"/>
          <w:numId w:val="0"/>
        </w:numPr>
        <w:bidi w:val="0"/>
        <w:ind w:left="425"/>
        <w:jc w:val="center"/>
        <w:rPr>
          <w:rFonts w:hint="eastAsia" w:ascii="宋体" w:hAnsi="宋体" w:eastAsia="宋体" w:cs="宋体"/>
          <w:b/>
          <w:bCs/>
          <w:color w:val="auto"/>
          <w:kern w:val="2"/>
          <w:sz w:val="28"/>
          <w:szCs w:val="28"/>
          <w:highlight w:val="none"/>
          <w:lang w:val="en-US" w:eastAsia="zh-CN" w:bidi="ar-SA"/>
        </w:rPr>
      </w:pPr>
    </w:p>
    <w:p w14:paraId="3FA3BD76">
      <w:pPr>
        <w:pStyle w:val="2"/>
        <w:numPr>
          <w:ilvl w:val="0"/>
          <w:numId w:val="0"/>
        </w:numPr>
        <w:bidi w:val="0"/>
        <w:jc w:val="both"/>
        <w:rPr>
          <w:rFonts w:hint="eastAsia" w:ascii="宋体" w:hAnsi="宋体" w:eastAsia="宋体" w:cs="宋体"/>
          <w:b/>
          <w:bCs/>
          <w:color w:val="auto"/>
          <w:kern w:val="2"/>
          <w:sz w:val="28"/>
          <w:szCs w:val="28"/>
          <w:highlight w:val="none"/>
          <w:lang w:val="en-US" w:eastAsia="zh-CN" w:bidi="ar-SA"/>
        </w:rPr>
      </w:pPr>
    </w:p>
    <w:p w14:paraId="6AD0F61C">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p>
    <w:p w14:paraId="02C65DB5">
      <w:pPr>
        <w:rPr>
          <w:rFonts w:hint="eastAsia" w:ascii="宋体" w:hAnsi="宋体" w:eastAsia="宋体" w:cs="宋体"/>
          <w:b/>
          <w:bCs/>
          <w:color w:val="auto"/>
          <w:kern w:val="2"/>
          <w:sz w:val="28"/>
          <w:szCs w:val="28"/>
          <w:highlight w:val="none"/>
          <w:lang w:val="en-US" w:eastAsia="zh-CN" w:bidi="ar-SA"/>
        </w:rPr>
      </w:pPr>
    </w:p>
    <w:p w14:paraId="4E812ECB">
      <w:pPr>
        <w:pStyle w:val="24"/>
        <w:rPr>
          <w:rFonts w:hint="eastAsia" w:ascii="宋体" w:hAnsi="宋体" w:eastAsia="宋体" w:cs="宋体"/>
          <w:b/>
          <w:bCs/>
          <w:color w:val="auto"/>
          <w:kern w:val="2"/>
          <w:sz w:val="28"/>
          <w:szCs w:val="28"/>
          <w:highlight w:val="none"/>
          <w:lang w:val="en-US" w:eastAsia="zh-CN" w:bidi="ar-SA"/>
        </w:rPr>
      </w:pPr>
    </w:p>
    <w:p w14:paraId="0399EBD8">
      <w:pPr>
        <w:pStyle w:val="25"/>
        <w:rPr>
          <w:rFonts w:hint="eastAsia" w:ascii="宋体" w:hAnsi="宋体" w:eastAsia="宋体" w:cs="宋体"/>
          <w:b/>
          <w:bCs/>
          <w:color w:val="auto"/>
          <w:kern w:val="2"/>
          <w:sz w:val="28"/>
          <w:szCs w:val="28"/>
          <w:highlight w:val="none"/>
          <w:lang w:val="en-US" w:eastAsia="zh-CN" w:bidi="ar-SA"/>
        </w:rPr>
      </w:pPr>
    </w:p>
    <w:p w14:paraId="5A28366E">
      <w:pPr>
        <w:rPr>
          <w:rFonts w:hint="eastAsia" w:ascii="宋体" w:hAnsi="宋体" w:eastAsia="宋体" w:cs="宋体"/>
          <w:b/>
          <w:bCs/>
          <w:color w:val="auto"/>
          <w:kern w:val="2"/>
          <w:sz w:val="28"/>
          <w:szCs w:val="28"/>
          <w:highlight w:val="none"/>
          <w:lang w:val="en-US" w:eastAsia="zh-CN" w:bidi="ar-SA"/>
        </w:rPr>
      </w:pPr>
    </w:p>
    <w:p w14:paraId="79B8D1E1">
      <w:pPr>
        <w:pStyle w:val="24"/>
        <w:rPr>
          <w:rFonts w:hint="eastAsia" w:ascii="宋体" w:hAnsi="宋体" w:eastAsia="宋体" w:cs="宋体"/>
          <w:b/>
          <w:bCs/>
          <w:color w:val="auto"/>
          <w:kern w:val="2"/>
          <w:sz w:val="28"/>
          <w:szCs w:val="28"/>
          <w:highlight w:val="none"/>
          <w:lang w:val="en-US" w:eastAsia="zh-CN" w:bidi="ar-SA"/>
        </w:rPr>
      </w:pPr>
    </w:p>
    <w:p w14:paraId="5E0EB126">
      <w:pPr>
        <w:pStyle w:val="25"/>
        <w:rPr>
          <w:rFonts w:hint="eastAsia" w:ascii="宋体" w:hAnsi="宋体" w:eastAsia="宋体" w:cs="宋体"/>
          <w:b/>
          <w:bCs/>
          <w:color w:val="auto"/>
          <w:kern w:val="2"/>
          <w:sz w:val="28"/>
          <w:szCs w:val="28"/>
          <w:highlight w:val="none"/>
          <w:lang w:val="en-US" w:eastAsia="zh-CN" w:bidi="ar-SA"/>
        </w:rPr>
      </w:pPr>
    </w:p>
    <w:p w14:paraId="73C76865">
      <w:pPr>
        <w:rPr>
          <w:rFonts w:hint="eastAsia"/>
          <w:color w:val="auto"/>
          <w:highlight w:val="none"/>
          <w:lang w:val="en-US" w:eastAsia="zh-CN"/>
        </w:rPr>
      </w:pPr>
    </w:p>
    <w:p w14:paraId="4B6CCBE9">
      <w:pPr>
        <w:bidi w:val="0"/>
        <w:spacing w:line="360" w:lineRule="auto"/>
        <w:ind w:left="645"/>
        <w:outlineLvl w:val="0"/>
        <w:rPr>
          <w:rFonts w:hint="eastAsia" w:ascii="宋体" w:hAnsi="宋体" w:eastAsia="宋体" w:cs="宋体"/>
          <w:color w:val="auto"/>
          <w:sz w:val="21"/>
          <w:szCs w:val="21"/>
          <w:highlight w:val="none"/>
        </w:rPr>
      </w:pPr>
    </w:p>
    <w:p w14:paraId="11C16CED">
      <w:pPr>
        <w:pStyle w:val="24"/>
        <w:bidi w:val="0"/>
        <w:ind w:firstLine="210"/>
        <w:rPr>
          <w:rFonts w:hint="eastAsia" w:ascii="宋体" w:hAnsi="宋体" w:eastAsia="宋体" w:cs="宋体"/>
          <w:color w:val="auto"/>
          <w:sz w:val="21"/>
          <w:szCs w:val="21"/>
          <w:highlight w:val="none"/>
        </w:rPr>
      </w:pPr>
    </w:p>
    <w:p w14:paraId="2B993C1F">
      <w:pPr>
        <w:pStyle w:val="25"/>
        <w:rPr>
          <w:rFonts w:hint="eastAsia" w:ascii="宋体" w:hAnsi="宋体" w:eastAsia="宋体" w:cs="宋体"/>
          <w:color w:val="auto"/>
          <w:sz w:val="21"/>
          <w:szCs w:val="21"/>
          <w:highlight w:val="none"/>
        </w:rPr>
      </w:pPr>
    </w:p>
    <w:p w14:paraId="4076FF38">
      <w:pPr>
        <w:pStyle w:val="2"/>
        <w:numPr>
          <w:ilvl w:val="0"/>
          <w:numId w:val="0"/>
        </w:numPr>
        <w:bidi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九、反商业贿赂承诺书</w:t>
      </w:r>
    </w:p>
    <w:p w14:paraId="7998A6BD">
      <w:pPr>
        <w:rPr>
          <w:rFonts w:hint="eastAsia"/>
          <w:color w:val="auto"/>
          <w:highlight w:val="none"/>
        </w:rPr>
      </w:pPr>
    </w:p>
    <w:p w14:paraId="3DD5B178">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我方承诺：</w:t>
      </w:r>
    </w:p>
    <w:p w14:paraId="3D05BEF9">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（项目编号：  ）</w:t>
      </w:r>
      <w:r>
        <w:rPr>
          <w:rFonts w:hint="eastAsia" w:ascii="宋体" w:hAnsi="宋体" w:eastAsia="宋体" w:cs="宋体"/>
          <w:color w:val="auto"/>
          <w:sz w:val="21"/>
          <w:szCs w:val="21"/>
          <w:highlight w:val="none"/>
          <w:lang w:val="zh-CN"/>
        </w:rPr>
        <w:t>投标活动中，我方保证做到：</w:t>
      </w:r>
    </w:p>
    <w:p w14:paraId="763828E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一、公平竞争参加本次公开采购活动。</w:t>
      </w:r>
    </w:p>
    <w:p w14:paraId="76308216">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915D813">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三、若出现上述行为，我方及参与投标的工作人员愿意接受按照国家法律法规等有关规定给予的处罚。</w:t>
      </w:r>
    </w:p>
    <w:p w14:paraId="0682E128">
      <w:pPr>
        <w:bidi w:val="0"/>
        <w:spacing w:line="360" w:lineRule="auto"/>
        <w:ind w:left="645"/>
        <w:outlineLvl w:val="0"/>
        <w:rPr>
          <w:rFonts w:hint="eastAsia" w:ascii="宋体" w:hAnsi="宋体" w:eastAsia="宋体" w:cs="宋体"/>
          <w:color w:val="auto"/>
          <w:sz w:val="21"/>
          <w:szCs w:val="21"/>
          <w:highlight w:val="none"/>
        </w:rPr>
      </w:pPr>
    </w:p>
    <w:p w14:paraId="126A2DD5">
      <w:pPr>
        <w:bidi w:val="0"/>
        <w:spacing w:line="360" w:lineRule="auto"/>
        <w:ind w:left="645"/>
        <w:outlineLvl w:val="0"/>
        <w:rPr>
          <w:rFonts w:hint="eastAsia" w:ascii="宋体" w:hAnsi="宋体" w:eastAsia="宋体" w:cs="宋体"/>
          <w:color w:val="auto"/>
          <w:sz w:val="21"/>
          <w:szCs w:val="21"/>
          <w:highlight w:val="none"/>
        </w:rPr>
      </w:pPr>
    </w:p>
    <w:p w14:paraId="1AB79B57">
      <w:pPr>
        <w:bidi w:val="0"/>
        <w:spacing w:line="360" w:lineRule="auto"/>
        <w:ind w:left="645"/>
        <w:outlineLvl w:val="0"/>
        <w:rPr>
          <w:rFonts w:hint="eastAsia" w:ascii="宋体" w:hAnsi="宋体" w:eastAsia="宋体" w:cs="宋体"/>
          <w:color w:val="auto"/>
          <w:sz w:val="21"/>
          <w:szCs w:val="21"/>
          <w:highlight w:val="none"/>
        </w:rPr>
      </w:pPr>
    </w:p>
    <w:p w14:paraId="156B6F42">
      <w:pPr>
        <w:bidi w:val="0"/>
        <w:spacing w:line="360" w:lineRule="auto"/>
        <w:ind w:left="645"/>
        <w:outlineLvl w:val="0"/>
        <w:rPr>
          <w:rFonts w:hint="eastAsia" w:ascii="宋体" w:hAnsi="宋体" w:eastAsia="宋体" w:cs="宋体"/>
          <w:color w:val="auto"/>
          <w:sz w:val="21"/>
          <w:szCs w:val="21"/>
          <w:highlight w:val="none"/>
        </w:rPr>
      </w:pPr>
    </w:p>
    <w:p w14:paraId="215E118E">
      <w:pPr>
        <w:bidi w:val="0"/>
        <w:spacing w:line="360" w:lineRule="auto"/>
        <w:ind w:left="645"/>
        <w:outlineLvl w:val="0"/>
        <w:rPr>
          <w:rFonts w:hint="eastAsia" w:ascii="宋体" w:hAnsi="宋体" w:eastAsia="宋体" w:cs="宋体"/>
          <w:b/>
          <w:bCs/>
          <w:color w:val="auto"/>
          <w:sz w:val="21"/>
          <w:szCs w:val="21"/>
          <w:highlight w:val="none"/>
        </w:rPr>
      </w:pPr>
    </w:p>
    <w:p w14:paraId="2FCECC3B">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供应商（单位电子签章）：　</w:t>
      </w:r>
    </w:p>
    <w:p w14:paraId="4F9508C0">
      <w:pPr>
        <w:bidi w:val="0"/>
        <w:spacing w:line="360" w:lineRule="auto"/>
        <w:ind w:left="645"/>
        <w:outlineLvl w:val="0"/>
        <w:rPr>
          <w:rFonts w:hint="eastAsia" w:ascii="宋体" w:hAnsi="宋体" w:eastAsia="宋体" w:cs="宋体"/>
          <w:b/>
          <w:bCs/>
          <w:color w:val="auto"/>
          <w:sz w:val="21"/>
          <w:szCs w:val="21"/>
          <w:highlight w:val="none"/>
        </w:rPr>
      </w:pPr>
    </w:p>
    <w:p w14:paraId="7464BCC7">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法定代表人</w:t>
      </w:r>
      <w:r>
        <w:rPr>
          <w:rFonts w:hint="eastAsia" w:ascii="宋体" w:hAnsi="宋体" w:eastAsia="宋体" w:cs="宋体"/>
          <w:b/>
          <w:bCs/>
          <w:color w:val="auto"/>
          <w:sz w:val="21"/>
          <w:szCs w:val="21"/>
          <w:highlight w:val="none"/>
        </w:rPr>
        <w:t>或授权代表（电子签名或盖章）：</w:t>
      </w:r>
    </w:p>
    <w:p w14:paraId="50F15767">
      <w:pPr>
        <w:bidi w:val="0"/>
        <w:spacing w:line="360" w:lineRule="auto"/>
        <w:ind w:left="645"/>
        <w:outlineLvl w:val="0"/>
        <w:rPr>
          <w:rFonts w:hint="eastAsia" w:ascii="宋体" w:hAnsi="宋体" w:eastAsia="宋体" w:cs="宋体"/>
          <w:b/>
          <w:bCs/>
          <w:color w:val="auto"/>
          <w:sz w:val="21"/>
          <w:szCs w:val="21"/>
          <w:highlight w:val="none"/>
        </w:rPr>
      </w:pPr>
    </w:p>
    <w:p w14:paraId="4A5A2BC5">
      <w:pPr>
        <w:bidi w:val="0"/>
        <w:spacing w:line="360" w:lineRule="auto"/>
        <w:ind w:left="645"/>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日期：    年　　月　　日</w:t>
      </w:r>
    </w:p>
    <w:p w14:paraId="14D10727">
      <w:pPr>
        <w:spacing w:line="600" w:lineRule="exact"/>
        <w:rPr>
          <w:rFonts w:hint="eastAsia" w:ascii="宋体" w:hAnsi="宋体"/>
          <w:color w:val="auto"/>
          <w:szCs w:val="21"/>
          <w:highlight w:val="none"/>
        </w:rPr>
      </w:pPr>
    </w:p>
    <w:p w14:paraId="56BC3E08">
      <w:pPr>
        <w:spacing w:line="360" w:lineRule="auto"/>
        <w:jc w:val="center"/>
        <w:rPr>
          <w:rFonts w:ascii="宋体" w:hAnsi="宋体"/>
          <w:b/>
          <w:color w:val="auto"/>
          <w:szCs w:val="21"/>
          <w:highlight w:val="none"/>
        </w:rPr>
      </w:pPr>
    </w:p>
    <w:p w14:paraId="6D3BA1C8">
      <w:pPr>
        <w:pStyle w:val="9"/>
        <w:rPr>
          <w:rFonts w:hint="eastAsia" w:ascii="宋体" w:hAnsi="宋体"/>
          <w:color w:val="auto"/>
          <w:sz w:val="21"/>
          <w:szCs w:val="21"/>
          <w:highlight w:val="none"/>
          <w:lang w:eastAsia="zh-CN"/>
        </w:rPr>
      </w:pPr>
    </w:p>
    <w:p w14:paraId="619A00F9">
      <w:pPr>
        <w:pStyle w:val="10"/>
        <w:rPr>
          <w:rFonts w:hint="eastAsia" w:ascii="宋体" w:hAnsi="宋体"/>
          <w:color w:val="auto"/>
          <w:sz w:val="21"/>
          <w:szCs w:val="21"/>
          <w:highlight w:val="none"/>
          <w:lang w:eastAsia="zh-CN"/>
        </w:rPr>
      </w:pPr>
    </w:p>
    <w:p w14:paraId="599C47F2">
      <w:pPr>
        <w:rPr>
          <w:rFonts w:hint="eastAsia"/>
          <w:color w:val="auto"/>
          <w:highlight w:val="none"/>
          <w:lang w:eastAsia="zh-CN"/>
        </w:rPr>
      </w:pPr>
    </w:p>
    <w:p w14:paraId="273230C5">
      <w:pPr>
        <w:pStyle w:val="24"/>
        <w:rPr>
          <w:rFonts w:hint="eastAsia"/>
          <w:color w:val="auto"/>
          <w:highlight w:val="none"/>
          <w:lang w:eastAsia="zh-CN"/>
        </w:rPr>
      </w:pPr>
    </w:p>
    <w:p w14:paraId="4C52C710">
      <w:pPr>
        <w:pStyle w:val="2"/>
        <w:numPr>
          <w:ilvl w:val="0"/>
          <w:numId w:val="0"/>
        </w:numPr>
        <w:bidi w:val="0"/>
        <w:ind w:firstLine="562" w:firstLineChars="20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十、其他材料</w:t>
      </w:r>
    </w:p>
    <w:p w14:paraId="75313D3E">
      <w:pPr>
        <w:bidi w:val="0"/>
        <w:spacing w:line="360" w:lineRule="auto"/>
        <w:jc w:val="center"/>
        <w:rPr>
          <w:rFonts w:hint="eastAsia" w:ascii="宋体" w:hAnsi="宋体" w:eastAsia="宋体" w:cs="宋体"/>
          <w:b/>
          <w:color w:val="auto"/>
          <w:sz w:val="21"/>
          <w:szCs w:val="21"/>
          <w:highlight w:val="none"/>
          <w:lang w:val="en-US" w:eastAsia="zh-CN"/>
        </w:rPr>
      </w:pPr>
    </w:p>
    <w:p w14:paraId="4C34D456">
      <w:pPr>
        <w:bidi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1、采购代理服务费承诺函</w:t>
      </w:r>
    </w:p>
    <w:p w14:paraId="1C7CB497">
      <w:pPr>
        <w:pStyle w:val="23"/>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2485274B">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ascii="宋体" w:hAnsi="宋体" w:eastAsia="宋体" w:cs="宋体"/>
          <w:color w:val="auto"/>
          <w:spacing w:val="8"/>
          <w:sz w:val="21"/>
          <w:szCs w:val="21"/>
          <w:highlight w:val="none"/>
          <w:u w:val="single"/>
          <w:shd w:val="clear" w:color="auto" w:fill="FFFFFF"/>
        </w:rPr>
        <w:t>（采购人及采购代理机构） </w:t>
      </w:r>
      <w:r>
        <w:rPr>
          <w:rFonts w:hint="eastAsia" w:ascii="宋体" w:hAnsi="宋体" w:eastAsia="宋体" w:cs="宋体"/>
          <w:color w:val="auto"/>
          <w:spacing w:val="8"/>
          <w:sz w:val="21"/>
          <w:szCs w:val="21"/>
          <w:highlight w:val="none"/>
          <w:shd w:val="clear" w:color="auto" w:fill="FFFFFF"/>
        </w:rPr>
        <w:t>：</w:t>
      </w:r>
    </w:p>
    <w:p w14:paraId="31DB369C">
      <w:pPr>
        <w:pStyle w:val="23"/>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，采购编号：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）招标采购中若获中标（成交），我们保证在中标</w:t>
      </w:r>
      <w:r>
        <w:rPr>
          <w:rFonts w:hint="eastAsia" w:eastAsia="宋体"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highlight w:val="none"/>
          <w:shd w:val="clear" w:color="auto" w:fill="FFFFFF"/>
          <w:lang w:eastAsia="zh-CN"/>
        </w:rPr>
        <w:t>采购代理</w:t>
      </w:r>
      <w:r>
        <w:rPr>
          <w:rFonts w:hint="eastAsia" w:ascii="宋体" w:hAnsi="宋体" w:eastAsia="宋体" w:cs="宋体"/>
          <w:color w:val="auto"/>
          <w:spacing w:val="8"/>
          <w:sz w:val="21"/>
          <w:szCs w:val="21"/>
          <w:highlight w:val="none"/>
          <w:shd w:val="clear" w:color="auto" w:fill="FFFFFF"/>
        </w:rPr>
        <w:t>服务费用。否则，由此产生的一切法律后果和责任由我公司承担。我公司声明放弃对此提出任何异议和追索的权利。</w:t>
      </w:r>
    </w:p>
    <w:p w14:paraId="35BB7FDC">
      <w:pPr>
        <w:pStyle w:val="23"/>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736A9961">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0DCE8BB">
      <w:pPr>
        <w:pStyle w:val="23"/>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559A9BC0">
      <w:pPr>
        <w:pStyle w:val="23"/>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供应商名称：</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（单位电子签章）</w:t>
      </w:r>
    </w:p>
    <w:p w14:paraId="21A063AC">
      <w:pPr>
        <w:pStyle w:val="23"/>
        <w:shd w:val="clear" w:color="auto" w:fill="FFFFFF"/>
        <w:bidi w:val="0"/>
        <w:spacing w:before="0" w:beforeLines="0" w:beforeAutospacing="0" w:after="0" w:afterLines="0" w:afterAutospacing="0" w:line="360" w:lineRule="auto"/>
        <w:ind w:firstLine="465"/>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法定代表人或授权代表：</w:t>
      </w:r>
      <w:r>
        <w:rPr>
          <w:rFonts w:hint="eastAsia" w:ascii="宋体" w:hAnsi="宋体" w:eastAsia="宋体" w:cs="宋体"/>
          <w:b/>
          <w:bCs/>
          <w:color w:val="auto"/>
          <w:spacing w:val="8"/>
          <w:sz w:val="21"/>
          <w:szCs w:val="21"/>
          <w:highlight w:val="none"/>
          <w:u w:val="single"/>
          <w:shd w:val="clear" w:color="auto" w:fill="FFFFFF"/>
        </w:rPr>
        <w:t>      </w:t>
      </w:r>
      <w:r>
        <w:rPr>
          <w:rFonts w:hint="eastAsia" w:ascii="宋体" w:hAnsi="宋体" w:eastAsia="宋体" w:cs="宋体"/>
          <w:b/>
          <w:bCs/>
          <w:color w:val="auto"/>
          <w:spacing w:val="8"/>
          <w:sz w:val="21"/>
          <w:szCs w:val="21"/>
          <w:highlight w:val="none"/>
          <w:shd w:val="clear" w:color="auto" w:fill="FFFFFF"/>
        </w:rPr>
        <w:t>（电子签名或盖章）</w:t>
      </w:r>
    </w:p>
    <w:p w14:paraId="48821CDB">
      <w:pPr>
        <w:pStyle w:val="23"/>
        <w:shd w:val="clear" w:color="auto" w:fill="FFFFFF"/>
        <w:bidi w:val="0"/>
        <w:spacing w:before="0" w:beforeLines="0" w:beforeAutospacing="0" w:after="0" w:afterLines="0" w:afterAutospacing="0" w:line="360" w:lineRule="auto"/>
        <w:ind w:firstLine="480"/>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日期：</w:t>
      </w:r>
      <w:r>
        <w:rPr>
          <w:rFonts w:hint="eastAsia" w:ascii="宋体" w:hAnsi="宋体" w:eastAsia="宋体" w:cs="宋体"/>
          <w:b/>
          <w:bCs/>
          <w:color w:val="auto"/>
          <w:spacing w:val="8"/>
          <w:sz w:val="21"/>
          <w:szCs w:val="21"/>
          <w:highlight w:val="none"/>
          <w:u w:val="single"/>
          <w:shd w:val="clear" w:color="auto" w:fill="FFFFFF"/>
        </w:rPr>
        <w:t>              </w:t>
      </w:r>
    </w:p>
    <w:p w14:paraId="3C9B72D9">
      <w:pPr>
        <w:pStyle w:val="23"/>
        <w:shd w:val="clear" w:color="auto" w:fill="FFFFFF"/>
        <w:bidi w:val="0"/>
        <w:spacing w:before="0" w:beforeLines="0" w:beforeAutospacing="0" w:after="0" w:afterLines="0" w:afterAutospacing="0" w:line="360" w:lineRule="auto"/>
        <w:jc w:val="both"/>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shd w:val="clear" w:color="auto" w:fill="FFFFFF"/>
        </w:rPr>
        <w:t> </w:t>
      </w:r>
    </w:p>
    <w:p w14:paraId="38846BE1">
      <w:pPr>
        <w:bidi w:val="0"/>
        <w:rPr>
          <w:rFonts w:hint="eastAsia" w:ascii="宋体" w:hAnsi="宋体" w:eastAsia="宋体" w:cs="宋体"/>
          <w:color w:val="auto"/>
          <w:sz w:val="21"/>
          <w:szCs w:val="21"/>
          <w:highlight w:val="none"/>
        </w:rPr>
      </w:pPr>
    </w:p>
    <w:p w14:paraId="2F8A0E76">
      <w:pPr>
        <w:bidi w:val="0"/>
        <w:spacing w:line="360" w:lineRule="auto"/>
        <w:jc w:val="center"/>
        <w:rPr>
          <w:rFonts w:hint="eastAsia" w:ascii="宋体" w:hAnsi="宋体" w:eastAsia="宋体" w:cs="宋体"/>
          <w:color w:val="auto"/>
          <w:sz w:val="21"/>
          <w:szCs w:val="21"/>
          <w:highlight w:val="none"/>
        </w:rPr>
      </w:pPr>
    </w:p>
    <w:p w14:paraId="1AA49F35">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、供应商认为需要的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资料</w:t>
      </w:r>
    </w:p>
    <w:p w14:paraId="4E824F47">
      <w:pPr>
        <w:bidi w:val="0"/>
        <w:jc w:val="center"/>
        <w:rPr>
          <w:rFonts w:hint="eastAsia" w:ascii="宋体" w:hAnsi="宋体" w:eastAsia="宋体" w:cs="宋体"/>
          <w:b/>
          <w:bCs/>
          <w:color w:val="auto"/>
          <w:sz w:val="21"/>
          <w:szCs w:val="21"/>
          <w:highlight w:val="none"/>
          <w:lang w:val="en-US" w:eastAsia="zh-CN"/>
        </w:rPr>
      </w:pPr>
    </w:p>
    <w:p w14:paraId="164E5623">
      <w:pPr>
        <w:jc w:val="center"/>
        <w:rPr>
          <w:rFonts w:hint="eastAsia" w:ascii="宋体" w:hAnsi="宋体" w:eastAsia="宋体" w:cs="宋体"/>
          <w:b/>
          <w:bCs/>
          <w:color w:val="auto"/>
          <w:sz w:val="21"/>
          <w:szCs w:val="21"/>
          <w:highlight w:val="none"/>
          <w:lang w:val="en-US" w:eastAsia="zh-CN"/>
        </w:rPr>
      </w:pPr>
    </w:p>
    <w:p w14:paraId="67D0853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供应商认为需要的</w:t>
      </w:r>
      <w:r>
        <w:rPr>
          <w:rFonts w:hint="eastAsia" w:ascii="宋体" w:hAnsi="宋体" w:eastAsia="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资料</w:t>
      </w:r>
      <w:r>
        <w:rPr>
          <w:rFonts w:hint="eastAsia" w:ascii="宋体" w:hAnsi="宋体" w:eastAsia="宋体" w:cs="宋体"/>
          <w:b w:val="0"/>
          <w:bCs w:val="0"/>
          <w:color w:val="auto"/>
          <w:sz w:val="21"/>
          <w:szCs w:val="21"/>
          <w:highlight w:val="none"/>
          <w:lang w:val="en-US" w:eastAsia="zh-CN"/>
        </w:rPr>
        <w:t>）</w:t>
      </w:r>
    </w:p>
    <w:p w14:paraId="05C7897D">
      <w:pPr>
        <w:jc w:val="center"/>
        <w:rPr>
          <w:rFonts w:hint="eastAsia" w:ascii="宋体" w:hAnsi="宋体" w:eastAsia="宋体" w:cs="宋体"/>
          <w:b w:val="0"/>
          <w:bCs w:val="0"/>
          <w:color w:val="auto"/>
          <w:sz w:val="21"/>
          <w:szCs w:val="21"/>
          <w:highlight w:val="none"/>
          <w:lang w:val="en-US" w:eastAsia="zh-CN"/>
        </w:rPr>
      </w:pPr>
    </w:p>
    <w:p w14:paraId="3A433F8F">
      <w:pPr>
        <w:pStyle w:val="24"/>
        <w:rPr>
          <w:rFonts w:hint="eastAsia" w:ascii="宋体" w:hAnsi="宋体" w:eastAsia="宋体" w:cs="宋体"/>
          <w:b/>
          <w:bCs/>
          <w:color w:val="auto"/>
          <w:sz w:val="21"/>
          <w:szCs w:val="21"/>
          <w:highlight w:val="none"/>
          <w:lang w:val="en-US" w:eastAsia="zh-CN"/>
        </w:rPr>
      </w:pPr>
    </w:p>
    <w:p w14:paraId="67C68D8F">
      <w:pPr>
        <w:pStyle w:val="25"/>
        <w:tabs>
          <w:tab w:val="left" w:pos="945"/>
          <w:tab w:val="left" w:pos="1155"/>
        </w:tabs>
        <w:rPr>
          <w:rFonts w:hint="eastAsia" w:ascii="宋体" w:hAnsi="宋体" w:eastAsia="宋体" w:cs="宋体"/>
          <w:b/>
          <w:bCs/>
          <w:color w:val="auto"/>
          <w:sz w:val="21"/>
          <w:szCs w:val="21"/>
          <w:highlight w:val="none"/>
          <w:lang w:val="en-US" w:eastAsia="zh-CN"/>
        </w:rPr>
      </w:pPr>
    </w:p>
    <w:p w14:paraId="60DE7502">
      <w:pPr>
        <w:rPr>
          <w:rFonts w:hint="eastAsia" w:ascii="宋体" w:hAnsi="宋体" w:eastAsia="宋体" w:cs="宋体"/>
          <w:b/>
          <w:bCs/>
          <w:color w:val="auto"/>
          <w:sz w:val="21"/>
          <w:szCs w:val="21"/>
          <w:highlight w:val="none"/>
          <w:lang w:val="en-US" w:eastAsia="zh-CN"/>
        </w:rPr>
      </w:pPr>
    </w:p>
    <w:p w14:paraId="7360E93C">
      <w:pPr>
        <w:pStyle w:val="24"/>
        <w:rPr>
          <w:rFonts w:hint="eastAsia" w:ascii="宋体" w:hAnsi="宋体" w:eastAsia="宋体" w:cs="宋体"/>
          <w:b/>
          <w:bCs/>
          <w:color w:val="auto"/>
          <w:sz w:val="21"/>
          <w:szCs w:val="21"/>
          <w:highlight w:val="none"/>
          <w:lang w:val="en-US" w:eastAsia="zh-CN"/>
        </w:rPr>
      </w:pPr>
    </w:p>
    <w:p w14:paraId="55484DE9">
      <w:pPr>
        <w:pStyle w:val="25"/>
        <w:tabs>
          <w:tab w:val="left" w:pos="945"/>
          <w:tab w:val="left" w:pos="1155"/>
        </w:tabs>
        <w:rPr>
          <w:rFonts w:hint="eastAsia" w:ascii="宋体" w:hAnsi="宋体" w:eastAsia="宋体" w:cs="宋体"/>
          <w:b/>
          <w:bCs/>
          <w:color w:val="auto"/>
          <w:sz w:val="21"/>
          <w:szCs w:val="21"/>
          <w:highlight w:val="none"/>
          <w:lang w:val="en-US" w:eastAsia="zh-CN"/>
        </w:rPr>
      </w:pPr>
    </w:p>
    <w:p w14:paraId="0B2950E5">
      <w:pPr>
        <w:rPr>
          <w:rFonts w:hint="eastAsia" w:ascii="宋体" w:hAnsi="宋体" w:eastAsia="宋体" w:cs="宋体"/>
          <w:b/>
          <w:bCs/>
          <w:color w:val="auto"/>
          <w:sz w:val="21"/>
          <w:szCs w:val="21"/>
          <w:highlight w:val="none"/>
          <w:lang w:val="en-US" w:eastAsia="zh-CN"/>
        </w:rPr>
      </w:pPr>
    </w:p>
    <w:p w14:paraId="5643B53D">
      <w:pPr>
        <w:pStyle w:val="24"/>
        <w:rPr>
          <w:rFonts w:hint="eastAsia" w:ascii="宋体" w:hAnsi="宋体" w:eastAsia="宋体" w:cs="宋体"/>
          <w:b/>
          <w:bCs/>
          <w:color w:val="auto"/>
          <w:sz w:val="21"/>
          <w:szCs w:val="21"/>
          <w:highlight w:val="none"/>
          <w:lang w:val="en-US" w:eastAsia="zh-CN"/>
        </w:rPr>
      </w:pPr>
    </w:p>
    <w:p w14:paraId="1588CE14">
      <w:pPr>
        <w:pStyle w:val="25"/>
        <w:tabs>
          <w:tab w:val="left" w:pos="945"/>
          <w:tab w:val="left" w:pos="1155"/>
        </w:tabs>
        <w:rPr>
          <w:rFonts w:hint="eastAsia" w:ascii="宋体" w:hAnsi="宋体" w:eastAsia="宋体" w:cs="宋体"/>
          <w:b/>
          <w:bCs/>
          <w:color w:val="auto"/>
          <w:sz w:val="21"/>
          <w:szCs w:val="21"/>
          <w:highlight w:val="none"/>
          <w:lang w:val="en-US" w:eastAsia="zh-CN"/>
        </w:rPr>
      </w:pPr>
    </w:p>
    <w:p w14:paraId="086B389D">
      <w:pPr>
        <w:rPr>
          <w:rFonts w:hint="eastAsia" w:ascii="宋体" w:hAnsi="宋体" w:eastAsia="宋体" w:cs="宋体"/>
          <w:b/>
          <w:bCs/>
          <w:color w:val="auto"/>
          <w:sz w:val="21"/>
          <w:szCs w:val="21"/>
          <w:highlight w:val="none"/>
          <w:lang w:val="en-US" w:eastAsia="zh-CN"/>
        </w:rPr>
      </w:pPr>
    </w:p>
    <w:p w14:paraId="7ECEF540">
      <w:pPr>
        <w:pStyle w:val="24"/>
        <w:rPr>
          <w:rFonts w:hint="eastAsia" w:ascii="宋体" w:hAnsi="宋体" w:eastAsia="宋体" w:cs="宋体"/>
          <w:b/>
          <w:bCs/>
          <w:color w:val="auto"/>
          <w:sz w:val="21"/>
          <w:szCs w:val="21"/>
          <w:highlight w:val="none"/>
          <w:lang w:val="en-US" w:eastAsia="zh-CN"/>
        </w:rPr>
      </w:pPr>
    </w:p>
    <w:p w14:paraId="0190A064">
      <w:pPr>
        <w:pStyle w:val="25"/>
        <w:tabs>
          <w:tab w:val="left" w:pos="945"/>
          <w:tab w:val="left" w:pos="1155"/>
        </w:tabs>
        <w:rPr>
          <w:rFonts w:hint="eastAsia" w:ascii="宋体" w:hAnsi="宋体" w:eastAsia="宋体" w:cs="宋体"/>
          <w:b/>
          <w:bCs/>
          <w:color w:val="auto"/>
          <w:sz w:val="21"/>
          <w:szCs w:val="21"/>
          <w:highlight w:val="none"/>
          <w:lang w:val="en-US" w:eastAsia="zh-CN"/>
        </w:rPr>
      </w:pPr>
    </w:p>
    <w:p w14:paraId="1C4328D4">
      <w:pPr>
        <w:rPr>
          <w:rFonts w:hint="eastAsia" w:ascii="宋体" w:hAnsi="宋体" w:eastAsia="宋体" w:cs="宋体"/>
          <w:b/>
          <w:bCs/>
          <w:color w:val="auto"/>
          <w:sz w:val="21"/>
          <w:szCs w:val="21"/>
          <w:highlight w:val="none"/>
          <w:lang w:val="en-US" w:eastAsia="zh-CN"/>
        </w:rPr>
      </w:pPr>
    </w:p>
    <w:p w14:paraId="2868F6AA">
      <w:pPr>
        <w:pStyle w:val="24"/>
        <w:rPr>
          <w:rFonts w:hint="eastAsia" w:ascii="宋体" w:hAnsi="宋体" w:eastAsia="宋体" w:cs="宋体"/>
          <w:b/>
          <w:bCs/>
          <w:color w:val="auto"/>
          <w:sz w:val="21"/>
          <w:szCs w:val="21"/>
          <w:highlight w:val="none"/>
          <w:lang w:val="en-US" w:eastAsia="zh-CN"/>
        </w:rPr>
      </w:pPr>
    </w:p>
    <w:p w14:paraId="390E6481">
      <w:pPr>
        <w:pStyle w:val="25"/>
        <w:tabs>
          <w:tab w:val="left" w:pos="945"/>
          <w:tab w:val="left" w:pos="1155"/>
        </w:tabs>
        <w:rPr>
          <w:rFonts w:hint="eastAsia" w:ascii="宋体" w:hAnsi="宋体" w:eastAsia="宋体" w:cs="宋体"/>
          <w:b/>
          <w:bCs/>
          <w:color w:val="auto"/>
          <w:sz w:val="21"/>
          <w:szCs w:val="21"/>
          <w:highlight w:val="none"/>
          <w:lang w:val="en-US" w:eastAsia="zh-CN"/>
        </w:rPr>
      </w:pPr>
    </w:p>
    <w:p w14:paraId="510EEC6B">
      <w:pPr>
        <w:rPr>
          <w:rFonts w:hint="eastAsia" w:ascii="宋体" w:hAnsi="宋体" w:eastAsia="宋体" w:cs="宋体"/>
          <w:b/>
          <w:bCs/>
          <w:color w:val="auto"/>
          <w:sz w:val="21"/>
          <w:szCs w:val="21"/>
          <w:highlight w:val="none"/>
          <w:lang w:val="en-US" w:eastAsia="zh-CN"/>
        </w:rPr>
      </w:pPr>
    </w:p>
    <w:p w14:paraId="0B156806">
      <w:pPr>
        <w:ind w:left="0" w:leftChars="0" w:firstLine="0" w:firstLineChars="0"/>
        <w:jc w:val="both"/>
        <w:rPr>
          <w:rFonts w:hint="eastAsia" w:ascii="宋体" w:hAnsi="宋体" w:eastAsia="宋体" w:cs="宋体"/>
          <w:b/>
          <w:bCs/>
          <w:color w:val="auto"/>
          <w:sz w:val="21"/>
          <w:szCs w:val="21"/>
          <w:highlight w:val="none"/>
          <w:lang w:val="en-US" w:eastAsia="zh-CN"/>
        </w:rPr>
      </w:pPr>
    </w:p>
    <w:p w14:paraId="531DF8EC">
      <w:pPr>
        <w:jc w:val="center"/>
        <w:rPr>
          <w:rFonts w:hint="eastAsia" w:ascii="宋体" w:hAnsi="宋体" w:eastAsia="宋体" w:cs="宋体"/>
          <w:b/>
          <w:bCs/>
          <w:color w:val="auto"/>
          <w:sz w:val="21"/>
          <w:szCs w:val="21"/>
          <w:highlight w:val="none"/>
          <w:lang w:val="en-US" w:eastAsia="zh-CN"/>
        </w:rPr>
      </w:pPr>
    </w:p>
    <w:p w14:paraId="57F0BC98">
      <w:pPr>
        <w:jc w:val="center"/>
        <w:rPr>
          <w:rFonts w:hint="eastAsia" w:ascii="宋体" w:hAnsi="宋体" w:eastAsia="宋体" w:cs="宋体"/>
          <w:b/>
          <w:color w:val="auto"/>
          <w:sz w:val="21"/>
          <w:szCs w:val="21"/>
          <w:highlight w:val="none"/>
        </w:rPr>
      </w:pPr>
    </w:p>
    <w:p w14:paraId="037642D0">
      <w:pPr>
        <w:jc w:val="center"/>
        <w:rPr>
          <w:rFonts w:hint="default" w:ascii="Calibri" w:hAnsi="Calibri" w:eastAsia="仿宋" w:cs="Calibri"/>
          <w:color w:val="auto"/>
          <w:sz w:val="21"/>
          <w:szCs w:val="21"/>
          <w:highlight w:val="none"/>
        </w:rPr>
      </w:pPr>
      <w:r>
        <w:rPr>
          <w:rFonts w:hint="eastAsia" w:ascii="宋体" w:hAnsi="宋体" w:eastAsia="宋体" w:cs="宋体"/>
          <w:b/>
          <w:color w:val="auto"/>
          <w:sz w:val="21"/>
          <w:szCs w:val="21"/>
          <w:highlight w:val="none"/>
        </w:rPr>
        <w:t>河南省政府采购合同融资政策告知函</w:t>
      </w:r>
    </w:p>
    <w:p w14:paraId="119A4EA6">
      <w:pPr>
        <w:spacing w:line="48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各供应商：</w:t>
      </w:r>
    </w:p>
    <w:p w14:paraId="60C4B398">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5BE3B5E1">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382854E">
      <w:pPr>
        <w:spacing w:line="48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14:paraId="327EE862">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253C67E0">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14:paraId="3B9FE18A">
      <w:pPr>
        <w:pStyle w:val="23"/>
        <w:shd w:val="clear" w:color="070000" w:fill="FFFFFF"/>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注：此项仅为告知，无须附到响应文件中。</w:t>
      </w:r>
    </w:p>
    <w:p w14:paraId="387A46CF">
      <w:pPr>
        <w:ind w:left="0" w:leftChars="0" w:firstLine="0" w:firstLineChars="0"/>
        <w:rPr>
          <w:rFonts w:hint="eastAsia"/>
          <w:color w:val="auto"/>
          <w:highlight w:val="none"/>
        </w:rPr>
      </w:pPr>
    </w:p>
    <w:p w14:paraId="669254D1">
      <w:pPr>
        <w:rPr>
          <w:color w:val="auto"/>
          <w:highlight w:val="none"/>
        </w:rPr>
      </w:pPr>
    </w:p>
    <w:p w14:paraId="64F377B6">
      <w:pPr>
        <w:rPr>
          <w:color w:val="auto"/>
          <w:highlight w:val="none"/>
        </w:rPr>
      </w:pPr>
    </w:p>
    <w:sectPr>
      <w:headerReference r:id="rId9" w:type="default"/>
      <w:footerReference r:id="rId10" w:type="default"/>
      <w:pgSz w:w="11906" w:h="16838"/>
      <w:pgMar w:top="1440" w:right="1080" w:bottom="1440" w:left="1080" w:header="907"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3EE4">
    <w:pPr>
      <w:pStyle w:val="17"/>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CEB3">
    <w:pPr>
      <w:pStyle w:val="17"/>
      <w:rPr>
        <w:rFonts w:hint="eastAsia" w:eastAsiaTheme="minorEastAsia"/>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DC863">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DC863">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1F1D68">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B1F1D68">
                    <w:pPr>
                      <w:pStyle w:val="17"/>
                    </w:pP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CB80">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11F42">
                          <w:pPr>
                            <w:pStyle w:val="17"/>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311F42">
                    <w:pPr>
                      <w:pStyle w:val="17"/>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C537">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914B">
    <w:pPr>
      <w:pBdr>
        <w:bottom w:val="none" w:color="auto" w:sz="0" w:space="0"/>
      </w:pBdr>
      <w:ind w:left="0" w:leftChars="0" w:firstLine="0" w:firstLineChars="0"/>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902C">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05057"/>
    <w:multiLevelType w:val="singleLevel"/>
    <w:tmpl w:val="A9905057"/>
    <w:lvl w:ilvl="0" w:tentative="0">
      <w:start w:val="2"/>
      <w:numFmt w:val="chineseCounting"/>
      <w:suff w:val="space"/>
      <w:lvlText w:val="第%1章"/>
      <w:lvlJc w:val="left"/>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8EB662E"/>
    <w:multiLevelType w:val="singleLevel"/>
    <w:tmpl w:val="C8EB662E"/>
    <w:lvl w:ilvl="0" w:tentative="0">
      <w:start w:val="6"/>
      <w:numFmt w:val="decimal"/>
      <w:suff w:val="nothing"/>
      <w:lvlText w:val="%1、"/>
      <w:lvlJc w:val="left"/>
    </w:lvl>
  </w:abstractNum>
  <w:abstractNum w:abstractNumId="3">
    <w:nsid w:val="010A5DCE"/>
    <w:multiLevelType w:val="singleLevel"/>
    <w:tmpl w:val="010A5DCE"/>
    <w:lvl w:ilvl="0" w:tentative="0">
      <w:start w:val="3"/>
      <w:numFmt w:val="decimal"/>
      <w:suff w:val="nothing"/>
      <w:lvlText w:val="%1、"/>
      <w:lvlJc w:val="left"/>
      <w:rPr>
        <w:rFonts w:hint="default"/>
        <w:b/>
        <w:bCs/>
      </w:rPr>
    </w:lvl>
  </w:abstractNum>
  <w:abstractNum w:abstractNumId="4">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7">
    <w:nsid w:val="62C25926"/>
    <w:multiLevelType w:val="singleLevel"/>
    <w:tmpl w:val="62C25926"/>
    <w:lvl w:ilvl="0" w:tentative="0">
      <w:start w:val="5"/>
      <w:numFmt w:val="chineseCounting"/>
      <w:suff w:val="space"/>
      <w:lvlText w:val="第%1章"/>
      <w:lvlJc w:val="left"/>
      <w:pPr>
        <w:ind w:left="1115"/>
      </w:pPr>
      <w:rPr>
        <w:rFonts w:hint="eastAsia"/>
      </w:rPr>
    </w:lvl>
  </w:abstractNum>
  <w:abstractNum w:abstractNumId="8">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1A7290"/>
    <w:multiLevelType w:val="singleLevel"/>
    <w:tmpl w:val="711A7290"/>
    <w:lvl w:ilvl="0" w:tentative="0">
      <w:start w:val="9"/>
      <w:numFmt w:val="chineseCounting"/>
      <w:suff w:val="nothing"/>
      <w:lvlText w:val="%1、"/>
      <w:lvlJc w:val="left"/>
      <w:rPr>
        <w:rFonts w:hint="eastAsia"/>
      </w:rPr>
    </w:lvl>
  </w:abstractNum>
  <w:abstractNum w:abstractNumId="10">
    <w:nsid w:val="7AF264FF"/>
    <w:multiLevelType w:val="singleLevel"/>
    <w:tmpl w:val="7AF264FF"/>
    <w:lvl w:ilvl="0" w:tentative="0">
      <w:start w:val="1"/>
      <w:numFmt w:val="chineseCounting"/>
      <w:suff w:val="nothing"/>
      <w:lvlText w:val="（%1）"/>
      <w:lvlJc w:val="left"/>
      <w:rPr>
        <w:rFonts w:hint="eastAsia"/>
      </w:rPr>
    </w:lvl>
  </w:abstractNum>
  <w:num w:numId="1">
    <w:abstractNumId w:val="9"/>
  </w:num>
  <w:num w:numId="2">
    <w:abstractNumId w:val="2"/>
  </w:num>
  <w:num w:numId="3">
    <w:abstractNumId w:val="3"/>
  </w:num>
  <w:num w:numId="4">
    <w:abstractNumId w:val="0"/>
  </w:num>
  <w:num w:numId="5">
    <w:abstractNumId w:val="10"/>
  </w:num>
  <w:num w:numId="6">
    <w:abstractNumId w:val="5"/>
  </w:num>
  <w:num w:numId="7">
    <w:abstractNumId w:val="7"/>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6285726"/>
    <w:rsid w:val="000C3DA7"/>
    <w:rsid w:val="00A64DA2"/>
    <w:rsid w:val="00C025D1"/>
    <w:rsid w:val="00D01278"/>
    <w:rsid w:val="00DB2F6B"/>
    <w:rsid w:val="00FA00A3"/>
    <w:rsid w:val="012E65AF"/>
    <w:rsid w:val="013435B5"/>
    <w:rsid w:val="014A102B"/>
    <w:rsid w:val="01A051F3"/>
    <w:rsid w:val="01DF58FF"/>
    <w:rsid w:val="02252BAB"/>
    <w:rsid w:val="022E26FA"/>
    <w:rsid w:val="024A0BB7"/>
    <w:rsid w:val="02543868"/>
    <w:rsid w:val="025A704C"/>
    <w:rsid w:val="02963DFC"/>
    <w:rsid w:val="02BC7D06"/>
    <w:rsid w:val="030E7E36"/>
    <w:rsid w:val="03123DCA"/>
    <w:rsid w:val="0355302B"/>
    <w:rsid w:val="036F3C68"/>
    <w:rsid w:val="038D1CCC"/>
    <w:rsid w:val="03A367D0"/>
    <w:rsid w:val="03F1339B"/>
    <w:rsid w:val="0422003D"/>
    <w:rsid w:val="04493D40"/>
    <w:rsid w:val="04641FC7"/>
    <w:rsid w:val="04DE21B6"/>
    <w:rsid w:val="04F96FF0"/>
    <w:rsid w:val="04FC43EA"/>
    <w:rsid w:val="05080FE1"/>
    <w:rsid w:val="050F6813"/>
    <w:rsid w:val="0517535C"/>
    <w:rsid w:val="05187DBC"/>
    <w:rsid w:val="052F1620"/>
    <w:rsid w:val="05465FAD"/>
    <w:rsid w:val="054B552D"/>
    <w:rsid w:val="05852631"/>
    <w:rsid w:val="059A3C03"/>
    <w:rsid w:val="05A607FA"/>
    <w:rsid w:val="05A76A4C"/>
    <w:rsid w:val="05E51322"/>
    <w:rsid w:val="05F4705E"/>
    <w:rsid w:val="05FB6D97"/>
    <w:rsid w:val="06096430"/>
    <w:rsid w:val="0644429B"/>
    <w:rsid w:val="064A73D7"/>
    <w:rsid w:val="06677F89"/>
    <w:rsid w:val="068C79F0"/>
    <w:rsid w:val="06AA444A"/>
    <w:rsid w:val="06B84C89"/>
    <w:rsid w:val="06E069CA"/>
    <w:rsid w:val="06F2148C"/>
    <w:rsid w:val="06F35CC1"/>
    <w:rsid w:val="06FA0DFD"/>
    <w:rsid w:val="072C3BA8"/>
    <w:rsid w:val="07BE007D"/>
    <w:rsid w:val="080C0DE8"/>
    <w:rsid w:val="08545C3E"/>
    <w:rsid w:val="08AF79C5"/>
    <w:rsid w:val="08CA47FF"/>
    <w:rsid w:val="091B505B"/>
    <w:rsid w:val="09284A19"/>
    <w:rsid w:val="095E38C5"/>
    <w:rsid w:val="09646330"/>
    <w:rsid w:val="098470A4"/>
    <w:rsid w:val="09F1642F"/>
    <w:rsid w:val="09FE0C04"/>
    <w:rsid w:val="0A053D41"/>
    <w:rsid w:val="0A426D43"/>
    <w:rsid w:val="0A854E82"/>
    <w:rsid w:val="0AB17A25"/>
    <w:rsid w:val="0ACB4F8A"/>
    <w:rsid w:val="0AD55E09"/>
    <w:rsid w:val="0AEC6CAF"/>
    <w:rsid w:val="0B042D6D"/>
    <w:rsid w:val="0B111DBA"/>
    <w:rsid w:val="0B163D2C"/>
    <w:rsid w:val="0B7373D0"/>
    <w:rsid w:val="0B8B64C8"/>
    <w:rsid w:val="0BC263E3"/>
    <w:rsid w:val="0C8D626F"/>
    <w:rsid w:val="0CC51EAD"/>
    <w:rsid w:val="0CE265BB"/>
    <w:rsid w:val="0CEF17A5"/>
    <w:rsid w:val="0CF602B9"/>
    <w:rsid w:val="0CFE2CC9"/>
    <w:rsid w:val="0D295F98"/>
    <w:rsid w:val="0D370091"/>
    <w:rsid w:val="0D4C7ED9"/>
    <w:rsid w:val="0D6A5091"/>
    <w:rsid w:val="0D7D666F"/>
    <w:rsid w:val="0D9D24E2"/>
    <w:rsid w:val="0DB717F6"/>
    <w:rsid w:val="0E016F15"/>
    <w:rsid w:val="0E0F1632"/>
    <w:rsid w:val="0E1F3D5A"/>
    <w:rsid w:val="0E3C1CFB"/>
    <w:rsid w:val="0E44378C"/>
    <w:rsid w:val="0E5E4367"/>
    <w:rsid w:val="0E605C68"/>
    <w:rsid w:val="0E9D17C6"/>
    <w:rsid w:val="0EC75A69"/>
    <w:rsid w:val="0ECE5049"/>
    <w:rsid w:val="0ED42D25"/>
    <w:rsid w:val="0ED97690"/>
    <w:rsid w:val="0F0F2125"/>
    <w:rsid w:val="0F4F4CBB"/>
    <w:rsid w:val="0F5A4B2F"/>
    <w:rsid w:val="0F81030D"/>
    <w:rsid w:val="0F84096B"/>
    <w:rsid w:val="0F9B0CA3"/>
    <w:rsid w:val="0FBF2BE4"/>
    <w:rsid w:val="0FCC70AF"/>
    <w:rsid w:val="0FFD2EF2"/>
    <w:rsid w:val="0FFE01ED"/>
    <w:rsid w:val="0FFF254C"/>
    <w:rsid w:val="100625C1"/>
    <w:rsid w:val="10190546"/>
    <w:rsid w:val="102D5D9F"/>
    <w:rsid w:val="10687C1A"/>
    <w:rsid w:val="107734BE"/>
    <w:rsid w:val="10AA3894"/>
    <w:rsid w:val="10F52445"/>
    <w:rsid w:val="111B209C"/>
    <w:rsid w:val="111D7BC2"/>
    <w:rsid w:val="112E1DCF"/>
    <w:rsid w:val="113508C0"/>
    <w:rsid w:val="11515ABE"/>
    <w:rsid w:val="118867D4"/>
    <w:rsid w:val="119875D6"/>
    <w:rsid w:val="11B21135"/>
    <w:rsid w:val="11EE5A02"/>
    <w:rsid w:val="11FF19BD"/>
    <w:rsid w:val="12023FE5"/>
    <w:rsid w:val="1226519C"/>
    <w:rsid w:val="124D1B25"/>
    <w:rsid w:val="12692EF2"/>
    <w:rsid w:val="126C2700"/>
    <w:rsid w:val="12B72298"/>
    <w:rsid w:val="12F52503"/>
    <w:rsid w:val="12F6691D"/>
    <w:rsid w:val="130A61F8"/>
    <w:rsid w:val="131E7C21"/>
    <w:rsid w:val="133438E9"/>
    <w:rsid w:val="139879D4"/>
    <w:rsid w:val="13A10F7E"/>
    <w:rsid w:val="14055F2A"/>
    <w:rsid w:val="140C0F45"/>
    <w:rsid w:val="140E5EE8"/>
    <w:rsid w:val="14A405FA"/>
    <w:rsid w:val="14A66120"/>
    <w:rsid w:val="14AC7FAB"/>
    <w:rsid w:val="14AD74AF"/>
    <w:rsid w:val="14B720DC"/>
    <w:rsid w:val="14BB6070"/>
    <w:rsid w:val="14CD18FF"/>
    <w:rsid w:val="14D33E79"/>
    <w:rsid w:val="14DB04C0"/>
    <w:rsid w:val="14EC447B"/>
    <w:rsid w:val="14EF1875"/>
    <w:rsid w:val="158A3C94"/>
    <w:rsid w:val="158C3568"/>
    <w:rsid w:val="15AF7257"/>
    <w:rsid w:val="15F97EB4"/>
    <w:rsid w:val="16285726"/>
    <w:rsid w:val="1666025D"/>
    <w:rsid w:val="168048BD"/>
    <w:rsid w:val="168801D3"/>
    <w:rsid w:val="16A3500D"/>
    <w:rsid w:val="16AD3796"/>
    <w:rsid w:val="17060B05"/>
    <w:rsid w:val="17487963"/>
    <w:rsid w:val="17606A5A"/>
    <w:rsid w:val="17632761"/>
    <w:rsid w:val="17996410"/>
    <w:rsid w:val="17A0779F"/>
    <w:rsid w:val="17E458DD"/>
    <w:rsid w:val="17F17FFA"/>
    <w:rsid w:val="17F5668E"/>
    <w:rsid w:val="182E68A0"/>
    <w:rsid w:val="185C36C6"/>
    <w:rsid w:val="18610CDC"/>
    <w:rsid w:val="18771926"/>
    <w:rsid w:val="18A92683"/>
    <w:rsid w:val="1901601B"/>
    <w:rsid w:val="192D01EC"/>
    <w:rsid w:val="193B777F"/>
    <w:rsid w:val="1945415A"/>
    <w:rsid w:val="19662322"/>
    <w:rsid w:val="198D3D53"/>
    <w:rsid w:val="19A00B10"/>
    <w:rsid w:val="19C21C4E"/>
    <w:rsid w:val="19D91C69"/>
    <w:rsid w:val="1A002777"/>
    <w:rsid w:val="1A5959E3"/>
    <w:rsid w:val="1A5F56EF"/>
    <w:rsid w:val="1A845E02"/>
    <w:rsid w:val="1AD60012"/>
    <w:rsid w:val="1AFA6EF2"/>
    <w:rsid w:val="1B1A7868"/>
    <w:rsid w:val="1B1D12DD"/>
    <w:rsid w:val="1B5519F1"/>
    <w:rsid w:val="1B6034CD"/>
    <w:rsid w:val="1B7E7DF7"/>
    <w:rsid w:val="1BF87D83"/>
    <w:rsid w:val="1C24274C"/>
    <w:rsid w:val="1C250273"/>
    <w:rsid w:val="1C6464CD"/>
    <w:rsid w:val="1C7F7983"/>
    <w:rsid w:val="1CF521DA"/>
    <w:rsid w:val="1D0425BE"/>
    <w:rsid w:val="1D2815CA"/>
    <w:rsid w:val="1D5A03F0"/>
    <w:rsid w:val="1D5F77B4"/>
    <w:rsid w:val="1D733885"/>
    <w:rsid w:val="1DA54723"/>
    <w:rsid w:val="1DA87977"/>
    <w:rsid w:val="1DAA4ED3"/>
    <w:rsid w:val="1DAC0C4B"/>
    <w:rsid w:val="1DAD49C3"/>
    <w:rsid w:val="1DF47AA7"/>
    <w:rsid w:val="1E015124"/>
    <w:rsid w:val="1E6C0104"/>
    <w:rsid w:val="1E953217"/>
    <w:rsid w:val="1EB37DB8"/>
    <w:rsid w:val="1EBD4792"/>
    <w:rsid w:val="1ED81A83"/>
    <w:rsid w:val="1EE241F9"/>
    <w:rsid w:val="1EF34658"/>
    <w:rsid w:val="1F011F4E"/>
    <w:rsid w:val="1F0F7AA5"/>
    <w:rsid w:val="1F1F3C4D"/>
    <w:rsid w:val="1F5275D0"/>
    <w:rsid w:val="1F626226"/>
    <w:rsid w:val="1F7C464D"/>
    <w:rsid w:val="200B382A"/>
    <w:rsid w:val="202B1312"/>
    <w:rsid w:val="203C5B8B"/>
    <w:rsid w:val="206B4E99"/>
    <w:rsid w:val="208B39B5"/>
    <w:rsid w:val="20F611CC"/>
    <w:rsid w:val="2114265C"/>
    <w:rsid w:val="2124555B"/>
    <w:rsid w:val="21717AB6"/>
    <w:rsid w:val="217C26E3"/>
    <w:rsid w:val="21876A43"/>
    <w:rsid w:val="21C97B19"/>
    <w:rsid w:val="21DE15EF"/>
    <w:rsid w:val="22113B54"/>
    <w:rsid w:val="221768AF"/>
    <w:rsid w:val="221B24B7"/>
    <w:rsid w:val="227E06DD"/>
    <w:rsid w:val="228C3783"/>
    <w:rsid w:val="22984EBA"/>
    <w:rsid w:val="22BA5A57"/>
    <w:rsid w:val="22C72083"/>
    <w:rsid w:val="231775C2"/>
    <w:rsid w:val="23306A8D"/>
    <w:rsid w:val="2355143D"/>
    <w:rsid w:val="23762110"/>
    <w:rsid w:val="237F295E"/>
    <w:rsid w:val="239D123F"/>
    <w:rsid w:val="23D3133D"/>
    <w:rsid w:val="23DD1433"/>
    <w:rsid w:val="23E11DA7"/>
    <w:rsid w:val="240C6E9F"/>
    <w:rsid w:val="24244F5F"/>
    <w:rsid w:val="247B4ED4"/>
    <w:rsid w:val="24B14D99"/>
    <w:rsid w:val="24B93C4E"/>
    <w:rsid w:val="24D64800"/>
    <w:rsid w:val="24ED56A6"/>
    <w:rsid w:val="252C5BE2"/>
    <w:rsid w:val="2564005E"/>
    <w:rsid w:val="25822292"/>
    <w:rsid w:val="25A8619C"/>
    <w:rsid w:val="25AF7A72"/>
    <w:rsid w:val="25D074A1"/>
    <w:rsid w:val="25EE7927"/>
    <w:rsid w:val="26243349"/>
    <w:rsid w:val="262E41C8"/>
    <w:rsid w:val="262F1AF6"/>
    <w:rsid w:val="26722306"/>
    <w:rsid w:val="26802C75"/>
    <w:rsid w:val="269229A8"/>
    <w:rsid w:val="26B74BAD"/>
    <w:rsid w:val="26CF59AB"/>
    <w:rsid w:val="26F45411"/>
    <w:rsid w:val="270B76D9"/>
    <w:rsid w:val="27164F42"/>
    <w:rsid w:val="2725666A"/>
    <w:rsid w:val="276C2B51"/>
    <w:rsid w:val="279544FE"/>
    <w:rsid w:val="27B16FB8"/>
    <w:rsid w:val="27C2106B"/>
    <w:rsid w:val="27DB0766"/>
    <w:rsid w:val="28156F15"/>
    <w:rsid w:val="28EA087A"/>
    <w:rsid w:val="29192F0D"/>
    <w:rsid w:val="291F0DD6"/>
    <w:rsid w:val="29491A44"/>
    <w:rsid w:val="2973261D"/>
    <w:rsid w:val="297D349C"/>
    <w:rsid w:val="299F78B6"/>
    <w:rsid w:val="29A44ECD"/>
    <w:rsid w:val="29F14B13"/>
    <w:rsid w:val="29FD282F"/>
    <w:rsid w:val="2A143E3F"/>
    <w:rsid w:val="2A7478B3"/>
    <w:rsid w:val="2A9A007E"/>
    <w:rsid w:val="2AB23619"/>
    <w:rsid w:val="2AD73080"/>
    <w:rsid w:val="2B111E5E"/>
    <w:rsid w:val="2B1E0CAF"/>
    <w:rsid w:val="2B2D2106"/>
    <w:rsid w:val="2B4C581C"/>
    <w:rsid w:val="2B6356A4"/>
    <w:rsid w:val="2B9F2FF6"/>
    <w:rsid w:val="2BBC3624"/>
    <w:rsid w:val="2BE23A8A"/>
    <w:rsid w:val="2C077995"/>
    <w:rsid w:val="2C500DB6"/>
    <w:rsid w:val="2CB40CDD"/>
    <w:rsid w:val="2CDF446E"/>
    <w:rsid w:val="2D21575B"/>
    <w:rsid w:val="2D720E3E"/>
    <w:rsid w:val="2DB604DD"/>
    <w:rsid w:val="2DF5345E"/>
    <w:rsid w:val="2E0C3040"/>
    <w:rsid w:val="2E6B6DA3"/>
    <w:rsid w:val="2E6D7F83"/>
    <w:rsid w:val="2E973581"/>
    <w:rsid w:val="2EB3170E"/>
    <w:rsid w:val="2ECB6A58"/>
    <w:rsid w:val="2F05640D"/>
    <w:rsid w:val="2F462582"/>
    <w:rsid w:val="2F51646A"/>
    <w:rsid w:val="2F68699C"/>
    <w:rsid w:val="2F782E8B"/>
    <w:rsid w:val="2F803CE6"/>
    <w:rsid w:val="2F8A246F"/>
    <w:rsid w:val="2F994DA8"/>
    <w:rsid w:val="30281C88"/>
    <w:rsid w:val="30760C45"/>
    <w:rsid w:val="30772519"/>
    <w:rsid w:val="308A649E"/>
    <w:rsid w:val="308C2216"/>
    <w:rsid w:val="30C04C17"/>
    <w:rsid w:val="30C3032E"/>
    <w:rsid w:val="31020EE9"/>
    <w:rsid w:val="31144CD1"/>
    <w:rsid w:val="312E024C"/>
    <w:rsid w:val="31603DCF"/>
    <w:rsid w:val="3178765B"/>
    <w:rsid w:val="31A17F44"/>
    <w:rsid w:val="31CC3212"/>
    <w:rsid w:val="31CE5220"/>
    <w:rsid w:val="320B4BD2"/>
    <w:rsid w:val="32175EB4"/>
    <w:rsid w:val="32340DB8"/>
    <w:rsid w:val="325658B7"/>
    <w:rsid w:val="32801B87"/>
    <w:rsid w:val="32BA750F"/>
    <w:rsid w:val="333C6176"/>
    <w:rsid w:val="334C6481"/>
    <w:rsid w:val="33837901"/>
    <w:rsid w:val="33B26438"/>
    <w:rsid w:val="33EF143A"/>
    <w:rsid w:val="34594B05"/>
    <w:rsid w:val="34A73AC3"/>
    <w:rsid w:val="34AD7131"/>
    <w:rsid w:val="34DA200B"/>
    <w:rsid w:val="34EC597A"/>
    <w:rsid w:val="34F565DC"/>
    <w:rsid w:val="35246EC1"/>
    <w:rsid w:val="35262C3A"/>
    <w:rsid w:val="3529097C"/>
    <w:rsid w:val="35492330"/>
    <w:rsid w:val="35725C67"/>
    <w:rsid w:val="35A95619"/>
    <w:rsid w:val="35E23FDD"/>
    <w:rsid w:val="360F36CE"/>
    <w:rsid w:val="36160F00"/>
    <w:rsid w:val="364D2448"/>
    <w:rsid w:val="366F23BE"/>
    <w:rsid w:val="367D68AE"/>
    <w:rsid w:val="368045CB"/>
    <w:rsid w:val="36873967"/>
    <w:rsid w:val="36A91D74"/>
    <w:rsid w:val="36F113BA"/>
    <w:rsid w:val="37002D16"/>
    <w:rsid w:val="370C5E5F"/>
    <w:rsid w:val="370D12E8"/>
    <w:rsid w:val="3724764D"/>
    <w:rsid w:val="37411FAD"/>
    <w:rsid w:val="37990B11"/>
    <w:rsid w:val="37A83DDA"/>
    <w:rsid w:val="37B07132"/>
    <w:rsid w:val="380B25BB"/>
    <w:rsid w:val="381E22EE"/>
    <w:rsid w:val="381E5E4A"/>
    <w:rsid w:val="38207E14"/>
    <w:rsid w:val="382337A0"/>
    <w:rsid w:val="382D2531"/>
    <w:rsid w:val="384B4699"/>
    <w:rsid w:val="387463B2"/>
    <w:rsid w:val="38A00F55"/>
    <w:rsid w:val="38BB42B5"/>
    <w:rsid w:val="39111E53"/>
    <w:rsid w:val="392A081F"/>
    <w:rsid w:val="39D92970"/>
    <w:rsid w:val="39DF3CFF"/>
    <w:rsid w:val="3A4D0C68"/>
    <w:rsid w:val="3A8D72B7"/>
    <w:rsid w:val="3A96260F"/>
    <w:rsid w:val="3AA840F1"/>
    <w:rsid w:val="3ABB02C8"/>
    <w:rsid w:val="3ADC69EF"/>
    <w:rsid w:val="3AEE244B"/>
    <w:rsid w:val="3AF26FF1"/>
    <w:rsid w:val="3B2A71FC"/>
    <w:rsid w:val="3B2E0A9A"/>
    <w:rsid w:val="3B345984"/>
    <w:rsid w:val="3B385475"/>
    <w:rsid w:val="3B44206B"/>
    <w:rsid w:val="3B895CD0"/>
    <w:rsid w:val="3B9308FD"/>
    <w:rsid w:val="3B951892"/>
    <w:rsid w:val="3BA24FE4"/>
    <w:rsid w:val="3BEB0739"/>
    <w:rsid w:val="3BF9665A"/>
    <w:rsid w:val="3C5E0F0B"/>
    <w:rsid w:val="3C7B6B00"/>
    <w:rsid w:val="3CB60D47"/>
    <w:rsid w:val="3CC50F8A"/>
    <w:rsid w:val="3CD76F0F"/>
    <w:rsid w:val="3D0D46DF"/>
    <w:rsid w:val="3D121CF5"/>
    <w:rsid w:val="3D491BBB"/>
    <w:rsid w:val="3D594F2A"/>
    <w:rsid w:val="3D632551"/>
    <w:rsid w:val="3D8F1598"/>
    <w:rsid w:val="3DB86D41"/>
    <w:rsid w:val="3DE713D4"/>
    <w:rsid w:val="3E047890"/>
    <w:rsid w:val="3E155F41"/>
    <w:rsid w:val="3E265A58"/>
    <w:rsid w:val="3E6C3570"/>
    <w:rsid w:val="3E9739EC"/>
    <w:rsid w:val="3EA370A9"/>
    <w:rsid w:val="3EED2A1A"/>
    <w:rsid w:val="3EF43DA9"/>
    <w:rsid w:val="3F041198"/>
    <w:rsid w:val="3F7722E4"/>
    <w:rsid w:val="3F78189A"/>
    <w:rsid w:val="3F8C5D8F"/>
    <w:rsid w:val="3FC32579"/>
    <w:rsid w:val="400718BA"/>
    <w:rsid w:val="402009FC"/>
    <w:rsid w:val="402266F3"/>
    <w:rsid w:val="40454BCA"/>
    <w:rsid w:val="405D597D"/>
    <w:rsid w:val="40F77B80"/>
    <w:rsid w:val="410339D7"/>
    <w:rsid w:val="410D4CAE"/>
    <w:rsid w:val="41126768"/>
    <w:rsid w:val="413116A3"/>
    <w:rsid w:val="41A30F3F"/>
    <w:rsid w:val="41C95079"/>
    <w:rsid w:val="41CE6B33"/>
    <w:rsid w:val="41D774D7"/>
    <w:rsid w:val="41F1773E"/>
    <w:rsid w:val="42206E95"/>
    <w:rsid w:val="423849EE"/>
    <w:rsid w:val="42524134"/>
    <w:rsid w:val="42562684"/>
    <w:rsid w:val="42891119"/>
    <w:rsid w:val="429A07C3"/>
    <w:rsid w:val="42A15FF5"/>
    <w:rsid w:val="42CF7B09"/>
    <w:rsid w:val="42FF4ACA"/>
    <w:rsid w:val="43036368"/>
    <w:rsid w:val="43324E9F"/>
    <w:rsid w:val="433429C6"/>
    <w:rsid w:val="436666C3"/>
    <w:rsid w:val="4373589E"/>
    <w:rsid w:val="43A01E09"/>
    <w:rsid w:val="43B753A5"/>
    <w:rsid w:val="43D917BF"/>
    <w:rsid w:val="43F565F9"/>
    <w:rsid w:val="43F959BD"/>
    <w:rsid w:val="440A7BCA"/>
    <w:rsid w:val="4440539A"/>
    <w:rsid w:val="44551D65"/>
    <w:rsid w:val="4487121B"/>
    <w:rsid w:val="44BF2164"/>
    <w:rsid w:val="44D22496"/>
    <w:rsid w:val="44D2693A"/>
    <w:rsid w:val="45BB5620"/>
    <w:rsid w:val="45C54315"/>
    <w:rsid w:val="4600407A"/>
    <w:rsid w:val="46020C7E"/>
    <w:rsid w:val="46092978"/>
    <w:rsid w:val="46154D44"/>
    <w:rsid w:val="46252A99"/>
    <w:rsid w:val="46737CA9"/>
    <w:rsid w:val="46881DBF"/>
    <w:rsid w:val="469043B7"/>
    <w:rsid w:val="46A47E62"/>
    <w:rsid w:val="46CE4EDF"/>
    <w:rsid w:val="4704246B"/>
    <w:rsid w:val="4760647F"/>
    <w:rsid w:val="4799373F"/>
    <w:rsid w:val="47A92173"/>
    <w:rsid w:val="47B0471D"/>
    <w:rsid w:val="47BB47C3"/>
    <w:rsid w:val="47CC726D"/>
    <w:rsid w:val="47EB7590"/>
    <w:rsid w:val="47ED5134"/>
    <w:rsid w:val="48605BB2"/>
    <w:rsid w:val="486F6543"/>
    <w:rsid w:val="48846203"/>
    <w:rsid w:val="48D03190"/>
    <w:rsid w:val="49066BB2"/>
    <w:rsid w:val="4924528A"/>
    <w:rsid w:val="4957740E"/>
    <w:rsid w:val="49ED63DE"/>
    <w:rsid w:val="4A25750C"/>
    <w:rsid w:val="4A331C29"/>
    <w:rsid w:val="4A3B6D2F"/>
    <w:rsid w:val="4A4E5B36"/>
    <w:rsid w:val="4A534074"/>
    <w:rsid w:val="4A560560"/>
    <w:rsid w:val="4A9E2E1A"/>
    <w:rsid w:val="4AAA17BF"/>
    <w:rsid w:val="4AEB5531"/>
    <w:rsid w:val="4AFD2237"/>
    <w:rsid w:val="4B4B11F4"/>
    <w:rsid w:val="4B4B6AFE"/>
    <w:rsid w:val="4B58746D"/>
    <w:rsid w:val="4B6202EC"/>
    <w:rsid w:val="4B683B54"/>
    <w:rsid w:val="4B7F49FA"/>
    <w:rsid w:val="4B835265"/>
    <w:rsid w:val="4BA95F1B"/>
    <w:rsid w:val="4BD9235C"/>
    <w:rsid w:val="4BF03B4A"/>
    <w:rsid w:val="4BF713D8"/>
    <w:rsid w:val="4C0D1AB5"/>
    <w:rsid w:val="4C2A0E0A"/>
    <w:rsid w:val="4C3A0A4D"/>
    <w:rsid w:val="4C3B3017"/>
    <w:rsid w:val="4C3F7080"/>
    <w:rsid w:val="4C63256E"/>
    <w:rsid w:val="4C787DC7"/>
    <w:rsid w:val="4C8147A2"/>
    <w:rsid w:val="4CB46925"/>
    <w:rsid w:val="4CEF5BAF"/>
    <w:rsid w:val="4D1B69A4"/>
    <w:rsid w:val="4D3A507C"/>
    <w:rsid w:val="4D405120"/>
    <w:rsid w:val="4D471547"/>
    <w:rsid w:val="4DE33966"/>
    <w:rsid w:val="4DEA2B8B"/>
    <w:rsid w:val="4DEA7B9E"/>
    <w:rsid w:val="4E102281"/>
    <w:rsid w:val="4E4B38C7"/>
    <w:rsid w:val="4E5710C1"/>
    <w:rsid w:val="4E9D1FB7"/>
    <w:rsid w:val="4ED84B4D"/>
    <w:rsid w:val="4EE55E42"/>
    <w:rsid w:val="4F1638C7"/>
    <w:rsid w:val="4F5166AD"/>
    <w:rsid w:val="4F79610E"/>
    <w:rsid w:val="4F9A0054"/>
    <w:rsid w:val="4FA42C81"/>
    <w:rsid w:val="4FF9121F"/>
    <w:rsid w:val="4FFA6D45"/>
    <w:rsid w:val="502B5150"/>
    <w:rsid w:val="503E1327"/>
    <w:rsid w:val="50EA0B67"/>
    <w:rsid w:val="511D692A"/>
    <w:rsid w:val="5128546B"/>
    <w:rsid w:val="512A365A"/>
    <w:rsid w:val="51600E2A"/>
    <w:rsid w:val="518F170F"/>
    <w:rsid w:val="519D32C7"/>
    <w:rsid w:val="51C251CD"/>
    <w:rsid w:val="524E5126"/>
    <w:rsid w:val="525E35BB"/>
    <w:rsid w:val="526861E8"/>
    <w:rsid w:val="527406B9"/>
    <w:rsid w:val="52AA2CA4"/>
    <w:rsid w:val="52E53CDC"/>
    <w:rsid w:val="52EA12F3"/>
    <w:rsid w:val="53344B68"/>
    <w:rsid w:val="533E33EC"/>
    <w:rsid w:val="53F01C7A"/>
    <w:rsid w:val="54523583"/>
    <w:rsid w:val="54A51975"/>
    <w:rsid w:val="54D933CD"/>
    <w:rsid w:val="54DF6509"/>
    <w:rsid w:val="55006BAB"/>
    <w:rsid w:val="55011664"/>
    <w:rsid w:val="554A0417"/>
    <w:rsid w:val="55A0213D"/>
    <w:rsid w:val="55A51501"/>
    <w:rsid w:val="55B10A1A"/>
    <w:rsid w:val="55D911AB"/>
    <w:rsid w:val="55E555E3"/>
    <w:rsid w:val="56725887"/>
    <w:rsid w:val="56921A85"/>
    <w:rsid w:val="569C2904"/>
    <w:rsid w:val="56C67981"/>
    <w:rsid w:val="570B7A8A"/>
    <w:rsid w:val="57596A47"/>
    <w:rsid w:val="576F1DC6"/>
    <w:rsid w:val="57851FA6"/>
    <w:rsid w:val="578B2AC7"/>
    <w:rsid w:val="57B34438"/>
    <w:rsid w:val="57C9748A"/>
    <w:rsid w:val="58304C51"/>
    <w:rsid w:val="58952615"/>
    <w:rsid w:val="596A4F3B"/>
    <w:rsid w:val="59701E26"/>
    <w:rsid w:val="59975605"/>
    <w:rsid w:val="59AC5554"/>
    <w:rsid w:val="59B62599"/>
    <w:rsid w:val="59E37A7C"/>
    <w:rsid w:val="59F42A57"/>
    <w:rsid w:val="5A51190F"/>
    <w:rsid w:val="5A683600"/>
    <w:rsid w:val="5B070568"/>
    <w:rsid w:val="5B0F614B"/>
    <w:rsid w:val="5B1213E7"/>
    <w:rsid w:val="5B2335F4"/>
    <w:rsid w:val="5B6B0AF7"/>
    <w:rsid w:val="5B840409"/>
    <w:rsid w:val="5B920AA4"/>
    <w:rsid w:val="5BB64468"/>
    <w:rsid w:val="5BF157DE"/>
    <w:rsid w:val="5BFB00CD"/>
    <w:rsid w:val="5C3D2493"/>
    <w:rsid w:val="5C425CFC"/>
    <w:rsid w:val="5D184CAE"/>
    <w:rsid w:val="5D331AE8"/>
    <w:rsid w:val="5D35760E"/>
    <w:rsid w:val="5D6B1282"/>
    <w:rsid w:val="5D9205BD"/>
    <w:rsid w:val="5DAB167E"/>
    <w:rsid w:val="5DAF116F"/>
    <w:rsid w:val="5DCB1D21"/>
    <w:rsid w:val="5DEA03F9"/>
    <w:rsid w:val="5DF94AE0"/>
    <w:rsid w:val="5DFE5C52"/>
    <w:rsid w:val="5E8048B9"/>
    <w:rsid w:val="5E9F569B"/>
    <w:rsid w:val="5EFD5F0A"/>
    <w:rsid w:val="5F7268F8"/>
    <w:rsid w:val="5F990328"/>
    <w:rsid w:val="5FB54A36"/>
    <w:rsid w:val="601059C1"/>
    <w:rsid w:val="602045A6"/>
    <w:rsid w:val="60400885"/>
    <w:rsid w:val="6049636D"/>
    <w:rsid w:val="604A1623"/>
    <w:rsid w:val="60853D8C"/>
    <w:rsid w:val="60CB2763"/>
    <w:rsid w:val="60F021CA"/>
    <w:rsid w:val="61461DEA"/>
    <w:rsid w:val="614C3178"/>
    <w:rsid w:val="6151138E"/>
    <w:rsid w:val="615A7643"/>
    <w:rsid w:val="61616C24"/>
    <w:rsid w:val="6183303E"/>
    <w:rsid w:val="618B3D19"/>
    <w:rsid w:val="6191588E"/>
    <w:rsid w:val="61A22D98"/>
    <w:rsid w:val="61E94800"/>
    <w:rsid w:val="62045801"/>
    <w:rsid w:val="62614798"/>
    <w:rsid w:val="628B03FF"/>
    <w:rsid w:val="62970423"/>
    <w:rsid w:val="629B645D"/>
    <w:rsid w:val="62DB2A06"/>
    <w:rsid w:val="62F53B9C"/>
    <w:rsid w:val="630A6E47"/>
    <w:rsid w:val="6372506E"/>
    <w:rsid w:val="6379138E"/>
    <w:rsid w:val="6381535B"/>
    <w:rsid w:val="63AE1EC8"/>
    <w:rsid w:val="63D21C94"/>
    <w:rsid w:val="63D26282"/>
    <w:rsid w:val="64504D2E"/>
    <w:rsid w:val="648C1654"/>
    <w:rsid w:val="64923598"/>
    <w:rsid w:val="64A55079"/>
    <w:rsid w:val="64BA6C25"/>
    <w:rsid w:val="64BD6867"/>
    <w:rsid w:val="64C60944"/>
    <w:rsid w:val="64D12312"/>
    <w:rsid w:val="64D92F75"/>
    <w:rsid w:val="64EF09EB"/>
    <w:rsid w:val="64FF7819"/>
    <w:rsid w:val="650B31F4"/>
    <w:rsid w:val="651E6BDA"/>
    <w:rsid w:val="652A37D1"/>
    <w:rsid w:val="653B778C"/>
    <w:rsid w:val="65573688"/>
    <w:rsid w:val="655D3BA6"/>
    <w:rsid w:val="6562740E"/>
    <w:rsid w:val="656F7435"/>
    <w:rsid w:val="65E63B9C"/>
    <w:rsid w:val="65F91B21"/>
    <w:rsid w:val="6612673F"/>
    <w:rsid w:val="66173D55"/>
    <w:rsid w:val="66277AE6"/>
    <w:rsid w:val="66A650D9"/>
    <w:rsid w:val="66BB0B84"/>
    <w:rsid w:val="66CA7019"/>
    <w:rsid w:val="66CE64D9"/>
    <w:rsid w:val="66D93700"/>
    <w:rsid w:val="670536A6"/>
    <w:rsid w:val="670F2C7E"/>
    <w:rsid w:val="6717660C"/>
    <w:rsid w:val="6729120D"/>
    <w:rsid w:val="675114E9"/>
    <w:rsid w:val="675A65EF"/>
    <w:rsid w:val="676A6106"/>
    <w:rsid w:val="677551D7"/>
    <w:rsid w:val="67D61813"/>
    <w:rsid w:val="67E4235D"/>
    <w:rsid w:val="67F26828"/>
    <w:rsid w:val="680B58AB"/>
    <w:rsid w:val="68750B51"/>
    <w:rsid w:val="687A5CD7"/>
    <w:rsid w:val="68BE7D5D"/>
    <w:rsid w:val="68FB795E"/>
    <w:rsid w:val="68FE11FC"/>
    <w:rsid w:val="6907210B"/>
    <w:rsid w:val="692C753A"/>
    <w:rsid w:val="6942558D"/>
    <w:rsid w:val="697D3521"/>
    <w:rsid w:val="699D23D7"/>
    <w:rsid w:val="69D00DEB"/>
    <w:rsid w:val="69D34437"/>
    <w:rsid w:val="69FD14B4"/>
    <w:rsid w:val="6A633A0D"/>
    <w:rsid w:val="6A9C0CCD"/>
    <w:rsid w:val="6AB04778"/>
    <w:rsid w:val="6AB57FE0"/>
    <w:rsid w:val="6AB8422B"/>
    <w:rsid w:val="6AC65D4A"/>
    <w:rsid w:val="6AC81AC2"/>
    <w:rsid w:val="6AE744FB"/>
    <w:rsid w:val="6AF6750A"/>
    <w:rsid w:val="6B07083C"/>
    <w:rsid w:val="6B0D3978"/>
    <w:rsid w:val="6B364C7D"/>
    <w:rsid w:val="6B3E196C"/>
    <w:rsid w:val="6B524A46"/>
    <w:rsid w:val="6B56531F"/>
    <w:rsid w:val="6B607318"/>
    <w:rsid w:val="6B6D4417"/>
    <w:rsid w:val="6B8579B3"/>
    <w:rsid w:val="6B8915C2"/>
    <w:rsid w:val="6B9B71D6"/>
    <w:rsid w:val="6BD9029D"/>
    <w:rsid w:val="6BDA5F51"/>
    <w:rsid w:val="6BE72DB2"/>
    <w:rsid w:val="6C305B70"/>
    <w:rsid w:val="6C4434DD"/>
    <w:rsid w:val="6C9003BD"/>
    <w:rsid w:val="6CC80BB0"/>
    <w:rsid w:val="6CC8224D"/>
    <w:rsid w:val="6CCD1611"/>
    <w:rsid w:val="6D013069"/>
    <w:rsid w:val="6D1322C6"/>
    <w:rsid w:val="6D6E3C55"/>
    <w:rsid w:val="6D851EEC"/>
    <w:rsid w:val="6D9143ED"/>
    <w:rsid w:val="6DCF760B"/>
    <w:rsid w:val="6DEA2A48"/>
    <w:rsid w:val="6E0E5A3E"/>
    <w:rsid w:val="6E114A4F"/>
    <w:rsid w:val="6E526272"/>
    <w:rsid w:val="6E5518BE"/>
    <w:rsid w:val="6E557B10"/>
    <w:rsid w:val="6E757551"/>
    <w:rsid w:val="6EA36ACE"/>
    <w:rsid w:val="6ED523DF"/>
    <w:rsid w:val="6ED70525"/>
    <w:rsid w:val="6EDA6267"/>
    <w:rsid w:val="6EF12A34"/>
    <w:rsid w:val="6F7C10CD"/>
    <w:rsid w:val="6F887A72"/>
    <w:rsid w:val="6F8F2BAE"/>
    <w:rsid w:val="6F977B87"/>
    <w:rsid w:val="6FA128E1"/>
    <w:rsid w:val="6FA348AB"/>
    <w:rsid w:val="6FB2304E"/>
    <w:rsid w:val="700C06A3"/>
    <w:rsid w:val="70175DDA"/>
    <w:rsid w:val="701B0440"/>
    <w:rsid w:val="70221C74"/>
    <w:rsid w:val="70447E3C"/>
    <w:rsid w:val="706A53C9"/>
    <w:rsid w:val="707A1AB0"/>
    <w:rsid w:val="708B5A6B"/>
    <w:rsid w:val="70943A3E"/>
    <w:rsid w:val="70CB4833"/>
    <w:rsid w:val="70D0347E"/>
    <w:rsid w:val="712D267F"/>
    <w:rsid w:val="712E4649"/>
    <w:rsid w:val="713752AB"/>
    <w:rsid w:val="713C6D66"/>
    <w:rsid w:val="718E7DEE"/>
    <w:rsid w:val="719F5B9E"/>
    <w:rsid w:val="71BD3CC1"/>
    <w:rsid w:val="71D66B8A"/>
    <w:rsid w:val="71F15DA2"/>
    <w:rsid w:val="72263C29"/>
    <w:rsid w:val="72827AE5"/>
    <w:rsid w:val="729D1A86"/>
    <w:rsid w:val="72AB41A3"/>
    <w:rsid w:val="72E41463"/>
    <w:rsid w:val="72F86685"/>
    <w:rsid w:val="73440153"/>
    <w:rsid w:val="737F00D1"/>
    <w:rsid w:val="73A54D19"/>
    <w:rsid w:val="73BE3A62"/>
    <w:rsid w:val="74024296"/>
    <w:rsid w:val="74390657"/>
    <w:rsid w:val="7462590D"/>
    <w:rsid w:val="74706D7F"/>
    <w:rsid w:val="7479207F"/>
    <w:rsid w:val="747C0AA7"/>
    <w:rsid w:val="74A0585D"/>
    <w:rsid w:val="74AF784E"/>
    <w:rsid w:val="75116700"/>
    <w:rsid w:val="752E4C17"/>
    <w:rsid w:val="75720FA8"/>
    <w:rsid w:val="759233F8"/>
    <w:rsid w:val="75BE3ED3"/>
    <w:rsid w:val="75F27075"/>
    <w:rsid w:val="75F93477"/>
    <w:rsid w:val="765E152C"/>
    <w:rsid w:val="766D79C1"/>
    <w:rsid w:val="76766876"/>
    <w:rsid w:val="76B4114C"/>
    <w:rsid w:val="7715608F"/>
    <w:rsid w:val="773D3837"/>
    <w:rsid w:val="779077B2"/>
    <w:rsid w:val="779748E5"/>
    <w:rsid w:val="77B70EF4"/>
    <w:rsid w:val="77D959A0"/>
    <w:rsid w:val="786C0CC6"/>
    <w:rsid w:val="78AF64EE"/>
    <w:rsid w:val="78B83176"/>
    <w:rsid w:val="790C1713"/>
    <w:rsid w:val="791A3E30"/>
    <w:rsid w:val="79295E21"/>
    <w:rsid w:val="793D18CD"/>
    <w:rsid w:val="79691527"/>
    <w:rsid w:val="79766B8D"/>
    <w:rsid w:val="79AC25AE"/>
    <w:rsid w:val="79F94C3A"/>
    <w:rsid w:val="7A164F61"/>
    <w:rsid w:val="7A186697"/>
    <w:rsid w:val="7A4F18B8"/>
    <w:rsid w:val="7A5549F4"/>
    <w:rsid w:val="7AAB7D1A"/>
    <w:rsid w:val="7AD23162"/>
    <w:rsid w:val="7AF406B1"/>
    <w:rsid w:val="7AFE508C"/>
    <w:rsid w:val="7B0E3521"/>
    <w:rsid w:val="7B5D6256"/>
    <w:rsid w:val="7BB46369"/>
    <w:rsid w:val="7BBD2838"/>
    <w:rsid w:val="7BEC3136"/>
    <w:rsid w:val="7C5238E1"/>
    <w:rsid w:val="7C5B30F8"/>
    <w:rsid w:val="7C701182"/>
    <w:rsid w:val="7C8141C6"/>
    <w:rsid w:val="7C975798"/>
    <w:rsid w:val="7CB43C54"/>
    <w:rsid w:val="7CE359F9"/>
    <w:rsid w:val="7CE64029"/>
    <w:rsid w:val="7D1868D9"/>
    <w:rsid w:val="7D252DA4"/>
    <w:rsid w:val="7D2863F0"/>
    <w:rsid w:val="7D465D6F"/>
    <w:rsid w:val="7DB008BF"/>
    <w:rsid w:val="7DEC566F"/>
    <w:rsid w:val="7DF06F0E"/>
    <w:rsid w:val="7E4B683A"/>
    <w:rsid w:val="7E5A2231"/>
    <w:rsid w:val="7E635932"/>
    <w:rsid w:val="7E92219F"/>
    <w:rsid w:val="7E9A7E78"/>
    <w:rsid w:val="7ECD3704"/>
    <w:rsid w:val="7ECF2FC7"/>
    <w:rsid w:val="7ED44A81"/>
    <w:rsid w:val="7EF154EA"/>
    <w:rsid w:val="7F50002E"/>
    <w:rsid w:val="7F5259A6"/>
    <w:rsid w:val="7F5870DA"/>
    <w:rsid w:val="7F623D3D"/>
    <w:rsid w:val="7F912972"/>
    <w:rsid w:val="7FC93EBA"/>
    <w:rsid w:val="7FD574AD"/>
    <w:rsid w:val="7FDB3BED"/>
    <w:rsid w:val="7FE4485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2"/>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3"/>
    <w:basedOn w:val="1"/>
    <w:autoRedefine/>
    <w:qFormat/>
    <w:uiPriority w:val="0"/>
    <w:rPr>
      <w:rFonts w:hAnsi="Times New Roman"/>
      <w:kern w:val="0"/>
      <w:sz w:val="24"/>
      <w:szCs w:val="20"/>
    </w:rPr>
  </w:style>
  <w:style w:type="paragraph" w:styleId="9">
    <w:name w:val="Body Text"/>
    <w:basedOn w:val="1"/>
    <w:next w:val="10"/>
    <w:autoRedefine/>
    <w:qFormat/>
    <w:uiPriority w:val="0"/>
    <w:pPr>
      <w:spacing w:after="120" w:afterLines="0" w:afterAutospacing="0"/>
    </w:pPr>
    <w:rPr>
      <w:sz w:val="21"/>
    </w:rPr>
  </w:style>
  <w:style w:type="paragraph" w:styleId="10">
    <w:name w:val="Body Text 2"/>
    <w:basedOn w:val="1"/>
    <w:autoRedefine/>
    <w:qFormat/>
    <w:uiPriority w:val="0"/>
    <w:pPr>
      <w:spacing w:after="120" w:afterLines="0" w:afterAutospacing="0" w:line="480" w:lineRule="auto"/>
    </w:pPr>
    <w:rPr>
      <w:sz w:val="21"/>
    </w:rPr>
  </w:style>
  <w:style w:type="paragraph" w:styleId="11">
    <w:name w:val="Body Text Indent"/>
    <w:basedOn w:val="1"/>
    <w:autoRedefine/>
    <w:qFormat/>
    <w:uiPriority w:val="0"/>
    <w:pPr>
      <w:spacing w:line="312" w:lineRule="auto"/>
      <w:ind w:firstLine="735" w:firstLineChars="245"/>
    </w:pPr>
  </w:style>
  <w:style w:type="paragraph" w:styleId="12">
    <w:name w:val="List 2"/>
    <w:basedOn w:val="1"/>
    <w:autoRedefine/>
    <w:qFormat/>
    <w:uiPriority w:val="0"/>
    <w:pPr>
      <w:ind w:left="100" w:leftChars="200" w:hanging="200" w:hangingChars="200"/>
    </w:pPr>
    <w:rPr>
      <w:sz w:val="21"/>
      <w:szCs w:val="24"/>
    </w:rPr>
  </w:style>
  <w:style w:type="paragraph" w:styleId="13">
    <w:name w:val="Block Text"/>
    <w:basedOn w:val="1"/>
    <w:next w:val="5"/>
    <w:qFormat/>
    <w:uiPriority w:val="0"/>
    <w:pPr>
      <w:spacing w:after="120"/>
    </w:pPr>
  </w:style>
  <w:style w:type="paragraph" w:styleId="14">
    <w:name w:val="toc 3"/>
    <w:basedOn w:val="1"/>
    <w:next w:val="1"/>
    <w:autoRedefine/>
    <w:qFormat/>
    <w:uiPriority w:val="0"/>
    <w:pPr>
      <w:ind w:left="840" w:leftChars="400"/>
    </w:pPr>
  </w:style>
  <w:style w:type="paragraph" w:styleId="15">
    <w:name w:val="Plain Text"/>
    <w:basedOn w:val="1"/>
    <w:next w:val="9"/>
    <w:qFormat/>
    <w:uiPriority w:val="0"/>
    <w:rPr>
      <w:rFonts w:ascii="宋体" w:hAnsi="Courier New"/>
      <w:kern w:val="2"/>
      <w:sz w:val="21"/>
    </w:rPr>
  </w:style>
  <w:style w:type="paragraph" w:styleId="16">
    <w:name w:val="Body Text Indent 2"/>
    <w:basedOn w:val="1"/>
    <w:autoRedefine/>
    <w:qFormat/>
    <w:uiPriority w:val="99"/>
    <w:pPr>
      <w:spacing w:line="300" w:lineRule="auto"/>
      <w:ind w:firstLine="840" w:firstLineChars="280"/>
    </w:pPr>
    <w:rPr>
      <w:rFonts w:ascii="宋体" w:hAnsi="宋体"/>
      <w:kern w:val="0"/>
      <w:sz w:val="30"/>
      <w:szCs w:val="20"/>
    </w:rPr>
  </w:style>
  <w:style w:type="paragraph" w:styleId="17">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qFormat/>
    <w:uiPriority w:val="39"/>
  </w:style>
  <w:style w:type="paragraph" w:styleId="21">
    <w:name w:val="footnote text"/>
    <w:basedOn w:val="1"/>
    <w:autoRedefine/>
    <w:qFormat/>
    <w:uiPriority w:val="0"/>
    <w:pPr>
      <w:snapToGrid w:val="0"/>
      <w:jc w:val="left"/>
    </w:pPr>
    <w:rPr>
      <w:sz w:val="18"/>
      <w:szCs w:val="18"/>
    </w:rPr>
  </w:style>
  <w:style w:type="paragraph" w:styleId="22">
    <w:name w:val="toc 2"/>
    <w:basedOn w:val="1"/>
    <w:next w:val="1"/>
    <w:autoRedefine/>
    <w:qFormat/>
    <w:uiPriority w:val="39"/>
    <w:pPr>
      <w:widowControl/>
      <w:spacing w:after="100" w:afterLines="0" w:line="276" w:lineRule="auto"/>
      <w:ind w:left="220"/>
      <w:jc w:val="left"/>
    </w:pPr>
    <w:rPr>
      <w:rFonts w:ascii="Calibri" w:hAnsi="Calibri"/>
      <w:kern w:val="0"/>
      <w:sz w:val="22"/>
      <w:szCs w:val="22"/>
    </w:rPr>
  </w:style>
  <w:style w:type="paragraph" w:styleId="2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4">
    <w:name w:val="Body Text First Indent"/>
    <w:basedOn w:val="9"/>
    <w:autoRedefine/>
    <w:qFormat/>
    <w:uiPriority w:val="0"/>
    <w:pPr>
      <w:ind w:firstLine="420" w:firstLineChars="100"/>
    </w:pPr>
  </w:style>
  <w:style w:type="paragraph" w:styleId="25">
    <w:name w:val="Body Text First Indent 2"/>
    <w:basedOn w:val="11"/>
    <w:autoRedefine/>
    <w:qFormat/>
    <w:uiPriority w:val="0"/>
    <w:pPr>
      <w:spacing w:after="120" w:afterLines="0" w:line="240" w:lineRule="auto"/>
      <w:ind w:left="420" w:leftChars="200"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FollowedHyperlink"/>
    <w:basedOn w:val="28"/>
    <w:autoRedefine/>
    <w:qFormat/>
    <w:uiPriority w:val="0"/>
    <w:rPr>
      <w:color w:val="800080"/>
      <w:u w:val="none"/>
    </w:rPr>
  </w:style>
  <w:style w:type="character" w:styleId="31">
    <w:name w:val="Emphasis"/>
    <w:basedOn w:val="28"/>
    <w:autoRedefine/>
    <w:qFormat/>
    <w:uiPriority w:val="0"/>
    <w:rPr>
      <w:color w:val="F73131"/>
    </w:rPr>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basedOn w:val="28"/>
    <w:autoRedefine/>
    <w:qFormat/>
    <w:uiPriority w:val="0"/>
    <w:rPr>
      <w:color w:val="0000FF"/>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hint="default" w:ascii="monospace" w:hAnsi="monospace" w:eastAsia="monospace" w:cs="monospace"/>
      <w:sz w:val="20"/>
    </w:rPr>
  </w:style>
  <w:style w:type="character" w:styleId="40">
    <w:name w:val="HTML Sample"/>
    <w:basedOn w:val="28"/>
    <w:autoRedefine/>
    <w:qFormat/>
    <w:uiPriority w:val="0"/>
    <w:rPr>
      <w:rFonts w:ascii="monospace" w:hAnsi="monospace" w:eastAsia="monospace" w:cs="monospace"/>
    </w:rPr>
  </w:style>
  <w:style w:type="paragraph" w:customStyle="1" w:styleId="41">
    <w:name w:val="style4"/>
    <w:basedOn w:val="42"/>
    <w:next w:val="43"/>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2">
    <w:name w:val="正文_0"/>
    <w:next w:val="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4">
    <w:name w:val="Default"/>
    <w:next w:val="2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Body Text 21"/>
    <w:basedOn w:val="1"/>
    <w:next w:val="9"/>
    <w:autoRedefine/>
    <w:qFormat/>
    <w:uiPriority w:val="0"/>
    <w:pPr>
      <w:spacing w:after="120" w:line="480" w:lineRule="auto"/>
    </w:pPr>
  </w:style>
  <w:style w:type="paragraph" w:customStyle="1" w:styleId="46">
    <w:name w:val="无间隔1"/>
    <w:basedOn w:val="1"/>
    <w:autoRedefine/>
    <w:qFormat/>
    <w:uiPriority w:val="1"/>
    <w:pPr>
      <w:spacing w:line="400" w:lineRule="exact"/>
    </w:pPr>
  </w:style>
  <w:style w:type="paragraph" w:customStyle="1" w:styleId="4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BodyText1I2"/>
    <w:basedOn w:val="50"/>
    <w:next w:val="51"/>
    <w:autoRedefine/>
    <w:qFormat/>
    <w:uiPriority w:val="0"/>
    <w:pPr>
      <w:ind w:firstLine="420" w:firstLineChars="200"/>
    </w:pPr>
    <w:rPr>
      <w:rFonts w:ascii="Calibri" w:hAnsi="Calibri" w:eastAsia="楷体_GB2312"/>
      <w:kern w:val="44"/>
      <w:sz w:val="44"/>
    </w:rPr>
  </w:style>
  <w:style w:type="paragraph" w:customStyle="1" w:styleId="50">
    <w:name w:val="BodyTextIndent"/>
    <w:basedOn w:val="1"/>
    <w:autoRedefine/>
    <w:qFormat/>
    <w:uiPriority w:val="0"/>
    <w:pPr>
      <w:spacing w:after="120"/>
      <w:ind w:left="420" w:leftChars="200"/>
    </w:pPr>
    <w:rPr>
      <w:rFonts w:ascii="Times New Roman" w:hAnsi="Times New Roman"/>
      <w:kern w:val="0"/>
      <w:sz w:val="20"/>
    </w:rPr>
  </w:style>
  <w:style w:type="paragraph" w:customStyle="1" w:styleId="51">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样式 标题 2 + Times New Roman 四号 非加粗 段前: 5 磅 段后: 0 磅 行距: 固定值 20..."/>
    <w:basedOn w:val="3"/>
    <w:autoRedefine/>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53">
    <w:name w:val="List Paragraph"/>
    <w:basedOn w:val="1"/>
    <w:autoRedefine/>
    <w:qFormat/>
    <w:uiPriority w:val="0"/>
    <w:pPr>
      <w:ind w:firstLine="420" w:firstLineChars="200"/>
    </w:pPr>
    <w:rPr>
      <w:sz w:val="21"/>
      <w:szCs w:val="24"/>
    </w:rPr>
  </w:style>
  <w:style w:type="paragraph" w:customStyle="1" w:styleId="54">
    <w:name w:val="样式 标题 3 + (中文) 黑体 小四 非加粗 段前: 7.8 磅 段后: 0 磅 行距: 固定值 20 磅"/>
    <w:basedOn w:val="4"/>
    <w:autoRedefine/>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5">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6">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9">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0">
    <w:name w:val="font71"/>
    <w:basedOn w:val="28"/>
    <w:autoRedefine/>
    <w:qFormat/>
    <w:uiPriority w:val="0"/>
    <w:rPr>
      <w:rFonts w:hint="eastAsia" w:ascii="微软雅黑" w:hAnsi="微软雅黑" w:eastAsia="微软雅黑" w:cs="微软雅黑"/>
      <w:color w:val="000000"/>
      <w:sz w:val="16"/>
      <w:szCs w:val="16"/>
      <w:u w:val="none"/>
    </w:rPr>
  </w:style>
  <w:style w:type="character" w:customStyle="1" w:styleId="61">
    <w:name w:val="font112"/>
    <w:basedOn w:val="28"/>
    <w:autoRedefine/>
    <w:qFormat/>
    <w:uiPriority w:val="0"/>
    <w:rPr>
      <w:rFonts w:hint="eastAsia" w:ascii="宋体" w:hAnsi="宋体" w:eastAsia="宋体" w:cs="宋体"/>
      <w:color w:val="000000"/>
      <w:sz w:val="16"/>
      <w:szCs w:val="16"/>
      <w:u w:val="none"/>
    </w:rPr>
  </w:style>
  <w:style w:type="character" w:customStyle="1" w:styleId="62">
    <w:name w:val="NormalCharacter"/>
    <w:link w:val="1"/>
    <w:autoRedefine/>
    <w:qFormat/>
    <w:uiPriority w:val="0"/>
    <w:rPr>
      <w:rFonts w:asciiTheme="minorHAnsi" w:hAnsiTheme="minorHAnsi" w:eastAsiaTheme="minorEastAsia" w:cstheme="minorBidi"/>
      <w:kern w:val="2"/>
      <w:sz w:val="21"/>
      <w:szCs w:val="22"/>
      <w:lang w:val="en-US" w:eastAsia="zh-CN" w:bidi="ar-SA"/>
    </w:rPr>
  </w:style>
  <w:style w:type="paragraph" w:customStyle="1" w:styleId="63">
    <w:name w:val="p0"/>
    <w:basedOn w:val="1"/>
    <w:autoRedefine/>
    <w:qFormat/>
    <w:uiPriority w:val="0"/>
    <w:pPr>
      <w:widowControl/>
    </w:pPr>
    <w:rPr>
      <w:kern w:val="0"/>
      <w:sz w:val="21"/>
      <w:szCs w:val="21"/>
    </w:rPr>
  </w:style>
  <w:style w:type="paragraph" w:customStyle="1" w:styleId="64">
    <w:name w:val="列出段落1"/>
    <w:autoRedefine/>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character" w:customStyle="1" w:styleId="65">
    <w:name w:val="font21"/>
    <w:basedOn w:val="28"/>
    <w:autoRedefine/>
    <w:qFormat/>
    <w:uiPriority w:val="0"/>
    <w:rPr>
      <w:rFonts w:hint="eastAsia" w:ascii="宋体" w:hAnsi="宋体" w:eastAsia="宋体" w:cs="宋体"/>
      <w:color w:val="000000"/>
      <w:sz w:val="20"/>
      <w:szCs w:val="20"/>
      <w:u w:val="none"/>
    </w:rPr>
  </w:style>
  <w:style w:type="character" w:customStyle="1" w:styleId="66">
    <w:name w:val="font11"/>
    <w:basedOn w:val="28"/>
    <w:autoRedefine/>
    <w:qFormat/>
    <w:uiPriority w:val="0"/>
    <w:rPr>
      <w:rFonts w:hint="eastAsia" w:ascii="宋体" w:hAnsi="宋体" w:eastAsia="宋体" w:cs="宋体"/>
      <w:color w:val="000000"/>
      <w:sz w:val="20"/>
      <w:szCs w:val="20"/>
      <w:u w:val="none"/>
      <w:vertAlign w:val="superscript"/>
    </w:rPr>
  </w:style>
  <w:style w:type="character" w:customStyle="1" w:styleId="67">
    <w:name w:val="hover26"/>
    <w:basedOn w:val="28"/>
    <w:autoRedefine/>
    <w:qFormat/>
    <w:uiPriority w:val="0"/>
  </w:style>
  <w:style w:type="character" w:customStyle="1" w:styleId="68">
    <w:name w:val="hover27"/>
    <w:basedOn w:val="28"/>
    <w:autoRedefine/>
    <w:qFormat/>
    <w:uiPriority w:val="0"/>
    <w:rPr>
      <w:color w:val="315EFB"/>
    </w:rPr>
  </w:style>
  <w:style w:type="character" w:customStyle="1" w:styleId="69">
    <w:name w:val="c-icon30"/>
    <w:basedOn w:val="28"/>
    <w:autoRedefine/>
    <w:qFormat/>
    <w:uiPriority w:val="0"/>
  </w:style>
  <w:style w:type="character" w:customStyle="1" w:styleId="70">
    <w:name w:val="font51"/>
    <w:basedOn w:val="28"/>
    <w:autoRedefine/>
    <w:qFormat/>
    <w:uiPriority w:val="0"/>
    <w:rPr>
      <w:rFonts w:ascii="仿宋_GB2312" w:eastAsia="仿宋_GB2312" w:cs="仿宋_GB2312"/>
      <w:b/>
      <w:bCs/>
      <w:color w:val="000000"/>
      <w:sz w:val="21"/>
      <w:szCs w:val="21"/>
      <w:u w:val="none"/>
    </w:rPr>
  </w:style>
  <w:style w:type="character" w:customStyle="1" w:styleId="71">
    <w:name w:val="font31"/>
    <w:basedOn w:val="28"/>
    <w:autoRedefine/>
    <w:qFormat/>
    <w:uiPriority w:val="0"/>
    <w:rPr>
      <w:rFonts w:hint="default" w:ascii="仿宋_GB2312" w:eastAsia="仿宋_GB2312" w:cs="仿宋_GB2312"/>
      <w:color w:val="000000"/>
      <w:sz w:val="21"/>
      <w:szCs w:val="21"/>
      <w:u w:val="none"/>
    </w:rPr>
  </w:style>
  <w:style w:type="character" w:customStyle="1" w:styleId="72">
    <w:name w:val="font41"/>
    <w:basedOn w:val="28"/>
    <w:autoRedefine/>
    <w:qFormat/>
    <w:uiPriority w:val="0"/>
    <w:rPr>
      <w:rFonts w:hint="default" w:ascii="Times New Roman" w:hAnsi="Times New Roman" w:cs="Times New Roman"/>
      <w:color w:val="000000"/>
      <w:sz w:val="21"/>
      <w:szCs w:val="21"/>
      <w:u w:val="none"/>
    </w:rPr>
  </w:style>
  <w:style w:type="character" w:customStyle="1" w:styleId="73">
    <w:name w:val="font61"/>
    <w:basedOn w:val="28"/>
    <w:autoRedefine/>
    <w:qFormat/>
    <w:uiPriority w:val="0"/>
    <w:rPr>
      <w:rFonts w:hint="eastAsia" w:ascii="宋体" w:hAnsi="宋体" w:eastAsia="宋体" w:cs="宋体"/>
      <w:color w:val="000000"/>
      <w:sz w:val="21"/>
      <w:szCs w:val="21"/>
      <w:u w:val="none"/>
    </w:rPr>
  </w:style>
  <w:style w:type="paragraph" w:customStyle="1" w:styleId="74">
    <w:name w:val="正文文本_0"/>
    <w:basedOn w:val="42"/>
    <w:autoRedefine/>
    <w:unhideWhenUsed/>
    <w:qFormat/>
    <w:uiPriority w:val="99"/>
    <w:pPr>
      <w:spacing w:after="120" w:afterLines="0"/>
    </w:pPr>
  </w:style>
  <w:style w:type="table" w:customStyle="1" w:styleId="75">
    <w:name w:val="Table Normal"/>
    <w:autoRedefine/>
    <w:semiHidden/>
    <w:unhideWhenUsed/>
    <w:qFormat/>
    <w:uiPriority w:val="0"/>
    <w:tblPr>
      <w:tblCellMar>
        <w:top w:w="0" w:type="dxa"/>
        <w:left w:w="0" w:type="dxa"/>
        <w:bottom w:w="0" w:type="dxa"/>
        <w:right w:w="0" w:type="dxa"/>
      </w:tblCellMar>
    </w:tblPr>
  </w:style>
  <w:style w:type="paragraph" w:customStyle="1" w:styleId="7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7">
    <w:name w:val="正文缩进1"/>
    <w:basedOn w:val="1"/>
    <w:autoRedefine/>
    <w:qFormat/>
    <w:uiPriority w:val="0"/>
    <w:pPr>
      <w:ind w:firstLine="420" w:firstLineChars="200"/>
    </w:pPr>
  </w:style>
  <w:style w:type="paragraph" w:styleId="78">
    <w:name w:val="Quote"/>
    <w:basedOn w:val="1"/>
    <w:next w:val="1"/>
    <w:autoRedefine/>
    <w:qFormat/>
    <w:uiPriority w:val="99"/>
    <w:pPr>
      <w:ind w:left="864" w:right="864"/>
      <w:jc w:val="center"/>
    </w:pPr>
    <w:rPr>
      <w:rFonts w:ascii="Times New Roman" w:hAnsi="Times New Roman" w:cs="Times New Roman"/>
      <w:i/>
      <w:iCs/>
      <w:color w:val="404040"/>
      <w:szCs w:val="21"/>
    </w:rPr>
  </w:style>
  <w:style w:type="paragraph" w:customStyle="1" w:styleId="79">
    <w:name w:val="Table Text"/>
    <w:basedOn w:val="1"/>
    <w:autoRedefine/>
    <w:semiHidden/>
    <w:qFormat/>
    <w:uiPriority w:val="0"/>
    <w:rPr>
      <w:rFonts w:ascii="宋体" w:hAnsi="宋体" w:eastAsia="宋体" w:cs="宋体"/>
      <w:sz w:val="22"/>
      <w:szCs w:val="22"/>
      <w:lang w:val="en-US" w:eastAsia="en-US" w:bidi="ar-SA"/>
    </w:rPr>
  </w:style>
  <w:style w:type="paragraph" w:styleId="80">
    <w:name w:val="No Spacing"/>
    <w:qFormat/>
    <w:uiPriority w:val="1"/>
    <w:pPr>
      <w:kinsoku w:val="0"/>
      <w:autoSpaceDE w:val="0"/>
      <w:autoSpaceDN w:val="0"/>
      <w:adjustRightInd w:val="0"/>
      <w:snapToGrid w:val="0"/>
      <w:ind w:firstLine="200" w:firstLineChars="200"/>
      <w:textAlignment w:val="baseline"/>
    </w:pPr>
    <w:rPr>
      <w:rFonts w:ascii="宋体" w:hAnsi="宋体" w:eastAsia="宋体" w:cs="Arial"/>
      <w:snapToGrid w:val="0"/>
      <w:color w:val="000000"/>
      <w:kern w:val="0"/>
      <w:sz w:val="21"/>
      <w:szCs w:val="21"/>
      <w:lang w:val="en-US"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6760</Words>
  <Characters>7467</Characters>
  <Lines>1</Lines>
  <Paragraphs>1</Paragraphs>
  <TotalTime>45</TotalTime>
  <ScaleCrop>false</ScaleCrop>
  <LinksUpToDate>false</LinksUpToDate>
  <CharactersWithSpaces>7624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时来运转</dc:creator>
  <cp:lastModifiedBy>NTKO</cp:lastModifiedBy>
  <cp:lastPrinted>2025-09-19T07:46:00Z</cp:lastPrinted>
  <dcterms:modified xsi:type="dcterms:W3CDTF">2025-10-15T02:22:43Z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034B9B1131974BE2A2F9A11BE4F3B0CC_13</vt:lpwstr>
  </property>
  <property fmtid="{D5CDD505-2E9C-101B-9397-08002B2CF9AE}" pid="4" name="KSOTemplateDocerSaveRecord">
    <vt:lpwstr>eyJoZGlkIjoiZjZmYjc5ZTI5ZWU3OWI3NWIwMDRiOWM4ODYwNWNjNjQiLCJ1c2VySWQiOiIyMDg5NDIxNDAifQ==</vt:lpwstr>
  </property>
</Properties>
</file>