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color w:val="auto"/>
          <w:sz w:val="40"/>
          <w:szCs w:val="72"/>
          <w:lang w:eastAsia="zh-CN"/>
        </w:rPr>
      </w:pPr>
    </w:p>
    <w:p>
      <w:pPr>
        <w:jc w:val="center"/>
        <w:rPr>
          <w:rFonts w:hint="eastAsia" w:ascii="宋体" w:hAnsi="宋体" w:eastAsia="宋体" w:cs="宋体"/>
          <w:b/>
          <w:color w:val="auto"/>
          <w:sz w:val="40"/>
          <w:szCs w:val="72"/>
          <w:lang w:eastAsia="zh-CN"/>
        </w:rPr>
      </w:pPr>
    </w:p>
    <w:p>
      <w:pPr>
        <w:widowControl/>
        <w:adjustRightInd w:val="0"/>
        <w:snapToGrid w:val="0"/>
        <w:spacing w:after="200" w:line="264" w:lineRule="auto"/>
        <w:jc w:val="center"/>
        <w:rPr>
          <w:rFonts w:hint="eastAsia" w:ascii="宋体" w:hAnsi="宋体" w:eastAsia="宋体" w:cs="宋体"/>
          <w:b/>
          <w:color w:val="auto"/>
          <w:w w:val="65"/>
          <w:kern w:val="0"/>
          <w:sz w:val="52"/>
          <w:szCs w:val="52"/>
          <w:lang w:val="zh-CN" w:eastAsia="zh-CN" w:bidi="zh-CN"/>
        </w:rPr>
      </w:pPr>
      <w:r>
        <w:rPr>
          <w:rFonts w:hint="eastAsia" w:ascii="宋体" w:hAnsi="宋体" w:eastAsia="宋体" w:cs="宋体"/>
          <w:b/>
          <w:color w:val="auto"/>
          <w:w w:val="65"/>
          <w:kern w:val="0"/>
          <w:sz w:val="52"/>
          <w:szCs w:val="52"/>
          <w:lang w:val="zh-CN" w:eastAsia="zh-CN" w:bidi="zh-CN"/>
        </w:rPr>
        <w:t>灵宝市“中国天然氧吧”复查技术服务委托项目</w:t>
      </w:r>
    </w:p>
    <w:p>
      <w:pPr>
        <w:jc w:val="center"/>
        <w:rPr>
          <w:rFonts w:hint="eastAsia" w:ascii="宋体" w:hAnsi="宋体" w:eastAsia="宋体" w:cs="宋体"/>
          <w:color w:val="auto"/>
          <w:sz w:val="24"/>
        </w:rPr>
      </w:pPr>
    </w:p>
    <w:p>
      <w:pPr>
        <w:jc w:val="center"/>
        <w:rPr>
          <w:rFonts w:hint="eastAsia" w:ascii="宋体" w:hAnsi="宋体" w:eastAsia="宋体" w:cs="宋体"/>
          <w:color w:val="auto"/>
          <w:sz w:val="24"/>
        </w:rPr>
      </w:pPr>
    </w:p>
    <w:p>
      <w:pPr>
        <w:jc w:val="both"/>
        <w:rPr>
          <w:rFonts w:hint="eastAsia" w:ascii="宋体" w:hAnsi="宋体" w:eastAsia="宋体" w:cs="宋体"/>
          <w:color w:val="auto"/>
        </w:rPr>
      </w:pPr>
    </w:p>
    <w:p>
      <w:pPr>
        <w:widowControl/>
        <w:adjustRightInd w:val="0"/>
        <w:snapToGrid w:val="0"/>
        <w:spacing w:before="0" w:after="200"/>
        <w:ind w:left="68" w:right="0" w:firstLine="0"/>
        <w:jc w:val="center"/>
        <w:rPr>
          <w:rFonts w:hint="eastAsia" w:ascii="宋体" w:hAnsi="宋体" w:eastAsia="宋体" w:cs="宋体"/>
          <w:b/>
          <w:w w:val="75"/>
          <w:kern w:val="0"/>
          <w:sz w:val="84"/>
          <w:szCs w:val="22"/>
        </w:rPr>
      </w:pPr>
      <w:r>
        <w:rPr>
          <w:rFonts w:hint="eastAsia" w:ascii="宋体" w:hAnsi="宋体" w:eastAsia="宋体" w:cs="宋体"/>
          <w:b/>
          <w:w w:val="75"/>
          <w:kern w:val="0"/>
          <w:sz w:val="84"/>
          <w:szCs w:val="22"/>
        </w:rPr>
        <w:t>单一来源采购文件</w:t>
      </w:r>
    </w:p>
    <w:p>
      <w:pPr>
        <w:jc w:val="center"/>
        <w:rPr>
          <w:rFonts w:hint="eastAsia" w:ascii="宋体" w:hAnsi="宋体" w:eastAsia="宋体" w:cs="宋体"/>
          <w:color w:val="auto"/>
          <w:sz w:val="24"/>
        </w:rPr>
      </w:pPr>
    </w:p>
    <w:p>
      <w:pPr>
        <w:jc w:val="center"/>
        <w:rPr>
          <w:rFonts w:hint="eastAsia" w:ascii="宋体" w:hAnsi="宋体" w:eastAsia="宋体" w:cs="宋体"/>
          <w:color w:val="auto"/>
          <w:sz w:val="32"/>
        </w:rPr>
      </w:pPr>
      <w:r>
        <w:rPr>
          <w:rFonts w:hint="eastAsia" w:ascii="宋体" w:hAnsi="宋体" w:eastAsia="宋体" w:cs="宋体"/>
        </w:rPr>
        <w:drawing>
          <wp:inline distT="0" distB="0" distL="114300" distR="114300">
            <wp:extent cx="2409825" cy="2409825"/>
            <wp:effectExtent l="0" t="0" r="9525" b="9525"/>
            <wp:docPr id="1" name="图片 1" descr="bd5270b73535a1342687d2606cda3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d5270b73535a1342687d2606cda31f"/>
                    <pic:cNvPicPr>
                      <a:picLocks noChangeAspect="1"/>
                    </pic:cNvPicPr>
                  </pic:nvPicPr>
                  <pic:blipFill>
                    <a:blip r:embed="rId4"/>
                    <a:stretch>
                      <a:fillRect/>
                    </a:stretch>
                  </pic:blipFill>
                  <pic:spPr>
                    <a:xfrm>
                      <a:off x="0" y="0"/>
                      <a:ext cx="2409825" cy="2409825"/>
                    </a:xfrm>
                    <a:prstGeom prst="rect">
                      <a:avLst/>
                    </a:prstGeom>
                    <a:noFill/>
                    <a:ln>
                      <a:noFill/>
                    </a:ln>
                  </pic:spPr>
                </pic:pic>
              </a:graphicData>
            </a:graphic>
          </wp:inline>
        </w:drawing>
      </w:r>
    </w:p>
    <w:p>
      <w:pPr>
        <w:jc w:val="center"/>
        <w:rPr>
          <w:rFonts w:hint="eastAsia" w:ascii="宋体" w:hAnsi="宋体" w:eastAsia="宋体" w:cs="宋体"/>
          <w:b/>
          <w:color w:val="auto"/>
          <w:sz w:val="24"/>
        </w:rPr>
      </w:pPr>
    </w:p>
    <w:p>
      <w:pPr>
        <w:rPr>
          <w:rFonts w:hint="eastAsia" w:ascii="宋体" w:hAnsi="宋体" w:eastAsia="宋体" w:cs="宋体"/>
        </w:rPr>
      </w:pPr>
    </w:p>
    <w:p>
      <w:pPr>
        <w:pStyle w:val="2"/>
        <w:rPr>
          <w:rFonts w:hint="eastAsia"/>
        </w:rPr>
      </w:pPr>
    </w:p>
    <w:p>
      <w:pPr>
        <w:pStyle w:val="3"/>
        <w:rPr>
          <w:rFonts w:hint="eastAsia" w:ascii="宋体" w:hAnsi="宋体" w:eastAsia="宋体" w:cs="宋体"/>
        </w:rPr>
      </w:pPr>
    </w:p>
    <w:p>
      <w:pPr>
        <w:jc w:val="center"/>
        <w:rPr>
          <w:rFonts w:hint="eastAsia" w:ascii="宋体" w:hAnsi="宋体" w:eastAsia="宋体" w:cs="宋体"/>
          <w:color w:val="auto"/>
          <w:sz w:val="24"/>
        </w:rPr>
      </w:pPr>
    </w:p>
    <w:p>
      <w:pPr>
        <w:keepNext w:val="0"/>
        <w:keepLines w:val="0"/>
        <w:pageBreakBefore w:val="0"/>
        <w:widowControl w:val="0"/>
        <w:kinsoku/>
        <w:wordWrap/>
        <w:overflowPunct/>
        <w:topLinePunct w:val="0"/>
        <w:autoSpaceDE/>
        <w:autoSpaceDN/>
        <w:bidi w:val="0"/>
        <w:adjustRightInd/>
        <w:snapToGrid/>
        <w:spacing w:line="480" w:lineRule="auto"/>
        <w:ind w:firstLine="1928" w:firstLineChars="800"/>
        <w:jc w:val="both"/>
        <w:textAlignment w:val="auto"/>
        <w:rPr>
          <w:rFonts w:hint="eastAsia" w:ascii="宋体" w:hAnsi="宋体" w:eastAsia="宋体" w:cs="宋体"/>
          <w:sz w:val="24"/>
          <w:szCs w:val="24"/>
        </w:rPr>
      </w:pPr>
      <w:r>
        <w:rPr>
          <w:rFonts w:hint="eastAsia" w:ascii="宋体" w:hAnsi="宋体" w:eastAsia="宋体" w:cs="宋体"/>
          <w:b/>
          <w:color w:val="auto"/>
          <w:sz w:val="24"/>
          <w:szCs w:val="24"/>
        </w:rPr>
        <w:t>项目编号：</w:t>
      </w:r>
      <w:r>
        <w:rPr>
          <w:rFonts w:hint="eastAsia" w:ascii="宋体" w:hAnsi="宋体" w:cs="宋体"/>
          <w:b/>
          <w:color w:val="auto"/>
          <w:sz w:val="24"/>
          <w:szCs w:val="24"/>
          <w:lang w:val="en-US" w:eastAsia="zh-CN"/>
        </w:rPr>
        <w:t>2023-</w:t>
      </w:r>
      <w:r>
        <w:rPr>
          <w:rFonts w:hint="eastAsia" w:ascii="宋体" w:hAnsi="宋体" w:cs="宋体"/>
          <w:b/>
          <w:color w:val="auto"/>
          <w:sz w:val="24"/>
          <w:szCs w:val="24"/>
          <w:highlight w:val="none"/>
          <w:lang w:val="en-US" w:eastAsia="zh-CN"/>
        </w:rPr>
        <w:t>10-26</w:t>
      </w:r>
      <w:r>
        <w:rPr>
          <w:rFonts w:hint="eastAsia" w:ascii="宋体" w:hAnsi="宋体" w:eastAsia="宋体" w:cs="宋体"/>
          <w:b/>
          <w:color w:val="auto"/>
          <w:sz w:val="24"/>
          <w:szCs w:val="24"/>
          <w:highlight w:val="none"/>
          <w:lang w:val="en-US" w:eastAsia="zh-CN"/>
        </w:rPr>
        <w:t>；</w:t>
      </w:r>
      <w:r>
        <w:rPr>
          <w:rFonts w:hint="eastAsia" w:ascii="宋体" w:hAnsi="宋体" w:cs="宋体"/>
          <w:b/>
          <w:color w:val="auto"/>
          <w:sz w:val="24"/>
          <w:szCs w:val="24"/>
          <w:highlight w:val="none"/>
          <w:lang w:val="en-US" w:eastAsia="zh-CN"/>
        </w:rPr>
        <w:t>LBGZ[2023]324-ZC198</w:t>
      </w:r>
    </w:p>
    <w:p>
      <w:pPr>
        <w:keepNext w:val="0"/>
        <w:keepLines w:val="0"/>
        <w:pageBreakBefore w:val="0"/>
        <w:widowControl w:val="0"/>
        <w:kinsoku/>
        <w:wordWrap/>
        <w:overflowPunct/>
        <w:topLinePunct w:val="0"/>
        <w:autoSpaceDE/>
        <w:autoSpaceDN/>
        <w:bidi w:val="0"/>
        <w:adjustRightInd/>
        <w:snapToGrid/>
        <w:spacing w:line="480" w:lineRule="auto"/>
        <w:ind w:firstLine="1928" w:firstLineChars="800"/>
        <w:jc w:val="lef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采</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购</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人：</w:t>
      </w:r>
      <w:r>
        <w:rPr>
          <w:rFonts w:hint="eastAsia" w:ascii="宋体" w:hAnsi="宋体" w:eastAsia="宋体" w:cs="宋体"/>
          <w:b/>
          <w:color w:val="auto"/>
          <w:sz w:val="24"/>
          <w:szCs w:val="24"/>
          <w:lang w:eastAsia="zh-CN"/>
        </w:rPr>
        <w:t>灵宝市气象局</w:t>
      </w:r>
    </w:p>
    <w:p>
      <w:pPr>
        <w:keepNext w:val="0"/>
        <w:keepLines w:val="0"/>
        <w:pageBreakBefore w:val="0"/>
        <w:widowControl w:val="0"/>
        <w:kinsoku/>
        <w:wordWrap/>
        <w:overflowPunct/>
        <w:topLinePunct w:val="0"/>
        <w:autoSpaceDE/>
        <w:autoSpaceDN/>
        <w:bidi w:val="0"/>
        <w:adjustRightInd/>
        <w:snapToGrid/>
        <w:spacing w:line="480" w:lineRule="auto"/>
        <w:ind w:firstLine="1928" w:firstLineChars="800"/>
        <w:jc w:val="lef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代理机构：</w:t>
      </w:r>
      <w:r>
        <w:rPr>
          <w:rFonts w:hint="eastAsia" w:ascii="宋体" w:hAnsi="宋体" w:eastAsia="宋体" w:cs="宋体"/>
          <w:b/>
          <w:color w:val="auto"/>
          <w:sz w:val="24"/>
          <w:szCs w:val="24"/>
          <w:lang w:eastAsia="zh-CN"/>
        </w:rPr>
        <w:t>中岐能工程项目管理有限公司</w:t>
      </w:r>
    </w:p>
    <w:p>
      <w:pPr>
        <w:keepNext w:val="0"/>
        <w:keepLines w:val="0"/>
        <w:pageBreakBefore w:val="0"/>
        <w:widowControl w:val="0"/>
        <w:kinsoku/>
        <w:wordWrap/>
        <w:overflowPunct/>
        <w:topLinePunct w:val="0"/>
        <w:autoSpaceDE/>
        <w:autoSpaceDN/>
        <w:bidi w:val="0"/>
        <w:adjustRightInd/>
        <w:snapToGrid/>
        <w:spacing w:line="480" w:lineRule="auto"/>
        <w:ind w:firstLine="1928" w:firstLineChars="8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日</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lang w:eastAsia="zh-CN"/>
        </w:rPr>
        <w:t>期：</w:t>
      </w:r>
      <w:r>
        <w:rPr>
          <w:rFonts w:hint="eastAsia" w:ascii="宋体" w:hAnsi="宋体" w:eastAsia="宋体" w:cs="宋体"/>
          <w:b/>
          <w:color w:val="auto"/>
          <w:sz w:val="24"/>
          <w:szCs w:val="24"/>
        </w:rPr>
        <w:t>二〇二</w:t>
      </w:r>
      <w:r>
        <w:rPr>
          <w:rFonts w:hint="eastAsia" w:ascii="宋体" w:hAnsi="宋体" w:eastAsia="宋体" w:cs="宋体"/>
          <w:b/>
          <w:color w:val="auto"/>
          <w:sz w:val="24"/>
          <w:szCs w:val="24"/>
          <w:lang w:val="en-US" w:eastAsia="zh-CN"/>
        </w:rPr>
        <w:t>三</w:t>
      </w:r>
      <w:r>
        <w:rPr>
          <w:rFonts w:hint="eastAsia" w:ascii="宋体" w:hAnsi="宋体" w:eastAsia="宋体" w:cs="宋体"/>
          <w:b/>
          <w:color w:val="auto"/>
          <w:sz w:val="24"/>
          <w:szCs w:val="24"/>
        </w:rPr>
        <w:t>年</w:t>
      </w:r>
      <w:r>
        <w:rPr>
          <w:rFonts w:hint="eastAsia" w:ascii="宋体" w:hAnsi="宋体" w:eastAsia="宋体" w:cs="宋体"/>
          <w:b/>
          <w:color w:val="auto"/>
          <w:sz w:val="24"/>
          <w:szCs w:val="24"/>
          <w:lang w:val="en-US" w:eastAsia="zh-CN"/>
        </w:rPr>
        <w:t>十</w:t>
      </w:r>
      <w:r>
        <w:rPr>
          <w:rFonts w:hint="eastAsia" w:ascii="宋体" w:hAnsi="宋体" w:cs="宋体"/>
          <w:b/>
          <w:color w:val="auto"/>
          <w:sz w:val="24"/>
          <w:szCs w:val="24"/>
          <w:lang w:val="en-US" w:eastAsia="zh-CN"/>
        </w:rPr>
        <w:t>一</w:t>
      </w:r>
      <w:r>
        <w:rPr>
          <w:rFonts w:hint="eastAsia" w:ascii="宋体" w:hAnsi="宋体" w:eastAsia="宋体" w:cs="宋体"/>
          <w:b/>
          <w:color w:val="auto"/>
          <w:sz w:val="24"/>
          <w:szCs w:val="24"/>
        </w:rPr>
        <w:t>月</w:t>
      </w:r>
    </w:p>
    <w:p>
      <w:pPr>
        <w:pStyle w:val="12"/>
        <w:spacing w:line="600" w:lineRule="auto"/>
        <w:jc w:val="center"/>
        <w:rPr>
          <w:rFonts w:hint="eastAsia" w:ascii="宋体" w:hAnsi="宋体" w:eastAsia="宋体" w:cs="宋体"/>
          <w:color w:val="auto"/>
          <w:sz w:val="32"/>
          <w:szCs w:val="32"/>
        </w:rPr>
      </w:pPr>
      <w:bookmarkStart w:id="0" w:name="_Toc19030"/>
      <w:bookmarkStart w:id="1" w:name="_Toc31824"/>
      <w:r>
        <w:rPr>
          <w:rFonts w:hint="eastAsia" w:ascii="宋体" w:hAnsi="宋体" w:eastAsia="宋体" w:cs="宋体"/>
          <w:color w:val="auto"/>
          <w:sz w:val="32"/>
          <w:szCs w:val="32"/>
          <w:lang w:val="zh-CN"/>
        </w:rPr>
        <w:t>目   录</w:t>
      </w:r>
      <w:bookmarkEnd w:id="0"/>
      <w:bookmarkEnd w:id="1"/>
    </w:p>
    <w:p>
      <w:pPr>
        <w:pStyle w:val="6"/>
        <w:keepNext w:val="0"/>
        <w:keepLines w:val="0"/>
        <w:pageBreakBefore w:val="0"/>
        <w:widowControl w:val="0"/>
        <w:tabs>
          <w:tab w:val="right" w:leader="dot" w:pos="10540"/>
        </w:tabs>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TOC \o "1-3" \h \z \u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_Toc3456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第一章  单一来源公告</w:t>
      </w:r>
      <w:r>
        <w:rPr>
          <w:rFonts w:hint="eastAsia" w:ascii="宋体" w:hAnsi="宋体" w:eastAsia="宋体" w:cs="宋体"/>
          <w:color w:val="auto"/>
          <w:sz w:val="28"/>
          <w:szCs w:val="28"/>
        </w:rPr>
        <w:fldChar w:fldCharType="end"/>
      </w:r>
    </w:p>
    <w:p>
      <w:pPr>
        <w:pStyle w:val="8"/>
        <w:keepNext w:val="0"/>
        <w:keepLines w:val="0"/>
        <w:pageBreakBefore w:val="0"/>
        <w:widowControl w:val="0"/>
        <w:tabs>
          <w:tab w:val="right" w:leader="dot" w:pos="10540"/>
        </w:tabs>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_Toc32041 </w:instrText>
      </w:r>
      <w:r>
        <w:rPr>
          <w:rFonts w:hint="eastAsia" w:ascii="宋体" w:hAnsi="宋体" w:eastAsia="宋体" w:cs="宋体"/>
          <w:sz w:val="28"/>
          <w:szCs w:val="28"/>
        </w:rPr>
        <w:fldChar w:fldCharType="separate"/>
      </w:r>
      <w:r>
        <w:rPr>
          <w:rFonts w:hint="eastAsia" w:ascii="宋体" w:hAnsi="宋体" w:eastAsia="宋体" w:cs="宋体"/>
          <w:bCs/>
          <w:kern w:val="2"/>
          <w:sz w:val="28"/>
          <w:szCs w:val="28"/>
          <w:lang w:val="en-US" w:eastAsia="zh-CN" w:bidi="ar-SA"/>
        </w:rPr>
        <w:t>第二章  供应商须知</w:t>
      </w:r>
      <w:r>
        <w:rPr>
          <w:rFonts w:hint="eastAsia" w:ascii="宋体" w:hAnsi="宋体" w:eastAsia="宋体" w:cs="宋体"/>
          <w:color w:val="auto"/>
          <w:sz w:val="28"/>
          <w:szCs w:val="28"/>
        </w:rPr>
        <w:fldChar w:fldCharType="end"/>
      </w:r>
    </w:p>
    <w:p>
      <w:pPr>
        <w:pStyle w:val="8"/>
        <w:keepNext w:val="0"/>
        <w:keepLines w:val="0"/>
        <w:pageBreakBefore w:val="0"/>
        <w:widowControl w:val="0"/>
        <w:tabs>
          <w:tab w:val="right" w:leader="dot" w:pos="10540"/>
        </w:tabs>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_Toc14065 </w:instrText>
      </w:r>
      <w:r>
        <w:rPr>
          <w:rFonts w:hint="eastAsia" w:ascii="宋体" w:hAnsi="宋体" w:eastAsia="宋体" w:cs="宋体"/>
          <w:sz w:val="28"/>
          <w:szCs w:val="28"/>
        </w:rPr>
        <w:fldChar w:fldCharType="separate"/>
      </w:r>
      <w:r>
        <w:rPr>
          <w:rFonts w:hint="eastAsia" w:ascii="宋体" w:hAnsi="宋体" w:eastAsia="宋体" w:cs="宋体"/>
          <w:bCs/>
          <w:kern w:val="2"/>
          <w:sz w:val="28"/>
          <w:szCs w:val="28"/>
          <w:lang w:val="en-US" w:eastAsia="zh-CN" w:bidi="ar-SA"/>
        </w:rPr>
        <w:t>第三章  采购服务需求</w:t>
      </w:r>
      <w:r>
        <w:rPr>
          <w:rFonts w:hint="eastAsia" w:ascii="宋体" w:hAnsi="宋体" w:eastAsia="宋体" w:cs="宋体"/>
          <w:color w:val="auto"/>
          <w:sz w:val="28"/>
          <w:szCs w:val="28"/>
        </w:rPr>
        <w:fldChar w:fldCharType="end"/>
      </w:r>
    </w:p>
    <w:p>
      <w:pPr>
        <w:pStyle w:val="8"/>
        <w:keepNext w:val="0"/>
        <w:keepLines w:val="0"/>
        <w:pageBreakBefore w:val="0"/>
        <w:widowControl w:val="0"/>
        <w:tabs>
          <w:tab w:val="right" w:leader="dot" w:pos="10540"/>
        </w:tabs>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_Toc3680 </w:instrText>
      </w:r>
      <w:r>
        <w:rPr>
          <w:rFonts w:hint="eastAsia" w:ascii="宋体" w:hAnsi="宋体" w:eastAsia="宋体" w:cs="宋体"/>
          <w:sz w:val="28"/>
          <w:szCs w:val="28"/>
        </w:rPr>
        <w:fldChar w:fldCharType="separate"/>
      </w:r>
      <w:r>
        <w:rPr>
          <w:rFonts w:hint="eastAsia" w:ascii="宋体" w:hAnsi="宋体" w:eastAsia="宋体" w:cs="宋体"/>
          <w:bCs/>
          <w:kern w:val="2"/>
          <w:sz w:val="28"/>
          <w:szCs w:val="28"/>
          <w:lang w:val="en-US" w:eastAsia="zh-CN" w:bidi="ar-SA"/>
        </w:rPr>
        <w:t>第四章  评分标准</w:t>
      </w:r>
      <w:r>
        <w:rPr>
          <w:rFonts w:hint="eastAsia" w:ascii="宋体" w:hAnsi="宋体" w:eastAsia="宋体" w:cs="宋体"/>
          <w:color w:val="auto"/>
          <w:sz w:val="28"/>
          <w:szCs w:val="28"/>
        </w:rPr>
        <w:fldChar w:fldCharType="end"/>
      </w:r>
    </w:p>
    <w:p>
      <w:pPr>
        <w:pStyle w:val="8"/>
        <w:keepNext w:val="0"/>
        <w:keepLines w:val="0"/>
        <w:pageBreakBefore w:val="0"/>
        <w:widowControl w:val="0"/>
        <w:tabs>
          <w:tab w:val="right" w:leader="dot" w:pos="10540"/>
        </w:tabs>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_Toc9366 </w:instrText>
      </w:r>
      <w:r>
        <w:rPr>
          <w:rFonts w:hint="eastAsia" w:ascii="宋体" w:hAnsi="宋体" w:eastAsia="宋体" w:cs="宋体"/>
          <w:sz w:val="28"/>
          <w:szCs w:val="28"/>
        </w:rPr>
        <w:fldChar w:fldCharType="separate"/>
      </w:r>
      <w:r>
        <w:rPr>
          <w:rFonts w:hint="eastAsia" w:ascii="宋体" w:hAnsi="宋体" w:eastAsia="宋体" w:cs="宋体"/>
          <w:bCs/>
          <w:kern w:val="2"/>
          <w:sz w:val="28"/>
          <w:szCs w:val="28"/>
          <w:lang w:val="en-US" w:eastAsia="zh-CN" w:bidi="ar-SA"/>
        </w:rPr>
        <w:t>第五章  合同样本</w:t>
      </w:r>
      <w:r>
        <w:rPr>
          <w:rFonts w:hint="eastAsia" w:ascii="宋体" w:hAnsi="宋体" w:eastAsia="宋体" w:cs="宋体"/>
          <w:color w:val="auto"/>
          <w:sz w:val="28"/>
          <w:szCs w:val="28"/>
        </w:rPr>
        <w:fldChar w:fldCharType="end"/>
      </w:r>
    </w:p>
    <w:p>
      <w:pPr>
        <w:pStyle w:val="6"/>
        <w:keepNext w:val="0"/>
        <w:keepLines w:val="0"/>
        <w:pageBreakBefore w:val="0"/>
        <w:widowControl w:val="0"/>
        <w:tabs>
          <w:tab w:val="right" w:leader="dot" w:pos="10540"/>
        </w:tabs>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_Toc8623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第六章  响应文件格式</w:t>
      </w:r>
      <w:r>
        <w:rPr>
          <w:rFonts w:hint="eastAsia" w:ascii="宋体" w:hAnsi="宋体" w:eastAsia="宋体" w:cs="宋体"/>
          <w:color w:val="auto"/>
          <w:sz w:val="28"/>
          <w:szCs w:val="28"/>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hint="eastAsia" w:ascii="宋体" w:hAnsi="宋体" w:eastAsia="宋体" w:cs="宋体"/>
          <w:color w:val="auto"/>
        </w:rPr>
      </w:pPr>
      <w:r>
        <w:rPr>
          <w:rFonts w:hint="eastAsia" w:ascii="宋体" w:hAnsi="宋体" w:eastAsia="宋体" w:cs="宋体"/>
          <w:color w:val="auto"/>
          <w:sz w:val="28"/>
          <w:szCs w:val="28"/>
        </w:rPr>
        <w:fldChar w:fldCharType="end"/>
      </w:r>
    </w:p>
    <w:p>
      <w:pPr>
        <w:pStyle w:val="4"/>
        <w:bidi w:val="0"/>
        <w:rPr>
          <w:rFonts w:hint="eastAsia" w:ascii="宋体" w:hAnsi="宋体" w:eastAsia="宋体" w:cs="宋体"/>
          <w:b/>
          <w:bCs/>
          <w:color w:val="auto"/>
          <w:sz w:val="40"/>
          <w:szCs w:val="36"/>
          <w:lang w:val="en-US" w:eastAsia="zh-CN"/>
        </w:rPr>
      </w:pPr>
      <w:r>
        <w:rPr>
          <w:rFonts w:hint="eastAsia" w:ascii="宋体" w:hAnsi="宋体" w:eastAsia="宋体" w:cs="宋体"/>
          <w:color w:val="auto"/>
        </w:rPr>
        <w:br w:type="page"/>
      </w:r>
      <w:bookmarkStart w:id="2" w:name="_Toc3456"/>
      <w:r>
        <w:rPr>
          <w:rFonts w:hint="eastAsia" w:ascii="宋体" w:hAnsi="宋体" w:eastAsia="宋体" w:cs="宋体"/>
          <w:b/>
          <w:bCs/>
          <w:color w:val="auto"/>
          <w:sz w:val="28"/>
          <w:szCs w:val="28"/>
          <w:lang w:val="en-US" w:eastAsia="zh-CN"/>
        </w:rPr>
        <w:t>第一章  单一来源公告</w:t>
      </w:r>
      <w:bookmarkEnd w:id="2"/>
    </w:p>
    <w:p>
      <w:pPr>
        <w:keepNext w:val="0"/>
        <w:keepLines w:val="0"/>
        <w:pageBreakBefore w:val="0"/>
        <w:kinsoku/>
        <w:wordWrap/>
        <w:overflowPunct/>
        <w:topLinePunct w:val="0"/>
        <w:autoSpaceDE/>
        <w:autoSpaceDN/>
        <w:bidi w:val="0"/>
        <w:adjustRightInd/>
        <w:snapToGrid/>
        <w:spacing w:line="560" w:lineRule="exact"/>
        <w:ind w:firstLine="470" w:firstLineChars="196"/>
        <w:textAlignment w:val="auto"/>
        <w:rPr>
          <w:rFonts w:hint="eastAsia" w:ascii="宋体" w:hAnsi="宋体" w:eastAsia="宋体" w:cs="宋体"/>
          <w:bCs/>
          <w:color w:val="auto"/>
          <w:sz w:val="24"/>
        </w:rPr>
      </w:pPr>
      <w:r>
        <w:rPr>
          <w:rFonts w:hint="eastAsia" w:ascii="宋体" w:hAnsi="宋体" w:eastAsia="宋体" w:cs="宋体"/>
          <w:bCs/>
          <w:color w:val="auto"/>
          <w:sz w:val="24"/>
        </w:rPr>
        <w:t>根据《中华人民共和国政府采购法》及《政府采购非招标采购方式管理办法》等有关规定，</w:t>
      </w:r>
      <w:r>
        <w:rPr>
          <w:rFonts w:hint="eastAsia" w:ascii="宋体" w:hAnsi="宋体" w:eastAsia="宋体" w:cs="宋体"/>
          <w:bCs/>
          <w:color w:val="auto"/>
          <w:sz w:val="24"/>
          <w:lang w:eastAsia="zh-CN"/>
        </w:rPr>
        <w:t>中岐能工程项目管理有限公司</w:t>
      </w:r>
      <w:r>
        <w:rPr>
          <w:rFonts w:hint="eastAsia" w:ascii="宋体" w:hAnsi="宋体" w:eastAsia="宋体" w:cs="宋体"/>
          <w:bCs/>
          <w:color w:val="auto"/>
          <w:sz w:val="24"/>
        </w:rPr>
        <w:t>受</w:t>
      </w:r>
      <w:r>
        <w:rPr>
          <w:rFonts w:hint="eastAsia" w:ascii="宋体" w:hAnsi="宋体" w:eastAsia="宋体" w:cs="宋体"/>
          <w:bCs/>
          <w:color w:val="auto"/>
          <w:sz w:val="24"/>
          <w:lang w:eastAsia="zh-CN"/>
        </w:rPr>
        <w:t>灵宝市气象局</w:t>
      </w:r>
      <w:r>
        <w:rPr>
          <w:rFonts w:hint="eastAsia" w:ascii="宋体" w:hAnsi="宋体" w:eastAsia="宋体" w:cs="宋体"/>
          <w:bCs/>
          <w:color w:val="auto"/>
          <w:sz w:val="24"/>
        </w:rPr>
        <w:t>的委托，就</w:t>
      </w:r>
      <w:r>
        <w:rPr>
          <w:rFonts w:hint="eastAsia" w:ascii="宋体" w:hAnsi="宋体" w:eastAsia="宋体" w:cs="宋体"/>
          <w:bCs/>
          <w:color w:val="auto"/>
          <w:sz w:val="24"/>
          <w:lang w:eastAsia="zh-CN"/>
        </w:rPr>
        <w:t>灵宝市“中国天然氧吧”复查技术服务委托项目</w:t>
      </w:r>
      <w:r>
        <w:rPr>
          <w:rFonts w:hint="eastAsia" w:ascii="宋体" w:hAnsi="宋体" w:eastAsia="宋体" w:cs="宋体"/>
          <w:bCs/>
          <w:color w:val="auto"/>
          <w:sz w:val="24"/>
        </w:rPr>
        <w:t>针对</w:t>
      </w:r>
      <w:r>
        <w:rPr>
          <w:rFonts w:hint="eastAsia" w:ascii="宋体" w:hAnsi="宋体" w:cs="宋体"/>
          <w:bCs/>
          <w:color w:val="auto"/>
          <w:sz w:val="24"/>
          <w:lang w:eastAsia="zh-CN"/>
        </w:rPr>
        <w:t>河南省气象服务中心(河南省气象影视和宣传中心)</w:t>
      </w:r>
      <w:r>
        <w:rPr>
          <w:rFonts w:hint="eastAsia" w:ascii="宋体" w:hAnsi="宋体" w:eastAsia="宋体" w:cs="宋体"/>
          <w:bCs/>
          <w:color w:val="auto"/>
          <w:sz w:val="24"/>
        </w:rPr>
        <w:t>采取单一来源方式进行采购。</w:t>
      </w:r>
    </w:p>
    <w:p>
      <w:pPr>
        <w:keepNext w:val="0"/>
        <w:keepLines w:val="0"/>
        <w:pageBreakBefore w:val="0"/>
        <w:kinsoku/>
        <w:wordWrap/>
        <w:overflowPunct/>
        <w:topLinePunct w:val="0"/>
        <w:autoSpaceDE/>
        <w:autoSpaceDN/>
        <w:bidi w:val="0"/>
        <w:adjustRightInd/>
        <w:snapToGrid/>
        <w:spacing w:line="560" w:lineRule="exact"/>
        <w:ind w:firstLine="470" w:firstLineChars="196"/>
        <w:textAlignment w:val="auto"/>
        <w:rPr>
          <w:rFonts w:hint="eastAsia" w:ascii="宋体" w:hAnsi="宋体" w:eastAsia="宋体" w:cs="宋体"/>
          <w:bCs/>
          <w:color w:val="auto"/>
          <w:sz w:val="24"/>
        </w:rPr>
      </w:pPr>
      <w:r>
        <w:rPr>
          <w:rFonts w:hint="eastAsia" w:ascii="宋体" w:hAnsi="宋体" w:eastAsia="宋体" w:cs="宋体"/>
          <w:bCs/>
          <w:color w:val="auto"/>
          <w:sz w:val="24"/>
        </w:rPr>
        <w:t>一、项目概况</w:t>
      </w:r>
    </w:p>
    <w:p>
      <w:pPr>
        <w:keepNext w:val="0"/>
        <w:keepLines w:val="0"/>
        <w:pageBreakBefore w:val="0"/>
        <w:kinsoku/>
        <w:wordWrap/>
        <w:overflowPunct/>
        <w:topLinePunct w:val="0"/>
        <w:autoSpaceDE/>
        <w:autoSpaceDN/>
        <w:bidi w:val="0"/>
        <w:adjustRightInd/>
        <w:snapToGrid/>
        <w:spacing w:line="560" w:lineRule="exact"/>
        <w:ind w:firstLine="470" w:firstLineChars="196"/>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rPr>
        <w:t>1、项目名称：</w:t>
      </w:r>
      <w:r>
        <w:rPr>
          <w:rFonts w:hint="eastAsia" w:ascii="宋体" w:hAnsi="宋体" w:eastAsia="宋体" w:cs="宋体"/>
          <w:bCs/>
          <w:color w:val="auto"/>
          <w:sz w:val="24"/>
          <w:lang w:eastAsia="zh-CN"/>
        </w:rPr>
        <w:t>灵宝市“中国天然氧吧”复查技术服务委托项目</w:t>
      </w:r>
    </w:p>
    <w:p>
      <w:pPr>
        <w:keepNext w:val="0"/>
        <w:keepLines w:val="0"/>
        <w:pageBreakBefore w:val="0"/>
        <w:kinsoku/>
        <w:wordWrap/>
        <w:overflowPunct/>
        <w:topLinePunct w:val="0"/>
        <w:autoSpaceDE/>
        <w:autoSpaceDN/>
        <w:bidi w:val="0"/>
        <w:adjustRightInd/>
        <w:snapToGrid/>
        <w:spacing w:line="560" w:lineRule="exact"/>
        <w:ind w:firstLine="470" w:firstLineChars="196"/>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rPr>
        <w:t>2、项目编号：</w:t>
      </w:r>
      <w:r>
        <w:rPr>
          <w:rFonts w:hint="eastAsia" w:ascii="宋体" w:hAnsi="宋体" w:cs="宋体"/>
          <w:bCs/>
          <w:color w:val="auto"/>
          <w:sz w:val="24"/>
          <w:lang w:eastAsia="zh-CN"/>
        </w:rPr>
        <w:t>2023-10-26</w:t>
      </w:r>
      <w:r>
        <w:rPr>
          <w:rFonts w:hint="eastAsia" w:ascii="宋体" w:hAnsi="宋体" w:eastAsia="宋体" w:cs="宋体"/>
          <w:bCs/>
          <w:color w:val="auto"/>
          <w:sz w:val="24"/>
        </w:rPr>
        <w:t>；</w:t>
      </w:r>
      <w:r>
        <w:rPr>
          <w:rFonts w:hint="eastAsia" w:ascii="宋体" w:hAnsi="宋体" w:cs="宋体"/>
          <w:bCs/>
          <w:color w:val="auto"/>
          <w:sz w:val="24"/>
          <w:highlight w:val="none"/>
          <w:lang w:eastAsia="zh-CN"/>
        </w:rPr>
        <w:t>LBGZ[2023]324-ZC198</w:t>
      </w:r>
    </w:p>
    <w:p>
      <w:pPr>
        <w:keepNext w:val="0"/>
        <w:keepLines w:val="0"/>
        <w:pageBreakBefore w:val="0"/>
        <w:kinsoku/>
        <w:wordWrap/>
        <w:overflowPunct/>
        <w:topLinePunct w:val="0"/>
        <w:autoSpaceDE/>
        <w:autoSpaceDN/>
        <w:bidi w:val="0"/>
        <w:adjustRightInd/>
        <w:snapToGrid/>
        <w:spacing w:line="560" w:lineRule="exact"/>
        <w:ind w:firstLine="470" w:firstLineChars="196"/>
        <w:textAlignment w:val="auto"/>
        <w:rPr>
          <w:rFonts w:hint="eastAsia" w:ascii="宋体" w:hAnsi="宋体" w:eastAsia="宋体" w:cs="宋体"/>
          <w:bCs/>
          <w:color w:val="auto"/>
          <w:sz w:val="24"/>
        </w:rPr>
      </w:pPr>
      <w:r>
        <w:rPr>
          <w:rFonts w:hint="eastAsia" w:ascii="宋体" w:hAnsi="宋体" w:eastAsia="宋体" w:cs="宋体"/>
          <w:bCs/>
          <w:color w:val="auto"/>
          <w:sz w:val="24"/>
        </w:rPr>
        <w:t>3、资金来源：财政资金；</w:t>
      </w:r>
    </w:p>
    <w:p>
      <w:pPr>
        <w:keepNext w:val="0"/>
        <w:keepLines w:val="0"/>
        <w:pageBreakBefore w:val="0"/>
        <w:kinsoku/>
        <w:wordWrap/>
        <w:overflowPunct/>
        <w:topLinePunct w:val="0"/>
        <w:autoSpaceDE/>
        <w:autoSpaceDN/>
        <w:bidi w:val="0"/>
        <w:adjustRightInd/>
        <w:snapToGrid/>
        <w:spacing w:line="560" w:lineRule="exact"/>
        <w:ind w:firstLine="470" w:firstLineChars="196"/>
        <w:textAlignment w:val="auto"/>
        <w:rPr>
          <w:rFonts w:hint="eastAsia" w:ascii="宋体" w:hAnsi="宋体" w:eastAsia="宋体" w:cs="宋体"/>
          <w:bCs/>
          <w:color w:val="auto"/>
          <w:sz w:val="24"/>
          <w:lang w:val="en-US"/>
        </w:rPr>
      </w:pPr>
      <w:r>
        <w:rPr>
          <w:rFonts w:hint="eastAsia" w:ascii="宋体" w:hAnsi="宋体" w:eastAsia="宋体" w:cs="宋体"/>
          <w:bCs/>
          <w:color w:val="auto"/>
          <w:sz w:val="24"/>
        </w:rPr>
        <w:t>4、预算金额：</w:t>
      </w:r>
      <w:r>
        <w:rPr>
          <w:rFonts w:hint="eastAsia" w:ascii="宋体" w:hAnsi="宋体" w:eastAsia="宋体" w:cs="宋体"/>
          <w:bCs/>
          <w:color w:val="auto"/>
          <w:sz w:val="24"/>
          <w:lang w:val="en-US" w:eastAsia="zh-CN"/>
        </w:rPr>
        <w:t>350000.00元</w:t>
      </w:r>
      <w:r>
        <w:rPr>
          <w:rFonts w:hint="eastAsia" w:ascii="宋体" w:hAnsi="宋体" w:cs="宋体"/>
          <w:bCs/>
          <w:color w:val="auto"/>
          <w:sz w:val="24"/>
          <w:lang w:val="en-US" w:eastAsia="zh-CN"/>
        </w:rPr>
        <w:t>；</w:t>
      </w:r>
    </w:p>
    <w:p>
      <w:pPr>
        <w:keepNext w:val="0"/>
        <w:keepLines w:val="0"/>
        <w:pageBreakBefore w:val="0"/>
        <w:kinsoku/>
        <w:wordWrap/>
        <w:overflowPunct/>
        <w:topLinePunct w:val="0"/>
        <w:autoSpaceDE/>
        <w:autoSpaceDN/>
        <w:bidi w:val="0"/>
        <w:adjustRightInd/>
        <w:snapToGrid/>
        <w:spacing w:line="560" w:lineRule="exact"/>
        <w:ind w:firstLine="470" w:firstLineChars="196"/>
        <w:textAlignment w:val="auto"/>
        <w:rPr>
          <w:rFonts w:hint="default" w:ascii="宋体" w:hAnsi="宋体" w:eastAsia="宋体" w:cs="宋体"/>
          <w:bCs/>
          <w:color w:val="auto"/>
          <w:sz w:val="24"/>
          <w:highlight w:val="none"/>
          <w:lang w:val="en-US"/>
        </w:rPr>
      </w:pPr>
      <w:r>
        <w:rPr>
          <w:rFonts w:hint="eastAsia" w:ascii="宋体" w:hAnsi="宋体" w:eastAsia="宋体" w:cs="宋体"/>
          <w:bCs/>
          <w:color w:val="auto"/>
          <w:sz w:val="24"/>
          <w:highlight w:val="none"/>
        </w:rPr>
        <w:t>5、服务期限：</w:t>
      </w:r>
      <w:r>
        <w:rPr>
          <w:rFonts w:hint="eastAsia" w:ascii="宋体" w:hAnsi="宋体" w:cs="宋体"/>
          <w:bCs/>
          <w:color w:val="auto"/>
          <w:sz w:val="24"/>
          <w:highlight w:val="none"/>
          <w:lang w:val="en-US" w:eastAsia="zh-CN"/>
        </w:rPr>
        <w:t>2024年3月前完成所有工作内容并开始进行不少于6个月的宣传；</w:t>
      </w:r>
    </w:p>
    <w:p>
      <w:pPr>
        <w:keepNext w:val="0"/>
        <w:keepLines w:val="0"/>
        <w:pageBreakBefore w:val="0"/>
        <w:kinsoku/>
        <w:wordWrap/>
        <w:overflowPunct/>
        <w:topLinePunct w:val="0"/>
        <w:autoSpaceDE/>
        <w:autoSpaceDN/>
        <w:bidi w:val="0"/>
        <w:adjustRightInd/>
        <w:snapToGrid/>
        <w:spacing w:line="560" w:lineRule="exact"/>
        <w:ind w:firstLine="470" w:firstLineChars="196"/>
        <w:textAlignment w:val="auto"/>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rPr>
        <w:t>、质量要求：符合国家相关规范及行业标准；</w:t>
      </w:r>
    </w:p>
    <w:p>
      <w:pPr>
        <w:keepNext w:val="0"/>
        <w:keepLines w:val="0"/>
        <w:pageBreakBefore w:val="0"/>
        <w:kinsoku/>
        <w:wordWrap/>
        <w:overflowPunct/>
        <w:topLinePunct w:val="0"/>
        <w:autoSpaceDE/>
        <w:autoSpaceDN/>
        <w:bidi w:val="0"/>
        <w:adjustRightInd/>
        <w:snapToGrid/>
        <w:spacing w:line="560" w:lineRule="exact"/>
        <w:ind w:right="-216"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二</w:t>
      </w:r>
      <w:r>
        <w:rPr>
          <w:rFonts w:hint="eastAsia" w:ascii="宋体" w:hAnsi="宋体" w:cs="宋体"/>
          <w:color w:val="auto"/>
          <w:sz w:val="24"/>
          <w:lang w:eastAsia="zh-CN"/>
        </w:rPr>
        <w:t>、</w:t>
      </w:r>
      <w:r>
        <w:rPr>
          <w:rFonts w:hint="eastAsia" w:ascii="宋体" w:hAnsi="宋体" w:eastAsia="宋体" w:cs="宋体"/>
          <w:color w:val="auto"/>
          <w:sz w:val="24"/>
        </w:rPr>
        <w:t>拟定单一来源响应供应商:</w:t>
      </w:r>
      <w:r>
        <w:rPr>
          <w:rFonts w:hint="eastAsia" w:ascii="宋体" w:hAnsi="宋体" w:cs="宋体"/>
          <w:color w:val="auto"/>
          <w:sz w:val="24"/>
          <w:lang w:eastAsia="zh-CN"/>
        </w:rPr>
        <w:t>河南省气象服务中心(河南省气象影视和宣传中心)</w:t>
      </w:r>
      <w:r>
        <w:rPr>
          <w:rFonts w:hint="eastAsia" w:ascii="宋体" w:hAnsi="宋体" w:eastAsia="宋体" w:cs="宋体"/>
          <w:color w:val="auto"/>
          <w:sz w:val="24"/>
        </w:rPr>
        <w:t xml:space="preserve"> </w:t>
      </w:r>
      <w:bookmarkStart w:id="56" w:name="_GoBack"/>
      <w:bookmarkEnd w:id="56"/>
    </w:p>
    <w:p>
      <w:pPr>
        <w:keepNext w:val="0"/>
        <w:keepLines w:val="0"/>
        <w:pageBreakBefore w:val="0"/>
        <w:kinsoku/>
        <w:wordWrap/>
        <w:overflowPunct/>
        <w:topLinePunct w:val="0"/>
        <w:autoSpaceDE/>
        <w:autoSpaceDN/>
        <w:bidi w:val="0"/>
        <w:adjustRightInd/>
        <w:snapToGrid/>
        <w:spacing w:line="560" w:lineRule="exact"/>
        <w:ind w:right="-216"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rPr>
        <w:t xml:space="preserve">拟定单一来源响应供应商地址: </w:t>
      </w:r>
      <w:r>
        <w:rPr>
          <w:rFonts w:hint="eastAsia" w:ascii="宋体" w:hAnsi="宋体" w:eastAsia="宋体" w:cs="宋体"/>
          <w:color w:val="auto"/>
          <w:sz w:val="24"/>
          <w:lang w:eastAsia="zh-CN"/>
        </w:rPr>
        <w:t>河南省郑州市金水区金水路110号</w:t>
      </w:r>
    </w:p>
    <w:p>
      <w:pPr>
        <w:keepNext w:val="0"/>
        <w:keepLines w:val="0"/>
        <w:pageBreakBefore w:val="0"/>
        <w:kinsoku/>
        <w:wordWrap/>
        <w:overflowPunct/>
        <w:topLinePunct w:val="0"/>
        <w:autoSpaceDE/>
        <w:autoSpaceDN/>
        <w:bidi w:val="0"/>
        <w:adjustRightInd/>
        <w:snapToGrid/>
        <w:spacing w:line="560" w:lineRule="exact"/>
        <w:ind w:firstLine="470" w:firstLineChars="196"/>
        <w:textAlignment w:val="auto"/>
        <w:rPr>
          <w:rFonts w:hint="eastAsia" w:ascii="宋体" w:hAnsi="宋体" w:eastAsia="宋体" w:cs="宋体"/>
          <w:bCs/>
          <w:color w:val="auto"/>
          <w:sz w:val="24"/>
        </w:rPr>
      </w:pPr>
      <w:r>
        <w:rPr>
          <w:rFonts w:hint="eastAsia" w:ascii="宋体" w:hAnsi="宋体" w:eastAsia="宋体" w:cs="宋体"/>
          <w:bCs/>
          <w:color w:val="auto"/>
          <w:sz w:val="24"/>
        </w:rPr>
        <w:t>三、拟采用单一来源采购方式的原因：</w:t>
      </w:r>
    </w:p>
    <w:p>
      <w:pPr>
        <w:keepNext w:val="0"/>
        <w:keepLines w:val="0"/>
        <w:pageBreakBefore w:val="0"/>
        <w:kinsoku/>
        <w:wordWrap/>
        <w:overflowPunct/>
        <w:topLinePunct w:val="0"/>
        <w:autoSpaceDE/>
        <w:autoSpaceDN/>
        <w:bidi w:val="0"/>
        <w:adjustRightInd/>
        <w:snapToGrid/>
        <w:spacing w:line="560" w:lineRule="exact"/>
        <w:ind w:firstLine="470" w:firstLineChars="196"/>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szCs w:val="24"/>
        </w:rPr>
        <w:t>该项目创建属独属资源，具有唯一性。气象部门采用属地化管理。根据《中华人民共和国政府采购法》、《中华人民共和国财政部令》第74号《政府采购非招标采购方式管理办法》、《中华人民共和国政府采购法实施条例》第二十七条“公共服务项目具有特殊要求，导致只能从某一特定供应商处采购”的规定，符合单一来源采购要求，拟采用单一来源方式进行采购。</w:t>
      </w:r>
      <w:r>
        <w:rPr>
          <w:rFonts w:hint="eastAsia" w:ascii="宋体" w:hAnsi="宋体" w:eastAsia="宋体" w:cs="宋体"/>
          <w:bCs/>
          <w:color w:val="auto"/>
          <w:sz w:val="24"/>
        </w:rPr>
        <w:t>综上，</w:t>
      </w:r>
      <w:r>
        <w:rPr>
          <w:rFonts w:hint="eastAsia" w:ascii="宋体" w:hAnsi="宋体" w:cs="宋体"/>
          <w:bCs/>
          <w:color w:val="auto"/>
          <w:sz w:val="24"/>
          <w:lang w:eastAsia="zh-CN"/>
        </w:rPr>
        <w:t>河南省气象服务中心(河南省气象影视和宣传中心)</w:t>
      </w:r>
      <w:r>
        <w:rPr>
          <w:rFonts w:hint="eastAsia" w:ascii="宋体" w:hAnsi="宋体" w:eastAsia="宋体" w:cs="宋体"/>
          <w:bCs/>
          <w:color w:val="auto"/>
          <w:sz w:val="24"/>
        </w:rPr>
        <w:t>是</w:t>
      </w:r>
      <w:r>
        <w:rPr>
          <w:rFonts w:hint="eastAsia" w:ascii="宋体" w:hAnsi="宋体" w:eastAsia="宋体" w:cs="宋体"/>
          <w:bCs/>
          <w:color w:val="auto"/>
          <w:sz w:val="24"/>
          <w:lang w:eastAsia="zh-CN"/>
        </w:rPr>
        <w:t>灵宝市“中国天然氧吧”复查技术服务委托项目</w:t>
      </w:r>
      <w:r>
        <w:rPr>
          <w:rFonts w:hint="eastAsia" w:ascii="宋体" w:hAnsi="宋体" w:eastAsia="宋体" w:cs="宋体"/>
          <w:bCs/>
          <w:color w:val="auto"/>
          <w:sz w:val="24"/>
        </w:rPr>
        <w:t>的唯一供应商，符合《中华人民共和国政府采购法》第三十一条第一款规定。本项目拟采用单一来源方式进行采购</w:t>
      </w:r>
      <w:r>
        <w:rPr>
          <w:rFonts w:hint="eastAsia" w:ascii="宋体" w:hAnsi="宋体" w:eastAsia="宋体" w:cs="宋体"/>
          <w:bCs/>
          <w:color w:val="auto"/>
          <w:sz w:val="24"/>
          <w:lang w:eastAsia="zh-CN"/>
        </w:rPr>
        <w:t>。</w:t>
      </w:r>
    </w:p>
    <w:p>
      <w:pPr>
        <w:keepNext w:val="0"/>
        <w:keepLines w:val="0"/>
        <w:pageBreakBefore w:val="0"/>
        <w:kinsoku/>
        <w:wordWrap/>
        <w:overflowPunct/>
        <w:topLinePunct w:val="0"/>
        <w:autoSpaceDE/>
        <w:autoSpaceDN/>
        <w:bidi w:val="0"/>
        <w:adjustRightInd/>
        <w:snapToGrid/>
        <w:spacing w:line="560" w:lineRule="exact"/>
        <w:ind w:right="-216"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四、供应商资格要求：</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1、满足《中华人民共和国政府采购法》第二十二条规定；</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2、具有有效的营业执照、税务登记证、组织机构代码证（或三证合一的营业执照）；</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3、具有履行合同所必需的设备和专业技术能力（自行作出承诺，格式自拟）；</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4、参加政府采购活动近三年内，在经营活动中没有重大违法记录（自行作出承诺，格式自拟）；</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根据《关于在政府采购活动中查询及使用信用记录有关问题的通知》(财库[2016]125号)和豫财购【2016】15号的规定，对列入失信被执行人和重大税收违法失信主体、政府采购严重违法失信行为记录名单的投标人，拒绝其参与本招标项目；（（①通过“信用中国”网站（http://www.creditchina.gov.cn/）“信用服务”-“失信被执行人”会跳转至“中国执行信息公开网”网站（http://zxgk.court.gov.cn/shixin/）查询企业（省份默认全部）②通过“信用中国”网站（http://www.creditchina.gov.cn/）“信用服务”-“重大税收违法失信主体”查询企业③通过“中国政府采购”网（www.ccgp.gov.cn）-“政府采购严重违法失信行为记录名单”查询企业）；</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6</w:t>
      </w:r>
      <w:r>
        <w:rPr>
          <w:rFonts w:hint="eastAsia" w:ascii="宋体" w:hAnsi="宋体" w:eastAsia="宋体" w:cs="宋体"/>
          <w:color w:val="auto"/>
          <w:sz w:val="24"/>
        </w:rPr>
        <w:t>、本项目不接受联合体投标</w:t>
      </w:r>
      <w:r>
        <w:rPr>
          <w:rFonts w:hint="eastAsia" w:ascii="宋体" w:hAnsi="宋体" w:eastAsia="宋体" w:cs="宋体"/>
          <w:color w:val="auto"/>
          <w:sz w:val="24"/>
          <w:lang w:eastAsia="zh-CN"/>
        </w:rPr>
        <w:t>，实行资格后审</w:t>
      </w:r>
      <w:r>
        <w:rPr>
          <w:rFonts w:hint="eastAsia" w:ascii="宋体" w:hAnsi="宋体" w:eastAsia="宋体" w:cs="宋体"/>
          <w:color w:val="auto"/>
          <w:sz w:val="24"/>
        </w:rPr>
        <w:t>；</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五、获取单一来源文件方式：</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auto"/>
          <w:sz w:val="24"/>
          <w:szCs w:val="22"/>
        </w:rPr>
      </w:pPr>
      <w:r>
        <w:rPr>
          <w:rFonts w:hint="eastAsia" w:ascii="宋体" w:hAnsi="宋体" w:eastAsia="宋体" w:cs="宋体"/>
          <w:bCs/>
          <w:color w:val="auto"/>
          <w:sz w:val="24"/>
          <w:szCs w:val="22"/>
        </w:rPr>
        <w:t>1、本项目没有报名环节，投标供应商凭CA数字证书通过三门峡市公共资源交易中心网（网址：http://gzjy.smx.gov.cn/spweb/SMX/Home/index.do），点击交易平台选择“市场主体登录”，在所参与项目右侧点击参与投标，即可直接下载本项目</w:t>
      </w:r>
      <w:r>
        <w:rPr>
          <w:rFonts w:hint="eastAsia" w:ascii="宋体" w:hAnsi="宋体" w:eastAsia="宋体" w:cs="宋体"/>
          <w:bCs/>
          <w:color w:val="auto"/>
          <w:sz w:val="24"/>
          <w:szCs w:val="22"/>
          <w:lang w:eastAsia="zh-CN"/>
        </w:rPr>
        <w:t>单一来源采购文件</w:t>
      </w:r>
      <w:r>
        <w:rPr>
          <w:rFonts w:hint="eastAsia" w:ascii="宋体" w:hAnsi="宋体" w:eastAsia="宋体" w:cs="宋体"/>
          <w:bCs/>
          <w:color w:val="auto"/>
          <w:sz w:val="24"/>
          <w:szCs w:val="22"/>
        </w:rPr>
        <w:t>（</w:t>
      </w:r>
      <w:r>
        <w:rPr>
          <w:rFonts w:hint="eastAsia" w:ascii="宋体" w:hAnsi="宋体" w:eastAsia="宋体" w:cs="宋体"/>
          <w:bCs/>
          <w:color w:val="auto"/>
          <w:sz w:val="24"/>
          <w:szCs w:val="22"/>
          <w:lang w:eastAsia="zh-CN"/>
        </w:rPr>
        <w:t>单一来源采购文件</w:t>
      </w:r>
      <w:r>
        <w:rPr>
          <w:rFonts w:hint="eastAsia" w:ascii="宋体" w:hAnsi="宋体" w:eastAsia="宋体" w:cs="宋体"/>
          <w:bCs/>
          <w:color w:val="auto"/>
          <w:sz w:val="24"/>
          <w:szCs w:val="22"/>
        </w:rPr>
        <w:t>中包含采购清单等投标所需一切内容）。</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auto"/>
          <w:sz w:val="24"/>
          <w:szCs w:val="22"/>
        </w:rPr>
      </w:pPr>
      <w:r>
        <w:rPr>
          <w:rFonts w:hint="eastAsia" w:ascii="宋体" w:hAnsi="宋体" w:eastAsia="宋体" w:cs="宋体"/>
          <w:bCs/>
          <w:color w:val="auto"/>
          <w:sz w:val="24"/>
          <w:szCs w:val="22"/>
        </w:rPr>
        <w:t>办理CA证书：</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auto"/>
          <w:sz w:val="24"/>
          <w:szCs w:val="22"/>
        </w:rPr>
      </w:pPr>
      <w:r>
        <w:rPr>
          <w:rFonts w:hint="eastAsia" w:ascii="宋体" w:hAnsi="宋体" w:eastAsia="宋体" w:cs="宋体"/>
          <w:bCs/>
          <w:color w:val="auto"/>
          <w:sz w:val="24"/>
          <w:szCs w:val="22"/>
        </w:rPr>
        <w:t>http://www.smxgzjy.cn/spweb/SMX/CertificateEntry/describe.do</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rPr>
      </w:pPr>
      <w:r>
        <w:rPr>
          <w:rFonts w:hint="eastAsia" w:ascii="宋体" w:hAnsi="宋体" w:eastAsia="宋体" w:cs="宋体"/>
          <w:bCs/>
          <w:color w:val="auto"/>
          <w:sz w:val="24"/>
          <w:szCs w:val="22"/>
        </w:rPr>
        <w:t>三门峡市公共资源交易平台操作手册：https://t.cn/A625r72N</w:t>
      </w:r>
      <w:r>
        <w:rPr>
          <w:rFonts w:hint="eastAsia" w:ascii="宋体" w:hAnsi="宋体" w:eastAsia="宋体" w:cs="宋体"/>
          <w:color w:val="auto"/>
          <w:sz w:val="24"/>
        </w:rPr>
        <w:t>。</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rPr>
        <w:t>2、单一来源文件下载时间：</w:t>
      </w:r>
      <w:r>
        <w:rPr>
          <w:rFonts w:hint="eastAsia" w:ascii="宋体" w:hAnsi="宋体" w:eastAsia="宋体" w:cs="宋体"/>
          <w:color w:val="auto"/>
          <w:sz w:val="24"/>
          <w:highlight w:val="none"/>
          <w:lang w:val="en-US" w:eastAsia="zh-CN"/>
        </w:rPr>
        <w:t>2023</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日至</w:t>
      </w:r>
      <w:r>
        <w:rPr>
          <w:rFonts w:hint="eastAsia" w:ascii="宋体" w:hAnsi="宋体" w:cs="宋体"/>
          <w:color w:val="auto"/>
          <w:sz w:val="24"/>
          <w:highlight w:val="none"/>
          <w:lang w:eastAsia="zh-CN"/>
        </w:rPr>
        <w:t>2023年12月07日08时30分</w:t>
      </w:r>
      <w:r>
        <w:rPr>
          <w:rFonts w:hint="eastAsia" w:ascii="宋体" w:hAnsi="宋体" w:eastAsia="宋体" w:cs="宋体"/>
          <w:color w:val="auto"/>
          <w:sz w:val="24"/>
          <w:highlight w:val="none"/>
        </w:rPr>
        <w:t>。</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highlight w:val="none"/>
        </w:rPr>
        <w:t>注：本项目为不见面开标项目，开</w:t>
      </w:r>
      <w:r>
        <w:rPr>
          <w:rFonts w:hint="eastAsia" w:ascii="宋体" w:hAnsi="宋体" w:eastAsia="宋体" w:cs="宋体"/>
          <w:color w:val="auto"/>
          <w:sz w:val="24"/>
        </w:rPr>
        <w:t>标当日，供应商无需到开标现场参加开标会议，供应商应当在投标截止时间前，登陆不见面开标大厅选择登陆三门峡市公共资源电子招投标系统进行登陆（网址为http://120.194.249.36:10094/BidOpening/bidopeninghallaction/hall/login;jsessionid=FD4E2CD2FAFADCA7489D16512B1DDB3F）,在线准时参加开标活动并进行响应性文件解密等。每位供应商的解密时间为开标时间起30分钟内完成。因供应商原因未能解密、解密失败或解密超时的将被拒绝。</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3、报名资料的提交：</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项目实行资格后审，审查内容以响应性文件为准，其上传资料真实性由投标人自行承担，同时，投标人要完善主体库。规定时间外上传或更改的信息不作为评标依据。市场主体信息库上传信息必须内容齐全，真实有效，原件扫描件清晰可辨。否则，由此造成应得分而未得分或资格审查不合格等情况的，由投标供应商承担责任。</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注：（1）在项目开标时间起至评标结束止，市场主体信息库将处于锁定状态。如连续投报多个项目，市场主体信息库锁定时间也将延长，请投标供应商合理安排资料上传时间，尽可能早的将所有项目资料上传至三门峡市公共资源交易供应商市场主体信息库。（2）本项目实行资格后审，资格审查的具体要求见</w:t>
      </w:r>
      <w:r>
        <w:rPr>
          <w:rFonts w:hint="eastAsia" w:ascii="宋体" w:hAnsi="宋体" w:eastAsia="宋体" w:cs="宋体"/>
          <w:color w:val="auto"/>
          <w:sz w:val="24"/>
          <w:lang w:val="en-US" w:eastAsia="zh-CN"/>
        </w:rPr>
        <w:t>单一来源采购</w:t>
      </w:r>
      <w:r>
        <w:rPr>
          <w:rFonts w:hint="eastAsia" w:ascii="宋体" w:hAnsi="宋体" w:eastAsia="宋体" w:cs="宋体"/>
          <w:color w:val="auto"/>
          <w:sz w:val="24"/>
        </w:rPr>
        <w:t>文件。</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六、投标保证金</w:t>
      </w:r>
      <w:r>
        <w:rPr>
          <w:rFonts w:hint="eastAsia" w:ascii="宋体" w:hAnsi="宋体" w:eastAsia="宋体" w:cs="宋体"/>
          <w:color w:val="auto"/>
          <w:sz w:val="24"/>
        </w:rPr>
        <w:tab/>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按照《河南省财政厅关于优化政府采购营商环境有关问题的通知》（豫财购[2019]4号文）的要求本项目不再收取投标保证金。</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七、响应文件提交的截止时间和地点：</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rPr>
        <w:t>1、时间</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2023年12月07日08时30分</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highlight w:val="none"/>
        </w:rPr>
        <w:t>2、地点：灵宝市公共资源交易中心开标</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室（</w:t>
      </w:r>
      <w:r>
        <w:rPr>
          <w:rFonts w:hint="eastAsia" w:ascii="宋体" w:hAnsi="宋体" w:eastAsia="宋体" w:cs="宋体"/>
          <w:color w:val="auto"/>
          <w:sz w:val="24"/>
        </w:rPr>
        <w:t>灵宝市金城大道信用联社12楼）</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八、发布公告的媒介：</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本次公告同时在《河南省政府采购网》、《中国采购与招标网》和《三门峡市公共资源交易中心网》发布。</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九、联系方式</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采购人名称：</w:t>
      </w:r>
      <w:r>
        <w:rPr>
          <w:rFonts w:hint="eastAsia" w:ascii="宋体" w:hAnsi="宋体" w:eastAsia="宋体" w:cs="宋体"/>
          <w:color w:val="auto"/>
          <w:sz w:val="24"/>
          <w:lang w:eastAsia="zh-CN"/>
        </w:rPr>
        <w:t>灵宝市气象局</w:t>
      </w:r>
      <w:r>
        <w:rPr>
          <w:rFonts w:hint="eastAsia" w:ascii="宋体" w:hAnsi="宋体" w:eastAsia="宋体" w:cs="宋体"/>
          <w:color w:val="auto"/>
          <w:sz w:val="24"/>
        </w:rPr>
        <w:t xml:space="preserve"> </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地址：灵宝市金城大道东段</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联系人：</w:t>
      </w:r>
      <w:r>
        <w:rPr>
          <w:rFonts w:hint="eastAsia" w:ascii="宋体" w:hAnsi="宋体" w:eastAsia="宋体" w:cs="宋体"/>
          <w:color w:val="auto"/>
          <w:sz w:val="24"/>
          <w:lang w:eastAsia="zh-CN"/>
        </w:rPr>
        <w:t>张先生</w:t>
      </w:r>
      <w:r>
        <w:rPr>
          <w:rFonts w:hint="eastAsia" w:ascii="宋体" w:hAnsi="宋体" w:eastAsia="宋体" w:cs="宋体"/>
          <w:color w:val="auto"/>
          <w:sz w:val="24"/>
        </w:rPr>
        <w:t xml:space="preserve"> </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rPr>
        <w:t>联系方式：</w:t>
      </w:r>
      <w:r>
        <w:rPr>
          <w:rFonts w:hint="eastAsia" w:ascii="宋体" w:hAnsi="宋体" w:eastAsia="宋体" w:cs="宋体"/>
          <w:color w:val="auto"/>
          <w:sz w:val="24"/>
          <w:lang w:eastAsia="zh-CN"/>
        </w:rPr>
        <w:t>0398-8831000</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监督机构：</w:t>
      </w:r>
      <w:r>
        <w:rPr>
          <w:rFonts w:hint="eastAsia" w:ascii="宋体" w:hAnsi="宋体" w:eastAsia="宋体" w:cs="宋体"/>
          <w:color w:val="auto"/>
          <w:sz w:val="24"/>
        </w:rPr>
        <w:t xml:space="preserve">灵宝市政府采购监督管理科 </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rPr>
      </w:pPr>
      <w:r>
        <w:rPr>
          <w:rFonts w:hint="eastAsia" w:ascii="宋体" w:hAnsi="宋体" w:eastAsia="宋体" w:cs="宋体"/>
          <w:bCs/>
          <w:color w:val="auto"/>
          <w:sz w:val="24"/>
          <w:highlight w:val="none"/>
          <w:lang w:val="en-US" w:eastAsia="zh-CN"/>
        </w:rPr>
        <w:t>联系电话：</w:t>
      </w:r>
      <w:r>
        <w:rPr>
          <w:rFonts w:hint="eastAsia" w:ascii="宋体" w:hAnsi="宋体" w:eastAsia="宋体" w:cs="宋体"/>
          <w:color w:val="auto"/>
          <w:sz w:val="24"/>
        </w:rPr>
        <w:t>0398-8852670</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监督机构：中共灵宝市气象局党组</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联系电话：</w:t>
      </w:r>
      <w:r>
        <w:rPr>
          <w:rFonts w:hint="eastAsia" w:ascii="宋体" w:hAnsi="宋体" w:cs="宋体"/>
          <w:color w:val="auto"/>
          <w:sz w:val="24"/>
          <w:highlight w:val="none"/>
          <w:lang w:val="en-US" w:eastAsia="zh-CN"/>
        </w:rPr>
        <w:t>0398-8831001</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采购代理机构名称：</w:t>
      </w:r>
      <w:r>
        <w:rPr>
          <w:rFonts w:hint="eastAsia" w:ascii="宋体" w:hAnsi="宋体" w:eastAsia="宋体" w:cs="宋体"/>
          <w:color w:val="auto"/>
          <w:sz w:val="24"/>
          <w:lang w:eastAsia="zh-CN"/>
        </w:rPr>
        <w:t>中岐能工程项目管理有限公司</w:t>
      </w:r>
      <w:r>
        <w:rPr>
          <w:rFonts w:hint="eastAsia" w:ascii="宋体" w:hAnsi="宋体" w:eastAsia="宋体" w:cs="宋体"/>
          <w:color w:val="auto"/>
          <w:sz w:val="24"/>
        </w:rPr>
        <w:t xml:space="preserve"> </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rPr>
        <w:t>地址：</w:t>
      </w:r>
      <w:r>
        <w:rPr>
          <w:rFonts w:hint="eastAsia" w:ascii="宋体" w:hAnsi="宋体" w:eastAsia="宋体" w:cs="宋体"/>
          <w:color w:val="auto"/>
          <w:sz w:val="24"/>
          <w:lang w:eastAsia="zh-CN"/>
        </w:rPr>
        <w:t>灵宝市长安路国营灵宝农场办公楼2楼</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联系人：</w:t>
      </w:r>
      <w:r>
        <w:rPr>
          <w:rFonts w:hint="eastAsia" w:ascii="宋体" w:hAnsi="宋体" w:eastAsia="宋体" w:cs="宋体"/>
          <w:color w:val="auto"/>
          <w:sz w:val="24"/>
          <w:lang w:eastAsia="zh-CN"/>
        </w:rPr>
        <w:t>董女士</w:t>
      </w:r>
      <w:r>
        <w:rPr>
          <w:rFonts w:hint="eastAsia" w:ascii="宋体" w:hAnsi="宋体" w:eastAsia="宋体" w:cs="宋体"/>
          <w:color w:val="auto"/>
          <w:sz w:val="24"/>
        </w:rPr>
        <w:t xml:space="preserve"> </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rPr>
        <w:t>联系方式：</w:t>
      </w:r>
      <w:r>
        <w:rPr>
          <w:rFonts w:hint="eastAsia" w:ascii="宋体" w:hAnsi="宋体" w:eastAsia="宋体" w:cs="宋体"/>
          <w:color w:val="auto"/>
          <w:sz w:val="24"/>
          <w:lang w:eastAsia="zh-CN"/>
        </w:rPr>
        <w:t>13526501863</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rPr>
      </w:pPr>
    </w:p>
    <w:p>
      <w:pPr>
        <w:pStyle w:val="7"/>
        <w:rPr>
          <w:rFonts w:hint="eastAsia" w:ascii="宋体" w:hAnsi="宋体" w:eastAsia="宋体" w:cs="宋体"/>
          <w:b/>
          <w:bCs/>
          <w:color w:val="auto"/>
          <w:kern w:val="2"/>
          <w:sz w:val="40"/>
          <w:szCs w:val="36"/>
          <w:lang w:val="en-US" w:eastAsia="zh-CN" w:bidi="ar-SA"/>
        </w:rPr>
      </w:pPr>
      <w:r>
        <w:rPr>
          <w:rFonts w:hint="eastAsia" w:ascii="宋体" w:hAnsi="宋体" w:eastAsia="宋体" w:cs="宋体"/>
          <w:color w:val="auto"/>
        </w:rPr>
        <w:br w:type="page"/>
      </w:r>
      <w:bookmarkStart w:id="3" w:name="_Toc32041"/>
      <w:r>
        <w:rPr>
          <w:rFonts w:hint="eastAsia" w:ascii="宋体" w:hAnsi="宋体" w:eastAsia="宋体" w:cs="宋体"/>
          <w:b/>
          <w:bCs/>
          <w:color w:val="auto"/>
          <w:kern w:val="2"/>
          <w:sz w:val="28"/>
          <w:szCs w:val="28"/>
          <w:lang w:val="en-US" w:eastAsia="zh-CN" w:bidi="ar-SA"/>
        </w:rPr>
        <w:t>第二章  供应商须知</w:t>
      </w:r>
      <w:bookmarkEnd w:id="3"/>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6"/>
        <w:gridCol w:w="1683"/>
        <w:gridCol w:w="61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425" w:type="pct"/>
            <w:tcBorders>
              <w:tl2br w:val="nil"/>
              <w:tr2bl w:val="nil"/>
            </w:tcBorders>
            <w:noWrap w:val="0"/>
            <w:vAlign w:val="center"/>
          </w:tcPr>
          <w:p>
            <w:pPr>
              <w:bidi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条款号</w:t>
            </w:r>
          </w:p>
        </w:tc>
        <w:tc>
          <w:tcPr>
            <w:tcW w:w="987" w:type="pct"/>
            <w:tcBorders>
              <w:tl2br w:val="nil"/>
              <w:tr2bl w:val="nil"/>
            </w:tcBorders>
            <w:noWrap w:val="0"/>
            <w:vAlign w:val="center"/>
          </w:tcPr>
          <w:p>
            <w:pPr>
              <w:bidi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条款名称</w:t>
            </w:r>
          </w:p>
        </w:tc>
        <w:tc>
          <w:tcPr>
            <w:tcW w:w="3586" w:type="pct"/>
            <w:tcBorders>
              <w:tl2br w:val="nil"/>
              <w:tr2bl w:val="nil"/>
            </w:tcBorders>
            <w:noWrap w:val="0"/>
            <w:vAlign w:val="center"/>
          </w:tcPr>
          <w:p>
            <w:pPr>
              <w:bidi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425"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987"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采购人</w:t>
            </w:r>
          </w:p>
        </w:tc>
        <w:tc>
          <w:tcPr>
            <w:tcW w:w="3586" w:type="pct"/>
            <w:tcBorders>
              <w:tl2br w:val="nil"/>
              <w:tr2bl w:val="nil"/>
            </w:tcBorders>
            <w:noWrap w:val="0"/>
            <w:vAlign w:val="center"/>
          </w:tcPr>
          <w:p>
            <w:pPr>
              <w:bidi w:val="0"/>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采购人名称：灵宝市气象局</w:t>
            </w:r>
          </w:p>
          <w:p>
            <w:pPr>
              <w:bidi w:val="0"/>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地址：灵宝市金城大道东段</w:t>
            </w:r>
          </w:p>
          <w:p>
            <w:pPr>
              <w:bidi w:val="0"/>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联系人：张先生</w:t>
            </w:r>
          </w:p>
          <w:p>
            <w:pPr>
              <w:bidi w:val="0"/>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联系方式：0398-8831000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425"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987"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代理机构</w:t>
            </w:r>
          </w:p>
        </w:tc>
        <w:tc>
          <w:tcPr>
            <w:tcW w:w="3586" w:type="pct"/>
            <w:tcBorders>
              <w:tl2br w:val="nil"/>
              <w:tr2bl w:val="nil"/>
            </w:tcBorders>
            <w:noWrap w:val="0"/>
            <w:vAlign w:val="center"/>
          </w:tcPr>
          <w:p>
            <w:pPr>
              <w:bidi w:val="0"/>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采购代理机构名称：</w:t>
            </w:r>
            <w:r>
              <w:rPr>
                <w:rFonts w:hint="eastAsia" w:ascii="宋体" w:hAnsi="宋体" w:eastAsia="宋体" w:cs="宋体"/>
                <w:color w:val="auto"/>
                <w:sz w:val="21"/>
                <w:szCs w:val="21"/>
                <w:lang w:eastAsia="zh-CN"/>
              </w:rPr>
              <w:t>中岐能工程项目管理有限公司</w:t>
            </w:r>
          </w:p>
          <w:p>
            <w:pPr>
              <w:bidi w:val="0"/>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地址：</w:t>
            </w:r>
            <w:r>
              <w:rPr>
                <w:rFonts w:hint="eastAsia" w:ascii="宋体" w:hAnsi="宋体" w:eastAsia="宋体" w:cs="宋体"/>
                <w:color w:val="auto"/>
                <w:sz w:val="21"/>
                <w:szCs w:val="21"/>
                <w:lang w:eastAsia="zh-CN"/>
              </w:rPr>
              <w:t>灵宝市长安路国营灵宝农场办公楼2楼</w:t>
            </w:r>
          </w:p>
          <w:p>
            <w:pPr>
              <w:bidi w:val="0"/>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联系人：</w:t>
            </w:r>
            <w:r>
              <w:rPr>
                <w:rFonts w:hint="eastAsia" w:ascii="宋体" w:hAnsi="宋体" w:eastAsia="宋体" w:cs="宋体"/>
                <w:color w:val="auto"/>
                <w:sz w:val="21"/>
                <w:szCs w:val="21"/>
                <w:lang w:eastAsia="zh-CN"/>
              </w:rPr>
              <w:t>董女士</w:t>
            </w:r>
          </w:p>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联系方式：</w:t>
            </w:r>
            <w:r>
              <w:rPr>
                <w:rFonts w:hint="eastAsia" w:ascii="宋体" w:hAnsi="宋体" w:eastAsia="宋体" w:cs="宋体"/>
                <w:color w:val="auto"/>
                <w:sz w:val="21"/>
                <w:szCs w:val="21"/>
                <w:lang w:eastAsia="zh-CN"/>
              </w:rPr>
              <w:t>13526501863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425"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987"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项目名称</w:t>
            </w:r>
          </w:p>
        </w:tc>
        <w:tc>
          <w:tcPr>
            <w:tcW w:w="3586" w:type="pct"/>
            <w:tcBorders>
              <w:tl2br w:val="nil"/>
              <w:tr2bl w:val="nil"/>
            </w:tcBorders>
            <w:noWrap w:val="0"/>
            <w:vAlign w:val="center"/>
          </w:tcPr>
          <w:p>
            <w:pPr>
              <w:bidi w:val="0"/>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灵宝市“中国天然氧吧”复查技术服务委托项目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425"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987"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项目内容</w:t>
            </w:r>
          </w:p>
        </w:tc>
        <w:tc>
          <w:tcPr>
            <w:tcW w:w="3586" w:type="pct"/>
            <w:tcBorders>
              <w:tl2br w:val="nil"/>
              <w:tr2bl w:val="nil"/>
            </w:tcBorders>
            <w:noWrap w:val="0"/>
            <w:vAlign w:val="center"/>
          </w:tcPr>
          <w:p>
            <w:pPr>
              <w:bidi w:val="0"/>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详见第三章</w:t>
            </w:r>
            <w:r>
              <w:rPr>
                <w:rFonts w:hint="eastAsia" w:ascii="宋体" w:hAnsi="宋体" w:eastAsia="宋体" w:cs="宋体"/>
                <w:color w:val="auto"/>
                <w:sz w:val="21"/>
                <w:szCs w:val="21"/>
              </w:rPr>
              <w:t>采购服务需求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425"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987"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资金来源</w:t>
            </w:r>
          </w:p>
        </w:tc>
        <w:tc>
          <w:tcPr>
            <w:tcW w:w="3586" w:type="pct"/>
            <w:tcBorders>
              <w:tl2br w:val="nil"/>
              <w:tr2bl w:val="nil"/>
            </w:tcBorders>
            <w:noWrap w:val="0"/>
            <w:vAlign w:val="center"/>
          </w:tcPr>
          <w:p>
            <w:pPr>
              <w:bidi w:val="0"/>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财政资金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425"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987"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资金落实情况</w:t>
            </w:r>
          </w:p>
        </w:tc>
        <w:tc>
          <w:tcPr>
            <w:tcW w:w="3586" w:type="pct"/>
            <w:tcBorders>
              <w:tl2br w:val="nil"/>
              <w:tr2bl w:val="nil"/>
            </w:tcBorders>
            <w:noWrap w:val="0"/>
            <w:vAlign w:val="center"/>
          </w:tcPr>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425"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987"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服务期限</w:t>
            </w:r>
          </w:p>
        </w:tc>
        <w:tc>
          <w:tcPr>
            <w:tcW w:w="3586" w:type="pct"/>
            <w:tcBorders>
              <w:tl2br w:val="nil"/>
              <w:tr2bl w:val="nil"/>
            </w:tcBorders>
            <w:noWrap w:val="0"/>
            <w:vAlign w:val="center"/>
          </w:tcPr>
          <w:p>
            <w:pPr>
              <w:bidi w:val="0"/>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2024年3月前完成所有工作内容并开始进行不少于6个月的宣传；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425"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987"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3586" w:type="pct"/>
            <w:tcBorders>
              <w:tl2br w:val="nil"/>
              <w:tr2bl w:val="nil"/>
            </w:tcBorders>
            <w:noWrap w:val="0"/>
            <w:vAlign w:val="center"/>
          </w:tcPr>
          <w:p>
            <w:pPr>
              <w:bidi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符合国家相关规范及行业标准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425"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0</w:t>
            </w:r>
          </w:p>
        </w:tc>
        <w:tc>
          <w:tcPr>
            <w:tcW w:w="987"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响应人资质条件、能力和信誉</w:t>
            </w:r>
          </w:p>
        </w:tc>
        <w:tc>
          <w:tcPr>
            <w:tcW w:w="3586" w:type="pct"/>
            <w:tcBorders>
              <w:tl2br w:val="nil"/>
              <w:tr2bl w:val="nil"/>
            </w:tcBorders>
            <w:noWrap w:val="0"/>
            <w:vAlign w:val="center"/>
          </w:tcPr>
          <w:p>
            <w:pPr>
              <w:bidi w:val="0"/>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1、满足《中华人民共和国政府采购法》第二十二条规定；</w:t>
            </w:r>
          </w:p>
          <w:p>
            <w:pPr>
              <w:bidi w:val="0"/>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2、具有有效的营业执照、税务登记证、组织机构代码证（或三证合一的营业执照）；</w:t>
            </w:r>
          </w:p>
          <w:p>
            <w:pPr>
              <w:bidi w:val="0"/>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3、具有履行合同所必需的设备和专业技术能力（自行作出承诺，格式自拟）；</w:t>
            </w:r>
          </w:p>
          <w:p>
            <w:pPr>
              <w:bidi w:val="0"/>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4、参加政府采购活动近三年内，在经营活动中没有重大违法记录（自行作出承诺，格式自拟）；</w:t>
            </w:r>
          </w:p>
          <w:p>
            <w:pPr>
              <w:bidi w:val="0"/>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根据《关于在政府采购活动中查询及使用信用记录有关问题的通知》(财库[2016]125号)和豫财购【2016】15号的规定，对列入失信被执行人和重大税收违法失信主体、政府采购严重违法失信行为记录名单的投标人，拒绝其参与本招标项目；（（①通过“信用中国”网站（http://www.creditchina.gov.cn/）“信用服务”-“失信被执行人”会跳转至“中国执行信息公开网”网站（http://zxgk.court.gov.cn/shixin/）查询企业（省份默认全部）②通过“信用中国”网站（http://www.creditchina.gov.cn/）“信用服务”-“重大税收违法失信主体”查询企业③通过“中国政府采购”网（www.ccgp.gov.cn）-“政府采购严重违法失信行为记录名单”查询企业）；</w:t>
            </w:r>
          </w:p>
          <w:p>
            <w:pPr>
              <w:bidi w:val="0"/>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6、本项目不接受联合体投标，实行资格后审；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425"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987"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是否接受联合体</w:t>
            </w:r>
            <w:r>
              <w:rPr>
                <w:rFonts w:hint="eastAsia" w:ascii="宋体" w:hAnsi="宋体" w:eastAsia="宋体" w:cs="宋体"/>
                <w:color w:val="auto"/>
                <w:sz w:val="21"/>
                <w:szCs w:val="21"/>
                <w:lang w:eastAsia="zh-CN"/>
              </w:rPr>
              <w:t>招标</w:t>
            </w:r>
          </w:p>
        </w:tc>
        <w:tc>
          <w:tcPr>
            <w:tcW w:w="3586" w:type="pct"/>
            <w:tcBorders>
              <w:tl2br w:val="nil"/>
              <w:tr2bl w:val="nil"/>
            </w:tcBorders>
            <w:noWrap w:val="0"/>
            <w:vAlign w:val="center"/>
          </w:tcPr>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425"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p>
        </w:tc>
        <w:tc>
          <w:tcPr>
            <w:tcW w:w="987"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分包</w:t>
            </w:r>
          </w:p>
        </w:tc>
        <w:tc>
          <w:tcPr>
            <w:tcW w:w="3586" w:type="pct"/>
            <w:tcBorders>
              <w:tl2br w:val="nil"/>
              <w:tr2bl w:val="nil"/>
            </w:tcBorders>
            <w:noWrap w:val="0"/>
            <w:vAlign w:val="center"/>
          </w:tcPr>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425"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p>
        </w:tc>
        <w:tc>
          <w:tcPr>
            <w:tcW w:w="987"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偏离</w:t>
            </w:r>
          </w:p>
        </w:tc>
        <w:tc>
          <w:tcPr>
            <w:tcW w:w="3586" w:type="pct"/>
            <w:tcBorders>
              <w:tl2br w:val="nil"/>
              <w:tr2bl w:val="nil"/>
            </w:tcBorders>
            <w:noWrap w:val="0"/>
            <w:vAlign w:val="center"/>
          </w:tcPr>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jc w:val="center"/>
        </w:trPr>
        <w:tc>
          <w:tcPr>
            <w:tcW w:w="425"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987"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构成</w:t>
            </w:r>
            <w:r>
              <w:rPr>
                <w:rFonts w:hint="eastAsia" w:ascii="宋体" w:hAnsi="宋体" w:eastAsia="宋体" w:cs="宋体"/>
                <w:color w:val="auto"/>
                <w:sz w:val="21"/>
                <w:szCs w:val="21"/>
                <w:lang w:eastAsia="zh-CN"/>
              </w:rPr>
              <w:t>单一来源采购文件</w:t>
            </w:r>
            <w:r>
              <w:rPr>
                <w:rFonts w:hint="eastAsia" w:ascii="宋体" w:hAnsi="宋体" w:eastAsia="宋体" w:cs="宋体"/>
                <w:color w:val="auto"/>
                <w:sz w:val="21"/>
                <w:szCs w:val="21"/>
              </w:rPr>
              <w:t>的其他材料</w:t>
            </w:r>
          </w:p>
        </w:tc>
        <w:tc>
          <w:tcPr>
            <w:tcW w:w="3586" w:type="pct"/>
            <w:tcBorders>
              <w:tl2br w:val="nil"/>
              <w:tr2bl w:val="nil"/>
            </w:tcBorders>
            <w:noWrap w:val="0"/>
            <w:vAlign w:val="center"/>
          </w:tcPr>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采购人在招标期间发出的有编号的补遗书和其它有效正式函件等均是</w:t>
            </w:r>
            <w:r>
              <w:rPr>
                <w:rFonts w:hint="eastAsia" w:ascii="宋体" w:hAnsi="宋体" w:eastAsia="宋体" w:cs="宋体"/>
                <w:color w:val="auto"/>
                <w:sz w:val="21"/>
                <w:szCs w:val="21"/>
                <w:lang w:eastAsia="zh-CN"/>
              </w:rPr>
              <w:t>单一来源采购文件</w:t>
            </w:r>
            <w:r>
              <w:rPr>
                <w:rFonts w:hint="eastAsia" w:ascii="宋体" w:hAnsi="宋体" w:eastAsia="宋体" w:cs="宋体"/>
                <w:color w:val="auto"/>
                <w:sz w:val="21"/>
                <w:szCs w:val="21"/>
              </w:rPr>
              <w:t>的组成部分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25"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w:t>
            </w:r>
          </w:p>
        </w:tc>
        <w:tc>
          <w:tcPr>
            <w:tcW w:w="987"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响应截止时间及地点</w:t>
            </w:r>
          </w:p>
        </w:tc>
        <w:tc>
          <w:tcPr>
            <w:tcW w:w="3586" w:type="pct"/>
            <w:tcBorders>
              <w:tl2br w:val="nil"/>
              <w:tr2bl w:val="nil"/>
            </w:tcBorders>
            <w:noWrap w:val="0"/>
            <w:vAlign w:val="center"/>
          </w:tcPr>
          <w:p>
            <w:pPr>
              <w:bidi w:val="0"/>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同公告要求。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425"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w:t>
            </w:r>
          </w:p>
        </w:tc>
        <w:tc>
          <w:tcPr>
            <w:tcW w:w="987"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单一来源采购文件澄清或者修改发出的形式</w:t>
            </w:r>
          </w:p>
        </w:tc>
        <w:tc>
          <w:tcPr>
            <w:tcW w:w="3586" w:type="pct"/>
            <w:tcBorders>
              <w:tl2br w:val="nil"/>
              <w:tr2bl w:val="nil"/>
            </w:tcBorders>
            <w:noWrap w:val="0"/>
            <w:vAlign w:val="center"/>
          </w:tcPr>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在原公告发布媒体上发布澄清或修改公告，供应商在投标截止时间前须自行查看，因供应商未及时查看而造成的后果自负。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425"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w:t>
            </w:r>
          </w:p>
        </w:tc>
        <w:tc>
          <w:tcPr>
            <w:tcW w:w="987"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确认收到单一来源采购文件澄清或者修改</w:t>
            </w:r>
          </w:p>
        </w:tc>
        <w:tc>
          <w:tcPr>
            <w:tcW w:w="3586" w:type="pct"/>
            <w:tcBorders>
              <w:tl2br w:val="nil"/>
              <w:tr2bl w:val="nil"/>
            </w:tcBorders>
            <w:noWrap w:val="0"/>
            <w:vAlign w:val="center"/>
          </w:tcPr>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供应商在投标截止时间前须自行查看在原公告发布媒体上发布的澄清或修改公告，因供应商未及时查看而造成的后果自负。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425"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w:t>
            </w:r>
          </w:p>
        </w:tc>
        <w:tc>
          <w:tcPr>
            <w:tcW w:w="987"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质疑单一来源采购文件件</w:t>
            </w:r>
          </w:p>
        </w:tc>
        <w:tc>
          <w:tcPr>
            <w:tcW w:w="3586" w:type="pct"/>
            <w:tcBorders>
              <w:tl2br w:val="nil"/>
              <w:tr2bl w:val="nil"/>
            </w:tcBorders>
            <w:noWrap w:val="0"/>
            <w:vAlign w:val="center"/>
          </w:tcPr>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供应商对谈判文件如有疑问，应在不晚于谈判开始日前 1 天按谈判邀请书或供应商须知前附表中的联系方式，以书面形式通知采购代理机构。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425"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987"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响应</w:t>
            </w:r>
            <w:r>
              <w:rPr>
                <w:rFonts w:hint="eastAsia" w:ascii="宋体" w:hAnsi="宋体" w:eastAsia="宋体" w:cs="宋体"/>
                <w:color w:val="auto"/>
                <w:sz w:val="21"/>
                <w:szCs w:val="21"/>
              </w:rPr>
              <w:t>文件的组成</w:t>
            </w:r>
          </w:p>
        </w:tc>
        <w:tc>
          <w:tcPr>
            <w:tcW w:w="3586" w:type="pct"/>
            <w:tcBorders>
              <w:tl2br w:val="nil"/>
              <w:tr2bl w:val="nil"/>
            </w:tcBorders>
            <w:noWrap w:val="0"/>
            <w:vAlign w:val="center"/>
          </w:tcPr>
          <w:p>
            <w:pPr>
              <w:bidi w:val="0"/>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见</w:t>
            </w:r>
            <w:r>
              <w:rPr>
                <w:rFonts w:hint="eastAsia" w:ascii="宋体" w:hAnsi="宋体" w:eastAsia="宋体" w:cs="宋体"/>
                <w:color w:val="auto"/>
                <w:sz w:val="21"/>
                <w:szCs w:val="21"/>
                <w:lang w:eastAsia="zh-CN"/>
              </w:rPr>
              <w:t>单一来源采购文件</w:t>
            </w:r>
            <w:r>
              <w:rPr>
                <w:rFonts w:hint="eastAsia" w:ascii="宋体" w:hAnsi="宋体" w:eastAsia="宋体" w:cs="宋体"/>
                <w:color w:val="auto"/>
                <w:sz w:val="21"/>
                <w:szCs w:val="21"/>
              </w:rPr>
              <w:t>本章总则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425"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w:t>
            </w:r>
          </w:p>
        </w:tc>
        <w:tc>
          <w:tcPr>
            <w:tcW w:w="987"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投标</w:t>
            </w:r>
            <w:r>
              <w:rPr>
                <w:rFonts w:hint="eastAsia" w:ascii="宋体" w:hAnsi="宋体" w:eastAsia="宋体" w:cs="宋体"/>
                <w:color w:val="auto"/>
                <w:sz w:val="21"/>
                <w:szCs w:val="21"/>
              </w:rPr>
              <w:t>有效期</w:t>
            </w:r>
          </w:p>
        </w:tc>
        <w:tc>
          <w:tcPr>
            <w:tcW w:w="3586" w:type="pct"/>
            <w:tcBorders>
              <w:tl2br w:val="nil"/>
              <w:tr2bl w:val="nil"/>
            </w:tcBorders>
            <w:noWrap w:val="0"/>
            <w:vAlign w:val="center"/>
          </w:tcPr>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60日历天（从响应文件递交截止之日算起）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425"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w:t>
            </w:r>
          </w:p>
        </w:tc>
        <w:tc>
          <w:tcPr>
            <w:tcW w:w="987"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是否允许递交备选投标方案</w:t>
            </w:r>
          </w:p>
        </w:tc>
        <w:tc>
          <w:tcPr>
            <w:tcW w:w="3586" w:type="pct"/>
            <w:tcBorders>
              <w:tl2br w:val="nil"/>
              <w:tr2bl w:val="nil"/>
            </w:tcBorders>
            <w:noWrap w:val="0"/>
            <w:vAlign w:val="center"/>
          </w:tcPr>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jc w:val="center"/>
        </w:trPr>
        <w:tc>
          <w:tcPr>
            <w:tcW w:w="425"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w:t>
            </w:r>
          </w:p>
        </w:tc>
        <w:tc>
          <w:tcPr>
            <w:tcW w:w="987"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投标保证金</w:t>
            </w:r>
          </w:p>
        </w:tc>
        <w:tc>
          <w:tcPr>
            <w:tcW w:w="3586" w:type="pct"/>
            <w:tcBorders>
              <w:tl2br w:val="nil"/>
              <w:tr2bl w:val="nil"/>
            </w:tcBorders>
            <w:noWrap w:val="0"/>
            <w:vAlign w:val="center"/>
          </w:tcPr>
          <w:p>
            <w:pPr>
              <w:bidi w:val="0"/>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不收取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jc w:val="center"/>
        </w:trPr>
        <w:tc>
          <w:tcPr>
            <w:tcW w:w="425"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w:t>
            </w:r>
          </w:p>
        </w:tc>
        <w:tc>
          <w:tcPr>
            <w:tcW w:w="987"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近年财务状况的年份要求</w:t>
            </w:r>
          </w:p>
        </w:tc>
        <w:tc>
          <w:tcPr>
            <w:tcW w:w="3586" w:type="pct"/>
            <w:tcBorders>
              <w:tl2br w:val="nil"/>
              <w:tr2bl w:val="nil"/>
            </w:tcBorders>
            <w:noWrap w:val="0"/>
            <w:vAlign w:val="center"/>
          </w:tcPr>
          <w:p>
            <w:pPr>
              <w:bidi w:val="0"/>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2022年以来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jc w:val="center"/>
        </w:trPr>
        <w:tc>
          <w:tcPr>
            <w:tcW w:w="425"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w:t>
            </w:r>
          </w:p>
        </w:tc>
        <w:tc>
          <w:tcPr>
            <w:tcW w:w="987"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近年完成的类似项目的年份要求</w:t>
            </w:r>
          </w:p>
        </w:tc>
        <w:tc>
          <w:tcPr>
            <w:tcW w:w="3586" w:type="pct"/>
            <w:tcBorders>
              <w:tl2br w:val="nil"/>
              <w:tr2bl w:val="nil"/>
            </w:tcBorders>
            <w:noWrap w:val="0"/>
            <w:vAlign w:val="center"/>
          </w:tcPr>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1月</w:t>
            </w:r>
            <w:r>
              <w:rPr>
                <w:rFonts w:hint="eastAsia" w:ascii="宋体" w:hAnsi="宋体" w:eastAsia="宋体" w:cs="宋体"/>
                <w:color w:val="auto"/>
                <w:sz w:val="21"/>
                <w:szCs w:val="21"/>
              </w:rPr>
              <w:t>以来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7" w:hRule="atLeast"/>
          <w:jc w:val="center"/>
        </w:trPr>
        <w:tc>
          <w:tcPr>
            <w:tcW w:w="425"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w:t>
            </w:r>
          </w:p>
        </w:tc>
        <w:tc>
          <w:tcPr>
            <w:tcW w:w="987"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近年发生的诉讼及仲裁情况的年份要求</w:t>
            </w:r>
          </w:p>
        </w:tc>
        <w:tc>
          <w:tcPr>
            <w:tcW w:w="3586" w:type="pct"/>
            <w:tcBorders>
              <w:tl2br w:val="nil"/>
              <w:tr2bl w:val="nil"/>
            </w:tcBorders>
            <w:noWrap w:val="0"/>
            <w:vAlign w:val="center"/>
          </w:tcPr>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1月</w:t>
            </w:r>
            <w:r>
              <w:rPr>
                <w:rFonts w:hint="eastAsia" w:ascii="宋体" w:hAnsi="宋体" w:eastAsia="宋体" w:cs="宋体"/>
                <w:color w:val="auto"/>
                <w:sz w:val="21"/>
                <w:szCs w:val="21"/>
              </w:rPr>
              <w:t>以来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6" w:hRule="atLeast"/>
          <w:jc w:val="center"/>
        </w:trPr>
        <w:tc>
          <w:tcPr>
            <w:tcW w:w="425"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27</w:t>
            </w:r>
          </w:p>
        </w:tc>
        <w:tc>
          <w:tcPr>
            <w:tcW w:w="987"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是否允许递交备选投标方案</w:t>
            </w:r>
          </w:p>
        </w:tc>
        <w:tc>
          <w:tcPr>
            <w:tcW w:w="3586" w:type="pct"/>
            <w:tcBorders>
              <w:tl2br w:val="nil"/>
              <w:tr2bl w:val="nil"/>
            </w:tcBorders>
            <w:noWrap w:val="0"/>
            <w:vAlign w:val="center"/>
          </w:tcPr>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425"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w:t>
            </w:r>
          </w:p>
        </w:tc>
        <w:tc>
          <w:tcPr>
            <w:tcW w:w="987"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签字和（或）盖章要求</w:t>
            </w:r>
          </w:p>
        </w:tc>
        <w:tc>
          <w:tcPr>
            <w:tcW w:w="3586" w:type="pct"/>
            <w:tcBorders>
              <w:tl2br w:val="nil"/>
              <w:tr2bl w:val="nil"/>
            </w:tcBorders>
            <w:noWrap w:val="0"/>
            <w:vAlign w:val="center"/>
          </w:tcPr>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1、本项目为电子化、无纸化交易项目，</w:t>
            </w:r>
            <w:r>
              <w:rPr>
                <w:rFonts w:hint="eastAsia" w:ascii="宋体" w:hAnsi="宋体" w:eastAsia="宋体" w:cs="宋体"/>
                <w:color w:val="auto"/>
                <w:sz w:val="21"/>
                <w:szCs w:val="21"/>
                <w:lang w:eastAsia="zh-CN"/>
              </w:rPr>
              <w:t>响应</w:t>
            </w:r>
            <w:r>
              <w:rPr>
                <w:rFonts w:hint="eastAsia" w:ascii="宋体" w:hAnsi="宋体" w:eastAsia="宋体" w:cs="宋体"/>
                <w:color w:val="auto"/>
                <w:sz w:val="21"/>
                <w:szCs w:val="21"/>
              </w:rPr>
              <w:t>文件是响应人通过中心投标文件制作系统制作，并经过电子签章和加密后生成的电子化投标文件，未对电子化文件进行签章的视为无效投标。投标人投标时，将不再接受任何纸质文件资料。</w:t>
            </w:r>
          </w:p>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2、要求法定代表人或授权委托人签字或盖章的，投标人在进行电子化投标文件签章时，以签盖法定代表人签章为准。</w:t>
            </w:r>
          </w:p>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3、电子化投标文件工具请点击</w:t>
            </w:r>
          </w:p>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Hans"/>
              </w:rPr>
              <w:t>https://download.bqpoint.com/download/downloaddetail.html?SourceFrom=Ztb&amp;ZtbSoftXiaQuCode=1532&amp;ZtbSoftType=tballinclusive</w:t>
            </w:r>
            <w:r>
              <w:rPr>
                <w:rFonts w:hint="eastAsia" w:ascii="宋体" w:hAnsi="宋体" w:eastAsia="宋体" w:cs="宋体"/>
                <w:color w:val="auto"/>
                <w:sz w:val="21"/>
                <w:szCs w:val="21"/>
              </w:rPr>
              <w:t>进行下载。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425"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w:t>
            </w:r>
          </w:p>
        </w:tc>
        <w:tc>
          <w:tcPr>
            <w:tcW w:w="987"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响应文件</w:t>
            </w:r>
          </w:p>
        </w:tc>
        <w:tc>
          <w:tcPr>
            <w:tcW w:w="3586" w:type="pct"/>
            <w:tcBorders>
              <w:tl2br w:val="nil"/>
              <w:tr2bl w:val="nil"/>
            </w:tcBorders>
            <w:noWrap w:val="0"/>
            <w:vAlign w:val="center"/>
          </w:tcPr>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投标</w:t>
            </w:r>
            <w:r>
              <w:rPr>
                <w:rFonts w:hint="eastAsia" w:ascii="宋体" w:hAnsi="宋体" w:eastAsia="宋体" w:cs="宋体"/>
                <w:color w:val="auto"/>
                <w:sz w:val="21"/>
                <w:szCs w:val="21"/>
              </w:rPr>
              <w:t>时不再递交纸质响应文件，成交单位领取成交通知书时提交三份纸质响应文件（响应文件应按以下要求装订：胶装，应有目录，并逐页标注连续页码）。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7" w:hRule="atLeast"/>
          <w:jc w:val="center"/>
        </w:trPr>
        <w:tc>
          <w:tcPr>
            <w:tcW w:w="425"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987"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响应性文件递交</w:t>
            </w:r>
            <w:r>
              <w:rPr>
                <w:rFonts w:hint="eastAsia" w:ascii="宋体" w:hAnsi="宋体" w:eastAsia="宋体" w:cs="宋体"/>
                <w:color w:val="auto"/>
                <w:sz w:val="21"/>
                <w:szCs w:val="21"/>
              </w:rPr>
              <w:t>时间和地点</w:t>
            </w:r>
          </w:p>
        </w:tc>
        <w:tc>
          <w:tcPr>
            <w:tcW w:w="3586" w:type="pct"/>
            <w:tcBorders>
              <w:tl2br w:val="nil"/>
              <w:tr2bl w:val="nil"/>
            </w:tcBorders>
            <w:noWrap w:val="0"/>
            <w:vAlign w:val="center"/>
          </w:tcPr>
          <w:p>
            <w:pPr>
              <w:bidi w:val="0"/>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同公告要求。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425"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w:t>
            </w:r>
          </w:p>
        </w:tc>
        <w:tc>
          <w:tcPr>
            <w:tcW w:w="987"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谈判</w:t>
            </w:r>
            <w:r>
              <w:rPr>
                <w:rFonts w:hint="eastAsia" w:ascii="宋体" w:hAnsi="宋体" w:eastAsia="宋体" w:cs="宋体"/>
                <w:color w:val="auto"/>
                <w:sz w:val="21"/>
                <w:szCs w:val="21"/>
              </w:rPr>
              <w:t>程序</w:t>
            </w:r>
          </w:p>
        </w:tc>
        <w:tc>
          <w:tcPr>
            <w:tcW w:w="3586" w:type="pct"/>
            <w:tcBorders>
              <w:tl2br w:val="nil"/>
              <w:tr2bl w:val="nil"/>
            </w:tcBorders>
            <w:noWrap w:val="0"/>
            <w:vAlign w:val="center"/>
          </w:tcPr>
          <w:p>
            <w:pPr>
              <w:bidi w:val="0"/>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详见</w:t>
            </w:r>
            <w:r>
              <w:rPr>
                <w:rFonts w:hint="eastAsia" w:ascii="宋体" w:hAnsi="宋体" w:eastAsia="宋体" w:cs="宋体"/>
                <w:color w:val="auto"/>
                <w:sz w:val="21"/>
                <w:szCs w:val="21"/>
                <w:lang w:eastAsia="zh-CN"/>
              </w:rPr>
              <w:t>单一来源采购文件</w:t>
            </w:r>
            <w:r>
              <w:rPr>
                <w:rFonts w:hint="eastAsia" w:ascii="宋体" w:hAnsi="宋体" w:eastAsia="宋体" w:cs="宋体"/>
                <w:color w:val="auto"/>
                <w:sz w:val="21"/>
                <w:szCs w:val="21"/>
              </w:rPr>
              <w:t>本章总则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425"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w:t>
            </w:r>
          </w:p>
        </w:tc>
        <w:tc>
          <w:tcPr>
            <w:tcW w:w="987"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是否授权</w:t>
            </w:r>
            <w:r>
              <w:rPr>
                <w:rFonts w:hint="eastAsia" w:ascii="宋体" w:hAnsi="宋体" w:eastAsia="宋体" w:cs="宋体"/>
                <w:color w:val="auto"/>
                <w:sz w:val="21"/>
                <w:szCs w:val="21"/>
                <w:lang w:eastAsia="zh-CN"/>
              </w:rPr>
              <w:t>谈判小组</w:t>
            </w:r>
            <w:r>
              <w:rPr>
                <w:rFonts w:hint="eastAsia" w:ascii="宋体" w:hAnsi="宋体" w:eastAsia="宋体" w:cs="宋体"/>
                <w:color w:val="auto"/>
                <w:sz w:val="21"/>
                <w:szCs w:val="21"/>
              </w:rPr>
              <w:t>确定中标人</w:t>
            </w:r>
          </w:p>
        </w:tc>
        <w:tc>
          <w:tcPr>
            <w:tcW w:w="3586" w:type="pct"/>
            <w:tcBorders>
              <w:tl2br w:val="nil"/>
              <w:tr2bl w:val="nil"/>
            </w:tcBorders>
            <w:noWrap w:val="0"/>
            <w:vAlign w:val="center"/>
          </w:tcPr>
          <w:p>
            <w:pPr>
              <w:bidi w:val="0"/>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425"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33</w:t>
            </w:r>
          </w:p>
        </w:tc>
        <w:tc>
          <w:tcPr>
            <w:tcW w:w="987"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招标控制价</w:t>
            </w:r>
          </w:p>
        </w:tc>
        <w:tc>
          <w:tcPr>
            <w:tcW w:w="3586" w:type="pct"/>
            <w:tcBorders>
              <w:tl2br w:val="nil"/>
              <w:tr2bl w:val="nil"/>
            </w:tcBorders>
            <w:noWrap w:val="0"/>
            <w:vAlign w:val="center"/>
          </w:tcPr>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招标控制价：</w:t>
            </w:r>
            <w:r>
              <w:rPr>
                <w:rFonts w:hint="eastAsia" w:ascii="宋体" w:hAnsi="宋体" w:eastAsia="宋体" w:cs="宋体"/>
                <w:color w:val="auto"/>
                <w:sz w:val="21"/>
                <w:szCs w:val="21"/>
                <w:lang w:val="en-US" w:eastAsia="zh-CN"/>
              </w:rPr>
              <w:t>￥350000.00元</w:t>
            </w:r>
          </w:p>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本次</w:t>
            </w:r>
            <w:r>
              <w:rPr>
                <w:rFonts w:hint="eastAsia" w:ascii="宋体" w:hAnsi="宋体" w:eastAsia="宋体" w:cs="宋体"/>
                <w:color w:val="auto"/>
                <w:sz w:val="21"/>
                <w:szCs w:val="21"/>
                <w:lang w:eastAsia="zh-CN"/>
              </w:rPr>
              <w:t>谈判</w:t>
            </w:r>
            <w:r>
              <w:rPr>
                <w:rFonts w:hint="eastAsia" w:ascii="宋体" w:hAnsi="宋体" w:eastAsia="宋体" w:cs="宋体"/>
                <w:color w:val="auto"/>
                <w:sz w:val="21"/>
                <w:szCs w:val="21"/>
              </w:rPr>
              <w:t>分为两轮报价。供应商响应性文件中的报价作为第一次报价，不得高于项目预算金额且不公开；第二轮报价不得高于第一轮报价, 参与评标报价以最终报价为准。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jc w:val="center"/>
        </w:trPr>
        <w:tc>
          <w:tcPr>
            <w:tcW w:w="425"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34</w:t>
            </w:r>
          </w:p>
        </w:tc>
        <w:tc>
          <w:tcPr>
            <w:tcW w:w="987"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谈判小组</w:t>
            </w:r>
            <w:r>
              <w:rPr>
                <w:rFonts w:hint="eastAsia" w:ascii="宋体" w:hAnsi="宋体" w:eastAsia="宋体" w:cs="宋体"/>
                <w:color w:val="auto"/>
                <w:sz w:val="21"/>
                <w:szCs w:val="21"/>
              </w:rPr>
              <w:t>的组建</w:t>
            </w:r>
          </w:p>
        </w:tc>
        <w:tc>
          <w:tcPr>
            <w:tcW w:w="3586" w:type="pct"/>
            <w:tcBorders>
              <w:tl2br w:val="nil"/>
              <w:tr2bl w:val="nil"/>
            </w:tcBorders>
            <w:noWrap w:val="0"/>
            <w:vAlign w:val="center"/>
          </w:tcPr>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谈判小组</w:t>
            </w:r>
            <w:r>
              <w:rPr>
                <w:rFonts w:hint="eastAsia" w:ascii="宋体" w:hAnsi="宋体" w:eastAsia="宋体" w:cs="宋体"/>
                <w:color w:val="auto"/>
                <w:sz w:val="21"/>
                <w:szCs w:val="21"/>
              </w:rPr>
              <w:t>成员为3人，采购人代表1人，其余专家2人从三门峡市公共资源交易中心评标专家库中随机抽取。</w:t>
            </w:r>
          </w:p>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评标专家确定</w:t>
            </w:r>
            <w:r>
              <w:rPr>
                <w:rFonts w:hint="eastAsia" w:ascii="宋体" w:hAnsi="宋体" w:eastAsia="宋体" w:cs="宋体"/>
                <w:color w:val="auto"/>
                <w:sz w:val="21"/>
                <w:szCs w:val="21"/>
                <w:lang w:eastAsia="zh-CN"/>
              </w:rPr>
              <w:t>方式</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开标后从</w:t>
            </w:r>
            <w:r>
              <w:rPr>
                <w:rFonts w:hint="eastAsia" w:ascii="宋体" w:hAnsi="宋体" w:eastAsia="宋体" w:cs="宋体"/>
                <w:color w:val="auto"/>
                <w:sz w:val="21"/>
                <w:szCs w:val="21"/>
              </w:rPr>
              <w:t>评标专家库随机抽取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25"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w:t>
            </w:r>
          </w:p>
        </w:tc>
        <w:tc>
          <w:tcPr>
            <w:tcW w:w="987"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响应</w:t>
            </w:r>
            <w:r>
              <w:rPr>
                <w:rFonts w:hint="eastAsia" w:ascii="宋体" w:hAnsi="宋体" w:eastAsia="宋体" w:cs="宋体"/>
                <w:color w:val="auto"/>
                <w:sz w:val="21"/>
                <w:szCs w:val="21"/>
              </w:rPr>
              <w:t>文件要求</w:t>
            </w:r>
          </w:p>
        </w:tc>
        <w:tc>
          <w:tcPr>
            <w:tcW w:w="3586" w:type="pct"/>
            <w:tcBorders>
              <w:tl2br w:val="nil"/>
              <w:tr2bl w:val="nil"/>
            </w:tcBorders>
            <w:noWrap w:val="0"/>
            <w:vAlign w:val="center"/>
          </w:tcPr>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本项目为全电子标，响应人在规定时间内，将电子版响应文件上传至三门峡市公共资源交易中心平台。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425"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w:t>
            </w:r>
          </w:p>
        </w:tc>
        <w:tc>
          <w:tcPr>
            <w:tcW w:w="987"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付款办法</w:t>
            </w:r>
          </w:p>
        </w:tc>
        <w:tc>
          <w:tcPr>
            <w:tcW w:w="3586" w:type="pct"/>
            <w:tcBorders>
              <w:tl2br w:val="nil"/>
              <w:tr2bl w:val="nil"/>
            </w:tcBorders>
            <w:noWrap w:val="0"/>
            <w:vAlign w:val="center"/>
          </w:tcPr>
          <w:p>
            <w:pPr>
              <w:bidi w:val="0"/>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甲乙双方自行约定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425"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37</w:t>
            </w:r>
          </w:p>
        </w:tc>
        <w:tc>
          <w:tcPr>
            <w:tcW w:w="987"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履约保证金</w:t>
            </w:r>
          </w:p>
        </w:tc>
        <w:tc>
          <w:tcPr>
            <w:tcW w:w="3586" w:type="pct"/>
            <w:tcBorders>
              <w:tl2br w:val="nil"/>
              <w:tr2bl w:val="nil"/>
            </w:tcBorders>
            <w:noWrap w:val="0"/>
            <w:vAlign w:val="center"/>
          </w:tcPr>
          <w:p>
            <w:pPr>
              <w:bidi w:val="0"/>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甲乙双方自行约定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425"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38</w:t>
            </w:r>
          </w:p>
        </w:tc>
        <w:tc>
          <w:tcPr>
            <w:tcW w:w="987"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专门面向中小企业采购</w:t>
            </w:r>
          </w:p>
        </w:tc>
        <w:tc>
          <w:tcPr>
            <w:tcW w:w="3586" w:type="pct"/>
            <w:tcBorders>
              <w:tl2br w:val="nil"/>
              <w:tr2bl w:val="nil"/>
            </w:tcBorders>
            <w:noWrap w:val="0"/>
            <w:vAlign w:val="center"/>
          </w:tcPr>
          <w:p>
            <w:pPr>
              <w:bidi w:val="0"/>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本项目或相关采购包是否专门面向中小企业采购：是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425"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39</w:t>
            </w:r>
          </w:p>
        </w:tc>
        <w:tc>
          <w:tcPr>
            <w:tcW w:w="987"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所属行业</w:t>
            </w:r>
          </w:p>
        </w:tc>
        <w:tc>
          <w:tcPr>
            <w:tcW w:w="3586" w:type="pct"/>
            <w:tcBorders>
              <w:tl2br w:val="nil"/>
              <w:tr2bl w:val="nil"/>
            </w:tcBorders>
            <w:noWrap w:val="0"/>
            <w:vAlign w:val="center"/>
          </w:tcPr>
          <w:p>
            <w:pPr>
              <w:bidi w:val="0"/>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软件和信息技术服务业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425"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41</w:t>
            </w:r>
          </w:p>
        </w:tc>
        <w:tc>
          <w:tcPr>
            <w:tcW w:w="987"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政府采购合同</w:t>
            </w:r>
          </w:p>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融资政策</w:t>
            </w:r>
          </w:p>
        </w:tc>
        <w:tc>
          <w:tcPr>
            <w:tcW w:w="3586" w:type="pct"/>
            <w:tcBorders>
              <w:tl2br w:val="nil"/>
              <w:tr2bl w:val="nil"/>
            </w:tcBorders>
            <w:noWrap w:val="0"/>
            <w:vAlign w:val="center"/>
          </w:tcPr>
          <w:p>
            <w:pPr>
              <w:bidi w:val="0"/>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河南省政府采购合同融资政策告知函</w:t>
            </w:r>
          </w:p>
          <w:p>
            <w:pPr>
              <w:bidi w:val="0"/>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各供应商：</w:t>
            </w:r>
          </w:p>
          <w:p>
            <w:pPr>
              <w:bidi w:val="0"/>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欢迎贵公司参与河南省政府采购活动！</w:t>
            </w:r>
          </w:p>
          <w:p>
            <w:pPr>
              <w:bidi w:val="0"/>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贷款渠道和提供贷款的金融机构，可在河南省政府采购网“河南省政府采购合同融资平台”查询联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425"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w:t>
            </w:r>
          </w:p>
        </w:tc>
        <w:tc>
          <w:tcPr>
            <w:tcW w:w="987"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是否实行计算机辅助评标</w:t>
            </w:r>
          </w:p>
        </w:tc>
        <w:tc>
          <w:tcPr>
            <w:tcW w:w="3586" w:type="pct"/>
            <w:tcBorders>
              <w:tl2br w:val="nil"/>
              <w:tr2bl w:val="nil"/>
            </w:tcBorders>
            <w:noWrap w:val="0"/>
            <w:vAlign w:val="center"/>
          </w:tcPr>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425"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43</w:t>
            </w:r>
          </w:p>
        </w:tc>
        <w:tc>
          <w:tcPr>
            <w:tcW w:w="987"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响应人代表出席开标会</w:t>
            </w:r>
          </w:p>
        </w:tc>
        <w:tc>
          <w:tcPr>
            <w:tcW w:w="3586" w:type="pct"/>
            <w:tcBorders>
              <w:tl2br w:val="nil"/>
              <w:tr2bl w:val="nil"/>
            </w:tcBorders>
            <w:noWrap w:val="0"/>
            <w:vAlign w:val="center"/>
          </w:tcPr>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所有投标响应人的法定代表人或其委托代理人无需到现场参加开标会议，仔细阅读</w:t>
            </w:r>
            <w:r>
              <w:rPr>
                <w:rFonts w:hint="eastAsia" w:ascii="宋体" w:hAnsi="宋体" w:eastAsia="宋体" w:cs="宋体"/>
                <w:color w:val="auto"/>
                <w:sz w:val="21"/>
                <w:szCs w:val="21"/>
                <w:lang w:eastAsia="zh-CN"/>
              </w:rPr>
              <w:t>谈判</w:t>
            </w:r>
            <w:r>
              <w:rPr>
                <w:rFonts w:hint="eastAsia" w:ascii="宋体" w:hAnsi="宋体" w:eastAsia="宋体" w:cs="宋体"/>
                <w:color w:val="auto"/>
                <w:sz w:val="21"/>
                <w:szCs w:val="21"/>
              </w:rPr>
              <w:t>文件和三门峡市公共资源交易中心官网业务办理指南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425"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44</w:t>
            </w:r>
          </w:p>
        </w:tc>
        <w:tc>
          <w:tcPr>
            <w:tcW w:w="987"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结果公示</w:t>
            </w:r>
          </w:p>
        </w:tc>
        <w:tc>
          <w:tcPr>
            <w:tcW w:w="3586" w:type="pct"/>
            <w:tcBorders>
              <w:tl2br w:val="nil"/>
              <w:tr2bl w:val="nil"/>
            </w:tcBorders>
            <w:noWrap w:val="0"/>
            <w:vAlign w:val="center"/>
          </w:tcPr>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在成交通知书发出前，采购人将成交候选人的情况在本招标项目招标公告发布的同一媒介和有形建筑市场、交易中心予以公示，接受社会监督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425"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45</w:t>
            </w:r>
          </w:p>
        </w:tc>
        <w:tc>
          <w:tcPr>
            <w:tcW w:w="987"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知识产权</w:t>
            </w:r>
          </w:p>
        </w:tc>
        <w:tc>
          <w:tcPr>
            <w:tcW w:w="3586" w:type="pct"/>
            <w:tcBorders>
              <w:tl2br w:val="nil"/>
              <w:tr2bl w:val="nil"/>
            </w:tcBorders>
            <w:noWrap w:val="0"/>
            <w:vAlign w:val="center"/>
          </w:tcPr>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构成本</w:t>
            </w:r>
            <w:r>
              <w:rPr>
                <w:rFonts w:hint="eastAsia" w:ascii="宋体" w:hAnsi="宋体" w:eastAsia="宋体" w:cs="宋体"/>
                <w:color w:val="auto"/>
                <w:sz w:val="21"/>
                <w:szCs w:val="21"/>
                <w:lang w:eastAsia="zh-CN"/>
              </w:rPr>
              <w:t>单一来源采购文件</w:t>
            </w:r>
            <w:r>
              <w:rPr>
                <w:rFonts w:hint="eastAsia" w:ascii="宋体" w:hAnsi="宋体" w:eastAsia="宋体" w:cs="宋体"/>
                <w:color w:val="auto"/>
                <w:sz w:val="21"/>
                <w:szCs w:val="21"/>
              </w:rPr>
              <w:t>各个组成部分的文件，未经采购人书面同意，</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不得擅自复印和用于非本招标项目所需的其他目的。采购人全部或者部分使用未成交人投标文件中的技术成果或技术方案时，需征得其书面同意，并不得擅自复印或提供给第三人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425"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46</w:t>
            </w:r>
          </w:p>
        </w:tc>
        <w:tc>
          <w:tcPr>
            <w:tcW w:w="987"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重新招标的其他情形</w:t>
            </w:r>
          </w:p>
        </w:tc>
        <w:tc>
          <w:tcPr>
            <w:tcW w:w="3586" w:type="pct"/>
            <w:tcBorders>
              <w:tl2br w:val="nil"/>
              <w:tr2bl w:val="nil"/>
            </w:tcBorders>
            <w:noWrap w:val="0"/>
            <w:vAlign w:val="center"/>
          </w:tcPr>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除响应人须知正文第8条规定的情形外，经</w:t>
            </w:r>
            <w:r>
              <w:rPr>
                <w:rFonts w:hint="eastAsia" w:ascii="宋体" w:hAnsi="宋体" w:eastAsia="宋体" w:cs="宋体"/>
                <w:color w:val="auto"/>
                <w:sz w:val="21"/>
                <w:szCs w:val="21"/>
                <w:lang w:eastAsia="zh-CN"/>
              </w:rPr>
              <w:t>谈判小组</w:t>
            </w:r>
            <w:r>
              <w:rPr>
                <w:rFonts w:hint="eastAsia" w:ascii="宋体" w:hAnsi="宋体" w:eastAsia="宋体" w:cs="宋体"/>
                <w:color w:val="auto"/>
                <w:sz w:val="21"/>
                <w:szCs w:val="21"/>
              </w:rPr>
              <w:t>评审，认为投标文件不符合</w:t>
            </w:r>
            <w:r>
              <w:rPr>
                <w:rFonts w:hint="eastAsia" w:ascii="宋体" w:hAnsi="宋体" w:eastAsia="宋体" w:cs="宋体"/>
                <w:color w:val="auto"/>
                <w:sz w:val="21"/>
                <w:szCs w:val="21"/>
                <w:lang w:eastAsia="zh-CN"/>
              </w:rPr>
              <w:t>单一来源采购文件</w:t>
            </w:r>
            <w:r>
              <w:rPr>
                <w:rFonts w:hint="eastAsia" w:ascii="宋体" w:hAnsi="宋体" w:eastAsia="宋体" w:cs="宋体"/>
                <w:color w:val="auto"/>
                <w:sz w:val="21"/>
                <w:szCs w:val="21"/>
              </w:rPr>
              <w:t>要求的，可以否决投标文件，并在评标纪要上详细说明理由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425"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47</w:t>
            </w:r>
          </w:p>
        </w:tc>
        <w:tc>
          <w:tcPr>
            <w:tcW w:w="987"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监督</w:t>
            </w:r>
          </w:p>
        </w:tc>
        <w:tc>
          <w:tcPr>
            <w:tcW w:w="3586" w:type="pct"/>
            <w:tcBorders>
              <w:tl2br w:val="nil"/>
              <w:tr2bl w:val="nil"/>
            </w:tcBorders>
            <w:noWrap w:val="0"/>
            <w:vAlign w:val="center"/>
          </w:tcPr>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本项目的招标投标活动及其相关当事人应当接受有管辖权的</w:t>
            </w:r>
            <w:r>
              <w:rPr>
                <w:rFonts w:hint="eastAsia" w:ascii="宋体" w:hAnsi="宋体" w:cs="宋体"/>
                <w:color w:val="auto"/>
                <w:sz w:val="21"/>
                <w:szCs w:val="21"/>
                <w:lang w:eastAsia="zh-CN"/>
              </w:rPr>
              <w:t>政府采购</w:t>
            </w:r>
            <w:r>
              <w:rPr>
                <w:rFonts w:hint="eastAsia" w:ascii="宋体" w:hAnsi="宋体" w:eastAsia="宋体" w:cs="宋体"/>
                <w:color w:val="auto"/>
                <w:sz w:val="21"/>
                <w:szCs w:val="21"/>
              </w:rPr>
              <w:t>招标投标行政监督部门依法实施的监督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425"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48</w:t>
            </w:r>
          </w:p>
        </w:tc>
        <w:tc>
          <w:tcPr>
            <w:tcW w:w="987"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解释权</w:t>
            </w:r>
          </w:p>
        </w:tc>
        <w:tc>
          <w:tcPr>
            <w:tcW w:w="3586" w:type="pct"/>
            <w:tcBorders>
              <w:tl2br w:val="nil"/>
              <w:tr2bl w:val="nil"/>
            </w:tcBorders>
            <w:noWrap w:val="0"/>
            <w:vAlign w:val="center"/>
          </w:tcPr>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构成本</w:t>
            </w:r>
            <w:r>
              <w:rPr>
                <w:rFonts w:hint="eastAsia" w:ascii="宋体" w:hAnsi="宋体" w:eastAsia="宋体" w:cs="宋体"/>
                <w:color w:val="auto"/>
                <w:sz w:val="21"/>
                <w:szCs w:val="21"/>
                <w:lang w:eastAsia="zh-CN"/>
              </w:rPr>
              <w:t>单一来源采购文件</w:t>
            </w:r>
            <w:r>
              <w:rPr>
                <w:rFonts w:hint="eastAsia" w:ascii="宋体" w:hAnsi="宋体" w:eastAsia="宋体" w:cs="宋体"/>
                <w:color w:val="auto"/>
                <w:sz w:val="21"/>
                <w:szCs w:val="21"/>
              </w:rPr>
              <w:t>的各个组成部分应互为解释，互为说明，如有不明确或不一致，构成合同文件组成内容，以合同文件约定内容为准，且以专用合同条款约定的合同文件优先顺序解释；除</w:t>
            </w:r>
            <w:r>
              <w:rPr>
                <w:rFonts w:hint="eastAsia" w:ascii="宋体" w:hAnsi="宋体" w:eastAsia="宋体" w:cs="宋体"/>
                <w:color w:val="auto"/>
                <w:sz w:val="21"/>
                <w:szCs w:val="21"/>
                <w:lang w:eastAsia="zh-CN"/>
              </w:rPr>
              <w:t>单一来源采购文件</w:t>
            </w:r>
            <w:r>
              <w:rPr>
                <w:rFonts w:hint="eastAsia" w:ascii="宋体" w:hAnsi="宋体" w:eastAsia="宋体" w:cs="宋体"/>
                <w:color w:val="auto"/>
                <w:sz w:val="21"/>
                <w:szCs w:val="21"/>
              </w:rPr>
              <w:t>中有特别规定外，仅适用于招标投标阶段的规定，按招标公告（投标邀请书）、评标办法、投标文件格式的先后顺序解释；同一组成文件中就同一事项的规定或约定不一致的，以编排顺序在后者为准；同一组成文件不同版本之间有不一致的，已形成时间在后者为准。按本款前述规定仍不能形成结论的，由采购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425"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49</w:t>
            </w:r>
          </w:p>
        </w:tc>
        <w:tc>
          <w:tcPr>
            <w:tcW w:w="987"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招标代理费</w:t>
            </w:r>
          </w:p>
        </w:tc>
        <w:tc>
          <w:tcPr>
            <w:tcW w:w="3586" w:type="pct"/>
            <w:tcBorders>
              <w:tl2br w:val="nil"/>
              <w:tr2bl w:val="nil"/>
            </w:tcBorders>
            <w:noWrap w:val="0"/>
            <w:vAlign w:val="center"/>
          </w:tcPr>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本项目招标代理服务费按照河南省招标投标协会关于印发《河南省招标代理服务收费指导意见》的通知【豫招协（2023）002号】文件中招标代理服务收费标准由中标人承担中标服务费</w:t>
            </w:r>
            <w:r>
              <w:rPr>
                <w:rFonts w:hint="eastAsia" w:ascii="宋体" w:hAnsi="宋体" w:eastAsia="宋体" w:cs="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425"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987" w:type="pct"/>
            <w:tcBorders>
              <w:tl2br w:val="nil"/>
              <w:tr2bl w:val="nil"/>
            </w:tcBorders>
            <w:noWrap w:val="0"/>
            <w:vAlign w:val="center"/>
          </w:tcPr>
          <w:p>
            <w:pPr>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具体要求</w:t>
            </w:r>
          </w:p>
        </w:tc>
        <w:tc>
          <w:tcPr>
            <w:tcW w:w="3586" w:type="pct"/>
            <w:tcBorders>
              <w:tl2br w:val="nil"/>
              <w:tr2bl w:val="nil"/>
            </w:tcBorders>
            <w:noWrap w:val="0"/>
            <w:vAlign w:val="center"/>
          </w:tcPr>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本项目为电子化、无纸化交易项目，投标文件是投标人、响应人（以下简称“投标人”）通过中心投标文件制作系统制作，并经过签章和加密后生成的电子版投标文件。</w:t>
            </w:r>
          </w:p>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电子化投标文件具体制作文件请点击</w:t>
            </w:r>
          </w:p>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https://download.bqpoint.com/download/downloaddetail.html?SourceFrom=Ztb&amp;ZtbSoftXiaQuCode=1532&amp;ZtbSoftType=tballinclusive进行下载。</w:t>
            </w:r>
          </w:p>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温馨提示：本项目为电子化、无纸化交易项目，为保证您能投标成功，请需仔细阅读以下条款。</w:t>
            </w:r>
          </w:p>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一、电子化投标</w:t>
            </w:r>
          </w:p>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（一）电子化投标文件的签章</w:t>
            </w:r>
          </w:p>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1、投标人在生成电子化投标文件后，应对电子化投标文件进行签章，未进行签章的视为无效投标。</w:t>
            </w:r>
          </w:p>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谈判</w:t>
            </w:r>
            <w:r>
              <w:rPr>
                <w:rFonts w:hint="eastAsia" w:ascii="宋体" w:hAnsi="宋体" w:eastAsia="宋体" w:cs="宋体"/>
                <w:color w:val="auto"/>
                <w:sz w:val="21"/>
                <w:szCs w:val="21"/>
              </w:rPr>
              <w:t>文件中要求法定代表人或授权委托人签字或盖章的，投标人在进行电子化投标文件签章时，以签盖法定代表人签章为准。</w:t>
            </w:r>
          </w:p>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（二）电子化投标文件的格式及上传投标</w:t>
            </w:r>
          </w:p>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投标人所上传的电子化投标文件，应是通过中心投标文件制作系统制作的（投标文件制作工具下载地址：https://download.bqpoint.com/download/downloaddetail.html?SourceFrom=Ztb&amp;ZtbSoftXiaQuCode=1532&amp;ZtbSoftType=tballinclusive），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2、电子化投标文件应在投标截止时间前成功上传至三门峡市公共资源电子化交易系统。至投标截止时间止，仍未上传成功的电子化投标文件将不予接收。</w:t>
            </w:r>
          </w:p>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pPr>
              <w:widowControl w:val="0"/>
              <w:adjustRightInd/>
              <w:snapToGrid/>
              <w:spacing w:after="0" w:line="240"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技术联系电话：0398-3117871</w:t>
            </w:r>
          </w:p>
          <w:p>
            <w:pPr>
              <w:widowControl w:val="0"/>
              <w:adjustRightInd/>
              <w:snapToGrid/>
              <w:spacing w:after="0" w:line="240"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新点客服电话：400</w:t>
            </w:r>
            <w:r>
              <w:rPr>
                <w:rFonts w:hint="eastAsia" w:ascii="宋体" w:hAnsi="宋体" w:eastAsia="宋体" w:cs="宋体"/>
                <w:color w:val="auto"/>
                <w:kern w:val="2"/>
                <w:sz w:val="21"/>
                <w:szCs w:val="21"/>
                <w:lang w:val="en-US" w:eastAsia="zh-CN"/>
              </w:rPr>
              <w:t>-</w:t>
            </w:r>
            <w:r>
              <w:rPr>
                <w:rFonts w:hint="eastAsia" w:ascii="宋体" w:hAnsi="宋体" w:eastAsia="宋体" w:cs="宋体"/>
                <w:color w:val="auto"/>
                <w:kern w:val="2"/>
                <w:sz w:val="21"/>
                <w:szCs w:val="21"/>
              </w:rPr>
              <w:t>998</w:t>
            </w:r>
            <w:r>
              <w:rPr>
                <w:rFonts w:hint="eastAsia" w:ascii="宋体" w:hAnsi="宋体" w:eastAsia="宋体" w:cs="宋体"/>
                <w:color w:val="auto"/>
                <w:kern w:val="2"/>
                <w:sz w:val="21"/>
                <w:szCs w:val="21"/>
                <w:lang w:val="en-US" w:eastAsia="zh-CN"/>
              </w:rPr>
              <w:t>-</w:t>
            </w:r>
            <w:r>
              <w:rPr>
                <w:rFonts w:hint="eastAsia" w:ascii="宋体" w:hAnsi="宋体" w:eastAsia="宋体" w:cs="宋体"/>
                <w:color w:val="auto"/>
                <w:kern w:val="2"/>
                <w:sz w:val="21"/>
                <w:szCs w:val="21"/>
              </w:rPr>
              <w:t>0000</w:t>
            </w:r>
          </w:p>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（三）电子化项目开标、解密、唱标、评标</w:t>
            </w:r>
          </w:p>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本项目采用电子化、无纸化进行招标，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w:t>
            </w:r>
          </w:p>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2、电子化投标文件采用一次加密方式。开标时，由投标人使用CA 证书，在规定时间内对其电子化投标文件进行解密。每位投标人的解密时间为开标时间起30 分钟内，如在规定时间内未完成解密的，其投标文件不予开标、唱标。</w:t>
            </w:r>
          </w:p>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3、电子化投标文件解密异常的处理</w:t>
            </w:r>
          </w:p>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如出现投标人的电子投标文件无法解密等异常情况，投标人应及时致电中介服务机构说明。投标文件异常，按以下步骤进行处理：</w:t>
            </w:r>
          </w:p>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（1）首先由技术人员进行问题排查。</w:t>
            </w:r>
          </w:p>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（2）经技术人员排查后，是投标人文件自身问题导致投标文件无法解密的，该投标文件将不予接收、解密和唱标。开标会议继续进行。</w:t>
            </w:r>
          </w:p>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4、待所有投标人投标文件解密完成后，由中介服务机构操作，对所有已解密投标文件进行唱标。</w:t>
            </w:r>
          </w:p>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投标人应保证在开标期间电话、电脑、网络能够正常工作，投标人因停电、电脑病毒、网络堵塞等原因，未在规定的解密时间内对投标文件进行解密的，其投标文件不予接收、唱标。</w:t>
            </w:r>
          </w:p>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5、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w:t>
            </w:r>
          </w:p>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6、评标时，</w:t>
            </w:r>
            <w:r>
              <w:rPr>
                <w:rFonts w:hint="eastAsia" w:ascii="宋体" w:hAnsi="宋体" w:eastAsia="宋体" w:cs="宋体"/>
                <w:color w:val="auto"/>
                <w:sz w:val="21"/>
                <w:szCs w:val="21"/>
                <w:lang w:eastAsia="zh-CN"/>
              </w:rPr>
              <w:t>谈判小组</w:t>
            </w:r>
            <w:r>
              <w:rPr>
                <w:rFonts w:hint="eastAsia" w:ascii="宋体" w:hAnsi="宋体" w:eastAsia="宋体" w:cs="宋体"/>
                <w:color w:val="auto"/>
                <w:sz w:val="21"/>
                <w:szCs w:val="21"/>
              </w:rPr>
              <w:t>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w:t>
            </w:r>
            <w:r>
              <w:rPr>
                <w:rFonts w:hint="eastAsia" w:ascii="宋体" w:hAnsi="宋体" w:eastAsia="宋体" w:cs="宋体"/>
                <w:color w:val="auto"/>
                <w:sz w:val="21"/>
                <w:szCs w:val="21"/>
                <w:lang w:eastAsia="zh-CN"/>
              </w:rPr>
              <w:t>谈判小组</w:t>
            </w:r>
            <w:r>
              <w:rPr>
                <w:rFonts w:hint="eastAsia" w:ascii="宋体" w:hAnsi="宋体" w:eastAsia="宋体" w:cs="宋体"/>
                <w:color w:val="auto"/>
                <w:sz w:val="21"/>
                <w:szCs w:val="21"/>
              </w:rPr>
              <w:t>。</w:t>
            </w:r>
          </w:p>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7、如</w:t>
            </w:r>
            <w:r>
              <w:rPr>
                <w:rFonts w:hint="eastAsia" w:ascii="宋体" w:hAnsi="宋体" w:eastAsia="宋体" w:cs="宋体"/>
                <w:color w:val="auto"/>
                <w:sz w:val="21"/>
                <w:szCs w:val="21"/>
                <w:lang w:eastAsia="zh-CN"/>
              </w:rPr>
              <w:t>谈判小组</w:t>
            </w:r>
            <w:r>
              <w:rPr>
                <w:rFonts w:hint="eastAsia" w:ascii="宋体" w:hAnsi="宋体" w:eastAsia="宋体" w:cs="宋体"/>
                <w:color w:val="auto"/>
                <w:sz w:val="21"/>
                <w:szCs w:val="21"/>
              </w:rPr>
              <w:t>对需要回复的投标人连续三次致电未接通的，视为投标人放弃回复，</w:t>
            </w:r>
            <w:r>
              <w:rPr>
                <w:rFonts w:hint="eastAsia" w:ascii="宋体" w:hAnsi="宋体" w:eastAsia="宋体" w:cs="宋体"/>
                <w:color w:val="auto"/>
                <w:sz w:val="21"/>
                <w:szCs w:val="21"/>
                <w:lang w:eastAsia="zh-CN"/>
              </w:rPr>
              <w:t>谈判小组</w:t>
            </w:r>
            <w:r>
              <w:rPr>
                <w:rFonts w:hint="eastAsia" w:ascii="宋体" w:hAnsi="宋体" w:eastAsia="宋体" w:cs="宋体"/>
                <w:color w:val="auto"/>
                <w:sz w:val="21"/>
                <w:szCs w:val="21"/>
              </w:rPr>
              <w:t>将自行对需要回复的内容进行认定。</w:t>
            </w:r>
          </w:p>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二、</w:t>
            </w:r>
            <w:r>
              <w:rPr>
                <w:rFonts w:hint="eastAsia" w:ascii="宋体" w:hAnsi="宋体" w:eastAsia="宋体" w:cs="宋体"/>
                <w:color w:val="auto"/>
                <w:sz w:val="21"/>
                <w:szCs w:val="21"/>
                <w:lang w:eastAsia="zh-CN"/>
              </w:rPr>
              <w:t>投标文件的提交</w:t>
            </w:r>
          </w:p>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本项目实行后审，审查内容以投标截止时间前在三门峡市公共资源交易系统上传的投标文件的信息为准。其上传资料真实性由投标人自行承担，同时，投标人需要完善主体库信息。</w:t>
            </w:r>
          </w:p>
          <w:p>
            <w:pPr>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提示：本项目为电子化、无纸化交易项目，为保证您能投标成功，请需仔细阅读以上条款。</w:t>
            </w:r>
          </w:p>
        </w:tc>
      </w:tr>
    </w:tbl>
    <w:p>
      <w:pPr>
        <w:keepNext w:val="0"/>
        <w:keepLines w:val="0"/>
        <w:pageBreakBefore w:val="0"/>
        <w:widowControl w:val="0"/>
        <w:kinsoku/>
        <w:wordWrap/>
        <w:overflowPunct/>
        <w:topLinePunct w:val="0"/>
        <w:autoSpaceDE/>
        <w:autoSpaceDN/>
        <w:bidi w:val="0"/>
        <w:adjustRightInd/>
        <w:snapToGrid/>
        <w:spacing w:line="480" w:lineRule="exact"/>
        <w:ind w:firstLine="426" w:firstLineChars="202"/>
        <w:jc w:val="both"/>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rPr>
        <w:t>（一）</w:t>
      </w:r>
      <w:r>
        <w:rPr>
          <w:rFonts w:hint="eastAsia" w:ascii="宋体" w:hAnsi="宋体" w:eastAsia="宋体" w:cs="宋体"/>
          <w:b/>
          <w:color w:val="auto"/>
          <w:sz w:val="21"/>
          <w:szCs w:val="21"/>
          <w:lang w:eastAsia="zh-CN"/>
        </w:rPr>
        <w:t>总则</w:t>
      </w:r>
    </w:p>
    <w:p>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1、适用范围</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w:t>
      </w:r>
      <w:r>
        <w:rPr>
          <w:rFonts w:hint="eastAsia" w:ascii="宋体" w:hAnsi="宋体" w:eastAsia="宋体" w:cs="宋体"/>
          <w:color w:val="auto"/>
          <w:sz w:val="21"/>
          <w:szCs w:val="21"/>
          <w:lang w:eastAsia="zh-CN"/>
        </w:rPr>
        <w:t>单一来源采购文件</w:t>
      </w:r>
      <w:r>
        <w:rPr>
          <w:rFonts w:hint="eastAsia" w:ascii="宋体" w:hAnsi="宋体" w:eastAsia="宋体" w:cs="宋体"/>
          <w:color w:val="auto"/>
          <w:sz w:val="21"/>
          <w:szCs w:val="21"/>
        </w:rPr>
        <w:t>仅适用于本次</w:t>
      </w:r>
      <w:r>
        <w:rPr>
          <w:rFonts w:hint="eastAsia" w:ascii="宋体" w:hAnsi="宋体" w:eastAsia="宋体" w:cs="宋体"/>
          <w:color w:val="auto"/>
          <w:sz w:val="21"/>
          <w:szCs w:val="21"/>
          <w:lang w:eastAsia="zh-CN"/>
        </w:rPr>
        <w:t>单一来源采购文</w:t>
      </w:r>
      <w:r>
        <w:rPr>
          <w:rFonts w:hint="eastAsia" w:ascii="宋体" w:hAnsi="宋体" w:eastAsia="宋体" w:cs="宋体"/>
          <w:color w:val="auto"/>
          <w:sz w:val="21"/>
          <w:szCs w:val="21"/>
        </w:rPr>
        <w:t>公告中的所叙述的内容。</w:t>
      </w:r>
    </w:p>
    <w:p>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2、合格的供应商</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符合供应商须知前附表</w:t>
      </w:r>
      <w:r>
        <w:rPr>
          <w:rFonts w:hint="eastAsia" w:ascii="宋体" w:hAnsi="宋体" w:eastAsia="宋体" w:cs="宋体"/>
          <w:color w:val="auto"/>
          <w:sz w:val="21"/>
          <w:szCs w:val="21"/>
          <w:lang w:eastAsia="zh-CN"/>
        </w:rPr>
        <w:t>规定</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3. 其他</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3.1 无论</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中的做法和结果如何，供应商均应自行承担所有与参与</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活动有关的全部费用。</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3.2 无论</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结果如何，采购人均无向供应商解释其成交或未成交原因的义务。</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3.3 无论成交与否，已购买</w:t>
      </w:r>
      <w:r>
        <w:rPr>
          <w:rFonts w:hint="eastAsia" w:ascii="宋体" w:hAnsi="宋体" w:eastAsia="宋体" w:cs="宋体"/>
          <w:color w:val="auto"/>
          <w:sz w:val="21"/>
          <w:szCs w:val="21"/>
          <w:lang w:eastAsia="zh-CN"/>
        </w:rPr>
        <w:t>单一来源采购文件</w:t>
      </w:r>
      <w:r>
        <w:rPr>
          <w:rFonts w:hint="eastAsia" w:ascii="宋体" w:hAnsi="宋体" w:eastAsia="宋体" w:cs="宋体"/>
          <w:color w:val="auto"/>
          <w:sz w:val="21"/>
          <w:szCs w:val="21"/>
        </w:rPr>
        <w:t>的供应商对</w:t>
      </w:r>
      <w:r>
        <w:rPr>
          <w:rFonts w:hint="eastAsia" w:ascii="宋体" w:hAnsi="宋体" w:eastAsia="宋体" w:cs="宋体"/>
          <w:color w:val="auto"/>
          <w:sz w:val="21"/>
          <w:szCs w:val="21"/>
          <w:lang w:eastAsia="zh-CN"/>
        </w:rPr>
        <w:t>单一来源采购文件</w:t>
      </w:r>
      <w:r>
        <w:rPr>
          <w:rFonts w:hint="eastAsia" w:ascii="宋体" w:hAnsi="宋体" w:eastAsia="宋体" w:cs="宋体"/>
          <w:color w:val="auto"/>
          <w:sz w:val="21"/>
          <w:szCs w:val="21"/>
        </w:rPr>
        <w:t>负保密责任。</w:t>
      </w:r>
    </w:p>
    <w:p>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4、</w:t>
      </w:r>
      <w:r>
        <w:rPr>
          <w:rFonts w:hint="eastAsia" w:ascii="宋体" w:hAnsi="宋体" w:eastAsia="宋体" w:cs="宋体"/>
          <w:b/>
          <w:bCs/>
          <w:color w:val="auto"/>
          <w:sz w:val="21"/>
          <w:szCs w:val="21"/>
          <w:lang w:eastAsia="zh-CN"/>
        </w:rPr>
        <w:t>单一来源采购文件</w:t>
      </w:r>
      <w:r>
        <w:rPr>
          <w:rFonts w:hint="eastAsia" w:ascii="宋体" w:hAnsi="宋体" w:eastAsia="宋体" w:cs="宋体"/>
          <w:b/>
          <w:bCs/>
          <w:color w:val="auto"/>
          <w:sz w:val="21"/>
          <w:szCs w:val="21"/>
        </w:rPr>
        <w:t>的组成</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4.1 </w:t>
      </w:r>
      <w:r>
        <w:rPr>
          <w:rFonts w:hint="eastAsia" w:ascii="宋体" w:hAnsi="宋体" w:eastAsia="宋体" w:cs="宋体"/>
          <w:color w:val="auto"/>
          <w:sz w:val="21"/>
          <w:szCs w:val="21"/>
          <w:lang w:eastAsia="zh-CN"/>
        </w:rPr>
        <w:t>单一来源采购文件</w:t>
      </w:r>
      <w:r>
        <w:rPr>
          <w:rFonts w:hint="eastAsia" w:ascii="宋体" w:hAnsi="宋体" w:eastAsia="宋体" w:cs="宋体"/>
          <w:color w:val="auto"/>
          <w:sz w:val="21"/>
          <w:szCs w:val="21"/>
        </w:rPr>
        <w:t>用于阐明采购项目的服务范围、</w:t>
      </w:r>
      <w:r>
        <w:rPr>
          <w:rFonts w:hint="eastAsia" w:ascii="宋体" w:hAnsi="宋体" w:eastAsia="宋体" w:cs="宋体"/>
          <w:color w:val="auto"/>
          <w:sz w:val="21"/>
          <w:szCs w:val="21"/>
          <w:lang w:val="en-US" w:eastAsia="zh-CN"/>
        </w:rPr>
        <w:t>谈判</w:t>
      </w:r>
      <w:r>
        <w:rPr>
          <w:rFonts w:hint="eastAsia" w:ascii="宋体" w:hAnsi="宋体" w:eastAsia="宋体" w:cs="宋体"/>
          <w:color w:val="auto"/>
          <w:sz w:val="21"/>
          <w:szCs w:val="21"/>
        </w:rPr>
        <w:t>程序、</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内容、合同草签和条款以及评定成交的标准。具体包括以下内容：</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 xml:space="preserve">单一来源公告 </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（2）供应商须知</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（3）采购需求及技术要求</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）评分标准</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合同协议书</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）响应性文件格式</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4.2 </w:t>
      </w:r>
      <w:r>
        <w:rPr>
          <w:rFonts w:hint="eastAsia" w:ascii="宋体" w:hAnsi="宋体" w:eastAsia="宋体" w:cs="宋体"/>
          <w:color w:val="auto"/>
          <w:sz w:val="21"/>
          <w:szCs w:val="21"/>
          <w:lang w:eastAsia="zh-CN"/>
        </w:rPr>
        <w:t>单一来源采购文件</w:t>
      </w:r>
      <w:r>
        <w:rPr>
          <w:rFonts w:hint="eastAsia" w:ascii="宋体" w:hAnsi="宋体" w:eastAsia="宋体" w:cs="宋体"/>
          <w:color w:val="auto"/>
          <w:sz w:val="21"/>
          <w:szCs w:val="21"/>
        </w:rPr>
        <w:t>以中文编辑，且以中文为准。</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4.3 除非有特殊要求，</w:t>
      </w:r>
      <w:r>
        <w:rPr>
          <w:rFonts w:hint="eastAsia" w:ascii="宋体" w:hAnsi="宋体" w:eastAsia="宋体" w:cs="宋体"/>
          <w:color w:val="auto"/>
          <w:sz w:val="21"/>
          <w:szCs w:val="21"/>
          <w:lang w:eastAsia="zh-CN"/>
        </w:rPr>
        <w:t>单一来源采购文件</w:t>
      </w:r>
      <w:r>
        <w:rPr>
          <w:rFonts w:hint="eastAsia" w:ascii="宋体" w:hAnsi="宋体" w:eastAsia="宋体" w:cs="宋体"/>
          <w:color w:val="auto"/>
          <w:sz w:val="21"/>
          <w:szCs w:val="21"/>
        </w:rPr>
        <w:t>不单独提供项目所在地的自然环境、气候条件、公用设施等情况，供应商被视为熟悉上述与履行合同有关的一切情况。</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4.4 </w:t>
      </w:r>
      <w:r>
        <w:rPr>
          <w:rFonts w:hint="eastAsia" w:ascii="宋体" w:hAnsi="宋体" w:eastAsia="宋体" w:cs="宋体"/>
          <w:color w:val="auto"/>
          <w:sz w:val="21"/>
          <w:szCs w:val="21"/>
          <w:lang w:eastAsia="zh-CN"/>
        </w:rPr>
        <w:t>单一来源采购文件</w:t>
      </w:r>
      <w:r>
        <w:rPr>
          <w:rFonts w:hint="eastAsia" w:ascii="宋体" w:hAnsi="宋体" w:eastAsia="宋体" w:cs="宋体"/>
          <w:color w:val="auto"/>
          <w:sz w:val="21"/>
          <w:szCs w:val="21"/>
        </w:rPr>
        <w:t>的澄清和修改</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4.4.1</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在下载</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文件后，应仔细阅读和检查</w:t>
      </w:r>
      <w:r>
        <w:rPr>
          <w:rFonts w:hint="eastAsia" w:ascii="宋体" w:hAnsi="宋体" w:eastAsia="宋体" w:cs="宋体"/>
          <w:color w:val="auto"/>
          <w:sz w:val="21"/>
          <w:szCs w:val="21"/>
          <w:lang w:eastAsia="zh-CN"/>
        </w:rPr>
        <w:t>单一来源采购文件</w:t>
      </w:r>
      <w:r>
        <w:rPr>
          <w:rFonts w:hint="eastAsia" w:ascii="宋体" w:hAnsi="宋体" w:eastAsia="宋体" w:cs="宋体"/>
          <w:color w:val="auto"/>
          <w:sz w:val="21"/>
          <w:szCs w:val="21"/>
        </w:rPr>
        <w:t>的全部内容。如发现内容不完整或附件不全，应在递交响应文件截止之日3日前在三门峡市公共资源交易系统中提出质询，要求招标人对</w:t>
      </w:r>
      <w:r>
        <w:rPr>
          <w:rFonts w:hint="eastAsia" w:ascii="宋体" w:hAnsi="宋体" w:eastAsia="宋体" w:cs="宋体"/>
          <w:color w:val="auto"/>
          <w:sz w:val="21"/>
          <w:szCs w:val="21"/>
          <w:lang w:eastAsia="zh-CN"/>
        </w:rPr>
        <w:t>单一来源采购文件</w:t>
      </w:r>
      <w:r>
        <w:rPr>
          <w:rFonts w:hint="eastAsia" w:ascii="宋体" w:hAnsi="宋体" w:eastAsia="宋体" w:cs="宋体"/>
          <w:color w:val="auto"/>
          <w:sz w:val="21"/>
          <w:szCs w:val="21"/>
        </w:rPr>
        <w:t>予以澄清。</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4.4.2</w:t>
      </w:r>
      <w:r>
        <w:rPr>
          <w:rFonts w:hint="eastAsia" w:ascii="宋体" w:hAnsi="宋体" w:eastAsia="宋体" w:cs="宋体"/>
          <w:color w:val="auto"/>
          <w:sz w:val="21"/>
          <w:szCs w:val="21"/>
          <w:lang w:eastAsia="zh-CN"/>
        </w:rPr>
        <w:t>单一来源采购文件</w:t>
      </w:r>
      <w:r>
        <w:rPr>
          <w:rFonts w:hint="eastAsia" w:ascii="宋体" w:hAnsi="宋体" w:eastAsia="宋体" w:cs="宋体"/>
          <w:color w:val="auto"/>
          <w:sz w:val="21"/>
          <w:szCs w:val="21"/>
        </w:rPr>
        <w:t>的澄清以澄清回复的方式在三门峡市公共资源交易系统中回复所有报名完成</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，但不指明澄清问题的来源。澄清</w:t>
      </w:r>
      <w:r>
        <w:rPr>
          <w:rFonts w:hint="eastAsia" w:ascii="宋体" w:hAnsi="宋体" w:eastAsia="宋体" w:cs="宋体"/>
          <w:color w:val="auto"/>
          <w:sz w:val="21"/>
          <w:szCs w:val="21"/>
          <w:lang w:eastAsia="zh-CN"/>
        </w:rPr>
        <w:t>单一来源采购文件</w:t>
      </w:r>
      <w:r>
        <w:rPr>
          <w:rFonts w:hint="eastAsia" w:ascii="宋体" w:hAnsi="宋体" w:eastAsia="宋体" w:cs="宋体"/>
          <w:color w:val="auto"/>
          <w:sz w:val="21"/>
          <w:szCs w:val="21"/>
        </w:rPr>
        <w:t>实质性内容且影响响应文件编制的，将相应延长投标截止时间。</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4.4.3如果在规定的时间内</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未提出疑问，将视为</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完全理解并接受</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文件中的资格要求、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须知、格式、条款、技术要求、澄清、修改等所有要求，则</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应按照</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文件相应要求的要求提交有关资料和文件。</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4.4.4</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文件澄清、修改、补充通知内容均以书面明确的内容为准。当</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商文件、修改补充通知、澄清内容相互矛盾时，以最后发出的通知或修改文件为准。</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4.4.5</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应自行查看澄清或修改信息。</w:t>
      </w:r>
    </w:p>
    <w:p>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5、响应性文件的组成</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1、响应函</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2、报价一览表</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3、法定代表人身份证明及授权委托书</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w:t>
      </w:r>
      <w:r>
        <w:rPr>
          <w:rFonts w:hint="eastAsia" w:ascii="宋体" w:hAnsi="宋体" w:eastAsia="宋体" w:cs="宋体"/>
          <w:color w:val="auto"/>
          <w:sz w:val="21"/>
          <w:szCs w:val="21"/>
          <w:lang w:eastAsia="zh-CN"/>
        </w:rPr>
        <w:t>服务方案</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5、售后服务发</w:t>
      </w:r>
      <w:r>
        <w:rPr>
          <w:rFonts w:hint="eastAsia" w:ascii="宋体" w:hAnsi="宋体" w:eastAsia="宋体" w:cs="宋体"/>
          <w:color w:val="auto"/>
          <w:sz w:val="21"/>
          <w:szCs w:val="21"/>
          <w:lang w:eastAsia="zh-CN"/>
        </w:rPr>
        <w:t>方案</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6、资格审查资料</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供应商应按</w:t>
      </w:r>
      <w:r>
        <w:rPr>
          <w:rFonts w:hint="eastAsia" w:ascii="宋体" w:hAnsi="宋体" w:eastAsia="宋体" w:cs="宋体"/>
          <w:color w:val="auto"/>
          <w:sz w:val="21"/>
          <w:szCs w:val="21"/>
          <w:lang w:eastAsia="zh-CN"/>
        </w:rPr>
        <w:t>单一来源采购文件</w:t>
      </w:r>
      <w:r>
        <w:rPr>
          <w:rFonts w:hint="eastAsia" w:ascii="宋体" w:hAnsi="宋体" w:eastAsia="宋体" w:cs="宋体"/>
          <w:color w:val="auto"/>
          <w:sz w:val="21"/>
          <w:szCs w:val="21"/>
        </w:rPr>
        <w:t>的要求准备响应性文件，并保证所提供的全部资料的真实性，准确性及完整性，以使其报价对</w:t>
      </w:r>
      <w:r>
        <w:rPr>
          <w:rFonts w:hint="eastAsia" w:ascii="宋体" w:hAnsi="宋体" w:eastAsia="宋体" w:cs="宋体"/>
          <w:color w:val="auto"/>
          <w:sz w:val="21"/>
          <w:szCs w:val="21"/>
          <w:lang w:eastAsia="zh-CN"/>
        </w:rPr>
        <w:t>单一来源采购文件</w:t>
      </w:r>
      <w:r>
        <w:rPr>
          <w:rFonts w:hint="eastAsia" w:ascii="宋体" w:hAnsi="宋体" w:eastAsia="宋体" w:cs="宋体"/>
          <w:color w:val="auto"/>
          <w:sz w:val="21"/>
          <w:szCs w:val="21"/>
        </w:rPr>
        <w:t>做出实质性的响应，否则其</w:t>
      </w:r>
      <w:r>
        <w:rPr>
          <w:rFonts w:hint="eastAsia" w:ascii="宋体" w:hAnsi="宋体" w:eastAsia="宋体" w:cs="宋体"/>
          <w:color w:val="auto"/>
          <w:sz w:val="21"/>
          <w:szCs w:val="21"/>
          <w:lang w:eastAsia="zh-CN"/>
        </w:rPr>
        <w:t>谈判</w:t>
      </w:r>
      <w:r>
        <w:rPr>
          <w:rFonts w:hint="eastAsia" w:ascii="宋体" w:hAnsi="宋体" w:eastAsia="宋体" w:cs="宋体"/>
          <w:color w:val="auto"/>
          <w:sz w:val="21"/>
          <w:szCs w:val="21"/>
        </w:rPr>
        <w:t>资格有可能被</w:t>
      </w:r>
      <w:r>
        <w:rPr>
          <w:rFonts w:hint="eastAsia" w:ascii="宋体" w:hAnsi="宋体" w:eastAsia="宋体" w:cs="宋体"/>
          <w:color w:val="auto"/>
          <w:sz w:val="21"/>
          <w:szCs w:val="21"/>
          <w:lang w:eastAsia="zh-CN"/>
        </w:rPr>
        <w:t>谈判小组</w:t>
      </w:r>
      <w:r>
        <w:rPr>
          <w:rFonts w:hint="eastAsia" w:ascii="宋体" w:hAnsi="宋体" w:eastAsia="宋体" w:cs="宋体"/>
          <w:color w:val="auto"/>
          <w:sz w:val="21"/>
          <w:szCs w:val="21"/>
        </w:rPr>
        <w:t>否决。</w:t>
      </w:r>
    </w:p>
    <w:p>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6、</w:t>
      </w:r>
      <w:r>
        <w:rPr>
          <w:rFonts w:hint="eastAsia" w:ascii="宋体" w:hAnsi="宋体" w:eastAsia="宋体" w:cs="宋体"/>
          <w:b/>
          <w:bCs/>
          <w:color w:val="auto"/>
          <w:sz w:val="21"/>
          <w:szCs w:val="21"/>
          <w:lang w:val="en-US" w:eastAsia="zh-CN"/>
        </w:rPr>
        <w:t>投标</w:t>
      </w:r>
      <w:r>
        <w:rPr>
          <w:rFonts w:hint="eastAsia" w:ascii="宋体" w:hAnsi="宋体" w:eastAsia="宋体" w:cs="宋体"/>
          <w:b/>
          <w:bCs/>
          <w:color w:val="auto"/>
          <w:sz w:val="21"/>
          <w:szCs w:val="21"/>
        </w:rPr>
        <w:t>保证金</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按照《河南省财政厅关于优化政府采购营商环境有关问题的通知》（豫财购[2019]4号文）的要求本项目不再收取投标保证金。</w:t>
      </w:r>
    </w:p>
    <w:p>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7、</w:t>
      </w:r>
      <w:r>
        <w:rPr>
          <w:rFonts w:hint="eastAsia" w:ascii="宋体" w:hAnsi="宋体" w:eastAsia="宋体" w:cs="宋体"/>
          <w:b/>
          <w:bCs/>
          <w:color w:val="auto"/>
          <w:sz w:val="21"/>
          <w:szCs w:val="21"/>
          <w:lang w:val="en-US" w:eastAsia="zh-CN"/>
        </w:rPr>
        <w:t>谈判</w:t>
      </w:r>
      <w:r>
        <w:rPr>
          <w:rFonts w:hint="eastAsia" w:ascii="宋体" w:hAnsi="宋体" w:eastAsia="宋体" w:cs="宋体"/>
          <w:b/>
          <w:bCs/>
          <w:color w:val="auto"/>
          <w:sz w:val="21"/>
          <w:szCs w:val="21"/>
        </w:rPr>
        <w:t>报价</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7.1 </w:t>
      </w:r>
      <w:r>
        <w:rPr>
          <w:rFonts w:hint="eastAsia" w:ascii="宋体" w:hAnsi="宋体" w:eastAsia="宋体" w:cs="宋体"/>
          <w:color w:val="auto"/>
          <w:sz w:val="21"/>
          <w:szCs w:val="21"/>
          <w:lang w:val="en-US" w:eastAsia="zh-CN"/>
        </w:rPr>
        <w:t>谈判</w:t>
      </w:r>
      <w:r>
        <w:rPr>
          <w:rFonts w:hint="eastAsia" w:ascii="宋体" w:hAnsi="宋体" w:eastAsia="宋体" w:cs="宋体"/>
          <w:color w:val="auto"/>
          <w:sz w:val="21"/>
          <w:szCs w:val="21"/>
        </w:rPr>
        <w:t>报价为本项目全过程货物采购所发生的全部费用。报价应包含设计、安装调试费、培训费、税金等全部费用。</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7.2本项目报价以人民币为单位。任何有选择性的报价将不予接受，每轮只许有一个报价，二轮报价</w:t>
      </w:r>
      <w:r>
        <w:rPr>
          <w:rFonts w:hint="eastAsia" w:ascii="宋体" w:hAnsi="宋体" w:eastAsia="宋体" w:cs="宋体"/>
          <w:color w:val="auto"/>
          <w:sz w:val="21"/>
          <w:szCs w:val="21"/>
          <w:lang w:eastAsia="zh-CN"/>
        </w:rPr>
        <w:t>未</w:t>
      </w:r>
      <w:r>
        <w:rPr>
          <w:rFonts w:hint="eastAsia" w:ascii="宋体" w:hAnsi="宋体" w:eastAsia="宋体" w:cs="宋体"/>
          <w:color w:val="auto"/>
          <w:sz w:val="21"/>
          <w:szCs w:val="21"/>
        </w:rPr>
        <w:t>提交</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一轮报价视为二轮报价；</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7.3 供应商应按照</w:t>
      </w:r>
      <w:r>
        <w:rPr>
          <w:rFonts w:hint="eastAsia" w:ascii="宋体" w:hAnsi="宋体" w:eastAsia="宋体" w:cs="宋体"/>
          <w:color w:val="auto"/>
          <w:sz w:val="21"/>
          <w:szCs w:val="21"/>
          <w:lang w:eastAsia="zh-CN"/>
        </w:rPr>
        <w:t>单一来源采购文件</w:t>
      </w:r>
      <w:r>
        <w:rPr>
          <w:rFonts w:hint="eastAsia" w:ascii="宋体" w:hAnsi="宋体" w:eastAsia="宋体" w:cs="宋体"/>
          <w:color w:val="auto"/>
          <w:sz w:val="21"/>
          <w:szCs w:val="21"/>
        </w:rPr>
        <w:t>提供的报价表格式填写报价；</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7.4本次</w:t>
      </w:r>
      <w:r>
        <w:rPr>
          <w:rFonts w:hint="eastAsia" w:ascii="宋体" w:hAnsi="宋体" w:eastAsia="宋体" w:cs="宋体"/>
          <w:color w:val="auto"/>
          <w:sz w:val="21"/>
          <w:szCs w:val="21"/>
          <w:lang w:val="en-US" w:eastAsia="zh-CN"/>
        </w:rPr>
        <w:t>单一来源采购</w:t>
      </w:r>
      <w:r>
        <w:rPr>
          <w:rFonts w:hint="eastAsia" w:ascii="宋体" w:hAnsi="宋体" w:eastAsia="宋体" w:cs="宋体"/>
          <w:color w:val="auto"/>
          <w:sz w:val="21"/>
          <w:szCs w:val="21"/>
        </w:rPr>
        <w:t>分为两轮报价。响应性文件中的报价作为第一次报价，不得高于项目最高限价且不公开；第二轮报价不得高于第一轮报价；</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7.5 供应商任何有选择的报价将被拒绝，报价不允许修正和涂改，出现错误或涂改的将以无效报价处理；供应商不得以他人名义</w:t>
      </w:r>
      <w:r>
        <w:rPr>
          <w:rFonts w:hint="eastAsia" w:ascii="宋体" w:hAnsi="宋体" w:eastAsia="宋体" w:cs="宋体"/>
          <w:color w:val="auto"/>
          <w:sz w:val="21"/>
          <w:szCs w:val="21"/>
          <w:lang w:val="en-US" w:eastAsia="zh-CN"/>
        </w:rPr>
        <w:t>谈判</w:t>
      </w:r>
      <w:r>
        <w:rPr>
          <w:rFonts w:hint="eastAsia" w:ascii="宋体" w:hAnsi="宋体" w:eastAsia="宋体" w:cs="宋体"/>
          <w:color w:val="auto"/>
          <w:sz w:val="21"/>
          <w:szCs w:val="21"/>
        </w:rPr>
        <w:t>或者以其他方式弄虚作假，骗取中标；</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7.6 响应性文件应对</w:t>
      </w:r>
      <w:r>
        <w:rPr>
          <w:rFonts w:hint="eastAsia" w:ascii="宋体" w:hAnsi="宋体" w:eastAsia="宋体" w:cs="宋体"/>
          <w:color w:val="auto"/>
          <w:sz w:val="21"/>
          <w:szCs w:val="21"/>
          <w:lang w:eastAsia="zh-CN"/>
        </w:rPr>
        <w:t>单一来源采购文件</w:t>
      </w:r>
      <w:r>
        <w:rPr>
          <w:rFonts w:hint="eastAsia" w:ascii="宋体" w:hAnsi="宋体" w:eastAsia="宋体" w:cs="宋体"/>
          <w:color w:val="auto"/>
          <w:sz w:val="21"/>
          <w:szCs w:val="21"/>
        </w:rPr>
        <w:t>中各项做出实质性响应，否则该</w:t>
      </w:r>
      <w:r>
        <w:rPr>
          <w:rFonts w:hint="eastAsia" w:ascii="宋体" w:hAnsi="宋体" w:eastAsia="宋体" w:cs="宋体"/>
          <w:color w:val="auto"/>
          <w:sz w:val="21"/>
          <w:szCs w:val="21"/>
          <w:lang w:val="en-US" w:eastAsia="zh-CN"/>
        </w:rPr>
        <w:t>谈判</w:t>
      </w:r>
      <w:r>
        <w:rPr>
          <w:rFonts w:hint="eastAsia" w:ascii="宋体" w:hAnsi="宋体" w:eastAsia="宋体" w:cs="宋体"/>
          <w:color w:val="auto"/>
          <w:sz w:val="21"/>
          <w:szCs w:val="21"/>
        </w:rPr>
        <w:t>将可能被拒绝。供应商服务承诺书应按不低于</w:t>
      </w:r>
      <w:r>
        <w:rPr>
          <w:rFonts w:hint="eastAsia" w:ascii="宋体" w:hAnsi="宋体" w:eastAsia="宋体" w:cs="宋体"/>
          <w:color w:val="auto"/>
          <w:sz w:val="21"/>
          <w:szCs w:val="21"/>
          <w:lang w:eastAsia="zh-CN"/>
        </w:rPr>
        <w:t>单一来源采购文件</w:t>
      </w:r>
      <w:r>
        <w:rPr>
          <w:rFonts w:hint="eastAsia" w:ascii="宋体" w:hAnsi="宋体" w:eastAsia="宋体" w:cs="宋体"/>
          <w:color w:val="auto"/>
          <w:sz w:val="21"/>
          <w:szCs w:val="21"/>
        </w:rPr>
        <w:t>中的服务要求标准做出响应；</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7.7 </w:t>
      </w:r>
      <w:r>
        <w:rPr>
          <w:rFonts w:hint="eastAsia" w:ascii="宋体" w:hAnsi="宋体" w:eastAsia="宋体" w:cs="宋体"/>
          <w:color w:val="auto"/>
          <w:sz w:val="21"/>
          <w:szCs w:val="21"/>
          <w:lang w:eastAsia="zh-CN"/>
        </w:rPr>
        <w:t>单一来源采购文件</w:t>
      </w:r>
      <w:r>
        <w:rPr>
          <w:rFonts w:hint="eastAsia" w:ascii="宋体" w:hAnsi="宋体" w:eastAsia="宋体" w:cs="宋体"/>
          <w:color w:val="auto"/>
          <w:sz w:val="21"/>
          <w:szCs w:val="21"/>
        </w:rPr>
        <w:t>能够详细列明采购标的服务要求的，</w:t>
      </w:r>
      <w:r>
        <w:rPr>
          <w:rFonts w:hint="eastAsia" w:ascii="宋体" w:hAnsi="宋体" w:eastAsia="宋体" w:cs="宋体"/>
          <w:color w:val="auto"/>
          <w:sz w:val="21"/>
          <w:szCs w:val="21"/>
          <w:lang w:val="en-US" w:eastAsia="zh-CN"/>
        </w:rPr>
        <w:t>谈判</w:t>
      </w:r>
      <w:r>
        <w:rPr>
          <w:rFonts w:hint="eastAsia" w:ascii="宋体" w:hAnsi="宋体" w:eastAsia="宋体" w:cs="宋体"/>
          <w:color w:val="auto"/>
          <w:sz w:val="21"/>
          <w:szCs w:val="21"/>
        </w:rPr>
        <w:t>结束后，</w:t>
      </w:r>
      <w:r>
        <w:rPr>
          <w:rFonts w:hint="eastAsia" w:ascii="宋体" w:hAnsi="宋体" w:eastAsia="宋体" w:cs="宋体"/>
          <w:color w:val="auto"/>
          <w:sz w:val="21"/>
          <w:szCs w:val="21"/>
          <w:lang w:val="en-US" w:eastAsia="zh-CN"/>
        </w:rPr>
        <w:t>谈判小组</w:t>
      </w:r>
      <w:r>
        <w:rPr>
          <w:rFonts w:hint="eastAsia" w:ascii="宋体" w:hAnsi="宋体" w:eastAsia="宋体" w:cs="宋体"/>
          <w:color w:val="auto"/>
          <w:sz w:val="21"/>
          <w:szCs w:val="21"/>
        </w:rPr>
        <w:t>应当要求实质性响应的供应商在规定时间内提交最终报价。最终报价是供应商响应性文件的有效组成部分。</w:t>
      </w:r>
    </w:p>
    <w:p>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8、响应文件的编制</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8.1响应文件应按照本</w:t>
      </w:r>
      <w:r>
        <w:rPr>
          <w:rFonts w:hint="eastAsia" w:ascii="宋体" w:hAnsi="宋体" w:eastAsia="宋体" w:cs="宋体"/>
          <w:color w:val="auto"/>
          <w:sz w:val="21"/>
          <w:szCs w:val="21"/>
          <w:lang w:eastAsia="zh-CN"/>
        </w:rPr>
        <w:t>单一来源采购文件</w:t>
      </w:r>
      <w:r>
        <w:rPr>
          <w:rFonts w:hint="eastAsia" w:ascii="宋体" w:hAnsi="宋体" w:eastAsia="宋体" w:cs="宋体"/>
          <w:color w:val="auto"/>
          <w:sz w:val="21"/>
          <w:szCs w:val="21"/>
        </w:rPr>
        <w:t>相应篇章“响应文件格式”进行编写，如有必要，可以增加附页，作为响应文件的组成部分。其中，投标函附录在满足</w:t>
      </w:r>
      <w:r>
        <w:rPr>
          <w:rFonts w:hint="eastAsia" w:ascii="宋体" w:hAnsi="宋体" w:eastAsia="宋体" w:cs="宋体"/>
          <w:bCs/>
          <w:color w:val="auto"/>
          <w:sz w:val="21"/>
          <w:szCs w:val="21"/>
          <w:lang w:eastAsia="zh-CN"/>
        </w:rPr>
        <w:t>单一来源采购文件</w:t>
      </w:r>
      <w:r>
        <w:rPr>
          <w:rFonts w:hint="eastAsia" w:ascii="宋体" w:hAnsi="宋体" w:eastAsia="宋体" w:cs="宋体"/>
          <w:color w:val="auto"/>
          <w:sz w:val="21"/>
          <w:szCs w:val="21"/>
        </w:rPr>
        <w:t>实质性要求的基础上，可以提出比</w:t>
      </w:r>
      <w:r>
        <w:rPr>
          <w:rFonts w:hint="eastAsia" w:ascii="宋体" w:hAnsi="宋体" w:eastAsia="宋体" w:cs="宋体"/>
          <w:color w:val="auto"/>
          <w:sz w:val="21"/>
          <w:szCs w:val="21"/>
          <w:lang w:eastAsia="zh-CN"/>
        </w:rPr>
        <w:t>单一来源采购文件</w:t>
      </w:r>
      <w:r>
        <w:rPr>
          <w:rFonts w:hint="eastAsia" w:ascii="宋体" w:hAnsi="宋体" w:eastAsia="宋体" w:cs="宋体"/>
          <w:color w:val="auto"/>
          <w:sz w:val="21"/>
          <w:szCs w:val="21"/>
        </w:rPr>
        <w:t>要求更有利于招标人的承诺。</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8.2</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lang w:eastAsia="zh-CN"/>
        </w:rPr>
        <w:t>文件</w:t>
      </w:r>
      <w:r>
        <w:rPr>
          <w:rFonts w:hint="eastAsia" w:ascii="宋体" w:hAnsi="宋体" w:eastAsia="宋体" w:cs="宋体"/>
          <w:color w:val="auto"/>
          <w:sz w:val="21"/>
          <w:szCs w:val="21"/>
        </w:rPr>
        <w:t>应当对</w:t>
      </w:r>
      <w:r>
        <w:rPr>
          <w:rFonts w:hint="eastAsia" w:ascii="宋体" w:hAnsi="宋体" w:eastAsia="宋体" w:cs="宋体"/>
          <w:color w:val="auto"/>
          <w:sz w:val="21"/>
          <w:szCs w:val="21"/>
          <w:lang w:eastAsia="zh-CN"/>
        </w:rPr>
        <w:t>单一来源采购文件</w:t>
      </w:r>
      <w:r>
        <w:rPr>
          <w:rFonts w:hint="eastAsia" w:ascii="宋体" w:hAnsi="宋体" w:eastAsia="宋体" w:cs="宋体"/>
          <w:color w:val="auto"/>
          <w:sz w:val="21"/>
          <w:szCs w:val="21"/>
        </w:rPr>
        <w:t>有关</w:t>
      </w:r>
      <w:r>
        <w:rPr>
          <w:rFonts w:hint="eastAsia" w:ascii="宋体" w:hAnsi="宋体" w:eastAsia="宋体" w:cs="宋体"/>
          <w:color w:val="auto"/>
          <w:sz w:val="21"/>
          <w:szCs w:val="21"/>
          <w:lang w:val="en-US" w:eastAsia="zh-CN"/>
        </w:rPr>
        <w:t>服务期限</w:t>
      </w:r>
      <w:r>
        <w:rPr>
          <w:rFonts w:hint="eastAsia" w:ascii="宋体" w:hAnsi="宋体" w:eastAsia="宋体" w:cs="宋体"/>
          <w:color w:val="auto"/>
          <w:sz w:val="21"/>
          <w:szCs w:val="21"/>
        </w:rPr>
        <w:t>、投标有效期、质量要求、采购内容等实质性内容作出响应。</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8.3</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所上传的电子化响应文件，应是通过中心</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文件制作系统制作的，经过签章和加密后生成的电子版响应文件。</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投报多个标段的，所生成的电子化响应文件仍为一个电子文件，</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制作电子化响应文件时应将所报标段全部勾选后制作生成。</w:t>
      </w:r>
    </w:p>
    <w:p>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9、备选投标方案</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不允许</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递交备选投标方案。</w:t>
      </w:r>
    </w:p>
    <w:p>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10、投标</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10.1 响应文件的签署</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在进行电子化响应文件签章时，</w:t>
      </w:r>
      <w:r>
        <w:rPr>
          <w:rFonts w:hint="eastAsia" w:ascii="宋体" w:hAnsi="宋体" w:eastAsia="宋体" w:cs="宋体"/>
          <w:color w:val="auto"/>
          <w:sz w:val="21"/>
          <w:szCs w:val="21"/>
          <w:lang w:eastAsia="zh-CN"/>
        </w:rPr>
        <w:t>单一来源采购文件</w:t>
      </w:r>
      <w:r>
        <w:rPr>
          <w:rFonts w:hint="eastAsia" w:ascii="宋体" w:hAnsi="宋体" w:eastAsia="宋体" w:cs="宋体"/>
          <w:color w:val="auto"/>
          <w:sz w:val="21"/>
          <w:szCs w:val="21"/>
        </w:rPr>
        <w:t>中要求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盖章的，以签盖单位章为准；要求法定代表人签章的，以签盖法定代表人签章为准。</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10.2 响应文件的上传</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电子化响应文件应在投标截止时间前成功上传至三门峡市公共资源电子化交易系统。至投标截止时间止，仍未上传成功的电子化响应文件将不予接收。</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注：如按照电子化投标操作教材制作完成的电子化响应文件无法上传的，</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应在投标截止时间前尽早的联系中心技术人员，以便有充分的时间进行处理。</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应充分考虑到处理技术问题和上传数据等工作所需的时间问题，电子化响应文件未在投标截止时间前成功上传的，其响应文件不予接收。</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10.3 响应文件的修改与撤回</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在投标截止时间之后，</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不得补充、修改电子化响应文件。</w:t>
      </w:r>
    </w:p>
    <w:p>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11、谈判</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1谈判时间、地点及要求事项</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.1.1响应人按照本章响应人须知前附表规定的谈判截止时间和地点谈判。</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.1.2响应人按照本章响应人须知前附表规定的谈判截止时间和地点进行谈判会议，各响应人通过网络登录交易中心平台进入项目开标大厅远程在线参加开标会议。逾期未解密者视为自动弃标。</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.2谈判程序</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.2.1采购人按须知前附表规定的时间和地点谈判；</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11.</w:t>
      </w:r>
      <w:r>
        <w:rPr>
          <w:rFonts w:hint="eastAsia" w:ascii="宋体" w:hAnsi="宋体" w:eastAsia="宋体" w:cs="宋体"/>
          <w:color w:val="auto"/>
          <w:sz w:val="21"/>
          <w:szCs w:val="21"/>
        </w:rPr>
        <w:t>2.2电子化项目开标操作流程</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项目采用电子化、无纸化进行招标，开标当日，投标人无需到开标现场参加开标会议，投标人应当在投标截止时间前，登陆不见面开标大厅选择登陆三门峡市公共资源电子招投标系统进行登陆,在线准时参加开标活动并进行投标文件解密等</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电子化投标文件采用一次加密方式。开标时，由投标人使用CA证书，在规定时间内对其电子化投标文件进行解密。每位投标人的解密时间为开标时间起30分钟内，如在规定时间内未完成解密的，其投标文件不予开标、唱标。</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（3）电子化投标文件解密异常的处理</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如出现投标人的电子投标文件无法解密等异常情况，投标人应及时致电中介服务机构说明。投标文件异常，按以下步骤进行处理：</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1.首先由技术人员进行问题排查。</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2.经技术人员排查后，是投标人文件自身问题导致投标文件无法解密的，该投标文件将不予接收、解密和唱标。开标会议继续进行。</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（4）待所有投标人投标文件解密完成后，由中介服务机构操作，对所有已解密投标文件进行唱标。</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投标人应保证在开标期间电话、电脑、网络能够正常工作，投标人因停电、电脑病毒、网络堵塞等原因，未在规定的解密时间内对投标文件进行解密的，其投标文件不予接收、唱标。</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（6）评标时，</w:t>
      </w:r>
      <w:r>
        <w:rPr>
          <w:rFonts w:hint="eastAsia" w:ascii="宋体" w:hAnsi="宋体" w:eastAsia="宋体" w:cs="宋体"/>
          <w:color w:val="auto"/>
          <w:sz w:val="21"/>
          <w:szCs w:val="21"/>
          <w:lang w:eastAsia="zh-CN"/>
        </w:rPr>
        <w:t>谈判小组</w:t>
      </w:r>
      <w:r>
        <w:rPr>
          <w:rFonts w:hint="eastAsia" w:ascii="宋体" w:hAnsi="宋体" w:eastAsia="宋体" w:cs="宋体"/>
          <w:color w:val="auto"/>
          <w:sz w:val="21"/>
          <w:szCs w:val="21"/>
        </w:rPr>
        <w:t>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w:t>
      </w:r>
      <w:r>
        <w:rPr>
          <w:rFonts w:hint="eastAsia" w:ascii="宋体" w:hAnsi="宋体" w:eastAsia="宋体" w:cs="宋体"/>
          <w:color w:val="auto"/>
          <w:sz w:val="21"/>
          <w:szCs w:val="21"/>
          <w:lang w:eastAsia="zh-CN"/>
        </w:rPr>
        <w:t>谈判小组</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（7）如</w:t>
      </w:r>
      <w:r>
        <w:rPr>
          <w:rFonts w:hint="eastAsia" w:ascii="宋体" w:hAnsi="宋体" w:eastAsia="宋体" w:cs="宋体"/>
          <w:color w:val="auto"/>
          <w:sz w:val="21"/>
          <w:szCs w:val="21"/>
          <w:lang w:eastAsia="zh-CN"/>
        </w:rPr>
        <w:t>谈判小组</w:t>
      </w:r>
      <w:r>
        <w:rPr>
          <w:rFonts w:hint="eastAsia" w:ascii="宋体" w:hAnsi="宋体" w:eastAsia="宋体" w:cs="宋体"/>
          <w:color w:val="auto"/>
          <w:sz w:val="21"/>
          <w:szCs w:val="21"/>
        </w:rPr>
        <w:t>对需要回复的投标人连续三次致电未接通的，视为投标人放弃回复，</w:t>
      </w:r>
      <w:r>
        <w:rPr>
          <w:rFonts w:hint="eastAsia" w:ascii="宋体" w:hAnsi="宋体" w:eastAsia="宋体" w:cs="宋体"/>
          <w:color w:val="auto"/>
          <w:sz w:val="21"/>
          <w:szCs w:val="21"/>
          <w:lang w:eastAsia="zh-CN"/>
        </w:rPr>
        <w:t>谈判小组</w:t>
      </w:r>
      <w:r>
        <w:rPr>
          <w:rFonts w:hint="eastAsia" w:ascii="宋体" w:hAnsi="宋体" w:eastAsia="宋体" w:cs="宋体"/>
          <w:color w:val="auto"/>
          <w:sz w:val="21"/>
          <w:szCs w:val="21"/>
        </w:rPr>
        <w:t>将自行对需要回复的内容进行认定。</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3具体评审方法</w:t>
      </w:r>
      <w:r>
        <w:rPr>
          <w:rFonts w:hint="eastAsia" w:ascii="宋体" w:hAnsi="宋体" w:eastAsia="宋体" w:cs="宋体"/>
          <w:b/>
          <w:bCs/>
          <w:color w:val="auto"/>
          <w:sz w:val="21"/>
          <w:szCs w:val="21"/>
          <w:lang w:eastAsia="zh-CN"/>
        </w:rPr>
        <w:t>（详见四、评分标准）</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谈判小组</w:t>
      </w:r>
      <w:r>
        <w:rPr>
          <w:rFonts w:hint="eastAsia" w:ascii="宋体" w:hAnsi="宋体" w:eastAsia="宋体" w:cs="宋体"/>
          <w:color w:val="auto"/>
          <w:sz w:val="21"/>
          <w:szCs w:val="21"/>
        </w:rPr>
        <w:t>首先对各响应人的响应性文件进行初步审查，任意一项未通过则视为初步审查未能通过，其响应文件无效。</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11.</w:t>
      </w:r>
      <w:r>
        <w:rPr>
          <w:rFonts w:hint="eastAsia" w:ascii="宋体" w:hAnsi="宋体" w:eastAsia="宋体" w:cs="宋体"/>
          <w:color w:val="auto"/>
          <w:sz w:val="21"/>
          <w:szCs w:val="21"/>
        </w:rPr>
        <w:t>4详细谈判</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11.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谈判小组</w:t>
      </w:r>
      <w:r>
        <w:rPr>
          <w:rFonts w:hint="eastAsia" w:ascii="宋体" w:hAnsi="宋体" w:eastAsia="宋体" w:cs="宋体"/>
          <w:color w:val="auto"/>
          <w:sz w:val="21"/>
          <w:szCs w:val="21"/>
        </w:rPr>
        <w:t>分别与通过初步审核的响应人集中与单一响应人分别进行谈判。谈判顺序为签到逆顺序，在谈判中，谈判双方可以就谈判项目所涉及的价格、技术、服务等进行实质性谈判，但谈判的任何一方不得透露与谈判有关的其他响应人的技术资料、价格和其他信息，不得变动谈判文件中的其他内容。</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11.</w:t>
      </w:r>
      <w:r>
        <w:rPr>
          <w:rFonts w:hint="eastAsia" w:ascii="宋体" w:hAnsi="宋体" w:eastAsia="宋体" w:cs="宋体"/>
          <w:color w:val="auto"/>
          <w:sz w:val="21"/>
          <w:szCs w:val="21"/>
        </w:rPr>
        <w:t>4.2</w:t>
      </w:r>
      <w:r>
        <w:rPr>
          <w:rFonts w:hint="eastAsia" w:ascii="宋体" w:hAnsi="宋体" w:eastAsia="宋体" w:cs="宋体"/>
          <w:color w:val="auto"/>
          <w:sz w:val="21"/>
          <w:szCs w:val="21"/>
          <w:lang w:eastAsia="zh-CN"/>
        </w:rPr>
        <w:t>谈判小组</w:t>
      </w:r>
      <w:r>
        <w:rPr>
          <w:rFonts w:hint="eastAsia" w:ascii="宋体" w:hAnsi="宋体" w:eastAsia="宋体" w:cs="宋体"/>
          <w:color w:val="auto"/>
          <w:sz w:val="21"/>
          <w:szCs w:val="21"/>
        </w:rPr>
        <w:t>将允许响应人修改其谈判响应文件中不构成重大偏离的微小的、非正规的、不一致的或不规则的地方，但这些修改不能影响任何响应人的名次相应排列。为有助于对谈判响应文件的审查、评价和比较，</w:t>
      </w:r>
      <w:r>
        <w:rPr>
          <w:rFonts w:hint="eastAsia" w:ascii="宋体" w:hAnsi="宋体" w:eastAsia="宋体" w:cs="宋体"/>
          <w:color w:val="auto"/>
          <w:sz w:val="21"/>
          <w:szCs w:val="21"/>
          <w:lang w:eastAsia="zh-CN"/>
        </w:rPr>
        <w:t>谈判小组</w:t>
      </w:r>
      <w:r>
        <w:rPr>
          <w:rFonts w:hint="eastAsia" w:ascii="宋体" w:hAnsi="宋体" w:eastAsia="宋体" w:cs="宋体"/>
          <w:color w:val="auto"/>
          <w:sz w:val="21"/>
          <w:szCs w:val="21"/>
        </w:rPr>
        <w:t>可分别要求响应人对谈判响应文件中含义不清的内容进行澄清。有关澄清的要求和答复均须以书面形式，但谈判的实质性内容不得更改。</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.4.3若谈判内容有实质性变动的，</w:t>
      </w:r>
      <w:r>
        <w:rPr>
          <w:rFonts w:hint="eastAsia" w:ascii="宋体" w:hAnsi="宋体" w:eastAsia="宋体" w:cs="宋体"/>
          <w:color w:val="auto"/>
          <w:sz w:val="21"/>
          <w:szCs w:val="21"/>
          <w:lang w:eastAsia="zh-CN"/>
        </w:rPr>
        <w:t>谈判小组</w:t>
      </w:r>
      <w:r>
        <w:rPr>
          <w:rFonts w:hint="eastAsia" w:ascii="宋体" w:hAnsi="宋体" w:eastAsia="宋体" w:cs="宋体"/>
          <w:color w:val="auto"/>
          <w:sz w:val="21"/>
          <w:szCs w:val="21"/>
        </w:rPr>
        <w:t>应当以书面形式通知所有参加谈判的响应人。</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.4.4所有响应人谈判结束后，</w:t>
      </w:r>
      <w:r>
        <w:rPr>
          <w:rFonts w:hint="eastAsia" w:ascii="宋体" w:hAnsi="宋体" w:eastAsia="宋体" w:cs="宋体"/>
          <w:color w:val="auto"/>
          <w:sz w:val="21"/>
          <w:szCs w:val="21"/>
          <w:lang w:eastAsia="zh-CN"/>
        </w:rPr>
        <w:t>谈判小组</w:t>
      </w:r>
      <w:r>
        <w:rPr>
          <w:rFonts w:hint="eastAsia" w:ascii="宋体" w:hAnsi="宋体" w:eastAsia="宋体" w:cs="宋体"/>
          <w:color w:val="auto"/>
          <w:sz w:val="21"/>
          <w:szCs w:val="21"/>
        </w:rPr>
        <w:t>将要求所有符合招标需求的响应人在规定的时间内同时进行报价（二次报价），即最终报价。【注：1、最终报价不得超出采购人预算价；2、最终报价明显低于成本价的，响应人需做出合理说明，否则将承担不被接受的风险；最后报价相同的，则参照谈判公告中政府采购政策：中小微企业、环保企业优先考虑】。</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.4.5</w:t>
      </w:r>
      <w:r>
        <w:rPr>
          <w:rFonts w:hint="eastAsia" w:ascii="宋体" w:hAnsi="宋体" w:eastAsia="宋体" w:cs="宋体"/>
          <w:color w:val="auto"/>
          <w:sz w:val="21"/>
          <w:szCs w:val="21"/>
          <w:lang w:eastAsia="zh-CN"/>
        </w:rPr>
        <w:t>谈判小组</w:t>
      </w:r>
      <w:r>
        <w:rPr>
          <w:rFonts w:hint="eastAsia" w:ascii="宋体" w:hAnsi="宋体" w:eastAsia="宋体" w:cs="宋体"/>
          <w:color w:val="auto"/>
          <w:sz w:val="21"/>
          <w:szCs w:val="21"/>
        </w:rPr>
        <w:t>按照“符合采购人需求，质量和服务相等，报价最低”的原则，将按最终报价由低到高的顺序推荐3名成交候选人，由</w:t>
      </w:r>
      <w:r>
        <w:rPr>
          <w:rFonts w:hint="eastAsia" w:ascii="宋体" w:hAnsi="宋体" w:eastAsia="宋体" w:cs="宋体"/>
          <w:color w:val="auto"/>
          <w:sz w:val="21"/>
          <w:szCs w:val="21"/>
          <w:lang w:eastAsia="zh-CN"/>
        </w:rPr>
        <w:t>谈判小组</w:t>
      </w:r>
      <w:r>
        <w:rPr>
          <w:rFonts w:hint="eastAsia" w:ascii="宋体" w:hAnsi="宋体" w:eastAsia="宋体" w:cs="宋体"/>
          <w:color w:val="auto"/>
          <w:sz w:val="21"/>
          <w:szCs w:val="21"/>
        </w:rPr>
        <w:t>在谈判记录上签字。</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.4.6原则上进行二轮报价，如遇特殊情况，根据谈判现场情况经</w:t>
      </w:r>
      <w:r>
        <w:rPr>
          <w:rFonts w:hint="eastAsia" w:ascii="宋体" w:hAnsi="宋体" w:eastAsia="宋体" w:cs="宋体"/>
          <w:color w:val="auto"/>
          <w:sz w:val="21"/>
          <w:szCs w:val="21"/>
          <w:lang w:eastAsia="zh-CN"/>
        </w:rPr>
        <w:t>谈判小组</w:t>
      </w:r>
      <w:r>
        <w:rPr>
          <w:rFonts w:hint="eastAsia" w:ascii="宋体" w:hAnsi="宋体" w:eastAsia="宋体" w:cs="宋体"/>
          <w:color w:val="auto"/>
          <w:sz w:val="21"/>
          <w:szCs w:val="21"/>
        </w:rPr>
        <w:t>讨论研究，可进行多轮报价。</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.4.7谈判结束后，采购人从</w:t>
      </w:r>
      <w:r>
        <w:rPr>
          <w:rFonts w:hint="eastAsia" w:ascii="宋体" w:hAnsi="宋体" w:eastAsia="宋体" w:cs="宋体"/>
          <w:color w:val="auto"/>
          <w:sz w:val="21"/>
          <w:szCs w:val="21"/>
          <w:lang w:eastAsia="zh-CN"/>
        </w:rPr>
        <w:t>谈判小组</w:t>
      </w:r>
      <w:r>
        <w:rPr>
          <w:rFonts w:hint="eastAsia" w:ascii="宋体" w:hAnsi="宋体" w:eastAsia="宋体" w:cs="宋体"/>
          <w:color w:val="auto"/>
          <w:sz w:val="21"/>
          <w:szCs w:val="21"/>
        </w:rPr>
        <w:t>提出的中标候选人中根据中标原则确定中标响应单位，并将结果通知未中标响应单位。</w:t>
      </w:r>
    </w:p>
    <w:p>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val="en-US" w:eastAsia="zh-CN"/>
        </w:rPr>
        <w:t>11.4.8</w:t>
      </w:r>
      <w:r>
        <w:rPr>
          <w:rFonts w:hint="eastAsia" w:ascii="宋体" w:hAnsi="宋体" w:eastAsia="宋体" w:cs="宋体"/>
          <w:b/>
          <w:bCs/>
          <w:color w:val="auto"/>
          <w:sz w:val="21"/>
          <w:szCs w:val="21"/>
          <w:lang w:eastAsia="zh-CN"/>
        </w:rPr>
        <w:t>单一来源采购：谈判小组和通过初步评审的供应商可进行谈判，谈判主要包括谈判供应商商务、技术、报价等相关内容。谈判结束后在供应商须在规定的时间内进行二轮报价</w:t>
      </w:r>
      <w:r>
        <w:rPr>
          <w:rFonts w:hint="eastAsia" w:ascii="宋体" w:hAnsi="宋体" w:eastAsia="宋体" w:cs="宋体"/>
          <w:b/>
          <w:bCs/>
          <w:color w:val="auto"/>
          <w:sz w:val="21"/>
          <w:szCs w:val="21"/>
        </w:rPr>
        <w:t>，即最终报价</w:t>
      </w:r>
      <w:r>
        <w:rPr>
          <w:rFonts w:hint="eastAsia" w:ascii="宋体" w:hAnsi="宋体" w:eastAsia="宋体" w:cs="宋体"/>
          <w:b/>
          <w:bCs/>
          <w:color w:val="auto"/>
          <w:sz w:val="21"/>
          <w:szCs w:val="21"/>
          <w:lang w:eastAsia="zh-CN"/>
        </w:rPr>
        <w:t>，该价格包括单一来源采购文件中规定的各项费用</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.5谈判过程的保密性</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.5.1谈判期间，直到授予成交人合同止，凡是与谈判响应文件审查、澄清、评价、比较以及推荐成交人等方面的情况，均不得向响应人或其他无关的人员透露。</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.5.2在谈判过程中，响应人如向</w:t>
      </w:r>
      <w:r>
        <w:rPr>
          <w:rFonts w:hint="eastAsia" w:ascii="宋体" w:hAnsi="宋体" w:eastAsia="宋体" w:cs="宋体"/>
          <w:color w:val="auto"/>
          <w:sz w:val="21"/>
          <w:szCs w:val="21"/>
          <w:lang w:eastAsia="zh-CN"/>
        </w:rPr>
        <w:t>谈判小组</w:t>
      </w:r>
      <w:r>
        <w:rPr>
          <w:rFonts w:hint="eastAsia" w:ascii="宋体" w:hAnsi="宋体" w:eastAsia="宋体" w:cs="宋体"/>
          <w:color w:val="auto"/>
          <w:sz w:val="21"/>
          <w:szCs w:val="21"/>
        </w:rPr>
        <w:t>成员施加任何影响，都将会导致其谈判被拒绝，政府招标监管部门将记录其不良行为。</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.6评定标准</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.6.1采购人严格按照谈判文件的要求和条件，从</w:t>
      </w:r>
      <w:r>
        <w:rPr>
          <w:rFonts w:hint="eastAsia" w:ascii="宋体" w:hAnsi="宋体" w:eastAsia="宋体" w:cs="宋体"/>
          <w:color w:val="auto"/>
          <w:sz w:val="21"/>
          <w:szCs w:val="21"/>
          <w:lang w:eastAsia="zh-CN"/>
        </w:rPr>
        <w:t>谈判小组</w:t>
      </w:r>
      <w:r>
        <w:rPr>
          <w:rFonts w:hint="eastAsia" w:ascii="宋体" w:hAnsi="宋体" w:eastAsia="宋体" w:cs="宋体"/>
          <w:color w:val="auto"/>
          <w:sz w:val="21"/>
          <w:szCs w:val="21"/>
        </w:rPr>
        <w:t>提出的中标候选人中根据符合招标需求、质量和服务相等且报价最低的原则确定中标响应单位。</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.6.2在质量、服务不相等情况下不以价格作为中标之唯一条件。</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.7谈判结果公示</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.7.1采购人和采购代理机构在项目评审结束之日起2个工作日内完成评标报告报送、中标成交响应人的确定、中标公示发布、中标成交通知书发出等工作。</w:t>
      </w:r>
    </w:p>
    <w:p>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12</w:t>
      </w:r>
      <w:r>
        <w:rPr>
          <w:rFonts w:hint="eastAsia" w:ascii="宋体" w:hAnsi="宋体" w:eastAsia="宋体" w:cs="宋体"/>
          <w:b/>
          <w:bCs/>
          <w:color w:val="auto"/>
          <w:sz w:val="21"/>
          <w:szCs w:val="21"/>
        </w:rPr>
        <w:t>合同授予</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.1签订合同</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响应人的最后一轮报价为中标价，中标价即为合同价。采购人和成交人应当自成交通知书发出之日起2个工作日内签订合同，采购人应在采购合同签订之日起1个工作日内将政府采购合同在河南省政府采购网发布公告信息及将采购合同报同级财政部门备案。根据谈判</w:t>
      </w:r>
      <w:r>
        <w:rPr>
          <w:rFonts w:hint="eastAsia" w:ascii="宋体" w:hAnsi="宋体" w:eastAsia="宋体" w:cs="宋体"/>
          <w:color w:val="auto"/>
          <w:sz w:val="21"/>
          <w:szCs w:val="21"/>
          <w:lang w:val="en-US" w:eastAsia="zh-CN"/>
        </w:rPr>
        <w:t>/单一来源采购</w:t>
      </w:r>
      <w:r>
        <w:rPr>
          <w:rFonts w:hint="eastAsia" w:ascii="宋体" w:hAnsi="宋体" w:eastAsia="宋体" w:cs="宋体"/>
          <w:color w:val="auto"/>
          <w:sz w:val="21"/>
          <w:szCs w:val="21"/>
        </w:rPr>
        <w:t>文件、成交人的响应文件及在谈判过程中对谈判响应文件作出的澄清、解释订立书面合同。成交人无正当理由拒签合同的，采购人取消其</w:t>
      </w:r>
      <w:r>
        <w:rPr>
          <w:rFonts w:hint="eastAsia" w:ascii="宋体" w:hAnsi="宋体" w:eastAsia="宋体" w:cs="宋体"/>
          <w:color w:val="auto"/>
          <w:sz w:val="21"/>
          <w:szCs w:val="21"/>
          <w:lang w:eastAsia="zh-CN"/>
        </w:rPr>
        <w:t>成交</w:t>
      </w:r>
      <w:r>
        <w:rPr>
          <w:rFonts w:hint="eastAsia" w:ascii="宋体" w:hAnsi="宋体" w:eastAsia="宋体" w:cs="宋体"/>
          <w:color w:val="auto"/>
          <w:sz w:val="21"/>
          <w:szCs w:val="21"/>
        </w:rPr>
        <w:t>资格，并对由此给采购人造成的损失予以赔偿。</w:t>
      </w:r>
    </w:p>
    <w:p>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13</w:t>
      </w:r>
      <w:r>
        <w:rPr>
          <w:rFonts w:hint="eastAsia" w:ascii="宋体" w:hAnsi="宋体" w:eastAsia="宋体" w:cs="宋体"/>
          <w:b/>
          <w:bCs/>
          <w:color w:val="auto"/>
          <w:sz w:val="21"/>
          <w:szCs w:val="21"/>
        </w:rPr>
        <w:t>纪律和监督</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.1对采购人的纪律要求</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采购人不得泄漏谈判中应当保密的情况和资料，不得与响应人串通损害国家利益、社会公共利益或者他人合法权益。</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.2对响应人的纪律要求</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响应人不得相互串通或者与采购人串通，不得向采购人或者</w:t>
      </w:r>
      <w:r>
        <w:rPr>
          <w:rFonts w:hint="eastAsia" w:ascii="宋体" w:hAnsi="宋体" w:eastAsia="宋体" w:cs="宋体"/>
          <w:color w:val="auto"/>
          <w:sz w:val="21"/>
          <w:szCs w:val="21"/>
          <w:lang w:eastAsia="zh-CN"/>
        </w:rPr>
        <w:t>谈判小组</w:t>
      </w:r>
      <w:r>
        <w:rPr>
          <w:rFonts w:hint="eastAsia" w:ascii="宋体" w:hAnsi="宋体" w:eastAsia="宋体" w:cs="宋体"/>
          <w:color w:val="auto"/>
          <w:sz w:val="21"/>
          <w:szCs w:val="21"/>
        </w:rPr>
        <w:t>成员行贿谋取中标，不得以他人名义谈判或者以其他方式弄虚作假骗取中标；响应人不得以任何方式干扰、影响谈判工作。</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.3对</w:t>
      </w:r>
      <w:r>
        <w:rPr>
          <w:rFonts w:hint="eastAsia" w:ascii="宋体" w:hAnsi="宋体" w:eastAsia="宋体" w:cs="宋体"/>
          <w:color w:val="auto"/>
          <w:sz w:val="21"/>
          <w:szCs w:val="21"/>
          <w:lang w:eastAsia="zh-CN"/>
        </w:rPr>
        <w:t>谈判小组</w:t>
      </w:r>
      <w:r>
        <w:rPr>
          <w:rFonts w:hint="eastAsia" w:ascii="宋体" w:hAnsi="宋体" w:eastAsia="宋体" w:cs="宋体"/>
          <w:color w:val="auto"/>
          <w:sz w:val="21"/>
          <w:szCs w:val="21"/>
        </w:rPr>
        <w:t>成员的纪律要求</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谈判小组</w:t>
      </w:r>
      <w:r>
        <w:rPr>
          <w:rFonts w:hint="eastAsia" w:ascii="宋体" w:hAnsi="宋体" w:eastAsia="宋体" w:cs="宋体"/>
          <w:color w:val="auto"/>
          <w:sz w:val="21"/>
          <w:szCs w:val="21"/>
        </w:rPr>
        <w:t>成员不得收受他人的财物或者其他好处，不得向他人透漏对谈判响应文件的评审和比较、中标候选人的推荐情况以及与谈判有关的其他情况。在谈判活动中，</w:t>
      </w:r>
      <w:r>
        <w:rPr>
          <w:rFonts w:hint="eastAsia" w:ascii="宋体" w:hAnsi="宋体" w:eastAsia="宋体" w:cs="宋体"/>
          <w:color w:val="auto"/>
          <w:sz w:val="21"/>
          <w:szCs w:val="21"/>
          <w:lang w:eastAsia="zh-CN"/>
        </w:rPr>
        <w:t>谈判小组</w:t>
      </w:r>
      <w:r>
        <w:rPr>
          <w:rFonts w:hint="eastAsia" w:ascii="宋体" w:hAnsi="宋体" w:eastAsia="宋体" w:cs="宋体"/>
          <w:color w:val="auto"/>
          <w:sz w:val="21"/>
          <w:szCs w:val="21"/>
        </w:rPr>
        <w:t>成员不得擅离职守，影响谈判程序正常进行。</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.4对与谈判活动有关的工作人员的纪律要求</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与谈判活动有关的工作人员不得收受他人的财物或者其他好处，不得向他人透漏对谈判响应文件的评审和比较、中标候选人的推荐情况以及与谈判有关的其他情况。在谈判活动中，与谈判活动有关的工作人员不得擅离职守，影响谈判程序正常进行。</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.5投诉</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响应人和其他利害关系人认为本次谈判违反法律、法规和规章规定的，有权向有关行政监督部门投诉。</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.6需要补充的其他内容</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需要补充的其他内容：见响应人须知前附表。</w:t>
      </w:r>
    </w:p>
    <w:p>
      <w:pPr>
        <w:pStyle w:val="7"/>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kern w:val="2"/>
          <w:sz w:val="40"/>
          <w:szCs w:val="36"/>
          <w:highlight w:val="none"/>
          <w:lang w:val="en-US" w:eastAsia="zh-CN" w:bidi="ar-SA"/>
        </w:rPr>
      </w:pPr>
      <w:r>
        <w:rPr>
          <w:rFonts w:hint="eastAsia" w:ascii="宋体" w:hAnsi="宋体" w:eastAsia="宋体" w:cs="宋体"/>
          <w:color w:val="auto"/>
        </w:rPr>
        <w:br w:type="page"/>
      </w:r>
      <w:bookmarkStart w:id="4" w:name="_Toc14065"/>
      <w:r>
        <w:rPr>
          <w:rFonts w:hint="eastAsia" w:ascii="宋体" w:hAnsi="宋体" w:eastAsia="宋体" w:cs="宋体"/>
          <w:b/>
          <w:bCs/>
          <w:color w:val="auto"/>
          <w:kern w:val="2"/>
          <w:sz w:val="28"/>
          <w:szCs w:val="28"/>
          <w:highlight w:val="none"/>
          <w:lang w:val="en-US" w:eastAsia="zh-CN" w:bidi="ar-SA"/>
        </w:rPr>
        <w:t>第三章  采购服务需求</w:t>
      </w:r>
      <w:bookmarkEnd w:id="4"/>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zh-CN"/>
        </w:rPr>
        <w:t>利用卫星资料依据植被指数、生态释氧量、大气浑浊度等生态指标对本县气象资料进行调查研究，组织国内生态专家进行研究分析并形成宣传素材；</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zh-CN"/>
        </w:rPr>
        <w:t>组织国内旅游和气象专家对本县自然气候情况进行科学调查，对其旅游气候资源进行研究，并形成专题宣传素材；</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zh-CN"/>
        </w:rPr>
        <w:t>对甲方提供的中国天然氧吧宣传片进行加工，制作河南省中国天然氧吧宣传片；</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val="zh-CN"/>
        </w:rPr>
        <w:t>河南卫视晚间18:55档《天气预报》栏目进行宣传。</w:t>
      </w:r>
    </w:p>
    <w:p>
      <w:pPr>
        <w:pStyle w:val="7"/>
        <w:numPr>
          <w:ilvl w:val="0"/>
          <w:numId w:val="0"/>
        </w:numPr>
        <w:jc w:val="center"/>
        <w:rPr>
          <w:rFonts w:hint="eastAsia" w:ascii="宋体" w:hAnsi="宋体" w:eastAsia="宋体" w:cs="宋体"/>
          <w:b/>
          <w:bCs/>
          <w:color w:val="auto"/>
          <w:kern w:val="2"/>
          <w:sz w:val="40"/>
          <w:szCs w:val="36"/>
          <w:lang w:val="en-US" w:eastAsia="zh-CN" w:bidi="ar-SA"/>
        </w:rPr>
      </w:pPr>
      <w:r>
        <w:rPr>
          <w:rFonts w:hint="eastAsia" w:ascii="宋体" w:hAnsi="宋体" w:eastAsia="宋体" w:cs="宋体"/>
          <w:b/>
          <w:bCs/>
          <w:color w:val="auto"/>
          <w:lang w:val="en-US" w:eastAsia="zh-CN"/>
        </w:rPr>
        <w:br w:type="page"/>
      </w:r>
      <w:bookmarkStart w:id="5" w:name="_Toc3680"/>
      <w:r>
        <w:rPr>
          <w:rFonts w:hint="eastAsia" w:ascii="宋体" w:hAnsi="宋体" w:eastAsia="宋体" w:cs="宋体"/>
          <w:b/>
          <w:bCs/>
          <w:color w:val="auto"/>
          <w:kern w:val="2"/>
          <w:sz w:val="28"/>
          <w:szCs w:val="28"/>
          <w:lang w:val="en-US" w:eastAsia="zh-CN" w:bidi="ar-SA"/>
        </w:rPr>
        <w:t>第四章  评分标准</w:t>
      </w:r>
      <w:bookmarkEnd w:id="5"/>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970"/>
        <w:gridCol w:w="1628"/>
        <w:gridCol w:w="5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95" w:type="pct"/>
            <w:gridSpan w:val="2"/>
            <w:noWrap w:val="0"/>
            <w:vAlign w:val="center"/>
          </w:tcPr>
          <w:p>
            <w:pPr>
              <w:widowControl w:val="0"/>
              <w:autoSpaceDE w:val="0"/>
              <w:autoSpaceDN w:val="0"/>
              <w:adjustRightInd w:val="0"/>
              <w:spacing w:beforeLines="50" w:afterLines="50" w:line="240" w:lineRule="auto"/>
              <w:jc w:val="center"/>
              <w:rPr>
                <w:rFonts w:hint="eastAsia" w:ascii="宋体" w:hAnsi="宋体" w:eastAsia="宋体" w:cs="宋体"/>
                <w:b/>
                <w:color w:val="auto"/>
                <w:sz w:val="21"/>
                <w:szCs w:val="21"/>
                <w:highlight w:val="none"/>
                <w:lang w:val="en-US" w:eastAsia="zh-CN" w:bidi="ar-SA"/>
              </w:rPr>
            </w:pPr>
            <w:r>
              <w:rPr>
                <w:rFonts w:hint="eastAsia" w:ascii="宋体" w:hAnsi="宋体" w:eastAsia="宋体" w:cs="宋体"/>
                <w:b/>
                <w:color w:val="auto"/>
                <w:sz w:val="21"/>
                <w:szCs w:val="21"/>
                <w:highlight w:val="none"/>
                <w:lang w:val="en-US" w:eastAsia="zh-CN" w:bidi="ar-SA"/>
              </w:rPr>
              <w:t>条款号</w:t>
            </w:r>
          </w:p>
        </w:tc>
        <w:tc>
          <w:tcPr>
            <w:tcW w:w="955" w:type="pct"/>
            <w:noWrap w:val="0"/>
            <w:vAlign w:val="center"/>
          </w:tcPr>
          <w:p>
            <w:pPr>
              <w:widowControl w:val="0"/>
              <w:autoSpaceDE w:val="0"/>
              <w:autoSpaceDN w:val="0"/>
              <w:adjustRightInd w:val="0"/>
              <w:spacing w:beforeLines="50" w:afterLines="50" w:line="240" w:lineRule="auto"/>
              <w:jc w:val="center"/>
              <w:rPr>
                <w:rFonts w:hint="eastAsia" w:ascii="宋体" w:hAnsi="宋体" w:eastAsia="宋体" w:cs="宋体"/>
                <w:b/>
                <w:color w:val="auto"/>
                <w:sz w:val="21"/>
                <w:szCs w:val="21"/>
                <w:highlight w:val="none"/>
                <w:lang w:val="en-US" w:eastAsia="zh-CN" w:bidi="ar-SA"/>
              </w:rPr>
            </w:pPr>
            <w:r>
              <w:rPr>
                <w:rFonts w:hint="eastAsia" w:ascii="宋体" w:hAnsi="宋体" w:eastAsia="宋体" w:cs="宋体"/>
                <w:b/>
                <w:color w:val="auto"/>
                <w:sz w:val="21"/>
                <w:szCs w:val="21"/>
                <w:highlight w:val="none"/>
                <w:lang w:val="en-US" w:eastAsia="zh-CN" w:bidi="ar-SA"/>
              </w:rPr>
              <w:t>评审因素</w:t>
            </w:r>
          </w:p>
        </w:tc>
        <w:tc>
          <w:tcPr>
            <w:tcW w:w="3148" w:type="pct"/>
            <w:noWrap w:val="0"/>
            <w:vAlign w:val="center"/>
          </w:tcPr>
          <w:p>
            <w:pPr>
              <w:widowControl w:val="0"/>
              <w:autoSpaceDE w:val="0"/>
              <w:autoSpaceDN w:val="0"/>
              <w:adjustRightInd w:val="0"/>
              <w:spacing w:beforeLines="50" w:afterLines="50" w:line="240" w:lineRule="auto"/>
              <w:jc w:val="center"/>
              <w:rPr>
                <w:rFonts w:hint="eastAsia" w:ascii="宋体" w:hAnsi="宋体" w:eastAsia="宋体" w:cs="宋体"/>
                <w:b/>
                <w:color w:val="auto"/>
                <w:sz w:val="21"/>
                <w:szCs w:val="21"/>
                <w:highlight w:val="none"/>
                <w:lang w:val="en-US" w:eastAsia="zh-CN" w:bidi="ar-SA"/>
              </w:rPr>
            </w:pPr>
            <w:r>
              <w:rPr>
                <w:rFonts w:hint="eastAsia" w:ascii="宋体" w:hAnsi="宋体" w:eastAsia="宋体" w:cs="宋体"/>
                <w:b/>
                <w:color w:val="auto"/>
                <w:sz w:val="21"/>
                <w:szCs w:val="21"/>
                <w:highlight w:val="none"/>
                <w:lang w:val="en-US" w:eastAsia="zh-CN" w:bidi="ar-S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326" w:type="pct"/>
            <w:vMerge w:val="restart"/>
            <w:noWrap w:val="0"/>
            <w:vAlign w:val="center"/>
          </w:tcPr>
          <w:p>
            <w:pPr>
              <w:widowControl w:val="0"/>
              <w:autoSpaceDE w:val="0"/>
              <w:autoSpaceDN w:val="0"/>
              <w:adjustRightInd w:val="0"/>
              <w:spacing w:beforeLines="50" w:afterLines="50"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2.1</w:t>
            </w:r>
          </w:p>
        </w:tc>
        <w:tc>
          <w:tcPr>
            <w:tcW w:w="569" w:type="pct"/>
            <w:vMerge w:val="restart"/>
            <w:noWrap w:val="0"/>
            <w:vAlign w:val="center"/>
          </w:tcPr>
          <w:p>
            <w:pPr>
              <w:widowControl w:val="0"/>
              <w:autoSpaceDE w:val="0"/>
              <w:autoSpaceDN w:val="0"/>
              <w:adjustRightInd w:val="0"/>
              <w:spacing w:beforeLines="50" w:afterLines="50"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符合性评审标准</w:t>
            </w:r>
          </w:p>
        </w:tc>
        <w:tc>
          <w:tcPr>
            <w:tcW w:w="955" w:type="pct"/>
            <w:noWrap w:val="0"/>
            <w:vAlign w:val="center"/>
          </w:tcPr>
          <w:p>
            <w:pPr>
              <w:spacing w:line="240" w:lineRule="auto"/>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响应人名称</w:t>
            </w:r>
          </w:p>
        </w:tc>
        <w:tc>
          <w:tcPr>
            <w:tcW w:w="3148" w:type="pct"/>
            <w:noWrap w:val="0"/>
            <w:vAlign w:val="center"/>
          </w:tcPr>
          <w:p>
            <w:pPr>
              <w:spacing w:line="240" w:lineRule="auto"/>
              <w:jc w:val="both"/>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与营业执照等相关证书一致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326" w:type="pct"/>
            <w:vMerge w:val="continue"/>
            <w:noWrap w:val="0"/>
            <w:vAlign w:val="center"/>
          </w:tcPr>
          <w:p>
            <w:pPr>
              <w:widowControl w:val="0"/>
              <w:autoSpaceDE w:val="0"/>
              <w:autoSpaceDN w:val="0"/>
              <w:adjustRightInd w:val="0"/>
              <w:spacing w:beforeLines="50" w:afterLines="50" w:line="240" w:lineRule="auto"/>
              <w:jc w:val="center"/>
              <w:rPr>
                <w:rFonts w:hint="eastAsia" w:ascii="宋体" w:hAnsi="宋体" w:eastAsia="宋体" w:cs="宋体"/>
                <w:color w:val="auto"/>
                <w:sz w:val="21"/>
                <w:szCs w:val="21"/>
                <w:highlight w:val="none"/>
                <w:lang w:val="en-US" w:eastAsia="zh-CN" w:bidi="ar-SA"/>
              </w:rPr>
            </w:pPr>
          </w:p>
        </w:tc>
        <w:tc>
          <w:tcPr>
            <w:tcW w:w="569" w:type="pct"/>
            <w:vMerge w:val="continue"/>
            <w:noWrap w:val="0"/>
            <w:vAlign w:val="center"/>
          </w:tcPr>
          <w:p>
            <w:pPr>
              <w:widowControl w:val="0"/>
              <w:autoSpaceDE w:val="0"/>
              <w:autoSpaceDN w:val="0"/>
              <w:adjustRightInd w:val="0"/>
              <w:spacing w:beforeLines="50" w:afterLines="50" w:line="240" w:lineRule="auto"/>
              <w:jc w:val="center"/>
              <w:rPr>
                <w:rFonts w:hint="eastAsia" w:ascii="宋体" w:hAnsi="宋体" w:eastAsia="宋体" w:cs="宋体"/>
                <w:color w:val="auto"/>
                <w:sz w:val="21"/>
                <w:szCs w:val="21"/>
                <w:highlight w:val="none"/>
                <w:lang w:val="en-US" w:eastAsia="zh-CN" w:bidi="ar-SA"/>
              </w:rPr>
            </w:pPr>
          </w:p>
        </w:tc>
        <w:tc>
          <w:tcPr>
            <w:tcW w:w="955" w:type="pct"/>
            <w:noWrap w:val="0"/>
            <w:vAlign w:val="center"/>
          </w:tcPr>
          <w:p>
            <w:pPr>
              <w:spacing w:line="240" w:lineRule="auto"/>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签章</w:t>
            </w:r>
          </w:p>
        </w:tc>
        <w:tc>
          <w:tcPr>
            <w:tcW w:w="3148" w:type="pct"/>
            <w:noWrap w:val="0"/>
            <w:vAlign w:val="center"/>
          </w:tcPr>
          <w:p>
            <w:pPr>
              <w:spacing w:line="240" w:lineRule="auto"/>
              <w:jc w:val="both"/>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有法定代表人或其授权委托人签字或盖章，并加盖单位章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326" w:type="pct"/>
            <w:vMerge w:val="continue"/>
            <w:noWrap w:val="0"/>
            <w:vAlign w:val="center"/>
          </w:tcPr>
          <w:p>
            <w:pPr>
              <w:widowControl w:val="0"/>
              <w:autoSpaceDE w:val="0"/>
              <w:autoSpaceDN w:val="0"/>
              <w:adjustRightInd w:val="0"/>
              <w:spacing w:beforeLines="50" w:afterLines="50" w:line="240" w:lineRule="auto"/>
              <w:jc w:val="center"/>
              <w:rPr>
                <w:rFonts w:hint="eastAsia" w:ascii="宋体" w:hAnsi="宋体" w:eastAsia="宋体" w:cs="宋体"/>
                <w:color w:val="auto"/>
                <w:sz w:val="21"/>
                <w:szCs w:val="21"/>
                <w:highlight w:val="none"/>
                <w:lang w:val="en-US" w:eastAsia="zh-CN" w:bidi="ar-SA"/>
              </w:rPr>
            </w:pPr>
          </w:p>
        </w:tc>
        <w:tc>
          <w:tcPr>
            <w:tcW w:w="569" w:type="pct"/>
            <w:vMerge w:val="continue"/>
            <w:noWrap w:val="0"/>
            <w:vAlign w:val="center"/>
          </w:tcPr>
          <w:p>
            <w:pPr>
              <w:widowControl w:val="0"/>
              <w:autoSpaceDE w:val="0"/>
              <w:autoSpaceDN w:val="0"/>
              <w:adjustRightInd w:val="0"/>
              <w:spacing w:beforeLines="50" w:afterLines="50" w:line="240" w:lineRule="auto"/>
              <w:jc w:val="center"/>
              <w:rPr>
                <w:rFonts w:hint="eastAsia" w:ascii="宋体" w:hAnsi="宋体" w:eastAsia="宋体" w:cs="宋体"/>
                <w:color w:val="auto"/>
                <w:sz w:val="21"/>
                <w:szCs w:val="21"/>
                <w:highlight w:val="none"/>
                <w:lang w:val="en-US" w:eastAsia="zh-CN" w:bidi="ar-SA"/>
              </w:rPr>
            </w:pPr>
          </w:p>
        </w:tc>
        <w:tc>
          <w:tcPr>
            <w:tcW w:w="955" w:type="pct"/>
            <w:noWrap w:val="0"/>
            <w:vAlign w:val="center"/>
          </w:tcPr>
          <w:p>
            <w:pPr>
              <w:spacing w:line="240" w:lineRule="auto"/>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响应文件格式</w:t>
            </w:r>
          </w:p>
        </w:tc>
        <w:tc>
          <w:tcPr>
            <w:tcW w:w="3148" w:type="pct"/>
            <w:noWrap w:val="0"/>
            <w:vAlign w:val="center"/>
          </w:tcPr>
          <w:p>
            <w:pPr>
              <w:spacing w:line="240" w:lineRule="auto"/>
              <w:jc w:val="both"/>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符合“响应文件格式”的要求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326" w:type="pct"/>
            <w:vMerge w:val="continue"/>
            <w:noWrap w:val="0"/>
            <w:vAlign w:val="center"/>
          </w:tcPr>
          <w:p>
            <w:pPr>
              <w:widowControl w:val="0"/>
              <w:autoSpaceDE w:val="0"/>
              <w:autoSpaceDN w:val="0"/>
              <w:adjustRightInd w:val="0"/>
              <w:spacing w:beforeLines="50" w:afterLines="50" w:line="240" w:lineRule="auto"/>
              <w:jc w:val="center"/>
              <w:rPr>
                <w:rFonts w:hint="eastAsia" w:ascii="宋体" w:hAnsi="宋体" w:eastAsia="宋体" w:cs="宋体"/>
                <w:color w:val="auto"/>
                <w:sz w:val="21"/>
                <w:szCs w:val="21"/>
                <w:highlight w:val="none"/>
                <w:lang w:val="en-US" w:eastAsia="zh-CN" w:bidi="ar-SA"/>
              </w:rPr>
            </w:pPr>
          </w:p>
        </w:tc>
        <w:tc>
          <w:tcPr>
            <w:tcW w:w="569" w:type="pct"/>
            <w:vMerge w:val="continue"/>
            <w:noWrap w:val="0"/>
            <w:vAlign w:val="center"/>
          </w:tcPr>
          <w:p>
            <w:pPr>
              <w:widowControl w:val="0"/>
              <w:autoSpaceDE w:val="0"/>
              <w:autoSpaceDN w:val="0"/>
              <w:adjustRightInd w:val="0"/>
              <w:spacing w:beforeLines="50" w:afterLines="50" w:line="240" w:lineRule="auto"/>
              <w:jc w:val="center"/>
              <w:rPr>
                <w:rFonts w:hint="eastAsia" w:ascii="宋体" w:hAnsi="宋体" w:eastAsia="宋体" w:cs="宋体"/>
                <w:color w:val="auto"/>
                <w:sz w:val="21"/>
                <w:szCs w:val="21"/>
                <w:highlight w:val="none"/>
                <w:lang w:val="en-US" w:eastAsia="zh-CN" w:bidi="ar-SA"/>
              </w:rPr>
            </w:pPr>
          </w:p>
        </w:tc>
        <w:tc>
          <w:tcPr>
            <w:tcW w:w="955" w:type="pct"/>
            <w:noWrap w:val="0"/>
            <w:vAlign w:val="center"/>
          </w:tcPr>
          <w:p>
            <w:pPr>
              <w:spacing w:line="240" w:lineRule="auto"/>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报价唯一</w:t>
            </w:r>
          </w:p>
        </w:tc>
        <w:tc>
          <w:tcPr>
            <w:tcW w:w="3148" w:type="pct"/>
            <w:noWrap w:val="0"/>
            <w:vAlign w:val="center"/>
          </w:tcPr>
          <w:p>
            <w:pPr>
              <w:spacing w:line="240" w:lineRule="auto"/>
              <w:jc w:val="both"/>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326" w:type="pct"/>
            <w:vMerge w:val="restart"/>
            <w:noWrap w:val="0"/>
            <w:vAlign w:val="center"/>
          </w:tcPr>
          <w:p>
            <w:pPr>
              <w:widowControl w:val="0"/>
              <w:autoSpaceDE w:val="0"/>
              <w:autoSpaceDN w:val="0"/>
              <w:adjustRightInd w:val="0"/>
              <w:spacing w:beforeLines="50" w:afterLines="50"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2.2</w:t>
            </w:r>
          </w:p>
        </w:tc>
        <w:tc>
          <w:tcPr>
            <w:tcW w:w="569" w:type="pct"/>
            <w:vMerge w:val="restart"/>
            <w:noWrap w:val="0"/>
            <w:vAlign w:val="center"/>
          </w:tcPr>
          <w:p>
            <w:pPr>
              <w:widowControl w:val="0"/>
              <w:autoSpaceDE w:val="0"/>
              <w:autoSpaceDN w:val="0"/>
              <w:adjustRightInd w:val="0"/>
              <w:spacing w:beforeLines="50" w:afterLines="50"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资格性评审</w:t>
            </w:r>
          </w:p>
        </w:tc>
        <w:tc>
          <w:tcPr>
            <w:tcW w:w="955" w:type="pct"/>
            <w:noWrap w:val="0"/>
            <w:vAlign w:val="center"/>
          </w:tcPr>
          <w:p>
            <w:pPr>
              <w:widowControl w:val="0"/>
              <w:autoSpaceDE w:val="0"/>
              <w:autoSpaceDN w:val="0"/>
              <w:adjustRightInd w:val="0"/>
              <w:spacing w:beforeLines="50" w:afterLines="50"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满足《中华人民共和国政府采购法》第二十二条规定</w:t>
            </w:r>
          </w:p>
        </w:tc>
        <w:tc>
          <w:tcPr>
            <w:tcW w:w="3148" w:type="pct"/>
            <w:noWrap w:val="0"/>
            <w:vAlign w:val="center"/>
          </w:tcPr>
          <w:p>
            <w:pPr>
              <w:spacing w:line="240" w:lineRule="auto"/>
              <w:ind w:firstLine="0" w:firstLineChars="0"/>
              <w:rPr>
                <w:rFonts w:hint="eastAsia" w:ascii="宋体" w:hAnsi="宋体" w:eastAsia="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26" w:type="pct"/>
            <w:vMerge w:val="continue"/>
            <w:noWrap w:val="0"/>
            <w:vAlign w:val="center"/>
          </w:tcPr>
          <w:p>
            <w:pPr>
              <w:widowControl w:val="0"/>
              <w:autoSpaceDE w:val="0"/>
              <w:autoSpaceDN w:val="0"/>
              <w:adjustRightInd w:val="0"/>
              <w:spacing w:beforeLines="50" w:afterLines="50" w:line="240" w:lineRule="auto"/>
              <w:jc w:val="center"/>
              <w:rPr>
                <w:rFonts w:hint="eastAsia" w:ascii="宋体" w:hAnsi="宋体" w:eastAsia="宋体" w:cs="宋体"/>
                <w:color w:val="auto"/>
                <w:sz w:val="21"/>
                <w:szCs w:val="21"/>
                <w:highlight w:val="none"/>
                <w:lang w:val="en-US" w:eastAsia="zh-CN" w:bidi="ar-SA"/>
              </w:rPr>
            </w:pPr>
          </w:p>
        </w:tc>
        <w:tc>
          <w:tcPr>
            <w:tcW w:w="569" w:type="pct"/>
            <w:vMerge w:val="continue"/>
            <w:noWrap w:val="0"/>
            <w:vAlign w:val="center"/>
          </w:tcPr>
          <w:p>
            <w:pPr>
              <w:widowControl w:val="0"/>
              <w:autoSpaceDE w:val="0"/>
              <w:autoSpaceDN w:val="0"/>
              <w:adjustRightInd w:val="0"/>
              <w:spacing w:beforeLines="50" w:afterLines="50" w:line="240" w:lineRule="auto"/>
              <w:jc w:val="center"/>
              <w:rPr>
                <w:rFonts w:hint="eastAsia" w:ascii="宋体" w:hAnsi="宋体" w:eastAsia="宋体" w:cs="宋体"/>
                <w:color w:val="auto"/>
                <w:sz w:val="21"/>
                <w:szCs w:val="21"/>
                <w:highlight w:val="none"/>
                <w:lang w:val="en-US" w:eastAsia="zh-CN" w:bidi="ar-SA"/>
              </w:rPr>
            </w:pPr>
          </w:p>
        </w:tc>
        <w:tc>
          <w:tcPr>
            <w:tcW w:w="955" w:type="pct"/>
            <w:noWrap w:val="0"/>
            <w:vAlign w:val="center"/>
          </w:tcPr>
          <w:p>
            <w:pPr>
              <w:widowControl w:val="0"/>
              <w:autoSpaceDE w:val="0"/>
              <w:autoSpaceDN w:val="0"/>
              <w:adjustRightInd w:val="0"/>
              <w:spacing w:beforeLines="50" w:afterLines="50"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营业执照</w:t>
            </w:r>
          </w:p>
        </w:tc>
        <w:tc>
          <w:tcPr>
            <w:tcW w:w="3148" w:type="pct"/>
            <w:noWrap w:val="0"/>
            <w:vAlign w:val="center"/>
          </w:tcPr>
          <w:p>
            <w:pPr>
              <w:spacing w:line="240" w:lineRule="auto"/>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具有有效的营业执照、税务登记证、组织机构代码证（或三证合一的营业执照）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326" w:type="pct"/>
            <w:vMerge w:val="continue"/>
            <w:noWrap w:val="0"/>
            <w:vAlign w:val="center"/>
          </w:tcPr>
          <w:p>
            <w:pPr>
              <w:widowControl w:val="0"/>
              <w:autoSpaceDE w:val="0"/>
              <w:autoSpaceDN w:val="0"/>
              <w:adjustRightInd w:val="0"/>
              <w:spacing w:beforeLines="50" w:afterLines="50" w:line="240" w:lineRule="auto"/>
              <w:jc w:val="center"/>
              <w:rPr>
                <w:rFonts w:hint="eastAsia" w:ascii="宋体" w:hAnsi="宋体" w:eastAsia="宋体" w:cs="宋体"/>
                <w:color w:val="auto"/>
                <w:sz w:val="21"/>
                <w:szCs w:val="21"/>
                <w:highlight w:val="none"/>
                <w:lang w:val="en-US" w:eastAsia="zh-CN" w:bidi="ar-SA"/>
              </w:rPr>
            </w:pPr>
          </w:p>
        </w:tc>
        <w:tc>
          <w:tcPr>
            <w:tcW w:w="569" w:type="pct"/>
            <w:vMerge w:val="continue"/>
            <w:noWrap w:val="0"/>
            <w:vAlign w:val="center"/>
          </w:tcPr>
          <w:p>
            <w:pPr>
              <w:widowControl w:val="0"/>
              <w:autoSpaceDE w:val="0"/>
              <w:autoSpaceDN w:val="0"/>
              <w:adjustRightInd w:val="0"/>
              <w:spacing w:beforeLines="50" w:afterLines="50" w:line="240" w:lineRule="auto"/>
              <w:jc w:val="center"/>
              <w:rPr>
                <w:rFonts w:hint="eastAsia" w:ascii="宋体" w:hAnsi="宋体" w:eastAsia="宋体" w:cs="宋体"/>
                <w:color w:val="auto"/>
                <w:sz w:val="21"/>
                <w:szCs w:val="21"/>
                <w:highlight w:val="none"/>
                <w:lang w:val="en-US" w:eastAsia="zh-CN" w:bidi="ar-SA"/>
              </w:rPr>
            </w:pPr>
          </w:p>
        </w:tc>
        <w:tc>
          <w:tcPr>
            <w:tcW w:w="955" w:type="pct"/>
            <w:noWrap w:val="0"/>
            <w:vAlign w:val="center"/>
          </w:tcPr>
          <w:p>
            <w:pPr>
              <w:widowControl w:val="0"/>
              <w:autoSpaceDE w:val="0"/>
              <w:autoSpaceDN w:val="0"/>
              <w:adjustRightInd w:val="0"/>
              <w:spacing w:beforeLines="50" w:afterLines="50"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具有履行合同所必须的设备和专业技术能力</w:t>
            </w:r>
          </w:p>
        </w:tc>
        <w:tc>
          <w:tcPr>
            <w:tcW w:w="3148" w:type="pct"/>
            <w:noWrap w:val="0"/>
            <w:vAlign w:val="center"/>
          </w:tcPr>
          <w:p>
            <w:pPr>
              <w:spacing w:beforeLines="0" w:afterLines="0" w:line="240" w:lineRule="auto"/>
              <w:ind w:firstLine="0" w:firstLineChars="0"/>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rPr>
              <w:t>具有履行合同所必须的设备和专业技术能力的证明材料或承诺书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326" w:type="pct"/>
            <w:vMerge w:val="continue"/>
            <w:noWrap w:val="0"/>
            <w:vAlign w:val="center"/>
          </w:tcPr>
          <w:p>
            <w:pPr>
              <w:widowControl w:val="0"/>
              <w:autoSpaceDE w:val="0"/>
              <w:autoSpaceDN w:val="0"/>
              <w:adjustRightInd w:val="0"/>
              <w:spacing w:beforeLines="50" w:afterLines="50" w:line="240" w:lineRule="auto"/>
              <w:jc w:val="center"/>
              <w:rPr>
                <w:rFonts w:hint="eastAsia" w:ascii="宋体" w:hAnsi="宋体" w:eastAsia="宋体" w:cs="宋体"/>
                <w:color w:val="auto"/>
                <w:sz w:val="21"/>
                <w:szCs w:val="21"/>
                <w:highlight w:val="none"/>
                <w:lang w:val="en-US" w:eastAsia="zh-CN" w:bidi="ar-SA"/>
              </w:rPr>
            </w:pPr>
          </w:p>
        </w:tc>
        <w:tc>
          <w:tcPr>
            <w:tcW w:w="569" w:type="pct"/>
            <w:vMerge w:val="continue"/>
            <w:noWrap w:val="0"/>
            <w:vAlign w:val="center"/>
          </w:tcPr>
          <w:p>
            <w:pPr>
              <w:widowControl w:val="0"/>
              <w:autoSpaceDE w:val="0"/>
              <w:autoSpaceDN w:val="0"/>
              <w:adjustRightInd w:val="0"/>
              <w:spacing w:beforeLines="50" w:afterLines="50" w:line="240" w:lineRule="auto"/>
              <w:jc w:val="center"/>
              <w:rPr>
                <w:rFonts w:hint="eastAsia" w:ascii="宋体" w:hAnsi="宋体" w:eastAsia="宋体" w:cs="宋体"/>
                <w:color w:val="auto"/>
                <w:sz w:val="21"/>
                <w:szCs w:val="21"/>
                <w:highlight w:val="none"/>
                <w:lang w:val="en-US" w:eastAsia="zh-CN" w:bidi="ar-SA"/>
              </w:rPr>
            </w:pPr>
          </w:p>
        </w:tc>
        <w:tc>
          <w:tcPr>
            <w:tcW w:w="955" w:type="pct"/>
            <w:noWrap w:val="0"/>
            <w:vAlign w:val="center"/>
          </w:tcPr>
          <w:p>
            <w:pPr>
              <w:widowControl w:val="0"/>
              <w:autoSpaceDE w:val="0"/>
              <w:autoSpaceDN w:val="0"/>
              <w:adjustRightInd w:val="0"/>
              <w:spacing w:beforeLines="50" w:afterLines="50" w:line="24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color w:val="auto"/>
                <w:sz w:val="21"/>
                <w:szCs w:val="21"/>
                <w:highlight w:val="none"/>
              </w:rPr>
              <w:t>参加政府采购活动前3年内在经营活动中没有重大违法记录</w:t>
            </w:r>
          </w:p>
        </w:tc>
        <w:tc>
          <w:tcPr>
            <w:tcW w:w="3148" w:type="pct"/>
            <w:noWrap w:val="0"/>
            <w:vAlign w:val="center"/>
          </w:tcPr>
          <w:p>
            <w:pPr>
              <w:widowControl w:val="0"/>
              <w:autoSpaceDE w:val="0"/>
              <w:autoSpaceDN w:val="0"/>
              <w:adjustRightInd w:val="0"/>
              <w:spacing w:beforeLines="50" w:afterLines="50" w:line="240" w:lineRule="auto"/>
              <w:jc w:val="both"/>
              <w:rPr>
                <w:rFonts w:hint="eastAsia" w:ascii="宋体" w:hAnsi="宋体" w:eastAsia="宋体" w:cs="宋体"/>
                <w:bCs/>
                <w:color w:val="auto"/>
                <w:sz w:val="21"/>
                <w:szCs w:val="21"/>
                <w:highlight w:val="none"/>
                <w:lang w:val="en-US" w:eastAsia="zh-CN" w:bidi="ar-SA"/>
              </w:rPr>
            </w:pPr>
            <w:r>
              <w:rPr>
                <w:rFonts w:hint="eastAsia" w:ascii="宋体" w:hAnsi="宋体" w:eastAsia="宋体" w:cs="宋体"/>
                <w:color w:val="auto"/>
                <w:sz w:val="21"/>
                <w:szCs w:val="21"/>
                <w:highlight w:val="none"/>
              </w:rPr>
              <w:t>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326" w:type="pct"/>
            <w:vMerge w:val="continue"/>
            <w:noWrap w:val="0"/>
            <w:vAlign w:val="center"/>
          </w:tcPr>
          <w:p>
            <w:pPr>
              <w:widowControl w:val="0"/>
              <w:autoSpaceDE w:val="0"/>
              <w:autoSpaceDN w:val="0"/>
              <w:adjustRightInd w:val="0"/>
              <w:spacing w:beforeLines="50" w:afterLines="50" w:line="240" w:lineRule="auto"/>
              <w:jc w:val="center"/>
              <w:rPr>
                <w:rFonts w:hint="eastAsia" w:ascii="宋体" w:hAnsi="宋体" w:eastAsia="宋体" w:cs="宋体"/>
                <w:color w:val="auto"/>
                <w:sz w:val="21"/>
                <w:szCs w:val="21"/>
                <w:highlight w:val="none"/>
                <w:lang w:val="en-US" w:eastAsia="zh-CN" w:bidi="ar-SA"/>
              </w:rPr>
            </w:pPr>
          </w:p>
        </w:tc>
        <w:tc>
          <w:tcPr>
            <w:tcW w:w="569" w:type="pct"/>
            <w:vMerge w:val="continue"/>
            <w:noWrap w:val="0"/>
            <w:vAlign w:val="center"/>
          </w:tcPr>
          <w:p>
            <w:pPr>
              <w:widowControl w:val="0"/>
              <w:autoSpaceDE w:val="0"/>
              <w:autoSpaceDN w:val="0"/>
              <w:adjustRightInd w:val="0"/>
              <w:spacing w:beforeLines="50" w:afterLines="50" w:line="240" w:lineRule="auto"/>
              <w:jc w:val="center"/>
              <w:rPr>
                <w:rFonts w:hint="eastAsia" w:ascii="宋体" w:hAnsi="宋体" w:eastAsia="宋体" w:cs="宋体"/>
                <w:color w:val="auto"/>
                <w:sz w:val="21"/>
                <w:szCs w:val="21"/>
                <w:highlight w:val="none"/>
                <w:lang w:val="en-US" w:eastAsia="zh-CN" w:bidi="ar-SA"/>
              </w:rPr>
            </w:pPr>
          </w:p>
        </w:tc>
        <w:tc>
          <w:tcPr>
            <w:tcW w:w="955" w:type="pct"/>
            <w:noWrap w:val="0"/>
            <w:vAlign w:val="center"/>
          </w:tcPr>
          <w:p>
            <w:pPr>
              <w:widowControl w:val="0"/>
              <w:autoSpaceDE w:val="0"/>
              <w:autoSpaceDN w:val="0"/>
              <w:adjustRightInd w:val="0"/>
              <w:spacing w:beforeLines="50" w:afterLines="50"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信誉状况</w:t>
            </w:r>
          </w:p>
        </w:tc>
        <w:tc>
          <w:tcPr>
            <w:tcW w:w="3148" w:type="pct"/>
            <w:noWrap w:val="0"/>
            <w:vAlign w:val="center"/>
          </w:tcPr>
          <w:p>
            <w:pPr>
              <w:spacing w:beforeLines="0" w:afterLines="0" w:line="24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关于在政府采购活动中查询及使用信用记录有关问题的通知》(财库[2016]125号)和豫财购【2016】15号的规定，对列入失信被执行人和重大税收违法失信主体、政府采购严重违法失信行为记录名单的投标人，拒绝其参与本招标项目；（（①通过“信用中国”网站（http://www.creditchina.gov.cn/）“信用服务”-“失信被执行人”会跳转至“中国执行信息公开网”网站（http://zxgk.court.gov.cn/shixin/）查询企业（省份默认全部）②通过“信用中国”网站（http://www.creditchina.gov.cn/）“信用服务”-“重大税收违法失信主体”查询企业③通过“中国政府采购”网（www.ccgp.gov.cn）-“政府采购严重违法失信行为记录名单”查询企业）（查询时间为公告发出之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326" w:type="pct"/>
            <w:vMerge w:val="continue"/>
            <w:noWrap w:val="0"/>
            <w:vAlign w:val="center"/>
          </w:tcPr>
          <w:p>
            <w:pPr>
              <w:widowControl w:val="0"/>
              <w:autoSpaceDE w:val="0"/>
              <w:autoSpaceDN w:val="0"/>
              <w:adjustRightInd w:val="0"/>
              <w:spacing w:beforeLines="50" w:afterLines="50" w:line="240" w:lineRule="auto"/>
              <w:jc w:val="center"/>
              <w:rPr>
                <w:rFonts w:hint="eastAsia" w:ascii="宋体" w:hAnsi="宋体" w:eastAsia="宋体" w:cs="宋体"/>
                <w:color w:val="auto"/>
                <w:sz w:val="21"/>
                <w:szCs w:val="21"/>
                <w:highlight w:val="none"/>
                <w:lang w:val="en-US" w:eastAsia="zh-CN" w:bidi="ar-SA"/>
              </w:rPr>
            </w:pPr>
          </w:p>
        </w:tc>
        <w:tc>
          <w:tcPr>
            <w:tcW w:w="569" w:type="pct"/>
            <w:vMerge w:val="continue"/>
            <w:noWrap w:val="0"/>
            <w:vAlign w:val="center"/>
          </w:tcPr>
          <w:p>
            <w:pPr>
              <w:widowControl w:val="0"/>
              <w:autoSpaceDE w:val="0"/>
              <w:autoSpaceDN w:val="0"/>
              <w:adjustRightInd w:val="0"/>
              <w:spacing w:beforeLines="50" w:afterLines="50" w:line="240" w:lineRule="auto"/>
              <w:jc w:val="center"/>
              <w:rPr>
                <w:rFonts w:hint="eastAsia" w:ascii="宋体" w:hAnsi="宋体" w:eastAsia="宋体" w:cs="宋体"/>
                <w:color w:val="auto"/>
                <w:sz w:val="21"/>
                <w:szCs w:val="21"/>
                <w:highlight w:val="none"/>
                <w:lang w:val="en-US" w:eastAsia="zh-CN" w:bidi="ar-SA"/>
              </w:rPr>
            </w:pPr>
          </w:p>
        </w:tc>
        <w:tc>
          <w:tcPr>
            <w:tcW w:w="955" w:type="pct"/>
            <w:noWrap w:val="0"/>
            <w:vAlign w:val="center"/>
          </w:tcPr>
          <w:p>
            <w:pPr>
              <w:widowControl w:val="0"/>
              <w:autoSpaceDE w:val="0"/>
              <w:autoSpaceDN w:val="0"/>
              <w:adjustRightInd w:val="0"/>
              <w:spacing w:beforeLines="50" w:afterLines="50"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rPr>
              <w:t>本项目不接受联合体投标</w:t>
            </w:r>
          </w:p>
        </w:tc>
        <w:tc>
          <w:tcPr>
            <w:tcW w:w="3148" w:type="pct"/>
            <w:noWrap w:val="0"/>
            <w:vAlign w:val="center"/>
          </w:tcPr>
          <w:p>
            <w:pPr>
              <w:spacing w:beforeLines="0" w:afterLines="0" w:line="240" w:lineRule="auto"/>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非联合体投标承诺书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326" w:type="pct"/>
            <w:vMerge w:val="restart"/>
            <w:noWrap w:val="0"/>
            <w:vAlign w:val="center"/>
          </w:tcPr>
          <w:p>
            <w:pPr>
              <w:widowControl w:val="0"/>
              <w:autoSpaceDE w:val="0"/>
              <w:autoSpaceDN w:val="0"/>
              <w:adjustRightInd w:val="0"/>
              <w:spacing w:beforeLines="50" w:afterLines="50"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2.3</w:t>
            </w:r>
          </w:p>
        </w:tc>
        <w:tc>
          <w:tcPr>
            <w:tcW w:w="569" w:type="pct"/>
            <w:vMerge w:val="restart"/>
            <w:noWrap w:val="0"/>
            <w:vAlign w:val="center"/>
          </w:tcPr>
          <w:p>
            <w:pPr>
              <w:spacing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eastAsia="zh-CN"/>
              </w:rPr>
              <w:t>实质性响应评审</w:t>
            </w:r>
          </w:p>
        </w:tc>
        <w:tc>
          <w:tcPr>
            <w:tcW w:w="955"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内容</w:t>
            </w:r>
          </w:p>
        </w:tc>
        <w:tc>
          <w:tcPr>
            <w:tcW w:w="3148" w:type="pct"/>
            <w:noWrap w:val="0"/>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326" w:type="pct"/>
            <w:vMerge w:val="continue"/>
            <w:noWrap w:val="0"/>
            <w:vAlign w:val="center"/>
          </w:tcPr>
          <w:p>
            <w:pPr>
              <w:widowControl w:val="0"/>
              <w:autoSpaceDE w:val="0"/>
              <w:autoSpaceDN w:val="0"/>
              <w:adjustRightInd w:val="0"/>
              <w:spacing w:beforeLines="50" w:afterLines="50" w:line="240" w:lineRule="auto"/>
              <w:jc w:val="center"/>
              <w:rPr>
                <w:rFonts w:hint="eastAsia" w:ascii="宋体" w:hAnsi="宋体" w:eastAsia="宋体" w:cs="宋体"/>
                <w:color w:val="auto"/>
                <w:sz w:val="21"/>
                <w:szCs w:val="21"/>
                <w:highlight w:val="none"/>
                <w:lang w:val="en-US" w:eastAsia="zh-CN" w:bidi="ar-SA"/>
              </w:rPr>
            </w:pPr>
          </w:p>
        </w:tc>
        <w:tc>
          <w:tcPr>
            <w:tcW w:w="569" w:type="pct"/>
            <w:vMerge w:val="continue"/>
            <w:noWrap w:val="0"/>
            <w:vAlign w:val="center"/>
          </w:tcPr>
          <w:p>
            <w:pPr>
              <w:widowControl w:val="0"/>
              <w:autoSpaceDE w:val="0"/>
              <w:autoSpaceDN w:val="0"/>
              <w:adjustRightInd w:val="0"/>
              <w:spacing w:beforeLines="50" w:afterLines="50" w:line="240" w:lineRule="auto"/>
              <w:jc w:val="center"/>
              <w:rPr>
                <w:rFonts w:hint="eastAsia" w:ascii="宋体" w:hAnsi="宋体" w:eastAsia="宋体" w:cs="宋体"/>
                <w:color w:val="auto"/>
                <w:sz w:val="21"/>
                <w:szCs w:val="21"/>
                <w:highlight w:val="none"/>
                <w:lang w:val="en-US" w:eastAsia="zh-CN" w:bidi="ar-SA"/>
              </w:rPr>
            </w:pPr>
          </w:p>
        </w:tc>
        <w:tc>
          <w:tcPr>
            <w:tcW w:w="955" w:type="pct"/>
            <w:noWrap w:val="0"/>
            <w:vAlign w:val="center"/>
          </w:tcPr>
          <w:p>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服务期限</w:t>
            </w:r>
          </w:p>
        </w:tc>
        <w:tc>
          <w:tcPr>
            <w:tcW w:w="3148" w:type="pct"/>
            <w:noWrap w:val="0"/>
            <w:vAlign w:val="center"/>
          </w:tcPr>
          <w:p>
            <w:pPr>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326" w:type="pct"/>
            <w:vMerge w:val="continue"/>
            <w:noWrap w:val="0"/>
            <w:vAlign w:val="center"/>
          </w:tcPr>
          <w:p>
            <w:pPr>
              <w:widowControl w:val="0"/>
              <w:autoSpaceDE w:val="0"/>
              <w:autoSpaceDN w:val="0"/>
              <w:adjustRightInd w:val="0"/>
              <w:spacing w:beforeLines="50" w:afterLines="50" w:line="240" w:lineRule="auto"/>
              <w:jc w:val="center"/>
              <w:rPr>
                <w:rFonts w:hint="eastAsia" w:ascii="宋体" w:hAnsi="宋体" w:eastAsia="宋体" w:cs="宋体"/>
                <w:color w:val="auto"/>
                <w:sz w:val="21"/>
                <w:szCs w:val="21"/>
                <w:highlight w:val="none"/>
                <w:lang w:val="en-US" w:eastAsia="zh-CN" w:bidi="ar-SA"/>
              </w:rPr>
            </w:pPr>
          </w:p>
        </w:tc>
        <w:tc>
          <w:tcPr>
            <w:tcW w:w="569" w:type="pct"/>
            <w:vMerge w:val="continue"/>
            <w:noWrap w:val="0"/>
            <w:vAlign w:val="center"/>
          </w:tcPr>
          <w:p>
            <w:pPr>
              <w:widowControl w:val="0"/>
              <w:autoSpaceDE w:val="0"/>
              <w:autoSpaceDN w:val="0"/>
              <w:adjustRightInd w:val="0"/>
              <w:spacing w:beforeLines="50" w:afterLines="50" w:line="240" w:lineRule="auto"/>
              <w:jc w:val="center"/>
              <w:rPr>
                <w:rFonts w:hint="eastAsia" w:ascii="宋体" w:hAnsi="宋体" w:eastAsia="宋体" w:cs="宋体"/>
                <w:color w:val="auto"/>
                <w:sz w:val="21"/>
                <w:szCs w:val="21"/>
                <w:highlight w:val="none"/>
                <w:lang w:val="en-US" w:eastAsia="zh-CN" w:bidi="ar-SA"/>
              </w:rPr>
            </w:pPr>
          </w:p>
        </w:tc>
        <w:tc>
          <w:tcPr>
            <w:tcW w:w="955"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3148" w:type="pct"/>
            <w:noWrap w:val="0"/>
            <w:vAlign w:val="center"/>
          </w:tcPr>
          <w:p>
            <w:pPr>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326" w:type="pct"/>
            <w:vMerge w:val="continue"/>
            <w:noWrap w:val="0"/>
            <w:vAlign w:val="center"/>
          </w:tcPr>
          <w:p>
            <w:pPr>
              <w:widowControl w:val="0"/>
              <w:autoSpaceDE w:val="0"/>
              <w:autoSpaceDN w:val="0"/>
              <w:adjustRightInd w:val="0"/>
              <w:spacing w:beforeLines="50" w:afterLines="50" w:line="240" w:lineRule="auto"/>
              <w:jc w:val="center"/>
              <w:rPr>
                <w:rFonts w:hint="eastAsia" w:ascii="宋体" w:hAnsi="宋体" w:eastAsia="宋体" w:cs="宋体"/>
                <w:color w:val="auto"/>
                <w:sz w:val="21"/>
                <w:szCs w:val="21"/>
                <w:highlight w:val="none"/>
                <w:lang w:val="en-US" w:eastAsia="zh-CN" w:bidi="ar-SA"/>
              </w:rPr>
            </w:pPr>
          </w:p>
        </w:tc>
        <w:tc>
          <w:tcPr>
            <w:tcW w:w="569" w:type="pct"/>
            <w:vMerge w:val="continue"/>
            <w:noWrap w:val="0"/>
            <w:vAlign w:val="center"/>
          </w:tcPr>
          <w:p>
            <w:pPr>
              <w:widowControl w:val="0"/>
              <w:autoSpaceDE w:val="0"/>
              <w:autoSpaceDN w:val="0"/>
              <w:adjustRightInd w:val="0"/>
              <w:spacing w:beforeLines="50" w:afterLines="50" w:line="240" w:lineRule="auto"/>
              <w:jc w:val="center"/>
              <w:rPr>
                <w:rFonts w:hint="eastAsia" w:ascii="宋体" w:hAnsi="宋体" w:eastAsia="宋体" w:cs="宋体"/>
                <w:color w:val="auto"/>
                <w:sz w:val="21"/>
                <w:szCs w:val="21"/>
                <w:highlight w:val="none"/>
                <w:lang w:val="en-US" w:eastAsia="zh-CN" w:bidi="ar-SA"/>
              </w:rPr>
            </w:pPr>
          </w:p>
        </w:tc>
        <w:tc>
          <w:tcPr>
            <w:tcW w:w="955"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3148" w:type="pct"/>
            <w:noWrap w:val="0"/>
            <w:vAlign w:val="center"/>
          </w:tcPr>
          <w:p>
            <w:pPr>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须知”规定</w:t>
            </w:r>
          </w:p>
        </w:tc>
      </w:tr>
    </w:tbl>
    <w:p>
      <w:pPr>
        <w:keepNext w:val="0"/>
        <w:keepLines w:val="0"/>
        <w:pageBreakBefore w:val="0"/>
        <w:widowControl/>
        <w:kinsoku/>
        <w:wordWrap/>
        <w:overflowPunct/>
        <w:topLinePunct w:val="0"/>
        <w:autoSpaceDE w:val="0"/>
        <w:autoSpaceDN w:val="0"/>
        <w:bidi w:val="0"/>
        <w:adjustRightInd/>
        <w:snapToGrid/>
        <w:spacing w:before="0" w:after="0" w:line="360" w:lineRule="auto"/>
        <w:ind w:left="0" w:right="0" w:firstLine="422" w:firstLineChars="200"/>
        <w:jc w:val="left"/>
        <w:textAlignment w:val="auto"/>
        <w:outlineLvl w:val="2"/>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1.评标原则</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评标活动遵循公平、公正、科学和择优的原则。</w:t>
      </w:r>
    </w:p>
    <w:p>
      <w:pPr>
        <w:keepNext w:val="0"/>
        <w:keepLines w:val="0"/>
        <w:pageBreakBefore w:val="0"/>
        <w:widowControl/>
        <w:kinsoku/>
        <w:wordWrap/>
        <w:overflowPunct/>
        <w:topLinePunct w:val="0"/>
        <w:autoSpaceDE w:val="0"/>
        <w:autoSpaceDN w:val="0"/>
        <w:bidi w:val="0"/>
        <w:adjustRightInd/>
        <w:snapToGrid/>
        <w:spacing w:before="0" w:after="0" w:line="360" w:lineRule="auto"/>
        <w:ind w:left="0" w:right="0" w:firstLine="422" w:firstLineChars="200"/>
        <w:jc w:val="left"/>
        <w:textAlignment w:val="auto"/>
        <w:outlineLvl w:val="2"/>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2.评标</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bookmarkStart w:id="6" w:name="_Toc152045602"/>
      <w:bookmarkStart w:id="7" w:name="_Toc179632620"/>
      <w:bookmarkStart w:id="8" w:name="_Toc358707208"/>
      <w:bookmarkStart w:id="9" w:name="_Toc246996245"/>
      <w:bookmarkStart w:id="10" w:name="_Toc247085760"/>
      <w:bookmarkStart w:id="11" w:name="_Toc246996988"/>
      <w:bookmarkStart w:id="12" w:name="_Toc144974569"/>
      <w:bookmarkStart w:id="13" w:name="_Toc152042379"/>
      <w:r>
        <w:rPr>
          <w:rFonts w:hint="eastAsia" w:ascii="宋体" w:hAnsi="宋体" w:eastAsia="宋体" w:cs="宋体"/>
          <w:color w:val="auto"/>
          <w:sz w:val="21"/>
          <w:szCs w:val="21"/>
          <w:lang w:eastAsia="zh-CN"/>
        </w:rPr>
        <w:t>2.1 初步评审标准</w:t>
      </w:r>
      <w:bookmarkEnd w:id="6"/>
      <w:bookmarkEnd w:id="7"/>
      <w:bookmarkEnd w:id="8"/>
      <w:bookmarkEnd w:id="9"/>
      <w:bookmarkEnd w:id="10"/>
      <w:bookmarkEnd w:id="11"/>
      <w:bookmarkEnd w:id="12"/>
      <w:bookmarkEnd w:id="13"/>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2.1.1 符合性评审标准：见评标办法前附表。</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2.1.2 资格性评审标准：见评标办法前附表。</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2.1.3 实质性响应评审：见评标办法前附表。</w:t>
      </w:r>
    </w:p>
    <w:p>
      <w:pPr>
        <w:keepNext w:val="0"/>
        <w:keepLines w:val="0"/>
        <w:pageBreakBefore w:val="0"/>
        <w:widowControl/>
        <w:kinsoku/>
        <w:wordWrap/>
        <w:overflowPunct/>
        <w:topLinePunct w:val="0"/>
        <w:autoSpaceDE w:val="0"/>
        <w:autoSpaceDN w:val="0"/>
        <w:bidi w:val="0"/>
        <w:adjustRightInd/>
        <w:snapToGrid/>
        <w:spacing w:before="0" w:after="0" w:line="360" w:lineRule="auto"/>
        <w:ind w:left="0" w:right="0" w:firstLine="422" w:firstLineChars="200"/>
        <w:jc w:val="left"/>
        <w:textAlignment w:val="auto"/>
        <w:outlineLvl w:val="2"/>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3.谈判、最终报价</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单一来源采购小组和合格的供应商进行第一次谈判，此次谈判主要包括谈判供应商商务、技术、报价等相关内容。经单一来源采购小组协商后，进行二次谈判并进行最终报价，该价格包括单一来源采购文件中规定的各项费用。</w:t>
      </w:r>
    </w:p>
    <w:p>
      <w:pPr>
        <w:keepNext w:val="0"/>
        <w:keepLines w:val="0"/>
        <w:pageBreakBefore w:val="0"/>
        <w:widowControl/>
        <w:kinsoku/>
        <w:wordWrap/>
        <w:overflowPunct/>
        <w:topLinePunct w:val="0"/>
        <w:autoSpaceDE w:val="0"/>
        <w:autoSpaceDN w:val="0"/>
        <w:bidi w:val="0"/>
        <w:adjustRightInd/>
        <w:snapToGrid/>
        <w:spacing w:before="0" w:after="0" w:line="360" w:lineRule="auto"/>
        <w:ind w:left="0" w:right="0" w:firstLine="422" w:firstLineChars="200"/>
        <w:jc w:val="left"/>
        <w:textAlignment w:val="auto"/>
        <w:outlineLvl w:val="2"/>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4.成交候选人的产生</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根据政府采购法的规定，在保证采购项目质量和双方商定合理价格的基础上进行采购。</w:t>
      </w:r>
    </w:p>
    <w:p>
      <w:pPr>
        <w:pStyle w:val="7"/>
        <w:numPr>
          <w:ilvl w:val="0"/>
          <w:numId w:val="0"/>
        </w:numPr>
        <w:jc w:val="center"/>
        <w:rPr>
          <w:rFonts w:hint="eastAsia" w:ascii="宋体" w:hAnsi="宋体" w:eastAsia="宋体" w:cs="宋体"/>
          <w:b/>
          <w:bCs/>
          <w:color w:val="auto"/>
          <w:kern w:val="2"/>
          <w:sz w:val="40"/>
          <w:szCs w:val="36"/>
          <w:lang w:val="en-US" w:eastAsia="zh-CN" w:bidi="ar-SA"/>
        </w:rPr>
      </w:pPr>
      <w:r>
        <w:rPr>
          <w:rFonts w:hint="eastAsia" w:ascii="宋体" w:hAnsi="宋体" w:eastAsia="宋体" w:cs="宋体"/>
          <w:b/>
          <w:bCs/>
          <w:color w:val="auto"/>
          <w:sz w:val="30"/>
          <w:szCs w:val="30"/>
          <w:lang w:val="en-US" w:eastAsia="zh-CN"/>
        </w:rPr>
        <w:br w:type="page"/>
      </w:r>
      <w:bookmarkStart w:id="14" w:name="_Toc9366"/>
      <w:r>
        <w:rPr>
          <w:rFonts w:hint="eastAsia" w:ascii="宋体" w:hAnsi="宋体" w:eastAsia="宋体" w:cs="宋体"/>
          <w:b/>
          <w:bCs/>
          <w:color w:val="auto"/>
          <w:kern w:val="2"/>
          <w:sz w:val="28"/>
          <w:szCs w:val="28"/>
          <w:lang w:val="en-US" w:eastAsia="zh-CN" w:bidi="ar-SA"/>
        </w:rPr>
        <w:t>第五章  合同样本</w:t>
      </w:r>
      <w:bookmarkEnd w:id="1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采购人（甲方）：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签订地点：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项目名称：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项目编号：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财政委托号：      (财政资金项目必须填写)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本项目经批准采用</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采购方式，经本项目评审委员会认真评审，决定将采购合同授予乙方。为进一步明确双方的责任，确保合同的顺利履行，根据《中华人民共和国采购法法》、《中华人民共和国合同法》之规定，经甲乙双方充分协商，特订立本合同，以便共同遵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第一条  服务的内容、标准、数量和价格：（若服务项目过多则见附表，如有附表则必须加盖印章）</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1"/>
        <w:gridCol w:w="1564"/>
        <w:gridCol w:w="869"/>
        <w:gridCol w:w="869"/>
        <w:gridCol w:w="1032"/>
        <w:gridCol w:w="1204"/>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122" w:type="pct"/>
            <w:noWrap w:val="0"/>
            <w:vAlign w:val="top"/>
          </w:tcPr>
          <w:p>
            <w:pPr>
              <w:bidi w:val="0"/>
              <w:spacing w:line="240" w:lineRule="auto"/>
              <w:rPr>
                <w:rFonts w:hint="eastAsia"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服务内容</w:t>
            </w:r>
          </w:p>
        </w:tc>
        <w:tc>
          <w:tcPr>
            <w:tcW w:w="918" w:type="pct"/>
            <w:noWrap w:val="0"/>
            <w:vAlign w:val="top"/>
          </w:tcPr>
          <w:p>
            <w:pPr>
              <w:bidi w:val="0"/>
              <w:spacing w:line="240" w:lineRule="auto"/>
              <w:rPr>
                <w:rFonts w:hint="eastAsia"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标准水平</w:t>
            </w:r>
          </w:p>
        </w:tc>
        <w:tc>
          <w:tcPr>
            <w:tcW w:w="510" w:type="pct"/>
            <w:noWrap w:val="0"/>
            <w:vAlign w:val="top"/>
          </w:tcPr>
          <w:p>
            <w:pPr>
              <w:bidi w:val="0"/>
              <w:spacing w:line="240" w:lineRule="auto"/>
              <w:rPr>
                <w:rFonts w:hint="eastAsia"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单位</w:t>
            </w:r>
          </w:p>
        </w:tc>
        <w:tc>
          <w:tcPr>
            <w:tcW w:w="510" w:type="pct"/>
            <w:noWrap w:val="0"/>
            <w:vAlign w:val="top"/>
          </w:tcPr>
          <w:p>
            <w:pPr>
              <w:bidi w:val="0"/>
              <w:spacing w:line="240" w:lineRule="auto"/>
              <w:rPr>
                <w:rFonts w:hint="eastAsia"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数量</w:t>
            </w:r>
          </w:p>
        </w:tc>
        <w:tc>
          <w:tcPr>
            <w:tcW w:w="606" w:type="pct"/>
            <w:noWrap w:val="0"/>
            <w:vAlign w:val="top"/>
          </w:tcPr>
          <w:p>
            <w:pPr>
              <w:bidi w:val="0"/>
              <w:spacing w:line="240" w:lineRule="auto"/>
              <w:rPr>
                <w:rFonts w:hint="eastAsia"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单价</w:t>
            </w:r>
          </w:p>
        </w:tc>
        <w:tc>
          <w:tcPr>
            <w:tcW w:w="707" w:type="pct"/>
            <w:noWrap w:val="0"/>
            <w:vAlign w:val="top"/>
          </w:tcPr>
          <w:p>
            <w:pPr>
              <w:bidi w:val="0"/>
              <w:spacing w:line="240" w:lineRule="auto"/>
              <w:rPr>
                <w:rFonts w:hint="eastAsia"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小计</w:t>
            </w:r>
          </w:p>
        </w:tc>
        <w:tc>
          <w:tcPr>
            <w:tcW w:w="625" w:type="pct"/>
            <w:noWrap w:val="0"/>
            <w:vAlign w:val="top"/>
          </w:tcPr>
          <w:p>
            <w:pPr>
              <w:bidi w:val="0"/>
              <w:spacing w:line="240" w:lineRule="auto"/>
              <w:rPr>
                <w:rFonts w:hint="eastAsia"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122" w:type="pct"/>
            <w:noWrap w:val="0"/>
            <w:vAlign w:val="top"/>
          </w:tcPr>
          <w:p>
            <w:pPr>
              <w:bidi w:val="0"/>
              <w:spacing w:line="240" w:lineRule="auto"/>
              <w:rPr>
                <w:rFonts w:hint="eastAsia" w:ascii="宋体" w:hAnsi="宋体" w:eastAsia="宋体" w:cs="宋体"/>
                <w:color w:val="auto"/>
                <w:sz w:val="24"/>
                <w:szCs w:val="21"/>
                <w:lang w:val="en-US" w:eastAsia="zh-CN"/>
              </w:rPr>
            </w:pPr>
          </w:p>
        </w:tc>
        <w:tc>
          <w:tcPr>
            <w:tcW w:w="918" w:type="pct"/>
            <w:noWrap w:val="0"/>
            <w:vAlign w:val="top"/>
          </w:tcPr>
          <w:p>
            <w:pPr>
              <w:bidi w:val="0"/>
              <w:spacing w:line="240" w:lineRule="auto"/>
              <w:rPr>
                <w:rFonts w:hint="eastAsia" w:ascii="宋体" w:hAnsi="宋体" w:eastAsia="宋体" w:cs="宋体"/>
                <w:color w:val="auto"/>
                <w:sz w:val="24"/>
                <w:szCs w:val="21"/>
                <w:lang w:val="en-US" w:eastAsia="zh-CN"/>
              </w:rPr>
            </w:pPr>
          </w:p>
        </w:tc>
        <w:tc>
          <w:tcPr>
            <w:tcW w:w="510" w:type="pct"/>
            <w:noWrap w:val="0"/>
            <w:vAlign w:val="top"/>
          </w:tcPr>
          <w:p>
            <w:pPr>
              <w:bidi w:val="0"/>
              <w:spacing w:line="240" w:lineRule="auto"/>
              <w:rPr>
                <w:rFonts w:hint="eastAsia" w:ascii="宋体" w:hAnsi="宋体" w:eastAsia="宋体" w:cs="宋体"/>
                <w:color w:val="auto"/>
                <w:sz w:val="24"/>
                <w:szCs w:val="21"/>
                <w:lang w:val="en-US" w:eastAsia="zh-CN"/>
              </w:rPr>
            </w:pPr>
          </w:p>
        </w:tc>
        <w:tc>
          <w:tcPr>
            <w:tcW w:w="510" w:type="pct"/>
            <w:noWrap w:val="0"/>
            <w:vAlign w:val="top"/>
          </w:tcPr>
          <w:p>
            <w:pPr>
              <w:bidi w:val="0"/>
              <w:spacing w:line="240" w:lineRule="auto"/>
              <w:rPr>
                <w:rFonts w:hint="eastAsia" w:ascii="宋体" w:hAnsi="宋体" w:eastAsia="宋体" w:cs="宋体"/>
                <w:color w:val="auto"/>
                <w:sz w:val="24"/>
                <w:szCs w:val="21"/>
                <w:lang w:val="en-US" w:eastAsia="zh-CN"/>
              </w:rPr>
            </w:pPr>
          </w:p>
        </w:tc>
        <w:tc>
          <w:tcPr>
            <w:tcW w:w="606" w:type="pct"/>
            <w:noWrap w:val="0"/>
            <w:vAlign w:val="top"/>
          </w:tcPr>
          <w:p>
            <w:pPr>
              <w:bidi w:val="0"/>
              <w:spacing w:line="240" w:lineRule="auto"/>
              <w:rPr>
                <w:rFonts w:hint="eastAsia" w:ascii="宋体" w:hAnsi="宋体" w:eastAsia="宋体" w:cs="宋体"/>
                <w:color w:val="auto"/>
                <w:sz w:val="24"/>
                <w:szCs w:val="21"/>
                <w:lang w:val="en-US" w:eastAsia="zh-CN"/>
              </w:rPr>
            </w:pPr>
          </w:p>
        </w:tc>
        <w:tc>
          <w:tcPr>
            <w:tcW w:w="707" w:type="pct"/>
            <w:noWrap w:val="0"/>
            <w:vAlign w:val="top"/>
          </w:tcPr>
          <w:p>
            <w:pPr>
              <w:bidi w:val="0"/>
              <w:spacing w:line="240" w:lineRule="auto"/>
              <w:rPr>
                <w:rFonts w:hint="eastAsia" w:ascii="宋体" w:hAnsi="宋体" w:eastAsia="宋体" w:cs="宋体"/>
                <w:color w:val="auto"/>
                <w:sz w:val="24"/>
                <w:szCs w:val="21"/>
                <w:lang w:val="en-US" w:eastAsia="zh-CN"/>
              </w:rPr>
            </w:pPr>
          </w:p>
        </w:tc>
        <w:tc>
          <w:tcPr>
            <w:tcW w:w="625" w:type="pct"/>
            <w:noWrap w:val="0"/>
            <w:vAlign w:val="top"/>
          </w:tcPr>
          <w:p>
            <w:pPr>
              <w:bidi w:val="0"/>
              <w:spacing w:line="240" w:lineRule="auto"/>
              <w:rPr>
                <w:rFonts w:hint="eastAsia" w:ascii="宋体" w:hAnsi="宋体" w:eastAsia="宋体" w:cs="宋体"/>
                <w:color w:val="auto"/>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122" w:type="pct"/>
            <w:noWrap w:val="0"/>
            <w:vAlign w:val="top"/>
          </w:tcPr>
          <w:p>
            <w:pPr>
              <w:bidi w:val="0"/>
              <w:spacing w:line="240" w:lineRule="auto"/>
              <w:rPr>
                <w:rFonts w:hint="eastAsia" w:ascii="宋体" w:hAnsi="宋体" w:eastAsia="宋体" w:cs="宋体"/>
                <w:color w:val="auto"/>
                <w:sz w:val="24"/>
                <w:szCs w:val="21"/>
                <w:lang w:val="en-US" w:eastAsia="zh-CN"/>
              </w:rPr>
            </w:pPr>
          </w:p>
        </w:tc>
        <w:tc>
          <w:tcPr>
            <w:tcW w:w="918" w:type="pct"/>
            <w:noWrap w:val="0"/>
            <w:vAlign w:val="top"/>
          </w:tcPr>
          <w:p>
            <w:pPr>
              <w:bidi w:val="0"/>
              <w:spacing w:line="240" w:lineRule="auto"/>
              <w:rPr>
                <w:rFonts w:hint="eastAsia" w:ascii="宋体" w:hAnsi="宋体" w:eastAsia="宋体" w:cs="宋体"/>
                <w:color w:val="auto"/>
                <w:sz w:val="24"/>
                <w:szCs w:val="21"/>
                <w:lang w:val="en-US" w:eastAsia="zh-CN"/>
              </w:rPr>
            </w:pPr>
          </w:p>
        </w:tc>
        <w:tc>
          <w:tcPr>
            <w:tcW w:w="510" w:type="pct"/>
            <w:noWrap w:val="0"/>
            <w:vAlign w:val="top"/>
          </w:tcPr>
          <w:p>
            <w:pPr>
              <w:bidi w:val="0"/>
              <w:spacing w:line="240" w:lineRule="auto"/>
              <w:rPr>
                <w:rFonts w:hint="eastAsia" w:ascii="宋体" w:hAnsi="宋体" w:eastAsia="宋体" w:cs="宋体"/>
                <w:color w:val="auto"/>
                <w:sz w:val="24"/>
                <w:szCs w:val="21"/>
                <w:lang w:val="en-US" w:eastAsia="zh-CN"/>
              </w:rPr>
            </w:pPr>
          </w:p>
        </w:tc>
        <w:tc>
          <w:tcPr>
            <w:tcW w:w="510" w:type="pct"/>
            <w:noWrap w:val="0"/>
            <w:vAlign w:val="top"/>
          </w:tcPr>
          <w:p>
            <w:pPr>
              <w:bidi w:val="0"/>
              <w:spacing w:line="240" w:lineRule="auto"/>
              <w:rPr>
                <w:rFonts w:hint="eastAsia" w:ascii="宋体" w:hAnsi="宋体" w:eastAsia="宋体" w:cs="宋体"/>
                <w:color w:val="auto"/>
                <w:sz w:val="24"/>
                <w:szCs w:val="21"/>
                <w:lang w:val="en-US" w:eastAsia="zh-CN"/>
              </w:rPr>
            </w:pPr>
          </w:p>
        </w:tc>
        <w:tc>
          <w:tcPr>
            <w:tcW w:w="606" w:type="pct"/>
            <w:noWrap w:val="0"/>
            <w:vAlign w:val="top"/>
          </w:tcPr>
          <w:p>
            <w:pPr>
              <w:bidi w:val="0"/>
              <w:spacing w:line="240" w:lineRule="auto"/>
              <w:rPr>
                <w:rFonts w:hint="eastAsia" w:ascii="宋体" w:hAnsi="宋体" w:eastAsia="宋体" w:cs="宋体"/>
                <w:color w:val="auto"/>
                <w:sz w:val="24"/>
                <w:szCs w:val="21"/>
                <w:lang w:val="en-US" w:eastAsia="zh-CN"/>
              </w:rPr>
            </w:pPr>
          </w:p>
        </w:tc>
        <w:tc>
          <w:tcPr>
            <w:tcW w:w="707" w:type="pct"/>
            <w:noWrap w:val="0"/>
            <w:vAlign w:val="top"/>
          </w:tcPr>
          <w:p>
            <w:pPr>
              <w:bidi w:val="0"/>
              <w:spacing w:line="240" w:lineRule="auto"/>
              <w:rPr>
                <w:rFonts w:hint="eastAsia" w:ascii="宋体" w:hAnsi="宋体" w:eastAsia="宋体" w:cs="宋体"/>
                <w:color w:val="auto"/>
                <w:sz w:val="24"/>
                <w:szCs w:val="21"/>
                <w:lang w:val="en-US" w:eastAsia="zh-CN"/>
              </w:rPr>
            </w:pPr>
          </w:p>
        </w:tc>
        <w:tc>
          <w:tcPr>
            <w:tcW w:w="625" w:type="pct"/>
            <w:noWrap w:val="0"/>
            <w:vAlign w:val="top"/>
          </w:tcPr>
          <w:p>
            <w:pPr>
              <w:bidi w:val="0"/>
              <w:spacing w:line="240" w:lineRule="auto"/>
              <w:rPr>
                <w:rFonts w:hint="eastAsia" w:ascii="宋体" w:hAnsi="宋体" w:eastAsia="宋体" w:cs="宋体"/>
                <w:color w:val="auto"/>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122" w:type="pct"/>
            <w:noWrap w:val="0"/>
            <w:vAlign w:val="top"/>
          </w:tcPr>
          <w:p>
            <w:pPr>
              <w:bidi w:val="0"/>
              <w:spacing w:line="240" w:lineRule="auto"/>
              <w:rPr>
                <w:rFonts w:hint="eastAsia" w:ascii="宋体" w:hAnsi="宋体" w:eastAsia="宋体" w:cs="宋体"/>
                <w:color w:val="auto"/>
                <w:sz w:val="24"/>
                <w:szCs w:val="21"/>
                <w:lang w:val="en-US" w:eastAsia="zh-CN"/>
              </w:rPr>
            </w:pPr>
          </w:p>
        </w:tc>
        <w:tc>
          <w:tcPr>
            <w:tcW w:w="918" w:type="pct"/>
            <w:noWrap w:val="0"/>
            <w:vAlign w:val="top"/>
          </w:tcPr>
          <w:p>
            <w:pPr>
              <w:bidi w:val="0"/>
              <w:spacing w:line="240" w:lineRule="auto"/>
              <w:rPr>
                <w:rFonts w:hint="eastAsia" w:ascii="宋体" w:hAnsi="宋体" w:eastAsia="宋体" w:cs="宋体"/>
                <w:color w:val="auto"/>
                <w:sz w:val="24"/>
                <w:szCs w:val="21"/>
                <w:lang w:val="en-US" w:eastAsia="zh-CN"/>
              </w:rPr>
            </w:pPr>
          </w:p>
        </w:tc>
        <w:tc>
          <w:tcPr>
            <w:tcW w:w="510" w:type="pct"/>
            <w:noWrap w:val="0"/>
            <w:vAlign w:val="top"/>
          </w:tcPr>
          <w:p>
            <w:pPr>
              <w:bidi w:val="0"/>
              <w:spacing w:line="240" w:lineRule="auto"/>
              <w:rPr>
                <w:rFonts w:hint="eastAsia" w:ascii="宋体" w:hAnsi="宋体" w:eastAsia="宋体" w:cs="宋体"/>
                <w:color w:val="auto"/>
                <w:sz w:val="24"/>
                <w:szCs w:val="21"/>
                <w:lang w:val="en-US" w:eastAsia="zh-CN"/>
              </w:rPr>
            </w:pPr>
          </w:p>
        </w:tc>
        <w:tc>
          <w:tcPr>
            <w:tcW w:w="510" w:type="pct"/>
            <w:noWrap w:val="0"/>
            <w:vAlign w:val="top"/>
          </w:tcPr>
          <w:p>
            <w:pPr>
              <w:bidi w:val="0"/>
              <w:spacing w:line="240" w:lineRule="auto"/>
              <w:rPr>
                <w:rFonts w:hint="eastAsia" w:ascii="宋体" w:hAnsi="宋体" w:eastAsia="宋体" w:cs="宋体"/>
                <w:color w:val="auto"/>
                <w:sz w:val="24"/>
                <w:szCs w:val="21"/>
                <w:lang w:val="en-US" w:eastAsia="zh-CN"/>
              </w:rPr>
            </w:pPr>
          </w:p>
        </w:tc>
        <w:tc>
          <w:tcPr>
            <w:tcW w:w="606" w:type="pct"/>
            <w:noWrap w:val="0"/>
            <w:vAlign w:val="top"/>
          </w:tcPr>
          <w:p>
            <w:pPr>
              <w:bidi w:val="0"/>
              <w:spacing w:line="240" w:lineRule="auto"/>
              <w:rPr>
                <w:rFonts w:hint="eastAsia" w:ascii="宋体" w:hAnsi="宋体" w:eastAsia="宋体" w:cs="宋体"/>
                <w:color w:val="auto"/>
                <w:sz w:val="24"/>
                <w:szCs w:val="21"/>
                <w:lang w:val="en-US" w:eastAsia="zh-CN"/>
              </w:rPr>
            </w:pPr>
          </w:p>
        </w:tc>
        <w:tc>
          <w:tcPr>
            <w:tcW w:w="707" w:type="pct"/>
            <w:noWrap w:val="0"/>
            <w:vAlign w:val="top"/>
          </w:tcPr>
          <w:p>
            <w:pPr>
              <w:bidi w:val="0"/>
              <w:spacing w:line="240" w:lineRule="auto"/>
              <w:rPr>
                <w:rFonts w:hint="eastAsia" w:ascii="宋体" w:hAnsi="宋体" w:eastAsia="宋体" w:cs="宋体"/>
                <w:color w:val="auto"/>
                <w:sz w:val="24"/>
                <w:szCs w:val="21"/>
                <w:lang w:val="en-US" w:eastAsia="zh-CN"/>
              </w:rPr>
            </w:pPr>
          </w:p>
        </w:tc>
        <w:tc>
          <w:tcPr>
            <w:tcW w:w="625" w:type="pct"/>
            <w:noWrap w:val="0"/>
            <w:vAlign w:val="top"/>
          </w:tcPr>
          <w:p>
            <w:pPr>
              <w:bidi w:val="0"/>
              <w:spacing w:line="240" w:lineRule="auto"/>
              <w:rPr>
                <w:rFonts w:hint="eastAsia" w:ascii="宋体" w:hAnsi="宋体" w:eastAsia="宋体" w:cs="宋体"/>
                <w:color w:val="auto"/>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000" w:type="pct"/>
            <w:gridSpan w:val="7"/>
            <w:noWrap w:val="0"/>
            <w:vAlign w:val="top"/>
          </w:tcPr>
          <w:p>
            <w:pPr>
              <w:bidi w:val="0"/>
              <w:spacing w:line="240" w:lineRule="auto"/>
              <w:rPr>
                <w:rFonts w:hint="eastAsia"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合同总价款（大小写）：</w:t>
            </w:r>
          </w:p>
          <w:p>
            <w:pPr>
              <w:bidi w:val="0"/>
              <w:spacing w:line="240" w:lineRule="auto"/>
              <w:rPr>
                <w:rFonts w:hint="eastAsia"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备注：上述服务包含相关设备购置、人员工资及售后服务、税金、劳保基金、人员培训等费用。</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第二条  服务标准（包括达到的水平要求），按下列第（ ）项执行：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①按国家标准执行；②按部颁标准执行；③若无以上标准，则应不低于同行业服务标准；④有特殊要求的，按甲乙双方在合同中商定的要求执行；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乙方提供的服务标准和水平应与招标采购文件规定的标准和水平相一致。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第三条  服务的方式、方法、地点和期限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1、服务方式：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2、服务方法：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2、服务地点：</w:t>
      </w:r>
      <w:r>
        <w:rPr>
          <w:rFonts w:hint="eastAsia" w:ascii="宋体" w:hAnsi="宋体" w:eastAsia="宋体" w:cs="宋体"/>
          <w:color w:val="auto"/>
          <w:sz w:val="24"/>
          <w:szCs w:val="24"/>
          <w:lang w:val="en-US" w:eastAsia="zh-CN"/>
        </w:rPr>
        <w:softHyphen/>
      </w:r>
      <w:r>
        <w:rPr>
          <w:rFonts w:hint="eastAsia" w:ascii="宋体" w:hAnsi="宋体" w:eastAsia="宋体" w:cs="宋体"/>
          <w:color w:val="auto"/>
          <w:sz w:val="24"/>
          <w:szCs w:val="24"/>
          <w:lang w:val="en-US" w:eastAsia="zh-CN"/>
        </w:rPr>
        <w:softHyphen/>
      </w:r>
      <w:r>
        <w:rPr>
          <w:rFonts w:hint="eastAsia" w:ascii="宋体" w:hAnsi="宋体" w:eastAsia="宋体" w:cs="宋体"/>
          <w:color w:val="auto"/>
          <w:sz w:val="24"/>
          <w:szCs w:val="24"/>
          <w:lang w:val="en-US" w:eastAsia="zh-CN"/>
        </w:rPr>
        <w:softHyphen/>
      </w:r>
      <w:r>
        <w:rPr>
          <w:rFonts w:hint="eastAsia" w:ascii="宋体" w:hAnsi="宋体" w:eastAsia="宋体" w:cs="宋体"/>
          <w:color w:val="auto"/>
          <w:sz w:val="24"/>
          <w:szCs w:val="24"/>
          <w:lang w:val="en-US" w:eastAsia="zh-CN"/>
        </w:rPr>
        <w:softHyphen/>
      </w:r>
      <w:r>
        <w:rPr>
          <w:rFonts w:hint="eastAsia" w:ascii="宋体" w:hAnsi="宋体" w:eastAsia="宋体" w:cs="宋体"/>
          <w:color w:val="auto"/>
          <w:sz w:val="24"/>
          <w:szCs w:val="24"/>
          <w:lang w:val="en-US" w:eastAsia="zh-CN"/>
        </w:rPr>
        <w:softHyphen/>
      </w:r>
      <w:r>
        <w:rPr>
          <w:rFonts w:hint="eastAsia" w:ascii="宋体" w:hAnsi="宋体" w:eastAsia="宋体" w:cs="宋体"/>
          <w:color w:val="auto"/>
          <w:sz w:val="24"/>
          <w:szCs w:val="24"/>
          <w:lang w:val="en-US" w:eastAsia="zh-CN"/>
        </w:rPr>
        <w:softHyphen/>
      </w:r>
      <w:r>
        <w:rPr>
          <w:rFonts w:hint="eastAsia" w:ascii="宋体" w:hAnsi="宋体" w:eastAsia="宋体" w:cs="宋体"/>
          <w:color w:val="auto"/>
          <w:sz w:val="24"/>
          <w:szCs w:val="24"/>
          <w:lang w:val="en-US" w:eastAsia="zh-CN"/>
        </w:rPr>
        <w:softHyphen/>
      </w:r>
      <w:r>
        <w:rPr>
          <w:rFonts w:hint="eastAsia" w:ascii="宋体" w:hAnsi="宋体" w:eastAsia="宋体" w:cs="宋体"/>
          <w:color w:val="auto"/>
          <w:sz w:val="24"/>
          <w:szCs w:val="24"/>
          <w:lang w:val="en-US" w:eastAsia="zh-CN"/>
        </w:rPr>
        <w:softHyphen/>
      </w:r>
      <w:r>
        <w:rPr>
          <w:rFonts w:hint="eastAsia" w:ascii="宋体" w:hAnsi="宋体" w:eastAsia="宋体" w:cs="宋体"/>
          <w:color w:val="auto"/>
          <w:sz w:val="24"/>
          <w:szCs w:val="24"/>
          <w:lang w:val="en-US" w:eastAsia="zh-CN"/>
        </w:rPr>
        <w:softHyphen/>
      </w:r>
      <w:r>
        <w:rPr>
          <w:rFonts w:hint="eastAsia" w:ascii="宋体" w:hAnsi="宋体" w:eastAsia="宋体" w:cs="宋体"/>
          <w:color w:val="auto"/>
          <w:sz w:val="24"/>
          <w:szCs w:val="24"/>
          <w:lang w:val="en-US" w:eastAsia="zh-CN"/>
        </w:rPr>
        <w:softHyphen/>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3、服务期限：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第四条  费用及支付方式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(一)本项目费用有以下组成：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1、XX 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2、XX 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(二)费用支付方式：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1、XXXX；</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2、XXXX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3、在支付前甲方对乙方的服务进行考核或验收，合格的支付相应款项。乙方须向甲方出具合法有效完整的完税发票及凭证资料进行支付结算。</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 xml:space="preserve">第五条  付款条件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本合同以人民币付款。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该项目是否实行预付款：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实行预付款的条件和比例：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合同款项结算方式和支付比例：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(具体付款方式按投标人须知前附表以及采、购双方的具体约定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第六条  验收方法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1.甲、乙双方应严格履行合同有关条款，如果验收过程中发现乙方在没有征得采购人同意的情况下擅自变更合同服务内容，将拒绝通过验收，由此引起的一切后果及损失由乙方承担。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甲方应承担项目验收的主体责任。项目验收时，应成立三人以上（由甲、乙双方、管理人员、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3、甲方视情况可以邀请参加本项目的其他投标人或者第三方机构参与验收，参与验收的投标人或者第三方机构的意见作为验收书的参考资料一并存档。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4、涉及安全、消防、环保等其他需要由质检或行业主管部门进行验收的项目，必须邀请相关部门或相关专家参与验收。涉及社会化服务的项目，甲方将要求社会公众人员参与验收。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检测、验收费用承担方式：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第七条  知识产权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乙方应保证所提供的服务或其任何一部分均不会侵犯任何第三方的专利权、商标权或著作权。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第八条  无产权瑕疵条款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乙方保证所提供的服务的所有权完全属于乙方且无任何抵押、查封等产权瑕疵。如有产权瑕疵的，视为乙方违约。乙方应负担由此而产生的一切损失。</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第九条  履约（或质量）保证金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1.本项目不收取履约保证金。确需收取履约保证金的，甲方不得要求乙方以现款的形式提供。乙方提供的履约保证金按规定格式以银行保函形式提供，与此有关的费用由服务方承担。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2.若确需质量保证金的，质量保证金不得超过合同总价款的5%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3.如乙方未能履行其合同规定的任何义务，甲方有权从履约保证金中取得补偿。</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第十条  甲方的权利和义务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1、甲方有权对合同规定范围内乙方的行为进行监督和检查，拥有监管权。有权定期核对乙方提供服务所配备的人员数量。对甲方认为不合理的部分有权下达整改通知书，并要求乙方限期整改。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2、甲方有权依据双方签订的考评办法对乙方提供的服务进行定期考评。当考评结果未达到标准时，有权依据考评办法约定的数额扣除履约保证金。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3、负责检查监督乙方管理工作的实施及制度的执行情况。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4、根据本合同规定，按时向乙方支付应付服务费用。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5、国家法律、法规所规定由甲方承担的其他责任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第十一条  乙方的权利和义务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1、对本合同规定的委托服务范围内的项目享有管理权及服务义务。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2、根据本合同的规定向甲方收取相关服务费用，并有权在本项目管理范围内管理及合理使用。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3、及时向甲方通告本项目服务范围内有关服务的重大事项，及时配合处理投诉。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4、接受项目行业管理部门及政府有关部门的指导，接受甲方的监督。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5、国家法律、法规所规定由乙方承担的其它责任。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第十二条  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1、甲乙双方必须遵守本合同并执行合同中的各项规定，保证本合同的正常履行。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2、甲方逾期付款的，除应及时付足款项外，应向乙方偿付欠款总额万分之 /天的违约金；逾期付款超过 天的，乙方有权终止合同。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4、变更、中止或者终止合同，有过错的一方应当承担赔偿责任，双方都有过错的，各自承担相应的责任。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第十三条  转让与分包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1.除甲方事先书面同意外，乙方不得部分转让或全部转让其应履行的合同义务。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2.乙方应在投标文件中或以其他书面形式对甲方确认本合同项下所授予的所有分包合同。但该确认不解除乙方承担的本合同下的任何责任或义务。意即在本合同项下，乙方对甲方负总责。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第十四条  合同文件及资料的使用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1.乙方在未经甲方同意的情况下，不得将合同、合同中的规定、有关计划、图纸、样本或甲方为上述内容向乙方提供的资料透露给任何人。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2.除非执行合同需要，在事先未得到甲方同意的情况下，乙方不得使用前款所列的任何文件和资料。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第十五条  不可抗力事件处理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第十六条  合同纠纷调处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1.按本合同规定应该偿付的违约金、赔偿金、保管保养费和各种经济损失，应当在明确责任后10天内，按银行规定的结算办法付清，否则按逾期付款处理。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2.本合同如发生纠纷，当事人双方应当及时协商解决，协商不成时，任何一方均可请本项目政府采购监督管理部门调解，调解不成，按以下第（ ）项方式处理：①根据《中华人民共和国仲裁法》的规定向项城市仲裁委员会申请仲裁。②向合同签订地有级别管辖权的人民法院起诉。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3、甲、乙双方均有权利向本项目具有监管职能的政府采购监督管理部门举报反映对方在合同履约中的违法违纪行为。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第十七条  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下列关于项城市政府采购代理机构名称某项目（项目编号：某编号）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本合同一式</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份，甲乙双方各执</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份，自双方当事人签字盖章之日起生效。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采购人（甲方）：    （公章）        供货人（乙方）：     （公章）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                               地址：</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                         法定代表人：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委托代理人：                         委托代理人：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电话：                               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开户银行：                           开户银行：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账号：                               账号：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年    月    日                  年    月  日</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40"/>
          <w:szCs w:val="36"/>
          <w:lang w:val="en-US" w:eastAsia="zh-CN"/>
        </w:rPr>
      </w:pPr>
      <w:r>
        <w:rPr>
          <w:rFonts w:hint="eastAsia" w:ascii="宋体" w:hAnsi="宋体" w:eastAsia="宋体" w:cs="宋体"/>
          <w:b/>
          <w:bCs/>
          <w:color w:val="auto"/>
          <w:kern w:val="28"/>
          <w:sz w:val="32"/>
          <w:szCs w:val="32"/>
          <w:lang w:val="en-US" w:eastAsia="zh-CN" w:bidi="ar-SA"/>
        </w:rPr>
        <w:br w:type="page"/>
      </w:r>
      <w:bookmarkStart w:id="15" w:name="_Toc8623"/>
      <w:r>
        <w:rPr>
          <w:rFonts w:hint="eastAsia" w:ascii="宋体" w:hAnsi="宋体" w:eastAsia="宋体" w:cs="宋体"/>
          <w:b/>
          <w:bCs/>
          <w:color w:val="auto"/>
          <w:sz w:val="28"/>
          <w:szCs w:val="28"/>
          <w:lang w:val="en-US" w:eastAsia="zh-CN"/>
        </w:rPr>
        <w:t>第六章  响应文件格式</w:t>
      </w:r>
      <w:bookmarkEnd w:id="15"/>
    </w:p>
    <w:p>
      <w:pPr>
        <w:bidi w:val="0"/>
        <w:rPr>
          <w:rFonts w:hint="eastAsia" w:ascii="宋体" w:hAnsi="宋体" w:eastAsia="宋体" w:cs="宋体"/>
          <w:color w:val="auto"/>
        </w:rPr>
      </w:pPr>
    </w:p>
    <w:p>
      <w:pPr>
        <w:spacing w:line="360" w:lineRule="auto"/>
        <w:ind w:firstLine="200"/>
        <w:jc w:val="center"/>
        <w:rPr>
          <w:rFonts w:hint="eastAsia" w:ascii="宋体" w:hAnsi="宋体" w:eastAsia="宋体" w:cs="宋体"/>
          <w:b/>
          <w:color w:val="auto"/>
          <w:sz w:val="30"/>
          <w:szCs w:val="30"/>
          <w:u w:val="single"/>
        </w:rPr>
      </w:pPr>
    </w:p>
    <w:p>
      <w:pPr>
        <w:spacing w:line="360" w:lineRule="auto"/>
        <w:ind w:firstLine="200"/>
        <w:jc w:val="center"/>
        <w:rPr>
          <w:rFonts w:hint="eastAsia" w:ascii="宋体" w:hAnsi="宋体" w:eastAsia="宋体" w:cs="宋体"/>
          <w:b/>
          <w:color w:val="auto"/>
          <w:sz w:val="30"/>
          <w:szCs w:val="30"/>
          <w:u w:val="single"/>
        </w:rPr>
      </w:pPr>
      <w:r>
        <w:rPr>
          <w:rFonts w:hint="eastAsia" w:ascii="宋体" w:hAnsi="宋体" w:eastAsia="宋体" w:cs="宋体"/>
          <w:b/>
          <w:color w:val="auto"/>
          <w:sz w:val="30"/>
          <w:szCs w:val="30"/>
          <w:u w:val="single"/>
        </w:rPr>
        <w:t xml:space="preserve">                                </w:t>
      </w:r>
      <w:r>
        <w:rPr>
          <w:rFonts w:hint="eastAsia" w:ascii="宋体" w:hAnsi="宋体" w:eastAsia="宋体" w:cs="宋体"/>
          <w:b/>
          <w:color w:val="auto"/>
          <w:sz w:val="30"/>
          <w:szCs w:val="30"/>
        </w:rPr>
        <w:t>（项目名称）</w:t>
      </w:r>
    </w:p>
    <w:p>
      <w:pPr>
        <w:spacing w:line="360" w:lineRule="auto"/>
        <w:ind w:firstLine="200"/>
        <w:rPr>
          <w:rFonts w:hint="eastAsia" w:ascii="宋体" w:hAnsi="宋体" w:eastAsia="宋体" w:cs="宋体"/>
          <w:b/>
          <w:color w:val="auto"/>
          <w:szCs w:val="24"/>
        </w:rPr>
      </w:pPr>
    </w:p>
    <w:p>
      <w:pPr>
        <w:spacing w:line="360" w:lineRule="auto"/>
        <w:ind w:firstLine="200"/>
        <w:jc w:val="center"/>
        <w:rPr>
          <w:rFonts w:hint="eastAsia" w:ascii="宋体" w:hAnsi="宋体" w:eastAsia="宋体" w:cs="宋体"/>
          <w:b/>
          <w:color w:val="auto"/>
          <w:sz w:val="44"/>
          <w:szCs w:val="44"/>
        </w:rPr>
      </w:pPr>
    </w:p>
    <w:p>
      <w:pPr>
        <w:spacing w:line="360" w:lineRule="auto"/>
        <w:ind w:firstLine="200"/>
        <w:jc w:val="center"/>
        <w:rPr>
          <w:rFonts w:hint="eastAsia" w:ascii="宋体" w:hAnsi="宋体" w:eastAsia="宋体" w:cs="宋体"/>
          <w:b/>
          <w:color w:val="auto"/>
          <w:sz w:val="44"/>
          <w:szCs w:val="44"/>
        </w:rPr>
      </w:pPr>
    </w:p>
    <w:p>
      <w:pPr>
        <w:spacing w:line="360" w:lineRule="auto"/>
        <w:ind w:firstLine="200"/>
        <w:jc w:val="center"/>
        <w:rPr>
          <w:rFonts w:hint="eastAsia" w:ascii="宋体" w:hAnsi="宋体" w:eastAsia="宋体" w:cs="宋体"/>
          <w:b/>
          <w:color w:val="auto"/>
          <w:sz w:val="44"/>
          <w:szCs w:val="44"/>
        </w:rPr>
      </w:pPr>
    </w:p>
    <w:p>
      <w:pPr>
        <w:spacing w:line="360" w:lineRule="auto"/>
        <w:ind w:firstLine="200"/>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响 应 性 文 件</w:t>
      </w:r>
    </w:p>
    <w:p>
      <w:pPr>
        <w:spacing w:line="360" w:lineRule="auto"/>
        <w:ind w:firstLine="600" w:firstLineChars="200"/>
        <w:rPr>
          <w:rFonts w:hint="eastAsia" w:ascii="宋体" w:hAnsi="宋体" w:eastAsia="宋体" w:cs="宋体"/>
          <w:color w:val="auto"/>
          <w:szCs w:val="24"/>
        </w:rPr>
      </w:pPr>
    </w:p>
    <w:p>
      <w:pPr>
        <w:spacing w:line="360" w:lineRule="auto"/>
        <w:ind w:firstLine="200"/>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项目编号：</w:t>
      </w:r>
    </w:p>
    <w:p>
      <w:pPr>
        <w:spacing w:line="360" w:lineRule="auto"/>
        <w:ind w:firstLine="600" w:firstLineChars="200"/>
        <w:rPr>
          <w:rFonts w:hint="eastAsia" w:ascii="宋体" w:hAnsi="宋体" w:eastAsia="宋体" w:cs="宋体"/>
          <w:color w:val="auto"/>
          <w:szCs w:val="24"/>
        </w:rPr>
      </w:pPr>
    </w:p>
    <w:p>
      <w:pPr>
        <w:spacing w:line="360" w:lineRule="auto"/>
        <w:ind w:firstLine="600" w:firstLineChars="200"/>
        <w:rPr>
          <w:rFonts w:hint="eastAsia" w:ascii="宋体" w:hAnsi="宋体" w:eastAsia="宋体" w:cs="宋体"/>
          <w:color w:val="auto"/>
          <w:szCs w:val="24"/>
        </w:rPr>
      </w:pPr>
    </w:p>
    <w:p>
      <w:pPr>
        <w:spacing w:line="360" w:lineRule="auto"/>
        <w:ind w:firstLine="200"/>
        <w:rPr>
          <w:rFonts w:hint="eastAsia" w:ascii="宋体" w:hAnsi="宋体" w:eastAsia="宋体" w:cs="宋体"/>
          <w:color w:val="auto"/>
          <w:szCs w:val="24"/>
        </w:rPr>
      </w:pPr>
    </w:p>
    <w:p>
      <w:pPr>
        <w:spacing w:line="360" w:lineRule="auto"/>
        <w:ind w:firstLine="200"/>
        <w:jc w:val="center"/>
        <w:rPr>
          <w:rFonts w:hint="eastAsia" w:ascii="宋体" w:hAnsi="宋体" w:eastAsia="宋体" w:cs="宋体"/>
          <w:color w:val="auto"/>
          <w:sz w:val="24"/>
          <w:szCs w:val="24"/>
        </w:rPr>
      </w:pPr>
    </w:p>
    <w:p>
      <w:pPr>
        <w:spacing w:line="360" w:lineRule="auto"/>
        <w:ind w:firstLine="200"/>
        <w:jc w:val="center"/>
        <w:rPr>
          <w:rFonts w:hint="eastAsia" w:ascii="宋体" w:hAnsi="宋体" w:eastAsia="宋体" w:cs="宋体"/>
          <w:color w:val="auto"/>
          <w:sz w:val="24"/>
          <w:szCs w:val="24"/>
        </w:rPr>
      </w:pPr>
    </w:p>
    <w:p>
      <w:pPr>
        <w:spacing w:line="360" w:lineRule="auto"/>
        <w:ind w:firstLine="200"/>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（单位电子签章）</w:t>
      </w:r>
    </w:p>
    <w:p>
      <w:pPr>
        <w:spacing w:line="360" w:lineRule="auto"/>
        <w:ind w:firstLine="200"/>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（电子签章）</w:t>
      </w:r>
    </w:p>
    <w:p>
      <w:pPr>
        <w:spacing w:line="360" w:lineRule="auto"/>
        <w:ind w:firstLine="20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jc w:val="center"/>
        <w:outlineLvl w:val="0"/>
        <w:rPr>
          <w:rFonts w:hint="eastAsia" w:ascii="宋体" w:hAnsi="宋体" w:eastAsia="宋体" w:cs="宋体"/>
          <w:color w:val="auto"/>
          <w:lang w:val="en-US" w:eastAsia="zh-CN"/>
        </w:rPr>
      </w:pPr>
      <w:r>
        <w:rPr>
          <w:rFonts w:hint="eastAsia" w:ascii="宋体" w:hAnsi="宋体" w:eastAsia="宋体" w:cs="宋体"/>
          <w:b/>
          <w:color w:val="auto"/>
        </w:rPr>
        <w:br w:type="page"/>
      </w:r>
      <w:bookmarkStart w:id="16" w:name="_Toc5926"/>
      <w:bookmarkStart w:id="17" w:name="_Toc2482"/>
      <w:r>
        <w:rPr>
          <w:rFonts w:hint="eastAsia" w:ascii="宋体" w:hAnsi="宋体" w:eastAsia="宋体" w:cs="宋体"/>
          <w:b/>
          <w:color w:val="auto"/>
          <w:sz w:val="36"/>
          <w:szCs w:val="36"/>
          <w:lang w:val="en-US" w:eastAsia="zh-CN"/>
        </w:rPr>
        <w:t>目录</w:t>
      </w:r>
      <w:bookmarkEnd w:id="16"/>
      <w:bookmarkEnd w:id="17"/>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2"/>
          <w:lang w:val="en-US" w:eastAsia="zh-CN"/>
        </w:rPr>
      </w:pPr>
      <w:r>
        <w:rPr>
          <w:rFonts w:hint="eastAsia" w:ascii="宋体" w:hAnsi="宋体" w:eastAsia="宋体" w:cs="宋体"/>
          <w:color w:val="auto"/>
          <w:sz w:val="28"/>
          <w:szCs w:val="22"/>
          <w:lang w:val="en-US" w:eastAsia="zh-CN"/>
        </w:rPr>
        <w:t>1、响应函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2"/>
          <w:lang w:val="en-US" w:eastAsia="zh-CN"/>
        </w:rPr>
      </w:pPr>
      <w:r>
        <w:rPr>
          <w:rFonts w:hint="eastAsia" w:ascii="宋体" w:hAnsi="宋体" w:eastAsia="宋体" w:cs="宋体"/>
          <w:color w:val="auto"/>
          <w:sz w:val="28"/>
          <w:szCs w:val="22"/>
          <w:lang w:val="en-US" w:eastAsia="zh-CN"/>
        </w:rPr>
        <w:t>2、报价一览表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2"/>
          <w:lang w:val="en-US" w:eastAsia="zh-CN"/>
        </w:rPr>
      </w:pPr>
      <w:r>
        <w:rPr>
          <w:rFonts w:hint="eastAsia" w:ascii="宋体" w:hAnsi="宋体" w:eastAsia="宋体" w:cs="宋体"/>
          <w:color w:val="auto"/>
          <w:sz w:val="28"/>
          <w:szCs w:val="22"/>
          <w:lang w:val="en-US" w:eastAsia="zh-CN"/>
        </w:rPr>
        <w:t>3、法定代表人身份证明及授权委托书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2"/>
          <w:lang w:val="en-US" w:eastAsia="zh-CN"/>
        </w:rPr>
      </w:pPr>
      <w:r>
        <w:rPr>
          <w:rFonts w:hint="eastAsia" w:ascii="宋体" w:hAnsi="宋体" w:eastAsia="宋体" w:cs="宋体"/>
          <w:color w:val="auto"/>
          <w:sz w:val="28"/>
          <w:szCs w:val="22"/>
          <w:lang w:val="en-US" w:eastAsia="zh-CN"/>
        </w:rPr>
        <w:t>4、服务方案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2"/>
          <w:lang w:val="en-US" w:eastAsia="zh-CN"/>
        </w:rPr>
      </w:pPr>
      <w:r>
        <w:rPr>
          <w:rFonts w:hint="eastAsia" w:ascii="宋体" w:hAnsi="宋体" w:eastAsia="宋体" w:cs="宋体"/>
          <w:color w:val="auto"/>
          <w:sz w:val="28"/>
          <w:szCs w:val="22"/>
          <w:lang w:val="en-US" w:eastAsia="zh-CN"/>
        </w:rPr>
        <w:t>5、售后服务承诺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2"/>
          <w:lang w:val="en-US" w:eastAsia="zh-CN"/>
        </w:rPr>
      </w:pPr>
      <w:r>
        <w:rPr>
          <w:rFonts w:hint="eastAsia" w:ascii="宋体" w:hAnsi="宋体" w:eastAsia="宋体" w:cs="宋体"/>
          <w:color w:val="auto"/>
          <w:sz w:val="28"/>
          <w:szCs w:val="22"/>
          <w:lang w:val="en-US" w:eastAsia="zh-CN"/>
        </w:rPr>
        <w:t>6、资格审查资料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2"/>
          <w:lang w:val="en-US" w:eastAsia="zh-CN"/>
        </w:rPr>
      </w:pPr>
    </w:p>
    <w:p>
      <w:pPr>
        <w:numPr>
          <w:ilvl w:val="0"/>
          <w:numId w:val="0"/>
        </w:numPr>
        <w:jc w:val="both"/>
        <w:outlineLvl w:val="0"/>
        <w:rPr>
          <w:rFonts w:hint="eastAsia" w:ascii="宋体" w:hAnsi="宋体" w:eastAsia="宋体" w:cs="宋体"/>
          <w:b/>
          <w:color w:val="auto"/>
          <w:lang w:val="en-US" w:eastAsia="zh-CN"/>
        </w:rPr>
      </w:pPr>
    </w:p>
    <w:p>
      <w:pPr>
        <w:numPr>
          <w:ilvl w:val="0"/>
          <w:numId w:val="0"/>
        </w:numPr>
        <w:jc w:val="center"/>
        <w:outlineLvl w:val="0"/>
        <w:rPr>
          <w:rFonts w:hint="eastAsia" w:ascii="宋体" w:hAnsi="宋体" w:eastAsia="宋体" w:cs="宋体"/>
          <w:b/>
          <w:color w:val="auto"/>
          <w:lang w:val="en-US" w:eastAsia="zh-CN"/>
        </w:rPr>
      </w:pPr>
      <w:r>
        <w:rPr>
          <w:rFonts w:hint="eastAsia" w:ascii="宋体" w:hAnsi="宋体" w:eastAsia="宋体" w:cs="宋体"/>
          <w:b/>
          <w:color w:val="auto"/>
        </w:rPr>
        <w:br w:type="page"/>
      </w:r>
      <w:bookmarkStart w:id="18" w:name="_Toc11437"/>
      <w:r>
        <w:rPr>
          <w:rFonts w:hint="eastAsia" w:ascii="宋体" w:hAnsi="宋体" w:eastAsia="宋体" w:cs="宋体"/>
          <w:b/>
          <w:color w:val="auto"/>
          <w:sz w:val="28"/>
          <w:szCs w:val="28"/>
          <w:lang w:val="en-US" w:eastAsia="zh-CN"/>
        </w:rPr>
        <w:t>1、响 应 函</w:t>
      </w:r>
      <w:bookmarkEnd w:id="18"/>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u w:val="single"/>
          <w:lang w:val="en-US" w:eastAsia="zh-CN"/>
        </w:rPr>
      </w:pPr>
      <w:bookmarkStart w:id="19" w:name="_Toc52203943"/>
      <w:bookmarkStart w:id="20" w:name="_Toc52204240"/>
      <w:r>
        <w:rPr>
          <w:rFonts w:hint="eastAsia" w:ascii="宋体" w:hAnsi="宋体" w:eastAsia="宋体" w:cs="宋体"/>
          <w:color w:val="auto"/>
          <w:sz w:val="24"/>
          <w:szCs w:val="24"/>
          <w:lang w:val="en-US" w:eastAsia="zh-CN"/>
        </w:rPr>
        <w:t>致：</w:t>
      </w:r>
      <w:bookmarkEnd w:id="19"/>
      <w:bookmarkEnd w:id="20"/>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根据贵方项目编号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的单一来源采购邀请函，我方按要求提交响应文件及相关资料，并对之负法律责任。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据此函，签名代表宣布同意如下：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1、依法依规、诚实守信、公平竞争参加本次采购活动。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我方保证所递交的响应文件及其相关所有资料均为真实、准确、完整、有效的，且不具有任何误导性，并无条件接受采购人或采购代理机构对其中任何资料进行核实（核对原件）的要求。核对发现有虚假、不一致或我方无正当理由不按要求提供原件的，我方承诺响应文件无效并自愿承担一切法律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3、我方的响应报价为：大写</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；小写：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4、如果我方的响应文件被接受，我们将履行单一来源文件中规定的每一项要求，按期、按质、按量履行合同。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5、我方愿遵守《中华人民共和国政府采购法》及相关的政府采购法律法规，按《中华人民共和国合同法》履行我方的全部责任。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6、我方已认真仔细研究单一来源文件全部内容，包括修改文件以及全部参考资料和有关附件。我们完全理解并同意放弃对这方面有不明及误解的权力。</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7、我方承诺响应有效期为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，并在单一来源文件规定的响应有效期内不撤销响应文件。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8、我方同意按照贵方的要求提供与响应有关的一切数据或资料，理解贵方不一定接受最低报价的响应或收到的任何响应。</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9、我方声明，不存在单一来源文件所规定的任何一种情形。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如果我方被确定为成交供应商，我方如无不可抗力放弃中标，或者未履行单一来源文件、响应文件和合同的，一经查实，我方愿意赔偿由此而造成的一切损失，并同意接受按相关法律法规和单一来源文件的相关要求对我方进行的处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11、采购人若需追加采购本项目单一来源文件所列货物及相关伴随服务的，在不改变合同其他实质性条款的前提下，我方将按相同或更优惠的折扣率保证供货。</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12、我方保证所投产品（包括零部件、备件）来自合法的供货渠道，若中标，则有义务向采购人提供其要求的有效书面证明资料。如果提供非法渠道的商品，视为欺诈，并承担相关责任。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我方决不提供虚假资料谋取成交，也决不虚假应标，决不采取不正当手段诋毁、排挤其他供应商，决不与采购人、采购代理机构或者其它供应商恶意串通，决不向采购人、代理机构工作人员和评委进行商业贿赂，积极配合政府相关监管部门的依法监督检查，不向相关监管部门提供虚假情况，如有违反政府采购法律法规的行为，无条件接受政府采购相关监管部门的依法依规处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本次采购若废标，在收到贵方的通知后，如果我方同意参加贵方组织的本项目的单一来源采购，则本响应函及所有响应文件中声明、授权、承诺、盖章签名等仍然有效。我方遵守贵方单一来源文件关于特殊情形采用竞争性谈判采购的相关规定，并无异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15、与本响应有关的一切正式函件往来请寄：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供应商名称：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（盖单位章）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法定代表人或委托代理人：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（电子签章）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联系方式：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w:t>
      </w:r>
      <w:bookmarkStart w:id="21" w:name="_Toc52204241"/>
      <w:bookmarkStart w:id="22" w:name="_Toc52203944"/>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4"/>
          <w:szCs w:val="24"/>
          <w:lang w:val="en-US" w:eastAsia="zh-CN"/>
        </w:rPr>
        <w:t>日期：</w:t>
      </w:r>
      <w:bookmarkEnd w:id="21"/>
      <w:bookmarkEnd w:id="22"/>
    </w:p>
    <w:p>
      <w:pPr>
        <w:jc w:val="center"/>
        <w:outlineLvl w:val="0"/>
        <w:rPr>
          <w:rFonts w:hint="eastAsia" w:ascii="宋体" w:hAnsi="宋体" w:eastAsia="宋体" w:cs="宋体"/>
          <w:b/>
          <w:color w:val="auto"/>
        </w:rPr>
      </w:pPr>
      <w:r>
        <w:rPr>
          <w:rFonts w:hint="eastAsia" w:ascii="宋体" w:hAnsi="宋体" w:eastAsia="宋体" w:cs="宋体"/>
          <w:color w:val="auto"/>
        </w:rPr>
        <w:br w:type="page"/>
      </w:r>
      <w:bookmarkStart w:id="23" w:name="_Toc5571"/>
      <w:r>
        <w:rPr>
          <w:rFonts w:hint="eastAsia" w:ascii="宋体" w:hAnsi="宋体" w:eastAsia="宋体" w:cs="宋体"/>
          <w:b/>
          <w:color w:val="auto"/>
          <w:sz w:val="28"/>
          <w:szCs w:val="28"/>
        </w:rPr>
        <w:t>2、报价一览表</w:t>
      </w:r>
      <w:bookmarkEnd w:id="23"/>
    </w:p>
    <w:tbl>
      <w:tblPr>
        <w:tblStyle w:val="10"/>
        <w:tblW w:w="4998" w:type="pct"/>
        <w:jc w:val="center"/>
        <w:tblLayout w:type="autofit"/>
        <w:tblCellMar>
          <w:top w:w="0" w:type="dxa"/>
          <w:left w:w="108" w:type="dxa"/>
          <w:bottom w:w="0" w:type="dxa"/>
          <w:right w:w="108" w:type="dxa"/>
        </w:tblCellMar>
      </w:tblPr>
      <w:tblGrid>
        <w:gridCol w:w="3178"/>
        <w:gridCol w:w="5341"/>
      </w:tblGrid>
      <w:tr>
        <w:tblPrEx>
          <w:tblCellMar>
            <w:top w:w="0" w:type="dxa"/>
            <w:left w:w="108" w:type="dxa"/>
            <w:bottom w:w="0" w:type="dxa"/>
            <w:right w:w="108" w:type="dxa"/>
          </w:tblCellMar>
        </w:tblPrEx>
        <w:trPr>
          <w:trHeight w:val="1171" w:hRule="atLeast"/>
          <w:jc w:val="center"/>
        </w:trPr>
        <w:tc>
          <w:tcPr>
            <w:tcW w:w="186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kern w:val="1"/>
                <w:sz w:val="24"/>
                <w:szCs w:val="22"/>
              </w:rPr>
            </w:pPr>
            <w:r>
              <w:rPr>
                <w:rFonts w:hint="eastAsia" w:ascii="宋体" w:hAnsi="宋体" w:eastAsia="宋体" w:cs="宋体"/>
                <w:color w:val="auto"/>
                <w:kern w:val="1"/>
                <w:sz w:val="24"/>
                <w:szCs w:val="22"/>
              </w:rPr>
              <w:t>项目名称</w:t>
            </w:r>
          </w:p>
        </w:tc>
        <w:tc>
          <w:tcPr>
            <w:tcW w:w="3134" w:type="pct"/>
            <w:tcBorders>
              <w:top w:val="single" w:color="000000" w:sz="4" w:space="0"/>
              <w:left w:val="single" w:color="000000" w:sz="4" w:space="0"/>
              <w:bottom w:val="single" w:color="000000" w:sz="4" w:space="0"/>
              <w:right w:val="single" w:color="000000" w:sz="4" w:space="0"/>
            </w:tcBorders>
            <w:noWrap w:val="0"/>
            <w:vAlign w:val="center"/>
          </w:tcPr>
          <w:p>
            <w:pPr>
              <w:ind w:firstLine="480"/>
              <w:rPr>
                <w:rFonts w:hint="eastAsia" w:ascii="宋体" w:hAnsi="宋体" w:eastAsia="宋体" w:cs="宋体"/>
                <w:color w:val="auto"/>
                <w:kern w:val="1"/>
                <w:sz w:val="24"/>
                <w:szCs w:val="22"/>
              </w:rPr>
            </w:pPr>
          </w:p>
        </w:tc>
      </w:tr>
      <w:tr>
        <w:tblPrEx>
          <w:tblCellMar>
            <w:top w:w="0" w:type="dxa"/>
            <w:left w:w="108" w:type="dxa"/>
            <w:bottom w:w="0" w:type="dxa"/>
            <w:right w:w="108" w:type="dxa"/>
          </w:tblCellMar>
        </w:tblPrEx>
        <w:trPr>
          <w:trHeight w:val="1171" w:hRule="atLeast"/>
          <w:jc w:val="center"/>
        </w:trPr>
        <w:tc>
          <w:tcPr>
            <w:tcW w:w="186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kern w:val="1"/>
                <w:sz w:val="24"/>
                <w:szCs w:val="22"/>
              </w:rPr>
            </w:pPr>
            <w:r>
              <w:rPr>
                <w:rFonts w:hint="eastAsia" w:ascii="宋体" w:hAnsi="宋体" w:eastAsia="宋体" w:cs="宋体"/>
                <w:color w:val="auto"/>
                <w:kern w:val="1"/>
                <w:sz w:val="24"/>
                <w:szCs w:val="22"/>
              </w:rPr>
              <w:t>供应商名称</w:t>
            </w:r>
          </w:p>
        </w:tc>
        <w:tc>
          <w:tcPr>
            <w:tcW w:w="3134" w:type="pct"/>
            <w:tcBorders>
              <w:top w:val="single" w:color="000000" w:sz="4" w:space="0"/>
              <w:left w:val="single" w:color="000000" w:sz="4" w:space="0"/>
              <w:bottom w:val="single" w:color="000000" w:sz="4" w:space="0"/>
              <w:right w:val="single" w:color="000000" w:sz="4" w:space="0"/>
            </w:tcBorders>
            <w:noWrap w:val="0"/>
            <w:vAlign w:val="center"/>
          </w:tcPr>
          <w:p>
            <w:pPr>
              <w:ind w:firstLine="480"/>
              <w:rPr>
                <w:rFonts w:hint="eastAsia" w:ascii="宋体" w:hAnsi="宋体" w:eastAsia="宋体" w:cs="宋体"/>
                <w:color w:val="auto"/>
                <w:kern w:val="1"/>
                <w:sz w:val="24"/>
                <w:szCs w:val="22"/>
              </w:rPr>
            </w:pPr>
          </w:p>
        </w:tc>
      </w:tr>
      <w:tr>
        <w:tblPrEx>
          <w:tblCellMar>
            <w:top w:w="0" w:type="dxa"/>
            <w:left w:w="108" w:type="dxa"/>
            <w:bottom w:w="0" w:type="dxa"/>
            <w:right w:w="108" w:type="dxa"/>
          </w:tblCellMar>
        </w:tblPrEx>
        <w:trPr>
          <w:trHeight w:val="1730" w:hRule="atLeast"/>
          <w:jc w:val="center"/>
        </w:trPr>
        <w:tc>
          <w:tcPr>
            <w:tcW w:w="186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kern w:val="1"/>
                <w:sz w:val="24"/>
                <w:szCs w:val="22"/>
              </w:rPr>
            </w:pPr>
            <w:r>
              <w:rPr>
                <w:rFonts w:hint="eastAsia" w:ascii="宋体" w:hAnsi="宋体" w:eastAsia="宋体" w:cs="宋体"/>
                <w:color w:val="auto"/>
                <w:kern w:val="1"/>
                <w:sz w:val="24"/>
                <w:szCs w:val="22"/>
              </w:rPr>
              <w:t>投标总报价（元）</w:t>
            </w:r>
          </w:p>
        </w:tc>
        <w:tc>
          <w:tcPr>
            <w:tcW w:w="313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kern w:val="1"/>
                <w:sz w:val="24"/>
                <w:szCs w:val="22"/>
              </w:rPr>
            </w:pPr>
            <w:r>
              <w:rPr>
                <w:rFonts w:hint="eastAsia" w:ascii="宋体" w:hAnsi="宋体" w:eastAsia="宋体" w:cs="宋体"/>
                <w:color w:val="auto"/>
                <w:kern w:val="1"/>
                <w:sz w:val="24"/>
                <w:szCs w:val="22"/>
              </w:rPr>
              <w:t>大写：</w:t>
            </w:r>
          </w:p>
          <w:p>
            <w:pPr>
              <w:ind w:firstLine="480"/>
              <w:rPr>
                <w:rFonts w:hint="eastAsia" w:ascii="宋体" w:hAnsi="宋体" w:eastAsia="宋体" w:cs="宋体"/>
                <w:color w:val="auto"/>
                <w:kern w:val="1"/>
                <w:sz w:val="24"/>
                <w:szCs w:val="22"/>
              </w:rPr>
            </w:pPr>
          </w:p>
          <w:p>
            <w:pPr>
              <w:rPr>
                <w:rFonts w:hint="eastAsia" w:ascii="宋体" w:hAnsi="宋体" w:eastAsia="宋体" w:cs="宋体"/>
                <w:color w:val="auto"/>
                <w:kern w:val="1"/>
                <w:sz w:val="24"/>
                <w:szCs w:val="22"/>
                <w:u w:val="single"/>
              </w:rPr>
            </w:pPr>
            <w:r>
              <w:rPr>
                <w:rFonts w:hint="eastAsia" w:ascii="宋体" w:hAnsi="宋体" w:eastAsia="宋体" w:cs="宋体"/>
                <w:color w:val="auto"/>
                <w:kern w:val="1"/>
                <w:sz w:val="24"/>
                <w:szCs w:val="22"/>
              </w:rPr>
              <w:t xml:space="preserve">小写：              </w:t>
            </w:r>
          </w:p>
        </w:tc>
      </w:tr>
      <w:tr>
        <w:tblPrEx>
          <w:tblCellMar>
            <w:top w:w="0" w:type="dxa"/>
            <w:left w:w="108" w:type="dxa"/>
            <w:bottom w:w="0" w:type="dxa"/>
            <w:right w:w="108" w:type="dxa"/>
          </w:tblCellMar>
        </w:tblPrEx>
        <w:trPr>
          <w:trHeight w:val="1171" w:hRule="atLeast"/>
          <w:jc w:val="center"/>
        </w:trPr>
        <w:tc>
          <w:tcPr>
            <w:tcW w:w="186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kern w:val="1"/>
                <w:sz w:val="24"/>
                <w:szCs w:val="22"/>
                <w:lang w:val="en-US" w:eastAsia="zh-CN" w:bidi="ar-SA"/>
              </w:rPr>
            </w:pPr>
            <w:r>
              <w:rPr>
                <w:rFonts w:hint="eastAsia" w:ascii="宋体" w:hAnsi="宋体" w:eastAsia="宋体" w:cs="宋体"/>
                <w:color w:val="auto"/>
                <w:kern w:val="1"/>
                <w:sz w:val="24"/>
                <w:szCs w:val="22"/>
              </w:rPr>
              <w:t>服务期限</w:t>
            </w:r>
          </w:p>
        </w:tc>
        <w:tc>
          <w:tcPr>
            <w:tcW w:w="3134" w:type="pct"/>
            <w:tcBorders>
              <w:top w:val="single" w:color="000000" w:sz="4" w:space="0"/>
              <w:left w:val="single" w:color="000000" w:sz="4" w:space="0"/>
              <w:bottom w:val="single" w:color="000000" w:sz="4" w:space="0"/>
              <w:right w:val="single" w:color="000000" w:sz="4" w:space="0"/>
            </w:tcBorders>
            <w:noWrap w:val="0"/>
            <w:vAlign w:val="center"/>
          </w:tcPr>
          <w:p>
            <w:pPr>
              <w:ind w:firstLine="480"/>
              <w:rPr>
                <w:rFonts w:hint="eastAsia" w:ascii="宋体" w:hAnsi="宋体" w:eastAsia="宋体" w:cs="宋体"/>
                <w:color w:val="auto"/>
                <w:kern w:val="1"/>
                <w:sz w:val="24"/>
                <w:szCs w:val="22"/>
              </w:rPr>
            </w:pPr>
          </w:p>
        </w:tc>
      </w:tr>
      <w:tr>
        <w:tblPrEx>
          <w:tblCellMar>
            <w:top w:w="0" w:type="dxa"/>
            <w:left w:w="108" w:type="dxa"/>
            <w:bottom w:w="0" w:type="dxa"/>
            <w:right w:w="108" w:type="dxa"/>
          </w:tblCellMar>
        </w:tblPrEx>
        <w:trPr>
          <w:trHeight w:val="1171" w:hRule="atLeast"/>
          <w:jc w:val="center"/>
        </w:trPr>
        <w:tc>
          <w:tcPr>
            <w:tcW w:w="186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kern w:val="1"/>
                <w:sz w:val="24"/>
                <w:szCs w:val="22"/>
                <w:lang w:val="en-US" w:eastAsia="zh-CN" w:bidi="ar-SA"/>
              </w:rPr>
            </w:pPr>
            <w:r>
              <w:rPr>
                <w:rFonts w:hint="eastAsia" w:ascii="宋体" w:hAnsi="宋体" w:eastAsia="宋体" w:cs="宋体"/>
                <w:color w:val="auto"/>
                <w:kern w:val="1"/>
                <w:sz w:val="24"/>
                <w:szCs w:val="22"/>
              </w:rPr>
              <w:t>质量要求</w:t>
            </w:r>
          </w:p>
        </w:tc>
        <w:tc>
          <w:tcPr>
            <w:tcW w:w="3134" w:type="pct"/>
            <w:tcBorders>
              <w:top w:val="single" w:color="000000" w:sz="4" w:space="0"/>
              <w:left w:val="single" w:color="000000" w:sz="4" w:space="0"/>
              <w:bottom w:val="single" w:color="000000" w:sz="4" w:space="0"/>
              <w:right w:val="single" w:color="000000" w:sz="4" w:space="0"/>
            </w:tcBorders>
            <w:noWrap w:val="0"/>
            <w:vAlign w:val="center"/>
          </w:tcPr>
          <w:p>
            <w:pPr>
              <w:ind w:firstLine="480"/>
              <w:rPr>
                <w:rFonts w:hint="eastAsia" w:ascii="宋体" w:hAnsi="宋体" w:eastAsia="宋体" w:cs="宋体"/>
                <w:color w:val="auto"/>
                <w:kern w:val="1"/>
                <w:sz w:val="24"/>
                <w:szCs w:val="22"/>
              </w:rPr>
            </w:pPr>
          </w:p>
        </w:tc>
      </w:tr>
      <w:tr>
        <w:tblPrEx>
          <w:tblCellMar>
            <w:top w:w="0" w:type="dxa"/>
            <w:left w:w="108" w:type="dxa"/>
            <w:bottom w:w="0" w:type="dxa"/>
            <w:right w:w="108" w:type="dxa"/>
          </w:tblCellMar>
        </w:tblPrEx>
        <w:trPr>
          <w:trHeight w:val="1171" w:hRule="atLeast"/>
          <w:jc w:val="center"/>
        </w:trPr>
        <w:tc>
          <w:tcPr>
            <w:tcW w:w="186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kern w:val="1"/>
                <w:sz w:val="24"/>
                <w:szCs w:val="22"/>
                <w:lang w:eastAsia="zh-CN"/>
              </w:rPr>
            </w:pPr>
            <w:r>
              <w:rPr>
                <w:rFonts w:hint="eastAsia" w:ascii="宋体" w:hAnsi="宋体" w:eastAsia="宋体" w:cs="宋体"/>
                <w:color w:val="auto"/>
                <w:kern w:val="1"/>
                <w:sz w:val="24"/>
                <w:szCs w:val="22"/>
                <w:lang w:eastAsia="zh-CN"/>
              </w:rPr>
              <w:t>投标有效期</w:t>
            </w:r>
          </w:p>
        </w:tc>
        <w:tc>
          <w:tcPr>
            <w:tcW w:w="3134" w:type="pct"/>
            <w:tcBorders>
              <w:top w:val="single" w:color="000000" w:sz="4" w:space="0"/>
              <w:left w:val="single" w:color="000000" w:sz="4" w:space="0"/>
              <w:bottom w:val="single" w:color="000000" w:sz="4" w:space="0"/>
              <w:right w:val="single" w:color="000000" w:sz="4" w:space="0"/>
            </w:tcBorders>
            <w:noWrap w:val="0"/>
            <w:vAlign w:val="center"/>
          </w:tcPr>
          <w:p>
            <w:pPr>
              <w:ind w:firstLine="480"/>
              <w:rPr>
                <w:rFonts w:hint="eastAsia" w:ascii="宋体" w:hAnsi="宋体" w:eastAsia="宋体" w:cs="宋体"/>
                <w:color w:val="auto"/>
                <w:kern w:val="1"/>
                <w:sz w:val="24"/>
                <w:szCs w:val="22"/>
              </w:rPr>
            </w:pPr>
          </w:p>
        </w:tc>
      </w:tr>
      <w:tr>
        <w:tblPrEx>
          <w:tblCellMar>
            <w:top w:w="0" w:type="dxa"/>
            <w:left w:w="108" w:type="dxa"/>
            <w:bottom w:w="0" w:type="dxa"/>
            <w:right w:w="108" w:type="dxa"/>
          </w:tblCellMar>
        </w:tblPrEx>
        <w:trPr>
          <w:trHeight w:val="1181" w:hRule="atLeast"/>
          <w:jc w:val="center"/>
        </w:trPr>
        <w:tc>
          <w:tcPr>
            <w:tcW w:w="186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kern w:val="1"/>
                <w:sz w:val="24"/>
                <w:szCs w:val="22"/>
              </w:rPr>
            </w:pPr>
            <w:r>
              <w:rPr>
                <w:rFonts w:hint="eastAsia" w:ascii="宋体" w:hAnsi="宋体" w:eastAsia="宋体" w:cs="宋体"/>
                <w:color w:val="auto"/>
                <w:kern w:val="1"/>
                <w:sz w:val="24"/>
                <w:szCs w:val="22"/>
              </w:rPr>
              <w:t>需要说明的问题</w:t>
            </w:r>
          </w:p>
        </w:tc>
        <w:tc>
          <w:tcPr>
            <w:tcW w:w="3134" w:type="pct"/>
            <w:tcBorders>
              <w:top w:val="single" w:color="000000" w:sz="4" w:space="0"/>
              <w:left w:val="single" w:color="000000" w:sz="4" w:space="0"/>
              <w:bottom w:val="single" w:color="000000" w:sz="4" w:space="0"/>
              <w:right w:val="single" w:color="000000" w:sz="4" w:space="0"/>
            </w:tcBorders>
            <w:noWrap w:val="0"/>
            <w:vAlign w:val="center"/>
          </w:tcPr>
          <w:p>
            <w:pPr>
              <w:ind w:firstLine="480"/>
              <w:rPr>
                <w:rFonts w:hint="eastAsia" w:ascii="宋体" w:hAnsi="宋体" w:eastAsia="宋体" w:cs="宋体"/>
                <w:color w:val="auto"/>
                <w:kern w:val="1"/>
                <w:sz w:val="24"/>
                <w:szCs w:val="22"/>
              </w:rPr>
            </w:pPr>
          </w:p>
        </w:tc>
      </w:tr>
    </w:tbl>
    <w:p>
      <w:pPr>
        <w:pStyle w:val="5"/>
        <w:ind w:firstLine="0"/>
        <w:rPr>
          <w:rFonts w:hint="eastAsia" w:ascii="宋体" w:hAnsi="宋体" w:eastAsia="宋体" w:cs="宋体"/>
          <w:color w:val="auto"/>
          <w:sz w:val="24"/>
        </w:rPr>
      </w:pPr>
    </w:p>
    <w:p>
      <w:pPr>
        <w:spacing w:line="360" w:lineRule="auto"/>
        <w:ind w:right="774"/>
        <w:contextualSpacing/>
        <w:rPr>
          <w:rFonts w:hint="eastAsia" w:ascii="宋体" w:hAnsi="宋体" w:eastAsia="宋体" w:cs="宋体"/>
          <w:color w:val="auto"/>
          <w:sz w:val="24"/>
        </w:rPr>
      </w:pPr>
      <w:r>
        <w:rPr>
          <w:rFonts w:hint="eastAsia" w:ascii="宋体" w:hAnsi="宋体" w:eastAsia="宋体" w:cs="宋体"/>
          <w:color w:val="auto"/>
          <w:sz w:val="24"/>
          <w:lang w:bidi="en-US"/>
        </w:rPr>
        <w:t>供应商名称</w:t>
      </w:r>
      <w:r>
        <w:rPr>
          <w:rFonts w:hint="eastAsia" w:ascii="宋体" w:hAnsi="宋体" w:eastAsia="宋体" w:cs="宋体"/>
          <w:color w:val="auto"/>
          <w:sz w:val="24"/>
        </w:rPr>
        <w:t>：（盖单位章）</w:t>
      </w:r>
    </w:p>
    <w:p>
      <w:pPr>
        <w:spacing w:line="360" w:lineRule="auto"/>
        <w:ind w:right="516"/>
        <w:contextualSpacing/>
        <w:rPr>
          <w:rFonts w:hint="eastAsia" w:ascii="宋体" w:hAnsi="宋体" w:eastAsia="宋体" w:cs="宋体"/>
          <w:color w:val="auto"/>
          <w:sz w:val="24"/>
        </w:rPr>
      </w:pPr>
      <w:r>
        <w:rPr>
          <w:rFonts w:hint="eastAsia" w:ascii="宋体" w:hAnsi="宋体" w:eastAsia="宋体" w:cs="宋体"/>
          <w:color w:val="auto"/>
          <w:sz w:val="24"/>
        </w:rPr>
        <w:t>法定代表人</w:t>
      </w:r>
      <w:r>
        <w:rPr>
          <w:rFonts w:hint="eastAsia" w:ascii="宋体" w:hAnsi="宋体" w:eastAsia="宋体" w:cs="宋体"/>
          <w:color w:val="auto"/>
          <w:sz w:val="24"/>
          <w:szCs w:val="24"/>
          <w:lang w:val="en-US" w:eastAsia="zh-CN"/>
        </w:rPr>
        <w:t>或委托代理人</w:t>
      </w:r>
      <w:r>
        <w:rPr>
          <w:rFonts w:hint="eastAsia" w:ascii="宋体" w:hAnsi="宋体" w:eastAsia="宋体" w:cs="宋体"/>
          <w:color w:val="auto"/>
          <w:sz w:val="24"/>
        </w:rPr>
        <w:t>：（电子签章）</w:t>
      </w:r>
      <w:bookmarkStart w:id="24" w:name="_Toc52204243"/>
      <w:bookmarkStart w:id="25" w:name="_Toc52203946"/>
    </w:p>
    <w:p>
      <w:pPr>
        <w:spacing w:line="360" w:lineRule="auto"/>
        <w:ind w:right="516"/>
        <w:contextualSpacing/>
        <w:rPr>
          <w:rFonts w:hint="eastAsia" w:ascii="宋体" w:hAnsi="宋体" w:eastAsia="宋体" w:cs="宋体"/>
          <w:color w:val="auto"/>
          <w:sz w:val="24"/>
          <w:szCs w:val="22"/>
        </w:rPr>
      </w:pPr>
      <w:r>
        <w:rPr>
          <w:rFonts w:hint="eastAsia" w:ascii="宋体" w:hAnsi="宋体" w:eastAsia="宋体" w:cs="宋体"/>
          <w:color w:val="auto"/>
          <w:sz w:val="24"/>
          <w:szCs w:val="22"/>
        </w:rPr>
        <w:t>日期：</w:t>
      </w:r>
      <w:bookmarkEnd w:id="24"/>
      <w:bookmarkEnd w:id="25"/>
    </w:p>
    <w:p>
      <w:pPr>
        <w:jc w:val="center"/>
        <w:outlineLvl w:val="0"/>
        <w:rPr>
          <w:rFonts w:hint="eastAsia" w:ascii="宋体" w:hAnsi="宋体" w:eastAsia="宋体" w:cs="宋体"/>
          <w:b/>
          <w:color w:val="auto"/>
          <w:sz w:val="36"/>
          <w:szCs w:val="36"/>
        </w:rPr>
      </w:pPr>
      <w:r>
        <w:rPr>
          <w:rFonts w:hint="eastAsia" w:ascii="宋体" w:hAnsi="宋体" w:eastAsia="宋体" w:cs="宋体"/>
          <w:color w:val="auto"/>
          <w:sz w:val="24"/>
          <w:szCs w:val="22"/>
        </w:rPr>
        <w:br w:type="page"/>
      </w:r>
      <w:bookmarkStart w:id="26" w:name="_Toc44947448"/>
      <w:bookmarkStart w:id="27" w:name="_Toc31534"/>
      <w:bookmarkStart w:id="28" w:name="_Toc50128129"/>
      <w:r>
        <w:rPr>
          <w:rFonts w:hint="eastAsia" w:ascii="宋体" w:hAnsi="宋体" w:eastAsia="宋体" w:cs="宋体"/>
          <w:b/>
          <w:color w:val="auto"/>
          <w:kern w:val="0"/>
          <w:sz w:val="28"/>
          <w:szCs w:val="28"/>
          <w:highlight w:val="none"/>
          <w:lang w:val="en-US" w:eastAsia="zh-CN"/>
        </w:rPr>
        <w:t>3、法定代表人身份证明及授权委托书</w:t>
      </w:r>
      <w:bookmarkEnd w:id="26"/>
      <w:bookmarkEnd w:id="27"/>
      <w:bookmarkEnd w:id="28"/>
    </w:p>
    <w:p>
      <w:pPr>
        <w:rPr>
          <w:rFonts w:hint="eastAsia" w:ascii="宋体" w:hAnsi="宋体" w:eastAsia="宋体" w:cs="宋体"/>
          <w:sz w:val="24"/>
          <w:szCs w:val="24"/>
        </w:rPr>
      </w:pPr>
      <w:bookmarkStart w:id="29" w:name="_Toc50128130"/>
      <w:bookmarkStart w:id="30" w:name="_Toc19516947"/>
      <w:bookmarkStart w:id="31" w:name="_Toc52204245"/>
      <w:bookmarkStart w:id="32" w:name="_Toc52203948"/>
      <w:bookmarkStart w:id="33" w:name="_Toc44947449"/>
    </w:p>
    <w:p>
      <w:pPr>
        <w:jc w:val="center"/>
        <w:rPr>
          <w:rFonts w:hint="eastAsia" w:ascii="宋体" w:hAnsi="宋体" w:eastAsia="宋体" w:cs="宋体"/>
          <w:sz w:val="24"/>
          <w:szCs w:val="24"/>
        </w:rPr>
      </w:pPr>
      <w:bookmarkStart w:id="34" w:name="_Toc20438"/>
      <w:bookmarkStart w:id="35" w:name="_Toc8520"/>
      <w:r>
        <w:rPr>
          <w:rFonts w:hint="eastAsia" w:ascii="宋体" w:hAnsi="宋体" w:eastAsia="宋体" w:cs="宋体"/>
          <w:sz w:val="24"/>
          <w:szCs w:val="24"/>
        </w:rPr>
        <w:t>3.1法定代表人身份证明</w:t>
      </w:r>
      <w:bookmarkEnd w:id="29"/>
      <w:bookmarkEnd w:id="30"/>
      <w:bookmarkEnd w:id="31"/>
      <w:bookmarkEnd w:id="32"/>
      <w:bookmarkEnd w:id="33"/>
      <w:bookmarkEnd w:id="34"/>
      <w:bookmarkEnd w:id="35"/>
    </w:p>
    <w:p>
      <w:pPr>
        <w:rPr>
          <w:rFonts w:hint="eastAsia" w:ascii="宋体" w:hAnsi="宋体" w:eastAsia="宋体" w:cs="宋体"/>
          <w:sz w:val="24"/>
          <w:szCs w:val="24"/>
        </w:rPr>
      </w:pPr>
      <w:r>
        <w:rPr>
          <w:rFonts w:hint="eastAsia" w:ascii="宋体" w:hAnsi="宋体" w:eastAsia="宋体" w:cs="宋体"/>
          <w:sz w:val="24"/>
          <w:szCs w:val="24"/>
        </w:rPr>
        <w:t>供应商：</w:t>
      </w:r>
    </w:p>
    <w:p>
      <w:pPr>
        <w:rPr>
          <w:rFonts w:hint="eastAsia" w:ascii="宋体" w:hAnsi="宋体" w:eastAsia="宋体" w:cs="宋体"/>
          <w:sz w:val="24"/>
          <w:szCs w:val="24"/>
        </w:rPr>
      </w:pPr>
      <w:r>
        <w:rPr>
          <w:rFonts w:hint="eastAsia" w:ascii="宋体" w:hAnsi="宋体" w:eastAsia="宋体" w:cs="宋体"/>
          <w:sz w:val="24"/>
          <w:szCs w:val="24"/>
        </w:rPr>
        <w:t>单位性质：</w:t>
      </w:r>
    </w:p>
    <w:p>
      <w:pPr>
        <w:rPr>
          <w:rFonts w:hint="eastAsia" w:ascii="宋体" w:hAnsi="宋体" w:eastAsia="宋体" w:cs="宋体"/>
          <w:sz w:val="24"/>
          <w:szCs w:val="24"/>
        </w:rPr>
      </w:pPr>
      <w:r>
        <w:rPr>
          <w:rFonts w:hint="eastAsia" w:ascii="宋体" w:hAnsi="宋体" w:eastAsia="宋体" w:cs="宋体"/>
          <w:sz w:val="24"/>
          <w:szCs w:val="24"/>
        </w:rPr>
        <w:t>地址：</w:t>
      </w:r>
    </w:p>
    <w:p>
      <w:pPr>
        <w:rPr>
          <w:rFonts w:hint="eastAsia" w:ascii="宋体" w:hAnsi="宋体" w:eastAsia="宋体" w:cs="宋体"/>
          <w:sz w:val="24"/>
          <w:szCs w:val="24"/>
        </w:rPr>
      </w:pPr>
      <w:r>
        <w:rPr>
          <w:rFonts w:hint="eastAsia" w:ascii="宋体" w:hAnsi="宋体" w:eastAsia="宋体" w:cs="宋体"/>
          <w:sz w:val="24"/>
          <w:szCs w:val="24"/>
        </w:rPr>
        <w:t>成立时间：年月日</w:t>
      </w:r>
    </w:p>
    <w:p>
      <w:pPr>
        <w:rPr>
          <w:rFonts w:hint="eastAsia" w:ascii="宋体" w:hAnsi="宋体" w:eastAsia="宋体" w:cs="宋体"/>
          <w:sz w:val="24"/>
          <w:szCs w:val="24"/>
        </w:rPr>
      </w:pPr>
      <w:r>
        <w:rPr>
          <w:rFonts w:hint="eastAsia" w:ascii="宋体" w:hAnsi="宋体" w:eastAsia="宋体" w:cs="宋体"/>
          <w:sz w:val="24"/>
          <w:szCs w:val="24"/>
        </w:rPr>
        <w:t>经营期限：</w:t>
      </w:r>
    </w:p>
    <w:p>
      <w:pPr>
        <w:rPr>
          <w:rFonts w:hint="eastAsia" w:ascii="宋体" w:hAnsi="宋体" w:eastAsia="宋体" w:cs="宋体"/>
          <w:sz w:val="24"/>
          <w:szCs w:val="24"/>
        </w:rPr>
      </w:pPr>
      <w:r>
        <w:rPr>
          <w:rFonts w:hint="eastAsia" w:ascii="宋体" w:hAnsi="宋体" w:eastAsia="宋体" w:cs="宋体"/>
          <w:sz w:val="24"/>
          <w:szCs w:val="24"/>
        </w:rPr>
        <w:t>姓名：              性别：</w:t>
      </w:r>
    </w:p>
    <w:p>
      <w:pPr>
        <w:rPr>
          <w:rFonts w:hint="eastAsia" w:ascii="宋体" w:hAnsi="宋体" w:eastAsia="宋体" w:cs="宋体"/>
          <w:sz w:val="24"/>
          <w:szCs w:val="24"/>
        </w:rPr>
      </w:pPr>
      <w:r>
        <w:rPr>
          <w:rFonts w:hint="eastAsia" w:ascii="宋体" w:hAnsi="宋体" w:eastAsia="宋体" w:cs="宋体"/>
          <w:sz w:val="24"/>
          <w:szCs w:val="24"/>
        </w:rPr>
        <w:t>年龄：               职务：</w:t>
      </w:r>
    </w:p>
    <w:p>
      <w:pPr>
        <w:rPr>
          <w:rFonts w:hint="eastAsia" w:ascii="宋体" w:hAnsi="宋体" w:eastAsia="宋体" w:cs="宋体"/>
          <w:sz w:val="24"/>
          <w:szCs w:val="24"/>
        </w:rPr>
      </w:pPr>
      <w:r>
        <w:rPr>
          <w:rFonts w:hint="eastAsia" w:ascii="宋体" w:hAnsi="宋体" w:eastAsia="宋体" w:cs="宋体"/>
          <w:sz w:val="24"/>
          <w:szCs w:val="24"/>
        </w:rPr>
        <w:t>系 （供应商名称）的法定代表人。</w:t>
      </w:r>
    </w:p>
    <w:p>
      <w:pPr>
        <w:rPr>
          <w:rFonts w:hint="eastAsia" w:ascii="宋体" w:hAnsi="宋体" w:eastAsia="宋体" w:cs="宋体"/>
          <w:sz w:val="24"/>
          <w:szCs w:val="24"/>
        </w:rPr>
      </w:pPr>
      <w:r>
        <w:rPr>
          <w:rFonts w:hint="eastAsia" w:ascii="宋体" w:hAnsi="宋体" w:eastAsia="宋体" w:cs="宋体"/>
          <w:sz w:val="24"/>
          <w:szCs w:val="24"/>
        </w:rPr>
        <w:t>特此证明。</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供应商名称：（盖单位章）</w:t>
      </w:r>
    </w:p>
    <w:p>
      <w:pPr>
        <w:rPr>
          <w:rFonts w:hint="eastAsia" w:ascii="宋体" w:hAnsi="宋体" w:eastAsia="宋体" w:cs="宋体"/>
          <w:sz w:val="24"/>
          <w:szCs w:val="24"/>
        </w:rPr>
      </w:pPr>
      <w:r>
        <w:rPr>
          <w:rFonts w:hint="eastAsia" w:ascii="宋体" w:hAnsi="宋体" w:eastAsia="宋体" w:cs="宋体"/>
          <w:sz w:val="24"/>
          <w:szCs w:val="24"/>
        </w:rPr>
        <w:t>日期:年月日</w:t>
      </w:r>
    </w:p>
    <w:p>
      <w:pPr>
        <w:shd w:val="solid" w:color="FFFFFF" w:fill="auto"/>
        <w:spacing w:line="360" w:lineRule="auto"/>
        <w:jc w:val="center"/>
        <w:outlineLvl w:val="1"/>
        <w:rPr>
          <w:rFonts w:hint="eastAsia" w:ascii="宋体" w:hAnsi="宋体" w:eastAsia="宋体" w:cs="宋体"/>
          <w:b/>
          <w:bCs/>
          <w:color w:val="auto"/>
          <w:sz w:val="24"/>
          <w:szCs w:val="24"/>
        </w:rPr>
      </w:pPr>
      <w:bookmarkStart w:id="36" w:name="_Toc448507921"/>
      <w:bookmarkStart w:id="37" w:name="_Toc475087433"/>
      <w:bookmarkStart w:id="38" w:name="_Toc19516948"/>
      <w:bookmarkStart w:id="39" w:name="_Toc50128131"/>
      <w:bookmarkStart w:id="40" w:name="_Toc509604249"/>
      <w:bookmarkStart w:id="41" w:name="_Toc44947450"/>
      <w:bookmarkStart w:id="42" w:name="_Toc509693831"/>
      <w:bookmarkStart w:id="43" w:name="_Toc504058719"/>
      <w:r>
        <w:rPr>
          <w:rFonts w:hint="eastAsia" w:ascii="宋体" w:hAnsi="宋体" w:eastAsia="宋体" w:cs="宋体"/>
          <w:b/>
          <w:color w:val="auto"/>
          <w:sz w:val="28"/>
          <w:szCs w:val="36"/>
        </w:rPr>
        <w:br w:type="page"/>
      </w:r>
      <w:bookmarkEnd w:id="36"/>
      <w:bookmarkStart w:id="44" w:name="_Toc23544"/>
      <w:bookmarkStart w:id="45" w:name="_Toc20052"/>
      <w:bookmarkStart w:id="46" w:name="_Toc52203949"/>
      <w:bookmarkStart w:id="47" w:name="_Toc52204246"/>
      <w:r>
        <w:rPr>
          <w:rFonts w:hint="eastAsia" w:ascii="宋体" w:hAnsi="宋体" w:eastAsia="宋体" w:cs="宋体"/>
          <w:b/>
          <w:color w:val="auto"/>
          <w:sz w:val="24"/>
          <w:szCs w:val="24"/>
        </w:rPr>
        <w:t>3.2授权委托书</w:t>
      </w:r>
      <w:bookmarkEnd w:id="37"/>
      <w:bookmarkEnd w:id="38"/>
      <w:bookmarkEnd w:id="39"/>
      <w:bookmarkEnd w:id="40"/>
      <w:bookmarkEnd w:id="41"/>
      <w:bookmarkEnd w:id="42"/>
      <w:bookmarkEnd w:id="43"/>
      <w:bookmarkEnd w:id="44"/>
      <w:bookmarkEnd w:id="45"/>
      <w:bookmarkEnd w:id="46"/>
      <w:bookmarkEnd w:id="47"/>
    </w:p>
    <w:p>
      <w:pPr>
        <w:shd w:val="solid" w:color="FFFFFF" w:fill="auto"/>
        <w:spacing w:line="360" w:lineRule="auto"/>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rPr>
        <w:t>本人</w:t>
      </w:r>
      <w:r>
        <w:rPr>
          <w:rFonts w:hint="eastAsia" w:ascii="宋体" w:hAnsi="宋体" w:eastAsia="宋体" w:cs="宋体"/>
          <w:color w:val="auto"/>
          <w:sz w:val="24"/>
          <w:szCs w:val="22"/>
          <w:u w:val="single"/>
        </w:rPr>
        <w:t>（姓名）</w:t>
      </w:r>
      <w:r>
        <w:rPr>
          <w:rFonts w:hint="eastAsia" w:ascii="宋体" w:hAnsi="宋体" w:eastAsia="宋体" w:cs="宋体"/>
          <w:color w:val="auto"/>
          <w:sz w:val="24"/>
          <w:szCs w:val="22"/>
        </w:rPr>
        <w:t>系</w:t>
      </w:r>
      <w:r>
        <w:rPr>
          <w:rFonts w:hint="eastAsia" w:ascii="宋体" w:hAnsi="宋体" w:eastAsia="宋体" w:cs="宋体"/>
          <w:color w:val="auto"/>
          <w:sz w:val="24"/>
          <w:szCs w:val="22"/>
          <w:u w:val="single"/>
        </w:rPr>
        <w:t>（供应商名称）</w:t>
      </w:r>
      <w:r>
        <w:rPr>
          <w:rFonts w:hint="eastAsia" w:ascii="宋体" w:hAnsi="宋体" w:eastAsia="宋体" w:cs="宋体"/>
          <w:color w:val="auto"/>
          <w:sz w:val="24"/>
          <w:szCs w:val="22"/>
        </w:rPr>
        <w:t>的法定代表人，现委托</w:t>
      </w:r>
      <w:r>
        <w:rPr>
          <w:rFonts w:hint="eastAsia" w:ascii="宋体" w:hAnsi="宋体" w:eastAsia="宋体" w:cs="宋体"/>
          <w:color w:val="auto"/>
          <w:sz w:val="24"/>
          <w:szCs w:val="22"/>
          <w:u w:val="single"/>
        </w:rPr>
        <w:t>（姓名）</w:t>
      </w:r>
      <w:r>
        <w:rPr>
          <w:rFonts w:hint="eastAsia" w:ascii="宋体" w:hAnsi="宋体" w:eastAsia="宋体" w:cs="宋体"/>
          <w:color w:val="auto"/>
          <w:sz w:val="24"/>
          <w:szCs w:val="22"/>
        </w:rPr>
        <w:t>为我方代理人。代理人根据授权，以我方名义签署、澄清、说明、补正、递交、撤回、修改</w:t>
      </w:r>
      <w:r>
        <w:rPr>
          <w:rFonts w:hint="eastAsia" w:ascii="宋体" w:hAnsi="宋体" w:eastAsia="宋体" w:cs="宋体"/>
          <w:color w:val="auto"/>
          <w:sz w:val="24"/>
          <w:szCs w:val="22"/>
          <w:u w:val="single"/>
        </w:rPr>
        <w:t>（项目名称）</w:t>
      </w:r>
      <w:r>
        <w:rPr>
          <w:rFonts w:hint="eastAsia" w:ascii="宋体" w:hAnsi="宋体" w:eastAsia="宋体" w:cs="宋体"/>
          <w:color w:val="auto"/>
          <w:sz w:val="24"/>
          <w:szCs w:val="22"/>
        </w:rPr>
        <w:t>投标文件、签订合同和处理有关事宜，其法律后果由我方承担。</w:t>
      </w:r>
    </w:p>
    <w:p>
      <w:pPr>
        <w:shd w:val="solid" w:color="FFFFFF" w:fill="auto"/>
        <w:spacing w:line="360" w:lineRule="auto"/>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rPr>
        <w:t>委托期限：</w:t>
      </w:r>
      <w:r>
        <w:rPr>
          <w:rFonts w:hint="eastAsia" w:ascii="宋体" w:hAnsi="宋体" w:eastAsia="宋体" w:cs="宋体"/>
          <w:color w:val="auto"/>
          <w:sz w:val="24"/>
          <w:szCs w:val="22"/>
          <w:u w:val="single"/>
          <w:lang w:bidi="en-US"/>
        </w:rPr>
        <w:t xml:space="preserve">       </w:t>
      </w:r>
      <w:r>
        <w:rPr>
          <w:rFonts w:hint="eastAsia" w:ascii="宋体" w:hAnsi="宋体" w:eastAsia="宋体" w:cs="宋体"/>
          <w:color w:val="auto"/>
          <w:sz w:val="24"/>
          <w:szCs w:val="22"/>
        </w:rPr>
        <w:t>。</w:t>
      </w:r>
    </w:p>
    <w:p>
      <w:pPr>
        <w:shd w:val="solid" w:color="FFFFFF" w:fill="auto"/>
        <w:spacing w:line="360" w:lineRule="auto"/>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rPr>
        <w:t>代理人无转委托权。</w:t>
      </w:r>
    </w:p>
    <w:p>
      <w:pPr>
        <w:shd w:val="solid" w:color="FFFFFF" w:fill="auto"/>
        <w:spacing w:line="360" w:lineRule="auto"/>
        <w:ind w:firstLine="480" w:firstLineChars="200"/>
        <w:rPr>
          <w:rFonts w:hint="eastAsia" w:ascii="宋体" w:hAnsi="宋体" w:eastAsia="宋体" w:cs="宋体"/>
          <w:b/>
          <w:bCs/>
          <w:color w:val="auto"/>
          <w:sz w:val="24"/>
          <w:szCs w:val="22"/>
        </w:rPr>
      </w:pPr>
      <w:r>
        <w:rPr>
          <w:rFonts w:hint="eastAsia" w:ascii="宋体" w:hAnsi="宋体" w:eastAsia="宋体" w:cs="宋体"/>
          <w:color w:val="auto"/>
          <w:sz w:val="24"/>
          <w:szCs w:val="22"/>
        </w:rPr>
        <w:t>注：附法定代表人及委托人的身份证（正、反面）。</w:t>
      </w:r>
    </w:p>
    <w:p>
      <w:pPr>
        <w:shd w:val="solid" w:color="FFFFFF" w:fill="auto"/>
        <w:spacing w:line="360" w:lineRule="auto"/>
        <w:ind w:firstLine="480" w:firstLineChars="200"/>
        <w:rPr>
          <w:rFonts w:hint="eastAsia" w:ascii="宋体" w:hAnsi="宋体" w:eastAsia="宋体" w:cs="宋体"/>
          <w:color w:val="auto"/>
          <w:sz w:val="24"/>
          <w:szCs w:val="22"/>
        </w:rPr>
      </w:pPr>
    </w:p>
    <w:p>
      <w:pPr>
        <w:shd w:val="solid" w:color="FFFFFF" w:fill="auto"/>
        <w:spacing w:line="360" w:lineRule="auto"/>
        <w:rPr>
          <w:rFonts w:hint="eastAsia" w:ascii="宋体" w:hAnsi="宋体" w:eastAsia="宋体" w:cs="宋体"/>
          <w:color w:val="auto"/>
          <w:sz w:val="24"/>
          <w:szCs w:val="22"/>
        </w:rPr>
      </w:pPr>
    </w:p>
    <w:p>
      <w:pPr>
        <w:spacing w:line="360" w:lineRule="auto"/>
        <w:ind w:right="774"/>
        <w:contextualSpacing/>
        <w:rPr>
          <w:rFonts w:hint="eastAsia" w:ascii="宋体" w:hAnsi="宋体" w:eastAsia="宋体" w:cs="宋体"/>
          <w:color w:val="auto"/>
          <w:sz w:val="24"/>
        </w:rPr>
      </w:pPr>
      <w:r>
        <w:rPr>
          <w:rFonts w:hint="eastAsia" w:ascii="宋体" w:hAnsi="宋体" w:eastAsia="宋体" w:cs="宋体"/>
          <w:color w:val="auto"/>
          <w:sz w:val="24"/>
          <w:lang w:bidi="en-US"/>
        </w:rPr>
        <w:t>供应商名称</w:t>
      </w:r>
      <w:r>
        <w:rPr>
          <w:rFonts w:hint="eastAsia" w:ascii="宋体" w:hAnsi="宋体" w:eastAsia="宋体" w:cs="宋体"/>
          <w:color w:val="auto"/>
          <w:sz w:val="24"/>
        </w:rPr>
        <w:t>：</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（盖单位章）</w:t>
      </w:r>
    </w:p>
    <w:p>
      <w:pPr>
        <w:spacing w:line="360" w:lineRule="auto"/>
        <w:ind w:right="774"/>
        <w:contextualSpacing/>
        <w:rPr>
          <w:rFonts w:hint="eastAsia" w:ascii="宋体" w:hAnsi="宋体" w:eastAsia="宋体" w:cs="宋体"/>
          <w:color w:val="auto"/>
          <w:sz w:val="24"/>
          <w:lang w:bidi="en-US"/>
        </w:rPr>
      </w:pPr>
      <w:r>
        <w:rPr>
          <w:rFonts w:hint="eastAsia" w:ascii="宋体" w:hAnsi="宋体" w:eastAsia="宋体" w:cs="宋体"/>
          <w:color w:val="auto"/>
          <w:sz w:val="24"/>
          <w:lang w:bidi="en-US"/>
        </w:rPr>
        <w:t>法定代表人：</w:t>
      </w:r>
      <w:r>
        <w:rPr>
          <w:rFonts w:hint="eastAsia" w:ascii="宋体" w:hAnsi="宋体" w:eastAsia="宋体" w:cs="宋体"/>
          <w:color w:val="auto"/>
          <w:sz w:val="24"/>
          <w:lang w:val="en-US" w:eastAsia="zh-CN" w:bidi="en-US"/>
        </w:rPr>
        <w:t xml:space="preserve">    </w:t>
      </w:r>
      <w:r>
        <w:rPr>
          <w:rFonts w:hint="eastAsia" w:ascii="宋体" w:hAnsi="宋体" w:eastAsia="宋体" w:cs="宋体"/>
          <w:color w:val="auto"/>
          <w:sz w:val="24"/>
          <w:lang w:bidi="en-US"/>
        </w:rPr>
        <w:t>（电子签章）</w:t>
      </w:r>
    </w:p>
    <w:p>
      <w:pPr>
        <w:spacing w:line="360" w:lineRule="auto"/>
        <w:ind w:right="774"/>
        <w:contextualSpacing/>
        <w:rPr>
          <w:rFonts w:hint="eastAsia" w:ascii="宋体" w:hAnsi="宋体" w:eastAsia="宋体" w:cs="宋体"/>
          <w:color w:val="auto"/>
          <w:sz w:val="24"/>
          <w:lang w:val="en-US" w:eastAsia="zh-CN" w:bidi="en-US"/>
        </w:rPr>
      </w:pPr>
      <w:r>
        <w:rPr>
          <w:rFonts w:hint="eastAsia" w:ascii="宋体" w:hAnsi="宋体" w:eastAsia="宋体" w:cs="宋体"/>
          <w:color w:val="auto"/>
          <w:sz w:val="24"/>
          <w:lang w:val="en-US" w:eastAsia="zh-CN" w:bidi="en-US"/>
        </w:rPr>
        <w:t>身份证号码：</w:t>
      </w:r>
    </w:p>
    <w:p>
      <w:pPr>
        <w:spacing w:line="360" w:lineRule="auto"/>
        <w:ind w:right="774"/>
        <w:contextualSpacing/>
        <w:rPr>
          <w:rFonts w:hint="eastAsia" w:ascii="宋体" w:hAnsi="宋体" w:eastAsia="宋体" w:cs="宋体"/>
          <w:color w:val="auto"/>
          <w:sz w:val="24"/>
          <w:lang w:val="en-US" w:eastAsia="zh-CN" w:bidi="en-US"/>
        </w:rPr>
      </w:pPr>
      <w:r>
        <w:rPr>
          <w:rFonts w:hint="eastAsia" w:ascii="宋体" w:hAnsi="宋体" w:eastAsia="宋体" w:cs="宋体"/>
          <w:color w:val="auto"/>
          <w:sz w:val="24"/>
          <w:lang w:val="en-US" w:eastAsia="zh-CN" w:bidi="en-US"/>
        </w:rPr>
        <w:t>委托代理人：</w:t>
      </w:r>
    </w:p>
    <w:p>
      <w:pPr>
        <w:spacing w:line="360" w:lineRule="auto"/>
        <w:ind w:right="774"/>
        <w:contextualSpacing/>
        <w:rPr>
          <w:rFonts w:hint="eastAsia" w:ascii="宋体" w:hAnsi="宋体" w:eastAsia="宋体" w:cs="宋体"/>
          <w:color w:val="auto"/>
          <w:sz w:val="24"/>
          <w:lang w:val="en-US" w:eastAsia="zh-CN" w:bidi="en-US"/>
        </w:rPr>
      </w:pPr>
      <w:r>
        <w:rPr>
          <w:rFonts w:hint="eastAsia" w:ascii="宋体" w:hAnsi="宋体" w:eastAsia="宋体" w:cs="宋体"/>
          <w:color w:val="auto"/>
          <w:sz w:val="24"/>
          <w:lang w:val="en-US" w:eastAsia="zh-CN" w:bidi="en-US"/>
        </w:rPr>
        <w:t>身份证号码：</w:t>
      </w:r>
    </w:p>
    <w:p>
      <w:pPr>
        <w:spacing w:line="360" w:lineRule="auto"/>
        <w:ind w:right="774"/>
        <w:contextualSpacing/>
        <w:rPr>
          <w:rFonts w:hint="eastAsia" w:ascii="宋体" w:hAnsi="宋体" w:eastAsia="宋体" w:cs="宋体"/>
          <w:color w:val="auto"/>
          <w:sz w:val="24"/>
          <w:lang w:val="en-US" w:eastAsia="zh-CN" w:bidi="en-US"/>
        </w:rPr>
      </w:pPr>
      <w:r>
        <w:rPr>
          <w:rFonts w:hint="eastAsia" w:ascii="宋体" w:hAnsi="宋体" w:eastAsia="宋体" w:cs="宋体"/>
          <w:color w:val="auto"/>
          <w:sz w:val="24"/>
          <w:lang w:val="en-US" w:eastAsia="zh-CN" w:bidi="en-US"/>
        </w:rPr>
        <w:t>手机号码:</w:t>
      </w:r>
    </w:p>
    <w:p>
      <w:pPr>
        <w:spacing w:line="360" w:lineRule="auto"/>
        <w:ind w:right="774"/>
        <w:contextualSpacing/>
        <w:rPr>
          <w:rFonts w:hint="eastAsia" w:ascii="宋体" w:hAnsi="宋体" w:eastAsia="宋体" w:cs="宋体"/>
          <w:color w:val="auto"/>
          <w:sz w:val="24"/>
          <w:lang w:eastAsia="zh-CN" w:bidi="en-US"/>
        </w:rPr>
      </w:pPr>
      <w:r>
        <w:rPr>
          <w:rFonts w:hint="eastAsia" w:ascii="宋体" w:hAnsi="宋体" w:eastAsia="宋体" w:cs="宋体"/>
          <w:color w:val="auto"/>
          <w:sz w:val="24"/>
          <w:lang w:bidi="en-US"/>
        </w:rPr>
        <w:t>日期</w:t>
      </w:r>
      <w:r>
        <w:rPr>
          <w:rFonts w:hint="eastAsia" w:ascii="宋体" w:hAnsi="宋体" w:eastAsia="宋体" w:cs="宋体"/>
          <w:color w:val="auto"/>
          <w:sz w:val="24"/>
          <w:lang w:eastAsia="zh-CN" w:bidi="en-US"/>
        </w:rPr>
        <w:t>：</w:t>
      </w:r>
    </w:p>
    <w:p>
      <w:pPr>
        <w:spacing w:line="360" w:lineRule="auto"/>
        <w:ind w:right="774"/>
        <w:contextualSpacing/>
        <w:jc w:val="center"/>
        <w:rPr>
          <w:rFonts w:hint="eastAsia" w:ascii="宋体" w:hAnsi="宋体" w:eastAsia="宋体" w:cs="宋体"/>
          <w:b/>
          <w:color w:val="auto"/>
        </w:rPr>
      </w:pPr>
      <w:r>
        <w:rPr>
          <w:rFonts w:hint="eastAsia" w:ascii="宋体" w:hAnsi="宋体" w:eastAsia="宋体" w:cs="宋体"/>
          <w:color w:val="auto"/>
          <w:sz w:val="24"/>
          <w:lang w:val="en-US" w:eastAsia="zh-CN" w:bidi="en-US"/>
        </w:rPr>
        <w:br w:type="page"/>
      </w:r>
      <w:r>
        <w:rPr>
          <w:rFonts w:hint="eastAsia" w:ascii="宋体" w:hAnsi="宋体" w:eastAsia="宋体" w:cs="宋体"/>
          <w:b/>
          <w:color w:val="auto"/>
          <w:sz w:val="30"/>
          <w:szCs w:val="30"/>
          <w:lang w:val="en-US" w:eastAsia="zh-CN"/>
        </w:rPr>
        <w:t>4</w:t>
      </w:r>
      <w:r>
        <w:rPr>
          <w:rFonts w:hint="eastAsia" w:ascii="宋体" w:hAnsi="宋体" w:eastAsia="宋体" w:cs="宋体"/>
          <w:b/>
          <w:color w:val="auto"/>
          <w:sz w:val="30"/>
          <w:szCs w:val="30"/>
        </w:rPr>
        <w:t>、</w:t>
      </w:r>
      <w:r>
        <w:rPr>
          <w:rFonts w:hint="eastAsia" w:ascii="宋体" w:hAnsi="宋体" w:eastAsia="宋体" w:cs="宋体"/>
          <w:b/>
          <w:color w:val="auto"/>
          <w:kern w:val="0"/>
          <w:sz w:val="30"/>
          <w:szCs w:val="30"/>
          <w:highlight w:val="none"/>
          <w:lang w:val="en-US" w:eastAsia="zh-CN"/>
        </w:rPr>
        <w:t>服务方案</w:t>
      </w:r>
    </w:p>
    <w:p>
      <w:pPr>
        <w:spacing w:line="360" w:lineRule="auto"/>
        <w:ind w:firstLine="1920" w:firstLineChars="800"/>
        <w:rPr>
          <w:rFonts w:hint="eastAsia" w:ascii="宋体" w:hAnsi="宋体" w:eastAsia="宋体" w:cs="宋体"/>
          <w:color w:val="auto"/>
          <w:sz w:val="24"/>
        </w:rPr>
      </w:pPr>
    </w:p>
    <w:p>
      <w:pPr>
        <w:spacing w:line="360" w:lineRule="auto"/>
        <w:ind w:firstLine="1920" w:firstLineChars="800"/>
        <w:rPr>
          <w:rFonts w:hint="eastAsia" w:ascii="宋体" w:hAnsi="宋体" w:eastAsia="宋体" w:cs="宋体"/>
          <w:color w:val="auto"/>
          <w:sz w:val="24"/>
        </w:rPr>
      </w:pPr>
    </w:p>
    <w:p>
      <w:pPr>
        <w:spacing w:line="360" w:lineRule="auto"/>
        <w:jc w:val="center"/>
        <w:rPr>
          <w:rFonts w:hint="eastAsia" w:ascii="宋体" w:hAnsi="宋体" w:eastAsia="宋体" w:cs="宋体"/>
          <w:color w:val="auto"/>
          <w:sz w:val="28"/>
        </w:rPr>
      </w:pPr>
      <w:r>
        <w:rPr>
          <w:rFonts w:hint="eastAsia" w:ascii="宋体" w:hAnsi="宋体" w:eastAsia="宋体" w:cs="宋体"/>
          <w:color w:val="auto"/>
          <w:sz w:val="28"/>
        </w:rPr>
        <w:t>(</w:t>
      </w:r>
      <w:r>
        <w:rPr>
          <w:rFonts w:hint="eastAsia" w:ascii="宋体" w:hAnsi="宋体" w:eastAsia="宋体" w:cs="宋体"/>
          <w:color w:val="auto"/>
          <w:sz w:val="28"/>
          <w:lang w:val="en-US" w:eastAsia="zh-CN"/>
        </w:rPr>
        <w:t>格式自拟</w:t>
      </w:r>
      <w:r>
        <w:rPr>
          <w:rFonts w:hint="eastAsia" w:ascii="宋体" w:hAnsi="宋体" w:eastAsia="宋体" w:cs="宋体"/>
          <w:color w:val="auto"/>
          <w:sz w:val="28"/>
        </w:rPr>
        <w:t>)</w:t>
      </w: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spacing w:line="360" w:lineRule="auto"/>
        <w:ind w:right="774"/>
        <w:contextualSpacing/>
        <w:rPr>
          <w:rFonts w:hint="eastAsia" w:ascii="宋体" w:hAnsi="宋体" w:eastAsia="宋体" w:cs="宋体"/>
          <w:color w:val="auto"/>
          <w:sz w:val="24"/>
        </w:rPr>
      </w:pPr>
      <w:r>
        <w:rPr>
          <w:rFonts w:hint="eastAsia" w:ascii="宋体" w:hAnsi="宋体" w:eastAsia="宋体" w:cs="宋体"/>
          <w:color w:val="auto"/>
          <w:sz w:val="24"/>
          <w:lang w:bidi="en-US"/>
        </w:rPr>
        <w:t>供应商名称</w:t>
      </w:r>
      <w:r>
        <w:rPr>
          <w:rFonts w:hint="eastAsia" w:ascii="宋体" w:hAnsi="宋体" w:eastAsia="宋体" w:cs="宋体"/>
          <w:color w:val="auto"/>
          <w:sz w:val="24"/>
        </w:rPr>
        <w:t>：（盖单位章）</w:t>
      </w:r>
    </w:p>
    <w:p>
      <w:pPr>
        <w:spacing w:line="360" w:lineRule="auto"/>
        <w:ind w:right="516"/>
        <w:contextualSpacing/>
        <w:rPr>
          <w:rFonts w:hint="eastAsia" w:ascii="宋体" w:hAnsi="宋体" w:eastAsia="宋体" w:cs="宋体"/>
          <w:color w:val="auto"/>
          <w:sz w:val="24"/>
        </w:rPr>
      </w:pPr>
      <w:r>
        <w:rPr>
          <w:rFonts w:hint="eastAsia" w:ascii="宋体" w:hAnsi="宋体" w:eastAsia="宋体" w:cs="宋体"/>
          <w:color w:val="auto"/>
          <w:sz w:val="24"/>
        </w:rPr>
        <w:t>法定代表人</w:t>
      </w:r>
      <w:r>
        <w:rPr>
          <w:rFonts w:hint="eastAsia" w:ascii="宋体" w:hAnsi="宋体" w:eastAsia="宋体" w:cs="宋体"/>
          <w:color w:val="auto"/>
          <w:sz w:val="24"/>
          <w:lang w:val="en-US" w:eastAsia="zh-CN"/>
        </w:rPr>
        <w:t>或委托代理人</w:t>
      </w:r>
      <w:r>
        <w:rPr>
          <w:rFonts w:hint="eastAsia" w:ascii="宋体" w:hAnsi="宋体" w:eastAsia="宋体" w:cs="宋体"/>
          <w:color w:val="auto"/>
          <w:sz w:val="24"/>
        </w:rPr>
        <w:t>：（电子签章）</w:t>
      </w:r>
      <w:bookmarkStart w:id="48" w:name="_Toc52203953"/>
      <w:bookmarkStart w:id="49" w:name="_Toc52204250"/>
    </w:p>
    <w:p>
      <w:pPr>
        <w:spacing w:line="360" w:lineRule="auto"/>
        <w:ind w:right="516"/>
        <w:contextualSpacing/>
        <w:rPr>
          <w:rFonts w:hint="eastAsia" w:ascii="宋体" w:hAnsi="宋体" w:eastAsia="宋体" w:cs="宋体"/>
          <w:color w:val="auto"/>
          <w:sz w:val="28"/>
          <w:szCs w:val="28"/>
        </w:rPr>
      </w:pPr>
      <w:r>
        <w:rPr>
          <w:rFonts w:hint="eastAsia" w:ascii="宋体" w:hAnsi="宋体" w:eastAsia="宋体" w:cs="宋体"/>
          <w:color w:val="auto"/>
          <w:sz w:val="24"/>
          <w:szCs w:val="22"/>
        </w:rPr>
        <w:t>日期：</w:t>
      </w:r>
      <w:bookmarkEnd w:id="48"/>
      <w:bookmarkEnd w:id="49"/>
    </w:p>
    <w:p>
      <w:pPr>
        <w:numPr>
          <w:ilvl w:val="0"/>
          <w:numId w:val="0"/>
        </w:numPr>
        <w:jc w:val="center"/>
        <w:outlineLvl w:val="0"/>
        <w:rPr>
          <w:rFonts w:hint="eastAsia" w:ascii="宋体" w:hAnsi="宋体" w:eastAsia="宋体" w:cs="宋体"/>
          <w:b/>
          <w:color w:val="auto"/>
          <w:lang w:val="en-US" w:eastAsia="zh-CN"/>
        </w:rPr>
      </w:pPr>
      <w:r>
        <w:rPr>
          <w:rFonts w:hint="eastAsia" w:ascii="宋体" w:hAnsi="宋体" w:eastAsia="宋体" w:cs="宋体"/>
          <w:color w:val="auto"/>
          <w:sz w:val="24"/>
        </w:rPr>
        <w:br w:type="page"/>
      </w:r>
      <w:bookmarkStart w:id="50" w:name="_Toc31722"/>
      <w:r>
        <w:rPr>
          <w:rFonts w:hint="eastAsia" w:ascii="宋体" w:hAnsi="宋体" w:eastAsia="宋体" w:cs="宋体"/>
          <w:b/>
          <w:color w:val="auto"/>
          <w:sz w:val="28"/>
          <w:szCs w:val="28"/>
          <w:lang w:val="en-US" w:eastAsia="zh-CN"/>
        </w:rPr>
        <w:t>5、售后服务承诺</w:t>
      </w:r>
      <w:bookmarkEnd w:id="50"/>
    </w:p>
    <w:p>
      <w:pPr>
        <w:spacing w:line="360" w:lineRule="auto"/>
        <w:jc w:val="center"/>
        <w:rPr>
          <w:rFonts w:hint="eastAsia" w:ascii="宋体" w:hAnsi="宋体" w:eastAsia="宋体" w:cs="宋体"/>
          <w:color w:val="auto"/>
          <w:sz w:val="28"/>
        </w:rPr>
      </w:pPr>
    </w:p>
    <w:p>
      <w:pPr>
        <w:spacing w:line="360" w:lineRule="auto"/>
        <w:jc w:val="center"/>
        <w:rPr>
          <w:rFonts w:hint="eastAsia" w:ascii="宋体" w:hAnsi="宋体" w:eastAsia="宋体" w:cs="宋体"/>
          <w:color w:val="auto"/>
          <w:sz w:val="28"/>
        </w:rPr>
      </w:pPr>
    </w:p>
    <w:p>
      <w:pPr>
        <w:spacing w:line="360" w:lineRule="auto"/>
        <w:jc w:val="center"/>
        <w:rPr>
          <w:rFonts w:hint="eastAsia" w:ascii="宋体" w:hAnsi="宋体" w:eastAsia="宋体" w:cs="宋体"/>
          <w:color w:val="auto"/>
          <w:sz w:val="28"/>
        </w:rPr>
      </w:pPr>
      <w:r>
        <w:rPr>
          <w:rFonts w:hint="eastAsia" w:ascii="宋体" w:hAnsi="宋体" w:eastAsia="宋体" w:cs="宋体"/>
          <w:color w:val="auto"/>
          <w:sz w:val="28"/>
        </w:rPr>
        <w:t>(</w:t>
      </w:r>
      <w:r>
        <w:rPr>
          <w:rFonts w:hint="eastAsia" w:ascii="宋体" w:hAnsi="宋体" w:eastAsia="宋体" w:cs="宋体"/>
          <w:color w:val="auto"/>
          <w:sz w:val="28"/>
          <w:lang w:val="en-US" w:eastAsia="zh-CN"/>
        </w:rPr>
        <w:t>格式自拟</w:t>
      </w:r>
      <w:r>
        <w:rPr>
          <w:rFonts w:hint="eastAsia" w:ascii="宋体" w:hAnsi="宋体" w:eastAsia="宋体" w:cs="宋体"/>
          <w:color w:val="auto"/>
          <w:sz w:val="28"/>
        </w:rPr>
        <w:t>)</w:t>
      </w: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spacing w:line="360" w:lineRule="auto"/>
        <w:ind w:right="774"/>
        <w:contextualSpacing/>
        <w:rPr>
          <w:rFonts w:hint="eastAsia" w:ascii="宋体" w:hAnsi="宋体" w:eastAsia="宋体" w:cs="宋体"/>
          <w:color w:val="auto"/>
          <w:sz w:val="24"/>
        </w:rPr>
      </w:pPr>
      <w:r>
        <w:rPr>
          <w:rFonts w:hint="eastAsia" w:ascii="宋体" w:hAnsi="宋体" w:eastAsia="宋体" w:cs="宋体"/>
          <w:color w:val="auto"/>
          <w:sz w:val="24"/>
          <w:lang w:bidi="en-US"/>
        </w:rPr>
        <w:t>供应商名称</w:t>
      </w:r>
      <w:r>
        <w:rPr>
          <w:rFonts w:hint="eastAsia" w:ascii="宋体" w:hAnsi="宋体" w:eastAsia="宋体" w:cs="宋体"/>
          <w:color w:val="auto"/>
          <w:sz w:val="24"/>
        </w:rPr>
        <w:t>：（盖单位章）</w:t>
      </w:r>
    </w:p>
    <w:p>
      <w:pPr>
        <w:spacing w:line="360" w:lineRule="auto"/>
        <w:ind w:right="516"/>
        <w:contextualSpacing/>
        <w:rPr>
          <w:rFonts w:hint="eastAsia" w:ascii="宋体" w:hAnsi="宋体" w:eastAsia="宋体" w:cs="宋体"/>
          <w:color w:val="auto"/>
          <w:sz w:val="24"/>
        </w:rPr>
      </w:pPr>
      <w:r>
        <w:rPr>
          <w:rFonts w:hint="eastAsia" w:ascii="宋体" w:hAnsi="宋体" w:eastAsia="宋体" w:cs="宋体"/>
          <w:color w:val="auto"/>
          <w:sz w:val="24"/>
        </w:rPr>
        <w:t>法定代表人</w:t>
      </w:r>
      <w:r>
        <w:rPr>
          <w:rFonts w:hint="eastAsia" w:ascii="宋体" w:hAnsi="宋体" w:eastAsia="宋体" w:cs="宋体"/>
          <w:color w:val="auto"/>
          <w:sz w:val="24"/>
          <w:lang w:val="en-US" w:eastAsia="zh-CN"/>
        </w:rPr>
        <w:t>或委托代理人</w:t>
      </w:r>
      <w:r>
        <w:rPr>
          <w:rFonts w:hint="eastAsia" w:ascii="宋体" w:hAnsi="宋体" w:eastAsia="宋体" w:cs="宋体"/>
          <w:color w:val="auto"/>
          <w:sz w:val="24"/>
        </w:rPr>
        <w:t>：（电子签章）</w:t>
      </w:r>
    </w:p>
    <w:p>
      <w:pPr>
        <w:spacing w:line="360" w:lineRule="auto"/>
        <w:ind w:right="516"/>
        <w:contextualSpacing/>
        <w:rPr>
          <w:rFonts w:hint="eastAsia" w:ascii="宋体" w:hAnsi="宋体" w:eastAsia="宋体" w:cs="宋体"/>
          <w:color w:val="auto"/>
          <w:sz w:val="28"/>
          <w:szCs w:val="28"/>
        </w:rPr>
      </w:pPr>
      <w:r>
        <w:rPr>
          <w:rFonts w:hint="eastAsia" w:ascii="宋体" w:hAnsi="宋体" w:eastAsia="宋体" w:cs="宋体"/>
          <w:color w:val="auto"/>
          <w:sz w:val="24"/>
          <w:szCs w:val="22"/>
        </w:rPr>
        <w:t>日期：</w:t>
      </w:r>
    </w:p>
    <w:p>
      <w:pPr>
        <w:numPr>
          <w:ilvl w:val="0"/>
          <w:numId w:val="0"/>
        </w:numPr>
        <w:jc w:val="center"/>
        <w:outlineLvl w:val="0"/>
        <w:rPr>
          <w:rFonts w:hint="eastAsia" w:ascii="宋体" w:hAnsi="宋体" w:eastAsia="宋体" w:cs="宋体"/>
          <w:b/>
          <w:color w:val="auto"/>
          <w:lang w:val="en-US" w:eastAsia="zh-CN"/>
        </w:rPr>
      </w:pPr>
      <w:r>
        <w:rPr>
          <w:rFonts w:hint="eastAsia" w:ascii="宋体" w:hAnsi="宋体" w:eastAsia="宋体" w:cs="宋体"/>
          <w:color w:val="auto"/>
          <w:sz w:val="24"/>
        </w:rPr>
        <w:br w:type="page"/>
      </w:r>
      <w:bookmarkStart w:id="51" w:name="_Toc24837"/>
      <w:bookmarkStart w:id="52" w:name="_Toc23715"/>
      <w:r>
        <w:rPr>
          <w:rFonts w:hint="eastAsia" w:ascii="宋体" w:hAnsi="宋体" w:eastAsia="宋体" w:cs="宋体"/>
          <w:b/>
          <w:color w:val="auto"/>
          <w:sz w:val="28"/>
          <w:szCs w:val="28"/>
          <w:lang w:val="en-US" w:eastAsia="zh-CN"/>
        </w:rPr>
        <w:t>6、资格</w:t>
      </w:r>
      <w:bookmarkEnd w:id="51"/>
      <w:r>
        <w:rPr>
          <w:rFonts w:hint="eastAsia" w:ascii="宋体" w:hAnsi="宋体" w:eastAsia="宋体" w:cs="宋体"/>
          <w:b/>
          <w:color w:val="auto"/>
          <w:sz w:val="28"/>
          <w:szCs w:val="28"/>
          <w:lang w:val="en-US" w:eastAsia="zh-CN"/>
        </w:rPr>
        <w:t>审查资料</w:t>
      </w:r>
      <w:bookmarkEnd w:id="52"/>
    </w:p>
    <w:p>
      <w:pPr>
        <w:bidi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1、满足《中华人民共和国政府采购法》第二十二条规定；</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2、具有有效的营业执照、税务登记证、组织机构代码证（或三证合一的营业执照）；</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3、具有履行合同所必需的设备和专业技术能力（自行作出承诺，格式自拟）；</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4、参加政府采购活动近三年内，在经营活动中没有重大违法记录（自行作出承诺，格式自拟）；</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根据《关于在政府采购活动中查询及使用信用记录有关问题的通知》(财库[2016]125号)和豫财购【2016】15号的规定，对列入失信被执行人和重大税收违法失信主体、政府采购严重违法失信行为记录名单的投标人，拒绝其参与本招标项目；（（①通过“信用中国”网站（http://www.creditchina.gov.cn/）“信用服务”-“失信被执行人”会跳转至“中国执行信息公开网”网站（http://zxgk.court.gov.cn/shixin/）查询企业（省份默认全部）②通过“信用中国”网站（http://www.creditchina.gov.cn/）“信用服务”-“重大税收违法失信主体”查询企业③通过“中国政府采购”网（www.ccgp.gov.cn）-“政府采购严重违法失信行为记录名单”查询企业）；</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6</w:t>
      </w:r>
      <w:r>
        <w:rPr>
          <w:rFonts w:hint="eastAsia" w:ascii="宋体" w:hAnsi="宋体" w:eastAsia="宋体" w:cs="宋体"/>
          <w:color w:val="auto"/>
          <w:sz w:val="24"/>
        </w:rPr>
        <w:t>、本项目不接受联合体投标</w:t>
      </w:r>
      <w:r>
        <w:rPr>
          <w:rFonts w:hint="eastAsia" w:ascii="宋体" w:hAnsi="宋体" w:eastAsia="宋体" w:cs="宋体"/>
          <w:color w:val="auto"/>
          <w:sz w:val="24"/>
          <w:lang w:eastAsia="zh-CN"/>
        </w:rPr>
        <w:t>，实行资格后审</w:t>
      </w:r>
      <w:r>
        <w:rPr>
          <w:rFonts w:hint="eastAsia" w:ascii="宋体" w:hAnsi="宋体" w:eastAsia="宋体" w:cs="宋体"/>
          <w:color w:val="auto"/>
          <w:sz w:val="24"/>
        </w:rPr>
        <w:t>；</w:t>
      </w:r>
    </w:p>
    <w:p>
      <w:pPr>
        <w:spacing w:line="360" w:lineRule="auto"/>
        <w:jc w:val="center"/>
        <w:outlineLvl w:val="0"/>
        <w:rPr>
          <w:rFonts w:hint="eastAsia" w:ascii="宋体" w:hAnsi="宋体" w:eastAsia="宋体" w:cs="宋体"/>
          <w:b/>
          <w:color w:val="auto"/>
          <w:lang w:val="en-US" w:eastAsia="zh-CN"/>
        </w:rPr>
      </w:pPr>
      <w:r>
        <w:rPr>
          <w:rFonts w:hint="eastAsia" w:ascii="宋体" w:hAnsi="宋体" w:eastAsia="宋体" w:cs="宋体"/>
          <w:color w:val="auto"/>
          <w:sz w:val="24"/>
        </w:rPr>
        <w:br w:type="page"/>
      </w:r>
      <w:bookmarkStart w:id="53" w:name="_Toc50128147"/>
      <w:bookmarkStart w:id="54" w:name="_Toc4086"/>
      <w:bookmarkStart w:id="55" w:name="_Toc44947466"/>
      <w:r>
        <w:rPr>
          <w:rFonts w:hint="eastAsia" w:ascii="宋体" w:hAnsi="宋体" w:eastAsia="宋体" w:cs="宋体"/>
          <w:b/>
          <w:color w:val="auto"/>
          <w:lang w:val="en-US" w:eastAsia="zh-CN"/>
        </w:rPr>
        <w:t>7、</w:t>
      </w:r>
      <w:bookmarkEnd w:id="53"/>
      <w:bookmarkEnd w:id="54"/>
      <w:bookmarkEnd w:id="55"/>
      <w:r>
        <w:rPr>
          <w:rFonts w:hint="eastAsia" w:ascii="宋体" w:hAnsi="宋体" w:eastAsia="宋体" w:cs="宋体"/>
          <w:b/>
          <w:color w:val="auto"/>
          <w:lang w:val="en-US" w:eastAsia="zh-CN"/>
        </w:rPr>
        <w:t>响应人认为有必要提交的其他材料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yYjllZDBiYjJhOGEwOWQyNmU0YjIzNmVlZGIzMmMifQ=="/>
  </w:docVars>
  <w:rsids>
    <w:rsidRoot w:val="3D5168FC"/>
    <w:rsid w:val="072808C7"/>
    <w:rsid w:val="1026298B"/>
    <w:rsid w:val="18B708FC"/>
    <w:rsid w:val="23946E10"/>
    <w:rsid w:val="2EA63CC0"/>
    <w:rsid w:val="33421AA8"/>
    <w:rsid w:val="3D5168FC"/>
    <w:rsid w:val="40F0234E"/>
    <w:rsid w:val="4A3E2897"/>
    <w:rsid w:val="504A4426"/>
    <w:rsid w:val="50E84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0"/>
      <w:szCs w:val="24"/>
      <w:lang w:val="en-US" w:eastAsia="zh-CN" w:bidi="ar-SA"/>
    </w:rPr>
  </w:style>
  <w:style w:type="paragraph" w:styleId="4">
    <w:name w:val="heading 1"/>
    <w:basedOn w:val="1"/>
    <w:next w:val="1"/>
    <w:qFormat/>
    <w:uiPriority w:val="0"/>
    <w:pPr>
      <w:keepNext/>
      <w:jc w:val="center"/>
      <w:outlineLvl w:val="0"/>
    </w:pPr>
    <w:rPr>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1"/>
    <w:qFormat/>
    <w:uiPriority w:val="0"/>
    <w:rPr>
      <w:sz w:val="24"/>
    </w:rPr>
  </w:style>
  <w:style w:type="paragraph" w:styleId="5">
    <w:name w:val="Normal Indent"/>
    <w:basedOn w:val="1"/>
    <w:qFormat/>
    <w:uiPriority w:val="0"/>
    <w:pPr>
      <w:ind w:firstLine="420"/>
    </w:pPr>
    <w:rPr>
      <w:rFonts w:eastAsia="仿宋_GB2312"/>
      <w:sz w:val="28"/>
      <w:szCs w:val="20"/>
    </w:rPr>
  </w:style>
  <w:style w:type="paragraph" w:styleId="6">
    <w:name w:val="toc 1"/>
    <w:basedOn w:val="1"/>
    <w:next w:val="1"/>
    <w:unhideWhenUsed/>
    <w:qFormat/>
    <w:uiPriority w:val="39"/>
    <w:rPr>
      <w:sz w:val="21"/>
    </w:rPr>
  </w:style>
  <w:style w:type="paragraph" w:styleId="7">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paragraph" w:styleId="8">
    <w:name w:val="toc 2"/>
    <w:basedOn w:val="1"/>
    <w:next w:val="1"/>
    <w:qFormat/>
    <w:uiPriority w:val="39"/>
    <w:pPr>
      <w:ind w:left="420" w:leftChars="200"/>
    </w:pPr>
  </w:style>
  <w:style w:type="paragraph" w:styleId="9">
    <w:name w:val="Body Text First Indent 2"/>
    <w:basedOn w:val="1"/>
    <w:qFormat/>
    <w:uiPriority w:val="0"/>
    <w:pPr>
      <w:spacing w:after="120"/>
      <w:ind w:left="420" w:leftChars="200" w:firstLine="200" w:firstLineChars="200"/>
    </w:pPr>
    <w:rPr>
      <w:rFonts w:ascii="宋体" w:hAnsi="宋体" w:eastAsia="宋体"/>
    </w:rPr>
  </w:style>
  <w:style w:type="paragraph" w:customStyle="1" w:styleId="12">
    <w:name w:val="_Style 6"/>
    <w:basedOn w:val="4"/>
    <w:next w:val="1"/>
    <w:unhideWhenUsed/>
    <w:qFormat/>
    <w:uiPriority w:val="39"/>
    <w:pPr>
      <w:keepLines/>
      <w:widowControl/>
      <w:spacing w:before="480" w:line="276" w:lineRule="auto"/>
      <w:jc w:val="left"/>
      <w:outlineLvl w:val="9"/>
    </w:pPr>
    <w:rPr>
      <w:rFonts w:ascii="Cambria" w:hAnsi="Cambria" w:eastAsia="宋体" w:cs="Times New Roman"/>
      <w:b/>
      <w:bCs/>
      <w:color w:val="365F91"/>
      <w:kern w:val="0"/>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17836</Words>
  <Characters>19387</Characters>
  <Lines>0</Lines>
  <Paragraphs>0</Paragraphs>
  <TotalTime>156</TotalTime>
  <ScaleCrop>false</ScaleCrop>
  <LinksUpToDate>false</LinksUpToDate>
  <CharactersWithSpaces>20005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2023-10-27T08:49:00Z</dcterms:created>
  <dc:creator>Administrator</dc:creator>
  <cp:lastModifiedBy>Administrator</cp:lastModifiedBy>
  <dcterms:modified xsi:type="dcterms:W3CDTF">2023-11-28T07:47:43Z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B0B2B3EE26434F1CBB079F672C7710C0_11</vt:lpwstr>
  </property>
</Properties>
</file>