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color w:val="auto"/>
          <w:sz w:val="32"/>
          <w:szCs w:val="32"/>
          <w:shd w:val="clear" w:color="auto" w:fill="FFFFFF"/>
          <w:lang w:eastAsia="zh-CN"/>
        </w:rPr>
      </w:pPr>
      <w:r>
        <w:rPr>
          <w:rFonts w:hint="eastAsia" w:ascii="宋体" w:hAnsi="宋体"/>
          <w:b/>
          <w:color w:val="000000" w:themeColor="text1"/>
          <w:sz w:val="32"/>
          <w:szCs w:val="32"/>
          <w14:textFill>
            <w14:solidFill>
              <w14:schemeClr w14:val="tx1"/>
            </w14:solidFill>
          </w14:textFill>
        </w:rPr>
        <w:t>招标编号：</w:t>
      </w:r>
      <w:r>
        <w:rPr>
          <w:rFonts w:hint="eastAsia" w:ascii="宋体" w:hAnsi="宋体" w:cs="宋体"/>
          <w:b/>
          <w:color w:val="auto"/>
          <w:sz w:val="32"/>
          <w:szCs w:val="32"/>
          <w:shd w:val="clear" w:color="auto" w:fill="FFFFFF"/>
          <w:lang w:eastAsia="zh-CN"/>
        </w:rPr>
        <w:t>SZGZ[2023]205-ZC159</w:t>
      </w:r>
    </w:p>
    <w:p>
      <w:pPr>
        <w:spacing w:line="360" w:lineRule="auto"/>
        <w:jc w:val="left"/>
        <w:rPr>
          <w:rFonts w:ascii="宋体" w:hAnsi="宋体" w:cs="宋体"/>
          <w:b/>
          <w:color w:val="000000" w:themeColor="text1"/>
          <w:sz w:val="32"/>
          <w:szCs w:val="32"/>
          <w:shd w:val="clear" w:color="auto" w:fill="FFFFFF"/>
          <w14:textFill>
            <w14:solidFill>
              <w14:schemeClr w14:val="tx1"/>
            </w14:solidFill>
          </w14:textFill>
        </w:rPr>
      </w:pPr>
    </w:p>
    <w:p>
      <w:pPr>
        <w:spacing w:line="360" w:lineRule="auto"/>
        <w:jc w:val="center"/>
        <w:rPr>
          <w:rFonts w:hint="eastAsia" w:asciiTheme="minorEastAsia" w:hAnsiTheme="minorEastAsia" w:eastAsiaTheme="minorEastAsia"/>
          <w:b/>
          <w:sz w:val="72"/>
          <w:szCs w:val="72"/>
          <w:lang w:eastAsia="zh-CN"/>
        </w:rPr>
      </w:pPr>
      <w:r>
        <w:rPr>
          <w:rFonts w:hint="eastAsia" w:asciiTheme="minorEastAsia" w:hAnsiTheme="minorEastAsia" w:eastAsiaTheme="minorEastAsia"/>
          <w:b/>
          <w:sz w:val="72"/>
          <w:szCs w:val="72"/>
          <w:lang w:eastAsia="zh-CN"/>
        </w:rPr>
        <w:t>7个乡镇空气自动监测站升级改造项目</w:t>
      </w:r>
    </w:p>
    <w:p>
      <w:pPr>
        <w:spacing w:line="360" w:lineRule="auto"/>
        <w:jc w:val="center"/>
        <w:rPr>
          <w:rFonts w:cs="方正小标宋简体" w:asciiTheme="minorEastAsia" w:hAnsiTheme="minorEastAsia" w:eastAsiaTheme="minorEastAsia"/>
          <w:b/>
          <w:sz w:val="84"/>
          <w:szCs w:val="84"/>
        </w:rPr>
      </w:pPr>
      <w:r>
        <w:rPr>
          <w:rFonts w:hint="eastAsia" w:cs="方正小标宋简体" w:asciiTheme="minorEastAsia" w:hAnsiTheme="minorEastAsia" w:eastAsiaTheme="minorEastAsia"/>
          <w:b/>
          <w:sz w:val="84"/>
          <w:szCs w:val="84"/>
        </w:rPr>
        <w:t>招标文件</w:t>
      </w:r>
    </w:p>
    <w:p>
      <w:pPr>
        <w:spacing w:line="360" w:lineRule="auto"/>
        <w:jc w:val="center"/>
        <w:rPr>
          <w:rFonts w:cs="方正小标宋简体" w:asciiTheme="minorEastAsia" w:hAnsiTheme="minorEastAsia" w:eastAsiaTheme="minorEastAsia"/>
          <w:b/>
        </w:rPr>
      </w:pPr>
    </w:p>
    <w:p>
      <w:pPr>
        <w:spacing w:line="360" w:lineRule="auto"/>
        <w:ind w:firstLine="1105" w:firstLineChars="344"/>
        <w:rPr>
          <w:rFonts w:ascii="宋体" w:hAnsi="宋体"/>
          <w:b/>
          <w:sz w:val="32"/>
          <w:szCs w:val="32"/>
        </w:rPr>
      </w:pPr>
    </w:p>
    <w:p>
      <w:pPr>
        <w:spacing w:line="360" w:lineRule="auto"/>
        <w:jc w:val="center"/>
        <w:rPr>
          <w:rFonts w:ascii="宋体" w:hAnsi="宋体"/>
          <w:sz w:val="36"/>
          <w:szCs w:val="36"/>
        </w:rPr>
      </w:pPr>
      <w:r>
        <w:rPr>
          <w:rFonts w:hint="eastAsia" w:ascii="宋体" w:hAnsi="宋体"/>
          <w:sz w:val="36"/>
          <w:szCs w:val="36"/>
        </w:rPr>
        <w:drawing>
          <wp:inline distT="0" distB="0" distL="0" distR="0">
            <wp:extent cx="2286000" cy="2219325"/>
            <wp:effectExtent l="1905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9" cstate="print"/>
                    <a:srcRect/>
                    <a:stretch>
                      <a:fillRect/>
                    </a:stretch>
                  </pic:blipFill>
                  <pic:spPr>
                    <a:xfrm>
                      <a:off x="0" y="0"/>
                      <a:ext cx="2286000" cy="2219325"/>
                    </a:xfrm>
                    <a:prstGeom prst="rect">
                      <a:avLst/>
                    </a:prstGeom>
                    <a:noFill/>
                    <a:ln w="9525">
                      <a:noFill/>
                      <a:miter lim="800000"/>
                      <a:headEnd/>
                      <a:tailEnd/>
                    </a:ln>
                  </pic:spPr>
                </pic:pic>
              </a:graphicData>
            </a:graphic>
          </wp:inline>
        </w:drawing>
      </w:r>
    </w:p>
    <w:p>
      <w:pPr>
        <w:spacing w:line="360" w:lineRule="auto"/>
        <w:jc w:val="center"/>
        <w:rPr>
          <w:rFonts w:ascii="宋体" w:hAnsi="宋体"/>
          <w:sz w:val="36"/>
          <w:szCs w:val="36"/>
        </w:rPr>
      </w:pPr>
    </w:p>
    <w:p>
      <w:pPr>
        <w:spacing w:line="360" w:lineRule="auto"/>
        <w:rPr>
          <w:rFonts w:ascii="宋体" w:hAnsi="宋体"/>
          <w:b/>
          <w:sz w:val="32"/>
          <w:szCs w:val="32"/>
        </w:rPr>
      </w:pPr>
    </w:p>
    <w:p>
      <w:pPr>
        <w:spacing w:line="360" w:lineRule="auto"/>
        <w:jc w:val="center"/>
        <w:rPr>
          <w:rFonts w:hint="eastAsia" w:ascii="宋体" w:hAnsi="宋体"/>
          <w:b/>
          <w:sz w:val="32"/>
          <w:szCs w:val="32"/>
        </w:rPr>
      </w:pPr>
    </w:p>
    <w:p>
      <w:pPr>
        <w:spacing w:line="360" w:lineRule="auto"/>
        <w:ind w:firstLine="321" w:firstLineChars="100"/>
        <w:jc w:val="both"/>
        <w:rPr>
          <w:rFonts w:hint="eastAsia" w:ascii="宋体" w:hAnsi="宋体" w:eastAsia="宋体"/>
          <w:b/>
          <w:sz w:val="32"/>
          <w:szCs w:val="32"/>
          <w:lang w:val="en-US" w:eastAsia="zh-CN"/>
        </w:rPr>
      </w:pPr>
      <w:r>
        <w:rPr>
          <w:rFonts w:hint="eastAsia" w:ascii="宋体" w:hAnsi="宋体"/>
          <w:b/>
          <w:sz w:val="32"/>
          <w:szCs w:val="32"/>
        </w:rPr>
        <w:t>招标单位：</w:t>
      </w:r>
      <w:r>
        <w:rPr>
          <w:rFonts w:hint="eastAsia" w:ascii="宋体" w:hAnsi="宋体"/>
          <w:b/>
          <w:sz w:val="32"/>
          <w:szCs w:val="32"/>
          <w:lang w:eastAsia="zh-CN"/>
        </w:rPr>
        <w:t>三门峡市陕州区环境污染防治攻坚战领导小组办公室</w:t>
      </w:r>
    </w:p>
    <w:p>
      <w:pPr>
        <w:spacing w:line="360" w:lineRule="auto"/>
        <w:ind w:firstLine="1606" w:firstLineChars="500"/>
        <w:rPr>
          <w:rFonts w:ascii="宋体" w:hAnsi="宋体"/>
          <w:b/>
          <w:sz w:val="32"/>
          <w:szCs w:val="32"/>
        </w:rPr>
      </w:pPr>
      <w:r>
        <w:rPr>
          <w:rFonts w:hint="eastAsia" w:ascii="宋体" w:hAnsi="宋体"/>
          <w:b/>
          <w:sz w:val="32"/>
          <w:szCs w:val="32"/>
        </w:rPr>
        <w:t>招标代理机构：亿诚建设项目管理有限公司</w:t>
      </w:r>
    </w:p>
    <w:p>
      <w:pPr>
        <w:spacing w:line="360" w:lineRule="auto"/>
        <w:ind w:firstLine="1606" w:firstLineChars="500"/>
        <w:rPr>
          <w:rFonts w:ascii="宋体" w:hAnsi="宋体"/>
          <w:b/>
          <w:color w:val="auto"/>
          <w:sz w:val="32"/>
          <w:szCs w:val="32"/>
        </w:rPr>
        <w:sectPr>
          <w:footerReference r:id="rId3" w:type="default"/>
          <w:pgSz w:w="11900" w:h="16838"/>
          <w:pgMar w:top="1385" w:right="1270" w:bottom="992" w:left="1418" w:header="320" w:footer="0" w:gutter="0"/>
          <w:pgNumType w:start="1"/>
          <w:cols w:space="720" w:num="1"/>
          <w:docGrid w:type="lines" w:linePitch="360" w:charSpace="0"/>
        </w:sectPr>
      </w:pPr>
      <w:r>
        <w:rPr>
          <w:rFonts w:hint="eastAsia" w:ascii="宋体" w:hAnsi="宋体"/>
          <w:b/>
          <w:sz w:val="32"/>
          <w:szCs w:val="32"/>
        </w:rPr>
        <w:t>招  标 日 期：二</w:t>
      </w:r>
      <w:r>
        <w:rPr>
          <w:rFonts w:hint="eastAsia" w:ascii="宋体" w:hAnsi="宋体"/>
          <w:b/>
          <w:color w:val="auto"/>
          <w:sz w:val="32"/>
          <w:szCs w:val="32"/>
        </w:rPr>
        <w:t xml:space="preserve"> </w:t>
      </w:r>
      <w:r>
        <w:rPr>
          <w:rFonts w:hint="eastAsia" w:ascii="宋体" w:hAnsi="宋体"/>
          <w:b/>
          <w:color w:val="auto"/>
          <w:sz w:val="32"/>
          <w:szCs w:val="32"/>
          <w:lang w:val="en-US" w:eastAsia="zh-CN"/>
        </w:rPr>
        <w:t>〇</w:t>
      </w:r>
      <w:r>
        <w:rPr>
          <w:rFonts w:hint="eastAsia" w:ascii="宋体" w:hAnsi="宋体"/>
          <w:b/>
          <w:color w:val="auto"/>
          <w:sz w:val="32"/>
          <w:szCs w:val="32"/>
        </w:rPr>
        <w:t xml:space="preserve"> 二 </w:t>
      </w:r>
      <w:r>
        <w:rPr>
          <w:rFonts w:hint="eastAsia" w:ascii="宋体" w:hAnsi="宋体"/>
          <w:b/>
          <w:color w:val="auto"/>
          <w:sz w:val="32"/>
          <w:szCs w:val="32"/>
          <w:lang w:val="en-US" w:eastAsia="zh-CN"/>
        </w:rPr>
        <w:t>四</w:t>
      </w:r>
      <w:r>
        <w:rPr>
          <w:rFonts w:hint="eastAsia" w:ascii="宋体" w:hAnsi="宋体"/>
          <w:b/>
          <w:color w:val="auto"/>
          <w:sz w:val="32"/>
          <w:szCs w:val="32"/>
        </w:rPr>
        <w:t xml:space="preserve"> 年</w:t>
      </w:r>
      <w:r>
        <w:rPr>
          <w:rFonts w:hint="eastAsia" w:ascii="宋体" w:hAnsi="宋体"/>
          <w:b/>
          <w:color w:val="auto"/>
          <w:sz w:val="32"/>
          <w:szCs w:val="32"/>
          <w:lang w:val="en-US" w:eastAsia="zh-CN"/>
        </w:rPr>
        <w:t xml:space="preserve"> 一</w:t>
      </w:r>
      <w:r>
        <w:rPr>
          <w:rFonts w:hint="eastAsia" w:ascii="宋体" w:hAnsi="宋体"/>
          <w:b/>
          <w:color w:val="auto"/>
          <w:sz w:val="32"/>
          <w:szCs w:val="32"/>
        </w:rPr>
        <w:t xml:space="preserve"> 月</w:t>
      </w:r>
    </w:p>
    <w:p>
      <w:pPr>
        <w:pStyle w:val="25"/>
        <w:spacing w:beforeLines="100" w:afterLines="100" w:line="360" w:lineRule="auto"/>
        <w:jc w:val="center"/>
        <w:rPr>
          <w:rFonts w:hAnsi="宋体" w:cs="宋体"/>
          <w:b/>
          <w:bCs/>
          <w:sz w:val="44"/>
          <w:szCs w:val="44"/>
        </w:rPr>
      </w:pPr>
      <w:r>
        <w:rPr>
          <w:rFonts w:hint="eastAsia" w:hAnsi="宋体" w:cs="宋体"/>
          <w:b/>
          <w:bCs/>
          <w:sz w:val="44"/>
          <w:szCs w:val="44"/>
        </w:rPr>
        <w:t>目  录</w:t>
      </w:r>
    </w:p>
    <w:p>
      <w:pPr>
        <w:pStyle w:val="32"/>
        <w:tabs>
          <w:tab w:val="right" w:leader="dot" w:pos="9202"/>
        </w:tabs>
        <w:spacing w:line="480" w:lineRule="auto"/>
        <w:rPr>
          <w:rFonts w:asciiTheme="minorHAnsi" w:hAnsiTheme="minorHAnsi" w:eastAsiaTheme="minorEastAsia" w:cstheme="minorBidi"/>
          <w:b w:val="0"/>
          <w:bCs w:val="0"/>
          <w:caps w:val="0"/>
          <w:color w:val="auto"/>
          <w:szCs w:val="22"/>
        </w:rPr>
      </w:pPr>
      <w:r>
        <w:rPr>
          <w:rFonts w:hint="eastAsia"/>
          <w:color w:val="auto"/>
          <w:sz w:val="24"/>
          <w:szCs w:val="24"/>
        </w:rPr>
        <w:fldChar w:fldCharType="begin"/>
      </w:r>
      <w:r>
        <w:rPr>
          <w:rFonts w:hint="eastAsia"/>
          <w:color w:val="auto"/>
          <w:sz w:val="24"/>
          <w:szCs w:val="24"/>
        </w:rPr>
        <w:instrText xml:space="preserve"> TOC \o "1-3" \h \z \u </w:instrText>
      </w:r>
      <w:r>
        <w:rPr>
          <w:rFonts w:hint="eastAsia"/>
          <w:color w:val="auto"/>
          <w:sz w:val="24"/>
          <w:szCs w:val="24"/>
        </w:rPr>
        <w:fldChar w:fldCharType="separate"/>
      </w:r>
      <w:r>
        <w:fldChar w:fldCharType="begin"/>
      </w:r>
      <w:r>
        <w:instrText xml:space="preserve"> HYPERLINK \l "_Toc38013511" </w:instrText>
      </w:r>
      <w:r>
        <w:fldChar w:fldCharType="separate"/>
      </w:r>
      <w:r>
        <w:rPr>
          <w:rStyle w:val="54"/>
          <w:rFonts w:hint="eastAsia" w:ascii="黑体" w:hAnsi="黑体" w:eastAsia="黑体"/>
        </w:rPr>
        <w:t>第一章</w:t>
      </w:r>
      <w:r>
        <w:rPr>
          <w:rStyle w:val="54"/>
          <w:rFonts w:ascii="黑体" w:hAnsi="黑体" w:eastAsia="黑体"/>
        </w:rPr>
        <w:t xml:space="preserve"> </w:t>
      </w:r>
      <w:r>
        <w:rPr>
          <w:rStyle w:val="54"/>
          <w:rFonts w:hint="eastAsia" w:ascii="黑体" w:hAnsi="黑体" w:eastAsia="黑体"/>
        </w:rPr>
        <w:t>招标公告</w:t>
      </w:r>
      <w:r>
        <w:tab/>
      </w:r>
      <w:r>
        <w:rPr>
          <w:rFonts w:hint="eastAsia"/>
        </w:rPr>
        <w:t>2</w:t>
      </w:r>
      <w:r>
        <w:rPr>
          <w:rFonts w:hint="eastAsia"/>
        </w:rPr>
        <w:fldChar w:fldCharType="end"/>
      </w:r>
    </w:p>
    <w:p>
      <w:pPr>
        <w:pStyle w:val="32"/>
        <w:tabs>
          <w:tab w:val="right" w:leader="dot" w:pos="9202"/>
        </w:tabs>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"_Toc38013512" </w:instrText>
      </w:r>
      <w:r>
        <w:fldChar w:fldCharType="separate"/>
      </w:r>
      <w:r>
        <w:rPr>
          <w:rStyle w:val="54"/>
          <w:rFonts w:hint="eastAsia" w:ascii="黑体" w:hAnsi="黑体" w:eastAsia="黑体"/>
        </w:rPr>
        <w:t>第二章</w:t>
      </w:r>
      <w:r>
        <w:rPr>
          <w:rStyle w:val="54"/>
          <w:rFonts w:ascii="黑体" w:hAnsi="黑体" w:eastAsia="黑体"/>
        </w:rPr>
        <w:t xml:space="preserve"> </w:t>
      </w:r>
      <w:r>
        <w:rPr>
          <w:rStyle w:val="54"/>
          <w:rFonts w:hint="eastAsia" w:ascii="黑体" w:hAnsi="黑体" w:eastAsia="黑体"/>
        </w:rPr>
        <w:t>供应商须知</w:t>
      </w:r>
      <w:r>
        <w:tab/>
      </w:r>
      <w:r>
        <w:rPr>
          <w:rFonts w:hint="eastAsia"/>
        </w:rPr>
        <w:t>5</w:t>
      </w:r>
      <w:r>
        <w:rPr>
          <w:rFonts w:hint="eastAsia"/>
        </w:rPr>
        <w:fldChar w:fldCharType="end"/>
      </w:r>
    </w:p>
    <w:p>
      <w:pPr>
        <w:pStyle w:val="32"/>
        <w:tabs>
          <w:tab w:val="right" w:leader="dot" w:pos="9202"/>
        </w:tabs>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"_Toc38013556" </w:instrText>
      </w:r>
      <w:r>
        <w:fldChar w:fldCharType="separate"/>
      </w:r>
      <w:r>
        <w:rPr>
          <w:rStyle w:val="54"/>
          <w:rFonts w:hint="eastAsia" w:ascii="黑体" w:hAnsi="黑体" w:eastAsia="黑体"/>
        </w:rPr>
        <w:t>第三章</w:t>
      </w:r>
      <w:r>
        <w:rPr>
          <w:rStyle w:val="54"/>
          <w:rFonts w:ascii="黑体" w:hAnsi="黑体" w:eastAsia="黑体"/>
        </w:rPr>
        <w:t xml:space="preserve"> </w:t>
      </w:r>
      <w:r>
        <w:rPr>
          <w:rStyle w:val="54"/>
          <w:rFonts w:hint="eastAsia" w:ascii="黑体" w:hAnsi="黑体" w:eastAsia="黑体"/>
        </w:rPr>
        <w:t>评标办法</w:t>
      </w:r>
      <w:r>
        <w:tab/>
      </w:r>
      <w:r>
        <w:fldChar w:fldCharType="begin"/>
      </w:r>
      <w:r>
        <w:instrText xml:space="preserve"> PAGEREF _Toc38013556 \h </w:instrText>
      </w:r>
      <w:r>
        <w:fldChar w:fldCharType="separate"/>
      </w:r>
      <w:r>
        <w:t>2</w:t>
      </w:r>
      <w:r>
        <w:rPr>
          <w:rFonts w:hint="eastAsia"/>
        </w:rPr>
        <w:t>1</w:t>
      </w:r>
      <w:r>
        <w:fldChar w:fldCharType="end"/>
      </w:r>
      <w:r>
        <w:fldChar w:fldCharType="end"/>
      </w:r>
    </w:p>
    <w:p>
      <w:pPr>
        <w:pStyle w:val="32"/>
        <w:tabs>
          <w:tab w:val="right" w:leader="dot" w:pos="9202"/>
        </w:tabs>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"_Toc38013567" </w:instrText>
      </w:r>
      <w:r>
        <w:fldChar w:fldCharType="separate"/>
      </w:r>
      <w:r>
        <w:rPr>
          <w:rStyle w:val="54"/>
          <w:rFonts w:hint="eastAsia" w:ascii="黑体" w:hAnsi="黑体" w:eastAsia="黑体"/>
        </w:rPr>
        <w:t>第四章</w:t>
      </w:r>
      <w:r>
        <w:rPr>
          <w:rStyle w:val="54"/>
          <w:rFonts w:ascii="黑体" w:hAnsi="黑体" w:eastAsia="黑体"/>
        </w:rPr>
        <w:t xml:space="preserve">  </w:t>
      </w:r>
      <w:r>
        <w:rPr>
          <w:rStyle w:val="54"/>
          <w:rFonts w:hint="eastAsia" w:ascii="黑体" w:hAnsi="黑体" w:eastAsia="黑体"/>
        </w:rPr>
        <w:t>合同条款及格式</w:t>
      </w:r>
      <w:r>
        <w:tab/>
      </w:r>
      <w:r>
        <w:fldChar w:fldCharType="begin"/>
      </w:r>
      <w:r>
        <w:instrText xml:space="preserve"> PAGEREF _Toc38013567 \h </w:instrText>
      </w:r>
      <w:r>
        <w:fldChar w:fldCharType="separate"/>
      </w:r>
      <w:r>
        <w:t>2</w:t>
      </w:r>
      <w:r>
        <w:rPr>
          <w:rFonts w:hint="eastAsia"/>
        </w:rPr>
        <w:t>6</w:t>
      </w:r>
      <w:r>
        <w:fldChar w:fldCharType="end"/>
      </w:r>
      <w:r>
        <w:fldChar w:fldCharType="end"/>
      </w:r>
    </w:p>
    <w:p>
      <w:pPr>
        <w:pStyle w:val="32"/>
        <w:tabs>
          <w:tab w:val="right" w:leader="dot" w:pos="9202"/>
        </w:tabs>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"_Toc38013568" </w:instrText>
      </w:r>
      <w:r>
        <w:fldChar w:fldCharType="separate"/>
      </w:r>
      <w:r>
        <w:rPr>
          <w:rStyle w:val="54"/>
          <w:rFonts w:hint="eastAsia" w:ascii="黑体" w:hAnsi="黑体" w:eastAsia="黑体"/>
        </w:rPr>
        <w:t>第五章</w:t>
      </w:r>
      <w:r>
        <w:rPr>
          <w:rStyle w:val="54"/>
          <w:rFonts w:ascii="黑体" w:hAnsi="黑体" w:eastAsia="黑体"/>
        </w:rPr>
        <w:t xml:space="preserve">  </w:t>
      </w:r>
      <w:r>
        <w:rPr>
          <w:rStyle w:val="54"/>
          <w:rFonts w:hint="eastAsia" w:ascii="黑体" w:hAnsi="黑体" w:eastAsia="黑体"/>
        </w:rPr>
        <w:t>技术标准和要求</w:t>
      </w:r>
      <w:r>
        <w:tab/>
      </w:r>
      <w:r>
        <w:fldChar w:fldCharType="begin"/>
      </w:r>
      <w:r>
        <w:instrText xml:space="preserve"> PAGEREF _Toc38013568 \h </w:instrText>
      </w:r>
      <w:r>
        <w:fldChar w:fldCharType="separate"/>
      </w:r>
      <w:r>
        <w:t>2</w:t>
      </w:r>
      <w:r>
        <w:rPr>
          <w:rFonts w:hint="eastAsia"/>
        </w:rPr>
        <w:t>7</w:t>
      </w:r>
      <w:r>
        <w:fldChar w:fldCharType="end"/>
      </w:r>
      <w:r>
        <w:fldChar w:fldCharType="end"/>
      </w:r>
    </w:p>
    <w:p>
      <w:pPr>
        <w:pStyle w:val="32"/>
        <w:tabs>
          <w:tab w:val="right" w:leader="dot" w:pos="9202"/>
        </w:tabs>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"_Toc38013569" </w:instrText>
      </w:r>
      <w:r>
        <w:fldChar w:fldCharType="separate"/>
      </w:r>
      <w:r>
        <w:rPr>
          <w:rStyle w:val="54"/>
          <w:rFonts w:hint="eastAsia" w:ascii="黑体" w:hAnsi="黑体" w:eastAsia="黑体"/>
        </w:rPr>
        <w:t>第六章</w:t>
      </w:r>
      <w:r>
        <w:rPr>
          <w:rStyle w:val="54"/>
          <w:rFonts w:ascii="黑体" w:hAnsi="黑体" w:eastAsia="黑体"/>
        </w:rPr>
        <w:t xml:space="preserve">   </w:t>
      </w:r>
      <w:r>
        <w:rPr>
          <w:rStyle w:val="54"/>
          <w:rFonts w:hint="eastAsia" w:ascii="黑体" w:hAnsi="黑体" w:eastAsia="黑体"/>
        </w:rPr>
        <w:t>投标文件格式</w:t>
      </w:r>
      <w:r>
        <w:tab/>
      </w:r>
      <w:r>
        <w:fldChar w:fldCharType="begin"/>
      </w:r>
      <w:r>
        <w:instrText xml:space="preserve"> PAGEREF _Toc38013569 \h </w:instrText>
      </w:r>
      <w:r>
        <w:fldChar w:fldCharType="separate"/>
      </w:r>
      <w:r>
        <w:t>3</w:t>
      </w:r>
      <w:r>
        <w:rPr>
          <w:rFonts w:hint="eastAsia"/>
        </w:rPr>
        <w:t>1</w:t>
      </w:r>
      <w:r>
        <w:fldChar w:fldCharType="end"/>
      </w:r>
      <w:r>
        <w:fldChar w:fldCharType="end"/>
      </w:r>
    </w:p>
    <w:p>
      <w:pPr>
        <w:pStyle w:val="39"/>
        <w:tabs>
          <w:tab w:val="right" w:leader="dot" w:pos="8302"/>
        </w:tabs>
        <w:spacing w:line="440" w:lineRule="exact"/>
        <w:ind w:left="0"/>
        <w:rPr>
          <w:rFonts w:ascii="宋体" w:hAnsi="宋体"/>
          <w:b/>
          <w:bCs/>
          <w:sz w:val="24"/>
          <w:szCs w:val="24"/>
        </w:rPr>
      </w:pPr>
      <w:r>
        <w:rPr>
          <w:rFonts w:hint="eastAsia" w:ascii="宋体" w:hAnsi="宋体"/>
          <w:sz w:val="24"/>
          <w:szCs w:val="24"/>
        </w:rPr>
        <w:fldChar w:fldCharType="end"/>
      </w:r>
      <w:bookmarkStart w:id="0" w:name="_Toc270604572"/>
    </w:p>
    <w:bookmarkEnd w:id="0"/>
    <w:p>
      <w:pPr>
        <w:widowControl/>
        <w:jc w:val="left"/>
        <w:rPr>
          <w:rFonts w:ascii="黑体" w:hAnsi="黑体" w:eastAsia="黑体"/>
          <w:b/>
          <w:bCs/>
          <w:kern w:val="44"/>
          <w:sz w:val="36"/>
          <w:szCs w:val="36"/>
        </w:rPr>
      </w:pPr>
      <w:bookmarkStart w:id="1" w:name="_Toc26551"/>
      <w:r>
        <w:rPr>
          <w:rFonts w:ascii="黑体" w:hAnsi="黑体" w:eastAsia="黑体"/>
          <w:sz w:val="36"/>
          <w:szCs w:val="36"/>
        </w:rPr>
        <w:br w:type="page"/>
      </w:r>
    </w:p>
    <w:p>
      <w:pPr>
        <w:pStyle w:val="2"/>
        <w:spacing w:before="120" w:after="120" w:line="400" w:lineRule="exact"/>
        <w:jc w:val="center"/>
        <w:rPr>
          <w:rFonts w:ascii="黑体" w:hAnsi="黑体" w:eastAsia="黑体"/>
          <w:sz w:val="36"/>
          <w:szCs w:val="36"/>
        </w:rPr>
      </w:pPr>
      <w:bookmarkStart w:id="2" w:name="_Toc38013511"/>
      <w:r>
        <w:rPr>
          <w:rFonts w:hint="eastAsia" w:ascii="黑体" w:hAnsi="黑体" w:eastAsia="黑体"/>
          <w:sz w:val="36"/>
          <w:szCs w:val="36"/>
        </w:rPr>
        <w:t>第一章 招标公告</w:t>
      </w:r>
      <w:bookmarkEnd w:id="1"/>
      <w:bookmarkEnd w:id="2"/>
    </w:p>
    <w:p>
      <w:pPr>
        <w:spacing w:line="360" w:lineRule="auto"/>
        <w:ind w:firstLine="480" w:firstLineChars="200"/>
        <w:rPr>
          <w:rFonts w:ascii="宋体" w:hAnsi="宋体" w:cs="宋体"/>
          <w:sz w:val="24"/>
          <w:szCs w:val="24"/>
        </w:rPr>
      </w:pPr>
      <w:r>
        <w:rPr>
          <w:rFonts w:hint="eastAsia" w:ascii="宋体" w:hAnsi="宋体" w:cs="宋体"/>
          <w:sz w:val="24"/>
          <w:szCs w:val="24"/>
        </w:rPr>
        <w:t>亿诚建设项目管理有限公司受</w:t>
      </w:r>
      <w:r>
        <w:rPr>
          <w:rFonts w:hint="eastAsia" w:ascii="宋体" w:hAnsi="宋体" w:cs="宋体"/>
          <w:sz w:val="24"/>
          <w:szCs w:val="24"/>
          <w:lang w:eastAsia="zh-CN"/>
        </w:rPr>
        <w:t>三门峡市陕州区环境污染防治攻坚战领导小组办公室</w:t>
      </w:r>
      <w:r>
        <w:rPr>
          <w:rFonts w:hint="eastAsia" w:ascii="宋体" w:hAnsi="宋体" w:cs="宋体"/>
          <w:sz w:val="24"/>
          <w:szCs w:val="24"/>
        </w:rPr>
        <w:t>的委托，就</w:t>
      </w:r>
      <w:r>
        <w:rPr>
          <w:rFonts w:hint="eastAsia" w:ascii="宋体" w:hAnsi="宋体" w:cs="宋体"/>
          <w:sz w:val="24"/>
          <w:lang w:eastAsia="zh-CN"/>
        </w:rPr>
        <w:t>7个乡镇空气自动监测站升级改造项目</w:t>
      </w:r>
      <w:r>
        <w:rPr>
          <w:rFonts w:hint="eastAsia" w:ascii="宋体" w:hAnsi="宋体" w:cs="宋体"/>
          <w:sz w:val="24"/>
          <w:szCs w:val="24"/>
        </w:rPr>
        <w:t>进行公开招标，欢迎符合资格条件的供应商参加投标。</w:t>
      </w:r>
    </w:p>
    <w:p>
      <w:pPr>
        <w:spacing w:line="360" w:lineRule="auto"/>
        <w:ind w:firstLine="480" w:firstLineChars="200"/>
        <w:rPr>
          <w:rFonts w:ascii="宋体" w:hAnsi="宋体" w:cs="宋体"/>
          <w:sz w:val="24"/>
          <w:szCs w:val="24"/>
        </w:rPr>
      </w:pPr>
      <w:r>
        <w:rPr>
          <w:rFonts w:hint="eastAsia" w:ascii="宋体" w:hAnsi="宋体" w:cs="宋体"/>
          <w:sz w:val="24"/>
          <w:szCs w:val="24"/>
        </w:rPr>
        <w:t>一、项目概况与招标范围</w:t>
      </w:r>
    </w:p>
    <w:p>
      <w:pPr>
        <w:spacing w:line="500" w:lineRule="exact"/>
        <w:ind w:firstLine="480" w:firstLineChars="200"/>
        <w:rPr>
          <w:rFonts w:hint="eastAsia" w:ascii="宋体" w:hAnsi="宋体" w:eastAsia="宋体" w:cs="宋体"/>
          <w:sz w:val="24"/>
          <w:szCs w:val="24"/>
          <w:lang w:val="zh-TW" w:eastAsia="zh-CN"/>
        </w:rPr>
      </w:pPr>
      <w:r>
        <w:rPr>
          <w:rFonts w:hint="eastAsia" w:ascii="宋体" w:hAnsi="宋体" w:cs="宋体"/>
          <w:sz w:val="24"/>
          <w:szCs w:val="24"/>
        </w:rPr>
        <w:t>1、项目名称：</w:t>
      </w:r>
      <w:r>
        <w:rPr>
          <w:rFonts w:hint="eastAsia" w:ascii="宋体" w:hAnsi="宋体" w:cs="宋体"/>
          <w:sz w:val="24"/>
          <w:szCs w:val="24"/>
          <w:lang w:eastAsia="zh-CN"/>
        </w:rPr>
        <w:t>7个乡镇空气自动监测站升级改造项目</w:t>
      </w:r>
    </w:p>
    <w:p>
      <w:pPr>
        <w:spacing w:line="500" w:lineRule="exact"/>
        <w:ind w:firstLine="480" w:firstLineChars="200"/>
        <w:rPr>
          <w:rFonts w:hint="eastAsia" w:ascii="宋体" w:hAnsi="宋体" w:eastAsia="宋体" w:cs="宋体"/>
          <w:color w:val="auto"/>
          <w:sz w:val="24"/>
          <w:szCs w:val="24"/>
          <w:lang w:eastAsia="zh-CN"/>
        </w:rPr>
      </w:pPr>
      <w:r>
        <w:rPr>
          <w:rFonts w:hint="eastAsia" w:ascii="宋体" w:hAnsi="宋体" w:cs="宋体"/>
          <w:sz w:val="24"/>
          <w:szCs w:val="24"/>
        </w:rPr>
        <w:t>2、项目编</w:t>
      </w:r>
      <w:r>
        <w:rPr>
          <w:rFonts w:hint="eastAsia" w:ascii="宋体" w:hAnsi="宋体" w:cs="宋体"/>
          <w:color w:val="000000" w:themeColor="text1"/>
          <w:sz w:val="24"/>
          <w:szCs w:val="24"/>
          <w14:textFill>
            <w14:solidFill>
              <w14:schemeClr w14:val="tx1"/>
            </w14:solidFill>
          </w14:textFill>
        </w:rPr>
        <w:t>号：</w:t>
      </w:r>
      <w:r>
        <w:rPr>
          <w:rFonts w:hint="eastAsia" w:ascii="宋体" w:hAnsi="宋体" w:cs="宋体"/>
          <w:color w:val="auto"/>
          <w:sz w:val="24"/>
          <w:szCs w:val="24"/>
          <w:lang w:eastAsia="zh-CN"/>
        </w:rPr>
        <w:t>SZGZ[2023]205-ZC159</w:t>
      </w:r>
    </w:p>
    <w:p>
      <w:pPr>
        <w:spacing w:line="500" w:lineRule="exact"/>
        <w:ind w:firstLine="480" w:firstLineChars="200"/>
        <w:rPr>
          <w:rFonts w:ascii="宋体" w:hAnsi="宋体" w:cs="宋体"/>
          <w:sz w:val="24"/>
          <w:szCs w:val="24"/>
        </w:rPr>
      </w:pPr>
      <w:r>
        <w:rPr>
          <w:rFonts w:hint="eastAsia" w:ascii="宋体" w:hAnsi="宋体" w:cs="宋体"/>
          <w:sz w:val="24"/>
          <w:lang w:val="zh-TW"/>
        </w:rPr>
        <w:t>3、采购内容：</w:t>
      </w:r>
      <w:r>
        <w:rPr>
          <w:rFonts w:hint="eastAsia" w:ascii="宋体" w:hAnsi="宋体" w:cs="宋体"/>
          <w:sz w:val="24"/>
          <w:lang w:val="zh-TW" w:eastAsia="zh-CN"/>
        </w:rPr>
        <w:t>主要内容为西张村镇、张汴乡、菜园乡、王家后乡、宫前乡、店子乡、西李村乡等7个乡镇空气自动监测站进行2因子升级为6因子改造项目；具体内容详见招标文件；</w:t>
      </w:r>
    </w:p>
    <w:p>
      <w:pPr>
        <w:spacing w:line="500" w:lineRule="exact"/>
        <w:ind w:firstLine="480" w:firstLineChars="200"/>
        <w:rPr>
          <w:rFonts w:ascii="宋体" w:hAnsi="宋体" w:cs="宋体"/>
          <w:sz w:val="24"/>
          <w:szCs w:val="24"/>
        </w:rPr>
      </w:pPr>
      <w:r>
        <w:rPr>
          <w:rFonts w:hint="eastAsia" w:ascii="宋体" w:hAnsi="宋体" w:cs="宋体"/>
          <w:sz w:val="24"/>
          <w:szCs w:val="24"/>
        </w:rPr>
        <w:t>4、预算金额：</w:t>
      </w:r>
      <w:r>
        <w:rPr>
          <w:rFonts w:hint="eastAsia" w:ascii="宋体" w:hAnsi="宋体" w:cs="宋体"/>
          <w:sz w:val="24"/>
          <w:szCs w:val="24"/>
          <w:lang w:val="en-US" w:eastAsia="zh-CN"/>
        </w:rPr>
        <w:t>370.00万元</w:t>
      </w:r>
    </w:p>
    <w:p>
      <w:pPr>
        <w:spacing w:line="500" w:lineRule="exact"/>
        <w:ind w:firstLine="480" w:firstLineChars="200"/>
        <w:rPr>
          <w:rFonts w:ascii="宋体" w:hAnsi="宋体" w:cs="宋体"/>
          <w:sz w:val="24"/>
          <w:szCs w:val="24"/>
        </w:rPr>
      </w:pPr>
      <w:r>
        <w:rPr>
          <w:rFonts w:hint="eastAsia" w:ascii="宋体" w:hAnsi="宋体" w:cs="宋体"/>
          <w:sz w:val="24"/>
          <w:szCs w:val="24"/>
        </w:rPr>
        <w:t>5、供货地址：招标人指定地点</w:t>
      </w:r>
    </w:p>
    <w:p>
      <w:pPr>
        <w:spacing w:line="50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rPr>
        <w:t>6、资金来源：</w:t>
      </w:r>
      <w:r>
        <w:rPr>
          <w:rFonts w:hint="eastAsia" w:ascii="宋体" w:hAnsi="宋体" w:cs="宋体"/>
          <w:color w:val="000000" w:themeColor="text1"/>
          <w:sz w:val="24"/>
          <w:szCs w:val="24"/>
          <w:lang w:eastAsia="zh-CN"/>
          <w14:textFill>
            <w14:solidFill>
              <w14:schemeClr w14:val="tx1"/>
            </w14:solidFill>
          </w14:textFill>
        </w:rPr>
        <w:t>财政资金</w:t>
      </w:r>
    </w:p>
    <w:p>
      <w:pPr>
        <w:spacing w:line="500" w:lineRule="exact"/>
        <w:ind w:firstLine="480" w:firstLineChars="200"/>
        <w:rPr>
          <w:rFonts w:hint="eastAsia" w:ascii="宋体" w:hAnsi="宋体" w:eastAsia="宋体" w:cs="宋体"/>
          <w:color w:val="auto"/>
          <w:sz w:val="24"/>
          <w:szCs w:val="24"/>
          <w:lang w:eastAsia="zh-CN"/>
        </w:rPr>
      </w:pPr>
      <w:r>
        <w:rPr>
          <w:rFonts w:hint="eastAsia" w:ascii="宋体" w:hAnsi="宋体" w:cs="宋体"/>
          <w:sz w:val="24"/>
          <w:szCs w:val="24"/>
        </w:rPr>
        <w:t>7、供 货 期：</w:t>
      </w:r>
      <w:r>
        <w:rPr>
          <w:rFonts w:hint="eastAsia" w:ascii="宋体" w:hAnsi="宋体" w:cs="宋体"/>
          <w:color w:val="auto"/>
          <w:sz w:val="24"/>
          <w:szCs w:val="24"/>
          <w:lang w:eastAsia="zh-CN"/>
        </w:rPr>
        <w:t>30日历天</w:t>
      </w:r>
    </w:p>
    <w:p>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8、质量要求：</w:t>
      </w:r>
      <w:r>
        <w:rPr>
          <w:rFonts w:hint="eastAsia" w:ascii="宋体" w:hAnsi="宋体" w:cs="宋体"/>
          <w:sz w:val="24"/>
          <w:szCs w:val="24"/>
          <w:lang w:eastAsia="zh-CN"/>
        </w:rPr>
        <w:t>符合国家及行业内相关质量标准及规定</w:t>
      </w:r>
    </w:p>
    <w:p>
      <w:pPr>
        <w:spacing w:line="500" w:lineRule="exact"/>
        <w:ind w:firstLine="480" w:firstLineChars="200"/>
        <w:rPr>
          <w:rFonts w:ascii="宋体" w:hAnsi="宋体" w:cs="宋体"/>
          <w:sz w:val="24"/>
          <w:szCs w:val="24"/>
        </w:rPr>
      </w:pPr>
      <w:r>
        <w:rPr>
          <w:rFonts w:hint="eastAsia" w:ascii="宋体" w:hAnsi="宋体" w:cs="宋体"/>
          <w:sz w:val="24"/>
          <w:szCs w:val="24"/>
        </w:rPr>
        <w:t>9、项目需要落实的政府采购政策：促进中小企业和监狱企业发展扶持政策、促进残疾人就业政府采购政策。</w:t>
      </w:r>
    </w:p>
    <w:p>
      <w:pPr>
        <w:spacing w:line="500" w:lineRule="exact"/>
        <w:ind w:firstLine="480" w:firstLineChars="200"/>
        <w:rPr>
          <w:rFonts w:ascii="宋体" w:hAnsi="宋体" w:cs="宋体"/>
          <w:sz w:val="24"/>
          <w:szCs w:val="24"/>
        </w:rPr>
      </w:pPr>
      <w:r>
        <w:rPr>
          <w:rFonts w:hint="eastAsia" w:ascii="宋体" w:hAnsi="宋体" w:cs="宋体"/>
          <w:sz w:val="24"/>
          <w:szCs w:val="24"/>
        </w:rPr>
        <w:t>10、标段划分：本项目不划分标段。</w:t>
      </w:r>
    </w:p>
    <w:p>
      <w:pPr>
        <w:spacing w:line="500" w:lineRule="exact"/>
        <w:ind w:firstLine="480" w:firstLineChars="200"/>
        <w:rPr>
          <w:rFonts w:ascii="宋体" w:hAnsi="宋体" w:cs="宋体"/>
          <w:sz w:val="24"/>
          <w:szCs w:val="24"/>
        </w:rPr>
      </w:pPr>
      <w:r>
        <w:rPr>
          <w:rFonts w:hint="eastAsia" w:ascii="宋体" w:hAnsi="宋体" w:cs="宋体"/>
          <w:sz w:val="24"/>
          <w:szCs w:val="24"/>
        </w:rPr>
        <w:t>二、供应商资格要求</w:t>
      </w:r>
    </w:p>
    <w:p>
      <w:pPr>
        <w:spacing w:line="360" w:lineRule="auto"/>
        <w:ind w:firstLine="480" w:firstLineChars="200"/>
        <w:rPr>
          <w:rFonts w:ascii="宋体" w:hAnsi="宋体" w:cs="宋体"/>
          <w:sz w:val="24"/>
          <w:szCs w:val="24"/>
          <w:lang w:val="zh-TW"/>
        </w:rPr>
      </w:pPr>
      <w:r>
        <w:rPr>
          <w:rFonts w:hint="eastAsia" w:ascii="宋体" w:hAnsi="宋体" w:cs="宋体"/>
          <w:sz w:val="24"/>
          <w:szCs w:val="24"/>
          <w:lang w:val="zh-TW"/>
        </w:rPr>
        <w:t>供应商必须符合《中华人民共和国政府采购法》第二十二条的规定并同时具备下列条件：</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zh-TW"/>
        </w:rPr>
        <w:t>1、</w:t>
      </w:r>
      <w:r>
        <w:rPr>
          <w:rFonts w:hint="eastAsia" w:ascii="宋体" w:hAnsi="宋体" w:cs="宋体"/>
          <w:sz w:val="24"/>
          <w:szCs w:val="24"/>
          <w:lang w:eastAsia="zh-CN"/>
        </w:rPr>
        <w:t>投标供应商须具有合法有效的营业执照；</w:t>
      </w:r>
    </w:p>
    <w:p>
      <w:pPr>
        <w:spacing w:line="360" w:lineRule="auto"/>
        <w:ind w:firstLine="480" w:firstLineChars="200"/>
        <w:rPr>
          <w:rFonts w:ascii="宋体" w:hAnsi="宋体" w:cs="宋体"/>
          <w:sz w:val="24"/>
          <w:szCs w:val="24"/>
          <w:lang w:val="zh-TW"/>
        </w:rPr>
      </w:pPr>
      <w:r>
        <w:rPr>
          <w:rFonts w:hint="eastAsia" w:ascii="宋体" w:hAnsi="宋体" w:cs="宋体"/>
          <w:sz w:val="24"/>
          <w:szCs w:val="24"/>
        </w:rPr>
        <w:t>2、</w:t>
      </w:r>
      <w:r>
        <w:rPr>
          <w:rFonts w:hint="eastAsia" w:ascii="宋体" w:hAnsi="宋体" w:cs="宋体"/>
          <w:sz w:val="24"/>
          <w:szCs w:val="24"/>
          <w:lang w:val="zh-TW"/>
        </w:rPr>
        <w:t>供应商须出具本企业无商业贿赂和不正当竞争行为承诺书；</w:t>
      </w:r>
    </w:p>
    <w:p>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w:t>
      </w:r>
      <w:r>
        <w:rPr>
          <w:rFonts w:hint="eastAsia" w:ascii="宋体" w:hAnsi="宋体" w:cs="宋体"/>
          <w:sz w:val="24"/>
          <w:szCs w:val="24"/>
          <w:lang w:val="zh-TW" w:eastAsia="zh-TW"/>
        </w:rPr>
        <w:t>、</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4</w:t>
      </w:r>
      <w:r>
        <w:rPr>
          <w:rFonts w:hint="eastAsia" w:ascii="宋体" w:hAnsi="宋体" w:cs="宋体"/>
          <w:sz w:val="24"/>
          <w:szCs w:val="24"/>
          <w:lang w:val="zh-TW"/>
        </w:rPr>
        <w:t>、本</w:t>
      </w:r>
      <w:r>
        <w:rPr>
          <w:rFonts w:hint="eastAsia" w:ascii="宋体" w:hAnsi="宋体" w:cs="宋体"/>
          <w:sz w:val="24"/>
          <w:szCs w:val="24"/>
        </w:rPr>
        <w:t>项目</w:t>
      </w:r>
      <w:r>
        <w:rPr>
          <w:rFonts w:hint="eastAsia" w:ascii="宋体" w:hAnsi="宋体" w:cs="宋体"/>
          <w:sz w:val="24"/>
          <w:szCs w:val="24"/>
          <w:lang w:val="zh-TW"/>
        </w:rPr>
        <w:t>不接受联合体报名。</w:t>
      </w:r>
    </w:p>
    <w:p>
      <w:pPr>
        <w:spacing w:line="360" w:lineRule="auto"/>
        <w:ind w:firstLine="480" w:firstLineChars="200"/>
        <w:rPr>
          <w:rFonts w:ascii="宋体" w:hAnsi="宋体" w:cs="宋体"/>
          <w:sz w:val="24"/>
          <w:szCs w:val="24"/>
        </w:rPr>
      </w:pPr>
      <w:r>
        <w:rPr>
          <w:rFonts w:hint="eastAsia" w:ascii="宋体" w:hAnsi="宋体" w:cs="宋体"/>
          <w:sz w:val="24"/>
          <w:szCs w:val="24"/>
        </w:rPr>
        <w:t>三、招标文件的获取方式</w:t>
      </w:r>
    </w:p>
    <w:p>
      <w:pPr>
        <w:spacing w:line="360" w:lineRule="auto"/>
        <w:ind w:firstLine="480" w:firstLineChars="200"/>
        <w:rPr>
          <w:rFonts w:ascii="宋体" w:hAnsi="宋体" w:cs="宋体"/>
          <w:sz w:val="24"/>
          <w:szCs w:val="24"/>
        </w:rPr>
      </w:pPr>
      <w:r>
        <w:rPr>
          <w:rFonts w:hint="eastAsia" w:ascii="宋体" w:hAnsi="宋体" w:cs="宋体"/>
          <w:sz w:val="24"/>
          <w:szCs w:val="24"/>
          <w:lang w:val="zh-TW"/>
        </w:rPr>
        <w:t>1、</w:t>
      </w:r>
      <w:r>
        <w:rPr>
          <w:rFonts w:hint="eastAsia" w:ascii="宋体" w:hAnsi="宋体" w:cs="宋体"/>
          <w:sz w:val="24"/>
          <w:szCs w:val="24"/>
        </w:rPr>
        <w:t>本项目没有报名环节，供应商凭CA数字证书通过三门峡市公共资源交易中心网（网址：</w:t>
      </w:r>
      <w:r>
        <w:fldChar w:fldCharType="begin"/>
      </w:r>
      <w:r>
        <w:instrText xml:space="preserve"> HYPERLINK "http://gzjy.smx.gov.cn/SMX/Home/index.do），点击交易平台选择" </w:instrText>
      </w:r>
      <w:r>
        <w:fldChar w:fldCharType="separate"/>
      </w:r>
      <w:r>
        <w:rPr>
          <w:rFonts w:hint="eastAsia" w:ascii="宋体" w:hAnsi="宋体" w:cs="宋体"/>
          <w:sz w:val="24"/>
          <w:szCs w:val="24"/>
          <w:lang w:eastAsia="zh-CN"/>
        </w:rPr>
        <w:t>http://gzjy.smx.gov.cn/</w:t>
      </w:r>
      <w:r>
        <w:rPr>
          <w:rFonts w:hint="eastAsia" w:ascii="宋体" w:hAnsi="宋体" w:cs="宋体"/>
          <w:sz w:val="24"/>
          <w:szCs w:val="24"/>
        </w:rPr>
        <w:t>），点击交易平台选择“市场主体登录”，在所参与项目右侧点击参与投标，即可直接下载本项目招标文件。</w:t>
      </w:r>
      <w:r>
        <w:rPr>
          <w:rFonts w:hint="eastAsia" w:ascii="宋体" w:hAnsi="宋体" w:cs="宋体"/>
          <w:sz w:val="24"/>
          <w:szCs w:val="24"/>
        </w:rPr>
        <w:fldChar w:fldCharType="end"/>
      </w:r>
    </w:p>
    <w:p>
      <w:pPr>
        <w:spacing w:line="360" w:lineRule="auto"/>
        <w:ind w:firstLine="480" w:firstLineChars="200"/>
        <w:jc w:val="left"/>
        <w:rPr>
          <w:rFonts w:ascii="宋体" w:hAnsi="宋体" w:cs="宋体"/>
          <w:sz w:val="24"/>
          <w:szCs w:val="24"/>
          <w:lang w:val="zh-TW"/>
        </w:rPr>
      </w:pPr>
      <w:r>
        <w:rPr>
          <w:rFonts w:hint="eastAsia" w:ascii="宋体" w:hAnsi="宋体" w:cs="宋体"/>
          <w:sz w:val="24"/>
          <w:szCs w:val="24"/>
        </w:rPr>
        <w:t>办理CA证书：http://gzjy.smx.gov.cn/bzzx/008001/20231102/4defc9b5-408e-47f2-9e9f-1f376a06ee1f.html</w:t>
      </w:r>
    </w:p>
    <w:p>
      <w:pPr>
        <w:spacing w:line="360" w:lineRule="auto"/>
        <w:ind w:firstLine="480" w:firstLineChars="200"/>
        <w:rPr>
          <w:rFonts w:ascii="宋体" w:hAnsi="宋体" w:cs="宋体"/>
          <w:sz w:val="24"/>
          <w:szCs w:val="24"/>
        </w:rPr>
      </w:pPr>
      <w:r>
        <w:rPr>
          <w:rFonts w:hint="eastAsia" w:ascii="宋体" w:hAnsi="宋体" w:cs="宋体"/>
          <w:sz w:val="24"/>
          <w:szCs w:val="24"/>
        </w:rPr>
        <w:t>2、招标文件下载时间：</w:t>
      </w:r>
      <w:r>
        <w:rPr>
          <w:rFonts w:hint="eastAsia" w:ascii="宋体" w:hAnsi="宋体" w:cs="宋体"/>
          <w:color w:val="auto"/>
          <w:sz w:val="24"/>
          <w:szCs w:val="24"/>
        </w:rPr>
        <w:t>202</w:t>
      </w:r>
      <w:r>
        <w:rPr>
          <w:rFonts w:hint="eastAsia" w:ascii="宋体" w:hAnsi="宋体" w:cs="宋体"/>
          <w:color w:val="auto"/>
          <w:sz w:val="24"/>
          <w:szCs w:val="24"/>
          <w:lang w:val="en-US" w:eastAsia="zh-CN"/>
        </w:rPr>
        <w:t>3</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cs="宋体"/>
          <w:color w:val="auto"/>
          <w:sz w:val="24"/>
          <w:szCs w:val="24"/>
        </w:rPr>
        <w:t>日至202</w:t>
      </w:r>
      <w:r>
        <w:rPr>
          <w:rFonts w:hint="eastAsia" w:ascii="宋体" w:hAnsi="宋体" w:cs="宋体"/>
          <w:color w:val="auto"/>
          <w:sz w:val="24"/>
          <w:szCs w:val="24"/>
          <w:lang w:val="en-US" w:eastAsia="zh-CN"/>
        </w:rPr>
        <w:t>4</w:t>
      </w:r>
      <w:r>
        <w:rPr>
          <w:rFonts w:hint="eastAsia" w:ascii="宋体" w:hAnsi="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cs="宋体"/>
          <w:color w:val="auto"/>
          <w:sz w:val="24"/>
          <w:szCs w:val="24"/>
        </w:rPr>
        <w:t>月</w:t>
      </w:r>
      <w:r>
        <w:rPr>
          <w:rFonts w:hint="eastAsia" w:ascii="宋体" w:hAnsi="宋体" w:cs="宋体"/>
          <w:color w:val="auto"/>
          <w:sz w:val="24"/>
          <w:szCs w:val="24"/>
          <w:lang w:val="en-US" w:eastAsia="zh-CN"/>
        </w:rPr>
        <w:t>18</w:t>
      </w:r>
      <w:r>
        <w:rPr>
          <w:rFonts w:hint="eastAsia" w:ascii="宋体" w:hAnsi="宋体" w:cs="宋体"/>
          <w:color w:val="auto"/>
          <w:sz w:val="24"/>
          <w:szCs w:val="24"/>
        </w:rPr>
        <w:t>日08时30分。</w:t>
      </w:r>
    </w:p>
    <w:p>
      <w:pPr>
        <w:spacing w:line="500" w:lineRule="exact"/>
        <w:ind w:firstLine="480" w:firstLineChars="200"/>
        <w:rPr>
          <w:rFonts w:ascii="宋体" w:hAnsi="宋体"/>
          <w:color w:val="000000"/>
          <w:sz w:val="24"/>
        </w:rPr>
      </w:pPr>
      <w:r>
        <w:rPr>
          <w:rFonts w:hint="eastAsia" w:ascii="宋体" w:hAnsi="宋体" w:cs="宋体"/>
          <w:kern w:val="0"/>
          <w:sz w:val="24"/>
          <w:szCs w:val="24"/>
        </w:rPr>
        <w:t>注：</w:t>
      </w:r>
      <w:r>
        <w:rPr>
          <w:rFonts w:hint="eastAsia" w:ascii="宋体" w:hAnsi="宋体"/>
          <w:color w:val="000000"/>
          <w:sz w:val="24"/>
        </w:rPr>
        <w:t>本项目为不见面开标项目，开标当日，供应商无需到开标现场参加开标会议，供应商应当在投标截止时间前，登陆不见面开标大厅选择登陆三门峡市公共资源电子招投标系统进行登陆,在线准时参加开标活动并进行投标文件解密等。每位供应商的解密时间为开标时间起30分钟内完成。因供应商原因未能解密、解密失败或解密超时的将被拒绝。</w:t>
      </w:r>
    </w:p>
    <w:p>
      <w:pPr>
        <w:spacing w:line="360" w:lineRule="auto"/>
        <w:ind w:firstLine="480" w:firstLineChars="200"/>
        <w:rPr>
          <w:rFonts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TW"/>
        </w:rPr>
        <w:t>、</w:t>
      </w:r>
      <w:r>
        <w:rPr>
          <w:rFonts w:hint="eastAsia" w:ascii="宋体" w:hAnsi="宋体" w:cs="宋体"/>
          <w:sz w:val="24"/>
          <w:szCs w:val="24"/>
        </w:rPr>
        <w:t>投标资料的提交</w:t>
      </w:r>
    </w:p>
    <w:p>
      <w:pPr>
        <w:spacing w:line="500" w:lineRule="exact"/>
        <w:ind w:firstLine="480" w:firstLineChars="200"/>
        <w:rPr>
          <w:rFonts w:ascii="宋体" w:hAnsi="宋体"/>
          <w:color w:val="000000"/>
          <w:sz w:val="24"/>
        </w:rPr>
      </w:pPr>
      <w:r>
        <w:rPr>
          <w:rFonts w:hint="eastAsia" w:ascii="宋体" w:hAnsi="宋体"/>
          <w:color w:val="000000"/>
          <w:sz w:val="24"/>
        </w:rPr>
        <w:t>本项目实行资格后审，审查内容以投标截止时间前在三门峡市公共资源交易系统上传的投标文件的信息为准。其上传资料真实性由供应商自行承担，由此造成应得分而未得分或资格审查不合格等情况的，由投标供应商承担责任。</w:t>
      </w:r>
    </w:p>
    <w:p>
      <w:pPr>
        <w:spacing w:line="360" w:lineRule="auto"/>
        <w:ind w:firstLine="480" w:firstLineChars="200"/>
        <w:rPr>
          <w:rFonts w:ascii="宋体" w:hAnsi="宋体" w:cs="宋体"/>
          <w:sz w:val="24"/>
          <w:szCs w:val="24"/>
        </w:rPr>
      </w:pPr>
      <w:r>
        <w:rPr>
          <w:rFonts w:hint="eastAsia" w:ascii="宋体" w:hAnsi="宋体" w:cs="宋体"/>
          <w:sz w:val="24"/>
          <w:szCs w:val="24"/>
        </w:rPr>
        <w:t>五、投标保证金</w:t>
      </w:r>
    </w:p>
    <w:p>
      <w:pPr>
        <w:spacing w:line="360" w:lineRule="auto"/>
        <w:ind w:firstLine="480" w:firstLineChars="200"/>
        <w:rPr>
          <w:rFonts w:ascii="宋体" w:hAnsi="宋体" w:cs="宋体"/>
          <w:sz w:val="24"/>
          <w:szCs w:val="24"/>
        </w:rPr>
      </w:pPr>
      <w:r>
        <w:rPr>
          <w:rFonts w:hint="eastAsia" w:ascii="宋体" w:hAnsi="宋体" w:cs="宋体"/>
          <w:sz w:val="24"/>
          <w:szCs w:val="24"/>
        </w:rPr>
        <w:t>按照《河南省财政厅关于优化政府采购营商环境有关问题的通知》（豫财购[2019]4号文）的要求本项目不再收取投标保证金。</w:t>
      </w:r>
    </w:p>
    <w:p>
      <w:pPr>
        <w:spacing w:line="360" w:lineRule="auto"/>
        <w:ind w:firstLine="480" w:firstLineChars="200"/>
        <w:rPr>
          <w:rFonts w:ascii="宋体" w:hAnsi="宋体" w:cs="宋体"/>
          <w:sz w:val="24"/>
          <w:szCs w:val="24"/>
        </w:rPr>
      </w:pPr>
      <w:r>
        <w:rPr>
          <w:rFonts w:hint="eastAsia" w:ascii="宋体" w:hAnsi="宋体" w:cs="宋体"/>
          <w:sz w:val="24"/>
          <w:szCs w:val="24"/>
        </w:rPr>
        <w:t>六、投标文件递交截止时间及开标时间、地点</w:t>
      </w:r>
    </w:p>
    <w:p>
      <w:pPr>
        <w:spacing w:line="360" w:lineRule="auto"/>
        <w:ind w:firstLine="480" w:firstLineChars="200"/>
        <w:rPr>
          <w:rFonts w:ascii="宋体" w:hAnsi="宋体" w:cs="宋体"/>
          <w:color w:val="auto"/>
          <w:sz w:val="24"/>
          <w:szCs w:val="24"/>
        </w:rPr>
      </w:pPr>
      <w:r>
        <w:rPr>
          <w:rFonts w:hint="eastAsia" w:ascii="宋体" w:hAnsi="宋体" w:cs="宋体"/>
          <w:sz w:val="24"/>
          <w:szCs w:val="24"/>
          <w:lang w:val="zh-TW"/>
        </w:rPr>
        <w:t>1、</w:t>
      </w:r>
      <w:r>
        <w:rPr>
          <w:rFonts w:hint="eastAsia" w:ascii="宋体" w:hAnsi="宋体" w:cs="宋体"/>
          <w:sz w:val="24"/>
          <w:szCs w:val="24"/>
        </w:rPr>
        <w:t>投标文件递交的截止时间（开标时间）：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月1</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日08时30分</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2、开标地点：三门峡市陕州区公共资源交易中心第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开标室；</w:t>
      </w:r>
    </w:p>
    <w:p>
      <w:pPr>
        <w:spacing w:line="360" w:lineRule="auto"/>
        <w:ind w:firstLine="480" w:firstLineChars="200"/>
        <w:rPr>
          <w:rFonts w:ascii="宋体" w:hAnsi="宋体" w:cs="宋体"/>
          <w:color w:val="0000FF"/>
          <w:sz w:val="24"/>
          <w:szCs w:val="24"/>
        </w:rPr>
      </w:pPr>
      <w:r>
        <w:rPr>
          <w:rFonts w:hint="eastAsia" w:ascii="宋体" w:hAnsi="宋体" w:cs="宋体"/>
          <w:color w:val="auto"/>
          <w:sz w:val="24"/>
          <w:szCs w:val="24"/>
        </w:rPr>
        <w:t>3、评标地点：三门峡市陕州区公共资源交易中心第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评标室。</w:t>
      </w:r>
    </w:p>
    <w:p>
      <w:pPr>
        <w:spacing w:line="360" w:lineRule="auto"/>
        <w:ind w:firstLine="480" w:firstLineChars="200"/>
        <w:rPr>
          <w:rFonts w:ascii="宋体" w:hAnsi="宋体" w:cs="宋体"/>
          <w:sz w:val="24"/>
          <w:szCs w:val="24"/>
        </w:rPr>
      </w:pPr>
      <w:r>
        <w:rPr>
          <w:rFonts w:hint="eastAsia" w:ascii="宋体" w:hAnsi="宋体" w:cs="宋体"/>
          <w:sz w:val="24"/>
          <w:szCs w:val="24"/>
        </w:rPr>
        <w:t>七、其他事项</w:t>
      </w:r>
    </w:p>
    <w:p>
      <w:pPr>
        <w:spacing w:line="500" w:lineRule="exact"/>
        <w:ind w:firstLine="480" w:firstLineChars="200"/>
        <w:rPr>
          <w:rFonts w:ascii="宋体" w:hAnsi="宋体"/>
          <w:color w:val="000000"/>
          <w:sz w:val="24"/>
        </w:rPr>
      </w:pPr>
      <w:r>
        <w:rPr>
          <w:rFonts w:hint="eastAsia" w:ascii="宋体" w:hAnsi="宋体" w:cs="宋体"/>
          <w:sz w:val="24"/>
          <w:szCs w:val="24"/>
        </w:rPr>
        <w:t>1、</w:t>
      </w:r>
      <w:r>
        <w:rPr>
          <w:rFonts w:hint="eastAsia" w:ascii="宋体" w:hAnsi="宋体"/>
          <w:color w:val="000000"/>
          <w:sz w:val="24"/>
        </w:rPr>
        <w:t>供应商应仔细阅读操作手册，在本公告中要求的截止时间前完成投标工作，因投标人操作不当等问题造成的无法投标等一切后果，由供应商自行承担。</w:t>
      </w:r>
    </w:p>
    <w:p>
      <w:pPr>
        <w:spacing w:line="500" w:lineRule="exact"/>
        <w:ind w:firstLine="480" w:firstLineChars="200"/>
        <w:rPr>
          <w:rFonts w:ascii="宋体" w:hAnsi="宋体"/>
          <w:color w:val="000000"/>
          <w:sz w:val="24"/>
        </w:rPr>
      </w:pPr>
      <w:r>
        <w:rPr>
          <w:rFonts w:hint="eastAsia" w:ascii="宋体" w:hAnsi="宋体"/>
          <w:color w:val="000000"/>
          <w:sz w:val="24"/>
        </w:rPr>
        <w:t>2、本项目资格评审和业绩以投标文件为准，投标人可使用电子营业执照。</w:t>
      </w:r>
    </w:p>
    <w:p>
      <w:pPr>
        <w:spacing w:line="500" w:lineRule="exact"/>
        <w:ind w:firstLine="480" w:firstLineChars="200"/>
        <w:rPr>
          <w:rFonts w:ascii="宋体" w:hAnsi="宋体"/>
          <w:color w:val="000000"/>
          <w:sz w:val="24"/>
        </w:rPr>
      </w:pPr>
      <w:r>
        <w:rPr>
          <w:rFonts w:hint="eastAsia" w:ascii="宋体" w:hAnsi="宋体"/>
          <w:color w:val="000000"/>
          <w:sz w:val="24"/>
        </w:rPr>
        <w:t>（1）资格评（预）审部分：资格评（预）审以投标文件为准，其上传资料真实性由投标人自行承担，同时，投标人应在开标前自行完善主体库信息。</w:t>
      </w:r>
    </w:p>
    <w:p>
      <w:pPr>
        <w:spacing w:line="500" w:lineRule="exact"/>
        <w:ind w:firstLine="480" w:firstLineChars="200"/>
        <w:rPr>
          <w:rFonts w:ascii="宋体" w:hAnsi="宋体"/>
          <w:color w:val="000000"/>
          <w:sz w:val="24"/>
        </w:rPr>
      </w:pPr>
      <w:r>
        <w:rPr>
          <w:rFonts w:hint="eastAsia" w:ascii="宋体" w:hAnsi="宋体"/>
          <w:color w:val="000000"/>
          <w:sz w:val="24"/>
        </w:rPr>
        <w:t>（2）评标打分部分：评标打分部分按照100分制原则进行，涉及到资格审查、企业荣誉、人员业绩、企业业绩等计分部分时，以投标单位自行上传到投标文件中的各类相应内容为准。</w:t>
      </w:r>
    </w:p>
    <w:p>
      <w:pPr>
        <w:spacing w:line="500" w:lineRule="exact"/>
        <w:ind w:firstLine="480" w:firstLineChars="200"/>
        <w:rPr>
          <w:rFonts w:ascii="宋体" w:hAnsi="宋体"/>
          <w:color w:val="000000"/>
          <w:sz w:val="24"/>
        </w:rPr>
      </w:pPr>
      <w:r>
        <w:rPr>
          <w:rFonts w:hint="eastAsia" w:ascii="宋体" w:hAnsi="宋体"/>
          <w:color w:val="000000"/>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spacing w:line="500" w:lineRule="exact"/>
        <w:ind w:firstLine="480" w:firstLineChars="200"/>
        <w:rPr>
          <w:rFonts w:ascii="宋体" w:hAnsi="宋体"/>
          <w:color w:val="000000"/>
          <w:sz w:val="24"/>
        </w:rPr>
      </w:pPr>
      <w:r>
        <w:rPr>
          <w:rFonts w:hint="eastAsia" w:ascii="宋体" w:hAnsi="宋体"/>
          <w:color w:val="000000"/>
          <w:sz w:val="24"/>
        </w:rPr>
        <w:t>温馨提示：本项目为电子化、无纸化交易项目，开标时不再接受任何纸质资料，为保证您能投标成功，请需仔细阅读竞招标文件和三门峡市公共资源交易中心官网业务办理指南</w:t>
      </w:r>
    </w:p>
    <w:p>
      <w:pPr>
        <w:spacing w:line="360" w:lineRule="auto"/>
        <w:ind w:firstLine="480" w:firstLineChars="200"/>
        <w:rPr>
          <w:rFonts w:ascii="宋体" w:hAnsi="宋体" w:cs="宋体"/>
          <w:sz w:val="24"/>
          <w:szCs w:val="24"/>
        </w:rPr>
      </w:pPr>
      <w:r>
        <w:rPr>
          <w:rFonts w:hint="eastAsia" w:ascii="宋体" w:hAnsi="宋体" w:cs="宋体"/>
          <w:sz w:val="24"/>
          <w:szCs w:val="24"/>
        </w:rPr>
        <w:t>八、发布公告的媒介</w:t>
      </w:r>
    </w:p>
    <w:p>
      <w:pPr>
        <w:spacing w:line="360" w:lineRule="auto"/>
        <w:ind w:firstLine="480" w:firstLineChars="200"/>
      </w:pPr>
      <w:r>
        <w:rPr>
          <w:rFonts w:hint="eastAsia" w:ascii="宋体" w:hAnsi="宋体" w:cs="宋体"/>
          <w:sz w:val="24"/>
          <w:szCs w:val="24"/>
        </w:rPr>
        <w:t>本次招标公告同时在《河南省政府采购网》、《中国采购与招标网》、《三门峡市公共资源交易中心网》等媒体公开发布。</w:t>
      </w:r>
    </w:p>
    <w:p>
      <w:pPr>
        <w:spacing w:line="360" w:lineRule="auto"/>
        <w:ind w:firstLine="480" w:firstLineChars="200"/>
        <w:rPr>
          <w:rFonts w:ascii="宋体" w:hAnsi="宋体" w:cs="宋体"/>
          <w:sz w:val="24"/>
          <w:szCs w:val="24"/>
        </w:rPr>
      </w:pPr>
      <w:r>
        <w:rPr>
          <w:rFonts w:hint="eastAsia" w:ascii="宋体" w:hAnsi="宋体" w:cs="宋体"/>
          <w:sz w:val="24"/>
          <w:szCs w:val="24"/>
        </w:rPr>
        <w:t>九、联系方式</w:t>
      </w:r>
    </w:p>
    <w:p>
      <w:pPr>
        <w:spacing w:line="500" w:lineRule="exact"/>
        <w:ind w:firstLine="480" w:firstLineChars="200"/>
        <w:rPr>
          <w:rFonts w:hint="eastAsia" w:ascii="宋体" w:hAnsi="宋体" w:eastAsia="宋体"/>
          <w:color w:val="auto"/>
          <w:sz w:val="24"/>
          <w:lang w:eastAsia="zh-CN"/>
        </w:rPr>
      </w:pPr>
      <w:bookmarkStart w:id="3" w:name="_Toc410126998"/>
      <w:bookmarkStart w:id="4" w:name="_Toc270604573"/>
      <w:bookmarkStart w:id="5" w:name="_Toc28449"/>
      <w:r>
        <w:rPr>
          <w:rFonts w:hint="eastAsia" w:ascii="宋体" w:hAnsi="宋体"/>
          <w:color w:val="auto"/>
          <w:sz w:val="24"/>
        </w:rPr>
        <w:t>招标人：</w:t>
      </w:r>
      <w:r>
        <w:rPr>
          <w:rFonts w:hint="eastAsia" w:ascii="宋体" w:hAnsi="宋体"/>
          <w:color w:val="auto"/>
          <w:sz w:val="24"/>
          <w:lang w:eastAsia="zh-CN"/>
        </w:rPr>
        <w:t>三门峡市陕州区环境污染防治攻坚战领导小组办公室</w:t>
      </w:r>
    </w:p>
    <w:p>
      <w:pPr>
        <w:spacing w:line="500" w:lineRule="exact"/>
        <w:ind w:firstLine="480" w:firstLineChars="200"/>
        <w:rPr>
          <w:rFonts w:hint="eastAsia" w:ascii="宋体" w:hAnsi="宋体" w:eastAsia="宋体"/>
          <w:color w:val="auto"/>
          <w:sz w:val="24"/>
          <w:lang w:eastAsia="zh-CN"/>
        </w:rPr>
      </w:pPr>
      <w:r>
        <w:rPr>
          <w:rFonts w:hint="eastAsia" w:ascii="宋体" w:hAnsi="宋体"/>
          <w:color w:val="auto"/>
          <w:sz w:val="24"/>
        </w:rPr>
        <w:t>联系人：</w:t>
      </w:r>
      <w:r>
        <w:rPr>
          <w:rFonts w:hint="eastAsia" w:ascii="宋体" w:hAnsi="宋体" w:cs="Tahoma"/>
          <w:color w:val="auto"/>
          <w:sz w:val="24"/>
          <w:szCs w:val="24"/>
          <w:lang w:val="zh-TW" w:eastAsia="zh-CN"/>
        </w:rPr>
        <w:t>高女士</w:t>
      </w:r>
      <w:r>
        <w:rPr>
          <w:rFonts w:hint="eastAsia" w:ascii="宋体" w:hAnsi="宋体"/>
          <w:color w:val="auto"/>
          <w:sz w:val="24"/>
          <w:lang w:val="en-US" w:eastAsia="zh-CN"/>
        </w:rPr>
        <w:t xml:space="preserve"> </w:t>
      </w:r>
    </w:p>
    <w:p>
      <w:pPr>
        <w:spacing w:line="500" w:lineRule="exact"/>
        <w:ind w:firstLine="480" w:firstLineChars="200"/>
        <w:rPr>
          <w:rFonts w:hint="eastAsia" w:ascii="宋体" w:hAnsi="宋体" w:eastAsia="宋体"/>
          <w:color w:val="auto"/>
          <w:sz w:val="24"/>
          <w:lang w:eastAsia="zh-CN"/>
        </w:rPr>
      </w:pPr>
      <w:r>
        <w:rPr>
          <w:rFonts w:hint="eastAsia" w:ascii="宋体" w:hAnsi="宋体"/>
          <w:color w:val="auto"/>
          <w:sz w:val="24"/>
        </w:rPr>
        <w:t>电</w:t>
      </w:r>
      <w:r>
        <w:rPr>
          <w:rFonts w:hint="eastAsia" w:ascii="宋体" w:hAnsi="宋体"/>
          <w:color w:val="auto"/>
          <w:sz w:val="24"/>
          <w:lang w:val="en-US" w:eastAsia="zh-CN"/>
        </w:rPr>
        <w:t xml:space="preserve">  </w:t>
      </w:r>
      <w:r>
        <w:rPr>
          <w:rFonts w:hint="eastAsia" w:ascii="宋体" w:hAnsi="宋体"/>
          <w:color w:val="auto"/>
          <w:sz w:val="24"/>
        </w:rPr>
        <w:t>话：</w:t>
      </w:r>
      <w:r>
        <w:rPr>
          <w:rFonts w:hint="eastAsia" w:ascii="宋体" w:hAnsi="宋体" w:cs="Tahoma"/>
          <w:color w:val="auto"/>
          <w:sz w:val="24"/>
          <w:szCs w:val="24"/>
          <w:lang w:eastAsia="zh-CN"/>
        </w:rPr>
        <w:t>13803981700</w:t>
      </w:r>
      <w:r>
        <w:rPr>
          <w:rFonts w:hint="eastAsia" w:ascii="宋体" w:hAnsi="宋体"/>
          <w:color w:val="auto"/>
          <w:sz w:val="24"/>
          <w:lang w:val="en-US" w:eastAsia="zh-CN"/>
        </w:rPr>
        <w:t xml:space="preserve"> </w:t>
      </w:r>
    </w:p>
    <w:p>
      <w:pPr>
        <w:spacing w:line="500" w:lineRule="exact"/>
        <w:ind w:firstLine="480" w:firstLineChars="200"/>
        <w:rPr>
          <w:rFonts w:ascii="宋体" w:hAnsi="宋体"/>
          <w:color w:val="000000"/>
          <w:sz w:val="24"/>
        </w:rPr>
      </w:pPr>
      <w:r>
        <w:rPr>
          <w:rFonts w:hint="eastAsia" w:ascii="宋体" w:hAnsi="宋体"/>
          <w:color w:val="000000"/>
          <w:sz w:val="24"/>
        </w:rPr>
        <w:t>招标代理机构：亿诚建设项目管理有限公司</w:t>
      </w:r>
    </w:p>
    <w:p>
      <w:pPr>
        <w:spacing w:line="500" w:lineRule="exact"/>
        <w:ind w:firstLine="480" w:firstLineChars="200"/>
        <w:rPr>
          <w:rFonts w:hint="eastAsia" w:ascii="宋体" w:hAnsi="宋体" w:eastAsia="宋体"/>
          <w:color w:val="000000"/>
          <w:sz w:val="24"/>
          <w:lang w:eastAsia="zh-CN"/>
        </w:rPr>
      </w:pPr>
      <w:r>
        <w:rPr>
          <w:rFonts w:hint="eastAsia" w:ascii="宋体" w:hAnsi="宋体"/>
          <w:color w:val="000000"/>
          <w:sz w:val="24"/>
        </w:rPr>
        <w:t>地  址：</w:t>
      </w:r>
      <w:r>
        <w:rPr>
          <w:rFonts w:hint="eastAsia" w:ascii="宋体" w:hAnsi="宋体"/>
          <w:color w:val="000000"/>
          <w:sz w:val="24"/>
          <w:lang w:eastAsia="zh-CN"/>
        </w:rPr>
        <w:t>三门峡市陕州区新华书店前排三楼305室</w:t>
      </w:r>
    </w:p>
    <w:p>
      <w:pPr>
        <w:spacing w:line="500" w:lineRule="exact"/>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郑</w:t>
      </w:r>
      <w:r>
        <w:rPr>
          <w:rFonts w:hint="eastAsia" w:ascii="宋体" w:hAnsi="宋体"/>
          <w:color w:val="000000"/>
          <w:sz w:val="24"/>
        </w:rPr>
        <w:t>女士</w:t>
      </w:r>
    </w:p>
    <w:p>
      <w:pPr>
        <w:spacing w:line="500" w:lineRule="exact"/>
        <w:ind w:firstLine="480" w:firstLineChars="200"/>
        <w:rPr>
          <w:rFonts w:hint="eastAsia" w:ascii="宋体" w:hAnsi="宋体"/>
          <w:color w:val="000000"/>
          <w:sz w:val="24"/>
          <w:lang w:val="en-US" w:eastAsia="zh-CN"/>
        </w:rPr>
      </w:pPr>
      <w:r>
        <w:rPr>
          <w:rFonts w:hint="eastAsia" w:ascii="宋体" w:hAnsi="宋体"/>
          <w:color w:val="000000"/>
          <w:sz w:val="24"/>
        </w:rPr>
        <w:t xml:space="preserve">电  话：0398-2229616      </w:t>
      </w:r>
      <w:r>
        <w:rPr>
          <w:rFonts w:hint="eastAsia" w:ascii="宋体" w:hAnsi="宋体"/>
          <w:color w:val="000000"/>
          <w:sz w:val="24"/>
          <w:lang w:val="en-US" w:eastAsia="zh-CN"/>
        </w:rPr>
        <w:t>13525249993</w:t>
      </w:r>
    </w:p>
    <w:p>
      <w:pPr>
        <w:spacing w:line="500" w:lineRule="exact"/>
        <w:ind w:firstLine="480" w:firstLineChars="200"/>
        <w:rPr>
          <w:rFonts w:hint="eastAsia" w:ascii="宋体" w:hAnsi="宋体"/>
          <w:color w:val="000000"/>
          <w:sz w:val="24"/>
        </w:rPr>
      </w:pPr>
      <w:r>
        <w:rPr>
          <w:rFonts w:hint="eastAsia" w:ascii="宋体" w:hAnsi="宋体"/>
          <w:color w:val="000000"/>
          <w:sz w:val="24"/>
        </w:rPr>
        <w:t>监督单位：三门峡市陕州区财政局政府采购监督管理科</w:t>
      </w:r>
    </w:p>
    <w:p>
      <w:pPr>
        <w:spacing w:line="500" w:lineRule="exact"/>
        <w:ind w:firstLine="480" w:firstLineChars="200"/>
        <w:rPr>
          <w:rFonts w:hint="eastAsia" w:ascii="宋体" w:hAnsi="宋体" w:eastAsia="宋体"/>
          <w:color w:val="auto"/>
          <w:sz w:val="24"/>
          <w:lang w:eastAsia="zh-CN"/>
        </w:rPr>
      </w:pPr>
      <w:r>
        <w:rPr>
          <w:rFonts w:hint="eastAsia" w:ascii="宋体" w:hAnsi="宋体"/>
          <w:color w:val="auto"/>
          <w:sz w:val="24"/>
          <w:lang w:val="en-US" w:eastAsia="zh-CN"/>
        </w:rPr>
        <w:t>地  址</w:t>
      </w:r>
      <w:r>
        <w:rPr>
          <w:rFonts w:hint="eastAsia" w:ascii="宋体" w:hAnsi="宋体"/>
          <w:color w:val="auto"/>
          <w:sz w:val="24"/>
        </w:rPr>
        <w:t>：陕州区陕州大道中段</w:t>
      </w:r>
      <w:r>
        <w:rPr>
          <w:rFonts w:hint="eastAsia" w:ascii="宋体" w:hAnsi="宋体"/>
          <w:color w:val="auto"/>
          <w:sz w:val="24"/>
          <w:lang w:val="en-US" w:eastAsia="zh-CN"/>
        </w:rPr>
        <w:t xml:space="preserve"> </w:t>
      </w:r>
    </w:p>
    <w:p>
      <w:pPr>
        <w:spacing w:line="500" w:lineRule="exact"/>
        <w:ind w:firstLine="480" w:firstLineChars="200"/>
        <w:rPr>
          <w:rFonts w:hint="default" w:ascii="宋体" w:hAnsi="宋体"/>
          <w:color w:val="000000"/>
          <w:sz w:val="24"/>
          <w:lang w:val="en-US" w:eastAsia="zh-CN"/>
        </w:rPr>
      </w:pPr>
      <w:r>
        <w:rPr>
          <w:rFonts w:hint="eastAsia" w:ascii="宋体" w:hAnsi="宋体"/>
          <w:color w:val="auto"/>
          <w:sz w:val="24"/>
        </w:rPr>
        <w:t>电</w:t>
      </w:r>
      <w:r>
        <w:rPr>
          <w:rFonts w:hint="eastAsia" w:ascii="宋体" w:hAnsi="宋体"/>
          <w:color w:val="auto"/>
          <w:sz w:val="24"/>
          <w:lang w:val="en-US" w:eastAsia="zh-CN"/>
        </w:rPr>
        <w:t xml:space="preserve">  </w:t>
      </w:r>
      <w:r>
        <w:rPr>
          <w:rFonts w:hint="eastAsia" w:ascii="宋体" w:hAnsi="宋体"/>
          <w:color w:val="auto"/>
          <w:sz w:val="24"/>
        </w:rPr>
        <w:t>话：</w:t>
      </w:r>
      <w:r>
        <w:rPr>
          <w:rFonts w:hint="eastAsia" w:ascii="宋体" w:hAnsi="宋体"/>
          <w:color w:val="auto"/>
          <w:sz w:val="24"/>
          <w:lang w:val="en-US" w:eastAsia="zh-CN"/>
        </w:rPr>
        <w:t>0398-3839210</w:t>
      </w:r>
    </w:p>
    <w:p>
      <w:pPr>
        <w:pStyle w:val="2"/>
        <w:keepNext w:val="0"/>
        <w:keepLines w:val="0"/>
        <w:pageBreakBefore/>
        <w:spacing w:before="120" w:after="120" w:line="400" w:lineRule="exact"/>
        <w:jc w:val="center"/>
        <w:rPr>
          <w:rFonts w:ascii="黑体" w:hAnsi="黑体" w:eastAsia="黑体"/>
          <w:sz w:val="36"/>
          <w:szCs w:val="36"/>
        </w:rPr>
      </w:pPr>
      <w:bookmarkStart w:id="6" w:name="_Toc38013512"/>
      <w:r>
        <w:rPr>
          <w:rFonts w:hint="eastAsia" w:ascii="黑体" w:hAnsi="黑体" w:eastAsia="黑体"/>
          <w:sz w:val="36"/>
          <w:szCs w:val="36"/>
        </w:rPr>
        <w:t>第二章 供应商须知</w:t>
      </w:r>
      <w:bookmarkEnd w:id="3"/>
      <w:bookmarkEnd w:id="4"/>
      <w:bookmarkEnd w:id="5"/>
      <w:bookmarkEnd w:id="6"/>
      <w:bookmarkStart w:id="7" w:name="_Toc503112329"/>
      <w:bookmarkStart w:id="8" w:name="_Toc4962"/>
      <w:bookmarkStart w:id="9" w:name="_Toc31918"/>
      <w:bookmarkStart w:id="10" w:name="_Toc270604574"/>
      <w:bookmarkStart w:id="11" w:name="_Toc269470293"/>
      <w:bookmarkStart w:id="12" w:name="_Toc15504"/>
      <w:bookmarkStart w:id="13" w:name="_Toc504055106"/>
      <w:bookmarkStart w:id="14" w:name="_Toc503886922"/>
      <w:bookmarkStart w:id="15" w:name="_Toc505073888"/>
      <w:bookmarkStart w:id="16" w:name="_Toc503885586"/>
    </w:p>
    <w:p>
      <w:pPr>
        <w:spacing w:line="360" w:lineRule="auto"/>
        <w:jc w:val="center"/>
        <w:rPr>
          <w:rFonts w:hAnsi="宋体"/>
          <w:sz w:val="24"/>
          <w:szCs w:val="24"/>
        </w:rPr>
      </w:pPr>
      <w:bookmarkStart w:id="17" w:name="_Toc6916"/>
      <w:bookmarkStart w:id="18" w:name="_Toc31332"/>
      <w:r>
        <w:rPr>
          <w:rFonts w:hint="eastAsia" w:ascii="宋体" w:hAnsi="Calibri" w:eastAsia="黑体" w:cs="宋体"/>
          <w:b/>
          <w:sz w:val="24"/>
          <w:szCs w:val="20"/>
        </w:rPr>
        <w:t>供应商须知前附表</w:t>
      </w:r>
      <w:bookmarkEnd w:id="7"/>
      <w:bookmarkEnd w:id="8"/>
      <w:bookmarkEnd w:id="9"/>
      <w:bookmarkEnd w:id="10"/>
      <w:bookmarkEnd w:id="11"/>
      <w:bookmarkEnd w:id="12"/>
      <w:bookmarkEnd w:id="13"/>
      <w:bookmarkEnd w:id="14"/>
      <w:bookmarkEnd w:id="15"/>
      <w:bookmarkEnd w:id="16"/>
      <w:bookmarkEnd w:id="17"/>
      <w:bookmarkEnd w:id="18"/>
    </w:p>
    <w:tbl>
      <w:tblPr>
        <w:tblStyle w:val="47"/>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284"/>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条款号</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条款名称</w:t>
            </w:r>
          </w:p>
        </w:tc>
        <w:tc>
          <w:tcPr>
            <w:tcW w:w="6661"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1.1.2</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招标人</w:t>
            </w:r>
          </w:p>
        </w:tc>
        <w:tc>
          <w:tcPr>
            <w:tcW w:w="6661" w:type="dxa"/>
            <w:tcBorders>
              <w:top w:val="single" w:color="auto" w:sz="4" w:space="0"/>
              <w:left w:val="nil"/>
              <w:bottom w:val="single" w:color="auto" w:sz="4" w:space="0"/>
              <w:right w:val="single" w:color="auto" w:sz="4" w:space="0"/>
            </w:tcBorders>
            <w:vAlign w:val="center"/>
          </w:tcPr>
          <w:p>
            <w:pPr>
              <w:rPr>
                <w:rFonts w:hint="eastAsia" w:ascii="宋体" w:hAnsi="宋体" w:eastAsia="宋体" w:cs="Tahoma"/>
                <w:color w:val="000000"/>
                <w:sz w:val="24"/>
                <w:szCs w:val="24"/>
                <w:lang w:eastAsia="zh-CN"/>
              </w:rPr>
            </w:pPr>
            <w:r>
              <w:rPr>
                <w:rFonts w:hint="eastAsia" w:ascii="宋体" w:hAnsi="宋体" w:cs="宋体"/>
                <w:sz w:val="24"/>
                <w:szCs w:val="24"/>
              </w:rPr>
              <w:t>招标人：</w:t>
            </w:r>
            <w:r>
              <w:rPr>
                <w:rFonts w:hint="eastAsia" w:ascii="宋体" w:hAnsi="宋体" w:cs="Tahoma"/>
                <w:color w:val="000000"/>
                <w:sz w:val="24"/>
                <w:szCs w:val="24"/>
                <w:lang w:eastAsia="zh-CN"/>
              </w:rPr>
              <w:t>三门峡市陕州区环境污染防治攻坚战领导小组办公室</w:t>
            </w:r>
          </w:p>
          <w:p>
            <w:pPr>
              <w:rPr>
                <w:rFonts w:hint="eastAsia" w:ascii="宋体" w:hAnsi="宋体" w:eastAsia="宋体" w:cs="Tahoma"/>
                <w:color w:val="auto"/>
                <w:sz w:val="24"/>
                <w:szCs w:val="24"/>
                <w:lang w:val="zh-TW" w:eastAsia="zh-CN"/>
              </w:rPr>
            </w:pPr>
            <w:r>
              <w:rPr>
                <w:rFonts w:hint="eastAsia" w:ascii="宋体" w:hAnsi="宋体" w:cs="Tahoma"/>
                <w:color w:val="000000"/>
                <w:sz w:val="24"/>
                <w:szCs w:val="24"/>
                <w:lang w:val="zh-TW"/>
              </w:rPr>
              <w:t>联系人：</w:t>
            </w:r>
            <w:r>
              <w:rPr>
                <w:rFonts w:hint="eastAsia" w:ascii="宋体" w:hAnsi="宋体" w:cs="Tahoma"/>
                <w:color w:val="auto"/>
                <w:sz w:val="24"/>
                <w:szCs w:val="24"/>
                <w:lang w:val="zh-TW" w:eastAsia="zh-CN"/>
              </w:rPr>
              <w:t>高女士</w:t>
            </w:r>
          </w:p>
          <w:p>
            <w:pPr>
              <w:rPr>
                <w:rFonts w:hint="eastAsia" w:ascii="宋体" w:hAnsi="宋体" w:eastAsia="宋体" w:cs="Tahoma"/>
                <w:color w:val="000000"/>
                <w:sz w:val="24"/>
                <w:szCs w:val="24"/>
                <w:lang w:eastAsia="zh-CN"/>
              </w:rPr>
            </w:pPr>
            <w:r>
              <w:rPr>
                <w:rFonts w:hint="eastAsia" w:ascii="宋体" w:hAnsi="宋体" w:cs="Tahoma"/>
                <w:color w:val="auto"/>
                <w:sz w:val="24"/>
                <w:szCs w:val="24"/>
                <w:lang w:val="zh-TW"/>
              </w:rPr>
              <w:t>联系电话：</w:t>
            </w:r>
            <w:r>
              <w:rPr>
                <w:rFonts w:hint="eastAsia" w:ascii="宋体" w:hAnsi="宋体" w:cs="Tahoma"/>
                <w:color w:val="auto"/>
                <w:sz w:val="24"/>
                <w:szCs w:val="24"/>
                <w:lang w:eastAsia="zh-CN"/>
              </w:rPr>
              <w:t>13803981700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1.1.3</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招标代理</w:t>
            </w:r>
          </w:p>
          <w:p>
            <w:pPr>
              <w:jc w:val="center"/>
              <w:rPr>
                <w:rFonts w:ascii="宋体" w:hAnsi="宋体" w:cs="宋体"/>
                <w:sz w:val="24"/>
                <w:szCs w:val="24"/>
              </w:rPr>
            </w:pPr>
            <w:r>
              <w:rPr>
                <w:rFonts w:hint="eastAsia" w:ascii="宋体" w:hAnsi="宋体" w:cs="宋体"/>
                <w:sz w:val="24"/>
                <w:szCs w:val="24"/>
              </w:rPr>
              <w:t>机构</w:t>
            </w:r>
          </w:p>
        </w:tc>
        <w:tc>
          <w:tcPr>
            <w:tcW w:w="666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招标代理机构：亿诚建设项目管理有限公司</w:t>
            </w:r>
          </w:p>
          <w:p>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三门峡市陕州区新华书店前排三楼305室</w:t>
            </w:r>
            <w:r>
              <w:rPr>
                <w:rFonts w:hint="eastAsia" w:ascii="宋体" w:hAnsi="宋体" w:cs="宋体"/>
                <w:sz w:val="24"/>
                <w:szCs w:val="24"/>
              </w:rPr>
              <w:t> </w:t>
            </w:r>
          </w:p>
          <w:p>
            <w:pPr>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郑</w:t>
            </w:r>
            <w:r>
              <w:rPr>
                <w:rFonts w:hint="eastAsia" w:ascii="宋体" w:hAnsi="宋体" w:cs="宋体"/>
                <w:sz w:val="24"/>
                <w:szCs w:val="24"/>
              </w:rPr>
              <w:t>女士（</w:t>
            </w:r>
            <w:r>
              <w:rPr>
                <w:rFonts w:hint="eastAsia" w:ascii="宋体" w:hAnsi="宋体" w:cs="宋体"/>
                <w:sz w:val="24"/>
                <w:szCs w:val="24"/>
                <w:lang w:val="zh-TW"/>
              </w:rPr>
              <w:t xml:space="preserve">0398-2229616    </w:t>
            </w:r>
            <w:r>
              <w:rPr>
                <w:rFonts w:hint="eastAsia" w:ascii="宋体" w:hAnsi="宋体" w:cs="宋体"/>
                <w:sz w:val="24"/>
                <w:szCs w:val="24"/>
                <w:lang w:val="en-US" w:eastAsia="zh-CN"/>
              </w:rPr>
              <w:t>13525249993</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1.1.4</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项目名称</w:t>
            </w:r>
          </w:p>
        </w:tc>
        <w:tc>
          <w:tcPr>
            <w:tcW w:w="666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cs="宋体"/>
                <w:sz w:val="24"/>
                <w:szCs w:val="24"/>
                <w:lang w:eastAsia="zh-CN"/>
              </w:rPr>
              <w:t>7个乡镇空气自动监测站升级改造项目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1.1.5</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地  点</w:t>
            </w:r>
          </w:p>
        </w:tc>
        <w:tc>
          <w:tcPr>
            <w:tcW w:w="666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Tahoma"/>
                <w:color w:val="000000"/>
                <w:sz w:val="24"/>
                <w:szCs w:val="24"/>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1.2.1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资金来源</w:t>
            </w:r>
          </w:p>
        </w:tc>
        <w:tc>
          <w:tcPr>
            <w:tcW w:w="666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1.3.1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招标范围</w:t>
            </w:r>
          </w:p>
        </w:tc>
        <w:tc>
          <w:tcPr>
            <w:tcW w:w="6661" w:type="dxa"/>
            <w:tcBorders>
              <w:top w:val="single" w:color="auto" w:sz="4" w:space="0"/>
              <w:left w:val="nil"/>
              <w:bottom w:val="single" w:color="auto" w:sz="4" w:space="0"/>
              <w:right w:val="single" w:color="auto" w:sz="4" w:space="0"/>
            </w:tcBorders>
            <w:vAlign w:val="center"/>
          </w:tcPr>
          <w:p>
            <w:pPr>
              <w:snapToGrid w:val="0"/>
              <w:textAlignment w:val="baseline"/>
              <w:rPr>
                <w:rFonts w:ascii="宋体" w:hAnsi="宋体" w:cs="宋体"/>
                <w:sz w:val="24"/>
                <w:szCs w:val="24"/>
              </w:rPr>
            </w:pPr>
            <w:r>
              <w:rPr>
                <w:rFonts w:hint="eastAsia" w:ascii="宋体" w:hAnsi="宋体" w:cs="宋体"/>
                <w:sz w:val="24"/>
                <w:szCs w:val="24"/>
              </w:rPr>
              <w:t>招标文件内所包含的全部内容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1.3.2</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供货期</w:t>
            </w:r>
          </w:p>
        </w:tc>
        <w:tc>
          <w:tcPr>
            <w:tcW w:w="666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cs="宋体"/>
                <w:color w:val="auto"/>
                <w:sz w:val="24"/>
                <w:szCs w:val="24"/>
                <w:lang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1.3.3</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质量要求</w:t>
            </w:r>
          </w:p>
        </w:tc>
        <w:tc>
          <w:tcPr>
            <w:tcW w:w="6661" w:type="dxa"/>
            <w:tcBorders>
              <w:top w:val="single" w:color="auto" w:sz="4" w:space="0"/>
              <w:left w:val="nil"/>
              <w:bottom w:val="single" w:color="auto" w:sz="4" w:space="0"/>
              <w:right w:val="single" w:color="auto" w:sz="4" w:space="0"/>
            </w:tcBorders>
            <w:vAlign w:val="center"/>
          </w:tcPr>
          <w:p>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符合国家及行业内相关质量标准及规定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3"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1.4.1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供应商资质</w:t>
            </w:r>
          </w:p>
          <w:p>
            <w:pPr>
              <w:jc w:val="center"/>
              <w:rPr>
                <w:rFonts w:ascii="宋体" w:hAnsi="宋体" w:cs="宋体"/>
                <w:sz w:val="24"/>
                <w:szCs w:val="24"/>
              </w:rPr>
            </w:pPr>
            <w:r>
              <w:rPr>
                <w:rFonts w:hint="eastAsia" w:ascii="宋体" w:hAnsi="宋体" w:cs="宋体"/>
                <w:sz w:val="24"/>
                <w:szCs w:val="24"/>
              </w:rPr>
              <w:t>条件、能力</w:t>
            </w:r>
          </w:p>
          <w:p>
            <w:pPr>
              <w:ind w:firstLine="240" w:firstLineChars="100"/>
              <w:jc w:val="center"/>
              <w:rPr>
                <w:rFonts w:ascii="宋体" w:hAnsi="宋体" w:cs="宋体"/>
                <w:sz w:val="24"/>
                <w:szCs w:val="24"/>
              </w:rPr>
            </w:pPr>
            <w:r>
              <w:rPr>
                <w:rFonts w:hint="eastAsia" w:ascii="宋体" w:hAnsi="宋体" w:cs="宋体"/>
                <w:sz w:val="24"/>
                <w:szCs w:val="24"/>
              </w:rPr>
              <w:t>和信誉</w:t>
            </w:r>
          </w:p>
        </w:tc>
        <w:tc>
          <w:tcPr>
            <w:tcW w:w="6661" w:type="dxa"/>
            <w:tcBorders>
              <w:top w:val="single" w:color="auto" w:sz="4" w:space="0"/>
              <w:left w:val="nil"/>
              <w:bottom w:val="single" w:color="auto" w:sz="4" w:space="0"/>
              <w:right w:val="single" w:color="auto" w:sz="4" w:space="0"/>
            </w:tcBorders>
            <w:vAlign w:val="center"/>
          </w:tcPr>
          <w:p>
            <w:pPr>
              <w:spacing w:line="400" w:lineRule="exact"/>
              <w:jc w:val="left"/>
              <w:rPr>
                <w:rFonts w:hint="eastAsia" w:ascii="宋体" w:hAnsi="宋体" w:cs="宋体"/>
                <w:sz w:val="24"/>
                <w:lang w:val="zh-TW" w:eastAsia="zh-TW"/>
              </w:rPr>
            </w:pPr>
            <w:r>
              <w:rPr>
                <w:rFonts w:hint="eastAsia" w:ascii="宋体" w:hAnsi="宋体" w:cs="宋体"/>
                <w:sz w:val="24"/>
                <w:lang w:val="zh-TW" w:eastAsia="zh-TW"/>
              </w:rPr>
              <w:t>供应商必须符合《中华人民共和国政府采购法》第二十二条的规定并同时具备下列条件：</w:t>
            </w:r>
          </w:p>
          <w:p>
            <w:pPr>
              <w:spacing w:line="400" w:lineRule="exact"/>
              <w:jc w:val="left"/>
              <w:rPr>
                <w:rFonts w:hint="eastAsia" w:ascii="宋体" w:hAnsi="宋体" w:cs="宋体"/>
                <w:sz w:val="24"/>
                <w:lang w:val="zh-TW" w:eastAsia="zh-TW"/>
              </w:rPr>
            </w:pPr>
            <w:r>
              <w:rPr>
                <w:rFonts w:hint="eastAsia" w:ascii="宋体" w:hAnsi="宋体" w:cs="宋体"/>
                <w:sz w:val="24"/>
                <w:lang w:val="zh-TW" w:eastAsia="zh-TW"/>
              </w:rPr>
              <w:t>1、投标供应商须具有合法有效的营业执照；</w:t>
            </w:r>
          </w:p>
          <w:p>
            <w:pPr>
              <w:spacing w:line="400" w:lineRule="exact"/>
              <w:jc w:val="left"/>
              <w:rPr>
                <w:rFonts w:hint="eastAsia" w:ascii="宋体" w:hAnsi="宋体" w:cs="宋体"/>
                <w:sz w:val="24"/>
                <w:lang w:val="zh-TW" w:eastAsia="zh-TW"/>
              </w:rPr>
            </w:pPr>
            <w:r>
              <w:rPr>
                <w:rFonts w:hint="eastAsia" w:ascii="宋体" w:hAnsi="宋体" w:cs="宋体"/>
                <w:sz w:val="24"/>
                <w:lang w:val="zh-TW" w:eastAsia="zh-TW"/>
              </w:rPr>
              <w:t>2、供应商须出具本企业无商业贿赂和不正当竞争行为承诺书；</w:t>
            </w:r>
          </w:p>
          <w:p>
            <w:pPr>
              <w:spacing w:line="400" w:lineRule="exact"/>
              <w:jc w:val="left"/>
              <w:rPr>
                <w:rFonts w:hint="eastAsia" w:ascii="宋体" w:hAnsi="宋体" w:cs="宋体"/>
                <w:sz w:val="24"/>
                <w:lang w:val="zh-TW" w:eastAsia="zh-TW"/>
              </w:rPr>
            </w:pPr>
            <w:r>
              <w:rPr>
                <w:rFonts w:hint="eastAsia" w:ascii="宋体" w:hAnsi="宋体" w:cs="宋体"/>
                <w:sz w:val="24"/>
                <w:lang w:val="zh-TW" w:eastAsia="zh-TW"/>
              </w:rPr>
              <w:t>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pPr>
              <w:spacing w:line="400" w:lineRule="exact"/>
              <w:jc w:val="left"/>
              <w:rPr>
                <w:rFonts w:ascii="宋体" w:hAnsi="宋体" w:cs="宋体"/>
                <w:sz w:val="24"/>
                <w:lang w:val="zh-TW"/>
              </w:rPr>
            </w:pPr>
            <w:r>
              <w:rPr>
                <w:rFonts w:hint="eastAsia" w:ascii="宋体" w:hAnsi="宋体" w:cs="宋体"/>
                <w:sz w:val="24"/>
                <w:lang w:val="zh-TW" w:eastAsia="zh-TW"/>
              </w:rPr>
              <w:t>4、本项目不接受联合体报名。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1.4.2</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xml:space="preserve">是否接受联合体   </w:t>
            </w:r>
          </w:p>
        </w:tc>
        <w:tc>
          <w:tcPr>
            <w:tcW w:w="666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1.9.1</w:t>
            </w:r>
          </w:p>
        </w:tc>
        <w:tc>
          <w:tcPr>
            <w:tcW w:w="1985" w:type="dxa"/>
            <w:gridSpan w:val="2"/>
            <w:tcBorders>
              <w:top w:val="single" w:color="auto" w:sz="4" w:space="0"/>
              <w:left w:val="nil"/>
              <w:bottom w:val="single" w:color="auto" w:sz="4" w:space="0"/>
              <w:right w:val="single" w:color="auto" w:sz="4" w:space="0"/>
            </w:tcBorders>
            <w:vAlign w:val="center"/>
          </w:tcPr>
          <w:p>
            <w:pPr>
              <w:ind w:firstLine="240" w:firstLineChars="100"/>
              <w:jc w:val="center"/>
              <w:rPr>
                <w:rFonts w:ascii="宋体" w:hAnsi="宋体" w:cs="宋体"/>
                <w:sz w:val="24"/>
                <w:szCs w:val="24"/>
              </w:rPr>
            </w:pPr>
            <w:r>
              <w:rPr>
                <w:rFonts w:hint="eastAsia" w:ascii="宋体" w:hAnsi="宋体" w:cs="宋体"/>
                <w:sz w:val="24"/>
                <w:szCs w:val="24"/>
              </w:rPr>
              <w:t>踏勘现场</w:t>
            </w:r>
          </w:p>
        </w:tc>
        <w:tc>
          <w:tcPr>
            <w:tcW w:w="666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1.10.1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招标预备会</w:t>
            </w:r>
          </w:p>
        </w:tc>
        <w:tc>
          <w:tcPr>
            <w:tcW w:w="666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1.11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分  包</w:t>
            </w:r>
          </w:p>
        </w:tc>
        <w:tc>
          <w:tcPr>
            <w:tcW w:w="666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构成招标文件的其他材料</w:t>
            </w:r>
          </w:p>
        </w:tc>
        <w:tc>
          <w:tcPr>
            <w:tcW w:w="6661" w:type="dxa"/>
            <w:tcBorders>
              <w:top w:val="single" w:color="auto" w:sz="4" w:space="0"/>
              <w:left w:val="nil"/>
              <w:bottom w:val="single" w:color="auto" w:sz="4" w:space="0"/>
              <w:right w:val="single" w:color="auto" w:sz="4" w:space="0"/>
            </w:tcBorders>
            <w:vAlign w:val="center"/>
          </w:tcPr>
          <w:p>
            <w:pPr>
              <w:spacing w:line="400" w:lineRule="exact"/>
              <w:rPr>
                <w:rFonts w:ascii="宋体" w:hAnsi="宋体" w:cs="宋体"/>
                <w:sz w:val="24"/>
                <w:szCs w:val="24"/>
              </w:rPr>
            </w:pPr>
            <w:r>
              <w:rPr>
                <w:rFonts w:hint="eastAsia" w:ascii="宋体" w:hAnsi="宋体" w:cs="宋体"/>
                <w:sz w:val="24"/>
                <w:szCs w:val="24"/>
              </w:rPr>
              <w:t>对招标文件所作的澄清（含答疑）、修改，补充构成招标文件的组成部分。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2.2.1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供应商要求澄清招标文件的截止时间</w:t>
            </w:r>
          </w:p>
        </w:tc>
        <w:tc>
          <w:tcPr>
            <w:tcW w:w="666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投标文件递交截止时间15日前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2.2.2</w:t>
            </w:r>
          </w:p>
        </w:tc>
        <w:tc>
          <w:tcPr>
            <w:tcW w:w="1985" w:type="dxa"/>
            <w:gridSpan w:val="2"/>
            <w:tcBorders>
              <w:top w:val="single" w:color="auto" w:sz="4" w:space="0"/>
              <w:left w:val="nil"/>
              <w:bottom w:val="single" w:color="auto" w:sz="4" w:space="0"/>
              <w:right w:val="single" w:color="auto" w:sz="4" w:space="0"/>
            </w:tcBorders>
            <w:vAlign w:val="center"/>
          </w:tcPr>
          <w:p>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投标文件递</w:t>
            </w:r>
          </w:p>
          <w:p>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交截止时间</w:t>
            </w:r>
          </w:p>
        </w:tc>
        <w:tc>
          <w:tcPr>
            <w:tcW w:w="666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FF"/>
                <w:sz w:val="24"/>
                <w:szCs w:val="24"/>
                <w:lang w:eastAsia="zh-CN"/>
              </w:rPr>
            </w:pP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月1</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日08时30分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2.2.3</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供应商确认收到招标文件澄清的时间</w:t>
            </w:r>
          </w:p>
        </w:tc>
        <w:tc>
          <w:tcPr>
            <w:tcW w:w="6661" w:type="dxa"/>
            <w:tcBorders>
              <w:top w:val="single" w:color="auto" w:sz="4" w:space="0"/>
              <w:left w:val="nil"/>
              <w:bottom w:val="single" w:color="auto" w:sz="4" w:space="0"/>
              <w:right w:val="single" w:color="auto" w:sz="4" w:space="0"/>
            </w:tcBorders>
            <w:vAlign w:val="center"/>
          </w:tcPr>
          <w:p>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2.3.2</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供应商确认收到招标文件修改的时间</w:t>
            </w:r>
          </w:p>
        </w:tc>
        <w:tc>
          <w:tcPr>
            <w:tcW w:w="6661" w:type="dxa"/>
            <w:tcBorders>
              <w:top w:val="single" w:color="auto" w:sz="4" w:space="0"/>
              <w:left w:val="nil"/>
              <w:bottom w:val="single" w:color="auto" w:sz="4" w:space="0"/>
              <w:right w:val="single" w:color="auto" w:sz="4" w:space="0"/>
            </w:tcBorders>
            <w:vAlign w:val="center"/>
          </w:tcPr>
          <w:p>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3.1.1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构成投标文件的其他材料</w:t>
            </w:r>
          </w:p>
        </w:tc>
        <w:tc>
          <w:tcPr>
            <w:tcW w:w="6661" w:type="dxa"/>
            <w:tcBorders>
              <w:top w:val="single" w:color="auto" w:sz="4" w:space="0"/>
              <w:left w:val="nil"/>
              <w:bottom w:val="single" w:color="auto" w:sz="4" w:space="0"/>
              <w:right w:val="single" w:color="auto" w:sz="4" w:space="0"/>
            </w:tcBorders>
            <w:vAlign w:val="center"/>
          </w:tcPr>
          <w:p>
            <w:pPr>
              <w:spacing w:line="288" w:lineRule="auto"/>
              <w:rPr>
                <w:rFonts w:ascii="宋体" w:hAnsi="宋体" w:cs="宋体"/>
                <w:b/>
                <w:bCs/>
                <w:sz w:val="24"/>
                <w:szCs w:val="24"/>
              </w:rPr>
            </w:pPr>
            <w:r>
              <w:rPr>
                <w:rFonts w:hint="eastAsia" w:ascii="宋体" w:hAnsi="宋体" w:cs="宋体"/>
                <w:sz w:val="24"/>
                <w:szCs w:val="24"/>
              </w:rPr>
              <w:t>供应商认为与本投标可能有关的其他资料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3.3.1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投标有效期</w:t>
            </w:r>
          </w:p>
        </w:tc>
        <w:tc>
          <w:tcPr>
            <w:tcW w:w="666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自投标文件递交截止之日起60日历天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3.5.3</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近年完成的类似项目的年份要求</w:t>
            </w:r>
          </w:p>
        </w:tc>
        <w:tc>
          <w:tcPr>
            <w:tcW w:w="6661" w:type="dxa"/>
            <w:tcBorders>
              <w:top w:val="single" w:color="auto" w:sz="4" w:space="0"/>
              <w:left w:val="nil"/>
              <w:bottom w:val="single" w:color="auto" w:sz="4" w:space="0"/>
              <w:right w:val="single" w:color="auto" w:sz="4" w:space="0"/>
            </w:tcBorders>
            <w:vAlign w:val="center"/>
          </w:tcPr>
          <w:p>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w:t>
            </w:r>
            <w:r>
              <w:rPr>
                <w:rFonts w:hint="eastAsia" w:ascii="宋体" w:hAnsi="宋体" w:cs="宋体"/>
                <w:color w:val="auto"/>
                <w:sz w:val="24"/>
                <w:szCs w:val="24"/>
                <w:u w:val="single"/>
                <w:lang w:val="en-US" w:eastAsia="zh-CN"/>
              </w:rPr>
              <w:t>20</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3.6</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是否允许递交备选方案</w:t>
            </w:r>
          </w:p>
        </w:tc>
        <w:tc>
          <w:tcPr>
            <w:tcW w:w="6661" w:type="dxa"/>
            <w:tcBorders>
              <w:top w:val="single" w:color="auto" w:sz="4" w:space="0"/>
              <w:left w:val="nil"/>
              <w:bottom w:val="single" w:color="auto" w:sz="4" w:space="0"/>
              <w:right w:val="single" w:color="auto" w:sz="4" w:space="0"/>
            </w:tcBorders>
            <w:vAlign w:val="center"/>
          </w:tcPr>
          <w:p>
            <w:pPr>
              <w:spacing w:line="288" w:lineRule="auto"/>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3.7.1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投标文件的递交</w:t>
            </w:r>
          </w:p>
        </w:tc>
        <w:tc>
          <w:tcPr>
            <w:tcW w:w="6661"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本项目为电子化、无纸化交易项目，开标时不再接受任何纸质资料，为保证您能投标成功，请仔细阅读招标文件和三门峡市公共资源交易中心官网业务办理指南。</w:t>
            </w:r>
            <w:r>
              <w:rPr>
                <w:rFonts w:hint="eastAsia" w:ascii="宋体" w:hAnsi="宋体" w:cs="宋体"/>
                <w:sz w:val="24"/>
                <w:szCs w:val="24"/>
              </w:rPr>
              <w:t>用CA在电子平台上传电子投标文件，</w:t>
            </w:r>
            <w:r>
              <w:rPr>
                <w:rFonts w:hint="eastAsia" w:ascii="宋体" w:hAnsi="宋体"/>
                <w:color w:val="000000"/>
                <w:sz w:val="24"/>
              </w:rPr>
              <w:t>在</w:t>
            </w:r>
            <w:r>
              <w:rPr>
                <w:rFonts w:hint="eastAsia" w:hAnsi="宋体"/>
                <w:color w:val="000000"/>
                <w:sz w:val="24"/>
              </w:rPr>
              <w:t>开标</w:t>
            </w:r>
            <w:r>
              <w:rPr>
                <w:rFonts w:hint="eastAsia" w:ascii="宋体" w:hAnsi="宋体"/>
                <w:color w:val="000000"/>
                <w:sz w:val="24"/>
              </w:rPr>
              <w:t>截止时间前成功上传至三门峡市公共资源电子化交易系统。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3.7.2</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签字和（或）盖章要求</w:t>
            </w:r>
          </w:p>
        </w:tc>
        <w:tc>
          <w:tcPr>
            <w:tcW w:w="6661" w:type="dxa"/>
            <w:tcBorders>
              <w:top w:val="single" w:color="auto" w:sz="4" w:space="0"/>
              <w:left w:val="nil"/>
              <w:bottom w:val="single" w:color="auto" w:sz="4" w:space="0"/>
              <w:right w:val="single" w:color="auto" w:sz="4" w:space="0"/>
            </w:tcBorders>
            <w:vAlign w:val="center"/>
          </w:tcPr>
          <w:p>
            <w:pPr>
              <w:spacing w:line="400" w:lineRule="exact"/>
              <w:rPr>
                <w:rFonts w:ascii="宋体" w:hAnsi="宋体" w:cs="宋体"/>
                <w:sz w:val="24"/>
                <w:szCs w:val="24"/>
              </w:rPr>
            </w:pPr>
            <w:r>
              <w:rPr>
                <w:rFonts w:hint="eastAsia" w:ascii="宋体" w:hAnsi="宋体" w:cs="宋体"/>
                <w:sz w:val="24"/>
                <w:szCs w:val="24"/>
              </w:rPr>
              <w:t>电子化投标文件的签章：</w:t>
            </w:r>
          </w:p>
          <w:p>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pPr>
              <w:autoSpaceDE w:val="0"/>
              <w:autoSpaceDN w:val="0"/>
              <w:adjustRightInd w:val="0"/>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电子化投标文件具体制作文件请点击</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https://download.bqpoint.com/download/downloaddetail.html?SourceFrom=Ztb&amp;ZtbSoftXiaQuCode=1506&amp;ZtbSoftType=tballinclusive</w:t>
            </w:r>
            <w:r>
              <w:rPr>
                <w:rFonts w:hint="eastAsia" w:ascii="宋体" w:hAnsi="宋体" w:cs="宋体"/>
                <w:color w:val="000000" w:themeColor="text1"/>
                <w:sz w:val="24"/>
                <w:szCs w:val="24"/>
                <w14:textFill>
                  <w14:solidFill>
                    <w14:schemeClr w14:val="tx1"/>
                  </w14:solidFill>
                </w14:textFill>
              </w:rPr>
              <w:t>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4.1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递交投标文件时间、地点</w:t>
            </w:r>
          </w:p>
        </w:tc>
        <w:tc>
          <w:tcPr>
            <w:tcW w:w="6661" w:type="dxa"/>
            <w:tcBorders>
              <w:top w:val="single" w:color="auto" w:sz="4" w:space="0"/>
              <w:left w:val="nil"/>
              <w:bottom w:val="single" w:color="auto" w:sz="4" w:space="0"/>
              <w:right w:val="single" w:color="auto" w:sz="4" w:space="0"/>
            </w:tcBorders>
            <w:vAlign w:val="center"/>
          </w:tcPr>
          <w:p>
            <w:pPr>
              <w:spacing w:line="380" w:lineRule="exact"/>
              <w:rPr>
                <w:rFonts w:ascii="宋体" w:hAnsi="宋体" w:cs="宋体"/>
                <w:color w:val="auto"/>
                <w:sz w:val="24"/>
                <w:szCs w:val="24"/>
              </w:rPr>
            </w:pPr>
            <w:r>
              <w:rPr>
                <w:rFonts w:hint="eastAsia" w:ascii="宋体" w:hAnsi="宋体" w:cs="宋体"/>
                <w:sz w:val="24"/>
                <w:szCs w:val="24"/>
              </w:rPr>
              <w:t>投标文件递交截止时</w:t>
            </w:r>
            <w:r>
              <w:rPr>
                <w:rFonts w:hint="eastAsia" w:ascii="宋体" w:hAnsi="宋体" w:cs="宋体"/>
                <w:color w:val="auto"/>
                <w:sz w:val="24"/>
                <w:szCs w:val="24"/>
              </w:rPr>
              <w:t>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月1</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日08时30分</w:t>
            </w:r>
            <w:r>
              <w:rPr>
                <w:rFonts w:hint="eastAsia" w:ascii="宋体" w:hAnsi="宋体" w:cs="宋体"/>
                <w:color w:val="auto"/>
                <w:sz w:val="24"/>
                <w:szCs w:val="24"/>
              </w:rPr>
              <w:t>（北京时间）；</w:t>
            </w:r>
          </w:p>
          <w:p>
            <w:pPr>
              <w:spacing w:beforeLines="50" w:line="288" w:lineRule="auto"/>
              <w:rPr>
                <w:rFonts w:ascii="宋体" w:hAnsi="宋体" w:cs="宋体"/>
                <w:sz w:val="24"/>
                <w:szCs w:val="24"/>
              </w:rPr>
            </w:pPr>
            <w:r>
              <w:rPr>
                <w:rFonts w:hint="eastAsia" w:ascii="宋体" w:hAnsi="宋体" w:cs="宋体"/>
                <w:sz w:val="24"/>
                <w:szCs w:val="24"/>
              </w:rPr>
              <w:t>递交投标文件地点：在开标截止时间前上传至“三门峡市公共资源交易中心网站”。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4.1.1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是否退还投标文件</w:t>
            </w:r>
          </w:p>
        </w:tc>
        <w:tc>
          <w:tcPr>
            <w:tcW w:w="6661" w:type="dxa"/>
            <w:tcBorders>
              <w:top w:val="single" w:color="auto" w:sz="4" w:space="0"/>
              <w:left w:val="nil"/>
              <w:bottom w:val="single" w:color="auto" w:sz="4" w:space="0"/>
              <w:right w:val="single" w:color="auto" w:sz="4" w:space="0"/>
            </w:tcBorders>
            <w:vAlign w:val="center"/>
          </w:tcPr>
          <w:p>
            <w:pPr>
              <w:spacing w:line="288" w:lineRule="auto"/>
              <w:rPr>
                <w:rFonts w:ascii="宋体" w:hAnsi="宋体" w:cs="宋体"/>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5.1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开标时间和</w:t>
            </w:r>
          </w:p>
          <w:p>
            <w:pPr>
              <w:jc w:val="center"/>
              <w:rPr>
                <w:rFonts w:ascii="宋体" w:hAnsi="宋体" w:cs="宋体"/>
                <w:sz w:val="24"/>
                <w:szCs w:val="24"/>
              </w:rPr>
            </w:pPr>
            <w:r>
              <w:rPr>
                <w:rFonts w:hint="eastAsia" w:ascii="宋体" w:hAnsi="宋体" w:cs="宋体"/>
                <w:sz w:val="24"/>
                <w:szCs w:val="24"/>
              </w:rPr>
              <w:t>地点</w:t>
            </w:r>
          </w:p>
        </w:tc>
        <w:tc>
          <w:tcPr>
            <w:tcW w:w="6661"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lang w:eastAsia="zh-CN"/>
              </w:rPr>
            </w:pPr>
            <w:r>
              <w:rPr>
                <w:rFonts w:hint="eastAsia" w:ascii="宋体" w:hAnsi="宋体" w:cs="宋体"/>
                <w:sz w:val="24"/>
                <w:szCs w:val="24"/>
              </w:rPr>
              <w:t>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月1</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日08时30分</w:t>
            </w:r>
          </w:p>
          <w:p>
            <w:pPr>
              <w:spacing w:line="400" w:lineRule="exact"/>
              <w:rPr>
                <w:rFonts w:ascii="宋体" w:hAnsi="宋体" w:cs="宋体"/>
                <w:sz w:val="24"/>
                <w:szCs w:val="24"/>
              </w:rPr>
            </w:pPr>
            <w:r>
              <w:rPr>
                <w:rFonts w:hint="eastAsia" w:ascii="宋体" w:hAnsi="宋体" w:cs="宋体"/>
                <w:color w:val="auto"/>
                <w:sz w:val="24"/>
                <w:szCs w:val="24"/>
              </w:rPr>
              <w:t>开标地点：三门峡市陕州区公共资源交易中心第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开标</w:t>
            </w:r>
            <w:r>
              <w:rPr>
                <w:rFonts w:hint="eastAsia" w:ascii="宋体" w:hAnsi="宋体" w:cs="宋体"/>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5.2</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开标顺序</w:t>
            </w:r>
          </w:p>
        </w:tc>
        <w:tc>
          <w:tcPr>
            <w:tcW w:w="6661"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按电子投标文件上传顺序开标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6.1.1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评标小组的组建</w:t>
            </w:r>
          </w:p>
        </w:tc>
        <w:tc>
          <w:tcPr>
            <w:tcW w:w="6661" w:type="dxa"/>
            <w:tcBorders>
              <w:top w:val="single" w:color="auto" w:sz="4" w:space="0"/>
              <w:left w:val="nil"/>
              <w:bottom w:val="single" w:color="auto" w:sz="4" w:space="0"/>
              <w:right w:val="single" w:color="auto" w:sz="4" w:space="0"/>
            </w:tcBorders>
            <w:vAlign w:val="center"/>
          </w:tcPr>
          <w:p>
            <w:pPr>
              <w:spacing w:line="400" w:lineRule="exact"/>
              <w:rPr>
                <w:rFonts w:ascii="宋体" w:hAnsi="宋体" w:cs="宋体"/>
                <w:sz w:val="24"/>
                <w:szCs w:val="24"/>
              </w:rPr>
            </w:pPr>
            <w:r>
              <w:rPr>
                <w:rFonts w:hint="eastAsia" w:ascii="宋体" w:hAnsi="宋体" w:cs="宋体"/>
                <w:sz w:val="24"/>
                <w:szCs w:val="24"/>
              </w:rPr>
              <w:t>评标小组构成：</w:t>
            </w:r>
            <w:r>
              <w:rPr>
                <w:rFonts w:hint="eastAsia" w:ascii="宋体" w:hAnsi="宋体" w:cs="宋体"/>
                <w:sz w:val="24"/>
                <w:szCs w:val="24"/>
                <w:u w:val="single"/>
              </w:rPr>
              <w:t>5</w:t>
            </w:r>
            <w:r>
              <w:rPr>
                <w:rFonts w:hint="eastAsia" w:ascii="宋体" w:hAnsi="宋体" w:cs="宋体"/>
                <w:sz w:val="24"/>
                <w:szCs w:val="24"/>
              </w:rPr>
              <w:t>人，其中招标人代表</w:t>
            </w:r>
            <w:r>
              <w:rPr>
                <w:rFonts w:hint="eastAsia" w:ascii="宋体" w:hAnsi="宋体" w:cs="宋体"/>
                <w:sz w:val="24"/>
                <w:szCs w:val="24"/>
                <w:u w:val="single"/>
              </w:rPr>
              <w:t>1</w:t>
            </w:r>
            <w:r>
              <w:rPr>
                <w:rFonts w:hint="eastAsia" w:ascii="宋体" w:hAnsi="宋体" w:cs="宋体"/>
                <w:sz w:val="24"/>
                <w:szCs w:val="24"/>
              </w:rPr>
              <w:t>人，专家</w:t>
            </w:r>
            <w:r>
              <w:rPr>
                <w:rFonts w:hint="eastAsia" w:ascii="宋体" w:hAnsi="宋体" w:cs="宋体"/>
                <w:sz w:val="24"/>
                <w:szCs w:val="24"/>
                <w:u w:val="single"/>
              </w:rPr>
              <w:t>4</w:t>
            </w:r>
            <w:r>
              <w:rPr>
                <w:rFonts w:hint="eastAsia" w:ascii="宋体" w:hAnsi="宋体" w:cs="宋体"/>
                <w:sz w:val="24"/>
                <w:szCs w:val="24"/>
              </w:rPr>
              <w:t>人；</w:t>
            </w:r>
            <w:r>
              <w:rPr>
                <w:rFonts w:hint="eastAsia" w:ascii="宋体" w:hAnsi="宋体" w:cs="宋体"/>
                <w:sz w:val="24"/>
                <w:szCs w:val="24"/>
                <w:u w:val="single"/>
              </w:rPr>
              <w:t>4</w:t>
            </w:r>
            <w:r>
              <w:rPr>
                <w:rFonts w:hint="eastAsia" w:ascii="宋体" w:hAnsi="宋体" w:cs="宋体"/>
                <w:sz w:val="24"/>
                <w:szCs w:val="24"/>
              </w:rPr>
              <w:t>名专家确定方式：</w:t>
            </w:r>
            <w:r>
              <w:rPr>
                <w:rFonts w:hint="eastAsia" w:ascii="宋体" w:hAnsi="宋体"/>
                <w:kern w:val="0"/>
                <w:sz w:val="24"/>
                <w:szCs w:val="24"/>
              </w:rPr>
              <w:t>开标当天</w:t>
            </w:r>
            <w:r>
              <w:rPr>
                <w:rFonts w:hint="eastAsia" w:ascii="宋体" w:hAnsi="宋体"/>
                <w:kern w:val="0"/>
                <w:sz w:val="24"/>
                <w:szCs w:val="24"/>
                <w:lang w:val="en-US" w:eastAsia="zh-CN"/>
              </w:rPr>
              <w:t>在</w:t>
            </w:r>
            <w:r>
              <w:rPr>
                <w:rFonts w:hint="eastAsia" w:cs="宋体" w:asciiTheme="minorEastAsia" w:hAnsiTheme="minorEastAsia"/>
                <w:sz w:val="24"/>
                <w:szCs w:val="24"/>
              </w:rPr>
              <w:t>三门峡市陕州区公共资源交易中心</w:t>
            </w:r>
            <w:r>
              <w:rPr>
                <w:rFonts w:hint="eastAsia"/>
                <w:sz w:val="24"/>
                <w:szCs w:val="24"/>
              </w:rPr>
              <w:t>从</w:t>
            </w:r>
            <w:r>
              <w:rPr>
                <w:rFonts w:hint="eastAsia"/>
                <w:sz w:val="24"/>
                <w:szCs w:val="24"/>
                <w:lang w:val="en-US" w:eastAsia="zh-CN"/>
              </w:rPr>
              <w:t>河南省财政厅</w:t>
            </w:r>
            <w:r>
              <w:rPr>
                <w:rFonts w:hint="eastAsia"/>
                <w:sz w:val="24"/>
                <w:szCs w:val="24"/>
              </w:rPr>
              <w:t>专家库随机抽取确定</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7.1</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是否授权评标小组确定中标人</w:t>
            </w:r>
          </w:p>
        </w:tc>
        <w:tc>
          <w:tcPr>
            <w:tcW w:w="6661" w:type="dxa"/>
            <w:tcBorders>
              <w:top w:val="single" w:color="auto" w:sz="4" w:space="0"/>
              <w:left w:val="nil"/>
              <w:bottom w:val="single" w:color="auto" w:sz="4" w:space="0"/>
              <w:right w:val="single" w:color="auto" w:sz="4" w:space="0"/>
            </w:tcBorders>
            <w:vAlign w:val="center"/>
          </w:tcPr>
          <w:p>
            <w:pPr>
              <w:spacing w:line="288" w:lineRule="auto"/>
              <w:rPr>
                <w:rFonts w:ascii="宋体" w:hAnsi="宋体" w:cs="宋体"/>
                <w:sz w:val="24"/>
                <w:szCs w:val="24"/>
              </w:rPr>
            </w:pPr>
            <w:r>
              <w:rPr>
                <w:rFonts w:hint="eastAsia" w:ascii="宋体" w:hAnsi="宋体" w:cs="宋体"/>
                <w:sz w:val="24"/>
                <w:szCs w:val="24"/>
              </w:rPr>
              <w:t>否，按顺序推荐的中标候选人数：</w:t>
            </w:r>
            <w:r>
              <w:rPr>
                <w:rFonts w:hint="eastAsia" w:ascii="宋体" w:hAnsi="宋体" w:cs="宋体"/>
                <w:sz w:val="24"/>
                <w:szCs w:val="24"/>
                <w:u w:val="single"/>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985"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66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rPr>
                <w:rFonts w:ascii="宋体" w:hAnsi="宋体" w:cs="宋体"/>
                <w:sz w:val="24"/>
                <w:szCs w:val="24"/>
              </w:rPr>
            </w:pPr>
            <w:r>
              <w:rPr>
                <w:rFonts w:hint="eastAsia" w:ascii="宋体" w:hAnsi="宋体" w:cs="宋体"/>
                <w:sz w:val="24"/>
                <w:szCs w:val="24"/>
              </w:rPr>
              <w:t>招标代理费：</w:t>
            </w:r>
            <w:r>
              <w:rPr>
                <w:rFonts w:hint="eastAsia" w:ascii="宋体" w:hAnsi="宋体" w:cs="宋体"/>
                <w:kern w:val="0"/>
                <w:sz w:val="24"/>
                <w:szCs w:val="24"/>
              </w:rPr>
              <w:t>根据《河南省招标代理服务收费指导意见》收费标准计取</w:t>
            </w:r>
            <w:r>
              <w:rPr>
                <w:rFonts w:hint="eastAsia" w:ascii="宋体" w:hAnsi="宋体" w:cs="宋体"/>
                <w:color w:val="auto"/>
                <w:kern w:val="0"/>
                <w:sz w:val="24"/>
                <w:szCs w:val="24"/>
              </w:rPr>
              <w:t>，</w:t>
            </w:r>
            <w:r>
              <w:rPr>
                <w:rFonts w:hint="eastAsia" w:ascii="宋体" w:hAnsi="宋体" w:cs="宋体"/>
                <w:color w:val="auto"/>
                <w:sz w:val="24"/>
                <w:szCs w:val="24"/>
              </w:rPr>
              <w:t>取费的基数为中标价，招标代理服务费由中标人支付。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7.3</w:t>
            </w:r>
          </w:p>
        </w:tc>
        <w:tc>
          <w:tcPr>
            <w:tcW w:w="1985"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left"/>
              <w:rPr>
                <w:rFonts w:ascii="宋体" w:hAnsi="宋体" w:cs="宋体"/>
                <w:sz w:val="24"/>
                <w:szCs w:val="24"/>
              </w:rPr>
            </w:pPr>
            <w:r>
              <w:rPr>
                <w:rFonts w:hint="eastAsia" w:ascii="宋体" w:hAnsi="宋体" w:cs="宋体"/>
                <w:sz w:val="24"/>
                <w:szCs w:val="24"/>
              </w:rPr>
              <w:t>电子化投标文件的格式及上传</w:t>
            </w:r>
          </w:p>
        </w:tc>
        <w:tc>
          <w:tcPr>
            <w:tcW w:w="6661" w:type="dxa"/>
            <w:tcBorders>
              <w:top w:val="single" w:color="auto" w:sz="4" w:space="0"/>
              <w:left w:val="nil"/>
              <w:bottom w:val="single" w:color="auto" w:sz="4" w:space="0"/>
              <w:right w:val="single" w:color="auto" w:sz="4" w:space="0"/>
            </w:tcBorders>
            <w:vAlign w:val="center"/>
          </w:tcPr>
          <w:p>
            <w:pPr>
              <w:autoSpaceDE w:val="0"/>
              <w:autoSpaceDN w:val="0"/>
              <w:adjustRightInd w:val="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pPr>
              <w:autoSpaceDE w:val="0"/>
              <w:autoSpaceDN w:val="0"/>
              <w:adjustRightInd w:val="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注：投标供应商投报多个标段的，需要每个标段单独制作电子投标文件。</w:t>
            </w:r>
          </w:p>
          <w:p>
            <w:pPr>
              <w:autoSpaceDE w:val="0"/>
              <w:autoSpaceDN w:val="0"/>
              <w:adjustRightInd w:val="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pPr>
              <w:autoSpaceDE w:val="0"/>
              <w:autoSpaceDN w:val="0"/>
              <w:adjustRightInd w:val="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pPr>
              <w:autoSpaceDE w:val="0"/>
              <w:autoSpaceDN w:val="0"/>
              <w:adjustRightInd w:val="0"/>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新点客服电话:4009980000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8.1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招标控制价（人民币）</w:t>
            </w:r>
          </w:p>
        </w:tc>
        <w:tc>
          <w:tcPr>
            <w:tcW w:w="694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cs="宋体"/>
                <w:sz w:val="24"/>
                <w:szCs w:val="24"/>
              </w:rPr>
              <w:t>大写：</w:t>
            </w:r>
            <w:r>
              <w:rPr>
                <w:rFonts w:hint="eastAsia" w:ascii="宋体" w:hAnsi="宋体" w:cs="宋体"/>
                <w:sz w:val="24"/>
                <w:szCs w:val="24"/>
                <w:lang w:val="en-US" w:eastAsia="zh-CN"/>
              </w:rPr>
              <w:t>叁佰柒拾万元整</w:t>
            </w:r>
          </w:p>
          <w:p>
            <w:pPr>
              <w:rPr>
                <w:rFonts w:ascii="宋体" w:hAnsi="宋体" w:cs="宋体"/>
                <w:sz w:val="24"/>
                <w:szCs w:val="24"/>
              </w:rPr>
            </w:pPr>
            <w:r>
              <w:rPr>
                <w:rFonts w:hint="eastAsia" w:ascii="宋体" w:hAnsi="宋体" w:cs="宋体"/>
                <w:sz w:val="24"/>
                <w:szCs w:val="24"/>
              </w:rPr>
              <w:t>小写：</w:t>
            </w:r>
            <w:r>
              <w:rPr>
                <w:rFonts w:hint="eastAsia" w:ascii="宋体" w:hAnsi="宋体" w:cs="宋体"/>
                <w:sz w:val="24"/>
                <w:szCs w:val="24"/>
                <w:lang w:val="en-US" w:eastAsia="zh-CN"/>
              </w:rPr>
              <w:t>370</w:t>
            </w:r>
            <w:r>
              <w:rPr>
                <w:rFonts w:hint="eastAsia" w:ascii="宋体" w:hAnsi="宋体" w:cs="宋体"/>
                <w:sz w:val="24"/>
                <w:szCs w:val="24"/>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sz w:val="24"/>
                <w:szCs w:val="24"/>
              </w:rPr>
            </w:pPr>
            <w:r>
              <w:rPr>
                <w:rFonts w:hint="eastAsia" w:ascii="宋体" w:hAnsi="宋体" w:cs="宋体"/>
                <w:sz w:val="24"/>
                <w:szCs w:val="24"/>
              </w:rPr>
              <w:t>8.2</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sz w:val="24"/>
              </w:rPr>
              <w:t>开标解密</w:t>
            </w:r>
          </w:p>
        </w:tc>
        <w:tc>
          <w:tcPr>
            <w:tcW w:w="6945" w:type="dxa"/>
            <w:gridSpan w:val="2"/>
            <w:tcBorders>
              <w:top w:val="single" w:color="auto" w:sz="4" w:space="0"/>
              <w:left w:val="nil"/>
              <w:bottom w:val="single" w:color="auto" w:sz="4" w:space="0"/>
              <w:right w:val="single" w:color="auto" w:sz="4" w:space="0"/>
            </w:tcBorders>
            <w:vAlign w:val="center"/>
          </w:tcPr>
          <w:p>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sz w:val="24"/>
                <w:szCs w:val="24"/>
              </w:rPr>
            </w:pPr>
            <w:r>
              <w:rPr>
                <w:rFonts w:hint="eastAsia" w:ascii="宋体" w:hAnsi="宋体" w:cs="宋体"/>
                <w:sz w:val="24"/>
                <w:szCs w:val="24"/>
              </w:rPr>
              <w:t>8.3</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付款办法</w:t>
            </w:r>
          </w:p>
        </w:tc>
        <w:tc>
          <w:tcPr>
            <w:tcW w:w="6945" w:type="dxa"/>
            <w:gridSpan w:val="2"/>
            <w:tcBorders>
              <w:top w:val="single" w:color="auto" w:sz="4" w:space="0"/>
              <w:left w:val="nil"/>
              <w:bottom w:val="single" w:color="auto" w:sz="4" w:space="0"/>
              <w:right w:val="single" w:color="auto" w:sz="4" w:space="0"/>
            </w:tcBorders>
            <w:vAlign w:val="center"/>
          </w:tcPr>
          <w:p>
            <w:pPr>
              <w:spacing w:line="400" w:lineRule="exact"/>
              <w:ind w:right="-153" w:rightChars="-73"/>
              <w:jc w:val="left"/>
              <w:rPr>
                <w:rFonts w:ascii="宋体" w:hAnsi="宋体" w:cs="宋体"/>
                <w:sz w:val="24"/>
                <w:szCs w:val="24"/>
              </w:rPr>
            </w:pPr>
            <w:r>
              <w:rPr>
                <w:rFonts w:hint="eastAsia" w:ascii="宋体" w:hAnsi="宋体" w:cs="宋体"/>
                <w:sz w:val="24"/>
                <w:szCs w:val="24"/>
              </w:rPr>
              <w:t>具体以招标人与供应商签订合同为准</w:t>
            </w:r>
            <w:r>
              <w:rPr>
                <w:rFonts w:hint="eastAsia" w:cs="宋体" w:asciiTheme="minorEastAsia" w:hAnsiTheme="minorEastAsia" w:eastAsiaTheme="minorEastAsia"/>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cs="宋体"/>
                <w:sz w:val="24"/>
                <w:szCs w:val="24"/>
              </w:rPr>
            </w:pPr>
            <w:r>
              <w:rPr>
                <w:rFonts w:hint="eastAsia" w:ascii="宋体" w:hAnsi="宋体" w:cs="宋体"/>
                <w:sz w:val="24"/>
                <w:szCs w:val="24"/>
              </w:rPr>
              <w:t>8.4</w:t>
            </w:r>
          </w:p>
        </w:tc>
        <w:tc>
          <w:tcPr>
            <w:tcW w:w="170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履约保证金</w:t>
            </w:r>
          </w:p>
        </w:tc>
        <w:tc>
          <w:tcPr>
            <w:tcW w:w="6945" w:type="dxa"/>
            <w:gridSpan w:val="2"/>
            <w:tcBorders>
              <w:top w:val="single" w:color="auto" w:sz="4" w:space="0"/>
              <w:left w:val="nil"/>
              <w:bottom w:val="single" w:color="auto" w:sz="4" w:space="0"/>
              <w:right w:val="single" w:color="auto" w:sz="4" w:space="0"/>
            </w:tcBorders>
            <w:vAlign w:val="center"/>
          </w:tcPr>
          <w:p>
            <w:pPr>
              <w:spacing w:line="400" w:lineRule="exact"/>
              <w:ind w:right="-153" w:rightChars="-73"/>
              <w:jc w:val="left"/>
              <w:rPr>
                <w:rFonts w:hint="eastAsia" w:ascii="宋体" w:hAnsi="宋体" w:cs="宋体"/>
                <w:sz w:val="24"/>
                <w:szCs w:val="24"/>
              </w:rPr>
            </w:pPr>
            <w:r>
              <w:rPr>
                <w:rFonts w:hint="eastAsia" w:ascii="宋体" w:hAnsi="宋体" w:cs="宋体"/>
                <w:sz w:val="24"/>
                <w:szCs w:val="24"/>
              </w:rPr>
              <w:t>领取中标通知书后根据招标人要求提交。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sz w:val="24"/>
                <w:szCs w:val="24"/>
              </w:rPr>
              <w:t>8.5</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招标文件的解释</w:t>
            </w:r>
          </w:p>
        </w:tc>
        <w:tc>
          <w:tcPr>
            <w:tcW w:w="6945" w:type="dxa"/>
            <w:gridSpan w:val="2"/>
            <w:tcBorders>
              <w:top w:val="single" w:color="auto" w:sz="4" w:space="0"/>
              <w:left w:val="nil"/>
              <w:bottom w:val="single" w:color="auto" w:sz="4" w:space="0"/>
              <w:right w:val="single" w:color="auto" w:sz="4" w:space="0"/>
            </w:tcBorders>
            <w:vAlign w:val="center"/>
          </w:tcPr>
          <w:p>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在符合相关法律法规的前题下，招标文件的解释权归招标人所有，本招标文件中其他部分内容与供应商须知前附表不一致的，以供应商须知前附表为准。其它未尽事宜，按国家有关法律、法规执行。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8.6</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招标文件费用</w:t>
            </w:r>
          </w:p>
        </w:tc>
        <w:tc>
          <w:tcPr>
            <w:tcW w:w="6945" w:type="dxa"/>
            <w:gridSpan w:val="2"/>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8.7</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纸质版文件的递交</w:t>
            </w:r>
          </w:p>
        </w:tc>
        <w:tc>
          <w:tcPr>
            <w:tcW w:w="6945" w:type="dxa"/>
            <w:gridSpan w:val="2"/>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8.8</w:t>
            </w:r>
          </w:p>
        </w:tc>
        <w:tc>
          <w:tcPr>
            <w:tcW w:w="1701" w:type="dxa"/>
            <w:tcBorders>
              <w:top w:val="single" w:color="auto" w:sz="4" w:space="0"/>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电子化交易注</w:t>
            </w:r>
          </w:p>
          <w:p>
            <w:pPr>
              <w:rPr>
                <w:rFonts w:ascii="宋体" w:hAnsi="宋体" w:cs="宋体"/>
                <w:sz w:val="24"/>
                <w:szCs w:val="24"/>
              </w:rPr>
            </w:pPr>
            <w:r>
              <w:rPr>
                <w:rFonts w:hint="eastAsia" w:ascii="宋体" w:hAnsi="宋体" w:cs="宋体"/>
                <w:sz w:val="24"/>
                <w:szCs w:val="24"/>
              </w:rPr>
              <w:t>意事项</w:t>
            </w:r>
          </w:p>
        </w:tc>
        <w:tc>
          <w:tcPr>
            <w:tcW w:w="6945"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宋体"/>
                <w:color w:val="000000"/>
                <w:sz w:val="24"/>
                <w:szCs w:val="24"/>
              </w:rPr>
            </w:pPr>
            <w:r>
              <w:rPr>
                <w:rFonts w:hint="eastAsia" w:ascii="宋体" w:hAnsi="宋体" w:cs="宋体"/>
                <w:color w:val="000000"/>
                <w:sz w:val="24"/>
                <w:szCs w:val="24"/>
              </w:rPr>
              <w:t>具体要求：本项目为电子化、无纸化交易项目，投标文件是投标人、供应商（以下简称“投标人”）通过中心投标文件制作系统制作，并经过签章和加密后生成的电子版投标文件。</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电子化投标文件具体制作文件请点击</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进行下载。</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温馨提示：本项目为电子化、无纸化交易项目，为保证您能投标成功，请需仔细阅读以下条款。</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（一）电子化投标文件的签章</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1、投标供应商在生成电子化投标文件后，应对电子化投标文件进行签章，未进行签章的视为无效投标。</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2、招标文件中要求法定代表人或授权委托人签字或盖章的，投标供应商在进行电子化投标文件签章时，以签盖法定代表人签章为准。</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（三）电子化投标文件的格式及上传投标</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1、投标供应商所上传的电子化投标文件，应是通过中心投标文件制作系统制作的（投标文件制作工具下载地址：</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注：投标供应商投报多个标段的，需要每个标段单独制作电子投标文件。</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2、电子化投标文件应在投标截止时间前成功上传至三门峡市公共资源电子化交易系统。至投标截止时间止，仍未上传成功的电子化投标文件将不予接收。</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新点客服电话:4009980000</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（四）电子化项目开标、解密、唱标、评标</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1、本项目采用无纸化进行招标，开标当日，投标供应商无需到开标现场参加开标会议，投标供应商应当在投标截止时间前，登陆不见面开标大厅选择登陆三门峡市公共资源电子招投标系统进行登陆（网址为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cs="宋体"/>
                <w:color w:val="000000"/>
                <w:sz w:val="24"/>
                <w:szCs w:val="24"/>
                <w:lang w:eastAsia="zh-CN"/>
              </w:rPr>
              <w:t>http://120.194.249.36:10094/BidOpening/bidopeninghallaction/hall/login</w:t>
            </w:r>
            <w:r>
              <w:rPr>
                <w:rFonts w:hint="eastAsia" w:ascii="宋体" w:hAnsi="宋体" w:cs="宋体"/>
                <w:color w:val="000000"/>
                <w:sz w:val="24"/>
                <w:szCs w:val="24"/>
              </w:rPr>
              <w:t>）,在线准时参加开标活动并进行投标文件解密等</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3、电子化投标文件解密异常的处理</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如出现投标供应商的电子投标文件无法解密等异常情况，投标供应商应及时致电中介服务机构说明。投标文件异常，按以下步骤进行处理：</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（1）首先由技术人员进行问题排查。</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（2）经技术人员排查后，是投标供应商文件自身问题导致投标文件无法解密的，该投标文件将不予接收、解密和唱标。开标会议继续进行。</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4、待所有投标供应商投标文件解密完成后，由中介服务机构操作，对所有已解密投标文件进行唱标。</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投标供应商应保证在开标期间电话、电脑、网络能够正常工作，投标供应商因停电、电脑病毒、网络堵塞等原因，未在规定的解密时间内对投标文件进行解密的，其投标文件不予接收、唱标。</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7、如评标委员会对需要回复的投标供应商连续三次致电未接通的，视为投标供应商放弃回复，评标委员会将自行对需要回复的内容进行认定。</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pPr>
              <w:spacing w:line="400" w:lineRule="exact"/>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pPr>
        <w:pStyle w:val="64"/>
        <w:keepNext w:val="0"/>
        <w:keepLines w:val="0"/>
        <w:spacing w:before="0" w:line="498" w:lineRule="exact"/>
        <w:jc w:val="left"/>
        <w:rPr>
          <w:rFonts w:ascii="宋体" w:hAnsi="宋体"/>
          <w:b/>
          <w:bCs/>
          <w:kern w:val="0"/>
          <w:sz w:val="24"/>
          <w:szCs w:val="24"/>
        </w:rPr>
      </w:pPr>
      <w:bookmarkStart w:id="19" w:name="_Toc38013513"/>
      <w:bookmarkStart w:id="20" w:name="_Toc16690619"/>
      <w:bookmarkStart w:id="21" w:name="_Toc28251186"/>
      <w:r>
        <w:rPr>
          <w:rFonts w:hint="eastAsia"/>
          <w:b/>
          <w:bCs/>
          <w:szCs w:val="20"/>
        </w:rPr>
        <w:t>1.总则</w:t>
      </w:r>
      <w:bookmarkEnd w:id="19"/>
      <w:bookmarkEnd w:id="20"/>
      <w:bookmarkEnd w:id="21"/>
    </w:p>
    <w:p>
      <w:pPr>
        <w:pStyle w:val="70"/>
        <w:keepNext w:val="0"/>
        <w:keepLines w:val="0"/>
        <w:spacing w:line="498" w:lineRule="exact"/>
        <w:jc w:val="left"/>
        <w:rPr>
          <w:rFonts w:ascii="宋体" w:hAnsi="宋体"/>
          <w:b/>
          <w:bCs/>
          <w:kern w:val="0"/>
        </w:rPr>
      </w:pPr>
      <w:bookmarkStart w:id="22" w:name="_Toc38013514"/>
      <w:bookmarkStart w:id="23" w:name="_Toc28251187"/>
      <w:r>
        <w:rPr>
          <w:rFonts w:hint="eastAsia" w:ascii="宋体" w:hAnsi="Calibri"/>
          <w:b/>
          <w:szCs w:val="20"/>
        </w:rPr>
        <w:t>1.1</w:t>
      </w:r>
      <w:r>
        <w:rPr>
          <w:rFonts w:hint="eastAsia" w:ascii="宋体" w:hAnsi="Calibri"/>
          <w:szCs w:val="20"/>
        </w:rPr>
        <w:t>项目概况</w:t>
      </w:r>
      <w:bookmarkEnd w:id="22"/>
      <w:bookmarkEnd w:id="23"/>
    </w:p>
    <w:p>
      <w:pPr>
        <w:spacing w:line="520" w:lineRule="exact"/>
        <w:ind w:firstLine="480" w:firstLineChars="200"/>
        <w:rPr>
          <w:rFonts w:ascii="宋体" w:hAnsi="宋体" w:cs="宋体"/>
          <w:sz w:val="24"/>
          <w:szCs w:val="24"/>
        </w:rPr>
      </w:pPr>
      <w:r>
        <w:rPr>
          <w:rFonts w:hint="eastAsia" w:ascii="宋体" w:hAnsi="宋体" w:cs="宋体"/>
          <w:sz w:val="24"/>
          <w:szCs w:val="24"/>
        </w:rPr>
        <w:t>1.1.1 根据《中华人民共和国招标投标法》</w:t>
      </w:r>
      <w:r>
        <w:rPr>
          <w:rFonts w:hint="eastAsia" w:ascii="宋体" w:hAnsi="宋体" w:cs="宋体"/>
          <w:sz w:val="24"/>
          <w:szCs w:val="24"/>
          <w:lang w:eastAsia="zh-CN"/>
        </w:rPr>
        <w:t>、</w:t>
      </w:r>
      <w:r>
        <w:rPr>
          <w:rFonts w:hint="eastAsia" w:ascii="宋体" w:hAnsi="宋体" w:cs="宋体"/>
          <w:sz w:val="24"/>
          <w:szCs w:val="24"/>
        </w:rPr>
        <w:t>《中华人民共和国政府采购法》 等有关法律、法规和规章的规定，本招标项目已具备招标条件，现对本项目进行招标。</w:t>
      </w:r>
    </w:p>
    <w:p>
      <w:pPr>
        <w:spacing w:line="520" w:lineRule="exact"/>
        <w:ind w:firstLine="480" w:firstLineChars="200"/>
        <w:rPr>
          <w:rFonts w:ascii="宋体" w:hAnsi="宋体" w:cs="宋体"/>
          <w:sz w:val="24"/>
          <w:szCs w:val="24"/>
        </w:rPr>
      </w:pPr>
      <w:r>
        <w:rPr>
          <w:rFonts w:hint="eastAsia" w:ascii="宋体" w:hAnsi="宋体" w:cs="宋体"/>
          <w:sz w:val="24"/>
          <w:szCs w:val="24"/>
        </w:rPr>
        <w:t>1.1.2 本招标项目招标人：见供应商须知前附表。</w:t>
      </w:r>
    </w:p>
    <w:p>
      <w:pPr>
        <w:spacing w:line="520" w:lineRule="exact"/>
        <w:ind w:firstLine="480" w:firstLineChars="200"/>
        <w:rPr>
          <w:rFonts w:ascii="宋体" w:hAnsi="宋体" w:cs="宋体"/>
          <w:sz w:val="24"/>
          <w:szCs w:val="24"/>
        </w:rPr>
      </w:pPr>
      <w:r>
        <w:rPr>
          <w:rFonts w:hint="eastAsia" w:ascii="宋体" w:hAnsi="宋体" w:cs="宋体"/>
          <w:sz w:val="24"/>
          <w:szCs w:val="24"/>
        </w:rPr>
        <w:t>1.1.3 本招标项目招标代理机构：见供应商须知前附表。</w:t>
      </w:r>
    </w:p>
    <w:p>
      <w:pPr>
        <w:spacing w:line="520" w:lineRule="exact"/>
        <w:ind w:firstLine="480" w:firstLineChars="200"/>
        <w:rPr>
          <w:rFonts w:ascii="宋体" w:hAnsi="宋体" w:cs="宋体"/>
          <w:sz w:val="24"/>
          <w:szCs w:val="24"/>
        </w:rPr>
      </w:pPr>
      <w:r>
        <w:rPr>
          <w:rFonts w:hint="eastAsia" w:ascii="宋体" w:hAnsi="宋体" w:cs="宋体"/>
          <w:sz w:val="24"/>
          <w:szCs w:val="24"/>
        </w:rPr>
        <w:t>1.1.4 本招标项目名称：见供应商须知前附表。</w:t>
      </w:r>
    </w:p>
    <w:p>
      <w:pPr>
        <w:spacing w:line="520" w:lineRule="exact"/>
        <w:ind w:firstLine="480" w:firstLineChars="200"/>
        <w:rPr>
          <w:rFonts w:ascii="宋体" w:hAnsi="宋体" w:cs="宋体"/>
          <w:sz w:val="24"/>
          <w:szCs w:val="24"/>
        </w:rPr>
      </w:pPr>
      <w:r>
        <w:rPr>
          <w:rFonts w:hint="eastAsia" w:ascii="宋体" w:hAnsi="宋体" w:cs="宋体"/>
          <w:sz w:val="24"/>
          <w:szCs w:val="24"/>
        </w:rPr>
        <w:t>1.1.5 本招标项目供货地点：见供应商须知前附表。</w:t>
      </w:r>
    </w:p>
    <w:p>
      <w:pPr>
        <w:spacing w:line="520" w:lineRule="exact"/>
        <w:ind w:firstLine="480" w:firstLineChars="200"/>
        <w:rPr>
          <w:rFonts w:ascii="宋体" w:hAnsi="宋体" w:cs="宋体"/>
          <w:sz w:val="24"/>
          <w:szCs w:val="24"/>
        </w:rPr>
      </w:pPr>
      <w:r>
        <w:rPr>
          <w:rFonts w:hint="eastAsia" w:ascii="宋体" w:hAnsi="宋体" w:cs="宋体"/>
          <w:sz w:val="24"/>
          <w:szCs w:val="24"/>
        </w:rPr>
        <w:t>1.1.6成果归招标人所有。</w:t>
      </w:r>
    </w:p>
    <w:p>
      <w:pPr>
        <w:pStyle w:val="70"/>
        <w:keepNext w:val="0"/>
        <w:keepLines w:val="0"/>
        <w:spacing w:line="498" w:lineRule="exact"/>
        <w:jc w:val="left"/>
        <w:rPr>
          <w:rFonts w:ascii="宋体" w:hAnsi="Calibri"/>
          <w:b/>
          <w:szCs w:val="20"/>
        </w:rPr>
      </w:pPr>
      <w:bookmarkStart w:id="24" w:name="_Toc38013515"/>
      <w:bookmarkStart w:id="25" w:name="_Toc28251188"/>
      <w:r>
        <w:rPr>
          <w:rFonts w:hint="eastAsia" w:ascii="宋体" w:hAnsi="Calibri"/>
          <w:b/>
          <w:szCs w:val="20"/>
        </w:rPr>
        <w:t xml:space="preserve">1.2 </w:t>
      </w:r>
      <w:r>
        <w:rPr>
          <w:rFonts w:hint="eastAsia" w:ascii="宋体" w:hAnsi="Calibri"/>
          <w:szCs w:val="20"/>
        </w:rPr>
        <w:t>资金来源</w:t>
      </w:r>
      <w:bookmarkEnd w:id="24"/>
      <w:bookmarkEnd w:id="25"/>
    </w:p>
    <w:p>
      <w:pPr>
        <w:spacing w:line="520" w:lineRule="exact"/>
        <w:ind w:firstLine="480" w:firstLineChars="200"/>
        <w:rPr>
          <w:rFonts w:ascii="宋体" w:hAnsi="宋体" w:cs="宋体"/>
          <w:sz w:val="24"/>
          <w:szCs w:val="24"/>
        </w:rPr>
      </w:pPr>
      <w:r>
        <w:rPr>
          <w:rFonts w:hint="eastAsia" w:ascii="宋体" w:hAnsi="宋体" w:cs="宋体"/>
          <w:sz w:val="24"/>
          <w:szCs w:val="24"/>
        </w:rPr>
        <w:t>1.2.1 本招标项目的资金来源：见供应商须知前附表。</w:t>
      </w:r>
    </w:p>
    <w:p>
      <w:pPr>
        <w:pStyle w:val="70"/>
        <w:keepNext w:val="0"/>
        <w:keepLines w:val="0"/>
        <w:spacing w:line="498" w:lineRule="exact"/>
        <w:jc w:val="left"/>
        <w:rPr>
          <w:rFonts w:ascii="宋体" w:hAnsi="Calibri"/>
          <w:b/>
          <w:szCs w:val="20"/>
        </w:rPr>
      </w:pPr>
      <w:bookmarkStart w:id="26" w:name="_Toc38013516"/>
      <w:bookmarkStart w:id="27" w:name="_Toc28251189"/>
      <w:r>
        <w:rPr>
          <w:rFonts w:hint="eastAsia" w:ascii="宋体" w:hAnsi="Calibri"/>
          <w:b/>
          <w:szCs w:val="20"/>
        </w:rPr>
        <w:t>1.3</w:t>
      </w:r>
      <w:r>
        <w:rPr>
          <w:rFonts w:hint="eastAsia" w:ascii="宋体" w:hAnsi="Calibri"/>
          <w:szCs w:val="20"/>
        </w:rPr>
        <w:t>招标范围、供货期和质量要求</w:t>
      </w:r>
      <w:bookmarkEnd w:id="26"/>
      <w:bookmarkEnd w:id="27"/>
    </w:p>
    <w:p>
      <w:pPr>
        <w:spacing w:line="520" w:lineRule="exact"/>
        <w:ind w:firstLine="480" w:firstLineChars="200"/>
        <w:rPr>
          <w:rFonts w:ascii="宋体" w:hAnsi="宋体" w:cs="宋体"/>
          <w:sz w:val="24"/>
          <w:szCs w:val="24"/>
        </w:rPr>
      </w:pPr>
      <w:r>
        <w:rPr>
          <w:rFonts w:hint="eastAsia" w:ascii="宋体" w:hAnsi="宋体" w:cs="宋体"/>
          <w:sz w:val="24"/>
          <w:szCs w:val="24"/>
        </w:rPr>
        <w:t>1.3.1 本次招标范围：见供应商须知前附表。</w:t>
      </w:r>
    </w:p>
    <w:p>
      <w:pPr>
        <w:spacing w:line="520" w:lineRule="exact"/>
        <w:ind w:firstLine="480" w:firstLineChars="200"/>
        <w:rPr>
          <w:rFonts w:ascii="宋体" w:hAnsi="宋体" w:cs="宋体"/>
          <w:sz w:val="24"/>
          <w:szCs w:val="24"/>
        </w:rPr>
      </w:pPr>
      <w:r>
        <w:rPr>
          <w:rFonts w:hint="eastAsia" w:ascii="宋体" w:hAnsi="宋体" w:cs="宋体"/>
          <w:sz w:val="24"/>
          <w:szCs w:val="24"/>
        </w:rPr>
        <w:t>1.3.2 本项目的供货期：见供应商须知前附表。</w:t>
      </w:r>
    </w:p>
    <w:p>
      <w:pPr>
        <w:spacing w:line="520" w:lineRule="exact"/>
        <w:ind w:firstLine="480" w:firstLineChars="200"/>
        <w:rPr>
          <w:rFonts w:ascii="宋体" w:hAnsi="宋体" w:cs="宋体"/>
          <w:sz w:val="24"/>
          <w:szCs w:val="24"/>
        </w:rPr>
      </w:pPr>
      <w:r>
        <w:rPr>
          <w:rFonts w:hint="eastAsia" w:ascii="宋体" w:hAnsi="宋体" w:cs="宋体"/>
          <w:sz w:val="24"/>
          <w:szCs w:val="24"/>
        </w:rPr>
        <w:t>1.3.3 本项目的质量要求：见供应商须知前附表。</w:t>
      </w:r>
    </w:p>
    <w:p>
      <w:pPr>
        <w:pStyle w:val="70"/>
        <w:keepNext w:val="0"/>
        <w:keepLines w:val="0"/>
        <w:spacing w:line="498" w:lineRule="exact"/>
        <w:jc w:val="left"/>
        <w:rPr>
          <w:rFonts w:ascii="宋体" w:hAnsi="Calibri"/>
          <w:b/>
          <w:szCs w:val="20"/>
        </w:rPr>
      </w:pPr>
      <w:bookmarkStart w:id="28" w:name="_Toc38013517"/>
      <w:bookmarkStart w:id="29" w:name="_Toc28251190"/>
      <w:r>
        <w:rPr>
          <w:rFonts w:hint="eastAsia" w:ascii="宋体" w:hAnsi="Calibri"/>
          <w:b/>
          <w:szCs w:val="20"/>
        </w:rPr>
        <w:t xml:space="preserve">1.4 </w:t>
      </w:r>
      <w:r>
        <w:rPr>
          <w:rFonts w:hint="eastAsia" w:ascii="宋体" w:hAnsi="Calibri"/>
          <w:szCs w:val="20"/>
        </w:rPr>
        <w:t>供应商资格要求</w:t>
      </w:r>
      <w:bookmarkEnd w:id="28"/>
      <w:bookmarkEnd w:id="29"/>
    </w:p>
    <w:p>
      <w:pPr>
        <w:spacing w:line="520" w:lineRule="exact"/>
        <w:ind w:firstLine="480" w:firstLineChars="200"/>
        <w:rPr>
          <w:rFonts w:ascii="宋体" w:hAnsi="宋体" w:cs="宋体"/>
          <w:sz w:val="24"/>
          <w:szCs w:val="24"/>
        </w:rPr>
      </w:pPr>
      <w:r>
        <w:rPr>
          <w:rFonts w:hint="eastAsia" w:ascii="宋体" w:hAnsi="宋体" w:cs="宋体"/>
          <w:sz w:val="24"/>
          <w:szCs w:val="24"/>
        </w:rPr>
        <w:t>1.4.1 供应商应具备承担本项目的资质条件、能力和信誉等祥见供应商须知前附表。</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1.4.2 供应商不得存在下列情形之一： </w:t>
      </w:r>
    </w:p>
    <w:p>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）为本项目的代理人；</w:t>
      </w:r>
    </w:p>
    <w:p>
      <w:pPr>
        <w:spacing w:line="520" w:lineRule="exact"/>
        <w:ind w:firstLine="600" w:firstLineChars="25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）被责令停业的；</w:t>
      </w:r>
    </w:p>
    <w:p>
      <w:pPr>
        <w:spacing w:line="520" w:lineRule="exact"/>
        <w:ind w:firstLine="600" w:firstLineChars="25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）被暂停或取消招标资格的；</w:t>
      </w:r>
    </w:p>
    <w:p>
      <w:pPr>
        <w:spacing w:line="520" w:lineRule="exact"/>
        <w:ind w:firstLine="600" w:firstLineChars="25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）财产被接管或冻结的；</w:t>
      </w:r>
    </w:p>
    <w:p>
      <w:pPr>
        <w:spacing w:line="520" w:lineRule="exact"/>
        <w:ind w:firstLine="600" w:firstLineChars="25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）在最近三年内有骗取中标或严重违约或重大工程质量问题的。</w:t>
      </w:r>
    </w:p>
    <w:p>
      <w:pPr>
        <w:pStyle w:val="70"/>
        <w:keepNext w:val="0"/>
        <w:keepLines w:val="0"/>
        <w:spacing w:line="498" w:lineRule="exact"/>
        <w:jc w:val="left"/>
        <w:rPr>
          <w:rFonts w:ascii="宋体" w:hAnsi="Calibri"/>
          <w:b/>
          <w:szCs w:val="20"/>
        </w:rPr>
      </w:pPr>
      <w:bookmarkStart w:id="30" w:name="_Toc28251191"/>
      <w:bookmarkStart w:id="31" w:name="_Toc38013518"/>
      <w:r>
        <w:rPr>
          <w:rFonts w:hint="eastAsia" w:ascii="宋体" w:hAnsi="Calibri"/>
          <w:b/>
          <w:szCs w:val="20"/>
        </w:rPr>
        <w:t xml:space="preserve">1.5 </w:t>
      </w:r>
      <w:r>
        <w:rPr>
          <w:rFonts w:hint="eastAsia" w:ascii="宋体" w:hAnsi="Calibri"/>
          <w:szCs w:val="20"/>
        </w:rPr>
        <w:t>费用承担</w:t>
      </w:r>
      <w:bookmarkEnd w:id="30"/>
      <w:bookmarkEnd w:id="31"/>
    </w:p>
    <w:p>
      <w:pPr>
        <w:spacing w:line="520" w:lineRule="exact"/>
        <w:ind w:firstLine="480" w:firstLineChars="200"/>
        <w:rPr>
          <w:rFonts w:ascii="宋体" w:hAnsi="宋体" w:cs="宋体"/>
          <w:sz w:val="24"/>
          <w:szCs w:val="24"/>
        </w:rPr>
      </w:pPr>
      <w:r>
        <w:rPr>
          <w:rFonts w:hint="eastAsia" w:ascii="宋体" w:hAnsi="宋体" w:cs="宋体"/>
          <w:sz w:val="24"/>
          <w:szCs w:val="24"/>
        </w:rPr>
        <w:t>供应商准备和参加投标活动发生的费用自理。</w:t>
      </w:r>
    </w:p>
    <w:p>
      <w:pPr>
        <w:pStyle w:val="70"/>
        <w:keepNext w:val="0"/>
        <w:keepLines w:val="0"/>
        <w:spacing w:line="498" w:lineRule="exact"/>
        <w:jc w:val="left"/>
        <w:rPr>
          <w:rFonts w:ascii="宋体" w:hAnsi="Calibri"/>
          <w:b/>
          <w:szCs w:val="20"/>
        </w:rPr>
      </w:pPr>
      <w:bookmarkStart w:id="32" w:name="_Toc28251192"/>
      <w:bookmarkStart w:id="33" w:name="_Toc38013519"/>
      <w:r>
        <w:rPr>
          <w:rFonts w:hint="eastAsia" w:ascii="宋体" w:hAnsi="Calibri"/>
          <w:b/>
          <w:szCs w:val="20"/>
        </w:rPr>
        <w:t xml:space="preserve">1.6 </w:t>
      </w:r>
      <w:r>
        <w:rPr>
          <w:rFonts w:hint="eastAsia" w:ascii="宋体" w:hAnsi="Calibri"/>
          <w:szCs w:val="20"/>
        </w:rPr>
        <w:t>保密</w:t>
      </w:r>
      <w:bookmarkEnd w:id="32"/>
      <w:bookmarkEnd w:id="33"/>
    </w:p>
    <w:p>
      <w:pPr>
        <w:spacing w:line="520" w:lineRule="exact"/>
        <w:ind w:firstLine="480" w:firstLineChars="200"/>
        <w:rPr>
          <w:rFonts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pStyle w:val="70"/>
        <w:keepNext w:val="0"/>
        <w:keepLines w:val="0"/>
        <w:spacing w:line="498" w:lineRule="exact"/>
        <w:jc w:val="left"/>
        <w:rPr>
          <w:rFonts w:ascii="宋体" w:hAnsi="Calibri"/>
          <w:b/>
          <w:szCs w:val="20"/>
        </w:rPr>
      </w:pPr>
      <w:bookmarkStart w:id="34" w:name="_Toc38013520"/>
      <w:bookmarkStart w:id="35" w:name="_Toc28251193"/>
      <w:r>
        <w:rPr>
          <w:rFonts w:hint="eastAsia" w:ascii="宋体" w:hAnsi="Calibri"/>
          <w:b/>
          <w:szCs w:val="20"/>
        </w:rPr>
        <w:t xml:space="preserve">1.7 </w:t>
      </w:r>
      <w:r>
        <w:rPr>
          <w:rFonts w:hint="eastAsia" w:ascii="宋体" w:hAnsi="Calibri"/>
          <w:szCs w:val="20"/>
        </w:rPr>
        <w:t>语言文字</w:t>
      </w:r>
      <w:bookmarkEnd w:id="34"/>
      <w:bookmarkEnd w:id="35"/>
    </w:p>
    <w:p>
      <w:pPr>
        <w:spacing w:line="520" w:lineRule="exact"/>
        <w:ind w:firstLine="480" w:firstLineChars="200"/>
        <w:rPr>
          <w:rFonts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pStyle w:val="70"/>
        <w:keepNext w:val="0"/>
        <w:keepLines w:val="0"/>
        <w:spacing w:line="498" w:lineRule="exact"/>
        <w:jc w:val="left"/>
        <w:rPr>
          <w:rFonts w:ascii="宋体" w:hAnsi="Calibri"/>
          <w:b/>
          <w:szCs w:val="20"/>
        </w:rPr>
      </w:pPr>
      <w:bookmarkStart w:id="36" w:name="_Toc28251194"/>
      <w:bookmarkStart w:id="37" w:name="_Toc38013521"/>
      <w:r>
        <w:rPr>
          <w:rFonts w:hint="eastAsia" w:ascii="宋体" w:hAnsi="Calibri"/>
          <w:b/>
          <w:szCs w:val="20"/>
        </w:rPr>
        <w:t xml:space="preserve">1.8 </w:t>
      </w:r>
      <w:r>
        <w:rPr>
          <w:rFonts w:hint="eastAsia" w:ascii="宋体" w:hAnsi="Calibri"/>
          <w:szCs w:val="20"/>
        </w:rPr>
        <w:t>计量单位</w:t>
      </w:r>
      <w:bookmarkEnd w:id="36"/>
      <w:bookmarkEnd w:id="37"/>
    </w:p>
    <w:p>
      <w:pPr>
        <w:spacing w:line="520" w:lineRule="exact"/>
        <w:ind w:firstLine="480" w:firstLineChars="200"/>
        <w:rPr>
          <w:rFonts w:ascii="宋体" w:hAnsi="宋体" w:cs="宋体"/>
          <w:sz w:val="24"/>
          <w:szCs w:val="24"/>
        </w:rPr>
      </w:pPr>
      <w:r>
        <w:rPr>
          <w:rFonts w:hint="eastAsia" w:ascii="宋体" w:hAnsi="宋体" w:cs="宋体"/>
          <w:sz w:val="24"/>
          <w:szCs w:val="24"/>
        </w:rPr>
        <w:t>所有计量均采用中华人民共和国法定计量单位。</w:t>
      </w:r>
    </w:p>
    <w:p>
      <w:pPr>
        <w:pStyle w:val="70"/>
        <w:keepNext w:val="0"/>
        <w:keepLines w:val="0"/>
        <w:spacing w:line="498" w:lineRule="exact"/>
        <w:jc w:val="left"/>
        <w:rPr>
          <w:rFonts w:ascii="宋体" w:hAnsi="Calibri"/>
          <w:b/>
          <w:szCs w:val="20"/>
        </w:rPr>
      </w:pPr>
      <w:bookmarkStart w:id="38" w:name="_Toc38013522"/>
      <w:bookmarkStart w:id="39" w:name="_Toc28251195"/>
      <w:r>
        <w:rPr>
          <w:rFonts w:hint="eastAsia" w:ascii="宋体" w:hAnsi="Calibri"/>
          <w:b/>
          <w:szCs w:val="20"/>
        </w:rPr>
        <w:t xml:space="preserve">1.9 </w:t>
      </w:r>
      <w:r>
        <w:rPr>
          <w:rFonts w:hint="eastAsia" w:ascii="宋体" w:hAnsi="Calibri"/>
          <w:szCs w:val="20"/>
        </w:rPr>
        <w:t>踏勘现场</w:t>
      </w:r>
      <w:bookmarkEnd w:id="38"/>
      <w:bookmarkEnd w:id="39"/>
    </w:p>
    <w:p>
      <w:pPr>
        <w:spacing w:line="520" w:lineRule="exact"/>
        <w:ind w:firstLine="480" w:firstLineChars="200"/>
        <w:rPr>
          <w:rFonts w:ascii="宋体" w:hAnsi="宋体" w:cs="宋体"/>
          <w:sz w:val="24"/>
          <w:szCs w:val="24"/>
        </w:rPr>
      </w:pPr>
      <w:r>
        <w:rPr>
          <w:rFonts w:hint="eastAsia" w:ascii="宋体" w:hAnsi="宋体" w:cs="宋体"/>
          <w:sz w:val="24"/>
          <w:szCs w:val="24"/>
        </w:rPr>
        <w:t>不组织</w:t>
      </w:r>
    </w:p>
    <w:p>
      <w:pPr>
        <w:pStyle w:val="70"/>
        <w:keepNext w:val="0"/>
        <w:keepLines w:val="0"/>
        <w:spacing w:line="498" w:lineRule="exact"/>
        <w:jc w:val="left"/>
        <w:rPr>
          <w:rFonts w:ascii="宋体" w:hAnsi="Calibri"/>
          <w:b/>
          <w:szCs w:val="20"/>
        </w:rPr>
      </w:pPr>
      <w:bookmarkStart w:id="40" w:name="_Toc28251196"/>
      <w:bookmarkStart w:id="41" w:name="_Toc38013523"/>
      <w:r>
        <w:rPr>
          <w:rFonts w:hint="eastAsia" w:ascii="宋体" w:hAnsi="Calibri"/>
          <w:b/>
          <w:szCs w:val="20"/>
        </w:rPr>
        <w:t xml:space="preserve">1.10 </w:t>
      </w:r>
      <w:r>
        <w:rPr>
          <w:rFonts w:hint="eastAsia" w:ascii="宋体" w:hAnsi="Calibri"/>
          <w:szCs w:val="20"/>
        </w:rPr>
        <w:t>采购预备会</w:t>
      </w:r>
      <w:bookmarkEnd w:id="40"/>
      <w:bookmarkEnd w:id="41"/>
    </w:p>
    <w:p>
      <w:pPr>
        <w:spacing w:line="520" w:lineRule="exact"/>
        <w:ind w:firstLine="480" w:firstLineChars="200"/>
        <w:rPr>
          <w:rFonts w:ascii="宋体" w:hAnsi="宋体" w:cs="宋体"/>
          <w:sz w:val="24"/>
          <w:szCs w:val="24"/>
        </w:rPr>
      </w:pPr>
      <w:r>
        <w:rPr>
          <w:rFonts w:hint="eastAsia" w:ascii="宋体" w:hAnsi="宋体" w:cs="宋体"/>
          <w:sz w:val="24"/>
          <w:szCs w:val="24"/>
        </w:rPr>
        <w:t>不组织</w:t>
      </w:r>
    </w:p>
    <w:p>
      <w:pPr>
        <w:pStyle w:val="70"/>
        <w:keepNext w:val="0"/>
        <w:keepLines w:val="0"/>
        <w:spacing w:line="498" w:lineRule="exact"/>
        <w:jc w:val="left"/>
        <w:rPr>
          <w:rFonts w:ascii="宋体" w:hAnsi="Calibri"/>
          <w:b/>
          <w:szCs w:val="20"/>
        </w:rPr>
      </w:pPr>
      <w:bookmarkStart w:id="42" w:name="_Toc38013524"/>
      <w:bookmarkStart w:id="43" w:name="_Toc28251197"/>
      <w:r>
        <w:rPr>
          <w:rFonts w:hint="eastAsia" w:ascii="宋体" w:hAnsi="Calibri"/>
          <w:b/>
          <w:szCs w:val="20"/>
        </w:rPr>
        <w:t xml:space="preserve">1.11 </w:t>
      </w:r>
      <w:r>
        <w:rPr>
          <w:rFonts w:hint="eastAsia" w:ascii="宋体" w:hAnsi="Calibri"/>
          <w:szCs w:val="20"/>
        </w:rPr>
        <w:t>分包</w:t>
      </w:r>
      <w:bookmarkEnd w:id="42"/>
      <w:bookmarkEnd w:id="43"/>
    </w:p>
    <w:p>
      <w:pPr>
        <w:spacing w:line="520" w:lineRule="exact"/>
        <w:ind w:firstLine="480" w:firstLineChars="200"/>
        <w:rPr>
          <w:rFonts w:ascii="宋体" w:hAnsi="宋体" w:cs="宋体"/>
          <w:sz w:val="24"/>
          <w:szCs w:val="24"/>
        </w:rPr>
      </w:pPr>
      <w:r>
        <w:rPr>
          <w:rFonts w:hint="eastAsia" w:ascii="宋体" w:hAnsi="宋体" w:cs="宋体"/>
          <w:sz w:val="24"/>
          <w:szCs w:val="24"/>
        </w:rPr>
        <w:t>不允许分包。</w:t>
      </w:r>
    </w:p>
    <w:p>
      <w:pPr>
        <w:pStyle w:val="64"/>
        <w:keepNext w:val="0"/>
        <w:keepLines w:val="0"/>
        <w:spacing w:before="0" w:line="498" w:lineRule="exact"/>
        <w:jc w:val="left"/>
        <w:rPr>
          <w:b/>
          <w:bCs/>
          <w:szCs w:val="20"/>
        </w:rPr>
      </w:pPr>
      <w:bookmarkStart w:id="44" w:name="_Toc466566784"/>
      <w:bookmarkEnd w:id="44"/>
      <w:bookmarkStart w:id="45" w:name="_Toc28251199"/>
      <w:bookmarkStart w:id="46" w:name="_Toc38013525"/>
      <w:bookmarkStart w:id="47" w:name="_Toc16690632"/>
      <w:bookmarkStart w:id="48" w:name="_Toc466566695"/>
      <w:r>
        <w:rPr>
          <w:rFonts w:hint="eastAsia"/>
          <w:b/>
          <w:bCs/>
          <w:szCs w:val="20"/>
        </w:rPr>
        <w:t>2．招标文件</w:t>
      </w:r>
      <w:bookmarkEnd w:id="45"/>
      <w:bookmarkEnd w:id="46"/>
      <w:bookmarkEnd w:id="47"/>
      <w:bookmarkEnd w:id="48"/>
    </w:p>
    <w:p>
      <w:pPr>
        <w:pStyle w:val="70"/>
        <w:keepNext w:val="0"/>
        <w:keepLines w:val="0"/>
        <w:spacing w:line="498" w:lineRule="exact"/>
        <w:jc w:val="left"/>
        <w:rPr>
          <w:rFonts w:ascii="宋体" w:hAnsi="Calibri"/>
          <w:b/>
          <w:szCs w:val="20"/>
        </w:rPr>
      </w:pPr>
      <w:bookmarkStart w:id="49" w:name="_Toc38013526"/>
      <w:bookmarkStart w:id="50" w:name="_Toc28251200"/>
      <w:r>
        <w:rPr>
          <w:rFonts w:hint="eastAsia" w:ascii="宋体" w:hAnsi="Calibri"/>
          <w:b/>
          <w:szCs w:val="20"/>
        </w:rPr>
        <w:t xml:space="preserve">2.1 </w:t>
      </w:r>
      <w:r>
        <w:rPr>
          <w:rFonts w:hint="eastAsia" w:ascii="宋体" w:hAnsi="Calibri"/>
          <w:szCs w:val="20"/>
        </w:rPr>
        <w:t>招标文件的组成</w:t>
      </w:r>
      <w:bookmarkEnd w:id="49"/>
      <w:bookmarkEnd w:id="50"/>
    </w:p>
    <w:p>
      <w:pPr>
        <w:spacing w:line="520" w:lineRule="exact"/>
        <w:ind w:firstLine="480" w:firstLineChars="200"/>
        <w:rPr>
          <w:rFonts w:ascii="宋体" w:hAnsi="宋体" w:cs="宋体"/>
          <w:sz w:val="24"/>
          <w:szCs w:val="24"/>
        </w:rPr>
      </w:pPr>
      <w:r>
        <w:rPr>
          <w:rFonts w:hint="eastAsia" w:ascii="宋体" w:hAnsi="宋体" w:cs="宋体"/>
          <w:sz w:val="24"/>
          <w:szCs w:val="24"/>
        </w:rPr>
        <w:t>本招标文件包括：</w:t>
      </w:r>
    </w:p>
    <w:p>
      <w:pPr>
        <w:spacing w:line="520" w:lineRule="exact"/>
        <w:ind w:firstLine="480" w:firstLineChars="200"/>
        <w:rPr>
          <w:rFonts w:ascii="宋体" w:hAnsi="宋体" w:cs="宋体"/>
          <w:sz w:val="24"/>
          <w:szCs w:val="24"/>
        </w:rPr>
      </w:pPr>
      <w:r>
        <w:rPr>
          <w:rFonts w:hint="eastAsia" w:ascii="宋体" w:hAnsi="宋体" w:cs="宋体"/>
          <w:sz w:val="24"/>
          <w:szCs w:val="24"/>
        </w:rPr>
        <w:t>(1）招标公告；</w:t>
      </w:r>
    </w:p>
    <w:p>
      <w:pPr>
        <w:spacing w:line="520" w:lineRule="exact"/>
        <w:ind w:firstLine="480" w:firstLineChars="200"/>
        <w:rPr>
          <w:rFonts w:ascii="宋体" w:hAnsi="宋体" w:cs="宋体"/>
          <w:sz w:val="24"/>
          <w:szCs w:val="24"/>
        </w:rPr>
      </w:pPr>
      <w:r>
        <w:rPr>
          <w:rFonts w:hint="eastAsia" w:ascii="宋体" w:hAnsi="宋体" w:cs="宋体"/>
          <w:sz w:val="24"/>
          <w:szCs w:val="24"/>
        </w:rPr>
        <w:t>(2）供应商须知；</w:t>
      </w:r>
    </w:p>
    <w:p>
      <w:pPr>
        <w:spacing w:line="520" w:lineRule="exact"/>
        <w:ind w:firstLine="480" w:firstLineChars="200"/>
        <w:rPr>
          <w:rFonts w:ascii="宋体" w:hAnsi="宋体" w:cs="宋体"/>
          <w:sz w:val="24"/>
          <w:szCs w:val="24"/>
        </w:rPr>
      </w:pPr>
      <w:r>
        <w:rPr>
          <w:rFonts w:hint="eastAsia" w:ascii="宋体" w:hAnsi="宋体" w:cs="宋体"/>
          <w:sz w:val="24"/>
          <w:szCs w:val="24"/>
        </w:rPr>
        <w:t>(3）评标办法；</w:t>
      </w:r>
    </w:p>
    <w:p>
      <w:pPr>
        <w:spacing w:line="520" w:lineRule="exact"/>
        <w:ind w:firstLine="480" w:firstLineChars="200"/>
        <w:rPr>
          <w:rFonts w:ascii="宋体" w:hAnsi="宋体" w:cs="宋体"/>
          <w:sz w:val="24"/>
          <w:szCs w:val="24"/>
        </w:rPr>
      </w:pPr>
      <w:r>
        <w:rPr>
          <w:rFonts w:hint="eastAsia" w:ascii="宋体" w:hAnsi="宋体" w:cs="宋体"/>
          <w:sz w:val="24"/>
          <w:szCs w:val="24"/>
        </w:rPr>
        <w:t>(4）合同条款及格式；</w:t>
      </w:r>
    </w:p>
    <w:p>
      <w:pPr>
        <w:spacing w:line="520" w:lineRule="exact"/>
        <w:ind w:firstLine="480" w:firstLineChars="200"/>
        <w:rPr>
          <w:rFonts w:ascii="宋体" w:hAnsi="宋体" w:cs="宋体"/>
          <w:sz w:val="24"/>
          <w:szCs w:val="24"/>
        </w:rPr>
      </w:pPr>
      <w:r>
        <w:rPr>
          <w:rFonts w:hint="eastAsia" w:ascii="宋体" w:hAnsi="宋体" w:cs="宋体"/>
          <w:sz w:val="24"/>
          <w:szCs w:val="24"/>
        </w:rPr>
        <w:t>(5）技术标准和要求；</w:t>
      </w:r>
    </w:p>
    <w:p>
      <w:pPr>
        <w:spacing w:line="520" w:lineRule="exact"/>
        <w:ind w:firstLine="480" w:firstLineChars="200"/>
        <w:rPr>
          <w:rFonts w:ascii="宋体" w:hAnsi="宋体" w:cs="宋体"/>
          <w:sz w:val="24"/>
          <w:szCs w:val="24"/>
        </w:rPr>
      </w:pPr>
      <w:r>
        <w:rPr>
          <w:rFonts w:hint="eastAsia" w:ascii="宋体" w:hAnsi="宋体" w:cs="宋体"/>
          <w:sz w:val="24"/>
          <w:szCs w:val="24"/>
        </w:rPr>
        <w:t>(6）投标文件格式；</w:t>
      </w:r>
    </w:p>
    <w:p>
      <w:pPr>
        <w:spacing w:line="520" w:lineRule="exact"/>
        <w:ind w:firstLine="480" w:firstLineChars="200"/>
        <w:rPr>
          <w:rFonts w:ascii="宋体" w:hAnsi="宋体" w:cs="宋体"/>
          <w:sz w:val="24"/>
          <w:szCs w:val="24"/>
        </w:rPr>
      </w:pPr>
      <w:r>
        <w:rPr>
          <w:rFonts w:hint="eastAsia" w:ascii="宋体" w:hAnsi="宋体" w:cs="宋体"/>
          <w:sz w:val="24"/>
          <w:szCs w:val="24"/>
        </w:rPr>
        <w:t>(7）其他材料</w:t>
      </w:r>
    </w:p>
    <w:p>
      <w:pPr>
        <w:spacing w:line="520" w:lineRule="exact"/>
        <w:ind w:firstLine="480" w:firstLineChars="200"/>
        <w:rPr>
          <w:rFonts w:ascii="宋体" w:hAnsi="宋体" w:cs="宋体"/>
          <w:sz w:val="24"/>
          <w:szCs w:val="24"/>
        </w:rPr>
      </w:pPr>
      <w:r>
        <w:rPr>
          <w:rFonts w:hint="eastAsia" w:ascii="宋体" w:hAnsi="宋体" w:cs="宋体"/>
          <w:sz w:val="24"/>
          <w:szCs w:val="24"/>
        </w:rPr>
        <w:t>根据本章第1.1款、第2.2 款和第2.3 款对招标文件所作的澄清、修改，构成招标文件的组成部分。</w:t>
      </w:r>
    </w:p>
    <w:p>
      <w:pPr>
        <w:pStyle w:val="70"/>
        <w:keepNext w:val="0"/>
        <w:keepLines w:val="0"/>
        <w:spacing w:line="498" w:lineRule="exact"/>
        <w:jc w:val="left"/>
        <w:rPr>
          <w:rFonts w:ascii="宋体" w:hAnsi="Calibri"/>
          <w:b/>
          <w:szCs w:val="20"/>
        </w:rPr>
      </w:pPr>
      <w:bookmarkStart w:id="51" w:name="_Toc38013527"/>
      <w:bookmarkStart w:id="52" w:name="_Toc28251201"/>
      <w:r>
        <w:rPr>
          <w:rFonts w:hint="eastAsia" w:ascii="宋体" w:hAnsi="Calibri"/>
          <w:b/>
          <w:szCs w:val="20"/>
        </w:rPr>
        <w:t>2.2</w:t>
      </w:r>
      <w:r>
        <w:rPr>
          <w:rFonts w:hint="eastAsia" w:ascii="宋体" w:hAnsi="Calibri"/>
          <w:szCs w:val="20"/>
        </w:rPr>
        <w:t>招标文件的澄清</w:t>
      </w:r>
      <w:bookmarkEnd w:id="51"/>
      <w:bookmarkEnd w:id="52"/>
    </w:p>
    <w:p>
      <w:pPr>
        <w:tabs>
          <w:tab w:val="left" w:pos="1080"/>
          <w:tab w:val="left" w:pos="1260"/>
        </w:tabs>
        <w:spacing w:line="520" w:lineRule="exact"/>
        <w:ind w:firstLine="480" w:firstLineChars="200"/>
        <w:jc w:val="left"/>
        <w:rPr>
          <w:color w:val="000000"/>
          <w:sz w:val="24"/>
          <w:szCs w:val="24"/>
        </w:rPr>
      </w:pPr>
      <w:r>
        <w:rPr>
          <w:rFonts w:hint="eastAsia" w:ascii="宋体" w:hAnsi="宋体" w:cs="宋体"/>
          <w:sz w:val="24"/>
          <w:szCs w:val="24"/>
        </w:rPr>
        <w:t>2.2.1 供应商应仔细阅读和检查招标文件的全部内容。如发现内容不完整或附件不全，应及时向招标人提出，以便补齐。如有疑问，应在供应商须知前附表规定的时间</w:t>
      </w:r>
      <w:r>
        <w:rPr>
          <w:rFonts w:hint="eastAsia"/>
          <w:color w:val="000000"/>
          <w:sz w:val="24"/>
          <w:szCs w:val="24"/>
        </w:rPr>
        <w:t>前以书面形式（包括信函、电报、传真等可以有形地表现所载内容的形式，下同），要求招标单位对招标文件予以澄清，招标人及代理机构的任何工作人员对投标单位所作的任何口头解释、介绍、答复，只能供供应商参考，对招标人和供应商均无约束力。</w:t>
      </w:r>
      <w:r>
        <w:rPr>
          <w:rFonts w:hint="eastAsia" w:ascii="宋体" w:hAnsi="宋体" w:cs="宋体"/>
          <w:sz w:val="24"/>
          <w:szCs w:val="24"/>
        </w:rPr>
        <w:br w:type="textWrapping"/>
      </w:r>
      <w:r>
        <w:rPr>
          <w:rFonts w:hint="eastAsia" w:ascii="宋体" w:hAnsi="宋体" w:cs="宋体"/>
          <w:sz w:val="24"/>
          <w:szCs w:val="24"/>
        </w:rPr>
        <w:t xml:space="preserve">    2.2.2 </w:t>
      </w:r>
      <w:r>
        <w:rPr>
          <w:rFonts w:hint="eastAsia"/>
          <w:color w:val="000000"/>
          <w:sz w:val="24"/>
          <w:szCs w:val="24"/>
        </w:rPr>
        <w:t>招标文件的澄清将在供应商须知前附表规定的时间前在《河南省政府采购网》、《中国采购与招标网》、《三门峡市公共资源交易中心网》发布公告，也可用书面形式对投标单位进行答复，但不指明澄清问题的来源。</w:t>
      </w:r>
    </w:p>
    <w:p>
      <w:pPr>
        <w:spacing w:line="360" w:lineRule="auto"/>
        <w:ind w:firstLine="480" w:firstLineChars="200"/>
        <w:rPr>
          <w:rFonts w:ascii="宋体" w:hAnsi="宋体" w:cs="宋体"/>
          <w:sz w:val="24"/>
          <w:szCs w:val="24"/>
        </w:rPr>
      </w:pPr>
      <w:r>
        <w:rPr>
          <w:rFonts w:hint="eastAsia" w:ascii="宋体" w:hAnsi="宋体" w:cs="宋体"/>
          <w:sz w:val="24"/>
          <w:szCs w:val="24"/>
        </w:rPr>
        <w:t>2.2.3 供应商应自行查看澄清信息。</w:t>
      </w:r>
    </w:p>
    <w:p>
      <w:pPr>
        <w:pStyle w:val="70"/>
        <w:keepNext w:val="0"/>
        <w:keepLines w:val="0"/>
        <w:spacing w:line="498" w:lineRule="exact"/>
        <w:jc w:val="left"/>
        <w:rPr>
          <w:rFonts w:ascii="宋体" w:hAnsi="Calibri"/>
          <w:b/>
          <w:szCs w:val="20"/>
        </w:rPr>
      </w:pPr>
      <w:bookmarkStart w:id="53" w:name="_Toc28251202"/>
      <w:bookmarkStart w:id="54" w:name="_Toc38013528"/>
      <w:r>
        <w:rPr>
          <w:rFonts w:hint="eastAsia" w:ascii="宋体" w:hAnsi="Calibri"/>
          <w:b/>
          <w:szCs w:val="20"/>
        </w:rPr>
        <w:t xml:space="preserve">2.3 </w:t>
      </w:r>
      <w:r>
        <w:rPr>
          <w:rFonts w:hint="eastAsia" w:ascii="宋体" w:hAnsi="Calibri"/>
          <w:szCs w:val="20"/>
        </w:rPr>
        <w:t>招标文件的修改</w:t>
      </w:r>
      <w:bookmarkEnd w:id="53"/>
      <w:bookmarkEnd w:id="54"/>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 在投标截止时间15天前，招标人可以修改招标文件，并以变更公告形式通知所有已领取招标文件的供应商。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2.3.2如果修改招标文件，会在《河南省政府采购网》、</w:t>
      </w:r>
      <w:r>
        <w:rPr>
          <w:rFonts w:hint="eastAsia"/>
          <w:color w:val="000000"/>
          <w:sz w:val="24"/>
          <w:szCs w:val="24"/>
        </w:rPr>
        <w:t>《中国采购与招标网》、</w:t>
      </w:r>
      <w:r>
        <w:rPr>
          <w:rFonts w:hint="eastAsia" w:ascii="宋体" w:hAnsi="宋体" w:cs="宋体"/>
          <w:color w:val="000000" w:themeColor="text1"/>
          <w:sz w:val="24"/>
          <w:szCs w:val="24"/>
          <w14:textFill>
            <w14:solidFill>
              <w14:schemeClr w14:val="tx1"/>
            </w14:solidFill>
          </w14:textFill>
        </w:rPr>
        <w:t>《三门峡市公共资源</w:t>
      </w:r>
      <w:r>
        <w:rPr>
          <w:rFonts w:hint="eastAsia"/>
          <w:color w:val="000000" w:themeColor="text1"/>
          <w:sz w:val="24"/>
          <w:szCs w:val="24"/>
          <w14:textFill>
            <w14:solidFill>
              <w14:schemeClr w14:val="tx1"/>
            </w14:solidFill>
          </w14:textFill>
        </w:rPr>
        <w:t>交易中心网》</w:t>
      </w:r>
      <w:r>
        <w:rPr>
          <w:rFonts w:hint="eastAsia" w:ascii="宋体" w:hAnsi="宋体" w:cs="宋体"/>
          <w:color w:val="000000" w:themeColor="text1"/>
          <w:sz w:val="24"/>
          <w:szCs w:val="24"/>
          <w14:textFill>
            <w14:solidFill>
              <w14:schemeClr w14:val="tx1"/>
            </w14:solidFill>
          </w14:textFill>
        </w:rPr>
        <w:t>发布变更公告，不再发纸质的变更信息。提醒供应商随时注意网上发布的信息。如因供应商自身原因未看到信息，因此造成的一切后果由供应商自行承担。</w:t>
      </w:r>
      <w:r>
        <w:rPr>
          <w:rFonts w:hint="eastAsia"/>
          <w:color w:val="000000" w:themeColor="text1"/>
          <w:sz w:val="24"/>
          <w:szCs w:val="24"/>
          <w14:textFill>
            <w14:solidFill>
              <w14:schemeClr w14:val="tx1"/>
            </w14:solidFill>
          </w14:textFill>
        </w:rPr>
        <w:t>如果修改招标文件的时间距投标截止时间不足15天，相应延长投标截止时间。</w:t>
      </w:r>
    </w:p>
    <w:p>
      <w:pPr>
        <w:pStyle w:val="64"/>
        <w:keepNext w:val="0"/>
        <w:keepLines w:val="0"/>
        <w:tabs>
          <w:tab w:val="left" w:pos="540"/>
        </w:tabs>
        <w:spacing w:before="0" w:line="498" w:lineRule="exact"/>
        <w:jc w:val="left"/>
        <w:rPr>
          <w:rFonts w:ascii="黑体" w:hAnsi="黑体"/>
          <w:b/>
          <w:bCs/>
          <w:color w:val="000000" w:themeColor="text1"/>
          <w:szCs w:val="20"/>
          <w14:textFill>
            <w14:solidFill>
              <w14:schemeClr w14:val="tx1"/>
            </w14:solidFill>
          </w14:textFill>
        </w:rPr>
      </w:pPr>
      <w:bookmarkStart w:id="55" w:name="_Toc16690636"/>
      <w:bookmarkStart w:id="56" w:name="_Toc38013529"/>
      <w:bookmarkStart w:id="57" w:name="_Toc28251203"/>
      <w:r>
        <w:rPr>
          <w:rFonts w:hint="eastAsia" w:ascii="黑体" w:hAnsi="黑体"/>
          <w:b/>
          <w:bCs/>
          <w:color w:val="000000" w:themeColor="text1"/>
          <w:szCs w:val="20"/>
          <w14:textFill>
            <w14:solidFill>
              <w14:schemeClr w14:val="tx1"/>
            </w14:solidFill>
          </w14:textFill>
        </w:rPr>
        <w:t>3．投标文件</w:t>
      </w:r>
      <w:bookmarkEnd w:id="55"/>
      <w:bookmarkEnd w:id="56"/>
      <w:bookmarkEnd w:id="57"/>
    </w:p>
    <w:p>
      <w:pPr>
        <w:pStyle w:val="70"/>
        <w:keepNext w:val="0"/>
        <w:keepLines w:val="0"/>
        <w:spacing w:line="498" w:lineRule="exact"/>
        <w:jc w:val="left"/>
        <w:rPr>
          <w:rFonts w:ascii="宋体" w:hAnsi="Calibri"/>
          <w:b/>
          <w:szCs w:val="20"/>
        </w:rPr>
      </w:pPr>
      <w:bookmarkStart w:id="58" w:name="_Toc28251204"/>
      <w:bookmarkStart w:id="59" w:name="_Toc38013530"/>
      <w:r>
        <w:rPr>
          <w:rFonts w:hint="eastAsia" w:ascii="宋体" w:hAnsi="Calibri"/>
          <w:b/>
          <w:szCs w:val="20"/>
        </w:rPr>
        <w:t xml:space="preserve">3.1 </w:t>
      </w:r>
      <w:r>
        <w:rPr>
          <w:rFonts w:hint="eastAsia" w:ascii="宋体" w:hAnsi="Calibri"/>
          <w:szCs w:val="20"/>
        </w:rPr>
        <w:t>投标文件的组成</w:t>
      </w:r>
      <w:bookmarkEnd w:id="58"/>
      <w:bookmarkEnd w:id="59"/>
    </w:p>
    <w:p>
      <w:pPr>
        <w:pStyle w:val="5"/>
        <w:spacing w:before="0" w:after="0" w:line="520" w:lineRule="exact"/>
        <w:ind w:firstLine="480" w:firstLineChars="200"/>
        <w:rPr>
          <w:rFonts w:cs="宋体" w:asciiTheme="minorEastAsia" w:hAnsiTheme="minorEastAsia" w:eastAsiaTheme="minorEastAsia"/>
          <w:sz w:val="24"/>
          <w:szCs w:val="24"/>
        </w:rPr>
      </w:pPr>
      <w:r>
        <w:rPr>
          <w:rFonts w:hint="eastAsia" w:cs="Times New Roman" w:asciiTheme="minorEastAsia" w:hAnsiTheme="minorEastAsia" w:eastAsiaTheme="minorEastAsia"/>
          <w:b w:val="0"/>
          <w:bCs w:val="0"/>
          <w:sz w:val="24"/>
          <w:szCs w:val="24"/>
        </w:rPr>
        <w:t>3.1.1 投标文件应包括下列内容</w:t>
      </w:r>
      <w:r>
        <w:rPr>
          <w:rFonts w:hint="eastAsia" w:cs="宋体" w:asciiTheme="minorEastAsia" w:hAnsiTheme="minorEastAsia" w:eastAsiaTheme="minorEastAsia"/>
          <w:b w:val="0"/>
          <w:sz w:val="24"/>
          <w:szCs w:val="24"/>
        </w:rPr>
        <w:t>：</w:t>
      </w:r>
    </w:p>
    <w:p>
      <w:pPr>
        <w:tabs>
          <w:tab w:val="left" w:pos="1080"/>
          <w:tab w:val="left" w:pos="1260"/>
        </w:tabs>
        <w:spacing w:line="498" w:lineRule="exact"/>
        <w:ind w:firstLine="720" w:firstLineChars="300"/>
        <w:jc w:val="left"/>
        <w:rPr>
          <w:rFonts w:ascii="宋体" w:hAnsi="宋体" w:cs="宋体"/>
          <w:sz w:val="24"/>
          <w:szCs w:val="24"/>
        </w:rPr>
      </w:pPr>
      <w:r>
        <w:rPr>
          <w:rFonts w:hint="eastAsia" w:ascii="宋体" w:hAnsi="宋体" w:cs="宋体"/>
          <w:sz w:val="24"/>
          <w:szCs w:val="24"/>
        </w:rPr>
        <w:t>封面；</w:t>
      </w:r>
    </w:p>
    <w:p>
      <w:pPr>
        <w:ind w:firstLine="720" w:firstLineChars="300"/>
        <w:rPr>
          <w:rFonts w:ascii="宋体" w:hAnsi="宋体" w:cs="宋体"/>
          <w:sz w:val="24"/>
          <w:szCs w:val="24"/>
        </w:rPr>
      </w:pPr>
      <w:r>
        <w:rPr>
          <w:rFonts w:hint="eastAsia" w:ascii="宋体" w:hAnsi="宋体" w:cs="宋体"/>
          <w:sz w:val="24"/>
          <w:szCs w:val="24"/>
        </w:rPr>
        <w:t>目录（自行编制）；</w:t>
      </w:r>
    </w:p>
    <w:p>
      <w:pPr>
        <w:spacing w:line="520" w:lineRule="exact"/>
        <w:ind w:firstLine="480" w:firstLineChars="200"/>
        <w:textAlignment w:val="center"/>
        <w:rPr>
          <w:rFonts w:ascii="宋体" w:hAnsi="宋体" w:cs="宋体"/>
          <w:sz w:val="24"/>
          <w:szCs w:val="24"/>
        </w:rPr>
      </w:pPr>
      <w:r>
        <w:rPr>
          <w:rFonts w:hint="eastAsia" w:ascii="宋体" w:hAnsi="宋体" w:cs="宋体"/>
          <w:sz w:val="24"/>
          <w:szCs w:val="24"/>
        </w:rPr>
        <w:t>（1）供应商承诺书</w:t>
      </w:r>
    </w:p>
    <w:p>
      <w:pPr>
        <w:spacing w:line="520" w:lineRule="exact"/>
        <w:textAlignment w:val="center"/>
        <w:rPr>
          <w:rFonts w:ascii="宋体" w:hAnsi="宋体" w:cs="宋体"/>
          <w:sz w:val="24"/>
          <w:szCs w:val="24"/>
        </w:rPr>
      </w:pPr>
      <w:r>
        <w:rPr>
          <w:rFonts w:hint="eastAsia" w:ascii="宋体" w:hAnsi="宋体" w:cs="宋体"/>
          <w:sz w:val="24"/>
          <w:szCs w:val="24"/>
        </w:rPr>
        <w:t xml:space="preserve">    （2）投标函</w:t>
      </w:r>
    </w:p>
    <w:p>
      <w:pPr>
        <w:spacing w:line="520" w:lineRule="exact"/>
        <w:ind w:firstLine="480" w:firstLineChars="200"/>
        <w:textAlignment w:val="center"/>
        <w:rPr>
          <w:rFonts w:ascii="宋体" w:hAnsi="宋体" w:cs="宋体"/>
          <w:sz w:val="24"/>
          <w:szCs w:val="24"/>
        </w:rPr>
      </w:pPr>
      <w:r>
        <w:rPr>
          <w:rFonts w:hint="eastAsia" w:ascii="宋体" w:hAnsi="宋体" w:cs="宋体"/>
          <w:sz w:val="24"/>
          <w:szCs w:val="24"/>
        </w:rPr>
        <w:t>（3）授权委托书</w:t>
      </w:r>
    </w:p>
    <w:p>
      <w:pPr>
        <w:spacing w:line="520" w:lineRule="exact"/>
        <w:ind w:firstLine="480" w:firstLineChars="200"/>
        <w:textAlignment w:val="center"/>
        <w:rPr>
          <w:rFonts w:ascii="宋体" w:hAnsi="宋体" w:cs="宋体"/>
          <w:sz w:val="24"/>
          <w:szCs w:val="24"/>
        </w:rPr>
      </w:pPr>
      <w:r>
        <w:rPr>
          <w:rFonts w:hint="eastAsia" w:ascii="宋体" w:hAnsi="宋体" w:cs="宋体"/>
          <w:sz w:val="24"/>
          <w:szCs w:val="24"/>
        </w:rPr>
        <w:t>（4）资格审查资料</w:t>
      </w:r>
    </w:p>
    <w:p>
      <w:pPr>
        <w:spacing w:line="520" w:lineRule="exact"/>
        <w:ind w:firstLine="480" w:firstLineChars="200"/>
        <w:textAlignment w:val="center"/>
        <w:rPr>
          <w:rFonts w:ascii="宋体" w:hAnsi="宋体" w:cs="宋体"/>
          <w:color w:val="FF0000"/>
          <w:sz w:val="24"/>
          <w:szCs w:val="24"/>
        </w:rPr>
      </w:pPr>
      <w:r>
        <w:rPr>
          <w:rFonts w:hint="eastAsia" w:ascii="宋体" w:hAnsi="宋体" w:cs="宋体"/>
          <w:sz w:val="24"/>
          <w:szCs w:val="24"/>
        </w:rPr>
        <w:t>（5）投标报价表</w:t>
      </w:r>
    </w:p>
    <w:p>
      <w:pPr>
        <w:spacing w:line="520" w:lineRule="exact"/>
        <w:ind w:firstLine="480" w:firstLineChars="200"/>
        <w:textAlignment w:val="center"/>
        <w:rPr>
          <w:rFonts w:ascii="宋体" w:hAnsi="宋体" w:cs="宋体"/>
          <w:sz w:val="24"/>
          <w:szCs w:val="24"/>
        </w:rPr>
      </w:pPr>
      <w:r>
        <w:rPr>
          <w:rFonts w:hint="eastAsia" w:ascii="宋体" w:hAnsi="宋体" w:cs="宋体"/>
          <w:sz w:val="24"/>
          <w:szCs w:val="24"/>
        </w:rPr>
        <w:t>（6）已标价采购清单</w:t>
      </w:r>
    </w:p>
    <w:p>
      <w:pPr>
        <w:spacing w:line="520" w:lineRule="exact"/>
        <w:ind w:firstLine="480" w:firstLineChars="200"/>
        <w:textAlignment w:val="center"/>
        <w:rPr>
          <w:rFonts w:ascii="宋体" w:hAnsi="宋体" w:cs="宋体"/>
          <w:sz w:val="24"/>
          <w:szCs w:val="24"/>
        </w:rPr>
      </w:pPr>
      <w:r>
        <w:rPr>
          <w:rFonts w:hint="eastAsia" w:ascii="宋体" w:hAnsi="宋体" w:cs="宋体"/>
          <w:sz w:val="24"/>
          <w:szCs w:val="24"/>
        </w:rPr>
        <w:t>（7）技术规格偏离表</w:t>
      </w:r>
    </w:p>
    <w:p>
      <w:pPr>
        <w:spacing w:line="520" w:lineRule="exact"/>
        <w:ind w:firstLine="480" w:firstLineChars="200"/>
        <w:textAlignment w:val="center"/>
        <w:rPr>
          <w:rFonts w:ascii="宋体" w:hAnsi="宋体" w:cs="宋体"/>
          <w:sz w:val="24"/>
          <w:szCs w:val="24"/>
        </w:rPr>
      </w:pPr>
      <w:r>
        <w:rPr>
          <w:rFonts w:hint="eastAsia" w:ascii="宋体" w:hAnsi="宋体" w:cs="宋体"/>
          <w:sz w:val="24"/>
          <w:szCs w:val="24"/>
        </w:rPr>
        <w:t>（8）技术资料</w:t>
      </w:r>
    </w:p>
    <w:p>
      <w:pPr>
        <w:spacing w:line="520" w:lineRule="exact"/>
        <w:ind w:firstLine="480" w:firstLineChars="200"/>
        <w:textAlignment w:val="center"/>
        <w:rPr>
          <w:rFonts w:ascii="宋体" w:hAnsi="宋体" w:cs="宋体"/>
          <w:sz w:val="24"/>
          <w:szCs w:val="24"/>
        </w:rPr>
      </w:pPr>
      <w:r>
        <w:rPr>
          <w:rFonts w:hint="eastAsia" w:ascii="宋体" w:hAnsi="宋体" w:cs="宋体"/>
          <w:sz w:val="24"/>
          <w:szCs w:val="24"/>
        </w:rPr>
        <w:t>（9）其他材料</w:t>
      </w:r>
    </w:p>
    <w:p>
      <w:pPr>
        <w:pStyle w:val="70"/>
        <w:keepNext w:val="0"/>
        <w:keepLines w:val="0"/>
        <w:spacing w:line="498" w:lineRule="exact"/>
        <w:jc w:val="left"/>
        <w:rPr>
          <w:rFonts w:ascii="宋体" w:hAnsi="Calibri"/>
          <w:b/>
          <w:szCs w:val="20"/>
        </w:rPr>
      </w:pPr>
      <w:bookmarkStart w:id="60" w:name="_Toc28251205"/>
      <w:bookmarkStart w:id="61" w:name="_Toc38013531"/>
      <w:r>
        <w:rPr>
          <w:rFonts w:hint="eastAsia" w:ascii="宋体" w:hAnsi="Calibri"/>
          <w:b/>
          <w:szCs w:val="20"/>
        </w:rPr>
        <w:t>3.2.</w:t>
      </w:r>
      <w:r>
        <w:rPr>
          <w:rFonts w:hint="eastAsia" w:ascii="宋体" w:hAnsi="Calibri"/>
          <w:szCs w:val="20"/>
        </w:rPr>
        <w:t>投标报价</w:t>
      </w:r>
      <w:bookmarkEnd w:id="60"/>
      <w:bookmarkEnd w:id="61"/>
    </w:p>
    <w:p>
      <w:pPr>
        <w:spacing w:line="360" w:lineRule="auto"/>
        <w:ind w:firstLine="480" w:firstLineChars="200"/>
        <w:rPr>
          <w:rFonts w:ascii="宋体" w:hAnsi="宋体" w:cs="宋体"/>
          <w:sz w:val="24"/>
          <w:szCs w:val="24"/>
        </w:rPr>
      </w:pPr>
      <w:r>
        <w:rPr>
          <w:rFonts w:hint="eastAsia" w:ascii="宋体" w:hAnsi="宋体" w:cs="宋体"/>
          <w:sz w:val="24"/>
          <w:szCs w:val="24"/>
        </w:rPr>
        <w:t>3.2.1投标报价的单价和总价均以人民币表示，金额以“元”为单位。</w:t>
      </w:r>
    </w:p>
    <w:p>
      <w:pPr>
        <w:spacing w:line="360" w:lineRule="auto"/>
        <w:ind w:firstLine="480" w:firstLineChars="200"/>
        <w:rPr>
          <w:rFonts w:ascii="宋体" w:hAnsi="宋体" w:cs="宋体"/>
          <w:sz w:val="24"/>
          <w:szCs w:val="24"/>
        </w:rPr>
      </w:pPr>
      <w:r>
        <w:rPr>
          <w:rFonts w:hint="eastAsia" w:ascii="宋体" w:hAnsi="宋体" w:cs="宋体"/>
          <w:sz w:val="24"/>
          <w:szCs w:val="24"/>
        </w:rPr>
        <w:t>3.2.2供应商应对本招标文件、澄清、修改及补充文件等列入招标范围的全部内容进行投标报价。</w:t>
      </w:r>
    </w:p>
    <w:p>
      <w:pPr>
        <w:spacing w:line="360" w:lineRule="auto"/>
        <w:ind w:firstLine="480" w:firstLineChars="200"/>
        <w:rPr>
          <w:rFonts w:ascii="宋体" w:hAnsi="宋体" w:cs="宋体"/>
          <w:sz w:val="24"/>
          <w:szCs w:val="24"/>
        </w:rPr>
      </w:pPr>
      <w:r>
        <w:rPr>
          <w:rFonts w:hint="eastAsia" w:ascii="宋体" w:hAnsi="宋体" w:cs="宋体"/>
          <w:sz w:val="24"/>
          <w:szCs w:val="24"/>
        </w:rPr>
        <w:t>3.2.3本项目招标报价依据招标文件、有关技术资料及答疑纪要，充分考虑市场价格、风险因素，在合理范围内自主报价。</w:t>
      </w:r>
    </w:p>
    <w:p>
      <w:pPr>
        <w:spacing w:line="360" w:lineRule="auto"/>
        <w:ind w:firstLine="480" w:firstLineChars="200"/>
        <w:rPr>
          <w:rFonts w:ascii="宋体" w:hAnsi="宋体" w:cs="宋体"/>
          <w:sz w:val="24"/>
          <w:szCs w:val="24"/>
        </w:rPr>
      </w:pPr>
      <w:r>
        <w:rPr>
          <w:rFonts w:hint="eastAsia" w:ascii="宋体" w:hAnsi="宋体" w:cs="宋体"/>
          <w:sz w:val="24"/>
          <w:szCs w:val="24"/>
        </w:rPr>
        <w:t>3.2.4招标文件中投标函、投标报价表等所有报价均一致。</w:t>
      </w:r>
    </w:p>
    <w:p>
      <w:pPr>
        <w:spacing w:line="360" w:lineRule="auto"/>
        <w:ind w:firstLine="480" w:firstLineChars="200"/>
        <w:rPr>
          <w:rFonts w:ascii="宋体" w:hAnsi="宋体" w:cs="宋体"/>
          <w:sz w:val="24"/>
          <w:szCs w:val="24"/>
        </w:rPr>
      </w:pPr>
      <w:r>
        <w:rPr>
          <w:rFonts w:hint="eastAsia" w:ascii="宋体" w:hAnsi="宋体" w:cs="宋体"/>
          <w:sz w:val="24"/>
          <w:szCs w:val="24"/>
        </w:rPr>
        <w:t>3.2.5招标人不接受有任何选择的报价，投标文件中只允许有一个投标报价。</w:t>
      </w:r>
    </w:p>
    <w:p>
      <w:pPr>
        <w:spacing w:line="360" w:lineRule="auto"/>
        <w:ind w:firstLine="480" w:firstLineChars="200"/>
        <w:rPr>
          <w:rFonts w:ascii="宋体" w:hAnsi="宋体" w:cs="宋体"/>
          <w:sz w:val="24"/>
          <w:szCs w:val="24"/>
        </w:rPr>
      </w:pPr>
      <w:r>
        <w:rPr>
          <w:rFonts w:hint="eastAsia" w:ascii="宋体" w:hAnsi="宋体" w:cs="宋体"/>
          <w:sz w:val="24"/>
          <w:szCs w:val="24"/>
        </w:rPr>
        <w:t>3.2.6供应商在投标截止时间前修改投标函中的投标总报价时,此修改须符合本章第4.3款的有关要求。</w:t>
      </w:r>
    </w:p>
    <w:p>
      <w:pPr>
        <w:spacing w:line="360" w:lineRule="auto"/>
        <w:ind w:firstLine="480" w:firstLineChars="200"/>
        <w:rPr>
          <w:rFonts w:ascii="宋体" w:hAnsi="宋体" w:cs="宋体"/>
          <w:sz w:val="24"/>
          <w:szCs w:val="24"/>
        </w:rPr>
      </w:pPr>
      <w:r>
        <w:rPr>
          <w:rFonts w:hint="eastAsia" w:ascii="宋体" w:hAnsi="宋体" w:cs="宋体"/>
          <w:sz w:val="24"/>
          <w:szCs w:val="24"/>
        </w:rPr>
        <w:t>3.2.7当供应商的投标报价大写金额和小写金额不一致的，以大写金额为准；</w:t>
      </w:r>
    </w:p>
    <w:p>
      <w:pPr>
        <w:spacing w:line="360" w:lineRule="auto"/>
        <w:ind w:firstLine="480" w:firstLineChars="200"/>
        <w:rPr>
          <w:rFonts w:ascii="宋体" w:hAnsi="宋体" w:cs="宋体"/>
          <w:sz w:val="24"/>
          <w:szCs w:val="24"/>
        </w:rPr>
      </w:pPr>
      <w:r>
        <w:rPr>
          <w:rFonts w:hint="eastAsia" w:ascii="宋体" w:hAnsi="宋体" w:cs="宋体"/>
          <w:sz w:val="24"/>
          <w:szCs w:val="24"/>
        </w:rPr>
        <w:t>3.2.8本项目招标控制价为人民币</w:t>
      </w:r>
      <w:r>
        <w:rPr>
          <w:rFonts w:hint="eastAsia" w:ascii="宋体" w:hAnsi="宋体" w:cs="宋体"/>
          <w:sz w:val="24"/>
          <w:szCs w:val="24"/>
          <w:lang w:val="en-US" w:eastAsia="zh-CN"/>
        </w:rPr>
        <w:t>370</w:t>
      </w:r>
      <w:r>
        <w:rPr>
          <w:rFonts w:hint="eastAsia" w:ascii="宋体" w:hAnsi="宋体" w:cs="宋体"/>
          <w:sz w:val="24"/>
          <w:szCs w:val="24"/>
        </w:rPr>
        <w:t>0000.00元。当供应商的投标报价高于本项目招标控制价，该供应商的投标报价为无效报价，其投标文件按无效投标文件处理。</w:t>
      </w:r>
    </w:p>
    <w:p>
      <w:pPr>
        <w:pStyle w:val="70"/>
        <w:keepNext w:val="0"/>
        <w:keepLines w:val="0"/>
        <w:spacing w:line="498" w:lineRule="exact"/>
        <w:jc w:val="left"/>
        <w:rPr>
          <w:rFonts w:ascii="宋体" w:hAnsi="Calibri"/>
          <w:szCs w:val="20"/>
        </w:rPr>
      </w:pPr>
      <w:bookmarkStart w:id="62" w:name="_Toc28251206"/>
      <w:bookmarkStart w:id="63" w:name="_Toc38013532"/>
      <w:r>
        <w:rPr>
          <w:rFonts w:hint="eastAsia" w:ascii="宋体" w:hAnsi="Calibri"/>
          <w:b/>
          <w:szCs w:val="20"/>
        </w:rPr>
        <w:t xml:space="preserve">3.3 </w:t>
      </w:r>
      <w:r>
        <w:rPr>
          <w:rFonts w:hint="eastAsia" w:ascii="宋体" w:hAnsi="Calibri"/>
          <w:szCs w:val="20"/>
        </w:rPr>
        <w:t>投标有效期</w:t>
      </w:r>
      <w:bookmarkEnd w:id="62"/>
      <w:bookmarkEnd w:id="63"/>
    </w:p>
    <w:p>
      <w:pPr>
        <w:spacing w:line="520" w:lineRule="exact"/>
        <w:ind w:firstLine="480" w:firstLineChars="200"/>
        <w:rPr>
          <w:rFonts w:ascii="宋体" w:hAnsi="宋体" w:cs="宋体"/>
          <w:sz w:val="24"/>
          <w:szCs w:val="24"/>
        </w:rPr>
      </w:pPr>
      <w:r>
        <w:rPr>
          <w:rFonts w:hint="eastAsia" w:ascii="宋体" w:hAnsi="宋体" w:cs="宋体"/>
          <w:sz w:val="24"/>
          <w:szCs w:val="24"/>
        </w:rPr>
        <w:t>3.3.1 在供应商须知前附表规定的投标有效期内，供应商不得要求撤销或修改其投标文件。</w:t>
      </w:r>
    </w:p>
    <w:p>
      <w:pPr>
        <w:spacing w:line="520" w:lineRule="exact"/>
        <w:ind w:firstLine="480" w:firstLineChars="200"/>
        <w:rPr>
          <w:rFonts w:ascii="宋体" w:hAnsi="宋体" w:cs="宋体"/>
          <w:sz w:val="24"/>
          <w:szCs w:val="24"/>
        </w:rPr>
      </w:pPr>
      <w:r>
        <w:rPr>
          <w:rFonts w:hint="eastAsia" w:ascii="宋体" w:hAnsi="宋体" w:cs="宋体"/>
          <w:sz w:val="24"/>
          <w:szCs w:val="24"/>
        </w:rPr>
        <w:t>3.3.2 出现特殊情况需要延长投标有效期的，招标人以书面形式通知所有供应商延长投标有效期。供应商同意延长的，不得要求或被允许修改或撤销其投标文件；供应商拒绝延长的，其投标失效。</w:t>
      </w:r>
    </w:p>
    <w:p>
      <w:pPr>
        <w:pStyle w:val="70"/>
        <w:keepNext w:val="0"/>
        <w:keepLines w:val="0"/>
        <w:spacing w:line="498" w:lineRule="exact"/>
        <w:jc w:val="left"/>
        <w:rPr>
          <w:rFonts w:ascii="宋体" w:hAnsi="Calibri"/>
          <w:b/>
          <w:szCs w:val="20"/>
        </w:rPr>
      </w:pPr>
      <w:bookmarkStart w:id="64" w:name="_Toc38013533"/>
      <w:bookmarkStart w:id="65" w:name="_Toc28251207"/>
      <w:r>
        <w:rPr>
          <w:rFonts w:hint="eastAsia" w:ascii="宋体" w:hAnsi="Calibri"/>
          <w:b/>
          <w:szCs w:val="20"/>
        </w:rPr>
        <w:t xml:space="preserve">3.4 </w:t>
      </w:r>
      <w:r>
        <w:rPr>
          <w:rFonts w:hint="eastAsia" w:ascii="宋体" w:hAnsi="Calibri"/>
          <w:szCs w:val="20"/>
        </w:rPr>
        <w:t>资格审查资料</w:t>
      </w:r>
      <w:bookmarkEnd w:id="64"/>
      <w:bookmarkEnd w:id="65"/>
    </w:p>
    <w:p>
      <w:pPr>
        <w:spacing w:line="500" w:lineRule="exact"/>
        <w:ind w:firstLine="480" w:firstLineChars="200"/>
        <w:rPr>
          <w:rFonts w:hint="eastAsia" w:ascii="宋体" w:hAnsi="宋体" w:cs="宋体"/>
          <w:sz w:val="24"/>
          <w:szCs w:val="24"/>
        </w:rPr>
      </w:pPr>
      <w:r>
        <w:rPr>
          <w:rFonts w:hint="eastAsia" w:ascii="宋体" w:hAnsi="宋体" w:cs="宋体"/>
          <w:sz w:val="24"/>
          <w:szCs w:val="24"/>
        </w:rPr>
        <w:t>供应商必须符合《中华人民共和国政府采购法》第二十二条的规定并同时具备下列条件：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3.4.1、投标供应商须具有合法有效的营业执照；</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3.4.2、供应商须出具本企业无商业贿赂和不正当竞争行为承诺书；</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3.4.3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pPr>
        <w:spacing w:line="500" w:lineRule="exact"/>
        <w:ind w:firstLine="480" w:firstLineChars="200"/>
        <w:rPr>
          <w:rFonts w:hint="eastAsia" w:ascii="宋体" w:hAnsi="宋体" w:cs="宋体"/>
          <w:sz w:val="24"/>
          <w:szCs w:val="24"/>
          <w:lang w:val="zh-TW"/>
        </w:rPr>
      </w:pPr>
      <w:r>
        <w:rPr>
          <w:rFonts w:hint="eastAsia" w:ascii="宋体" w:hAnsi="宋体" w:cs="宋体"/>
          <w:sz w:val="24"/>
          <w:szCs w:val="24"/>
        </w:rPr>
        <w:t>3.4.4、本项目不接受联合体报名。</w:t>
      </w:r>
    </w:p>
    <w:p>
      <w:pPr>
        <w:pStyle w:val="70"/>
        <w:keepNext w:val="0"/>
        <w:keepLines w:val="0"/>
        <w:spacing w:line="498" w:lineRule="exact"/>
        <w:jc w:val="left"/>
        <w:rPr>
          <w:rFonts w:ascii="宋体" w:hAnsi="Calibri"/>
          <w:b/>
          <w:szCs w:val="20"/>
        </w:rPr>
      </w:pPr>
      <w:bookmarkStart w:id="66" w:name="_Toc38013534"/>
      <w:bookmarkStart w:id="67" w:name="_Toc28251208"/>
      <w:r>
        <w:rPr>
          <w:rFonts w:hint="eastAsia" w:ascii="宋体" w:hAnsi="Calibri"/>
          <w:b/>
          <w:szCs w:val="20"/>
        </w:rPr>
        <w:t>3.5 备选采购方案</w:t>
      </w:r>
      <w:bookmarkEnd w:id="66"/>
      <w:bookmarkEnd w:id="67"/>
    </w:p>
    <w:p>
      <w:pPr>
        <w:spacing w:line="520" w:lineRule="exact"/>
        <w:ind w:firstLine="480" w:firstLineChars="200"/>
        <w:rPr>
          <w:rFonts w:ascii="宋体" w:hAnsi="宋体" w:cs="宋体"/>
          <w:sz w:val="24"/>
          <w:szCs w:val="24"/>
        </w:rPr>
      </w:pPr>
      <w:r>
        <w:rPr>
          <w:rFonts w:hint="eastAsia" w:ascii="宋体" w:hAnsi="宋体" w:cs="宋体"/>
          <w:sz w:val="24"/>
          <w:szCs w:val="24"/>
        </w:rPr>
        <w:t>供应商不得递交备选投标方案。</w:t>
      </w:r>
    </w:p>
    <w:p>
      <w:pPr>
        <w:pStyle w:val="70"/>
        <w:keepNext w:val="0"/>
        <w:keepLines w:val="0"/>
        <w:spacing w:line="498" w:lineRule="exact"/>
        <w:jc w:val="left"/>
        <w:rPr>
          <w:rFonts w:ascii="宋体" w:hAnsi="宋体" w:eastAsia="宋体"/>
        </w:rPr>
      </w:pPr>
      <w:bookmarkStart w:id="68" w:name="_Toc38013535"/>
      <w:bookmarkStart w:id="69" w:name="_Toc28251209"/>
      <w:r>
        <w:rPr>
          <w:rFonts w:hint="eastAsia" w:ascii="宋体" w:hAnsi="Calibri"/>
          <w:b/>
          <w:szCs w:val="20"/>
        </w:rPr>
        <w:t xml:space="preserve">3.6 </w:t>
      </w:r>
      <w:r>
        <w:rPr>
          <w:rFonts w:hint="eastAsia" w:ascii="宋体" w:hAnsi="Calibri"/>
          <w:szCs w:val="20"/>
        </w:rPr>
        <w:t>投标文件的编制</w:t>
      </w:r>
      <w:bookmarkEnd w:id="68"/>
      <w:bookmarkEnd w:id="69"/>
    </w:p>
    <w:p>
      <w:pPr>
        <w:spacing w:line="520" w:lineRule="exact"/>
        <w:ind w:firstLine="480" w:firstLineChars="200"/>
        <w:rPr>
          <w:rFonts w:ascii="宋体" w:hAnsi="宋体" w:cs="宋体"/>
          <w:sz w:val="24"/>
          <w:szCs w:val="24"/>
        </w:rPr>
      </w:pPr>
      <w:r>
        <w:rPr>
          <w:rFonts w:hint="eastAsia" w:ascii="宋体" w:hAnsi="宋体" w:cs="宋体"/>
          <w:sz w:val="24"/>
          <w:szCs w:val="24"/>
        </w:rPr>
        <w:t>3.6.1 投标文件应</w:t>
      </w:r>
      <w:r>
        <w:rPr>
          <w:rFonts w:hint="eastAsia" w:ascii="宋体" w:hAnsi="宋体" w:cs="宋体"/>
          <w:color w:val="000000" w:themeColor="text1"/>
          <w:sz w:val="24"/>
          <w:szCs w:val="24"/>
          <w14:textFill>
            <w14:solidFill>
              <w14:schemeClr w14:val="tx1"/>
            </w14:solidFill>
          </w14:textFill>
        </w:rPr>
        <w:t>按第六章“投标文件格式</w:t>
      </w:r>
      <w:r>
        <w:rPr>
          <w:rFonts w:hint="eastAsia" w:ascii="宋体" w:hAnsi="宋体" w:cs="宋体"/>
          <w:sz w:val="24"/>
          <w:szCs w:val="24"/>
        </w:rPr>
        <w:t>”进行编写，如有必要，可以增加附页，作为投标文件的组成部分。其中，投标函在满足招标文件实质性要求的基础上，可以提出比招标文件要求更有利于招标人的承诺。</w:t>
      </w:r>
    </w:p>
    <w:p>
      <w:pPr>
        <w:spacing w:line="520" w:lineRule="exact"/>
        <w:ind w:firstLine="480" w:firstLineChars="200"/>
        <w:rPr>
          <w:rFonts w:ascii="宋体" w:hAnsi="宋体" w:cs="宋体"/>
          <w:sz w:val="24"/>
          <w:szCs w:val="24"/>
        </w:rPr>
      </w:pPr>
      <w:r>
        <w:rPr>
          <w:rFonts w:hint="eastAsia" w:ascii="宋体" w:hAnsi="宋体" w:cs="宋体"/>
          <w:sz w:val="24"/>
          <w:szCs w:val="24"/>
        </w:rPr>
        <w:t>3.6.2 投标文件应当对招标文件中有关供货期、投标有效期、质量要求、招标范围等实质性内容作出投标。</w:t>
      </w:r>
    </w:p>
    <w:p>
      <w:pPr>
        <w:spacing w:line="520" w:lineRule="exact"/>
        <w:ind w:firstLine="480" w:firstLineChars="200"/>
        <w:rPr>
          <w:rFonts w:ascii="宋体" w:hAnsi="宋体" w:cs="宋体"/>
          <w:sz w:val="24"/>
          <w:szCs w:val="24"/>
        </w:rPr>
      </w:pPr>
      <w:r>
        <w:rPr>
          <w:rFonts w:hint="eastAsia" w:ascii="宋体" w:hAnsi="宋体" w:cs="宋体"/>
          <w:sz w:val="24"/>
          <w:szCs w:val="24"/>
        </w:rPr>
        <w:t>3.6.3投标供应商所上传的电子化投标文件，应是通过中心投标文件制作系统制作的（投标文件制作工具下载地址：</w:t>
      </w:r>
      <w:r>
        <w:rPr>
          <w:rFonts w:ascii="宋体" w:hAnsi="宋体" w:cs="宋体"/>
          <w:sz w:val="24"/>
          <w:szCs w:val="24"/>
        </w:rPr>
        <w:t>https://download.bqpoint.com/download/downloaddetail.html?SourceFrom=Ztb&amp;ZtbSoftXiaQuCode=1506&amp;ZtbSoftType=tballinclusive</w:t>
      </w:r>
      <w:r>
        <w:rPr>
          <w:rFonts w:hint="eastAsia" w:ascii="宋体" w:hAnsi="宋体" w:cs="宋体"/>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pPr>
        <w:spacing w:line="360" w:lineRule="auto"/>
        <w:rPr>
          <w:rFonts w:ascii="宋体" w:hAnsi="宋体"/>
          <w:color w:val="000000"/>
          <w:sz w:val="24"/>
        </w:rPr>
      </w:pPr>
      <w:r>
        <w:rPr>
          <w:rFonts w:hint="eastAsia" w:ascii="宋体" w:hAnsi="宋体"/>
          <w:b/>
          <w:bCs/>
          <w:color w:val="000000"/>
          <w:sz w:val="24"/>
        </w:rPr>
        <w:t>注：响应人投报多个标段的，需要每个标段单独制作电子响应文件。</w:t>
      </w:r>
    </w:p>
    <w:p>
      <w:pPr>
        <w:pStyle w:val="70"/>
        <w:keepNext w:val="0"/>
        <w:keepLines w:val="0"/>
        <w:spacing w:line="498" w:lineRule="exact"/>
        <w:jc w:val="left"/>
        <w:rPr>
          <w:rFonts w:ascii="宋体" w:hAnsi="Calibri"/>
          <w:b/>
          <w:szCs w:val="20"/>
        </w:rPr>
      </w:pPr>
      <w:bookmarkStart w:id="70" w:name="_Toc38013536"/>
      <w:bookmarkStart w:id="71" w:name="_Toc28251210"/>
      <w:r>
        <w:rPr>
          <w:rFonts w:hint="eastAsia" w:ascii="宋体" w:hAnsi="Calibri"/>
          <w:b/>
          <w:szCs w:val="20"/>
        </w:rPr>
        <w:t xml:space="preserve">3.7 </w:t>
      </w:r>
      <w:r>
        <w:rPr>
          <w:rFonts w:hint="eastAsia" w:ascii="宋体" w:hAnsi="Calibri"/>
          <w:szCs w:val="20"/>
        </w:rPr>
        <w:t>投标文件的签署</w:t>
      </w:r>
      <w:bookmarkEnd w:id="70"/>
      <w:bookmarkEnd w:id="71"/>
    </w:p>
    <w:p>
      <w:pPr>
        <w:spacing w:line="480" w:lineRule="exact"/>
        <w:ind w:firstLine="360" w:firstLineChars="150"/>
        <w:rPr>
          <w:rFonts w:ascii="宋体" w:hAnsi="宋体"/>
          <w:sz w:val="24"/>
        </w:rPr>
      </w:pPr>
      <w:r>
        <w:rPr>
          <w:rFonts w:hint="eastAsia" w:ascii="宋体" w:hAnsi="宋体" w:cs="宋体"/>
          <w:sz w:val="24"/>
          <w:szCs w:val="24"/>
        </w:rPr>
        <w:t>3.7.1</w:t>
      </w:r>
      <w:r>
        <w:rPr>
          <w:rFonts w:hint="eastAsia" w:ascii="宋体" w:hAnsi="宋体"/>
          <w:sz w:val="24"/>
        </w:rPr>
        <w:t>投标文件的递交</w:t>
      </w:r>
    </w:p>
    <w:p>
      <w:pPr>
        <w:spacing w:line="480" w:lineRule="exact"/>
        <w:ind w:firstLine="480" w:firstLineChars="200"/>
        <w:rPr>
          <w:rFonts w:ascii="宋体" w:hAnsi="宋体"/>
          <w:sz w:val="24"/>
        </w:rPr>
      </w:pPr>
      <w:r>
        <w:rPr>
          <w:rFonts w:hint="eastAsia" w:ascii="宋体" w:hAnsi="宋体"/>
          <w:sz w:val="24"/>
        </w:rPr>
        <w:t>本项目为电子化、无纸化交易项目，开标时不再接受任何纸质资料，为保证您能投标成功，请需仔细阅读招标文件和三门峡市公共资源交易中心官网业务办理指南。</w:t>
      </w:r>
    </w:p>
    <w:p>
      <w:pPr>
        <w:spacing w:line="480" w:lineRule="exact"/>
        <w:ind w:firstLine="480" w:firstLineChars="200"/>
        <w:rPr>
          <w:rFonts w:ascii="宋体" w:hAnsi="宋体"/>
          <w:sz w:val="24"/>
        </w:rPr>
      </w:pPr>
      <w:r>
        <w:rPr>
          <w:rFonts w:hint="eastAsia" w:ascii="宋体" w:hAnsi="宋体" w:cs="宋体"/>
          <w:sz w:val="24"/>
          <w:szCs w:val="24"/>
        </w:rPr>
        <w:t>3.7.</w:t>
      </w:r>
      <w:bookmarkStart w:id="72" w:name="_Toc184635074"/>
      <w:bookmarkEnd w:id="72"/>
      <w:r>
        <w:rPr>
          <w:rFonts w:hint="eastAsia" w:ascii="宋体" w:hAnsi="宋体" w:cs="宋体"/>
          <w:sz w:val="24"/>
          <w:szCs w:val="24"/>
        </w:rPr>
        <w:t>2</w:t>
      </w:r>
      <w:r>
        <w:rPr>
          <w:rFonts w:hint="eastAsia" w:ascii="宋体" w:hAnsi="宋体"/>
          <w:sz w:val="24"/>
        </w:rPr>
        <w:t>电子化投标文件的签章</w:t>
      </w:r>
    </w:p>
    <w:p>
      <w:pPr>
        <w:spacing w:line="480" w:lineRule="exact"/>
        <w:ind w:firstLine="480" w:firstLineChars="200"/>
        <w:rPr>
          <w:rFonts w:ascii="宋体" w:hAnsi="宋体"/>
          <w:sz w:val="24"/>
        </w:rPr>
      </w:pPr>
      <w:r>
        <w:rPr>
          <w:rFonts w:hint="eastAsia" w:ascii="宋体" w:hAnsi="宋体"/>
          <w:sz w:val="24"/>
        </w:rPr>
        <w:t>(1)供应商在生成电子化投标文件后，应对电子化投标文件进行签章，未对电子化投标文件进行签章的视为无效招标。</w:t>
      </w:r>
    </w:p>
    <w:p>
      <w:pPr>
        <w:spacing w:line="480" w:lineRule="exact"/>
        <w:ind w:firstLine="480" w:firstLineChars="200"/>
        <w:rPr>
          <w:rFonts w:ascii="宋体" w:hAnsi="宋体"/>
          <w:sz w:val="24"/>
        </w:rPr>
      </w:pPr>
      <w:r>
        <w:rPr>
          <w:rFonts w:hint="eastAsia" w:ascii="宋体" w:hAnsi="宋体"/>
          <w:sz w:val="24"/>
        </w:rPr>
        <w:t>(2)招标文件中要求法定代表人或授权委托人签字或盖章的，供应商在进行电子化投标文件签章时，以签盖法定代表人签章为准。</w:t>
      </w:r>
    </w:p>
    <w:p>
      <w:pPr>
        <w:pStyle w:val="64"/>
        <w:keepNext w:val="0"/>
        <w:keepLines w:val="0"/>
        <w:tabs>
          <w:tab w:val="left" w:pos="540"/>
        </w:tabs>
        <w:spacing w:before="0" w:line="500" w:lineRule="exact"/>
        <w:jc w:val="left"/>
        <w:rPr>
          <w:rFonts w:ascii="黑体" w:hAnsi="黑体"/>
          <w:b/>
          <w:bCs/>
          <w:szCs w:val="20"/>
        </w:rPr>
      </w:pPr>
      <w:bookmarkStart w:id="73" w:name="_Toc28251211"/>
      <w:bookmarkStart w:id="74" w:name="_Toc38013537"/>
      <w:bookmarkStart w:id="75" w:name="_Toc16690644"/>
      <w:r>
        <w:rPr>
          <w:rFonts w:hint="eastAsia" w:ascii="黑体" w:hAnsi="黑体"/>
          <w:b/>
          <w:bCs/>
        </w:rPr>
        <w:t>4.</w:t>
      </w:r>
      <w:r>
        <w:rPr>
          <w:rFonts w:hint="eastAsia" w:ascii="黑体" w:hAnsi="黑体"/>
          <w:b/>
          <w:bCs/>
          <w:szCs w:val="20"/>
        </w:rPr>
        <w:t>投标</w:t>
      </w:r>
      <w:bookmarkEnd w:id="73"/>
      <w:bookmarkEnd w:id="74"/>
      <w:bookmarkEnd w:id="75"/>
    </w:p>
    <w:p>
      <w:pPr>
        <w:pStyle w:val="70"/>
        <w:keepNext w:val="0"/>
        <w:keepLines w:val="0"/>
        <w:spacing w:line="500" w:lineRule="exact"/>
        <w:jc w:val="left"/>
        <w:rPr>
          <w:rFonts w:ascii="宋体" w:hAnsi="Calibri"/>
          <w:b/>
          <w:szCs w:val="20"/>
        </w:rPr>
      </w:pPr>
      <w:bookmarkStart w:id="76" w:name="_Toc28251213"/>
      <w:bookmarkStart w:id="77" w:name="_Toc38013538"/>
      <w:r>
        <w:rPr>
          <w:rFonts w:hint="eastAsia" w:ascii="宋体" w:hAnsi="Calibri"/>
          <w:b/>
          <w:szCs w:val="20"/>
        </w:rPr>
        <w:t>4.1</w:t>
      </w:r>
      <w:r>
        <w:rPr>
          <w:rFonts w:hint="eastAsia" w:ascii="宋体" w:hAnsi="Calibri"/>
          <w:szCs w:val="20"/>
        </w:rPr>
        <w:t>投标文件的递交</w:t>
      </w:r>
      <w:bookmarkEnd w:id="76"/>
      <w:bookmarkEnd w:id="77"/>
    </w:p>
    <w:p>
      <w:pPr>
        <w:spacing w:line="480" w:lineRule="exact"/>
        <w:ind w:firstLine="480" w:firstLineChars="200"/>
        <w:rPr>
          <w:rFonts w:ascii="宋体" w:hAnsi="宋体"/>
          <w:sz w:val="24"/>
        </w:rPr>
      </w:pPr>
      <w:r>
        <w:rPr>
          <w:rFonts w:hint="eastAsia" w:ascii="宋体" w:hAnsi="宋体"/>
          <w:sz w:val="24"/>
        </w:rPr>
        <w:t>（1） 供应商应在规定的投标截止时间前递交投标文件。</w:t>
      </w:r>
    </w:p>
    <w:p>
      <w:pPr>
        <w:spacing w:line="480" w:lineRule="exact"/>
        <w:ind w:firstLine="480" w:firstLineChars="200"/>
        <w:rPr>
          <w:rFonts w:ascii="宋体" w:hAnsi="宋体"/>
          <w:sz w:val="24"/>
        </w:rPr>
      </w:pPr>
      <w:r>
        <w:rPr>
          <w:rFonts w:hint="eastAsia" w:ascii="宋体" w:hAnsi="宋体"/>
          <w:sz w:val="24"/>
        </w:rPr>
        <w:t>（2） 供应商递交投标文件的地点：见供应商须知前附表。</w:t>
      </w:r>
    </w:p>
    <w:p>
      <w:pPr>
        <w:spacing w:line="480" w:lineRule="exact"/>
        <w:ind w:firstLine="480" w:firstLineChars="200"/>
        <w:rPr>
          <w:rFonts w:ascii="宋体" w:hAnsi="宋体"/>
          <w:sz w:val="24"/>
        </w:rPr>
      </w:pPr>
      <w:r>
        <w:rPr>
          <w:rFonts w:hint="eastAsia" w:ascii="宋体" w:hAnsi="宋体"/>
          <w:sz w:val="24"/>
        </w:rPr>
        <w:t>（3）供应商所递交的投标文件不予退还。</w:t>
      </w:r>
    </w:p>
    <w:p>
      <w:pPr>
        <w:spacing w:line="480" w:lineRule="exact"/>
        <w:ind w:firstLine="480" w:firstLineChars="200"/>
        <w:rPr>
          <w:rFonts w:ascii="宋体" w:hAnsi="宋体"/>
          <w:sz w:val="24"/>
        </w:rPr>
      </w:pPr>
      <w:r>
        <w:rPr>
          <w:rFonts w:hint="eastAsia" w:ascii="宋体" w:hAnsi="宋体"/>
          <w:sz w:val="24"/>
        </w:rPr>
        <w:t>（4）逾期送达的或者未送达指定地点的投标文件，招标人不予受理。</w:t>
      </w:r>
    </w:p>
    <w:p>
      <w:pPr>
        <w:spacing w:line="480" w:lineRule="exact"/>
        <w:ind w:firstLine="480" w:firstLineChars="200"/>
        <w:rPr>
          <w:b/>
          <w:sz w:val="24"/>
        </w:rPr>
      </w:pPr>
      <w:r>
        <w:rPr>
          <w:rFonts w:hint="eastAsia" w:ascii="宋体" w:hAnsi="宋体"/>
          <w:sz w:val="24"/>
        </w:rPr>
        <w:t>（5）</w:t>
      </w:r>
      <w:r>
        <w:rPr>
          <w:rFonts w:hint="eastAsia"/>
          <w:sz w:val="24"/>
        </w:rPr>
        <w:t>电子化投标文件的格式及上传。</w:t>
      </w:r>
    </w:p>
    <w:p>
      <w:pPr>
        <w:spacing w:line="480" w:lineRule="exact"/>
        <w:ind w:firstLine="480" w:firstLineChars="200"/>
        <w:rPr>
          <w:rFonts w:ascii="宋体" w:hAnsi="宋体"/>
          <w:sz w:val="24"/>
        </w:rPr>
      </w:pPr>
      <w:r>
        <w:rPr>
          <w:rFonts w:hint="eastAsia" w:ascii="宋体" w:hAnsi="宋体"/>
          <w:sz w:val="24"/>
        </w:rPr>
        <w:t>a、投标供应商所上传的电子化投标文件，应是通过中心投标文件制作系统制作的（投标文件制作工具下载地址：</w:t>
      </w:r>
      <w:r>
        <w:rPr>
          <w:rFonts w:ascii="宋体" w:hAnsi="宋体"/>
          <w:sz w:val="24"/>
        </w:rPr>
        <w:t>https://download.bqpoint.com/download/downloaddetail.html?SourceFrom=Ztb&amp;ZtbSoftXiaQuCode=1506&amp;ZtbSoftType=tballinclusive</w:t>
      </w:r>
      <w:r>
        <w:rPr>
          <w:rFonts w:hint="eastAsia" w:ascii="宋体" w:hAnsi="宋体"/>
          <w:sz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pPr>
        <w:spacing w:line="360" w:lineRule="auto"/>
        <w:rPr>
          <w:rFonts w:ascii="宋体" w:hAnsi="宋体"/>
          <w:color w:val="000000"/>
          <w:sz w:val="24"/>
        </w:rPr>
      </w:pPr>
      <w:r>
        <w:rPr>
          <w:rFonts w:hint="eastAsia" w:ascii="宋体" w:hAnsi="宋体"/>
          <w:b/>
          <w:bCs/>
          <w:color w:val="000000"/>
          <w:sz w:val="24"/>
        </w:rPr>
        <w:t>注：响应人投报多个标段的，需要每个标段单独制作电子响应文件。</w:t>
      </w:r>
    </w:p>
    <w:p>
      <w:pPr>
        <w:spacing w:line="480" w:lineRule="exact"/>
        <w:ind w:firstLine="480" w:firstLineChars="200"/>
        <w:rPr>
          <w:rFonts w:ascii="宋体" w:hAnsi="宋体"/>
          <w:sz w:val="24"/>
        </w:rPr>
      </w:pPr>
      <w:r>
        <w:rPr>
          <w:rFonts w:hint="eastAsia" w:ascii="宋体" w:hAnsi="宋体"/>
          <w:sz w:val="24"/>
        </w:rPr>
        <w:t>b、电子化投标文件应在投标截止时间前成功上传至三门峡市公共资源电子化交易系统。至投标截止时间止，仍未上传成功的电子化投标文件，其投标文件将不予接收。</w:t>
      </w:r>
    </w:p>
    <w:p>
      <w:pPr>
        <w:spacing w:line="558" w:lineRule="exact"/>
        <w:ind w:firstLine="480" w:firstLineChars="200"/>
        <w:jc w:val="left"/>
        <w:rPr>
          <w:rFonts w:hint="eastAsia" w:ascii="宋体" w:hAnsi="宋体"/>
          <w:sz w:val="24"/>
        </w:rPr>
      </w:pPr>
      <w:r>
        <w:rPr>
          <w:rFonts w:hint="eastAsia" w:ascii="宋体" w:hAnsi="宋体"/>
          <w:sz w:val="24"/>
        </w:rPr>
        <w:t>注：如按照电子化投标操作教材制作完成的电子化投标文件无法上传的，响应人应在开标截止时间前尽早的联系中心技术人员，以便有充分的时间进行处理。响应人应充分考虑到处理技术问题和上传数据等工作所需的时间问题，响应文件未在开标截止时间前成功上传的，其响应文件不予接收。</w:t>
      </w:r>
    </w:p>
    <w:p>
      <w:pPr>
        <w:spacing w:line="558" w:lineRule="exact"/>
        <w:ind w:firstLine="480" w:firstLineChars="200"/>
        <w:jc w:val="left"/>
        <w:rPr>
          <w:rFonts w:hint="eastAsia" w:ascii="宋体" w:hAnsi="宋体"/>
          <w:sz w:val="24"/>
        </w:rPr>
      </w:pPr>
      <w:r>
        <w:rPr>
          <w:rFonts w:hint="eastAsia" w:ascii="宋体" w:hAnsi="宋体"/>
          <w:sz w:val="24"/>
        </w:rPr>
        <w:t>新点客服电话:4009980000</w:t>
      </w:r>
    </w:p>
    <w:p>
      <w:pPr>
        <w:pStyle w:val="70"/>
        <w:keepNext w:val="0"/>
        <w:keepLines w:val="0"/>
        <w:spacing w:line="500" w:lineRule="exact"/>
        <w:jc w:val="left"/>
        <w:rPr>
          <w:rFonts w:ascii="宋体" w:hAnsi="Calibri"/>
          <w:b/>
          <w:szCs w:val="20"/>
        </w:rPr>
      </w:pPr>
      <w:bookmarkStart w:id="78" w:name="_Toc38013539"/>
      <w:bookmarkStart w:id="79" w:name="_Toc28251214"/>
      <w:bookmarkStart w:id="80" w:name="_Toc12604886"/>
      <w:r>
        <w:rPr>
          <w:rFonts w:hint="eastAsia" w:ascii="宋体" w:hAnsi="Calibri"/>
          <w:b/>
          <w:szCs w:val="20"/>
        </w:rPr>
        <w:t xml:space="preserve">4.2  </w:t>
      </w:r>
      <w:r>
        <w:rPr>
          <w:rFonts w:hint="eastAsia" w:ascii="宋体" w:hAnsi="Calibri"/>
          <w:szCs w:val="20"/>
        </w:rPr>
        <w:t>投标文件的修改与撤回</w:t>
      </w:r>
      <w:bookmarkEnd w:id="78"/>
      <w:bookmarkEnd w:id="79"/>
      <w:bookmarkEnd w:id="80"/>
    </w:p>
    <w:p>
      <w:pPr>
        <w:spacing w:line="558" w:lineRule="exact"/>
        <w:ind w:firstLine="480" w:firstLineChars="200"/>
        <w:jc w:val="left"/>
        <w:rPr>
          <w:rFonts w:ascii="宋体" w:hAnsi="宋体"/>
          <w:sz w:val="24"/>
        </w:rPr>
      </w:pPr>
      <w:r>
        <w:rPr>
          <w:rFonts w:hint="eastAsia" w:ascii="宋体" w:hAnsi="宋体"/>
          <w:sz w:val="24"/>
        </w:rPr>
        <w:t>4.2.1  在本章供应商须知前附表第2.2.2项规定的开标截止时间前，供应商可以修改或撤回已递交的投标文件。</w:t>
      </w:r>
    </w:p>
    <w:p>
      <w:pPr>
        <w:spacing w:line="360" w:lineRule="auto"/>
        <w:ind w:firstLine="480" w:firstLineChars="200"/>
        <w:rPr>
          <w:rFonts w:hAnsi="宋体"/>
          <w:color w:val="FF0000"/>
          <w:sz w:val="24"/>
          <w:szCs w:val="24"/>
        </w:rPr>
      </w:pPr>
      <w:bookmarkStart w:id="81" w:name="_Toc12960049"/>
      <w:bookmarkStart w:id="82" w:name="_Toc12959898"/>
      <w:r>
        <w:rPr>
          <w:rFonts w:hint="eastAsia" w:ascii="宋体" w:hAnsi="宋体"/>
          <w:sz w:val="24"/>
        </w:rPr>
        <w:t>4.2.2 修改后的投标文件</w:t>
      </w:r>
      <w:bookmarkEnd w:id="81"/>
      <w:bookmarkEnd w:id="82"/>
      <w:r>
        <w:rPr>
          <w:rFonts w:hint="eastAsia" w:ascii="宋体" w:hAnsi="宋体"/>
          <w:sz w:val="24"/>
        </w:rPr>
        <w:t>应在投标截止时间前成功上传至三门峡市公共资源电子化交易系统。至投标截止时间止，仍未上传成功的电子化投标文件将不予接收。</w:t>
      </w:r>
    </w:p>
    <w:p>
      <w:pPr>
        <w:pStyle w:val="64"/>
        <w:keepNext w:val="0"/>
        <w:keepLines w:val="0"/>
        <w:spacing w:before="0" w:line="558" w:lineRule="exact"/>
        <w:jc w:val="left"/>
        <w:rPr>
          <w:b/>
          <w:bCs/>
          <w:szCs w:val="20"/>
        </w:rPr>
      </w:pPr>
      <w:bookmarkStart w:id="83" w:name="_Toc28251215"/>
      <w:bookmarkStart w:id="84" w:name="_Toc38013540"/>
      <w:bookmarkStart w:id="85" w:name="_Toc16690648"/>
      <w:r>
        <w:rPr>
          <w:rFonts w:hint="eastAsia"/>
          <w:b/>
          <w:bCs/>
          <w:szCs w:val="20"/>
        </w:rPr>
        <w:t>5.</w:t>
      </w:r>
      <w:r>
        <w:rPr>
          <w:rFonts w:hint="eastAsia"/>
          <w:b/>
          <w:bCs/>
        </w:rPr>
        <w:t>开标</w:t>
      </w:r>
      <w:bookmarkEnd w:id="83"/>
      <w:bookmarkEnd w:id="84"/>
      <w:bookmarkEnd w:id="85"/>
    </w:p>
    <w:p>
      <w:pPr>
        <w:pStyle w:val="70"/>
        <w:keepNext w:val="0"/>
        <w:keepLines w:val="0"/>
        <w:spacing w:line="558" w:lineRule="exact"/>
        <w:jc w:val="left"/>
        <w:rPr>
          <w:rFonts w:ascii="宋体" w:hAnsi="宋体" w:eastAsia="宋体" w:cs="Times New Roman"/>
          <w:color w:val="auto"/>
          <w:szCs w:val="21"/>
        </w:rPr>
      </w:pPr>
      <w:bookmarkStart w:id="86" w:name="_Toc28251216"/>
      <w:bookmarkStart w:id="87" w:name="_Toc38013541"/>
      <w:r>
        <w:rPr>
          <w:rFonts w:hint="eastAsia" w:ascii="宋体" w:hAnsi="Calibri"/>
          <w:b/>
          <w:szCs w:val="20"/>
        </w:rPr>
        <w:t>5</w:t>
      </w:r>
      <w:r>
        <w:rPr>
          <w:rFonts w:hint="eastAsia" w:ascii="宋体" w:hAnsi="Calibri"/>
          <w:b/>
          <w:color w:val="auto"/>
          <w:szCs w:val="20"/>
        </w:rPr>
        <w:t xml:space="preserve">.1 </w:t>
      </w:r>
      <w:r>
        <w:rPr>
          <w:rFonts w:hint="eastAsia" w:ascii="宋体" w:hAnsi="Calibri"/>
          <w:color w:val="auto"/>
          <w:szCs w:val="20"/>
        </w:rPr>
        <w:t>开标时间和地点</w:t>
      </w:r>
      <w:bookmarkEnd w:id="86"/>
      <w:bookmarkEnd w:id="87"/>
    </w:p>
    <w:p>
      <w:pPr>
        <w:spacing w:line="360" w:lineRule="auto"/>
        <w:ind w:firstLine="480" w:firstLineChars="200"/>
        <w:rPr>
          <w:rFonts w:hint="eastAsia" w:ascii="宋体" w:hAnsi="宋体" w:eastAsia="宋体" w:cs="Times New Roman"/>
          <w:color w:val="auto"/>
          <w:sz w:val="24"/>
          <w:lang w:eastAsia="zh-CN"/>
        </w:rPr>
      </w:pPr>
      <w:bookmarkStart w:id="88" w:name="_Toc38013542"/>
      <w:bookmarkStart w:id="89" w:name="_Toc28251217"/>
      <w:r>
        <w:rPr>
          <w:rFonts w:hint="eastAsia" w:ascii="宋体" w:hAnsi="宋体" w:eastAsia="宋体" w:cs="Times New Roman"/>
          <w:color w:val="auto"/>
          <w:sz w:val="24"/>
        </w:rPr>
        <w:t>开标时间：</w:t>
      </w:r>
      <w:r>
        <w:rPr>
          <w:rFonts w:hint="eastAsia" w:ascii="宋体" w:hAnsi="宋体" w:eastAsia="宋体" w:cs="Times New Roman"/>
          <w:color w:val="auto"/>
          <w:sz w:val="24"/>
          <w:lang w:eastAsia="zh-CN"/>
        </w:rPr>
        <w:t>202</w:t>
      </w:r>
      <w:r>
        <w:rPr>
          <w:rFonts w:hint="eastAsia" w:ascii="宋体" w:hAnsi="宋体" w:cs="Times New Roman"/>
          <w:color w:val="auto"/>
          <w:sz w:val="24"/>
          <w:lang w:val="en-US" w:eastAsia="zh-CN"/>
        </w:rPr>
        <w:t>4</w:t>
      </w:r>
      <w:r>
        <w:rPr>
          <w:rFonts w:hint="eastAsia" w:ascii="宋体" w:hAnsi="宋体" w:eastAsia="宋体" w:cs="Times New Roman"/>
          <w:color w:val="auto"/>
          <w:sz w:val="24"/>
          <w:lang w:eastAsia="zh-CN"/>
        </w:rPr>
        <w:t>年</w:t>
      </w:r>
      <w:r>
        <w:rPr>
          <w:rFonts w:hint="eastAsia" w:ascii="宋体" w:hAnsi="宋体" w:cs="Times New Roman"/>
          <w:color w:val="auto"/>
          <w:sz w:val="24"/>
          <w:lang w:val="en-US" w:eastAsia="zh-CN"/>
        </w:rPr>
        <w:t>01</w:t>
      </w:r>
      <w:r>
        <w:rPr>
          <w:rFonts w:hint="eastAsia" w:ascii="宋体" w:hAnsi="宋体" w:eastAsia="宋体" w:cs="Times New Roman"/>
          <w:color w:val="auto"/>
          <w:sz w:val="24"/>
          <w:lang w:eastAsia="zh-CN"/>
        </w:rPr>
        <w:t>月</w:t>
      </w:r>
      <w:r>
        <w:rPr>
          <w:rFonts w:hint="eastAsia" w:ascii="宋体" w:hAnsi="宋体" w:cs="Times New Roman"/>
          <w:color w:val="auto"/>
          <w:sz w:val="24"/>
          <w:lang w:val="en-US" w:eastAsia="zh-CN"/>
        </w:rPr>
        <w:t>18</w:t>
      </w:r>
      <w:r>
        <w:rPr>
          <w:rFonts w:hint="eastAsia" w:ascii="宋体" w:hAnsi="宋体" w:eastAsia="宋体" w:cs="Times New Roman"/>
          <w:color w:val="auto"/>
          <w:sz w:val="24"/>
          <w:lang w:eastAsia="zh-CN"/>
        </w:rPr>
        <w:t>日08时30分</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地点：三门峡市陕州区公共资源交易中心第</w:t>
      </w:r>
      <w:r>
        <w:rPr>
          <w:rFonts w:hint="eastAsia" w:ascii="宋体" w:hAnsi="宋体" w:cs="Times New Roman"/>
          <w:color w:val="auto"/>
          <w:sz w:val="24"/>
          <w:lang w:val="en-US" w:eastAsia="zh-CN"/>
        </w:rPr>
        <w:t>一</w:t>
      </w:r>
      <w:r>
        <w:rPr>
          <w:rFonts w:hint="eastAsia" w:ascii="宋体" w:hAnsi="宋体" w:eastAsia="宋体" w:cs="Times New Roman"/>
          <w:color w:val="auto"/>
          <w:sz w:val="24"/>
        </w:rPr>
        <w:t>开标室</w:t>
      </w:r>
    </w:p>
    <w:p>
      <w:pPr>
        <w:pStyle w:val="70"/>
        <w:keepNext w:val="0"/>
        <w:keepLines w:val="0"/>
        <w:spacing w:line="558" w:lineRule="exact"/>
        <w:jc w:val="left"/>
        <w:rPr>
          <w:rFonts w:ascii="宋体" w:hAnsi="Calibri"/>
          <w:b/>
          <w:color w:val="auto"/>
          <w:szCs w:val="20"/>
        </w:rPr>
      </w:pPr>
      <w:r>
        <w:rPr>
          <w:rFonts w:hint="eastAsia" w:ascii="宋体" w:hAnsi="Calibri"/>
          <w:b/>
          <w:color w:val="auto"/>
          <w:szCs w:val="20"/>
        </w:rPr>
        <w:t>5.2  开标程序</w:t>
      </w:r>
      <w:bookmarkEnd w:id="88"/>
      <w:bookmarkEnd w:id="89"/>
    </w:p>
    <w:p>
      <w:pPr>
        <w:spacing w:line="520" w:lineRule="exact"/>
        <w:ind w:firstLine="480" w:firstLineChars="200"/>
        <w:jc w:val="left"/>
        <w:rPr>
          <w:rFonts w:ascii="宋体" w:hAnsi="宋体"/>
          <w:sz w:val="24"/>
        </w:rPr>
      </w:pPr>
      <w:r>
        <w:rPr>
          <w:rFonts w:hint="eastAsia" w:ascii="宋体" w:hAnsi="宋体"/>
          <w:color w:val="auto"/>
          <w:sz w:val="24"/>
        </w:rPr>
        <w:t>5.2.1供应商按须知前附表规定的时间和地点开标。</w:t>
      </w:r>
      <w:r>
        <w:rPr>
          <w:rFonts w:hint="eastAsia" w:ascii="宋体" w:hAnsi="宋体" w:cs="宋体"/>
          <w:color w:val="auto"/>
          <w:sz w:val="24"/>
          <w:szCs w:val="24"/>
        </w:rPr>
        <w:t>本项目采</w:t>
      </w:r>
      <w:r>
        <w:rPr>
          <w:rFonts w:hint="eastAsia" w:ascii="宋体" w:hAnsi="宋体" w:cs="宋体"/>
          <w:color w:val="000000" w:themeColor="text1"/>
          <w:sz w:val="24"/>
          <w:szCs w:val="24"/>
          <w14:textFill>
            <w14:solidFill>
              <w14:schemeClr w14:val="tx1"/>
            </w14:solidFill>
          </w14:textFill>
        </w:rPr>
        <w:t>用</w:t>
      </w:r>
      <w:r>
        <w:rPr>
          <w:rFonts w:hint="eastAsia" w:ascii="宋体" w:hAnsi="宋体" w:cs="宋体"/>
          <w:b/>
          <w:color w:val="000000" w:themeColor="text1"/>
          <w:sz w:val="24"/>
          <w:szCs w:val="24"/>
          <w14:textFill>
            <w14:solidFill>
              <w14:schemeClr w14:val="tx1"/>
            </w14:solidFill>
          </w14:textFill>
        </w:rPr>
        <w:t>电子化、无纸化</w:t>
      </w:r>
      <w:r>
        <w:rPr>
          <w:rFonts w:hint="eastAsia" w:ascii="宋体" w:hAnsi="宋体" w:cs="宋体"/>
          <w:color w:val="000000" w:themeColor="text1"/>
          <w:sz w:val="24"/>
          <w:szCs w:val="24"/>
          <w14:textFill>
            <w14:solidFill>
              <w14:schemeClr w14:val="tx1"/>
            </w14:solidFill>
          </w14:textFill>
        </w:rPr>
        <w:t>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http://120.194.249.36:10094/BidOpening/bidopeninghallaction/hall/login）,在线准时参加开标活动并进行投标文件解密等</w:t>
      </w:r>
      <w:r>
        <w:rPr>
          <w:rFonts w:hint="eastAsia" w:ascii="宋体" w:hAnsi="宋体"/>
          <w:sz w:val="24"/>
        </w:rPr>
        <w:t>；</w:t>
      </w:r>
    </w:p>
    <w:p>
      <w:pPr>
        <w:snapToGrid w:val="0"/>
        <w:spacing w:line="520" w:lineRule="exact"/>
        <w:ind w:firstLine="480" w:firstLineChars="200"/>
        <w:rPr>
          <w:rFonts w:ascii="宋体" w:hAnsi="宋体"/>
          <w:sz w:val="24"/>
        </w:rPr>
      </w:pPr>
      <w:r>
        <w:rPr>
          <w:rFonts w:hint="eastAsia" w:ascii="宋体" w:hAnsi="宋体"/>
          <w:sz w:val="24"/>
        </w:rPr>
        <w:t>5.2.2本项目采用</w:t>
      </w:r>
      <w:r>
        <w:rPr>
          <w:rFonts w:hint="eastAsia" w:ascii="宋体" w:hAnsi="宋体"/>
          <w:b/>
          <w:sz w:val="24"/>
        </w:rPr>
        <w:t>电子化、无纸化</w:t>
      </w:r>
      <w:r>
        <w:rPr>
          <w:rFonts w:hint="eastAsia" w:ascii="宋体" w:hAnsi="宋体"/>
          <w:sz w:val="24"/>
        </w:rPr>
        <w:t>进行投标，开标时不再接受任何纸质资料，为保证您能投标成功，需仔细阅读招标文件和三门峡市公共资源交易中心官网业务办理指南。</w:t>
      </w:r>
    </w:p>
    <w:p>
      <w:pPr>
        <w:snapToGrid w:val="0"/>
        <w:spacing w:line="520" w:lineRule="exact"/>
        <w:ind w:firstLine="480" w:firstLineChars="200"/>
        <w:rPr>
          <w:rFonts w:ascii="宋体" w:hAnsi="宋体"/>
          <w:sz w:val="24"/>
        </w:rPr>
      </w:pPr>
      <w:r>
        <w:rPr>
          <w:rFonts w:hint="eastAsia" w:ascii="宋体" w:hAnsi="宋体"/>
          <w:sz w:val="24"/>
        </w:rPr>
        <w:t>5.2.3</w:t>
      </w:r>
      <w:r>
        <w:rPr>
          <w:rFonts w:hint="eastAsia" w:ascii="宋体" w:hAnsi="宋体" w:cs="宋体"/>
          <w:sz w:val="24"/>
          <w:szCs w:val="24"/>
        </w:rPr>
        <w:t>投标文件在递交截止时间后上传的</w:t>
      </w:r>
      <w:r>
        <w:rPr>
          <w:rFonts w:hint="eastAsia" w:ascii="宋体" w:hAnsi="宋体"/>
          <w:sz w:val="24"/>
        </w:rPr>
        <w:t>,招标人将不予接收：</w:t>
      </w:r>
    </w:p>
    <w:p>
      <w:pPr>
        <w:autoSpaceDE w:val="0"/>
        <w:spacing w:line="600" w:lineRule="exact"/>
        <w:ind w:firstLine="480" w:firstLineChars="200"/>
        <w:rPr>
          <w:rFonts w:ascii="宋体" w:hAnsi="宋体" w:cs="宋体"/>
          <w:sz w:val="24"/>
          <w:szCs w:val="24"/>
        </w:rPr>
      </w:pPr>
      <w:r>
        <w:rPr>
          <w:rFonts w:hint="eastAsia" w:ascii="宋体" w:hAnsi="宋体" w:cs="宋体"/>
          <w:sz w:val="24"/>
          <w:szCs w:val="24"/>
        </w:rPr>
        <w:t>5.2.4按照投标文件上传顺序进行解密；</w:t>
      </w:r>
    </w:p>
    <w:p>
      <w:pPr>
        <w:autoSpaceDE w:val="0"/>
        <w:spacing w:line="600" w:lineRule="exact"/>
        <w:ind w:firstLine="480" w:firstLineChars="200"/>
        <w:rPr>
          <w:rFonts w:ascii="宋体" w:hAnsi="宋体" w:cs="宋体"/>
          <w:sz w:val="24"/>
          <w:szCs w:val="24"/>
        </w:rPr>
      </w:pPr>
      <w:r>
        <w:rPr>
          <w:rFonts w:hint="eastAsia" w:ascii="宋体" w:hAnsi="宋体" w:cs="宋体"/>
          <w:sz w:val="24"/>
          <w:szCs w:val="24"/>
        </w:rPr>
        <w:t>5.2.5经确认无误后，按照投标文件报送时间顺序确定开标顺序；</w:t>
      </w:r>
    </w:p>
    <w:p>
      <w:pPr>
        <w:autoSpaceDE w:val="0"/>
        <w:spacing w:line="600" w:lineRule="exact"/>
        <w:ind w:firstLine="480" w:firstLineChars="200"/>
        <w:rPr>
          <w:rFonts w:ascii="宋体" w:hAnsi="宋体" w:cs="宋体"/>
          <w:sz w:val="24"/>
          <w:szCs w:val="24"/>
        </w:rPr>
      </w:pPr>
      <w:r>
        <w:rPr>
          <w:rFonts w:hint="eastAsia" w:ascii="宋体" w:hAnsi="宋体" w:cs="宋体"/>
          <w:sz w:val="24"/>
          <w:szCs w:val="24"/>
        </w:rPr>
        <w:t>5.2.6开标时供应商可登录到交易系统中在开标解密栏中点击开标一览表查看自己的投标报价。如对自己的唱标内容有异议的，应在供应商解密成功后20分钟内向中介服务机构电话质疑。</w:t>
      </w:r>
    </w:p>
    <w:p>
      <w:pPr>
        <w:pStyle w:val="70"/>
        <w:keepNext w:val="0"/>
        <w:keepLines w:val="0"/>
        <w:spacing w:line="558" w:lineRule="exact"/>
        <w:jc w:val="left"/>
        <w:rPr>
          <w:rFonts w:ascii="宋体" w:hAnsi="Calibri"/>
          <w:b/>
          <w:szCs w:val="20"/>
        </w:rPr>
      </w:pPr>
      <w:bookmarkStart w:id="90" w:name="_Toc28251218"/>
      <w:bookmarkStart w:id="91" w:name="_Toc38013543"/>
      <w:r>
        <w:rPr>
          <w:rFonts w:hint="eastAsia" w:ascii="宋体" w:hAnsi="Calibri"/>
          <w:b/>
          <w:szCs w:val="20"/>
        </w:rPr>
        <w:t>5.3</w:t>
      </w:r>
      <w:bookmarkStart w:id="92" w:name="_Toc16690652"/>
      <w:bookmarkStart w:id="93" w:name="_Toc14079476"/>
      <w:r>
        <w:rPr>
          <w:rFonts w:hint="eastAsia" w:ascii="宋体" w:hAnsi="Calibri"/>
          <w:b/>
          <w:szCs w:val="20"/>
        </w:rPr>
        <w:t>电子化投标文件的有效性</w:t>
      </w:r>
      <w:bookmarkEnd w:id="90"/>
      <w:bookmarkEnd w:id="91"/>
    </w:p>
    <w:p>
      <w:pPr>
        <w:spacing w:line="498" w:lineRule="exact"/>
        <w:ind w:firstLine="480" w:firstLineChars="200"/>
        <w:jc w:val="left"/>
        <w:rPr>
          <w:sz w:val="24"/>
          <w:szCs w:val="24"/>
        </w:rPr>
      </w:pPr>
      <w:r>
        <w:rPr>
          <w:rFonts w:hint="eastAsia"/>
          <w:sz w:val="24"/>
          <w:szCs w:val="24"/>
        </w:rPr>
        <w:t>开标时，电子招标投标交易平台自动提取所有电子化投标文件，按时在线解密。</w:t>
      </w:r>
    </w:p>
    <w:p>
      <w:pPr>
        <w:spacing w:line="520" w:lineRule="exact"/>
        <w:ind w:firstLine="480" w:firstLineChars="200"/>
        <w:rPr>
          <w:sz w:val="24"/>
          <w:szCs w:val="24"/>
        </w:rPr>
      </w:pPr>
      <w:r>
        <w:rPr>
          <w:rFonts w:hint="eastAsia"/>
          <w:sz w:val="24"/>
          <w:szCs w:val="24"/>
        </w:rPr>
        <w:t>电子化投标文件有下列情形的为无效电子化投标文件，招标人不予受理：因投标人原因造成电子化投标文件未解密的，视为撤销其电子化投标文件；因投标人之外的原因造成电子化投标文件未解密的，视为撤回其电子化投标文件，投标人有权要求责任方赔偿因此遭受的直接损失。部分电子化投标文件未解密的，其他电子化投标文件的开标可以继续进行。</w:t>
      </w:r>
    </w:p>
    <w:p>
      <w:pPr>
        <w:spacing w:line="498" w:lineRule="exact"/>
        <w:ind w:firstLine="480" w:firstLineChars="200"/>
        <w:jc w:val="left"/>
        <w:rPr>
          <w:sz w:val="24"/>
          <w:szCs w:val="24"/>
        </w:rPr>
      </w:pPr>
      <w:r>
        <w:rPr>
          <w:rFonts w:hint="eastAsia"/>
          <w:sz w:val="24"/>
          <w:szCs w:val="24"/>
        </w:rPr>
        <w:t>若电子化投标文件解密后，有效电子化投标文件不足三家的，本项目应予废标。</w:t>
      </w:r>
    </w:p>
    <w:p>
      <w:pPr>
        <w:pStyle w:val="64"/>
        <w:keepNext w:val="0"/>
        <w:keepLines w:val="0"/>
        <w:spacing w:before="0" w:line="558" w:lineRule="exact"/>
        <w:jc w:val="left"/>
        <w:rPr>
          <w:b/>
          <w:bCs/>
          <w:szCs w:val="20"/>
        </w:rPr>
      </w:pPr>
      <w:bookmarkStart w:id="94" w:name="_Toc28251219"/>
      <w:bookmarkStart w:id="95" w:name="_Toc38013544"/>
      <w:r>
        <w:rPr>
          <w:rFonts w:hint="eastAsia"/>
          <w:b/>
          <w:bCs/>
          <w:szCs w:val="20"/>
        </w:rPr>
        <w:t>6.评标</w:t>
      </w:r>
      <w:bookmarkEnd w:id="92"/>
      <w:bookmarkEnd w:id="93"/>
      <w:bookmarkEnd w:id="94"/>
      <w:bookmarkEnd w:id="95"/>
    </w:p>
    <w:p>
      <w:pPr>
        <w:pStyle w:val="70"/>
        <w:keepNext w:val="0"/>
        <w:keepLines w:val="0"/>
        <w:spacing w:line="498" w:lineRule="exact"/>
      </w:pPr>
      <w:bookmarkStart w:id="96" w:name="_Toc14079477"/>
      <w:bookmarkStart w:id="97" w:name="_Toc38013545"/>
      <w:bookmarkStart w:id="98" w:name="_Toc28251220"/>
      <w:r>
        <w:rPr>
          <w:rFonts w:hint="eastAsia" w:ascii="宋体" w:hAnsi="Calibri"/>
          <w:b/>
          <w:szCs w:val="20"/>
        </w:rPr>
        <w:t>6.1</w:t>
      </w:r>
      <w:bookmarkEnd w:id="96"/>
      <w:bookmarkStart w:id="99" w:name="_Toc14079478"/>
      <w:r>
        <w:rPr>
          <w:rFonts w:hint="eastAsia"/>
        </w:rPr>
        <w:t>评标委员会</w:t>
      </w:r>
      <w:bookmarkEnd w:id="97"/>
      <w:bookmarkEnd w:id="98"/>
    </w:p>
    <w:p>
      <w:pPr>
        <w:spacing w:line="498" w:lineRule="exact"/>
        <w:ind w:firstLine="480" w:firstLineChars="200"/>
        <w:jc w:val="left"/>
        <w:rPr>
          <w:rFonts w:ascii="宋体" w:hAnsi="宋体" w:cs="宋体"/>
          <w:sz w:val="24"/>
          <w:szCs w:val="24"/>
        </w:rPr>
      </w:pPr>
      <w:r>
        <w:rPr>
          <w:rFonts w:hint="eastAsia" w:ascii="宋体" w:hAnsi="宋体" w:cs="宋体"/>
          <w:sz w:val="24"/>
          <w:szCs w:val="24"/>
        </w:rPr>
        <w:t>6.1.1  评标由招标单位依法组建的评标委员会负责。评标委员会由有关技术、经济等方面的专家组成。评标委员会成员人数以及技术、经济等方面专家的确定方式见投标单位须知前附表。</w:t>
      </w:r>
    </w:p>
    <w:p>
      <w:pPr>
        <w:spacing w:line="498" w:lineRule="exact"/>
        <w:ind w:firstLine="480" w:firstLineChars="200"/>
        <w:jc w:val="left"/>
        <w:rPr>
          <w:rFonts w:ascii="宋体" w:hAnsi="宋体" w:cs="宋体"/>
          <w:sz w:val="24"/>
          <w:szCs w:val="24"/>
        </w:rPr>
      </w:pPr>
      <w:r>
        <w:rPr>
          <w:rFonts w:hint="eastAsia" w:ascii="宋体" w:hAnsi="宋体" w:cs="宋体"/>
          <w:sz w:val="24"/>
          <w:szCs w:val="24"/>
        </w:rPr>
        <w:t>6.1.2  评标委员会成员有下列情形之一的，应当回避：</w:t>
      </w:r>
    </w:p>
    <w:p>
      <w:pPr>
        <w:spacing w:line="518" w:lineRule="exact"/>
        <w:ind w:firstLine="456" w:firstLineChars="190"/>
        <w:jc w:val="left"/>
        <w:rPr>
          <w:rFonts w:ascii="宋体" w:hAnsi="宋体" w:cs="宋体"/>
          <w:sz w:val="24"/>
          <w:szCs w:val="24"/>
        </w:rPr>
      </w:pPr>
      <w:r>
        <w:rPr>
          <w:rFonts w:hint="eastAsia" w:ascii="宋体" w:hAnsi="宋体" w:cs="宋体"/>
          <w:sz w:val="24"/>
          <w:szCs w:val="24"/>
        </w:rPr>
        <w:t>（1）招标单位或投标单位的主要负责人的近亲属；</w:t>
      </w:r>
    </w:p>
    <w:p>
      <w:pPr>
        <w:spacing w:line="518" w:lineRule="exact"/>
        <w:ind w:firstLine="480" w:firstLineChars="200"/>
        <w:jc w:val="left"/>
        <w:rPr>
          <w:rFonts w:ascii="宋体" w:hAnsi="宋体" w:cs="宋体"/>
          <w:sz w:val="24"/>
          <w:szCs w:val="24"/>
        </w:rPr>
      </w:pPr>
      <w:r>
        <w:rPr>
          <w:rFonts w:hint="eastAsia" w:ascii="宋体" w:hAnsi="宋体" w:cs="宋体"/>
          <w:sz w:val="24"/>
          <w:szCs w:val="24"/>
        </w:rPr>
        <w:t>（2）项目主管部门或者行政监督部门的人员；</w:t>
      </w:r>
    </w:p>
    <w:p>
      <w:pPr>
        <w:spacing w:line="518" w:lineRule="exact"/>
        <w:ind w:firstLine="480" w:firstLineChars="200"/>
        <w:jc w:val="left"/>
        <w:rPr>
          <w:rFonts w:ascii="宋体" w:hAnsi="宋体" w:cs="宋体"/>
          <w:sz w:val="24"/>
          <w:szCs w:val="24"/>
        </w:rPr>
      </w:pPr>
      <w:r>
        <w:rPr>
          <w:rFonts w:hint="eastAsia" w:ascii="宋体" w:hAnsi="宋体" w:cs="宋体"/>
          <w:sz w:val="24"/>
          <w:szCs w:val="24"/>
        </w:rPr>
        <w:t>（3）与投标单位有经济利益关系，可能影响对投标公正评审的；</w:t>
      </w:r>
    </w:p>
    <w:p>
      <w:pPr>
        <w:spacing w:line="518" w:lineRule="exact"/>
        <w:ind w:firstLine="480" w:firstLineChars="200"/>
        <w:jc w:val="left"/>
        <w:rPr>
          <w:rFonts w:ascii="宋体" w:hAnsi="宋体" w:cs="宋体"/>
          <w:sz w:val="24"/>
          <w:szCs w:val="24"/>
        </w:rPr>
      </w:pPr>
      <w:r>
        <w:rPr>
          <w:rFonts w:hint="eastAsia" w:ascii="宋体" w:hAnsi="宋体" w:cs="宋体"/>
          <w:sz w:val="24"/>
          <w:szCs w:val="24"/>
        </w:rPr>
        <w:t>（4）曾因在招标、评标以及其他与招标投标有关活动中从事违法行为而受过行政处罚或刑事处罚的。</w:t>
      </w:r>
    </w:p>
    <w:p>
      <w:pPr>
        <w:pStyle w:val="70"/>
        <w:keepNext w:val="0"/>
        <w:keepLines w:val="0"/>
        <w:spacing w:line="558" w:lineRule="exact"/>
        <w:jc w:val="left"/>
        <w:rPr>
          <w:rFonts w:ascii="宋体" w:hAnsi="宋体"/>
        </w:rPr>
      </w:pPr>
      <w:bookmarkStart w:id="100" w:name="_Toc38013546"/>
      <w:bookmarkStart w:id="101" w:name="_Toc28251221"/>
      <w:r>
        <w:rPr>
          <w:rFonts w:hint="eastAsia" w:ascii="宋体" w:hAnsi="Calibri"/>
          <w:b/>
          <w:szCs w:val="20"/>
        </w:rPr>
        <w:t xml:space="preserve">6.2 </w:t>
      </w:r>
      <w:r>
        <w:rPr>
          <w:rFonts w:hint="eastAsia" w:ascii="宋体" w:hAnsi="Calibri"/>
          <w:szCs w:val="20"/>
        </w:rPr>
        <w:t>评标原则</w:t>
      </w:r>
      <w:bookmarkEnd w:id="99"/>
      <w:bookmarkEnd w:id="100"/>
      <w:bookmarkEnd w:id="101"/>
    </w:p>
    <w:p>
      <w:pPr>
        <w:spacing w:line="520" w:lineRule="exact"/>
        <w:ind w:firstLine="480" w:firstLineChars="200"/>
        <w:rPr>
          <w:rFonts w:ascii="宋体" w:hAnsi="宋体" w:cs="宋体"/>
          <w:sz w:val="24"/>
          <w:szCs w:val="24"/>
        </w:rPr>
      </w:pPr>
      <w:r>
        <w:rPr>
          <w:rFonts w:hint="eastAsia" w:ascii="宋体" w:hAnsi="宋体" w:cs="宋体"/>
          <w:sz w:val="24"/>
          <w:szCs w:val="24"/>
        </w:rPr>
        <w:t>6.2.1严格按照招标文件中的所有相关规定；按照“公平、公正、科学”的原则进行评标。</w:t>
      </w:r>
    </w:p>
    <w:p>
      <w:pPr>
        <w:spacing w:line="520" w:lineRule="exact"/>
        <w:ind w:firstLine="480" w:firstLineChars="200"/>
        <w:rPr>
          <w:rFonts w:ascii="宋体" w:hAnsi="宋体" w:cs="宋体"/>
          <w:sz w:val="24"/>
          <w:szCs w:val="24"/>
        </w:rPr>
      </w:pPr>
      <w:r>
        <w:rPr>
          <w:rFonts w:hint="eastAsia" w:ascii="宋体" w:hAnsi="宋体" w:cs="宋体"/>
          <w:sz w:val="24"/>
          <w:szCs w:val="24"/>
        </w:rPr>
        <w:t>6.2.2反对不正当竞争。</w:t>
      </w:r>
    </w:p>
    <w:p>
      <w:pPr>
        <w:pStyle w:val="70"/>
        <w:keepNext w:val="0"/>
        <w:keepLines w:val="0"/>
        <w:spacing w:line="558" w:lineRule="exact"/>
        <w:jc w:val="left"/>
        <w:rPr>
          <w:bCs/>
          <w:szCs w:val="20"/>
        </w:rPr>
      </w:pPr>
      <w:bookmarkStart w:id="102" w:name="_Toc14079479"/>
      <w:bookmarkStart w:id="103" w:name="_Toc38013547"/>
      <w:bookmarkStart w:id="104" w:name="_Toc28251222"/>
      <w:r>
        <w:rPr>
          <w:rFonts w:hint="eastAsia" w:ascii="宋体" w:hAnsi="Calibri"/>
          <w:b/>
          <w:szCs w:val="20"/>
        </w:rPr>
        <w:t>6.3</w:t>
      </w:r>
      <w:r>
        <w:rPr>
          <w:rFonts w:hint="eastAsia" w:ascii="宋体" w:hAnsi="Calibri"/>
          <w:szCs w:val="20"/>
        </w:rPr>
        <w:t>评标过程的保密</w:t>
      </w:r>
      <w:bookmarkEnd w:id="102"/>
      <w:bookmarkEnd w:id="103"/>
      <w:bookmarkEnd w:id="104"/>
    </w:p>
    <w:p>
      <w:pPr>
        <w:spacing w:line="520" w:lineRule="exact"/>
        <w:ind w:firstLine="480" w:firstLineChars="200"/>
        <w:rPr>
          <w:rFonts w:ascii="宋体" w:hAnsi="宋体" w:cs="宋体"/>
          <w:sz w:val="24"/>
          <w:szCs w:val="24"/>
        </w:rPr>
      </w:pPr>
      <w:r>
        <w:rPr>
          <w:rFonts w:hint="eastAsia" w:ascii="宋体" w:hAnsi="宋体" w:cs="宋体"/>
          <w:sz w:val="24"/>
          <w:szCs w:val="24"/>
        </w:rPr>
        <w:t>6.3.1投标文件的审查、澄清、评价和比较的有关资料以及中标候选人的推荐情况，与评标有关的其他任何情况均应严格保密。</w:t>
      </w:r>
    </w:p>
    <w:p>
      <w:pPr>
        <w:spacing w:line="520" w:lineRule="exact"/>
        <w:ind w:firstLine="480" w:firstLineChars="200"/>
        <w:rPr>
          <w:rFonts w:ascii="宋体" w:hAnsi="宋体" w:cs="宋体"/>
          <w:sz w:val="24"/>
          <w:szCs w:val="24"/>
        </w:rPr>
      </w:pPr>
      <w:r>
        <w:rPr>
          <w:rFonts w:hint="eastAsia" w:ascii="宋体" w:hAnsi="宋体" w:cs="宋体"/>
          <w:sz w:val="24"/>
          <w:szCs w:val="24"/>
        </w:rPr>
        <w:t>6.3.2在投标文件的评审和比较、中标候选人推荐以及授予合同的过程中，供应商向招标人和评标小组施加影响的任何行为，都将会导致其投标被拒绝。</w:t>
      </w:r>
    </w:p>
    <w:p>
      <w:pPr>
        <w:spacing w:line="520" w:lineRule="exact"/>
        <w:ind w:firstLine="480" w:firstLineChars="200"/>
        <w:rPr>
          <w:rFonts w:ascii="宋体" w:hAnsi="宋体" w:cs="宋体"/>
          <w:sz w:val="24"/>
          <w:szCs w:val="24"/>
        </w:rPr>
      </w:pPr>
      <w:r>
        <w:rPr>
          <w:rFonts w:hint="eastAsia" w:ascii="宋体" w:hAnsi="宋体" w:cs="宋体"/>
          <w:sz w:val="24"/>
          <w:szCs w:val="24"/>
        </w:rPr>
        <w:t>6.3.3招标人不对未中标人就评标过程以及未能中标原因作出任何解释。未中标人不得向评标小组成员和其他有关人员索问评标过程的情况和资料</w:t>
      </w:r>
    </w:p>
    <w:p>
      <w:pPr>
        <w:pStyle w:val="70"/>
        <w:keepNext w:val="0"/>
        <w:keepLines w:val="0"/>
        <w:spacing w:line="558" w:lineRule="exact"/>
        <w:jc w:val="left"/>
        <w:rPr>
          <w:bCs/>
          <w:szCs w:val="20"/>
        </w:rPr>
      </w:pPr>
      <w:bookmarkStart w:id="105" w:name="_Toc38013548"/>
      <w:bookmarkStart w:id="106" w:name="_Toc28251223"/>
      <w:bookmarkStart w:id="107" w:name="_Toc14079480"/>
      <w:r>
        <w:rPr>
          <w:rFonts w:hint="eastAsia" w:ascii="宋体" w:hAnsi="Calibri"/>
          <w:b/>
          <w:szCs w:val="20"/>
        </w:rPr>
        <w:t>6.4</w:t>
      </w:r>
      <w:r>
        <w:rPr>
          <w:rFonts w:hint="eastAsia" w:ascii="宋体" w:hAnsi="Calibri"/>
          <w:szCs w:val="20"/>
        </w:rPr>
        <w:t>投标文件的澄清</w:t>
      </w:r>
      <w:bookmarkEnd w:id="105"/>
      <w:bookmarkEnd w:id="106"/>
      <w:bookmarkEnd w:id="107"/>
    </w:p>
    <w:p>
      <w:pPr>
        <w:spacing w:line="360" w:lineRule="auto"/>
        <w:ind w:firstLine="480" w:firstLineChars="200"/>
        <w:rPr>
          <w:rFonts w:ascii="宋体" w:hAnsi="宋体"/>
          <w:color w:val="000000"/>
          <w:sz w:val="24"/>
        </w:rPr>
      </w:pPr>
      <w:r>
        <w:rPr>
          <w:rFonts w:hint="eastAsia" w:ascii="宋体" w:hAnsi="宋体"/>
          <w:color w:val="000000"/>
          <w:sz w:val="24"/>
        </w:rPr>
        <w:t>评标委员会对电子化投标文件有质疑的，将通过电子化交易系统对投标人发起质疑，并在监督人员的监督下，用免提模式致电需要答复的投标人，对质疑进行回复。投标人的回复内容</w:t>
      </w:r>
      <w:r>
        <w:rPr>
          <w:rFonts w:hint="eastAsia" w:ascii="宋体" w:hAnsi="宋体" w:cs="宋体"/>
          <w:sz w:val="24"/>
          <w:szCs w:val="24"/>
        </w:rPr>
        <w:t>不得超出投标文件的范围或者改变投标文件实质性内容，</w:t>
      </w:r>
      <w:r>
        <w:rPr>
          <w:rFonts w:hint="eastAsia" w:ascii="宋体" w:hAnsi="宋体"/>
          <w:color w:val="000000"/>
          <w:sz w:val="24"/>
        </w:rPr>
        <w:t>回复文件必须以经过投标人和其法定代表人签章的PDF格式文件为准，并通过电子化交易系统提交至评标委员会。</w:t>
      </w:r>
      <w:r>
        <w:rPr>
          <w:rFonts w:hint="eastAsia" w:ascii="宋体" w:hAnsi="宋体" w:cs="宋体"/>
          <w:sz w:val="24"/>
          <w:szCs w:val="24"/>
        </w:rPr>
        <w:t>凡属于评标小组在评标中发现的计算错误并进行核实的修改不在此列。</w:t>
      </w:r>
    </w:p>
    <w:p>
      <w:pPr>
        <w:spacing w:line="360" w:lineRule="auto"/>
        <w:ind w:firstLine="480" w:firstLineChars="200"/>
        <w:rPr>
          <w:rFonts w:ascii="宋体" w:hAnsi="宋体" w:cs="宋体"/>
          <w:sz w:val="24"/>
          <w:szCs w:val="24"/>
        </w:rPr>
      </w:pPr>
      <w:r>
        <w:rPr>
          <w:rFonts w:hint="eastAsia" w:ascii="宋体" w:hAnsi="宋体"/>
          <w:color w:val="000000"/>
          <w:sz w:val="24"/>
        </w:rPr>
        <w:t>如评标委员会对需要回复的投标人连续三次致电未接通的，视为投标人放弃回复，评标委员会将自行对需要回复的内容进行认定。</w:t>
      </w:r>
    </w:p>
    <w:p>
      <w:pPr>
        <w:pStyle w:val="70"/>
        <w:keepNext w:val="0"/>
        <w:keepLines w:val="0"/>
        <w:spacing w:line="558" w:lineRule="exact"/>
        <w:jc w:val="left"/>
        <w:rPr>
          <w:bCs/>
          <w:szCs w:val="20"/>
        </w:rPr>
      </w:pPr>
      <w:bookmarkStart w:id="108" w:name="_Toc28251224"/>
      <w:bookmarkStart w:id="109" w:name="_Toc14079481"/>
      <w:bookmarkStart w:id="110" w:name="_Toc38013549"/>
      <w:r>
        <w:rPr>
          <w:rFonts w:hint="eastAsia" w:ascii="宋体" w:hAnsi="Calibri"/>
          <w:b/>
          <w:szCs w:val="20"/>
        </w:rPr>
        <w:t>6.5</w:t>
      </w:r>
      <w:r>
        <w:rPr>
          <w:rFonts w:hint="eastAsia" w:ascii="宋体" w:hAnsi="Calibri"/>
          <w:szCs w:val="20"/>
        </w:rPr>
        <w:t>投标文件的初步评审</w:t>
      </w:r>
      <w:bookmarkEnd w:id="108"/>
      <w:bookmarkEnd w:id="109"/>
      <w:bookmarkEnd w:id="110"/>
    </w:p>
    <w:p>
      <w:pPr>
        <w:spacing w:line="520" w:lineRule="exact"/>
        <w:ind w:firstLine="480" w:firstLineChars="200"/>
        <w:rPr>
          <w:rFonts w:ascii="宋体" w:hAnsi="宋体" w:cs="宋体"/>
          <w:sz w:val="24"/>
          <w:szCs w:val="24"/>
        </w:rPr>
      </w:pPr>
      <w:r>
        <w:rPr>
          <w:rFonts w:hint="eastAsia" w:ascii="宋体" w:hAnsi="宋体" w:cs="宋体"/>
          <w:sz w:val="24"/>
          <w:szCs w:val="24"/>
        </w:rPr>
        <w:t>6.5.1根据初步评审要求经审查有效的投标文件，才能进行下一步评审。</w:t>
      </w:r>
    </w:p>
    <w:p>
      <w:pPr>
        <w:spacing w:line="520" w:lineRule="exact"/>
        <w:ind w:firstLine="480" w:firstLineChars="200"/>
        <w:rPr>
          <w:rFonts w:ascii="宋体" w:hAnsi="宋体" w:cs="宋体"/>
          <w:sz w:val="24"/>
          <w:szCs w:val="24"/>
        </w:rPr>
      </w:pPr>
      <w:r>
        <w:rPr>
          <w:rFonts w:hint="eastAsia" w:ascii="宋体" w:hAnsi="宋体" w:cs="宋体"/>
          <w:sz w:val="24"/>
          <w:szCs w:val="24"/>
        </w:rPr>
        <w:t>6.5.2评标小组首先评定每份投标文件是否实质上投标了招标文件的要求。所谓实质上投标，是指投标文件与招标文件的所有实质性条款、条件和要求相符，无显著差异或保留，或者对合同中约定的招标人的权利和供应商的义务方面造成重大的限制，纠正这些差异或保留，将会对其他实质上投标招标文件要求的供应商的竞争地位产生不公正的影响。</w:t>
      </w:r>
    </w:p>
    <w:p>
      <w:pPr>
        <w:spacing w:line="520" w:lineRule="exact"/>
        <w:ind w:firstLine="480" w:firstLineChars="200"/>
        <w:rPr>
          <w:rFonts w:ascii="宋体" w:hAnsi="宋体" w:cs="宋体"/>
          <w:sz w:val="24"/>
          <w:szCs w:val="24"/>
        </w:rPr>
      </w:pPr>
      <w:r>
        <w:rPr>
          <w:rFonts w:hint="eastAsia" w:ascii="宋体" w:hAnsi="宋体" w:cs="宋体"/>
          <w:sz w:val="24"/>
          <w:szCs w:val="24"/>
        </w:rPr>
        <w:t>6.5.3如果投标文件实质上不响应招标文件的要求，招标人将予以拒绝，并且不允许供应商通过修改或撤消其不符合要求的差异或保留，使之成为具有响应性的投标。</w:t>
      </w:r>
    </w:p>
    <w:p>
      <w:pPr>
        <w:pStyle w:val="70"/>
        <w:keepNext w:val="0"/>
        <w:keepLines w:val="0"/>
        <w:spacing w:line="558" w:lineRule="exact"/>
        <w:jc w:val="left"/>
        <w:rPr>
          <w:bCs/>
          <w:szCs w:val="20"/>
        </w:rPr>
      </w:pPr>
      <w:bookmarkStart w:id="111" w:name="_Toc14079482"/>
      <w:bookmarkStart w:id="112" w:name="_Toc28251225"/>
      <w:bookmarkStart w:id="113" w:name="_Toc38013550"/>
      <w:r>
        <w:rPr>
          <w:rFonts w:hint="eastAsia" w:ascii="宋体" w:hAnsi="Calibri"/>
          <w:b/>
          <w:szCs w:val="20"/>
        </w:rPr>
        <w:t>6.6</w:t>
      </w:r>
      <w:r>
        <w:rPr>
          <w:rFonts w:hint="eastAsia" w:ascii="宋体" w:hAnsi="Calibri"/>
          <w:szCs w:val="20"/>
        </w:rPr>
        <w:t>投标文件计算错误的修正</w:t>
      </w:r>
      <w:bookmarkEnd w:id="111"/>
      <w:bookmarkEnd w:id="112"/>
      <w:bookmarkEnd w:id="113"/>
    </w:p>
    <w:p>
      <w:pPr>
        <w:spacing w:line="520" w:lineRule="exact"/>
        <w:ind w:firstLine="480" w:firstLineChars="200"/>
        <w:rPr>
          <w:rFonts w:ascii="宋体" w:hAnsi="宋体" w:cs="宋体"/>
          <w:sz w:val="24"/>
          <w:szCs w:val="24"/>
        </w:rPr>
      </w:pPr>
      <w:r>
        <w:rPr>
          <w:rFonts w:hint="eastAsia" w:ascii="宋体" w:hAnsi="宋体" w:cs="宋体"/>
          <w:sz w:val="24"/>
          <w:szCs w:val="24"/>
        </w:rPr>
        <w:t>评标小组将对确定为实质上投标招标文件要求的投标文件进行校核，看其是否有计算或表达上的错误，修正错误的原则如下：</w:t>
      </w:r>
    </w:p>
    <w:p>
      <w:pPr>
        <w:spacing w:line="520" w:lineRule="exact"/>
        <w:ind w:firstLine="480" w:firstLineChars="200"/>
        <w:rPr>
          <w:rFonts w:ascii="宋体" w:hAnsi="宋体" w:cs="宋体"/>
          <w:sz w:val="24"/>
          <w:szCs w:val="24"/>
        </w:rPr>
      </w:pPr>
      <w:r>
        <w:rPr>
          <w:rFonts w:hint="eastAsia" w:ascii="宋体" w:hAnsi="宋体" w:cs="宋体"/>
          <w:sz w:val="24"/>
          <w:szCs w:val="24"/>
        </w:rPr>
        <w:t>6.6.1如果数字表示的金额和用文字表示的金额不一致时，应以文字表示的金额为准；</w:t>
      </w:r>
    </w:p>
    <w:p>
      <w:pPr>
        <w:spacing w:line="520" w:lineRule="exact"/>
        <w:ind w:firstLine="480" w:firstLineChars="200"/>
        <w:rPr>
          <w:rFonts w:ascii="宋体" w:hAnsi="宋体" w:cs="宋体"/>
          <w:sz w:val="24"/>
          <w:szCs w:val="24"/>
        </w:rPr>
      </w:pPr>
      <w:r>
        <w:rPr>
          <w:rFonts w:hint="eastAsia" w:ascii="宋体" w:hAnsi="宋体" w:cs="宋体"/>
          <w:sz w:val="24"/>
          <w:szCs w:val="24"/>
        </w:rPr>
        <w:t>6.6.2当单价与数量的乘积与合价不一致时，以单价为准，除非评标小组认为单价有明显的小数点错误，此时应以标出的合价为准，并修改单价。</w:t>
      </w:r>
    </w:p>
    <w:p>
      <w:pPr>
        <w:spacing w:line="520" w:lineRule="exact"/>
        <w:ind w:firstLine="480" w:firstLineChars="200"/>
        <w:rPr>
          <w:rFonts w:ascii="宋体" w:hAnsi="宋体" w:cs="宋体"/>
          <w:sz w:val="24"/>
          <w:szCs w:val="24"/>
        </w:rPr>
      </w:pPr>
      <w:r>
        <w:rPr>
          <w:rFonts w:hint="eastAsia" w:ascii="宋体" w:hAnsi="宋体" w:cs="宋体"/>
          <w:sz w:val="24"/>
          <w:szCs w:val="24"/>
        </w:rPr>
        <w:t>6.6.3按上述修正错误的原则及方法调整或修正投标文件的投标报价，供应商同意后，调整后的投标报价对供应商起约束作用。如果供应商不接受修正后的报价，则评标小组对其不再进行评审。</w:t>
      </w:r>
    </w:p>
    <w:p>
      <w:pPr>
        <w:pStyle w:val="70"/>
        <w:keepNext w:val="0"/>
        <w:keepLines w:val="0"/>
        <w:spacing w:line="558" w:lineRule="exact"/>
        <w:jc w:val="left"/>
        <w:rPr>
          <w:bCs/>
          <w:szCs w:val="20"/>
        </w:rPr>
      </w:pPr>
      <w:bookmarkStart w:id="114" w:name="_Toc14079483"/>
      <w:bookmarkStart w:id="115" w:name="_Toc28251226"/>
      <w:bookmarkStart w:id="116" w:name="_Toc38013551"/>
      <w:r>
        <w:rPr>
          <w:rFonts w:hint="eastAsia" w:ascii="宋体" w:hAnsi="Calibri"/>
          <w:b/>
          <w:szCs w:val="20"/>
        </w:rPr>
        <w:t>6.7</w:t>
      </w:r>
      <w:r>
        <w:rPr>
          <w:rFonts w:hint="eastAsia" w:ascii="宋体" w:hAnsi="Calibri"/>
          <w:szCs w:val="20"/>
        </w:rPr>
        <w:t>投标文件的评审、比较和否决</w:t>
      </w:r>
      <w:bookmarkEnd w:id="114"/>
      <w:bookmarkEnd w:id="115"/>
      <w:bookmarkEnd w:id="116"/>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6.7.1评标小组仅对在实质上响应招标文件要求的投标文件进行评估和比较。</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6.7.2在评标过程中，评标小组发现供应商的投标报价明显低于其他供应商的报价，并有可能低于其企业成本的，则评标小组可以以书面形式要求该供应商作出书面说明并提供相关证明材料。供应商不能合理说明或不能提供相关证明材料的，评标小组对其投标文件不再进行评审。</w:t>
      </w:r>
    </w:p>
    <w:p>
      <w:pPr>
        <w:pStyle w:val="64"/>
        <w:keepNext w:val="0"/>
        <w:keepLines w:val="0"/>
        <w:spacing w:before="0" w:line="558" w:lineRule="exact"/>
        <w:jc w:val="left"/>
        <w:rPr>
          <w:b/>
          <w:bCs/>
          <w:szCs w:val="20"/>
        </w:rPr>
      </w:pPr>
      <w:bookmarkStart w:id="117" w:name="_Toc14079484"/>
      <w:bookmarkStart w:id="118" w:name="_Toc16690660"/>
      <w:bookmarkStart w:id="119" w:name="_Toc38013552"/>
      <w:bookmarkStart w:id="120" w:name="_Toc28251227"/>
      <w:bookmarkStart w:id="121" w:name="_Toc271556721"/>
      <w:bookmarkStart w:id="122" w:name="_Toc256519755"/>
      <w:bookmarkStart w:id="123" w:name="_Toc270604617"/>
      <w:bookmarkStart w:id="124" w:name="_Toc254788523"/>
      <w:r>
        <w:rPr>
          <w:rFonts w:hint="eastAsia" w:ascii="黑体" w:hAnsi="黑体"/>
          <w:b/>
          <w:bCs/>
        </w:rPr>
        <w:t>7.合同的授予</w:t>
      </w:r>
      <w:bookmarkEnd w:id="117"/>
      <w:bookmarkEnd w:id="118"/>
      <w:bookmarkEnd w:id="119"/>
      <w:bookmarkEnd w:id="120"/>
    </w:p>
    <w:p>
      <w:pPr>
        <w:pStyle w:val="70"/>
        <w:keepNext w:val="0"/>
        <w:keepLines w:val="0"/>
        <w:spacing w:line="558" w:lineRule="exact"/>
        <w:jc w:val="left"/>
        <w:rPr>
          <w:bCs/>
          <w:szCs w:val="20"/>
        </w:rPr>
      </w:pPr>
      <w:bookmarkStart w:id="125" w:name="_Toc28251228"/>
      <w:bookmarkStart w:id="126" w:name="_Toc14079485"/>
      <w:bookmarkStart w:id="127" w:name="_Toc38013553"/>
      <w:r>
        <w:rPr>
          <w:rFonts w:hint="eastAsia" w:ascii="宋体" w:hAnsi="Calibri"/>
          <w:b/>
          <w:szCs w:val="20"/>
        </w:rPr>
        <w:t>7.1</w:t>
      </w:r>
      <w:r>
        <w:rPr>
          <w:rFonts w:hint="eastAsia" w:ascii="宋体" w:hAnsi="Calibri"/>
          <w:szCs w:val="20"/>
        </w:rPr>
        <w:t>定标方式</w:t>
      </w:r>
      <w:bookmarkEnd w:id="125"/>
      <w:bookmarkEnd w:id="126"/>
      <w:bookmarkEnd w:id="127"/>
    </w:p>
    <w:p>
      <w:pPr>
        <w:spacing w:line="360" w:lineRule="auto"/>
        <w:ind w:firstLine="424" w:firstLineChars="177"/>
        <w:rPr>
          <w:rFonts w:ascii="宋体" w:hAnsi="宋体" w:cs="宋体"/>
          <w:sz w:val="24"/>
          <w:szCs w:val="24"/>
        </w:rPr>
      </w:pPr>
      <w:bookmarkStart w:id="128" w:name="_Toc14079486"/>
      <w:r>
        <w:rPr>
          <w:rFonts w:hint="eastAsia" w:ascii="宋体" w:hAnsi="宋体" w:cs="宋体"/>
          <w:sz w:val="24"/>
          <w:szCs w:val="24"/>
        </w:rPr>
        <w:t>评标小组成员综合评审各供应商提交的投标文件，按总得分由高到低的顺序推荐3名中标候选人，评标结果经招标人审核后发布评标结果公告。公示期内无异议，招标单位依据评标小组推荐的中标候选人确定中标单位。</w:t>
      </w:r>
      <w:bookmarkEnd w:id="128"/>
    </w:p>
    <w:p>
      <w:pPr>
        <w:spacing w:line="360" w:lineRule="auto"/>
        <w:ind w:firstLine="424" w:firstLineChars="177"/>
        <w:rPr>
          <w:rFonts w:ascii="宋体" w:hAnsi="宋体"/>
          <w:color w:val="000000"/>
          <w:sz w:val="24"/>
        </w:rPr>
      </w:pPr>
      <w:r>
        <w:rPr>
          <w:rFonts w:hint="eastAsia" w:ascii="宋体" w:hAnsi="宋体"/>
          <w:color w:val="000000"/>
          <w:sz w:val="24"/>
        </w:rPr>
        <w:t>如第一名不履行合同，按《招标投标法实施条例》相关规定执行。</w:t>
      </w:r>
    </w:p>
    <w:p>
      <w:pPr>
        <w:pStyle w:val="70"/>
        <w:keepNext w:val="0"/>
        <w:keepLines w:val="0"/>
        <w:spacing w:line="558" w:lineRule="exact"/>
        <w:jc w:val="left"/>
        <w:rPr>
          <w:bCs/>
          <w:szCs w:val="20"/>
        </w:rPr>
      </w:pPr>
      <w:bookmarkStart w:id="129" w:name="_Toc28251229"/>
      <w:bookmarkStart w:id="130" w:name="_Toc38013554"/>
      <w:bookmarkStart w:id="131" w:name="_Toc14079487"/>
      <w:r>
        <w:rPr>
          <w:rFonts w:hint="eastAsia" w:ascii="宋体" w:hAnsi="Calibri"/>
          <w:b/>
          <w:szCs w:val="20"/>
        </w:rPr>
        <w:t>7.2</w:t>
      </w:r>
      <w:r>
        <w:rPr>
          <w:rFonts w:hint="eastAsia" w:ascii="宋体" w:hAnsi="Calibri"/>
          <w:szCs w:val="20"/>
        </w:rPr>
        <w:t>中标通知</w:t>
      </w:r>
      <w:bookmarkEnd w:id="129"/>
      <w:bookmarkEnd w:id="130"/>
      <w:bookmarkEnd w:id="131"/>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中标人确定后，招标人以书面形式向中标人发出中标通知书。</w:t>
      </w:r>
    </w:p>
    <w:p>
      <w:pPr>
        <w:pStyle w:val="70"/>
        <w:keepNext w:val="0"/>
        <w:keepLines w:val="0"/>
        <w:spacing w:line="558" w:lineRule="exact"/>
        <w:jc w:val="left"/>
        <w:rPr>
          <w:bCs/>
          <w:szCs w:val="20"/>
        </w:rPr>
      </w:pPr>
      <w:bookmarkStart w:id="132" w:name="_Toc28251230"/>
      <w:bookmarkStart w:id="133" w:name="_Toc14079488"/>
      <w:bookmarkStart w:id="134" w:name="_Toc38013555"/>
      <w:r>
        <w:rPr>
          <w:rFonts w:hint="eastAsia" w:ascii="宋体" w:hAnsi="Calibri"/>
          <w:b/>
          <w:szCs w:val="20"/>
        </w:rPr>
        <w:t>7.3</w:t>
      </w:r>
      <w:r>
        <w:rPr>
          <w:rFonts w:hint="eastAsia" w:ascii="宋体" w:hAnsi="Calibri"/>
          <w:szCs w:val="20"/>
        </w:rPr>
        <w:t>合同的授予</w:t>
      </w:r>
      <w:bookmarkEnd w:id="132"/>
      <w:bookmarkEnd w:id="133"/>
      <w:bookmarkEnd w:id="134"/>
    </w:p>
    <w:p>
      <w:pPr>
        <w:spacing w:line="520" w:lineRule="exact"/>
        <w:ind w:firstLine="480" w:firstLineChars="200"/>
        <w:rPr>
          <w:rFonts w:ascii="宋体" w:hAnsi="宋体" w:cs="宋体"/>
          <w:sz w:val="24"/>
          <w:szCs w:val="24"/>
        </w:rPr>
      </w:pPr>
      <w:r>
        <w:rPr>
          <w:rFonts w:hint="eastAsia" w:ascii="宋体" w:hAnsi="宋体" w:cs="宋体"/>
          <w:sz w:val="24"/>
          <w:szCs w:val="24"/>
        </w:rPr>
        <w:t>本招标项目的招标合同将授予按本须知办法确定的中标人。</w:t>
      </w:r>
    </w:p>
    <w:p>
      <w:pPr>
        <w:spacing w:line="520" w:lineRule="exact"/>
        <w:ind w:firstLine="480" w:firstLineChars="200"/>
        <w:rPr>
          <w:rFonts w:ascii="宋体" w:hAnsi="宋体" w:cs="宋体"/>
          <w:sz w:val="24"/>
          <w:szCs w:val="24"/>
        </w:rPr>
      </w:pPr>
      <w:r>
        <w:rPr>
          <w:rFonts w:hint="eastAsia" w:ascii="宋体" w:hAnsi="宋体" w:cs="宋体"/>
          <w:sz w:val="24"/>
          <w:szCs w:val="24"/>
        </w:rPr>
        <w:t>7.3.1招标人与中标人将于中标通知书发出之日起30日内，按照招标文件和中标人的投标文件签订合同。不得订立背离合同实质性内容的协议。</w:t>
      </w:r>
    </w:p>
    <w:p>
      <w:pPr>
        <w:spacing w:line="520" w:lineRule="exact"/>
        <w:ind w:firstLine="480" w:firstLineChars="200"/>
        <w:rPr>
          <w:rFonts w:ascii="宋体" w:hAnsi="宋体" w:cs="宋体"/>
          <w:b/>
          <w:bCs/>
          <w:sz w:val="24"/>
          <w:szCs w:val="24"/>
        </w:rPr>
      </w:pPr>
      <w:r>
        <w:rPr>
          <w:rFonts w:hint="eastAsia" w:ascii="宋体" w:hAnsi="宋体" w:cs="宋体"/>
          <w:sz w:val="24"/>
          <w:szCs w:val="24"/>
        </w:rPr>
        <w:t>7.3.2</w:t>
      </w:r>
      <w:r>
        <w:rPr>
          <w:rFonts w:hint="eastAsia" w:ascii="宋体" w:hAnsi="宋体" w:cs="宋体"/>
          <w:spacing w:val="-3"/>
          <w:sz w:val="24"/>
          <w:szCs w:val="24"/>
        </w:rPr>
        <w:t>中标人无正当理由拒签合同的</w:t>
      </w:r>
      <w:r>
        <w:rPr>
          <w:rFonts w:hint="eastAsia" w:ascii="宋体" w:hAnsi="宋体" w:cs="宋体"/>
          <w:sz w:val="24"/>
          <w:szCs w:val="24"/>
        </w:rPr>
        <w:t>，则招标人将废除授标，给招标人造成的损失的，供应商还应对损失部分予以赔偿，同时依法承担相应的法律责任。</w:t>
      </w:r>
    </w:p>
    <w:p>
      <w:pPr>
        <w:pStyle w:val="2"/>
        <w:keepNext w:val="0"/>
        <w:keepLines w:val="0"/>
        <w:pageBreakBefore/>
        <w:spacing w:before="120" w:after="120" w:line="400" w:lineRule="exact"/>
        <w:jc w:val="center"/>
        <w:rPr>
          <w:rFonts w:ascii="宋体" w:hAnsi="宋体" w:cs="宋体"/>
          <w:b w:val="0"/>
          <w:bCs w:val="0"/>
          <w:kern w:val="0"/>
          <w:sz w:val="24"/>
          <w:szCs w:val="24"/>
        </w:rPr>
      </w:pPr>
      <w:bookmarkStart w:id="135" w:name="_Toc38013556"/>
      <w:bookmarkStart w:id="136" w:name="_Toc5478"/>
      <w:r>
        <w:rPr>
          <w:rFonts w:hint="eastAsia" w:ascii="黑体" w:hAnsi="黑体" w:eastAsia="黑体"/>
          <w:sz w:val="36"/>
          <w:szCs w:val="36"/>
        </w:rPr>
        <w:t>第三章 评标办法</w:t>
      </w:r>
      <w:bookmarkEnd w:id="135"/>
    </w:p>
    <w:p>
      <w:pPr>
        <w:pStyle w:val="64"/>
        <w:keepNext w:val="0"/>
        <w:keepLines w:val="0"/>
        <w:tabs>
          <w:tab w:val="left" w:pos="540"/>
        </w:tabs>
        <w:spacing w:before="0" w:line="498" w:lineRule="exact"/>
        <w:jc w:val="left"/>
        <w:rPr>
          <w:rFonts w:ascii="黑体" w:hAnsi="黑体"/>
          <w:b/>
          <w:bCs/>
          <w:szCs w:val="20"/>
        </w:rPr>
      </w:pPr>
      <w:bookmarkStart w:id="137" w:name="_Toc38013557"/>
      <w:bookmarkStart w:id="138" w:name="_Toc28251232"/>
      <w:r>
        <w:rPr>
          <w:rFonts w:hint="eastAsia" w:ascii="黑体" w:hAnsi="黑体"/>
          <w:b/>
          <w:bCs/>
          <w:szCs w:val="20"/>
        </w:rPr>
        <w:t>1.评标方法</w:t>
      </w:r>
      <w:bookmarkEnd w:id="137"/>
      <w:bookmarkEnd w:id="138"/>
    </w:p>
    <w:p>
      <w:pPr>
        <w:spacing w:line="520" w:lineRule="exact"/>
        <w:ind w:firstLine="480" w:firstLineChars="200"/>
        <w:rPr>
          <w:rFonts w:ascii="宋体" w:hAnsi="宋体" w:cs="宋体"/>
          <w:sz w:val="24"/>
          <w:szCs w:val="24"/>
        </w:rPr>
      </w:pPr>
      <w:r>
        <w:rPr>
          <w:rFonts w:hint="eastAsia" w:ascii="宋体" w:hAnsi="宋体"/>
          <w:sz w:val="24"/>
        </w:rPr>
        <w:t>本次评标采用综合评标法。</w:t>
      </w:r>
      <w:r>
        <w:rPr>
          <w:rFonts w:hint="eastAsia" w:ascii="宋体" w:hAnsi="宋体" w:cs="宋体"/>
          <w:sz w:val="24"/>
          <w:szCs w:val="24"/>
        </w:rPr>
        <w:t>评标小组会对满足招标文件实质性要求的投标文件，按本章节规定的评分标准进行综合评分，并按得分由高到低顺序推荐3名中标候选人。综合评分相等时，</w:t>
      </w:r>
      <w:r>
        <w:rPr>
          <w:rFonts w:hint="eastAsia" w:ascii="宋体" w:hAnsi="宋体" w:cs="宋体"/>
          <w:sz w:val="24"/>
          <w:szCs w:val="24"/>
          <w:lang w:val="en-US" w:eastAsia="zh-CN"/>
        </w:rPr>
        <w:t>由招标人根据相关规定自行确定</w:t>
      </w:r>
      <w:r>
        <w:rPr>
          <w:rFonts w:hint="eastAsia" w:ascii="宋体" w:hAnsi="宋体" w:cs="宋体"/>
          <w:sz w:val="24"/>
          <w:szCs w:val="24"/>
        </w:rPr>
        <w:t>。</w:t>
      </w:r>
    </w:p>
    <w:p>
      <w:pPr>
        <w:pStyle w:val="64"/>
        <w:keepNext w:val="0"/>
        <w:keepLines w:val="0"/>
        <w:tabs>
          <w:tab w:val="left" w:pos="540"/>
        </w:tabs>
        <w:spacing w:before="0" w:line="498" w:lineRule="exact"/>
        <w:jc w:val="left"/>
        <w:rPr>
          <w:rFonts w:ascii="黑体" w:hAnsi="黑体"/>
          <w:szCs w:val="20"/>
        </w:rPr>
      </w:pPr>
      <w:bookmarkStart w:id="139" w:name="_Toc28030"/>
      <w:bookmarkEnd w:id="139"/>
      <w:bookmarkStart w:id="140" w:name="_Toc19618"/>
      <w:bookmarkEnd w:id="140"/>
      <w:bookmarkStart w:id="141" w:name="_Toc179632619"/>
      <w:bookmarkEnd w:id="141"/>
      <w:bookmarkStart w:id="142" w:name="_Toc38013558"/>
      <w:bookmarkStart w:id="143" w:name="_Toc28251233"/>
      <w:bookmarkStart w:id="144" w:name="_Toc29880"/>
      <w:r>
        <w:rPr>
          <w:rFonts w:hint="eastAsia" w:ascii="黑体" w:hAnsi="黑体"/>
          <w:b/>
          <w:bCs/>
          <w:szCs w:val="20"/>
        </w:rPr>
        <w:t>2. 评审标准</w:t>
      </w:r>
      <w:bookmarkEnd w:id="142"/>
      <w:bookmarkEnd w:id="143"/>
      <w:bookmarkEnd w:id="144"/>
    </w:p>
    <w:p>
      <w:pPr>
        <w:pStyle w:val="70"/>
        <w:keepNext w:val="0"/>
        <w:keepLines w:val="0"/>
        <w:spacing w:line="498" w:lineRule="exact"/>
        <w:jc w:val="left"/>
        <w:rPr>
          <w:rFonts w:ascii="宋体" w:hAnsi="宋体" w:eastAsia="宋体"/>
        </w:rPr>
      </w:pPr>
      <w:bookmarkStart w:id="145" w:name="_Toc31847"/>
      <w:bookmarkEnd w:id="145"/>
      <w:bookmarkStart w:id="146" w:name="_Toc23196"/>
      <w:bookmarkEnd w:id="146"/>
      <w:bookmarkStart w:id="147" w:name="_Toc12931"/>
      <w:bookmarkEnd w:id="147"/>
      <w:bookmarkStart w:id="148" w:name="_Toc179632620"/>
      <w:bookmarkEnd w:id="148"/>
      <w:bookmarkStart w:id="149" w:name="_Toc28251234"/>
      <w:bookmarkStart w:id="150" w:name="_Toc38013559"/>
      <w:bookmarkStart w:id="151" w:name="_Toc16690667"/>
      <w:r>
        <w:rPr>
          <w:rFonts w:hint="eastAsia" w:ascii="宋体" w:hAnsi="Calibri"/>
          <w:b/>
          <w:szCs w:val="20"/>
        </w:rPr>
        <w:t xml:space="preserve">2.1 </w:t>
      </w:r>
      <w:r>
        <w:rPr>
          <w:rFonts w:hint="eastAsia" w:ascii="宋体" w:hAnsi="Calibri"/>
          <w:szCs w:val="20"/>
        </w:rPr>
        <w:t>初步评审标准</w:t>
      </w:r>
      <w:bookmarkEnd w:id="149"/>
      <w:bookmarkEnd w:id="150"/>
      <w:bookmarkEnd w:id="151"/>
    </w:p>
    <w:p>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形式评审标准：见评标办法前附表。</w:t>
      </w:r>
    </w:p>
    <w:p>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资格评审标准：见评标办法前附表。</w:t>
      </w:r>
    </w:p>
    <w:p>
      <w:pPr>
        <w:spacing w:line="520" w:lineRule="exact"/>
        <w:ind w:firstLine="480" w:firstLineChars="200"/>
        <w:rPr>
          <w:rFonts w:ascii="宋体" w:hAnsi="宋体" w:cs="宋体"/>
          <w:sz w:val="24"/>
          <w:szCs w:val="24"/>
        </w:rPr>
      </w:pPr>
      <w:r>
        <w:rPr>
          <w:rFonts w:hint="eastAsia" w:ascii="宋体" w:hAnsi="宋体" w:cs="宋体"/>
          <w:sz w:val="24"/>
          <w:szCs w:val="24"/>
        </w:rPr>
        <w:t>2.1.3 响应性评审标准：见评标办法前附表。</w:t>
      </w:r>
    </w:p>
    <w:p>
      <w:pPr>
        <w:pStyle w:val="70"/>
        <w:keepNext w:val="0"/>
        <w:keepLines w:val="0"/>
        <w:spacing w:line="498" w:lineRule="exact"/>
        <w:jc w:val="left"/>
        <w:rPr>
          <w:rFonts w:ascii="宋体" w:hAnsi="宋体" w:eastAsia="宋体"/>
        </w:rPr>
      </w:pPr>
      <w:bookmarkStart w:id="152" w:name="_Toc179632621"/>
      <w:bookmarkEnd w:id="152"/>
      <w:bookmarkStart w:id="153" w:name="_Toc607"/>
      <w:bookmarkEnd w:id="153"/>
      <w:bookmarkStart w:id="154" w:name="_Toc16603"/>
      <w:bookmarkEnd w:id="154"/>
      <w:bookmarkStart w:id="155" w:name="_Toc11804"/>
      <w:bookmarkEnd w:id="155"/>
      <w:bookmarkStart w:id="156" w:name="_Toc38013560"/>
      <w:bookmarkStart w:id="157" w:name="_Toc28251235"/>
      <w:bookmarkStart w:id="158" w:name="_Toc16690668"/>
      <w:r>
        <w:rPr>
          <w:rFonts w:hint="eastAsia" w:ascii="宋体" w:hAnsi="Calibri"/>
          <w:b/>
          <w:szCs w:val="20"/>
        </w:rPr>
        <w:t xml:space="preserve">2.2 </w:t>
      </w:r>
      <w:r>
        <w:rPr>
          <w:rFonts w:hint="eastAsia" w:ascii="宋体" w:hAnsi="Calibri"/>
          <w:szCs w:val="20"/>
        </w:rPr>
        <w:t>分值构成与评分标准</w:t>
      </w:r>
      <w:bookmarkEnd w:id="156"/>
      <w:bookmarkEnd w:id="157"/>
      <w:bookmarkEnd w:id="158"/>
    </w:p>
    <w:p>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pPr>
        <w:spacing w:line="520" w:lineRule="exact"/>
        <w:ind w:firstLine="420" w:firstLineChars="175"/>
        <w:rPr>
          <w:rFonts w:ascii="宋体" w:hAnsi="宋体" w:cs="宋体"/>
          <w:sz w:val="24"/>
          <w:szCs w:val="24"/>
        </w:rPr>
      </w:pPr>
      <w:r>
        <w:rPr>
          <w:rFonts w:hint="eastAsia" w:ascii="宋体" w:hAnsi="宋体" w:cs="宋体"/>
          <w:sz w:val="24"/>
          <w:szCs w:val="24"/>
        </w:rPr>
        <w:t>（1）投标报价的权重占</w:t>
      </w:r>
      <w:r>
        <w:rPr>
          <w:rFonts w:hint="eastAsia" w:ascii="宋体" w:hAnsi="宋体" w:cs="宋体"/>
          <w:sz w:val="24"/>
          <w:szCs w:val="24"/>
          <w:lang w:val="en-US" w:eastAsia="zh-CN"/>
        </w:rPr>
        <w:t>30</w:t>
      </w:r>
      <w:r>
        <w:rPr>
          <w:rFonts w:hint="eastAsia" w:ascii="宋体" w:hAnsi="宋体" w:cs="宋体"/>
          <w:sz w:val="24"/>
          <w:szCs w:val="24"/>
        </w:rPr>
        <w:t>%</w:t>
      </w:r>
    </w:p>
    <w:p>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pPr>
        <w:spacing w:line="520" w:lineRule="exact"/>
        <w:ind w:firstLine="420" w:firstLineChars="175"/>
        <w:rPr>
          <w:rFonts w:ascii="宋体" w:hAnsi="宋体" w:cs="宋体"/>
          <w:sz w:val="24"/>
          <w:szCs w:val="24"/>
        </w:rPr>
      </w:pPr>
      <w:r>
        <w:rPr>
          <w:rFonts w:hint="eastAsia" w:ascii="宋体" w:hAnsi="宋体" w:cs="宋体"/>
          <w:sz w:val="24"/>
          <w:szCs w:val="24"/>
        </w:rPr>
        <w:t>（3）商务标的权重占</w:t>
      </w:r>
      <w:r>
        <w:rPr>
          <w:rFonts w:hint="eastAsia" w:ascii="宋体" w:hAnsi="宋体" w:cs="宋体"/>
          <w:sz w:val="24"/>
          <w:szCs w:val="24"/>
          <w:lang w:val="en-US" w:eastAsia="zh-CN"/>
        </w:rPr>
        <w:t>20</w:t>
      </w:r>
      <w:r>
        <w:rPr>
          <w:rFonts w:hint="eastAsia" w:ascii="宋体" w:hAnsi="宋体" w:cs="宋体"/>
          <w:sz w:val="24"/>
          <w:szCs w:val="24"/>
        </w:rPr>
        <w:t>%</w:t>
      </w:r>
    </w:p>
    <w:p>
      <w:pPr>
        <w:spacing w:line="520" w:lineRule="exact"/>
        <w:ind w:firstLine="480" w:firstLineChars="200"/>
        <w:rPr>
          <w:rFonts w:ascii="宋体" w:hAnsi="宋体" w:cs="宋体"/>
          <w:sz w:val="24"/>
          <w:szCs w:val="24"/>
        </w:rPr>
      </w:pPr>
      <w:r>
        <w:rPr>
          <w:rFonts w:hint="eastAsia" w:ascii="宋体" w:hAnsi="宋体" w:cs="宋体"/>
          <w:sz w:val="24"/>
          <w:szCs w:val="24"/>
        </w:rPr>
        <w:t>2.2.2  评分标准：见评标办法前附表。</w:t>
      </w:r>
    </w:p>
    <w:p>
      <w:pPr>
        <w:pStyle w:val="64"/>
        <w:keepNext w:val="0"/>
        <w:keepLines w:val="0"/>
        <w:tabs>
          <w:tab w:val="left" w:pos="540"/>
        </w:tabs>
        <w:spacing w:before="0" w:line="498" w:lineRule="exact"/>
        <w:jc w:val="left"/>
        <w:rPr>
          <w:rFonts w:ascii="宋体" w:hAnsi="宋体"/>
        </w:rPr>
      </w:pPr>
      <w:bookmarkStart w:id="159" w:name="_Toc25534"/>
      <w:bookmarkEnd w:id="159"/>
      <w:bookmarkStart w:id="160" w:name="_Toc152045604"/>
      <w:bookmarkEnd w:id="160"/>
      <w:bookmarkStart w:id="161" w:name="_Toc13158"/>
      <w:bookmarkEnd w:id="161"/>
      <w:bookmarkStart w:id="162" w:name="_Toc144974571"/>
      <w:bookmarkEnd w:id="162"/>
      <w:bookmarkStart w:id="163" w:name="_Toc179632622"/>
      <w:bookmarkEnd w:id="163"/>
      <w:bookmarkStart w:id="164" w:name="_Toc11715"/>
      <w:bookmarkEnd w:id="164"/>
      <w:bookmarkStart w:id="165" w:name="_Toc38013561"/>
      <w:bookmarkStart w:id="166" w:name="_Toc28251236"/>
      <w:bookmarkStart w:id="167" w:name="_Toc152042381"/>
      <w:r>
        <w:rPr>
          <w:rFonts w:hint="eastAsia" w:ascii="黑体" w:hAnsi="黑体"/>
          <w:b/>
          <w:bCs/>
          <w:szCs w:val="20"/>
        </w:rPr>
        <w:t>3. 评标程序</w:t>
      </w:r>
      <w:bookmarkEnd w:id="165"/>
      <w:bookmarkEnd w:id="166"/>
      <w:bookmarkEnd w:id="167"/>
    </w:p>
    <w:p>
      <w:pPr>
        <w:pStyle w:val="70"/>
        <w:keepNext w:val="0"/>
        <w:keepLines w:val="0"/>
        <w:spacing w:line="498" w:lineRule="exact"/>
        <w:jc w:val="left"/>
        <w:rPr>
          <w:rFonts w:ascii="宋体" w:hAnsi="Calibri"/>
          <w:b/>
          <w:szCs w:val="20"/>
        </w:rPr>
      </w:pPr>
      <w:bookmarkStart w:id="168" w:name="_Toc31010"/>
      <w:bookmarkEnd w:id="168"/>
      <w:bookmarkStart w:id="169" w:name="_Toc30372"/>
      <w:bookmarkEnd w:id="169"/>
      <w:bookmarkStart w:id="170" w:name="_Toc144974572"/>
      <w:bookmarkEnd w:id="170"/>
      <w:bookmarkStart w:id="171" w:name="_Toc152042382"/>
      <w:bookmarkEnd w:id="171"/>
      <w:bookmarkStart w:id="172" w:name="_Toc8644"/>
      <w:bookmarkEnd w:id="172"/>
      <w:bookmarkStart w:id="173" w:name="_Toc152045605"/>
      <w:bookmarkEnd w:id="173"/>
      <w:bookmarkStart w:id="174" w:name="_Toc16690670"/>
      <w:bookmarkStart w:id="175" w:name="_Toc38013562"/>
      <w:bookmarkStart w:id="176" w:name="_Toc28251237"/>
      <w:bookmarkStart w:id="177" w:name="_Toc179632623"/>
      <w:r>
        <w:rPr>
          <w:rFonts w:hint="eastAsia" w:ascii="宋体" w:hAnsi="Calibri"/>
          <w:b/>
          <w:szCs w:val="20"/>
        </w:rPr>
        <w:t xml:space="preserve">3.1 </w:t>
      </w:r>
      <w:r>
        <w:rPr>
          <w:rFonts w:hint="eastAsia" w:ascii="宋体" w:hAnsi="Calibri"/>
          <w:szCs w:val="20"/>
        </w:rPr>
        <w:t>初步评审</w:t>
      </w:r>
      <w:bookmarkEnd w:id="174"/>
      <w:bookmarkEnd w:id="175"/>
      <w:bookmarkEnd w:id="176"/>
      <w:bookmarkEnd w:id="177"/>
    </w:p>
    <w:p>
      <w:pPr>
        <w:spacing w:line="360" w:lineRule="auto"/>
        <w:ind w:firstLine="480" w:firstLineChars="200"/>
        <w:rPr>
          <w:rFonts w:ascii="宋体" w:hAnsi="宋体" w:cs="宋体"/>
          <w:sz w:val="24"/>
          <w:szCs w:val="24"/>
        </w:rPr>
      </w:pPr>
      <w:r>
        <w:rPr>
          <w:rFonts w:hint="eastAsia" w:ascii="宋体" w:hAnsi="宋体" w:cs="宋体"/>
          <w:sz w:val="24"/>
          <w:szCs w:val="24"/>
        </w:rPr>
        <w:t>3.1.1招标人根据本章规定得资格评审办法对投标人进行资格审查，资格审查资料</w:t>
      </w:r>
      <w:r>
        <w:rPr>
          <w:rFonts w:hint="eastAsia" w:ascii="宋体" w:hAnsi="宋体"/>
          <w:sz w:val="24"/>
        </w:rPr>
        <w:t>以投标人投标文件中所附资料为准，进行核验。</w:t>
      </w:r>
      <w:r>
        <w:rPr>
          <w:rFonts w:hint="eastAsia"/>
          <w:bCs/>
          <w:sz w:val="24"/>
        </w:rPr>
        <w:t>通过资格审查的投标人由</w:t>
      </w:r>
      <w:r>
        <w:rPr>
          <w:rFonts w:hint="eastAsia" w:ascii="宋体" w:hAnsi="宋体" w:cs="宋体"/>
          <w:sz w:val="24"/>
          <w:szCs w:val="24"/>
        </w:rPr>
        <w:t>评标小组依据本章第2.1款规定的标准对投标文件进行</w:t>
      </w:r>
      <w:r>
        <w:rPr>
          <w:rFonts w:hint="eastAsia"/>
          <w:bCs/>
          <w:sz w:val="24"/>
        </w:rPr>
        <w:t>形式评审、响应性评审</w:t>
      </w:r>
      <w:r>
        <w:rPr>
          <w:rFonts w:hint="eastAsia" w:ascii="宋体" w:hAnsi="宋体" w:cs="宋体"/>
          <w:sz w:val="24"/>
          <w:szCs w:val="24"/>
        </w:rPr>
        <w:t>。有一项不符合评审标准的，其投标将被否决。</w:t>
      </w:r>
    </w:p>
    <w:p>
      <w:pPr>
        <w:spacing w:line="520" w:lineRule="exact"/>
        <w:ind w:firstLine="480" w:firstLineChars="200"/>
        <w:rPr>
          <w:rFonts w:ascii="宋体" w:hAnsi="宋体" w:cs="宋体"/>
          <w:sz w:val="24"/>
          <w:szCs w:val="24"/>
        </w:rPr>
      </w:pPr>
      <w:r>
        <w:rPr>
          <w:rFonts w:hint="eastAsia" w:ascii="宋体" w:hAnsi="宋体" w:cs="宋体"/>
          <w:sz w:val="24"/>
          <w:szCs w:val="24"/>
        </w:rPr>
        <w:t>3.1.2供应商有以下情形之一的，其投标作无效标处理：</w:t>
      </w:r>
    </w:p>
    <w:p>
      <w:pPr>
        <w:spacing w:line="520" w:lineRule="exact"/>
        <w:ind w:firstLine="480" w:firstLineChars="200"/>
        <w:rPr>
          <w:rFonts w:ascii="宋体" w:hAnsi="宋体" w:cs="宋体"/>
          <w:sz w:val="24"/>
          <w:szCs w:val="24"/>
        </w:rPr>
      </w:pPr>
      <w:r>
        <w:rPr>
          <w:rFonts w:hint="eastAsia" w:ascii="宋体" w:hAnsi="宋体" w:cs="宋体"/>
          <w:sz w:val="24"/>
          <w:szCs w:val="24"/>
        </w:rPr>
        <w:t>（1）串通投标或弄虚作假或有其他违法行为的；</w:t>
      </w:r>
    </w:p>
    <w:p>
      <w:pPr>
        <w:spacing w:line="520" w:lineRule="exact"/>
        <w:ind w:firstLine="480" w:firstLineChars="200"/>
        <w:rPr>
          <w:rFonts w:ascii="宋体" w:hAnsi="宋体" w:cs="宋体"/>
          <w:sz w:val="24"/>
          <w:szCs w:val="24"/>
        </w:rPr>
      </w:pPr>
      <w:r>
        <w:rPr>
          <w:rFonts w:hint="eastAsia" w:ascii="宋体" w:hAnsi="宋体" w:cs="宋体"/>
          <w:sz w:val="24"/>
          <w:szCs w:val="24"/>
        </w:rPr>
        <w:t>（2）不按评标小组要求澄清、说明或补正的。</w:t>
      </w:r>
    </w:p>
    <w:p>
      <w:pPr>
        <w:spacing w:line="520" w:lineRule="exact"/>
        <w:ind w:firstLine="480" w:firstLineChars="200"/>
        <w:rPr>
          <w:rFonts w:ascii="宋体" w:hAnsi="宋体" w:cs="宋体"/>
          <w:sz w:val="24"/>
          <w:szCs w:val="24"/>
        </w:rPr>
      </w:pPr>
      <w:r>
        <w:rPr>
          <w:rFonts w:hint="eastAsia" w:ascii="宋体" w:hAnsi="宋体" w:cs="宋体"/>
          <w:sz w:val="24"/>
          <w:szCs w:val="24"/>
        </w:rPr>
        <w:t>3.1.3投标报价有算术错误的，评标小组按以下原则对投标报价进行修正，修正的价格经供应商书面确认后具有约束力。供应商不接受修正价格的，其投标将被否决。</w:t>
      </w:r>
    </w:p>
    <w:p>
      <w:pPr>
        <w:spacing w:line="520" w:lineRule="exact"/>
        <w:ind w:firstLine="480" w:firstLineChars="200"/>
        <w:rPr>
          <w:rFonts w:ascii="宋体" w:hAnsi="宋体" w:cs="宋体"/>
          <w:sz w:val="24"/>
          <w:szCs w:val="24"/>
        </w:rPr>
      </w:pPr>
      <w:bookmarkStart w:id="178" w:name="_Toc152042383"/>
      <w:bookmarkEnd w:id="178"/>
      <w:r>
        <w:rPr>
          <w:rFonts w:hint="eastAsia" w:ascii="宋体" w:hAnsi="宋体" w:cs="宋体"/>
          <w:sz w:val="24"/>
          <w:szCs w:val="24"/>
        </w:rPr>
        <w:t>（1）投标文件中的大写金额与小写金额不一致的，以大写金额为准；</w:t>
      </w:r>
    </w:p>
    <w:p>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pPr>
        <w:pStyle w:val="70"/>
        <w:keepNext w:val="0"/>
        <w:keepLines w:val="0"/>
        <w:spacing w:line="498" w:lineRule="exact"/>
        <w:jc w:val="left"/>
        <w:rPr>
          <w:rFonts w:ascii="宋体" w:hAnsi="Calibri"/>
          <w:b/>
          <w:szCs w:val="20"/>
        </w:rPr>
      </w:pPr>
      <w:bookmarkStart w:id="179" w:name="_Toc152042384"/>
      <w:bookmarkEnd w:id="179"/>
      <w:bookmarkStart w:id="180" w:name="_Toc179632624"/>
      <w:bookmarkEnd w:id="180"/>
      <w:bookmarkStart w:id="181" w:name="_Toc144974573"/>
      <w:bookmarkEnd w:id="181"/>
      <w:bookmarkStart w:id="182" w:name="_Toc16690671"/>
      <w:bookmarkStart w:id="183" w:name="_Toc28251238"/>
      <w:bookmarkStart w:id="184" w:name="_Toc38013563"/>
      <w:bookmarkStart w:id="185" w:name="_Toc152045606"/>
      <w:r>
        <w:rPr>
          <w:rFonts w:hint="eastAsia" w:ascii="宋体" w:hAnsi="Calibri"/>
          <w:b/>
          <w:szCs w:val="20"/>
        </w:rPr>
        <w:t xml:space="preserve">3.2 </w:t>
      </w:r>
      <w:r>
        <w:rPr>
          <w:rFonts w:hint="eastAsia" w:ascii="宋体" w:hAnsi="Calibri"/>
          <w:szCs w:val="20"/>
        </w:rPr>
        <w:t>详细评审</w:t>
      </w:r>
      <w:bookmarkEnd w:id="182"/>
      <w:bookmarkEnd w:id="183"/>
      <w:bookmarkEnd w:id="184"/>
      <w:bookmarkEnd w:id="185"/>
    </w:p>
    <w:p>
      <w:pPr>
        <w:spacing w:line="520" w:lineRule="exact"/>
        <w:ind w:firstLine="480" w:firstLineChars="200"/>
        <w:rPr>
          <w:rFonts w:ascii="宋体" w:hAnsi="宋体" w:cs="宋体"/>
          <w:sz w:val="24"/>
          <w:szCs w:val="24"/>
        </w:rPr>
      </w:pPr>
      <w:r>
        <w:rPr>
          <w:rFonts w:hint="eastAsia" w:ascii="宋体" w:hAnsi="宋体" w:cs="宋体"/>
          <w:sz w:val="24"/>
          <w:szCs w:val="24"/>
        </w:rPr>
        <w:t>3.2.1评标小组按本章第2.2款规定的量化因素和分值进行打分，并计算出综合评估得分。</w:t>
      </w:r>
    </w:p>
    <w:p>
      <w:pPr>
        <w:spacing w:line="520" w:lineRule="exact"/>
        <w:ind w:firstLine="480" w:firstLineChars="200"/>
        <w:rPr>
          <w:rFonts w:ascii="宋体" w:hAnsi="宋体" w:cs="宋体"/>
          <w:sz w:val="24"/>
          <w:szCs w:val="24"/>
        </w:rPr>
      </w:pPr>
      <w:r>
        <w:rPr>
          <w:rFonts w:hint="eastAsia" w:ascii="宋体" w:hAnsi="宋体" w:cs="宋体"/>
          <w:sz w:val="24"/>
          <w:szCs w:val="24"/>
        </w:rPr>
        <w:t>3.2.2评标小组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小组认定该供应商以低于成本报价投标，其投标作无效标处理。</w:t>
      </w:r>
    </w:p>
    <w:p>
      <w:pPr>
        <w:pStyle w:val="70"/>
        <w:keepNext w:val="0"/>
        <w:keepLines w:val="0"/>
        <w:spacing w:line="498" w:lineRule="exact"/>
        <w:jc w:val="left"/>
        <w:rPr>
          <w:rFonts w:ascii="宋体" w:hAnsi="宋体"/>
        </w:rPr>
      </w:pPr>
      <w:bookmarkStart w:id="186" w:name="_Toc387498748"/>
      <w:bookmarkEnd w:id="186"/>
      <w:bookmarkStart w:id="187" w:name="_Toc401926485"/>
      <w:bookmarkEnd w:id="187"/>
      <w:bookmarkStart w:id="188" w:name="_Toc421805017"/>
      <w:bookmarkEnd w:id="188"/>
      <w:bookmarkStart w:id="189" w:name="_Toc466566800"/>
      <w:bookmarkEnd w:id="189"/>
      <w:bookmarkStart w:id="190" w:name="_Toc466566711"/>
      <w:bookmarkEnd w:id="190"/>
      <w:bookmarkStart w:id="191" w:name="_Toc152042385"/>
      <w:bookmarkEnd w:id="191"/>
      <w:bookmarkStart w:id="192" w:name="_Toc401512224"/>
      <w:bookmarkEnd w:id="192"/>
      <w:bookmarkStart w:id="193" w:name="_Toc421698384"/>
      <w:bookmarkEnd w:id="193"/>
      <w:bookmarkStart w:id="194" w:name="_Toc144974575"/>
      <w:bookmarkEnd w:id="194"/>
      <w:bookmarkStart w:id="195" w:name="_Toc418605429"/>
      <w:bookmarkEnd w:id="195"/>
      <w:bookmarkStart w:id="196" w:name="_Toc423358132"/>
      <w:bookmarkEnd w:id="196"/>
      <w:bookmarkStart w:id="197" w:name="_Toc389384087"/>
      <w:bookmarkEnd w:id="197"/>
      <w:bookmarkStart w:id="198" w:name="_Toc179632625"/>
      <w:bookmarkEnd w:id="198"/>
      <w:bookmarkStart w:id="199" w:name="_Toc418608950"/>
      <w:bookmarkEnd w:id="199"/>
      <w:bookmarkStart w:id="200" w:name="_Toc152045607"/>
      <w:bookmarkStart w:id="201" w:name="_Toc28251239"/>
      <w:bookmarkStart w:id="202" w:name="_Toc38013564"/>
      <w:bookmarkStart w:id="203" w:name="_Toc16690672"/>
      <w:r>
        <w:rPr>
          <w:rFonts w:hint="eastAsia" w:ascii="宋体" w:hAnsi="Calibri"/>
          <w:b/>
          <w:szCs w:val="20"/>
        </w:rPr>
        <w:t xml:space="preserve">3.3 </w:t>
      </w:r>
      <w:bookmarkEnd w:id="200"/>
      <w:r>
        <w:rPr>
          <w:rFonts w:hint="eastAsia" w:ascii="宋体" w:hAnsi="Calibri"/>
          <w:szCs w:val="20"/>
        </w:rPr>
        <w:t>投标文件的澄清和补正</w:t>
      </w:r>
      <w:bookmarkEnd w:id="201"/>
      <w:bookmarkEnd w:id="202"/>
      <w:bookmarkEnd w:id="203"/>
    </w:p>
    <w:p>
      <w:pPr>
        <w:spacing w:line="360" w:lineRule="auto"/>
        <w:ind w:firstLine="480" w:firstLineChars="200"/>
        <w:rPr>
          <w:rFonts w:ascii="宋体" w:hAnsi="宋体" w:cs="宋体"/>
          <w:sz w:val="24"/>
          <w:szCs w:val="24"/>
        </w:rPr>
      </w:pPr>
      <w:r>
        <w:rPr>
          <w:rFonts w:hint="eastAsia" w:ascii="宋体" w:hAnsi="宋体" w:cs="宋体"/>
          <w:sz w:val="24"/>
          <w:szCs w:val="24"/>
        </w:rPr>
        <w:t>3.3.1</w:t>
      </w:r>
      <w:r>
        <w:rPr>
          <w:rFonts w:hint="eastAsia" w:ascii="宋体" w:hAnsi="宋体"/>
          <w:color w:val="000000"/>
          <w:sz w:val="24"/>
        </w:rPr>
        <w:t>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cs="宋体"/>
          <w:sz w:val="24"/>
          <w:szCs w:val="24"/>
        </w:rPr>
        <w:t>评标小组不接受供应商主动提出的澄清、说明或补正。</w:t>
      </w:r>
    </w:p>
    <w:p>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澄清、说明和补正不得改变投标文件的实质性内容（算术性错误修正的除外）。供应商的书面澄清、说明和补正属于投标文件的组成部分。</w:t>
      </w:r>
    </w:p>
    <w:p>
      <w:pPr>
        <w:spacing w:line="520" w:lineRule="exact"/>
        <w:ind w:firstLine="480" w:firstLineChars="200"/>
        <w:rPr>
          <w:rFonts w:ascii="宋体" w:hAnsi="宋体" w:cs="宋体"/>
          <w:sz w:val="24"/>
          <w:szCs w:val="24"/>
        </w:rPr>
      </w:pPr>
      <w:r>
        <w:rPr>
          <w:rFonts w:hint="eastAsia" w:ascii="宋体" w:hAnsi="宋体" w:cs="宋体"/>
          <w:sz w:val="24"/>
          <w:szCs w:val="24"/>
        </w:rPr>
        <w:t>3.3.3 评标小组对供应商提交的澄清、说明或补正有疑问的，可以要求供应商进一步澄清、说明或补正，直至满足评标小组的要求。</w:t>
      </w:r>
    </w:p>
    <w:p>
      <w:pPr>
        <w:pStyle w:val="70"/>
        <w:keepNext w:val="0"/>
        <w:keepLines w:val="0"/>
        <w:spacing w:line="498" w:lineRule="exact"/>
        <w:jc w:val="left"/>
        <w:rPr>
          <w:rFonts w:ascii="宋体" w:hAnsi="Calibri"/>
          <w:b/>
          <w:szCs w:val="20"/>
        </w:rPr>
      </w:pPr>
      <w:bookmarkStart w:id="204" w:name="_Toc401512225"/>
      <w:bookmarkEnd w:id="204"/>
      <w:bookmarkStart w:id="205" w:name="_Toc423358133"/>
      <w:bookmarkEnd w:id="205"/>
      <w:bookmarkStart w:id="206" w:name="_Toc418608951"/>
      <w:bookmarkEnd w:id="206"/>
      <w:bookmarkStart w:id="207" w:name="_Toc466566801"/>
      <w:bookmarkEnd w:id="207"/>
      <w:bookmarkStart w:id="208" w:name="_Toc401926486"/>
      <w:bookmarkEnd w:id="208"/>
      <w:bookmarkStart w:id="209" w:name="_Toc421805018"/>
      <w:bookmarkEnd w:id="209"/>
      <w:bookmarkStart w:id="210" w:name="_Toc152042386"/>
      <w:bookmarkEnd w:id="210"/>
      <w:bookmarkStart w:id="211" w:name="_Toc389384088"/>
      <w:bookmarkEnd w:id="211"/>
      <w:bookmarkStart w:id="212" w:name="_Toc152045608"/>
      <w:bookmarkEnd w:id="212"/>
      <w:bookmarkStart w:id="213" w:name="_Toc179632626"/>
      <w:bookmarkEnd w:id="213"/>
      <w:bookmarkStart w:id="214" w:name="_Toc144974576"/>
      <w:bookmarkEnd w:id="214"/>
      <w:bookmarkStart w:id="215" w:name="_Toc466566712"/>
      <w:bookmarkEnd w:id="215"/>
      <w:bookmarkStart w:id="216" w:name="_Toc421698385"/>
      <w:bookmarkEnd w:id="216"/>
      <w:bookmarkStart w:id="217" w:name="_Toc418605430"/>
      <w:bookmarkEnd w:id="217"/>
      <w:bookmarkStart w:id="218" w:name="_Toc28251240"/>
      <w:bookmarkStart w:id="219" w:name="_Toc16690673"/>
      <w:bookmarkStart w:id="220" w:name="_Toc38013565"/>
      <w:bookmarkStart w:id="221" w:name="_Toc387498749"/>
      <w:r>
        <w:rPr>
          <w:rFonts w:hint="eastAsia" w:ascii="宋体" w:hAnsi="Calibri"/>
          <w:b/>
          <w:szCs w:val="20"/>
        </w:rPr>
        <w:t>3.4</w:t>
      </w:r>
      <w:r>
        <w:rPr>
          <w:rFonts w:hint="eastAsia" w:ascii="宋体" w:hAnsi="Calibri"/>
          <w:szCs w:val="20"/>
        </w:rPr>
        <w:t>供应商的总得分</w:t>
      </w:r>
      <w:bookmarkEnd w:id="218"/>
      <w:bookmarkEnd w:id="219"/>
      <w:bookmarkEnd w:id="220"/>
      <w:bookmarkEnd w:id="221"/>
    </w:p>
    <w:p>
      <w:pPr>
        <w:spacing w:line="520" w:lineRule="exact"/>
        <w:ind w:firstLine="480" w:firstLineChars="200"/>
        <w:rPr>
          <w:rFonts w:ascii="宋体" w:hAnsi="宋体" w:cs="宋体"/>
          <w:sz w:val="24"/>
          <w:szCs w:val="24"/>
        </w:rPr>
      </w:pPr>
      <w:r>
        <w:rPr>
          <w:rFonts w:hint="eastAsia" w:ascii="宋体" w:hAnsi="宋体" w:cs="宋体"/>
          <w:sz w:val="24"/>
          <w:szCs w:val="24"/>
        </w:rPr>
        <w:t>（1）评标小组完成对技术标、投标报价和商务标得分的汇总后，取平均值作为该供应商的最终得分。</w:t>
      </w:r>
    </w:p>
    <w:p>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pPr>
        <w:pStyle w:val="70"/>
        <w:keepNext w:val="0"/>
        <w:keepLines w:val="0"/>
        <w:spacing w:line="498" w:lineRule="exact"/>
        <w:jc w:val="left"/>
        <w:rPr>
          <w:rFonts w:ascii="宋体" w:hAnsi="Calibri"/>
          <w:b/>
          <w:szCs w:val="20"/>
        </w:rPr>
      </w:pPr>
      <w:bookmarkStart w:id="222" w:name="_Toc28251241"/>
      <w:bookmarkStart w:id="223" w:name="_Toc38013566"/>
      <w:bookmarkStart w:id="224" w:name="_Toc16690674"/>
      <w:r>
        <w:rPr>
          <w:rFonts w:hint="eastAsia" w:ascii="宋体" w:hAnsi="Calibri"/>
          <w:b/>
          <w:szCs w:val="20"/>
        </w:rPr>
        <w:t>3.5</w:t>
      </w:r>
      <w:r>
        <w:rPr>
          <w:rFonts w:hint="eastAsia" w:ascii="宋体" w:hAnsi="Calibri"/>
          <w:szCs w:val="20"/>
        </w:rPr>
        <w:t>评标结果</w:t>
      </w:r>
      <w:bookmarkEnd w:id="222"/>
      <w:bookmarkEnd w:id="223"/>
      <w:bookmarkEnd w:id="224"/>
    </w:p>
    <w:p>
      <w:pPr>
        <w:spacing w:line="520" w:lineRule="exact"/>
        <w:ind w:firstLine="480" w:firstLineChars="200"/>
        <w:rPr>
          <w:rFonts w:ascii="宋体" w:hAnsi="宋体" w:cs="宋体"/>
          <w:sz w:val="24"/>
          <w:szCs w:val="24"/>
        </w:rPr>
      </w:pPr>
      <w:r>
        <w:rPr>
          <w:rFonts w:hint="eastAsia" w:ascii="宋体" w:hAnsi="宋体" w:cs="宋体"/>
          <w:sz w:val="24"/>
          <w:szCs w:val="24"/>
        </w:rPr>
        <w:t>3.5.1评标小组按照得分由高到低的顺序推荐3名中标候选人。</w:t>
      </w:r>
    </w:p>
    <w:p>
      <w:pPr>
        <w:spacing w:line="520" w:lineRule="exact"/>
        <w:ind w:firstLine="480" w:firstLineChars="200"/>
        <w:rPr>
          <w:rFonts w:ascii="宋体" w:hAnsi="宋体" w:cs="宋体"/>
          <w:sz w:val="24"/>
          <w:szCs w:val="24"/>
        </w:rPr>
      </w:pPr>
      <w:r>
        <w:rPr>
          <w:rFonts w:hint="eastAsia" w:ascii="宋体" w:hAnsi="宋体" w:cs="宋体"/>
          <w:sz w:val="24"/>
          <w:szCs w:val="24"/>
        </w:rPr>
        <w:t>3.5.2评标小组完成评标后，应当向招标人提交书面评标报告。</w:t>
      </w:r>
    </w:p>
    <w:p>
      <w:pPr>
        <w:spacing w:line="480" w:lineRule="auto"/>
        <w:jc w:val="center"/>
        <w:rPr>
          <w:rFonts w:ascii="宋体" w:hAnsi="宋体" w:cs="宋体"/>
          <w:b/>
          <w:bCs/>
          <w:sz w:val="28"/>
          <w:szCs w:val="28"/>
        </w:rPr>
      </w:pPr>
      <w:bookmarkStart w:id="225" w:name="_Toc12961084"/>
      <w:bookmarkStart w:id="226" w:name="_Toc12959919"/>
    </w:p>
    <w:p>
      <w:pPr>
        <w:spacing w:line="480" w:lineRule="auto"/>
        <w:jc w:val="center"/>
        <w:rPr>
          <w:rFonts w:ascii="宋体" w:hAnsi="宋体"/>
          <w:b/>
          <w:sz w:val="28"/>
          <w:szCs w:val="28"/>
        </w:rPr>
      </w:pPr>
      <w:r>
        <w:rPr>
          <w:rFonts w:hint="eastAsia" w:ascii="宋体" w:hAnsi="宋体" w:cs="宋体"/>
          <w:b/>
          <w:bCs/>
          <w:sz w:val="28"/>
          <w:szCs w:val="28"/>
        </w:rPr>
        <w:t>初步评审表</w:t>
      </w:r>
      <w:bookmarkEnd w:id="225"/>
      <w:bookmarkEnd w:id="226"/>
    </w:p>
    <w:tbl>
      <w:tblPr>
        <w:tblStyle w:val="4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1728"/>
        <w:gridCol w:w="5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172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568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41"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2.1.1</w:t>
            </w:r>
          </w:p>
        </w:tc>
        <w:tc>
          <w:tcPr>
            <w:tcW w:w="745"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172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24"/>
                <w:szCs w:val="24"/>
              </w:rPr>
            </w:pPr>
            <w:r>
              <w:rPr>
                <w:rFonts w:hint="eastAsia" w:ascii="宋体" w:hAnsi="宋体" w:cs="宋体"/>
                <w:sz w:val="24"/>
                <w:szCs w:val="24"/>
              </w:rPr>
              <w:t>供应商名称</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与营业执照、组织机构代码证、税务登记证（或三证合一营业执照）一致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24"/>
                <w:szCs w:val="24"/>
              </w:rPr>
            </w:pPr>
            <w:r>
              <w:rPr>
                <w:rFonts w:hint="eastAsia" w:ascii="宋体" w:hAnsi="宋体" w:cs="宋体"/>
                <w:sz w:val="24"/>
              </w:rPr>
              <w:t>投标文件签字盖章</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olor w:val="000000" w:themeColor="text1"/>
                <w:sz w:val="24"/>
                <w:szCs w:val="24"/>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投标招标文件要求，符合“投标文件格式”的要求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24"/>
                <w:szCs w:val="24"/>
              </w:rPr>
            </w:pPr>
            <w:r>
              <w:rPr>
                <w:rFonts w:hint="eastAsia" w:ascii="宋体" w:hAnsi="宋体" w:cs="宋体"/>
                <w:sz w:val="24"/>
                <w:szCs w:val="24"/>
              </w:rPr>
              <w:t>报价唯一</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只能有一个有效投标报价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2.1.2</w:t>
            </w:r>
          </w:p>
        </w:tc>
        <w:tc>
          <w:tcPr>
            <w:tcW w:w="745" w:type="dxa"/>
            <w:vMerge w:val="restart"/>
            <w:tcBorders>
              <w:top w:val="nil"/>
              <w:left w:val="nil"/>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资格 评审</w:t>
            </w:r>
          </w:p>
          <w:p>
            <w:pPr>
              <w:spacing w:line="400" w:lineRule="exact"/>
              <w:jc w:val="center"/>
              <w:rPr>
                <w:rFonts w:ascii="宋体" w:hAnsi="宋体" w:cs="宋体"/>
                <w:sz w:val="24"/>
                <w:szCs w:val="24"/>
              </w:rPr>
            </w:pPr>
            <w:r>
              <w:rPr>
                <w:rFonts w:hint="eastAsia" w:ascii="宋体" w:hAnsi="宋体" w:cs="宋体"/>
                <w:sz w:val="24"/>
                <w:szCs w:val="24"/>
              </w:rPr>
              <w:t>标准</w:t>
            </w:r>
          </w:p>
        </w:tc>
        <w:tc>
          <w:tcPr>
            <w:tcW w:w="172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24"/>
                <w:szCs w:val="24"/>
              </w:rPr>
            </w:pPr>
            <w:r>
              <w:rPr>
                <w:rFonts w:hint="eastAsia" w:ascii="宋体" w:hAnsi="宋体" w:cs="宋体"/>
                <w:sz w:val="24"/>
                <w:szCs w:val="24"/>
              </w:rPr>
              <w:t>营业执照</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符合第二章“供应商须知”1.4.1项要求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41" w:type="dxa"/>
            <w:vMerge w:val="continue"/>
            <w:tcBorders>
              <w:left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24"/>
                <w:szCs w:val="24"/>
              </w:rPr>
            </w:pPr>
            <w:r>
              <w:rPr>
                <w:rFonts w:hint="eastAsia" w:ascii="宋体" w:hAnsi="宋体" w:cs="宋体"/>
                <w:sz w:val="24"/>
                <w:szCs w:val="24"/>
              </w:rPr>
              <w:t>信用查询</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符合第二章“供应商须知” 1.4.1项要求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4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left w:val="nil"/>
              <w:bottom w:val="single" w:color="auto" w:sz="4" w:space="0"/>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24"/>
                <w:szCs w:val="24"/>
              </w:rPr>
            </w:pPr>
            <w:r>
              <w:rPr>
                <w:rFonts w:hint="eastAsia" w:ascii="宋体" w:hAnsi="宋体"/>
                <w:color w:val="000000" w:themeColor="text1"/>
                <w:kern w:val="0"/>
                <w:sz w:val="24"/>
                <w:szCs w:val="24"/>
                <w14:textFill>
                  <w14:solidFill>
                    <w14:schemeClr w14:val="tx1"/>
                  </w14:solidFill>
                </w14:textFill>
              </w:rPr>
              <w:t>无商业贿赂和不正当竞争行为承诺书</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符合第二章“供应商须知”1.4.1项要求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1" w:type="dxa"/>
            <w:vMerge w:val="restart"/>
            <w:tcBorders>
              <w:top w:val="nil"/>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2.1.3</w:t>
            </w:r>
          </w:p>
        </w:tc>
        <w:tc>
          <w:tcPr>
            <w:tcW w:w="745"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w:t>
            </w:r>
          </w:p>
          <w:p>
            <w:pPr>
              <w:jc w:val="center"/>
              <w:rPr>
                <w:rFonts w:ascii="宋体" w:hAnsi="宋体" w:cs="宋体"/>
                <w:sz w:val="24"/>
                <w:szCs w:val="24"/>
              </w:rPr>
            </w:pPr>
            <w:r>
              <w:rPr>
                <w:rFonts w:hint="eastAsia" w:ascii="宋体" w:hAnsi="宋体" w:cs="宋体"/>
                <w:sz w:val="24"/>
                <w:szCs w:val="24"/>
              </w:rPr>
              <w:t>应</w:t>
            </w:r>
          </w:p>
          <w:p>
            <w:pPr>
              <w:jc w:val="center"/>
              <w:rPr>
                <w:rFonts w:ascii="宋体" w:hAnsi="宋体" w:cs="宋体"/>
                <w:sz w:val="24"/>
                <w:szCs w:val="24"/>
              </w:rPr>
            </w:pPr>
            <w:r>
              <w:rPr>
                <w:rFonts w:hint="eastAsia" w:ascii="宋体" w:hAnsi="宋体" w:cs="宋体"/>
                <w:sz w:val="24"/>
                <w:szCs w:val="24"/>
              </w:rPr>
              <w:t>性</w:t>
            </w:r>
          </w:p>
          <w:p>
            <w:pPr>
              <w:jc w:val="center"/>
              <w:rPr>
                <w:rFonts w:ascii="宋体" w:hAnsi="宋体" w:cs="宋体"/>
                <w:sz w:val="24"/>
                <w:szCs w:val="24"/>
              </w:rPr>
            </w:pPr>
            <w:r>
              <w:rPr>
                <w:rFonts w:hint="eastAsia" w:ascii="宋体" w:hAnsi="宋体" w:cs="宋体"/>
                <w:sz w:val="24"/>
                <w:szCs w:val="24"/>
              </w:rPr>
              <w:t>评</w:t>
            </w:r>
          </w:p>
          <w:p>
            <w:pPr>
              <w:jc w:val="center"/>
              <w:rPr>
                <w:rFonts w:ascii="宋体" w:hAnsi="宋体" w:cs="宋体"/>
                <w:sz w:val="24"/>
                <w:szCs w:val="24"/>
              </w:rPr>
            </w:pPr>
            <w:r>
              <w:rPr>
                <w:rFonts w:hint="eastAsia" w:ascii="宋体" w:hAnsi="宋体" w:cs="宋体"/>
                <w:sz w:val="24"/>
                <w:szCs w:val="24"/>
              </w:rPr>
              <w:t>审</w:t>
            </w:r>
          </w:p>
        </w:tc>
        <w:tc>
          <w:tcPr>
            <w:tcW w:w="1728"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投标内容</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sz w:val="24"/>
                <w:szCs w:val="24"/>
              </w:rPr>
              <w:t>与本项目招标范围一致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供货期</w:t>
            </w:r>
          </w:p>
        </w:tc>
        <w:tc>
          <w:tcPr>
            <w:tcW w:w="5684" w:type="dxa"/>
            <w:tcBorders>
              <w:top w:val="single" w:color="auto" w:sz="4" w:space="0"/>
              <w:left w:val="nil"/>
              <w:bottom w:val="single" w:color="auto" w:sz="4" w:space="0"/>
              <w:right w:val="single" w:color="auto" w:sz="4" w:space="0"/>
            </w:tcBorders>
            <w:vAlign w:val="center"/>
          </w:tcPr>
          <w:p>
            <w:pPr>
              <w:spacing w:line="440" w:lineRule="exact"/>
              <w:jc w:val="left"/>
              <w:rPr>
                <w:rFonts w:ascii="宋体" w:hAnsi="宋体"/>
                <w:sz w:val="24"/>
                <w:szCs w:val="24"/>
              </w:rPr>
            </w:pPr>
            <w:r>
              <w:rPr>
                <w:rFonts w:hint="eastAsia" w:ascii="宋体" w:hAnsi="宋体"/>
                <w:sz w:val="24"/>
                <w:szCs w:val="24"/>
              </w:rPr>
              <w:t>符合第二章“供应商须知”1.3.2项要求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质量要求</w:t>
            </w:r>
          </w:p>
        </w:tc>
        <w:tc>
          <w:tcPr>
            <w:tcW w:w="5684" w:type="dxa"/>
            <w:tcBorders>
              <w:top w:val="single" w:color="auto" w:sz="4" w:space="0"/>
              <w:left w:val="nil"/>
              <w:bottom w:val="single" w:color="auto" w:sz="4" w:space="0"/>
              <w:right w:val="single" w:color="auto" w:sz="4" w:space="0"/>
            </w:tcBorders>
            <w:vAlign w:val="center"/>
          </w:tcPr>
          <w:p>
            <w:pPr>
              <w:spacing w:line="440" w:lineRule="exact"/>
              <w:jc w:val="left"/>
              <w:rPr>
                <w:rFonts w:ascii="宋体" w:hAnsi="宋体"/>
                <w:sz w:val="24"/>
                <w:szCs w:val="24"/>
              </w:rPr>
            </w:pPr>
            <w:r>
              <w:rPr>
                <w:rFonts w:hint="eastAsia" w:ascii="宋体" w:hAnsi="宋体"/>
                <w:sz w:val="24"/>
                <w:szCs w:val="24"/>
              </w:rPr>
              <w:t>符合第二章“供应商须知”1.3.3项要求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投标有效期</w:t>
            </w:r>
          </w:p>
        </w:tc>
        <w:tc>
          <w:tcPr>
            <w:tcW w:w="5684" w:type="dxa"/>
            <w:tcBorders>
              <w:top w:val="single" w:color="auto" w:sz="4" w:space="0"/>
              <w:left w:val="nil"/>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sz w:val="24"/>
                <w:szCs w:val="24"/>
              </w:rPr>
              <w:t>自投标文件递交截止之日起60日历天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4"/>
                <w:szCs w:val="24"/>
              </w:rPr>
            </w:pPr>
          </w:p>
        </w:tc>
        <w:tc>
          <w:tcPr>
            <w:tcW w:w="1728" w:type="dxa"/>
            <w:tcBorders>
              <w:top w:val="single" w:color="auto" w:sz="4" w:space="0"/>
              <w:left w:val="nil"/>
              <w:bottom w:val="single" w:color="auto" w:sz="4" w:space="0"/>
              <w:right w:val="single" w:color="auto" w:sz="4" w:space="0"/>
            </w:tcBorders>
            <w:vAlign w:val="center"/>
          </w:tcPr>
          <w:p>
            <w:pPr>
              <w:pStyle w:val="25"/>
              <w:spacing w:line="360" w:lineRule="auto"/>
              <w:jc w:val="center"/>
              <w:rPr>
                <w:rFonts w:hAnsi="宋体" w:cs="宋体"/>
                <w:sz w:val="24"/>
                <w:szCs w:val="24"/>
              </w:rPr>
            </w:pPr>
            <w:r>
              <w:rPr>
                <w:rFonts w:hint="eastAsia" w:hAnsi="宋体" w:cs="宋体"/>
                <w:sz w:val="24"/>
                <w:szCs w:val="24"/>
              </w:rPr>
              <w:t>投标报价</w:t>
            </w:r>
          </w:p>
        </w:tc>
        <w:tc>
          <w:tcPr>
            <w:tcW w:w="5684" w:type="dxa"/>
            <w:tcBorders>
              <w:top w:val="single" w:color="auto" w:sz="4" w:space="0"/>
              <w:left w:val="nil"/>
              <w:bottom w:val="single" w:color="auto" w:sz="4" w:space="0"/>
              <w:right w:val="single" w:color="auto" w:sz="4" w:space="0"/>
            </w:tcBorders>
            <w:vAlign w:val="center"/>
          </w:tcPr>
          <w:p>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pPr>
        <w:spacing w:line="320" w:lineRule="exact"/>
        <w:rPr>
          <w:rFonts w:ascii="宋体" w:hAnsi="宋体" w:cs="宋体"/>
          <w:b/>
          <w:bCs/>
          <w:kern w:val="0"/>
          <w:sz w:val="24"/>
          <w:szCs w:val="24"/>
        </w:rPr>
      </w:pPr>
      <w:bookmarkStart w:id="227" w:name="_Toc12961085"/>
      <w:bookmarkStart w:id="228" w:name="_Toc12959920"/>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以上评审相关原件以投标文件中上传资料为准。开标结束后由招标人</w:t>
      </w:r>
      <w:r>
        <w:rPr>
          <w:rFonts w:hint="eastAsia" w:hAnsi="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对投标文件中所附资格资料进行核查；投标人未按要求上传资料的或上传的资料不符合招标文件要求的均视为资格审查不通过，资格审查不通过的投标人按无效投标处理，不再进行下一步的评标。</w:t>
      </w:r>
    </w:p>
    <w:p>
      <w:pPr>
        <w:spacing w:line="480" w:lineRule="auto"/>
        <w:jc w:val="center"/>
        <w:rPr>
          <w:rFonts w:ascii="宋体" w:hAnsi="宋体" w:cs="宋体"/>
          <w:b/>
          <w:bCs/>
          <w:color w:val="000000" w:themeColor="text1"/>
          <w:sz w:val="28"/>
          <w:szCs w:val="28"/>
          <w14:textFill>
            <w14:solidFill>
              <w14:schemeClr w14:val="tx1"/>
            </w14:solidFill>
          </w14:textFill>
        </w:rPr>
      </w:pPr>
    </w:p>
    <w:p>
      <w:pPr>
        <w:spacing w:line="480" w:lineRule="auto"/>
        <w:jc w:val="both"/>
        <w:rPr>
          <w:rFonts w:ascii="宋体" w:hAnsi="宋体" w:cs="宋体"/>
          <w:b/>
          <w:bCs/>
          <w:color w:val="000000" w:themeColor="text1"/>
          <w:sz w:val="28"/>
          <w:szCs w:val="28"/>
          <w14:textFill>
            <w14:solidFill>
              <w14:schemeClr w14:val="tx1"/>
            </w14:solidFill>
          </w14:textFill>
        </w:rPr>
      </w:pPr>
    </w:p>
    <w:p>
      <w:pPr>
        <w:spacing w:line="48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详细评审表</w:t>
      </w:r>
      <w:bookmarkEnd w:id="227"/>
      <w:bookmarkEnd w:id="228"/>
    </w:p>
    <w:tbl>
      <w:tblPr>
        <w:tblStyle w:val="47"/>
        <w:tblW w:w="9180" w:type="dxa"/>
        <w:tblInd w:w="0" w:type="dxa"/>
        <w:tblLayout w:type="fixed"/>
        <w:tblCellMar>
          <w:top w:w="0" w:type="dxa"/>
          <w:left w:w="108" w:type="dxa"/>
          <w:bottom w:w="0" w:type="dxa"/>
          <w:right w:w="108" w:type="dxa"/>
        </w:tblCellMar>
      </w:tblPr>
      <w:tblGrid>
        <w:gridCol w:w="936"/>
        <w:gridCol w:w="1313"/>
        <w:gridCol w:w="237"/>
        <w:gridCol w:w="6694"/>
      </w:tblGrid>
      <w:tr>
        <w:trPr>
          <w:trHeight w:val="570" w:hRule="atLeast"/>
        </w:trPr>
        <w:tc>
          <w:tcPr>
            <w:tcW w:w="9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15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66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tblPrEx>
          <w:tblCellMar>
            <w:top w:w="0" w:type="dxa"/>
            <w:left w:w="108" w:type="dxa"/>
            <w:bottom w:w="0" w:type="dxa"/>
            <w:right w:w="108" w:type="dxa"/>
          </w:tblCellMar>
        </w:tblPrEx>
        <w:trPr>
          <w:trHeight w:val="1545" w:hRule="atLeast"/>
        </w:trPr>
        <w:tc>
          <w:tcPr>
            <w:tcW w:w="9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155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投标报价</w:t>
            </w:r>
          </w:p>
          <w:p>
            <w:pPr>
              <w:widowControl/>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6694" w:type="dxa"/>
            <w:tcBorders>
              <w:top w:val="nil"/>
              <w:left w:val="nil"/>
              <w:bottom w:val="single" w:color="auto" w:sz="4" w:space="0"/>
              <w:right w:val="single" w:color="auto" w:sz="4" w:space="0"/>
            </w:tcBorders>
            <w:vAlign w:val="center"/>
          </w:tcPr>
          <w:p>
            <w:pPr>
              <w:spacing w:line="276"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本项目根据投标</w:t>
            </w:r>
            <w:r>
              <w:rPr>
                <w:rFonts w:hint="eastAsia" w:cs="Times New Roman"/>
                <w:sz w:val="24"/>
                <w:szCs w:val="24"/>
                <w:lang w:val="en-US" w:eastAsia="zh-CN"/>
              </w:rPr>
              <w:t>报价</w:t>
            </w:r>
            <w:r>
              <w:rPr>
                <w:rFonts w:hint="eastAsia" w:ascii="Times New Roman" w:hAnsi="Times New Roman" w:eastAsia="宋体" w:cs="Times New Roman"/>
                <w:sz w:val="24"/>
                <w:szCs w:val="24"/>
                <w:lang w:val="en-US" w:eastAsia="zh-CN"/>
              </w:rPr>
              <w:t>进行打分，价格分按以下方法计算：</w:t>
            </w:r>
          </w:p>
          <w:p>
            <w:pPr>
              <w:spacing w:line="276"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当投标报价等于评标基准价时，获得基础分30分；当投标报价高于评标基准价时，投标报价得分=30-（投标报价-评标基准价）/评标基准价×100%×</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w:t>
            </w:r>
          </w:p>
          <w:p>
            <w:pPr>
              <w:spacing w:line="276"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当投标报价低于评标基准价时，投标报价得分= 30-（评标基准价-投标报价）/评标基准价×100%×</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，（计算结果按四舍五入，保留两位小数。）。</w:t>
            </w:r>
          </w:p>
          <w:p>
            <w:pPr>
              <w:spacing w:line="276"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注：1、评标基准价计算方法如下：</w:t>
            </w:r>
          </w:p>
          <w:p>
            <w:pPr>
              <w:spacing w:line="276"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（1）评标基准价=招标控制价×50%+A×50%</w:t>
            </w:r>
          </w:p>
          <w:p>
            <w:pPr>
              <w:spacing w:line="276"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注：A为投标单位的有效报价的算术平均值。投标单位的投标报价在控制价的95%（含95%）-100%（含100%）之内的为有效投标报价参与评标基准价计算，当有效投标少于五家时（不含五家），则以所有有效投标报价的算术平均值作为投标报价，当有效投标多于五家时（含五家），投标报价为各投标人有效投标报价去掉一个最高和一个最低报价后的算术平均值；</w:t>
            </w:r>
          </w:p>
          <w:p>
            <w:pPr>
              <w:spacing w:line="276" w:lineRule="auto"/>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（2）如果所有投标报价均不在控制价的95%（含95%）-100%（含100%）之内，评标基准价=招标控制价×50%+招标控制价×95%×50%；</w:t>
            </w:r>
          </w:p>
          <w:p>
            <w:pPr>
              <w:spacing w:line="276" w:lineRule="auto"/>
              <w:jc w:val="left"/>
              <w:rPr>
                <w:sz w:val="18"/>
                <w:szCs w:val="18"/>
              </w:rPr>
            </w:pPr>
            <w:r>
              <w:rPr>
                <w:rFonts w:hint="eastAsia" w:ascii="Times New Roman" w:hAnsi="Times New Roman" w:eastAsia="宋体" w:cs="Times New Roman"/>
                <w:sz w:val="24"/>
                <w:szCs w:val="24"/>
                <w:lang w:val="en-US" w:eastAsia="zh-CN"/>
              </w:rPr>
              <w:t>2、对小微型企业、监狱企业、残疾人福利性单位的投标报价给予20%的扣除，用扣除后的价格参与</w:t>
            </w:r>
            <w:r>
              <w:rPr>
                <w:rFonts w:hint="eastAsia"/>
                <w:sz w:val="24"/>
                <w:szCs w:val="24"/>
                <w:lang w:val="en-US" w:eastAsia="zh-CN"/>
              </w:rPr>
              <w:t>评审。参加本项目的中小企业应当提供《中小企业声明函》（格式详见《政府采购促进中小企业发展管理办法》。没有提供《中小企业声明函》的投标人将被视为不接受评标报价的扣除，用原投标报价参与评审，</w:t>
            </w:r>
            <w:r>
              <w:rPr>
                <w:rFonts w:hint="eastAsia" w:ascii="Times New Roman" w:hAnsi="Times New Roman" w:eastAsia="宋体" w:cs="Times New Roman"/>
                <w:sz w:val="24"/>
                <w:szCs w:val="24"/>
                <w:lang w:val="en-US" w:eastAsia="zh-CN"/>
              </w:rPr>
              <w:t>以上价格扣除政策只享受一次，不得重复享受。</w:t>
            </w:r>
          </w:p>
        </w:tc>
      </w:tr>
      <w:tr>
        <w:tblPrEx>
          <w:tblCellMar>
            <w:top w:w="0" w:type="dxa"/>
            <w:left w:w="108" w:type="dxa"/>
            <w:bottom w:w="0" w:type="dxa"/>
            <w:right w:w="108" w:type="dxa"/>
          </w:tblCellMar>
        </w:tblPrEx>
        <w:trPr>
          <w:trHeight w:val="1174" w:hRule="atLeast"/>
        </w:trPr>
        <w:tc>
          <w:tcPr>
            <w:tcW w:w="936" w:type="dxa"/>
            <w:vMerge w:val="restart"/>
            <w:tcBorders>
              <w:top w:val="nil"/>
              <w:left w:val="single" w:color="auto" w:sz="4" w:space="0"/>
              <w:right w:val="single" w:color="auto" w:sz="4" w:space="0"/>
            </w:tcBorders>
            <w:vAlign w:val="center"/>
          </w:tcPr>
          <w:p>
            <w:pPr>
              <w:pStyle w:val="43"/>
              <w:spacing w:line="280" w:lineRule="exact"/>
              <w:jc w:val="center"/>
              <w:rPr>
                <w:color w:val="000000"/>
                <w:sz w:val="24"/>
                <w:szCs w:val="24"/>
              </w:rPr>
            </w:pPr>
            <w:r>
              <w:rPr>
                <w:rFonts w:hint="eastAsia"/>
                <w:color w:val="000000"/>
                <w:sz w:val="24"/>
                <w:szCs w:val="24"/>
              </w:rPr>
              <w:t>2、技术标评审（</w:t>
            </w:r>
            <w:r>
              <w:rPr>
                <w:rFonts w:hint="eastAsia"/>
                <w:color w:val="000000"/>
                <w:sz w:val="24"/>
                <w:szCs w:val="24"/>
                <w:lang w:val="en-US" w:eastAsia="zh-CN"/>
              </w:rPr>
              <w:t>50</w:t>
            </w:r>
            <w:r>
              <w:rPr>
                <w:rFonts w:hint="eastAsia"/>
                <w:color w:val="000000"/>
                <w:sz w:val="24"/>
                <w:szCs w:val="24"/>
              </w:rPr>
              <w:t xml:space="preserve">分） </w:t>
            </w:r>
          </w:p>
          <w:p>
            <w:pPr>
              <w:pStyle w:val="43"/>
              <w:spacing w:line="280" w:lineRule="exact"/>
              <w:jc w:val="center"/>
              <w:rPr>
                <w:color w:val="000000"/>
                <w:sz w:val="24"/>
              </w:rPr>
            </w:pPr>
          </w:p>
          <w:p>
            <w:pPr>
              <w:pStyle w:val="43"/>
              <w:spacing w:line="280" w:lineRule="exact"/>
              <w:jc w:val="center"/>
              <w:rPr>
                <w:color w:val="000000"/>
                <w:sz w:val="24"/>
                <w:szCs w:val="24"/>
              </w:rPr>
            </w:pPr>
          </w:p>
        </w:tc>
        <w:tc>
          <w:tcPr>
            <w:tcW w:w="155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kern w:val="0"/>
                <w:sz w:val="24"/>
                <w:szCs w:val="24"/>
                <w:shd w:val="clear" w:color="auto" w:fill="FFFFFF"/>
              </w:rPr>
              <w:t>技术参数（3</w:t>
            </w:r>
            <w:r>
              <w:rPr>
                <w:rFonts w:hint="eastAsia" w:ascii="宋体" w:hAnsi="宋体"/>
                <w:kern w:val="0"/>
                <w:sz w:val="24"/>
                <w:szCs w:val="24"/>
                <w:shd w:val="clear" w:color="auto" w:fill="FFFFFF"/>
                <w:lang w:val="en-US" w:eastAsia="zh-CN"/>
              </w:rPr>
              <w:t>0</w:t>
            </w:r>
            <w:r>
              <w:rPr>
                <w:rFonts w:hint="eastAsia" w:ascii="宋体" w:hAnsi="宋体"/>
                <w:kern w:val="0"/>
                <w:sz w:val="24"/>
                <w:szCs w:val="24"/>
                <w:shd w:val="clear" w:color="auto" w:fill="FFFFFF"/>
              </w:rPr>
              <w:t>分）</w:t>
            </w:r>
          </w:p>
        </w:tc>
        <w:tc>
          <w:tcPr>
            <w:tcW w:w="6694" w:type="dxa"/>
            <w:tcBorders>
              <w:top w:val="nil"/>
              <w:left w:val="nil"/>
              <w:bottom w:val="single" w:color="auto" w:sz="4" w:space="0"/>
              <w:right w:val="single" w:color="auto" w:sz="4" w:space="0"/>
            </w:tcBorders>
            <w:vAlign w:val="center"/>
          </w:tcPr>
          <w:p>
            <w:pPr>
              <w:shd w:val="solid" w:color="FFFFFF" w:fill="auto"/>
              <w:autoSpaceDN w:val="0"/>
              <w:spacing w:line="360" w:lineRule="exact"/>
              <w:rPr>
                <w:rFonts w:ascii="宋体" w:hAnsi="宋体"/>
                <w:kern w:val="0"/>
                <w:sz w:val="24"/>
                <w:szCs w:val="24"/>
                <w:shd w:val="clear" w:color="auto" w:fill="FFFFFF"/>
              </w:rPr>
            </w:pPr>
            <w:r>
              <w:rPr>
                <w:rFonts w:hint="eastAsia" w:ascii="宋体" w:hAnsi="宋体"/>
                <w:kern w:val="0"/>
                <w:sz w:val="24"/>
                <w:szCs w:val="24"/>
                <w:shd w:val="clear" w:color="auto" w:fill="FFFFFF"/>
                <w:lang w:val="en-US" w:eastAsia="zh-CN"/>
              </w:rPr>
              <w:t>所投产品各项技术指标要求均完全满足招标文件要求的得30分。每有一项加“</w:t>
            </w:r>
            <w:r>
              <w:rPr>
                <w:rFonts w:ascii="宋体" w:hAnsi="宋体" w:eastAsia="宋体" w:cs="宋体"/>
                <w:color w:val="000000"/>
                <w:spacing w:val="0"/>
                <w:position w:val="0"/>
                <w:sz w:val="24"/>
                <w:shd w:val="clear" w:fill="auto"/>
              </w:rPr>
              <w:t>▲</w:t>
            </w:r>
            <w:r>
              <w:rPr>
                <w:rFonts w:hint="eastAsia" w:ascii="宋体" w:hAnsi="宋体"/>
                <w:kern w:val="0"/>
                <w:sz w:val="24"/>
                <w:szCs w:val="24"/>
                <w:shd w:val="clear" w:color="auto" w:fill="FFFFFF"/>
                <w:lang w:val="en-US" w:eastAsia="zh-CN"/>
              </w:rPr>
              <w:t>”项重要条款不满足扣3分，其他条款一项不满足扣1分，扣完为止。</w:t>
            </w:r>
          </w:p>
        </w:tc>
      </w:tr>
      <w:tr>
        <w:tblPrEx>
          <w:tblCellMar>
            <w:top w:w="0" w:type="dxa"/>
            <w:left w:w="108" w:type="dxa"/>
            <w:bottom w:w="0" w:type="dxa"/>
            <w:right w:w="108" w:type="dxa"/>
          </w:tblCellMar>
        </w:tblPrEx>
        <w:trPr>
          <w:trHeight w:val="2725" w:hRule="atLeast"/>
        </w:trPr>
        <w:tc>
          <w:tcPr>
            <w:tcW w:w="936" w:type="dxa"/>
            <w:vMerge w:val="continue"/>
            <w:tcBorders>
              <w:left w:val="single" w:color="auto" w:sz="4" w:space="0"/>
              <w:right w:val="single" w:color="auto" w:sz="4" w:space="0"/>
            </w:tcBorders>
            <w:vAlign w:val="center"/>
          </w:tcPr>
          <w:p>
            <w:pPr>
              <w:pStyle w:val="43"/>
              <w:spacing w:line="280" w:lineRule="exact"/>
              <w:jc w:val="center"/>
              <w:rPr>
                <w:color w:val="000000"/>
                <w:sz w:val="24"/>
              </w:rPr>
            </w:pPr>
          </w:p>
        </w:tc>
        <w:tc>
          <w:tcPr>
            <w:tcW w:w="1550"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kern w:val="0"/>
                <w:sz w:val="24"/>
                <w:shd w:val="clear" w:color="auto" w:fill="FFFFFF"/>
                <w:lang w:val="en-US" w:eastAsia="zh-CN"/>
              </w:rPr>
            </w:pPr>
            <w:r>
              <w:rPr>
                <w:rFonts w:hint="eastAsia" w:ascii="宋体" w:hAnsi="宋体"/>
                <w:kern w:val="0"/>
                <w:sz w:val="24"/>
                <w:shd w:val="clear" w:color="auto" w:fill="FFFFFF"/>
                <w:lang w:val="en-US" w:eastAsia="zh-CN"/>
              </w:rPr>
              <w:t>项目实施方案</w:t>
            </w:r>
          </w:p>
          <w:p>
            <w:pPr>
              <w:spacing w:line="280" w:lineRule="exact"/>
              <w:jc w:val="center"/>
              <w:rPr>
                <w:color w:val="000000"/>
                <w:sz w:val="24"/>
                <w:szCs w:val="24"/>
              </w:rPr>
            </w:pPr>
            <w:r>
              <w:rPr>
                <w:rFonts w:hint="eastAsia" w:ascii="宋体" w:hAnsi="宋体"/>
                <w:kern w:val="0"/>
                <w:sz w:val="24"/>
                <w:shd w:val="clear" w:color="auto" w:fill="FFFFFF"/>
              </w:rPr>
              <w:t>（</w:t>
            </w:r>
            <w:r>
              <w:rPr>
                <w:rFonts w:hint="eastAsia" w:ascii="宋体" w:hAnsi="宋体"/>
                <w:kern w:val="0"/>
                <w:sz w:val="24"/>
                <w:shd w:val="clear" w:color="auto" w:fill="FFFFFF"/>
                <w:lang w:val="en-US" w:eastAsia="zh-CN"/>
              </w:rPr>
              <w:t>2</w:t>
            </w:r>
            <w:r>
              <w:rPr>
                <w:rFonts w:hint="eastAsia" w:ascii="宋体" w:hAnsi="宋体"/>
                <w:kern w:val="0"/>
                <w:sz w:val="24"/>
                <w:shd w:val="clear" w:color="auto" w:fill="FFFFFF"/>
              </w:rPr>
              <w:t>0分）</w:t>
            </w:r>
          </w:p>
        </w:tc>
        <w:tc>
          <w:tcPr>
            <w:tcW w:w="6694" w:type="dxa"/>
            <w:tcBorders>
              <w:top w:val="nil"/>
              <w:left w:val="nil"/>
              <w:bottom w:val="single" w:color="auto" w:sz="4" w:space="0"/>
              <w:right w:val="single" w:color="auto" w:sz="4" w:space="0"/>
            </w:tcBorders>
            <w:vAlign w:val="center"/>
          </w:tcPr>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lang w:val="en-US" w:eastAsia="zh-CN"/>
              </w:rPr>
              <w:t>1、</w:t>
            </w:r>
            <w:r>
              <w:rPr>
                <w:rFonts w:hint="eastAsia" w:ascii="宋体" w:hAnsi="宋体"/>
                <w:kern w:val="0"/>
                <w:sz w:val="24"/>
                <w:szCs w:val="24"/>
                <w:shd w:val="clear" w:color="auto" w:fill="FFFFFF"/>
              </w:rPr>
              <w:t>提供本项目的安装调试方案（方案至少包含安装方案、调试方案等）。</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（1）安装调试方案针对性强、安排合理，可操作性强得</w:t>
            </w:r>
            <w:r>
              <w:rPr>
                <w:rFonts w:hint="eastAsia" w:ascii="宋体" w:hAnsi="宋体"/>
                <w:kern w:val="0"/>
                <w:sz w:val="24"/>
                <w:szCs w:val="24"/>
                <w:shd w:val="clear" w:color="auto" w:fill="FFFFFF"/>
                <w:lang w:val="en-US" w:eastAsia="zh-CN"/>
              </w:rPr>
              <w:t>4</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（2）安装调试案针对性一般、安排基本合理，可操作性一般得</w:t>
            </w:r>
            <w:r>
              <w:rPr>
                <w:rFonts w:hint="eastAsia" w:ascii="宋体" w:hAnsi="宋体"/>
                <w:kern w:val="0"/>
                <w:sz w:val="24"/>
                <w:szCs w:val="24"/>
                <w:shd w:val="clear" w:color="auto" w:fill="FFFFFF"/>
                <w:lang w:val="en-US" w:eastAsia="zh-CN"/>
              </w:rPr>
              <w:t>2</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（3）安装调试方案针对性差或方案完全不合理、不可行或缺项得0分。</w:t>
            </w:r>
          </w:p>
          <w:p>
            <w:pPr>
              <w:spacing w:line="280" w:lineRule="exact"/>
              <w:rPr>
                <w:rFonts w:ascii="宋体" w:hAnsi="宋体"/>
                <w:kern w:val="0"/>
                <w:sz w:val="24"/>
                <w:szCs w:val="24"/>
                <w:shd w:val="clear" w:color="auto" w:fill="FFFFFF"/>
              </w:rPr>
            </w:pPr>
            <w:r>
              <w:rPr>
                <w:rFonts w:hint="eastAsia" w:ascii="宋体" w:hAnsi="宋体"/>
                <w:kern w:val="0"/>
                <w:sz w:val="24"/>
                <w:szCs w:val="24"/>
                <w:shd w:val="clear" w:color="auto" w:fill="FFFFFF"/>
                <w:lang w:val="en-US" w:eastAsia="zh-CN"/>
              </w:rPr>
              <w:t>2、</w:t>
            </w:r>
            <w:r>
              <w:rPr>
                <w:rFonts w:hint="eastAsia" w:ascii="宋体" w:hAnsi="宋体"/>
                <w:kern w:val="0"/>
                <w:sz w:val="24"/>
                <w:szCs w:val="24"/>
                <w:shd w:val="clear" w:color="auto" w:fill="FFFFFF"/>
              </w:rPr>
              <w:t>提供本项目的质量保证措施（措施至少包含质量控制措施、质量保证措施）。</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（1）质量保证措施方案针对性强、安排合理，可操作性强得</w:t>
            </w:r>
            <w:r>
              <w:rPr>
                <w:rFonts w:hint="eastAsia" w:ascii="宋体" w:hAnsi="宋体"/>
                <w:kern w:val="0"/>
                <w:sz w:val="24"/>
                <w:szCs w:val="24"/>
                <w:shd w:val="clear" w:color="auto" w:fill="FFFFFF"/>
                <w:lang w:val="en-US" w:eastAsia="zh-CN"/>
              </w:rPr>
              <w:t>4</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（2）质量保证措施案针对性一般、安排基本合理，可操作性一般得</w:t>
            </w:r>
            <w:r>
              <w:rPr>
                <w:rFonts w:hint="eastAsia" w:ascii="宋体" w:hAnsi="宋体"/>
                <w:kern w:val="0"/>
                <w:sz w:val="24"/>
                <w:szCs w:val="24"/>
                <w:shd w:val="clear" w:color="auto" w:fill="FFFFFF"/>
                <w:lang w:val="en-US" w:eastAsia="zh-CN"/>
              </w:rPr>
              <w:t>2</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lang w:val="en-US" w:eastAsia="zh-CN"/>
              </w:rPr>
            </w:pPr>
            <w:r>
              <w:rPr>
                <w:rFonts w:hint="eastAsia" w:ascii="宋体" w:hAnsi="宋体"/>
                <w:kern w:val="0"/>
                <w:sz w:val="24"/>
                <w:szCs w:val="24"/>
                <w:shd w:val="clear" w:color="auto" w:fill="FFFFFF"/>
              </w:rPr>
              <w:t>（3）质量保证措施方案针对性差或方案完全不合理、不可行或缺项得0分。</w:t>
            </w:r>
          </w:p>
          <w:p>
            <w:pPr>
              <w:spacing w:line="280" w:lineRule="exact"/>
              <w:rPr>
                <w:rFonts w:ascii="宋体" w:hAnsi="宋体"/>
                <w:kern w:val="0"/>
                <w:sz w:val="24"/>
                <w:szCs w:val="24"/>
                <w:shd w:val="clear" w:color="auto" w:fill="FFFFFF"/>
              </w:rPr>
            </w:pPr>
            <w:r>
              <w:rPr>
                <w:rFonts w:hint="eastAsia" w:ascii="宋体" w:hAnsi="宋体"/>
                <w:kern w:val="0"/>
                <w:sz w:val="24"/>
                <w:szCs w:val="24"/>
                <w:shd w:val="clear" w:color="auto" w:fill="FFFFFF"/>
                <w:lang w:val="en-US" w:eastAsia="zh-CN"/>
              </w:rPr>
              <w:t>3、</w:t>
            </w:r>
            <w:r>
              <w:rPr>
                <w:rFonts w:hint="eastAsia" w:ascii="宋体" w:hAnsi="宋体"/>
                <w:kern w:val="0"/>
                <w:sz w:val="24"/>
                <w:szCs w:val="24"/>
                <w:shd w:val="clear" w:color="auto" w:fill="FFFFFF"/>
              </w:rPr>
              <w:t>提供本项目的培训计划方案（方案至少包含培训计划、培训内容和范围、培训时长、培训人次等）。</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（1）培训计划方案针对性强、安排合理，可操作性强得</w:t>
            </w:r>
            <w:r>
              <w:rPr>
                <w:rFonts w:hint="eastAsia" w:ascii="宋体" w:hAnsi="宋体"/>
                <w:kern w:val="0"/>
                <w:sz w:val="24"/>
                <w:szCs w:val="24"/>
                <w:shd w:val="clear" w:color="auto" w:fill="FFFFFF"/>
                <w:lang w:val="en-US" w:eastAsia="zh-CN"/>
              </w:rPr>
              <w:t>4</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（2）培训计划案针对性一般、安排基本合理，可操作性一般得</w:t>
            </w:r>
            <w:r>
              <w:rPr>
                <w:rFonts w:hint="eastAsia" w:ascii="宋体" w:hAnsi="宋体"/>
                <w:kern w:val="0"/>
                <w:sz w:val="24"/>
                <w:szCs w:val="24"/>
                <w:shd w:val="clear" w:color="auto" w:fill="FFFFFF"/>
                <w:lang w:val="en-US" w:eastAsia="zh-CN"/>
              </w:rPr>
              <w:t>2</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lang w:val="en-US" w:eastAsia="zh-CN"/>
              </w:rPr>
            </w:pPr>
            <w:r>
              <w:rPr>
                <w:rFonts w:hint="eastAsia" w:ascii="宋体" w:hAnsi="宋体"/>
                <w:kern w:val="0"/>
                <w:sz w:val="24"/>
                <w:szCs w:val="24"/>
                <w:shd w:val="clear" w:color="auto" w:fill="FFFFFF"/>
              </w:rPr>
              <w:t>（3）培训计划</w:t>
            </w:r>
            <w:r>
              <w:rPr>
                <w:rFonts w:hint="eastAsia" w:ascii="宋体" w:hAnsi="宋体"/>
                <w:kern w:val="0"/>
                <w:sz w:val="24"/>
                <w:szCs w:val="24"/>
                <w:shd w:val="clear" w:color="auto" w:fill="FFFFFF"/>
                <w:lang w:val="en-US" w:eastAsia="zh-CN"/>
              </w:rPr>
              <w:t>务</w:t>
            </w:r>
            <w:r>
              <w:rPr>
                <w:rFonts w:hint="eastAsia" w:ascii="宋体" w:hAnsi="宋体"/>
                <w:kern w:val="0"/>
                <w:sz w:val="24"/>
                <w:szCs w:val="24"/>
                <w:shd w:val="clear" w:color="auto" w:fill="FFFFFF"/>
              </w:rPr>
              <w:t>方案针对性差或方案完全不合理、不可行或缺项得0分。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lang w:val="en-US" w:eastAsia="zh-CN"/>
              </w:rPr>
              <w:t>4、</w:t>
            </w:r>
            <w:r>
              <w:rPr>
                <w:rFonts w:hint="eastAsia" w:ascii="宋体" w:hAnsi="宋体"/>
                <w:kern w:val="0"/>
                <w:sz w:val="24"/>
                <w:szCs w:val="24"/>
                <w:shd w:val="clear" w:color="auto" w:fill="FFFFFF"/>
              </w:rPr>
              <w:t>提供本项目的运维方案（方案至少包含实施管理、运维人员配置、应急响应、应急措施等）。</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（1）运维方案针对性强、安排合理，可操作性强得</w:t>
            </w:r>
            <w:r>
              <w:rPr>
                <w:rFonts w:hint="eastAsia" w:ascii="宋体" w:hAnsi="宋体"/>
                <w:kern w:val="0"/>
                <w:sz w:val="24"/>
                <w:szCs w:val="24"/>
                <w:shd w:val="clear" w:color="auto" w:fill="FFFFFF"/>
                <w:lang w:val="en-US" w:eastAsia="zh-CN"/>
              </w:rPr>
              <w:t>4</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（2）运维</w:t>
            </w:r>
            <w:r>
              <w:rPr>
                <w:rFonts w:hint="eastAsia" w:ascii="宋体" w:hAnsi="宋体"/>
                <w:kern w:val="0"/>
                <w:sz w:val="24"/>
                <w:szCs w:val="24"/>
                <w:shd w:val="clear" w:color="auto" w:fill="FFFFFF"/>
                <w:lang w:val="en-US" w:eastAsia="zh-CN"/>
              </w:rPr>
              <w:t>方</w:t>
            </w:r>
            <w:r>
              <w:rPr>
                <w:rFonts w:hint="eastAsia" w:ascii="宋体" w:hAnsi="宋体"/>
                <w:kern w:val="0"/>
                <w:sz w:val="24"/>
                <w:szCs w:val="24"/>
                <w:shd w:val="clear" w:color="auto" w:fill="FFFFFF"/>
              </w:rPr>
              <w:t>案针对性一般、安排基本合理，可操作性一般得</w:t>
            </w:r>
            <w:r>
              <w:rPr>
                <w:rFonts w:hint="eastAsia" w:ascii="宋体" w:hAnsi="宋体"/>
                <w:kern w:val="0"/>
                <w:sz w:val="24"/>
                <w:szCs w:val="24"/>
                <w:shd w:val="clear" w:color="auto" w:fill="FFFFFF"/>
                <w:lang w:val="en-US" w:eastAsia="zh-CN"/>
              </w:rPr>
              <w:t>2</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（3）运维方案针对性差或方案完全不合理、不可行或缺项得0分。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lang w:val="en-US" w:eastAsia="zh-CN"/>
              </w:rPr>
              <w:t>5、</w:t>
            </w:r>
            <w:r>
              <w:rPr>
                <w:rFonts w:hint="eastAsia" w:ascii="宋体" w:hAnsi="宋体"/>
                <w:kern w:val="0"/>
                <w:sz w:val="24"/>
                <w:szCs w:val="24"/>
                <w:shd w:val="clear" w:color="auto" w:fill="FFFFFF"/>
              </w:rPr>
              <w:t>提供本项目的售后服务方案（方案至少包含质保期内及质保期外服务内容和承诺）。</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（1）</w:t>
            </w:r>
            <w:r>
              <w:rPr>
                <w:rFonts w:hint="eastAsia" w:ascii="宋体" w:hAnsi="宋体"/>
                <w:kern w:val="0"/>
                <w:sz w:val="24"/>
                <w:szCs w:val="24"/>
                <w:shd w:val="clear" w:color="auto" w:fill="FFFFFF"/>
                <w:lang w:val="en-US" w:eastAsia="zh-CN"/>
              </w:rPr>
              <w:t>售后服务</w:t>
            </w:r>
            <w:r>
              <w:rPr>
                <w:rFonts w:hint="eastAsia" w:ascii="宋体" w:hAnsi="宋体"/>
                <w:kern w:val="0"/>
                <w:sz w:val="24"/>
                <w:szCs w:val="24"/>
                <w:shd w:val="clear" w:color="auto" w:fill="FFFFFF"/>
              </w:rPr>
              <w:t>方案针对性强、安排合理，可操作性强得</w:t>
            </w:r>
            <w:r>
              <w:rPr>
                <w:rFonts w:hint="eastAsia" w:ascii="宋体" w:hAnsi="宋体"/>
                <w:kern w:val="0"/>
                <w:sz w:val="24"/>
                <w:szCs w:val="24"/>
                <w:shd w:val="clear" w:color="auto" w:fill="FFFFFF"/>
                <w:lang w:val="en-US" w:eastAsia="zh-CN"/>
              </w:rPr>
              <w:t>4</w:t>
            </w:r>
            <w:r>
              <w:rPr>
                <w:rFonts w:hint="eastAsia" w:ascii="宋体" w:hAnsi="宋体"/>
                <w:kern w:val="0"/>
                <w:sz w:val="24"/>
                <w:szCs w:val="24"/>
                <w:shd w:val="clear" w:color="auto" w:fill="FFFFFF"/>
              </w:rPr>
              <w:t>分；</w:t>
            </w:r>
          </w:p>
          <w:p>
            <w:pPr>
              <w:spacing w:line="280" w:lineRule="exact"/>
              <w:rPr>
                <w:rFonts w:hint="eastAsia" w:ascii="宋体" w:hAnsi="宋体"/>
                <w:kern w:val="0"/>
                <w:sz w:val="24"/>
                <w:szCs w:val="24"/>
                <w:shd w:val="clear" w:color="auto" w:fill="FFFFFF"/>
              </w:rPr>
            </w:pPr>
            <w:r>
              <w:rPr>
                <w:rFonts w:hint="eastAsia" w:ascii="宋体" w:hAnsi="宋体"/>
                <w:kern w:val="0"/>
                <w:sz w:val="24"/>
                <w:szCs w:val="24"/>
                <w:shd w:val="clear" w:color="auto" w:fill="FFFFFF"/>
              </w:rPr>
              <w:t>（2）</w:t>
            </w:r>
            <w:r>
              <w:rPr>
                <w:rFonts w:hint="eastAsia" w:ascii="宋体" w:hAnsi="宋体"/>
                <w:kern w:val="0"/>
                <w:sz w:val="24"/>
                <w:szCs w:val="24"/>
                <w:shd w:val="clear" w:color="auto" w:fill="FFFFFF"/>
                <w:lang w:val="en-US" w:eastAsia="zh-CN"/>
              </w:rPr>
              <w:t>售后服务</w:t>
            </w:r>
            <w:r>
              <w:rPr>
                <w:rFonts w:hint="eastAsia" w:ascii="宋体" w:hAnsi="宋体"/>
                <w:kern w:val="0"/>
                <w:sz w:val="24"/>
                <w:szCs w:val="24"/>
                <w:shd w:val="clear" w:color="auto" w:fill="FFFFFF"/>
              </w:rPr>
              <w:t>案针对性一般、安排基本合理，可操作性一般得</w:t>
            </w:r>
            <w:r>
              <w:rPr>
                <w:rFonts w:hint="eastAsia" w:ascii="宋体" w:hAnsi="宋体"/>
                <w:kern w:val="0"/>
                <w:sz w:val="24"/>
                <w:szCs w:val="24"/>
                <w:shd w:val="clear" w:color="auto" w:fill="FFFFFF"/>
                <w:lang w:val="en-US" w:eastAsia="zh-CN"/>
              </w:rPr>
              <w:t>2</w:t>
            </w:r>
            <w:r>
              <w:rPr>
                <w:rFonts w:hint="eastAsia" w:ascii="宋体" w:hAnsi="宋体"/>
                <w:kern w:val="0"/>
                <w:sz w:val="24"/>
                <w:szCs w:val="24"/>
                <w:shd w:val="clear" w:color="auto" w:fill="FFFFFF"/>
              </w:rPr>
              <w:t>分；</w:t>
            </w:r>
          </w:p>
          <w:p>
            <w:pPr>
              <w:spacing w:line="280" w:lineRule="exact"/>
              <w:rPr>
                <w:rFonts w:ascii="宋体" w:hAnsi="宋体"/>
                <w:kern w:val="0"/>
                <w:sz w:val="24"/>
                <w:szCs w:val="24"/>
                <w:shd w:val="clear" w:color="auto" w:fill="FFFFFF"/>
              </w:rPr>
            </w:pPr>
            <w:r>
              <w:rPr>
                <w:rFonts w:hint="eastAsia" w:ascii="宋体" w:hAnsi="宋体"/>
                <w:kern w:val="0"/>
                <w:sz w:val="24"/>
                <w:szCs w:val="24"/>
                <w:shd w:val="clear" w:color="auto" w:fill="FFFFFF"/>
              </w:rPr>
              <w:t>（3）</w:t>
            </w:r>
            <w:r>
              <w:rPr>
                <w:rFonts w:hint="eastAsia" w:ascii="宋体" w:hAnsi="宋体"/>
                <w:kern w:val="0"/>
                <w:sz w:val="24"/>
                <w:szCs w:val="24"/>
                <w:shd w:val="clear" w:color="auto" w:fill="FFFFFF"/>
                <w:lang w:val="en-US" w:eastAsia="zh-CN"/>
              </w:rPr>
              <w:t>售后服务</w:t>
            </w:r>
            <w:r>
              <w:rPr>
                <w:rFonts w:hint="eastAsia" w:ascii="宋体" w:hAnsi="宋体"/>
                <w:kern w:val="0"/>
                <w:sz w:val="24"/>
                <w:szCs w:val="24"/>
                <w:shd w:val="clear" w:color="auto" w:fill="FFFFFF"/>
              </w:rPr>
              <w:t>方案针对性差或方案完全不合理、不可行或缺项得0分。</w:t>
            </w:r>
          </w:p>
        </w:tc>
      </w:tr>
      <w:tr>
        <w:tblPrEx>
          <w:tblCellMar>
            <w:top w:w="0" w:type="dxa"/>
            <w:left w:w="108" w:type="dxa"/>
            <w:bottom w:w="0" w:type="dxa"/>
            <w:right w:w="108" w:type="dxa"/>
          </w:tblCellMar>
        </w:tblPrEx>
        <w:trPr>
          <w:trHeight w:val="557" w:hRule="atLeast"/>
        </w:trPr>
        <w:tc>
          <w:tcPr>
            <w:tcW w:w="936" w:type="dxa"/>
            <w:vMerge w:val="continue"/>
            <w:tcBorders>
              <w:left w:val="single" w:color="auto" w:sz="4" w:space="0"/>
              <w:bottom w:val="single" w:color="auto" w:sz="4" w:space="0"/>
              <w:right w:val="single" w:color="auto" w:sz="4" w:space="0"/>
            </w:tcBorders>
            <w:vAlign w:val="center"/>
          </w:tcPr>
          <w:p>
            <w:pPr>
              <w:pStyle w:val="43"/>
              <w:spacing w:line="280" w:lineRule="exact"/>
              <w:jc w:val="center"/>
              <w:rPr>
                <w:color w:val="000000"/>
                <w:sz w:val="24"/>
              </w:rPr>
            </w:pPr>
          </w:p>
        </w:tc>
        <w:tc>
          <w:tcPr>
            <w:tcW w:w="82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color w:val="000000"/>
                <w:kern w:val="0"/>
                <w:sz w:val="24"/>
              </w:rPr>
            </w:pPr>
            <w:r>
              <w:rPr>
                <w:rFonts w:hint="eastAsia"/>
                <w:sz w:val="24"/>
                <w:szCs w:val="24"/>
              </w:rPr>
              <w:t>备注：以上项目若有缺项的，该项为0分；不缺项的，不低于最低分。</w:t>
            </w:r>
          </w:p>
        </w:tc>
      </w:tr>
      <w:tr>
        <w:tblPrEx>
          <w:tblCellMar>
            <w:top w:w="0" w:type="dxa"/>
            <w:left w:w="108" w:type="dxa"/>
            <w:bottom w:w="0" w:type="dxa"/>
            <w:right w:w="108" w:type="dxa"/>
          </w:tblCellMar>
        </w:tblPrEx>
        <w:trPr>
          <w:trHeight w:val="840" w:hRule="atLeast"/>
        </w:trPr>
        <w:tc>
          <w:tcPr>
            <w:tcW w:w="93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3、商务标评审（</w:t>
            </w:r>
            <w:r>
              <w:rPr>
                <w:rFonts w:hint="eastAsia" w:ascii="宋体" w:hAnsi="宋体" w:cs="宋体"/>
                <w:color w:val="000000"/>
                <w:kern w:val="0"/>
                <w:sz w:val="24"/>
                <w:lang w:val="en-US" w:eastAsia="zh-CN"/>
              </w:rPr>
              <w:t>20</w:t>
            </w:r>
            <w:r>
              <w:rPr>
                <w:rFonts w:hint="eastAsia" w:ascii="宋体" w:hAnsi="宋体" w:cs="宋体"/>
                <w:color w:val="000000"/>
                <w:kern w:val="0"/>
                <w:sz w:val="24"/>
              </w:rPr>
              <w:t>分）</w:t>
            </w:r>
          </w:p>
        </w:tc>
        <w:tc>
          <w:tcPr>
            <w:tcW w:w="13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业绩</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宋体" w:hAnsi="宋体" w:cs="宋体"/>
                <w:color w:val="000000"/>
                <w:kern w:val="0"/>
                <w:sz w:val="24"/>
                <w:szCs w:val="24"/>
              </w:rPr>
            </w:pPr>
            <w:r>
              <w:rPr>
                <w:rFonts w:hint="eastAsia" w:ascii="宋体" w:hAnsi="宋体" w:eastAsia="宋体" w:cs="宋体"/>
                <w:b w:val="0"/>
                <w:kern w:val="2"/>
                <w:sz w:val="24"/>
                <w:szCs w:val="24"/>
                <w:lang w:val="en-US" w:eastAsia="zh-CN" w:bidi="ar-SA"/>
              </w:rPr>
              <w:t>（</w:t>
            </w:r>
            <w:r>
              <w:rPr>
                <w:rFonts w:hint="eastAsia" w:ascii="宋体" w:hAnsi="宋体" w:cs="宋体"/>
                <w:b w:val="0"/>
                <w:kern w:val="2"/>
                <w:sz w:val="24"/>
                <w:szCs w:val="24"/>
                <w:lang w:val="en-US" w:eastAsia="zh-CN" w:bidi="ar-SA"/>
              </w:rPr>
              <w:t>9</w:t>
            </w:r>
            <w:r>
              <w:rPr>
                <w:rFonts w:hint="eastAsia" w:ascii="宋体" w:hAnsi="宋体" w:eastAsia="宋体" w:cs="宋体"/>
                <w:b w:val="0"/>
                <w:kern w:val="2"/>
                <w:sz w:val="24"/>
                <w:szCs w:val="24"/>
                <w:lang w:val="en-US" w:eastAsia="zh-CN" w:bidi="ar-SA"/>
              </w:rPr>
              <w:t>分）</w:t>
            </w:r>
          </w:p>
        </w:tc>
        <w:tc>
          <w:tcPr>
            <w:tcW w:w="693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sz w:val="24"/>
                <w:szCs w:val="24"/>
              </w:rPr>
            </w:pPr>
            <w:r>
              <w:rPr>
                <w:rFonts w:hint="eastAsia" w:ascii="宋体" w:hAnsi="宋体" w:eastAsia="宋体" w:cs="宋体"/>
                <w:b w:val="0"/>
                <w:kern w:val="2"/>
                <w:sz w:val="24"/>
                <w:szCs w:val="24"/>
                <w:lang w:val="en-US" w:eastAsia="zh-CN" w:bidi="ar-SA"/>
              </w:rPr>
              <w:t>投标人</w:t>
            </w:r>
            <w:r>
              <w:rPr>
                <w:rFonts w:hint="eastAsia" w:ascii="宋体" w:hAnsi="宋体" w:cs="宋体"/>
                <w:b w:val="0"/>
                <w:kern w:val="2"/>
                <w:sz w:val="24"/>
                <w:szCs w:val="24"/>
                <w:lang w:val="en-US" w:eastAsia="zh-CN" w:bidi="ar-SA"/>
              </w:rPr>
              <w:t>或所投产品制造厂商</w:t>
            </w:r>
            <w:r>
              <w:rPr>
                <w:rFonts w:hint="eastAsia" w:ascii="宋体" w:hAnsi="宋体" w:eastAsia="宋体" w:cs="宋体"/>
                <w:b w:val="0"/>
                <w:kern w:val="2"/>
                <w:sz w:val="24"/>
                <w:szCs w:val="24"/>
                <w:lang w:val="en-US" w:eastAsia="zh-CN" w:bidi="ar-SA"/>
              </w:rPr>
              <w:t>提供 20</w:t>
            </w:r>
            <w:r>
              <w:rPr>
                <w:rFonts w:hint="eastAsia" w:ascii="宋体" w:hAnsi="宋体" w:cs="宋体"/>
                <w:b w:val="0"/>
                <w:kern w:val="2"/>
                <w:sz w:val="24"/>
                <w:szCs w:val="24"/>
                <w:lang w:val="en-US" w:eastAsia="zh-CN" w:bidi="ar-SA"/>
              </w:rPr>
              <w:t>20</w:t>
            </w:r>
            <w:r>
              <w:rPr>
                <w:rFonts w:hint="eastAsia" w:ascii="宋体" w:hAnsi="宋体" w:eastAsia="宋体" w:cs="宋体"/>
                <w:b w:val="0"/>
                <w:kern w:val="2"/>
                <w:sz w:val="24"/>
                <w:szCs w:val="24"/>
                <w:lang w:val="en-US" w:eastAsia="zh-CN" w:bidi="ar-SA"/>
              </w:rPr>
              <w:t>年1月1日以来空气质量自动监测站（国标站）建设相关业绩每提供一份得</w:t>
            </w:r>
            <w:r>
              <w:rPr>
                <w:rFonts w:hint="eastAsia" w:ascii="宋体" w:hAnsi="宋体" w:cs="宋体"/>
                <w:b w:val="0"/>
                <w:kern w:val="2"/>
                <w:sz w:val="24"/>
                <w:szCs w:val="24"/>
                <w:lang w:val="en-US" w:eastAsia="zh-CN" w:bidi="ar-SA"/>
              </w:rPr>
              <w:t>3</w:t>
            </w:r>
            <w:r>
              <w:rPr>
                <w:rFonts w:hint="eastAsia" w:ascii="宋体" w:hAnsi="宋体" w:eastAsia="宋体" w:cs="宋体"/>
                <w:b w:val="0"/>
                <w:kern w:val="2"/>
                <w:sz w:val="24"/>
                <w:szCs w:val="24"/>
                <w:lang w:val="en-US" w:eastAsia="zh-CN" w:bidi="ar-SA"/>
              </w:rPr>
              <w:t>分，最多得</w:t>
            </w:r>
            <w:r>
              <w:rPr>
                <w:rFonts w:hint="eastAsia" w:ascii="宋体" w:hAnsi="宋体" w:cs="宋体"/>
                <w:b w:val="0"/>
                <w:kern w:val="2"/>
                <w:sz w:val="24"/>
                <w:szCs w:val="24"/>
                <w:lang w:val="en-US" w:eastAsia="zh-CN" w:bidi="ar-SA"/>
              </w:rPr>
              <w:t>9</w:t>
            </w:r>
            <w:r>
              <w:rPr>
                <w:rFonts w:hint="eastAsia" w:ascii="宋体" w:hAnsi="宋体" w:eastAsia="宋体" w:cs="宋体"/>
                <w:b w:val="0"/>
                <w:kern w:val="2"/>
                <w:sz w:val="24"/>
                <w:szCs w:val="24"/>
                <w:lang w:val="en-US" w:eastAsia="zh-CN" w:bidi="ar-SA"/>
              </w:rPr>
              <w:t>分。（投标文件中附中标通知书、合同扫描件及网页版中标公告，否则不得分）</w:t>
            </w:r>
          </w:p>
        </w:tc>
      </w:tr>
      <w:tr>
        <w:tblPrEx>
          <w:tblCellMar>
            <w:top w:w="0" w:type="dxa"/>
            <w:left w:w="108" w:type="dxa"/>
            <w:bottom w:w="0" w:type="dxa"/>
            <w:right w:w="108" w:type="dxa"/>
          </w:tblCellMar>
        </w:tblPrEx>
        <w:trPr>
          <w:trHeight w:val="270" w:hRule="atLeast"/>
        </w:trPr>
        <w:tc>
          <w:tcPr>
            <w:tcW w:w="936" w:type="dxa"/>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13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履约能力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宋体" w:hAnsi="宋体" w:cs="宋体"/>
                <w:color w:val="000000"/>
                <w:kern w:val="0"/>
                <w:sz w:val="24"/>
                <w:szCs w:val="24"/>
              </w:rPr>
            </w:pPr>
            <w:r>
              <w:rPr>
                <w:rFonts w:hint="eastAsia" w:ascii="宋体" w:hAnsi="宋体" w:eastAsia="宋体" w:cs="宋体"/>
                <w:b w:val="0"/>
                <w:kern w:val="2"/>
                <w:sz w:val="24"/>
                <w:szCs w:val="24"/>
                <w:lang w:val="en-US" w:eastAsia="zh-CN" w:bidi="ar-SA"/>
              </w:rPr>
              <w:t>（</w:t>
            </w:r>
            <w:r>
              <w:rPr>
                <w:rFonts w:hint="eastAsia" w:ascii="宋体" w:hAnsi="宋体" w:cs="宋体"/>
                <w:b w:val="0"/>
                <w:kern w:val="2"/>
                <w:sz w:val="24"/>
                <w:szCs w:val="24"/>
                <w:lang w:val="en-US" w:eastAsia="zh-CN" w:bidi="ar-SA"/>
              </w:rPr>
              <w:t>5</w:t>
            </w:r>
            <w:r>
              <w:rPr>
                <w:rFonts w:hint="eastAsia" w:ascii="宋体" w:hAnsi="宋体" w:eastAsia="宋体" w:cs="宋体"/>
                <w:b w:val="0"/>
                <w:kern w:val="2"/>
                <w:sz w:val="24"/>
                <w:szCs w:val="24"/>
                <w:lang w:val="en-US" w:eastAsia="zh-CN" w:bidi="ar-SA"/>
              </w:rPr>
              <w:t>分）</w:t>
            </w:r>
          </w:p>
        </w:tc>
        <w:tc>
          <w:tcPr>
            <w:tcW w:w="693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1.投标人或</w:t>
            </w:r>
            <w:r>
              <w:rPr>
                <w:rFonts w:hint="eastAsia" w:ascii="宋体" w:hAnsi="宋体" w:cs="宋体"/>
                <w:b w:val="0"/>
                <w:kern w:val="2"/>
                <w:sz w:val="24"/>
                <w:szCs w:val="24"/>
                <w:lang w:val="en-US" w:eastAsia="zh-CN" w:bidi="ar-SA"/>
              </w:rPr>
              <w:t>所投产品制造</w:t>
            </w:r>
            <w:r>
              <w:rPr>
                <w:rFonts w:hint="eastAsia" w:ascii="宋体" w:hAnsi="宋体" w:eastAsia="宋体" w:cs="宋体"/>
                <w:b w:val="0"/>
                <w:kern w:val="2"/>
                <w:sz w:val="24"/>
                <w:szCs w:val="24"/>
                <w:lang w:val="en-US" w:eastAsia="zh-CN" w:bidi="ar-SA"/>
              </w:rPr>
              <w:t>厂商同时具有ISO9001质量管理体系、ISO14001环境管理体系、ISO45001职业健康安全管理体系</w:t>
            </w:r>
            <w:r>
              <w:rPr>
                <w:rFonts w:hint="eastAsia" w:ascii="宋体" w:hAnsi="宋体" w:cs="宋体"/>
                <w:b w:val="0"/>
                <w:kern w:val="2"/>
                <w:sz w:val="24"/>
                <w:szCs w:val="24"/>
                <w:lang w:val="en-US" w:eastAsia="zh-CN" w:bidi="ar-SA"/>
              </w:rPr>
              <w:t>等3个管理体系认证证书</w:t>
            </w:r>
            <w:r>
              <w:rPr>
                <w:rFonts w:hint="eastAsia" w:ascii="宋体" w:hAnsi="宋体" w:eastAsia="宋体" w:cs="宋体"/>
                <w:b w:val="0"/>
                <w:kern w:val="2"/>
                <w:sz w:val="24"/>
                <w:szCs w:val="24"/>
                <w:lang w:val="en-US" w:eastAsia="zh-CN" w:bidi="ar-SA"/>
              </w:rPr>
              <w:t>得</w:t>
            </w:r>
            <w:r>
              <w:rPr>
                <w:rFonts w:hint="eastAsia" w:ascii="宋体" w:hAnsi="宋体" w:cs="宋体"/>
                <w:b w:val="0"/>
                <w:kern w:val="2"/>
                <w:sz w:val="24"/>
                <w:szCs w:val="24"/>
                <w:lang w:val="en-US" w:eastAsia="zh-CN" w:bidi="ar-SA"/>
              </w:rPr>
              <w:t>3</w:t>
            </w:r>
            <w:r>
              <w:rPr>
                <w:rFonts w:hint="eastAsia" w:ascii="宋体" w:hAnsi="宋体" w:eastAsia="宋体" w:cs="宋体"/>
                <w:b w:val="0"/>
                <w:kern w:val="2"/>
                <w:sz w:val="24"/>
                <w:szCs w:val="24"/>
                <w:lang w:val="en-US" w:eastAsia="zh-CN" w:bidi="ar-SA"/>
              </w:rPr>
              <w:t>分，缺项或不提供不得分。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宋体" w:hAnsi="宋体" w:cs="宋体"/>
                <w:kern w:val="0"/>
                <w:sz w:val="24"/>
                <w:szCs w:val="24"/>
              </w:rPr>
            </w:pPr>
            <w:r>
              <w:rPr>
                <w:rFonts w:hint="eastAsia" w:ascii="宋体" w:hAnsi="宋体" w:eastAsia="宋体" w:cs="宋体"/>
                <w:b w:val="0"/>
                <w:kern w:val="2"/>
                <w:sz w:val="24"/>
                <w:szCs w:val="24"/>
                <w:lang w:val="en-US" w:eastAsia="zh-CN" w:bidi="ar-SA"/>
              </w:rPr>
              <w:t>2.投标人或</w:t>
            </w:r>
            <w:r>
              <w:rPr>
                <w:rFonts w:hint="eastAsia" w:ascii="宋体" w:hAnsi="宋体" w:cs="宋体"/>
                <w:b w:val="0"/>
                <w:kern w:val="2"/>
                <w:sz w:val="24"/>
                <w:szCs w:val="24"/>
                <w:lang w:val="en-US" w:eastAsia="zh-CN" w:bidi="ar-SA"/>
              </w:rPr>
              <w:t>所投产品制造</w:t>
            </w:r>
            <w:r>
              <w:rPr>
                <w:rFonts w:hint="eastAsia" w:ascii="宋体" w:hAnsi="宋体" w:eastAsia="宋体" w:cs="宋体"/>
                <w:b w:val="0"/>
                <w:kern w:val="2"/>
                <w:sz w:val="24"/>
                <w:szCs w:val="24"/>
                <w:lang w:val="en-US" w:eastAsia="zh-CN" w:bidi="ar-SA"/>
              </w:rPr>
              <w:t>厂商具有五星级售后服务认证</w:t>
            </w: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测量管理体系认证（AAA）证书</w:t>
            </w:r>
            <w:r>
              <w:rPr>
                <w:rFonts w:hint="eastAsia" w:ascii="宋体" w:hAnsi="宋体" w:cs="宋体"/>
                <w:b w:val="0"/>
                <w:kern w:val="2"/>
                <w:sz w:val="24"/>
                <w:szCs w:val="24"/>
                <w:lang w:val="en-US" w:eastAsia="zh-CN" w:bidi="ar-SA"/>
              </w:rPr>
              <w:t>、</w:t>
            </w:r>
            <w:r>
              <w:rPr>
                <w:rFonts w:hint="eastAsia"/>
                <w:sz w:val="24"/>
                <w:szCs w:val="24"/>
                <w:lang w:val="en-US" w:eastAsia="zh-CN"/>
              </w:rPr>
              <w:t>培训管理体系认证</w:t>
            </w:r>
            <w:r>
              <w:rPr>
                <w:rFonts w:hint="eastAsia" w:ascii="宋体" w:hAnsi="宋体" w:eastAsia="宋体" w:cs="宋体"/>
                <w:b w:val="0"/>
                <w:kern w:val="2"/>
                <w:sz w:val="24"/>
                <w:szCs w:val="24"/>
                <w:lang w:val="en-US" w:eastAsia="zh-CN" w:bidi="ar-SA"/>
              </w:rPr>
              <w:t>证书、市级光学仪器仪表工程研究中心证明</w:t>
            </w:r>
            <w:r>
              <w:rPr>
                <w:rFonts w:hint="eastAsia" w:ascii="宋体" w:hAnsi="宋体" w:cs="宋体"/>
                <w:b w:val="0"/>
                <w:kern w:val="2"/>
                <w:sz w:val="24"/>
                <w:szCs w:val="24"/>
                <w:lang w:val="en-US" w:eastAsia="zh-CN" w:bidi="ar-SA"/>
              </w:rPr>
              <w:t>等相关证书</w:t>
            </w:r>
            <w:r>
              <w:rPr>
                <w:rFonts w:hint="eastAsia" w:ascii="宋体" w:hAnsi="宋体" w:eastAsia="宋体" w:cs="宋体"/>
                <w:b w:val="0"/>
                <w:kern w:val="2"/>
                <w:sz w:val="24"/>
                <w:szCs w:val="24"/>
                <w:lang w:val="en-US" w:eastAsia="zh-CN" w:bidi="ar-SA"/>
              </w:rPr>
              <w:t>，提供一份得</w:t>
            </w:r>
            <w:r>
              <w:rPr>
                <w:rFonts w:hint="eastAsia" w:ascii="宋体" w:hAnsi="宋体" w:cs="宋体"/>
                <w:b w:val="0"/>
                <w:kern w:val="2"/>
                <w:sz w:val="24"/>
                <w:szCs w:val="24"/>
                <w:lang w:val="en-US" w:eastAsia="zh-CN" w:bidi="ar-SA"/>
              </w:rPr>
              <w:t>0.5</w:t>
            </w:r>
            <w:r>
              <w:rPr>
                <w:rFonts w:hint="eastAsia" w:ascii="宋体" w:hAnsi="宋体" w:eastAsia="宋体" w:cs="宋体"/>
                <w:b w:val="0"/>
                <w:kern w:val="2"/>
                <w:sz w:val="24"/>
                <w:szCs w:val="24"/>
                <w:lang w:val="en-US" w:eastAsia="zh-CN" w:bidi="ar-SA"/>
              </w:rPr>
              <w:t>分，最多得</w:t>
            </w:r>
            <w:r>
              <w:rPr>
                <w:rFonts w:hint="eastAsia" w:ascii="宋体" w:hAnsi="宋体" w:cs="宋体"/>
                <w:b w:val="0"/>
                <w:kern w:val="2"/>
                <w:sz w:val="24"/>
                <w:szCs w:val="24"/>
                <w:lang w:val="en-US" w:eastAsia="zh-CN" w:bidi="ar-SA"/>
              </w:rPr>
              <w:t>2</w:t>
            </w:r>
            <w:r>
              <w:rPr>
                <w:rFonts w:hint="eastAsia" w:ascii="宋体" w:hAnsi="宋体" w:eastAsia="宋体" w:cs="宋体"/>
                <w:b w:val="0"/>
                <w:kern w:val="2"/>
                <w:sz w:val="24"/>
                <w:szCs w:val="24"/>
                <w:lang w:val="en-US" w:eastAsia="zh-CN" w:bidi="ar-SA"/>
              </w:rPr>
              <w:t>分，没有不得分。</w:t>
            </w:r>
          </w:p>
        </w:tc>
      </w:tr>
      <w:tr>
        <w:tblPrEx>
          <w:tblCellMar>
            <w:top w:w="0" w:type="dxa"/>
            <w:left w:w="108" w:type="dxa"/>
            <w:bottom w:w="0" w:type="dxa"/>
            <w:right w:w="108" w:type="dxa"/>
          </w:tblCellMar>
        </w:tblPrEx>
        <w:trPr>
          <w:trHeight w:val="270" w:hRule="atLeast"/>
        </w:trPr>
        <w:tc>
          <w:tcPr>
            <w:tcW w:w="936"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13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人员配备</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cs="宋体"/>
                <w:kern w:val="0"/>
                <w:sz w:val="24"/>
                <w:szCs w:val="24"/>
              </w:rPr>
            </w:pPr>
            <w:r>
              <w:rPr>
                <w:rFonts w:hint="eastAsia" w:ascii="宋体" w:hAnsi="宋体" w:eastAsia="宋体" w:cs="宋体"/>
                <w:b w:val="0"/>
                <w:kern w:val="2"/>
                <w:sz w:val="24"/>
                <w:szCs w:val="24"/>
                <w:lang w:val="en-US" w:eastAsia="zh-CN" w:bidi="ar-SA"/>
              </w:rPr>
              <w:t>（</w:t>
            </w:r>
            <w:r>
              <w:rPr>
                <w:rFonts w:hint="eastAsia" w:ascii="宋体" w:hAnsi="宋体" w:cs="宋体"/>
                <w:b w:val="0"/>
                <w:kern w:val="2"/>
                <w:sz w:val="24"/>
                <w:szCs w:val="24"/>
                <w:lang w:val="en-US" w:eastAsia="zh-CN" w:bidi="ar-SA"/>
              </w:rPr>
              <w:t>6</w:t>
            </w:r>
            <w:r>
              <w:rPr>
                <w:rFonts w:hint="eastAsia" w:ascii="宋体" w:hAnsi="宋体" w:eastAsia="宋体" w:cs="宋体"/>
                <w:b w:val="0"/>
                <w:kern w:val="2"/>
                <w:sz w:val="24"/>
                <w:szCs w:val="24"/>
                <w:lang w:val="en-US" w:eastAsia="zh-CN" w:bidi="ar-SA"/>
              </w:rPr>
              <w:t>分）</w:t>
            </w:r>
          </w:p>
        </w:tc>
        <w:tc>
          <w:tcPr>
            <w:tcW w:w="693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投标人或</w:t>
            </w:r>
            <w:r>
              <w:rPr>
                <w:rFonts w:hint="eastAsia" w:ascii="宋体" w:hAnsi="宋体" w:cs="宋体"/>
                <w:b w:val="0"/>
                <w:kern w:val="2"/>
                <w:sz w:val="24"/>
                <w:szCs w:val="24"/>
                <w:lang w:val="en-US" w:eastAsia="zh-CN" w:bidi="ar-SA"/>
              </w:rPr>
              <w:t>所投产品制造</w:t>
            </w:r>
            <w:r>
              <w:rPr>
                <w:rFonts w:hint="eastAsia" w:ascii="宋体" w:hAnsi="宋体" w:eastAsia="宋体" w:cs="宋体"/>
                <w:b w:val="0"/>
                <w:kern w:val="2"/>
                <w:sz w:val="24"/>
                <w:szCs w:val="24"/>
                <w:lang w:val="en-US" w:eastAsia="zh-CN" w:bidi="ar-SA"/>
              </w:rPr>
              <w:t>厂商拟投入</w:t>
            </w:r>
            <w:bookmarkStart w:id="288" w:name="_GoBack"/>
            <w:bookmarkEnd w:id="288"/>
            <w:r>
              <w:rPr>
                <w:rFonts w:hint="eastAsia" w:ascii="宋体" w:hAnsi="宋体" w:eastAsia="宋体" w:cs="宋体"/>
                <w:b w:val="0"/>
                <w:kern w:val="2"/>
                <w:sz w:val="24"/>
                <w:szCs w:val="24"/>
                <w:lang w:val="en-US" w:eastAsia="zh-CN" w:bidi="ar-SA"/>
              </w:rPr>
              <w:t>本项目的技术人员具备省级及以上环保部门颁发的空气自动监测上岗合格证或环境空气质量自动运维与质控技术培训合格证，每人得</w:t>
            </w:r>
            <w:r>
              <w:rPr>
                <w:rFonts w:hint="eastAsia" w:ascii="宋体" w:hAnsi="宋体" w:cs="宋体"/>
                <w:b w:val="0"/>
                <w:kern w:val="2"/>
                <w:sz w:val="24"/>
                <w:szCs w:val="24"/>
                <w:lang w:val="en-US" w:eastAsia="zh-CN" w:bidi="ar-SA"/>
              </w:rPr>
              <w:t>2</w:t>
            </w:r>
            <w:r>
              <w:rPr>
                <w:rFonts w:hint="eastAsia" w:ascii="宋体" w:hAnsi="宋体" w:eastAsia="宋体" w:cs="宋体"/>
                <w:b w:val="0"/>
                <w:kern w:val="2"/>
                <w:sz w:val="24"/>
                <w:szCs w:val="24"/>
                <w:lang w:val="en-US" w:eastAsia="zh-CN" w:bidi="ar-SA"/>
              </w:rPr>
              <w:t>分，最多得</w:t>
            </w:r>
            <w:r>
              <w:rPr>
                <w:rFonts w:hint="eastAsia" w:ascii="宋体" w:hAnsi="宋体" w:cs="宋体"/>
                <w:b w:val="0"/>
                <w:kern w:val="2"/>
                <w:sz w:val="24"/>
                <w:szCs w:val="24"/>
                <w:lang w:val="en-US" w:eastAsia="zh-CN" w:bidi="ar-SA"/>
              </w:rPr>
              <w:t>6</w:t>
            </w:r>
            <w:r>
              <w:rPr>
                <w:rFonts w:hint="eastAsia" w:ascii="宋体" w:hAnsi="宋体" w:eastAsia="宋体" w:cs="宋体"/>
                <w:b w:val="0"/>
                <w:kern w:val="2"/>
                <w:sz w:val="24"/>
                <w:szCs w:val="24"/>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cs="宋体"/>
                <w:kern w:val="0"/>
                <w:sz w:val="24"/>
                <w:szCs w:val="24"/>
              </w:rPr>
            </w:pPr>
            <w:r>
              <w:rPr>
                <w:rFonts w:hint="eastAsia" w:ascii="宋体" w:hAnsi="宋体" w:eastAsia="宋体" w:cs="宋体"/>
                <w:b w:val="0"/>
                <w:kern w:val="2"/>
                <w:sz w:val="24"/>
                <w:szCs w:val="24"/>
                <w:lang w:val="en-US" w:eastAsia="zh-CN" w:bidi="ar-SA"/>
              </w:rPr>
              <w:t>注：需提供拟投入本项目人员的最近3个月的社保缴纳证明、有效身份证、有效的运维合格证扫描件（新成立公司提供交纳社保的声明函）。</w:t>
            </w:r>
          </w:p>
        </w:tc>
      </w:tr>
    </w:tbl>
    <w:p>
      <w:pPr>
        <w:adjustRightInd w:val="0"/>
        <w:snapToGrid w:val="0"/>
        <w:spacing w:line="400" w:lineRule="exact"/>
        <w:ind w:firstLine="422" w:firstLineChars="200"/>
        <w:jc w:val="left"/>
        <w:rPr>
          <w:rFonts w:ascii="宋体" w:hAnsi="宋体" w:cs="宋体"/>
          <w:b/>
          <w:bCs/>
          <w:color w:val="000000" w:themeColor="text1"/>
          <w:sz w:val="28"/>
          <w:szCs w:val="28"/>
          <w14:textFill>
            <w14:solidFill>
              <w14:schemeClr w14:val="tx1"/>
            </w14:solidFill>
          </w14:textFill>
        </w:rPr>
      </w:pPr>
      <w:r>
        <w:rPr>
          <w:rFonts w:hint="eastAsia" w:ascii="宋体" w:hAnsi="宋体"/>
          <w:b/>
        </w:rPr>
        <w:t>注：投标文件中所有参与评审需提供的证件、证明、证书、文件及业绩等资料均附原件扫描件。</w:t>
      </w:r>
    </w:p>
    <w:p>
      <w:pPr>
        <w:framePr w:w="8681" w:wrap="around" w:vAnchor="margin" w:hAnchor="text" w:x="1843" w:y="1"/>
        <w:spacing w:line="480" w:lineRule="auto"/>
        <w:jc w:val="center"/>
        <w:rPr>
          <w:rFonts w:ascii="宋体" w:hAnsi="宋体" w:cs="宋体"/>
          <w:b/>
          <w:bCs/>
          <w:sz w:val="28"/>
          <w:szCs w:val="28"/>
        </w:rPr>
        <w:sectPr>
          <w:headerReference r:id="rId4" w:type="default"/>
          <w:footerReference r:id="rId5" w:type="default"/>
          <w:pgSz w:w="11900" w:h="16838"/>
          <w:pgMar w:top="1134" w:right="1270" w:bottom="992" w:left="1560" w:header="720" w:footer="0" w:gutter="0"/>
          <w:pgNumType w:start="1"/>
          <w:cols w:space="720" w:num="1"/>
          <w:docGrid w:type="lines" w:linePitch="360" w:charSpace="0"/>
        </w:sectPr>
      </w:pPr>
    </w:p>
    <w:p>
      <w:pPr>
        <w:pageBreakBefore/>
        <w:spacing w:line="360" w:lineRule="auto"/>
        <w:jc w:val="center"/>
        <w:rPr>
          <w:rFonts w:ascii="宋体" w:hAnsi="宋体" w:cs="宋体"/>
          <w:b/>
          <w:bCs/>
          <w:sz w:val="36"/>
          <w:szCs w:val="36"/>
        </w:rPr>
      </w:pPr>
      <w:bookmarkStart w:id="229" w:name="_Toc38013567"/>
      <w:r>
        <w:rPr>
          <w:rStyle w:val="59"/>
          <w:rFonts w:hint="eastAsia" w:ascii="黑体" w:hAnsi="黑体" w:eastAsia="黑体"/>
          <w:b w:val="0"/>
          <w:bCs w:val="0"/>
          <w:sz w:val="36"/>
          <w:szCs w:val="36"/>
        </w:rPr>
        <w:t>第四章  合同条款及格式</w:t>
      </w:r>
      <w:bookmarkEnd w:id="229"/>
    </w:p>
    <w:p>
      <w:pPr>
        <w:pStyle w:val="18"/>
        <w:spacing w:before="190" w:line="219" w:lineRule="auto"/>
        <w:jc w:val="center"/>
        <w:rPr>
          <w:sz w:val="28"/>
          <w:szCs w:val="28"/>
        </w:rPr>
      </w:pPr>
      <w:r>
        <w:rPr>
          <w:spacing w:val="-2"/>
          <w:sz w:val="28"/>
          <w:szCs w:val="28"/>
        </w:rPr>
        <w:t>（仅供参考，以实际签订合同为准）</w:t>
      </w:r>
    </w:p>
    <w:p>
      <w:pPr>
        <w:spacing w:line="171" w:lineRule="exact"/>
      </w:pPr>
    </w:p>
    <w:p>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2" w:firstLineChars="300"/>
        <w:jc w:val="left"/>
        <w:textAlignment w:val="auto"/>
        <w:rPr>
          <w:rFonts w:ascii="宋体" w:hAnsi="宋体" w:eastAsia="宋体" w:cs="宋体"/>
          <w:sz w:val="20"/>
          <w:szCs w:val="20"/>
        </w:rPr>
      </w:pPr>
      <w:r>
        <w:rPr>
          <w:rFonts w:ascii="宋体" w:hAnsi="宋体" w:eastAsia="宋体" w:cs="宋体"/>
          <w:spacing w:val="2"/>
          <w:sz w:val="20"/>
          <w:szCs w:val="20"/>
        </w:rPr>
        <w:t>甲方(需方)</w:t>
      </w:r>
      <w:r>
        <w:rPr>
          <w:rFonts w:ascii="宋体" w:hAnsi="宋体" w:eastAsia="宋体" w:cs="宋体"/>
          <w:spacing w:val="-60"/>
          <w:sz w:val="20"/>
          <w:szCs w:val="20"/>
        </w:rPr>
        <w:t xml:space="preserve"> </w:t>
      </w:r>
      <w:r>
        <w:rPr>
          <w:rFonts w:ascii="宋体" w:hAnsi="宋体" w:eastAsia="宋体" w:cs="宋体"/>
          <w:spacing w:val="2"/>
          <w:sz w:val="20"/>
          <w:szCs w:val="20"/>
        </w:rPr>
        <w:t>:</w:t>
      </w:r>
    </w:p>
    <w:p>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8" w:firstLineChars="300"/>
        <w:jc w:val="left"/>
        <w:textAlignment w:val="auto"/>
        <w:rPr>
          <w:rFonts w:ascii="宋体" w:hAnsi="宋体" w:eastAsia="宋体" w:cs="宋体"/>
          <w:sz w:val="20"/>
          <w:szCs w:val="20"/>
        </w:rPr>
      </w:pPr>
      <w:r>
        <w:rPr>
          <w:rFonts w:ascii="宋体" w:hAnsi="宋体" w:eastAsia="宋体" w:cs="宋体"/>
          <w:spacing w:val="3"/>
          <w:sz w:val="20"/>
          <w:szCs w:val="20"/>
        </w:rPr>
        <w:t>乙方(供方)</w:t>
      </w:r>
      <w:r>
        <w:rPr>
          <w:rFonts w:ascii="宋体" w:hAnsi="宋体" w:eastAsia="宋体" w:cs="宋体"/>
          <w:spacing w:val="-60"/>
          <w:sz w:val="20"/>
          <w:szCs w:val="20"/>
        </w:rPr>
        <w:t xml:space="preserve"> </w:t>
      </w:r>
      <w:r>
        <w:rPr>
          <w:rFonts w:ascii="宋体" w:hAnsi="宋体" w:eastAsia="宋体" w:cs="宋体"/>
          <w:spacing w:val="3"/>
          <w:sz w:val="20"/>
          <w:szCs w:val="20"/>
        </w:rPr>
        <w:t>:</w:t>
      </w:r>
    </w:p>
    <w:p>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380" w:firstLineChars="200"/>
        <w:textAlignment w:val="auto"/>
      </w:pPr>
      <w:r>
        <w:rPr>
          <w:spacing w:val="-10"/>
        </w:rPr>
        <w:t>签订地点: （实际签订地点）</w:t>
      </w:r>
    </w:p>
    <w:p>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rPr>
          <w:spacing w:val="-2"/>
        </w:rPr>
      </w:pPr>
      <w:r>
        <w:rPr>
          <w:spacing w:val="-2"/>
        </w:rPr>
        <w:t>经甲乙双方协商一致，订立本合同，以便共同遵守。</w:t>
      </w:r>
    </w:p>
    <w:p>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pPr>
      <w:r>
        <w:rPr>
          <w:spacing w:val="-2"/>
        </w:rPr>
        <w:t>一、物资名称、规格型号、数量、单价和金额</w:t>
      </w:r>
    </w:p>
    <w:tbl>
      <w:tblPr>
        <w:tblStyle w:val="252"/>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06"/>
        <w:gridCol w:w="2447"/>
        <w:gridCol w:w="694"/>
        <w:gridCol w:w="722"/>
        <w:gridCol w:w="1151"/>
        <w:gridCol w:w="1365"/>
        <w:gridCol w:w="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7" w:type="dxa"/>
            <w:vAlign w:val="top"/>
          </w:tcPr>
          <w:p>
            <w:pPr>
              <w:spacing w:before="208" w:line="210" w:lineRule="auto"/>
              <w:ind w:left="38"/>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1406" w:type="dxa"/>
            <w:vAlign w:val="top"/>
          </w:tcPr>
          <w:p>
            <w:pPr>
              <w:spacing w:before="194" w:line="222" w:lineRule="auto"/>
              <w:ind w:left="468"/>
              <w:rPr>
                <w:rFonts w:ascii="宋体" w:hAnsi="宋体" w:eastAsia="宋体" w:cs="宋体"/>
                <w:sz w:val="24"/>
                <w:szCs w:val="24"/>
              </w:rPr>
            </w:pPr>
            <w:r>
              <w:rPr>
                <w:rFonts w:ascii="宋体" w:hAnsi="宋体" w:eastAsia="宋体" w:cs="宋体"/>
                <w:spacing w:val="-4"/>
                <w:sz w:val="24"/>
                <w:szCs w:val="24"/>
              </w:rPr>
              <w:t>名称</w:t>
            </w:r>
          </w:p>
        </w:tc>
        <w:tc>
          <w:tcPr>
            <w:tcW w:w="2447" w:type="dxa"/>
            <w:vAlign w:val="top"/>
          </w:tcPr>
          <w:p>
            <w:pPr>
              <w:spacing w:before="193" w:line="220" w:lineRule="auto"/>
              <w:ind w:left="750"/>
              <w:rPr>
                <w:rFonts w:ascii="宋体" w:hAnsi="宋体" w:eastAsia="宋体" w:cs="宋体"/>
                <w:sz w:val="24"/>
                <w:szCs w:val="24"/>
              </w:rPr>
            </w:pPr>
            <w:r>
              <w:rPr>
                <w:rFonts w:ascii="宋体" w:hAnsi="宋体" w:eastAsia="宋体" w:cs="宋体"/>
                <w:spacing w:val="-2"/>
                <w:sz w:val="24"/>
                <w:szCs w:val="24"/>
              </w:rPr>
              <w:t>规格型号</w:t>
            </w:r>
          </w:p>
        </w:tc>
        <w:tc>
          <w:tcPr>
            <w:tcW w:w="694" w:type="dxa"/>
            <w:vAlign w:val="top"/>
          </w:tcPr>
          <w:p>
            <w:pPr>
              <w:spacing w:before="225" w:line="209" w:lineRule="auto"/>
              <w:jc w:val="center"/>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单位</w:t>
            </w:r>
          </w:p>
        </w:tc>
        <w:tc>
          <w:tcPr>
            <w:tcW w:w="722" w:type="dxa"/>
            <w:vAlign w:val="top"/>
          </w:tcPr>
          <w:p>
            <w:pPr>
              <w:spacing w:before="193" w:line="220" w:lineRule="auto"/>
              <w:ind w:left="128"/>
              <w:rPr>
                <w:rFonts w:ascii="宋体" w:hAnsi="宋体" w:eastAsia="宋体" w:cs="宋体"/>
                <w:sz w:val="24"/>
                <w:szCs w:val="24"/>
              </w:rPr>
            </w:pPr>
            <w:r>
              <w:rPr>
                <w:rFonts w:ascii="宋体" w:hAnsi="宋体" w:eastAsia="宋体" w:cs="宋体"/>
                <w:spacing w:val="-3"/>
                <w:sz w:val="24"/>
                <w:szCs w:val="24"/>
              </w:rPr>
              <w:t>数量</w:t>
            </w:r>
          </w:p>
        </w:tc>
        <w:tc>
          <w:tcPr>
            <w:tcW w:w="1151" w:type="dxa"/>
            <w:vAlign w:val="top"/>
          </w:tcPr>
          <w:p>
            <w:pPr>
              <w:spacing w:before="194" w:line="218" w:lineRule="auto"/>
              <w:ind w:left="345"/>
              <w:rPr>
                <w:rFonts w:ascii="宋体" w:hAnsi="宋体" w:eastAsia="宋体" w:cs="宋体"/>
                <w:sz w:val="24"/>
                <w:szCs w:val="24"/>
              </w:rPr>
            </w:pPr>
            <w:r>
              <w:rPr>
                <w:rFonts w:ascii="宋体" w:hAnsi="宋体" w:eastAsia="宋体" w:cs="宋体"/>
                <w:spacing w:val="-3"/>
                <w:sz w:val="24"/>
                <w:szCs w:val="24"/>
              </w:rPr>
              <w:t>单价</w:t>
            </w:r>
          </w:p>
        </w:tc>
        <w:tc>
          <w:tcPr>
            <w:tcW w:w="1365" w:type="dxa"/>
            <w:vAlign w:val="top"/>
          </w:tcPr>
          <w:p>
            <w:pPr>
              <w:spacing w:before="193" w:line="220" w:lineRule="auto"/>
              <w:ind w:left="452"/>
              <w:rPr>
                <w:rFonts w:ascii="宋体" w:hAnsi="宋体" w:eastAsia="宋体" w:cs="宋体"/>
                <w:sz w:val="24"/>
                <w:szCs w:val="24"/>
              </w:rPr>
            </w:pPr>
            <w:r>
              <w:rPr>
                <w:rFonts w:ascii="宋体" w:hAnsi="宋体" w:eastAsia="宋体" w:cs="宋体"/>
                <w:spacing w:val="-3"/>
                <w:sz w:val="24"/>
                <w:szCs w:val="24"/>
              </w:rPr>
              <w:t>金额</w:t>
            </w:r>
          </w:p>
        </w:tc>
        <w:tc>
          <w:tcPr>
            <w:tcW w:w="979" w:type="dxa"/>
            <w:vAlign w:val="top"/>
          </w:tcPr>
          <w:p>
            <w:pPr>
              <w:spacing w:before="194" w:line="221" w:lineRule="auto"/>
              <w:ind w:left="259"/>
              <w:rPr>
                <w:rFonts w:ascii="宋体" w:hAnsi="宋体" w:eastAsia="宋体" w:cs="宋体"/>
                <w:sz w:val="24"/>
                <w:szCs w:val="24"/>
              </w:rPr>
            </w:pPr>
            <w:r>
              <w:rPr>
                <w:rFonts w:ascii="宋体" w:hAnsi="宋体" w:eastAsia="宋体" w:cs="宋体"/>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pPr>
              <w:spacing w:before="79" w:line="181" w:lineRule="auto"/>
              <w:ind w:left="290"/>
              <w:rPr>
                <w:rFonts w:ascii="宋体" w:hAnsi="宋体" w:eastAsia="宋体" w:cs="宋体"/>
                <w:sz w:val="24"/>
                <w:szCs w:val="24"/>
              </w:rPr>
            </w:pPr>
            <w:r>
              <w:rPr>
                <w:rFonts w:ascii="宋体" w:hAnsi="宋体" w:eastAsia="宋体" w:cs="宋体"/>
                <w:sz w:val="24"/>
                <w:szCs w:val="24"/>
              </w:rPr>
              <w:t>1</w:t>
            </w:r>
          </w:p>
        </w:tc>
        <w:tc>
          <w:tcPr>
            <w:tcW w:w="1406" w:type="dxa"/>
            <w:vAlign w:val="top"/>
          </w:tcPr>
          <w:p>
            <w:pPr>
              <w:pStyle w:val="253"/>
            </w:pPr>
          </w:p>
        </w:tc>
        <w:tc>
          <w:tcPr>
            <w:tcW w:w="2447" w:type="dxa"/>
            <w:vAlign w:val="top"/>
          </w:tcPr>
          <w:p>
            <w:pPr>
              <w:pStyle w:val="253"/>
            </w:pPr>
          </w:p>
        </w:tc>
        <w:tc>
          <w:tcPr>
            <w:tcW w:w="694" w:type="dxa"/>
            <w:vAlign w:val="top"/>
          </w:tcPr>
          <w:p>
            <w:pPr>
              <w:pStyle w:val="253"/>
            </w:pPr>
          </w:p>
        </w:tc>
        <w:tc>
          <w:tcPr>
            <w:tcW w:w="722" w:type="dxa"/>
            <w:vAlign w:val="top"/>
          </w:tcPr>
          <w:p>
            <w:pPr>
              <w:pStyle w:val="253"/>
            </w:pPr>
          </w:p>
        </w:tc>
        <w:tc>
          <w:tcPr>
            <w:tcW w:w="1151" w:type="dxa"/>
            <w:vAlign w:val="top"/>
          </w:tcPr>
          <w:p>
            <w:pPr>
              <w:pStyle w:val="253"/>
            </w:pPr>
          </w:p>
        </w:tc>
        <w:tc>
          <w:tcPr>
            <w:tcW w:w="1365" w:type="dxa"/>
            <w:vAlign w:val="top"/>
          </w:tcPr>
          <w:p>
            <w:pPr>
              <w:pStyle w:val="253"/>
            </w:pPr>
          </w:p>
        </w:tc>
        <w:tc>
          <w:tcPr>
            <w:tcW w:w="979" w:type="dxa"/>
            <w:vAlign w:val="top"/>
          </w:tcPr>
          <w:p>
            <w:pPr>
              <w:pStyle w:val="25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57" w:type="dxa"/>
            <w:vAlign w:val="top"/>
          </w:tcPr>
          <w:p>
            <w:pPr>
              <w:spacing w:before="83" w:line="180" w:lineRule="auto"/>
              <w:ind w:left="276"/>
              <w:rPr>
                <w:rFonts w:ascii="宋体" w:hAnsi="宋体" w:eastAsia="宋体" w:cs="宋体"/>
                <w:sz w:val="24"/>
                <w:szCs w:val="24"/>
              </w:rPr>
            </w:pPr>
            <w:r>
              <w:rPr>
                <w:rFonts w:ascii="宋体" w:hAnsi="宋体" w:eastAsia="宋体" w:cs="宋体"/>
                <w:sz w:val="24"/>
                <w:szCs w:val="24"/>
              </w:rPr>
              <w:t>2</w:t>
            </w:r>
          </w:p>
        </w:tc>
        <w:tc>
          <w:tcPr>
            <w:tcW w:w="1406" w:type="dxa"/>
            <w:vAlign w:val="top"/>
          </w:tcPr>
          <w:p>
            <w:pPr>
              <w:pStyle w:val="253"/>
            </w:pPr>
          </w:p>
        </w:tc>
        <w:tc>
          <w:tcPr>
            <w:tcW w:w="2447" w:type="dxa"/>
            <w:vAlign w:val="top"/>
          </w:tcPr>
          <w:p>
            <w:pPr>
              <w:pStyle w:val="253"/>
            </w:pPr>
          </w:p>
        </w:tc>
        <w:tc>
          <w:tcPr>
            <w:tcW w:w="694" w:type="dxa"/>
            <w:vAlign w:val="top"/>
          </w:tcPr>
          <w:p>
            <w:pPr>
              <w:pStyle w:val="253"/>
            </w:pPr>
          </w:p>
        </w:tc>
        <w:tc>
          <w:tcPr>
            <w:tcW w:w="722" w:type="dxa"/>
            <w:vAlign w:val="top"/>
          </w:tcPr>
          <w:p>
            <w:pPr>
              <w:pStyle w:val="253"/>
            </w:pPr>
          </w:p>
        </w:tc>
        <w:tc>
          <w:tcPr>
            <w:tcW w:w="1151" w:type="dxa"/>
            <w:vAlign w:val="top"/>
          </w:tcPr>
          <w:p>
            <w:pPr>
              <w:pStyle w:val="253"/>
            </w:pPr>
          </w:p>
        </w:tc>
        <w:tc>
          <w:tcPr>
            <w:tcW w:w="1365" w:type="dxa"/>
            <w:vAlign w:val="top"/>
          </w:tcPr>
          <w:p>
            <w:pPr>
              <w:pStyle w:val="253"/>
            </w:pPr>
          </w:p>
        </w:tc>
        <w:tc>
          <w:tcPr>
            <w:tcW w:w="979" w:type="dxa"/>
            <w:vAlign w:val="top"/>
          </w:tcPr>
          <w:p>
            <w:pPr>
              <w:pStyle w:val="25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pPr>
              <w:spacing w:before="82" w:line="179" w:lineRule="auto"/>
              <w:ind w:left="277"/>
              <w:rPr>
                <w:rFonts w:ascii="宋体" w:hAnsi="宋体" w:eastAsia="宋体" w:cs="宋体"/>
                <w:sz w:val="24"/>
                <w:szCs w:val="24"/>
              </w:rPr>
            </w:pPr>
            <w:r>
              <w:rPr>
                <w:rFonts w:ascii="宋体" w:hAnsi="宋体" w:eastAsia="宋体" w:cs="宋体"/>
                <w:sz w:val="24"/>
                <w:szCs w:val="24"/>
              </w:rPr>
              <w:t>3</w:t>
            </w:r>
          </w:p>
        </w:tc>
        <w:tc>
          <w:tcPr>
            <w:tcW w:w="1406" w:type="dxa"/>
            <w:vAlign w:val="top"/>
          </w:tcPr>
          <w:p>
            <w:pPr>
              <w:pStyle w:val="253"/>
            </w:pPr>
          </w:p>
        </w:tc>
        <w:tc>
          <w:tcPr>
            <w:tcW w:w="2447" w:type="dxa"/>
            <w:vAlign w:val="top"/>
          </w:tcPr>
          <w:p>
            <w:pPr>
              <w:pStyle w:val="253"/>
            </w:pPr>
          </w:p>
        </w:tc>
        <w:tc>
          <w:tcPr>
            <w:tcW w:w="694" w:type="dxa"/>
            <w:vAlign w:val="top"/>
          </w:tcPr>
          <w:p>
            <w:pPr>
              <w:pStyle w:val="253"/>
            </w:pPr>
          </w:p>
        </w:tc>
        <w:tc>
          <w:tcPr>
            <w:tcW w:w="722" w:type="dxa"/>
            <w:vAlign w:val="top"/>
          </w:tcPr>
          <w:p>
            <w:pPr>
              <w:pStyle w:val="253"/>
            </w:pPr>
          </w:p>
        </w:tc>
        <w:tc>
          <w:tcPr>
            <w:tcW w:w="1151" w:type="dxa"/>
            <w:vAlign w:val="top"/>
          </w:tcPr>
          <w:p>
            <w:pPr>
              <w:pStyle w:val="253"/>
            </w:pPr>
          </w:p>
        </w:tc>
        <w:tc>
          <w:tcPr>
            <w:tcW w:w="1365" w:type="dxa"/>
            <w:vAlign w:val="top"/>
          </w:tcPr>
          <w:p>
            <w:pPr>
              <w:pStyle w:val="253"/>
            </w:pPr>
          </w:p>
        </w:tc>
        <w:tc>
          <w:tcPr>
            <w:tcW w:w="979" w:type="dxa"/>
            <w:vAlign w:val="top"/>
          </w:tcPr>
          <w:p>
            <w:pPr>
              <w:pStyle w:val="25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3" w:type="dxa"/>
            <w:gridSpan w:val="2"/>
            <w:vAlign w:val="top"/>
          </w:tcPr>
          <w:p>
            <w:pPr>
              <w:spacing w:before="42" w:line="215" w:lineRule="auto"/>
              <w:ind w:left="319"/>
              <w:rPr>
                <w:rFonts w:ascii="宋体" w:hAnsi="宋体" w:eastAsia="宋体" w:cs="宋体"/>
                <w:sz w:val="24"/>
                <w:szCs w:val="24"/>
              </w:rPr>
            </w:pPr>
            <w:r>
              <w:rPr>
                <w:rFonts w:ascii="宋体" w:hAnsi="宋体" w:eastAsia="宋体" w:cs="宋体"/>
                <w:spacing w:val="-4"/>
                <w:sz w:val="24"/>
                <w:szCs w:val="24"/>
              </w:rPr>
              <w:t>合计（大写）</w:t>
            </w:r>
          </w:p>
        </w:tc>
        <w:tc>
          <w:tcPr>
            <w:tcW w:w="6379" w:type="dxa"/>
            <w:gridSpan w:val="5"/>
            <w:vAlign w:val="top"/>
          </w:tcPr>
          <w:p>
            <w:pPr>
              <w:pStyle w:val="253"/>
            </w:pPr>
          </w:p>
        </w:tc>
        <w:tc>
          <w:tcPr>
            <w:tcW w:w="979" w:type="dxa"/>
            <w:vAlign w:val="top"/>
          </w:tcPr>
          <w:p>
            <w:pPr>
              <w:pStyle w:val="253"/>
            </w:pPr>
          </w:p>
        </w:tc>
      </w:tr>
    </w:tbl>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二、质量要求及技术标准</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1、所供物资严格按国家或行业标准提供，满足国家强制质保要求。</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2、所供物资技术标准以招标文件要求为准。</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3、其他技术要求或未列明情况由乙方主动和甲方协商确定。</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三、交货时间及数量</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0" w:firstLineChars="200"/>
        <w:textAlignment w:val="auto"/>
      </w:pPr>
      <w:r>
        <w:rPr>
          <w:spacing w:val="-10"/>
        </w:rPr>
        <w:t>按甲方要求供货，</w:t>
      </w:r>
      <w:r>
        <w:rPr>
          <w:spacing w:val="64"/>
        </w:rPr>
        <w:t xml:space="preserve"> </w:t>
      </w:r>
      <w:r>
        <w:rPr>
          <w:u w:val="single" w:color="auto"/>
        </w:rPr>
        <w:t xml:space="preserve">     </w:t>
      </w:r>
      <w:r>
        <w:rPr>
          <w:spacing w:val="-110"/>
        </w:rPr>
        <w:t xml:space="preserve"> </w:t>
      </w:r>
      <w:r>
        <w:rPr>
          <w:spacing w:val="-10"/>
        </w:rPr>
        <w:t>年</w:t>
      </w:r>
      <w:r>
        <w:rPr>
          <w:spacing w:val="-10"/>
          <w:u w:val="single" w:color="auto"/>
        </w:rPr>
        <w:t xml:space="preserve">    </w:t>
      </w:r>
      <w:r>
        <w:rPr>
          <w:spacing w:val="-105"/>
        </w:rPr>
        <w:t xml:space="preserve"> </w:t>
      </w:r>
      <w:r>
        <w:rPr>
          <w:spacing w:val="-10"/>
        </w:rPr>
        <w:t>月</w:t>
      </w:r>
      <w:r>
        <w:rPr>
          <w:spacing w:val="-10"/>
          <w:u w:val="single" w:color="auto"/>
        </w:rPr>
        <w:t xml:space="preserve">    </w:t>
      </w:r>
      <w:r>
        <w:rPr>
          <w:spacing w:val="-69"/>
        </w:rPr>
        <w:t xml:space="preserve"> </w:t>
      </w:r>
      <w:r>
        <w:rPr>
          <w:spacing w:val="-10"/>
        </w:rPr>
        <w:t>日前全部到齐并验收移交。</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四、履约保证金履约保证金的形式</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default" w:eastAsiaTheme="minorEastAsia"/>
          <w:u w:val="single"/>
          <w:lang w:val="en-US" w:eastAsia="zh-CN"/>
        </w:rPr>
      </w:pPr>
      <w:r>
        <w:rPr>
          <w:spacing w:val="-3"/>
        </w:rPr>
        <w:t>履约保证金</w:t>
      </w:r>
      <w:r>
        <w:rPr>
          <w:rFonts w:hint="eastAsia"/>
          <w:spacing w:val="-3"/>
          <w:lang w:val="en-US" w:eastAsia="zh-CN"/>
        </w:rPr>
        <w:t>数额及缴纳形式：</w:t>
      </w:r>
      <w:r>
        <w:rPr>
          <w:rFonts w:hint="eastAsia"/>
          <w:spacing w:val="-3"/>
          <w:u w:val="single"/>
          <w:lang w:val="en-US" w:eastAsia="zh-CN"/>
        </w:rPr>
        <w:t xml:space="preserve">  （根据甲方要求缴纳）   </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五、交货地点及方式</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交货地点为甲方指定地点，乙方负责卸车</w:t>
      </w:r>
      <w:r>
        <w:rPr>
          <w:rFonts w:hint="eastAsia"/>
          <w:spacing w:val="-2"/>
          <w:lang w:eastAsia="zh-CN"/>
        </w:rPr>
        <w:t>、</w:t>
      </w:r>
      <w:r>
        <w:rPr>
          <w:rFonts w:hint="eastAsia"/>
          <w:spacing w:val="-2"/>
          <w:lang w:val="en-US" w:eastAsia="zh-CN"/>
        </w:rPr>
        <w:t>安装、调试等相关服务</w:t>
      </w:r>
      <w:r>
        <w:rPr>
          <w:spacing w:val="-2"/>
        </w:rPr>
        <w:t>。</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六、包装标准及要求和费用负担</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按国家或行业标准包装， 包装要具有良好的防护措施， 以确保货物安全运抵甲方指定地点， 否则乙方将承担货物损坏、丢失的责任和经济损失； 包装物免回收， 费用由乙</w:t>
      </w:r>
      <w:r>
        <w:rPr>
          <w:spacing w:val="-2"/>
        </w:rPr>
        <mc:AlternateContent>
          <mc:Choice Requires="wps">
            <w:drawing>
              <wp:anchor distT="0" distB="0" distL="114300" distR="114300" simplePos="0" relativeHeight="251659264" behindDoc="0" locked="0" layoutInCell="0" allowOverlap="1">
                <wp:simplePos x="0" y="0"/>
                <wp:positionH relativeFrom="page">
                  <wp:posOffset>3814445</wp:posOffset>
                </wp:positionH>
                <wp:positionV relativeFrom="page">
                  <wp:posOffset>9975215</wp:posOffset>
                </wp:positionV>
                <wp:extent cx="300355" cy="704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00355" cy="70485"/>
                        </a:xfrm>
                        <a:prstGeom prst="rect">
                          <a:avLst/>
                        </a:prstGeom>
                        <a:noFill/>
                        <a:ln>
                          <a:noFill/>
                        </a:ln>
                      </wps:spPr>
                      <wps:txbx>
                        <w:txbxContent>
                          <w:p>
                            <w:pPr>
                              <w:spacing w:before="20" w:line="70" w:lineRule="exact"/>
                              <w:ind w:left="20"/>
                              <w:rPr>
                                <w:rFonts w:ascii="Calibri" w:hAnsi="Calibri" w:eastAsia="Calibri" w:cs="Calibri"/>
                                <w:sz w:val="21"/>
                                <w:szCs w:val="21"/>
                              </w:rPr>
                            </w:pPr>
                            <w:r>
                              <w:rPr>
                                <w:rFonts w:ascii="Calibri" w:hAnsi="Calibri" w:eastAsia="Calibri" w:cs="Calibri"/>
                                <w:spacing w:val="-3"/>
                                <w:position w:val="-1"/>
                                <w:sz w:val="21"/>
                                <w:szCs w:val="21"/>
                              </w:rPr>
                              <w:t>-       -</w:t>
                            </w:r>
                          </w:p>
                        </w:txbxContent>
                      </wps:txbx>
                      <wps:bodyPr lIns="0" tIns="0" rIns="0" bIns="0" upright="1"/>
                    </wps:wsp>
                  </a:graphicData>
                </a:graphic>
              </wp:anchor>
            </w:drawing>
          </mc:Choice>
          <mc:Fallback>
            <w:pict>
              <v:shape id="_x0000_s1026" o:spid="_x0000_s1026" o:spt="202" type="#_x0000_t202" style="position:absolute;left:0pt;margin-left:300.35pt;margin-top:785.45pt;height:5.55pt;width:23.65pt;mso-position-horizontal-relative:page;mso-position-vertical-relative:page;z-index:251659264;mso-width-relative:page;mso-height-relative:page;" filled="f" stroked="f" coordsize="21600,21600" o:allowincell="f" o:gfxdata="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UJmu2gAAAA0BAAAPAAAAAAAAAAEAIAAAACIAAABkcnMvZG93bnJldi54bWxQSwEC&#10;FAAUAAAACACHTuJA3j2tALkBAABwAwAADgAAAAAAAAABACAAAAApAQAAZHJzL2Uyb0RvYy54bWxQ&#10;SwUGAAAAAAYABgBZAQAAVAUAAAAA&#10;">
                <v:fill on="f" focussize="0,0"/>
                <v:stroke on="f"/>
                <v:imagedata o:title=""/>
                <o:lock v:ext="edit" aspectratio="f"/>
                <v:textbox inset="0mm,0mm,0mm,0mm">
                  <w:txbxContent>
                    <w:p>
                      <w:pPr>
                        <w:spacing w:before="20" w:line="70" w:lineRule="exact"/>
                        <w:ind w:left="20"/>
                        <w:rPr>
                          <w:rFonts w:ascii="Calibri" w:hAnsi="Calibri" w:eastAsia="Calibri" w:cs="Calibri"/>
                          <w:sz w:val="21"/>
                          <w:szCs w:val="21"/>
                        </w:rPr>
                      </w:pPr>
                      <w:r>
                        <w:rPr>
                          <w:rFonts w:ascii="Calibri" w:hAnsi="Calibri" w:eastAsia="Calibri" w:cs="Calibri"/>
                          <w:spacing w:val="-3"/>
                          <w:position w:val="-1"/>
                          <w:sz w:val="21"/>
                          <w:szCs w:val="21"/>
                        </w:rPr>
                        <w:t>-       -</w:t>
                      </w:r>
                    </w:p>
                  </w:txbxContent>
                </v:textbox>
              </v:shape>
            </w:pict>
          </mc:Fallback>
        </mc:AlternateContent>
      </w:r>
      <w:r>
        <w:rPr>
          <w:spacing w:val="-2"/>
        </w:rPr>
        <w:t>方负担。</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七、运输方式及到达站港、费用负担</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1、乙方采用汽车专车送货，发生的运输费和装卸费由乙方承</w:t>
      </w:r>
      <w:r>
        <w:rPr>
          <w:spacing w:val="-3"/>
        </w:rPr>
        <w:t>担。</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2、货到约定交货地点交付前发生的货物丢失、损坏、意外事故、人身损害等风险所造成的一切责任和费用均由乙方承担。</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rPr>
          <w:spacing w:val="-1"/>
        </w:rPr>
      </w:pPr>
      <w:r>
        <w:rPr>
          <w:spacing w:val="-1"/>
        </w:rPr>
        <w:t>3、货物交付时和交付后，因乙方在货物中夹带易燃易爆、有害物质等给甲方设施造成破坏或人员受到伤害，乙方不仅承担由此造成的经济损失，而且要承担法律责任。</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八、验收标准、方法、证明文件及提出异议期限</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92" w:firstLineChars="200"/>
        <w:textAlignment w:val="auto"/>
        <w:rPr>
          <w:spacing w:val="-2"/>
        </w:rPr>
      </w:pPr>
      <w:r>
        <w:rPr>
          <w:spacing w:val="-7"/>
        </w:rPr>
        <w:t>由采购站、甲方和乙方相关人员现场组织验收。验收内容包括</w:t>
      </w:r>
      <w:r>
        <w:rPr>
          <w:spacing w:val="-8"/>
        </w:rPr>
        <w:t>：</w:t>
      </w:r>
      <w:r>
        <w:rPr>
          <w:spacing w:val="51"/>
        </w:rPr>
        <w:t xml:space="preserve"> </w:t>
      </w:r>
      <w:r>
        <w:rPr>
          <w:spacing w:val="-8"/>
        </w:rPr>
        <w:t>查验质量是否符合</w:t>
      </w:r>
      <w:r>
        <w:t xml:space="preserve"> </w:t>
      </w:r>
      <w:r>
        <w:rPr>
          <w:spacing w:val="-2"/>
        </w:rPr>
        <w:t>投标文件中对于品牌及国标的要求，有无损坏或以次充好的情况；查验数量有无短缺，</w:t>
      </w:r>
      <w:r>
        <w:rPr>
          <w:spacing w:val="12"/>
        </w:rPr>
        <w:t xml:space="preserve"> </w:t>
      </w:r>
      <w:r>
        <w:rPr>
          <w:spacing w:val="-8"/>
        </w:rPr>
        <w:t>检查规格型号是否一致，</w:t>
      </w:r>
      <w:r>
        <w:rPr>
          <w:spacing w:val="-41"/>
        </w:rPr>
        <w:t xml:space="preserve"> </w:t>
      </w:r>
      <w:r>
        <w:rPr>
          <w:spacing w:val="-8"/>
        </w:rPr>
        <w:t>检查包装是否完好；</w:t>
      </w:r>
      <w:r>
        <w:rPr>
          <w:spacing w:val="52"/>
        </w:rPr>
        <w:t xml:space="preserve"> </w:t>
      </w:r>
      <w:r>
        <w:rPr>
          <w:spacing w:val="-8"/>
        </w:rPr>
        <w:t>查验检测报告、合格</w:t>
      </w:r>
      <w:r>
        <w:rPr>
          <w:spacing w:val="-2"/>
        </w:rPr>
        <w:t>证等证明文件是否齐 全。发生验收纠纷时做好商务记录，报主管部门协调解决。验收清单一式三份：乙方、采购站、甲方各一份。提出异议期限： 双方如有异议， 可在本合同签章前提出； 否则， 视为对本合同及合同条款无任何异议。</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九、结算方式及期限</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rFonts w:hint="default" w:eastAsiaTheme="minorEastAsia"/>
          <w:spacing w:val="-2"/>
          <w:u w:val="single"/>
          <w:lang w:val="en-US" w:eastAsia="zh-CN"/>
        </w:rPr>
      </w:pPr>
      <w:r>
        <w:rPr>
          <w:spacing w:val="-2"/>
        </w:rPr>
        <w:t>结算方式及期限</w:t>
      </w:r>
      <w:r>
        <w:rPr>
          <w:rFonts w:hint="eastAsia"/>
          <w:spacing w:val="-2"/>
          <w:lang w:eastAsia="zh-CN"/>
        </w:rPr>
        <w:t>：</w:t>
      </w:r>
      <w:r>
        <w:rPr>
          <w:rFonts w:hint="eastAsia"/>
          <w:spacing w:val="-2"/>
          <w:u w:val="single"/>
          <w:lang w:eastAsia="zh-CN"/>
        </w:rPr>
        <w:t>（</w:t>
      </w:r>
      <w:r>
        <w:rPr>
          <w:rFonts w:hint="eastAsia"/>
          <w:spacing w:val="-2"/>
          <w:u w:val="single"/>
          <w:lang w:val="en-US" w:eastAsia="zh-CN"/>
        </w:rPr>
        <w:t>双方签订合同时协商确定</w:t>
      </w:r>
      <w:r>
        <w:rPr>
          <w:rFonts w:hint="eastAsia"/>
          <w:spacing w:val="-2"/>
          <w:u w:val="single"/>
          <w:lang w:eastAsia="zh-CN"/>
        </w:rPr>
        <w:t>）</w:t>
      </w:r>
      <w:r>
        <w:rPr>
          <w:rFonts w:hint="eastAsia"/>
          <w:spacing w:val="-2"/>
          <w:u w:val="single"/>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十、保修期限、技术培训及售后服务</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按照乙方投标文件承诺，乙方须向甲方提供</w:t>
      </w:r>
      <w:r>
        <w:rPr>
          <w:spacing w:val="-109"/>
        </w:rPr>
        <w:t xml:space="preserve"> </w:t>
      </w:r>
      <w:r>
        <w:rPr>
          <w:u w:val="single" w:color="auto"/>
        </w:rPr>
        <w:t xml:space="preserve">     </w:t>
      </w:r>
      <w:r>
        <w:rPr>
          <w:spacing w:val="-110"/>
        </w:rPr>
        <w:t xml:space="preserve"> </w:t>
      </w:r>
      <w:r>
        <w:rPr>
          <w:spacing w:val="-1"/>
        </w:rPr>
        <w:t>年的产品保修期。在保修期内产</w:t>
      </w:r>
      <w:r>
        <w:t xml:space="preserve"> </w:t>
      </w:r>
      <w:r>
        <w:rPr>
          <w:spacing w:val="-12"/>
        </w:rPr>
        <w:t>品质量出现问题或因产品质量引起的相关问题，</w:t>
      </w:r>
      <w:r>
        <w:rPr>
          <w:spacing w:val="82"/>
        </w:rPr>
        <w:t xml:space="preserve"> </w:t>
      </w:r>
      <w:r>
        <w:rPr>
          <w:spacing w:val="-12"/>
        </w:rPr>
        <w:t>由乙方承担经济及法律责任；</w:t>
      </w:r>
      <w:r>
        <w:rPr>
          <w:spacing w:val="60"/>
        </w:rPr>
        <w:t xml:space="preserve"> </w:t>
      </w:r>
      <w:r>
        <w:rPr>
          <w:spacing w:val="-12"/>
        </w:rPr>
        <w:t>因使用不</w:t>
      </w:r>
      <w:r>
        <w:t xml:space="preserve"> </w:t>
      </w:r>
      <w:r>
        <w:rPr>
          <w:spacing w:val="-7"/>
        </w:rPr>
        <w:t>当、违规操作或自然灾害引起的事故，</w:t>
      </w:r>
      <w:r>
        <w:rPr>
          <w:spacing w:val="70"/>
        </w:rPr>
        <w:t xml:space="preserve"> </w:t>
      </w:r>
      <w:r>
        <w:rPr>
          <w:spacing w:val="-7"/>
        </w:rPr>
        <w:t>乙方不承担相关经济及法律责任。投标文件中有</w:t>
      </w:r>
      <w:r>
        <w:rPr>
          <w:spacing w:val="-3"/>
        </w:rPr>
        <w:t>关售后服务承诺在质保期限内始终有效。</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十一、违约责任</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1、乙方必须按甲方要求按时交货；若推迟交货时间每增加 1</w:t>
      </w:r>
      <w:r>
        <w:rPr>
          <w:spacing w:val="-37"/>
        </w:rPr>
        <w:t xml:space="preserve"> </w:t>
      </w:r>
      <w:r>
        <w:rPr>
          <w:spacing w:val="-3"/>
        </w:rPr>
        <w:t>个工作日按合同总数</w:t>
      </w:r>
      <w:r>
        <w:t xml:space="preserve"> </w:t>
      </w:r>
      <w:r>
        <w:rPr>
          <w:spacing w:val="-9"/>
        </w:rPr>
        <w:t>的</w:t>
      </w:r>
      <w:r>
        <w:rPr>
          <w:spacing w:val="-46"/>
        </w:rPr>
        <w:t xml:space="preserve"> </w:t>
      </w:r>
      <w:r>
        <w:rPr>
          <w:spacing w:val="-9"/>
        </w:rPr>
        <w:t>5‰累计赔偿甲方违约金，</w:t>
      </w:r>
      <w:r>
        <w:rPr>
          <w:spacing w:val="43"/>
        </w:rPr>
        <w:t xml:space="preserve"> </w:t>
      </w:r>
      <w:r>
        <w:rPr>
          <w:spacing w:val="-9"/>
        </w:rPr>
        <w:t>如推迟</w:t>
      </w:r>
      <w:r>
        <w:rPr>
          <w:spacing w:val="-45"/>
        </w:rPr>
        <w:t xml:space="preserve"> </w:t>
      </w:r>
      <w:r>
        <w:rPr>
          <w:spacing w:val="-9"/>
        </w:rPr>
        <w:t>30</w:t>
      </w:r>
      <w:r>
        <w:rPr>
          <w:spacing w:val="-46"/>
        </w:rPr>
        <w:t xml:space="preserve"> </w:t>
      </w:r>
      <w:r>
        <w:rPr>
          <w:spacing w:val="-9"/>
        </w:rPr>
        <w:t>天以上赔偿甲</w:t>
      </w:r>
      <w:r>
        <w:rPr>
          <w:spacing w:val="-10"/>
        </w:rPr>
        <w:t>方违约金按合同总数的</w:t>
      </w:r>
      <w:r>
        <w:rPr>
          <w:spacing w:val="-45"/>
        </w:rPr>
        <w:t xml:space="preserve"> </w:t>
      </w:r>
      <w:r>
        <w:rPr>
          <w:spacing w:val="-10"/>
        </w:rPr>
        <w:t>50%计，</w:t>
      </w:r>
      <w:r>
        <w:rPr>
          <w:spacing w:val="-42"/>
        </w:rPr>
        <w:t xml:space="preserve"> </w:t>
      </w:r>
      <w:r>
        <w:rPr>
          <w:spacing w:val="-10"/>
        </w:rPr>
        <w:t>并</w:t>
      </w:r>
      <w:r>
        <w:rPr>
          <w:spacing w:val="-4"/>
        </w:rPr>
        <w:t>承担由此造成的一切损失及后果（扣除甲方原因影响天数或不可抗力影响天</w:t>
      </w:r>
      <w:r>
        <w:rPr>
          <w:spacing w:val="-5"/>
        </w:rPr>
        <w:t>数）。</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spacing w:val="-9"/>
        </w:rPr>
      </w:pPr>
      <w:r>
        <w:t>2、双方享受同等义务与责任。当出现</w:t>
      </w:r>
      <w:r>
        <w:rPr>
          <w:spacing w:val="-9"/>
        </w:rPr>
        <w:t>质量、货款、交货期纠纷，并造成对方损失的，违约一方应当承担相应责任。</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十二、合同争议解决方式</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当出现合同争议时， 双方应友好协商解决； 当协商难以解决时， 双方均可以书面形式向上级部门反映情况或请求法律解决。</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十三、不可抗力</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不可抗力是指自然灾害(地震、泥石流、洪涝灾害等)、战争等情况。</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十四、其他约定事项</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1、乙方应无异议响应甲方招标文件要求，不得转让应履行的合同义务。</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2、质保期内，产品如出现质量或其他内在问题，乙方无条件更换新品。</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3、如乙方提供证明的文件不齐全、无到货验收单者，甲方有权拒付余款，乙方必须在甲方要求限期内改正，然后方可申请余款。</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4、分批运送的具体货物清单由需求部门向合同签订方和乙方提供，提供的需求清单以书面形式传递，内容要详细、准确，清单要求编号和日期完整。</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spacing w:val="-3"/>
        </w:rPr>
      </w:pPr>
      <w:r>
        <w:rPr>
          <w:spacing w:val="-3"/>
        </w:rPr>
        <w:t>十五、合同附件</w:t>
      </w:r>
    </w:p>
    <w:p>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eastAsia"/>
          <w:spacing w:val="-3"/>
          <w:lang w:val="en-US" w:eastAsia="zh-CN"/>
        </w:rPr>
      </w:pPr>
      <w:r>
        <w:rPr>
          <w:rFonts w:hint="eastAsia"/>
          <w:spacing w:val="-3"/>
          <w:lang w:val="en-US" w:eastAsia="zh-CN"/>
        </w:rPr>
        <w:t>双方根据项目情况添加附件。</w:t>
      </w:r>
    </w:p>
    <w:p>
      <w:pPr>
        <w:pStyle w:val="18"/>
        <w:spacing w:before="78" w:line="370" w:lineRule="auto"/>
        <w:ind w:left="490"/>
        <w:rPr>
          <w:rFonts w:hint="default"/>
          <w:spacing w:val="-15"/>
          <w:lang w:val="en-US" w:eastAsia="zh-CN"/>
        </w:rPr>
      </w:pPr>
      <w:r>
        <w:rPr>
          <w:rFonts w:hint="eastAsia"/>
          <w:spacing w:val="-15"/>
          <w:lang w:val="en-US" w:eastAsia="zh-CN"/>
        </w:rPr>
        <w:t>十六、合同期限及份数</w:t>
      </w:r>
    </w:p>
    <w:p>
      <w:pPr>
        <w:pStyle w:val="18"/>
        <w:spacing w:before="78" w:line="370" w:lineRule="auto"/>
        <w:ind w:left="490"/>
      </w:pPr>
      <w:r>
        <w:rPr>
          <w:spacing w:val="-15"/>
        </w:rPr>
        <w:t>合同有效期：</w:t>
      </w:r>
      <w:r>
        <w:rPr>
          <w:spacing w:val="55"/>
        </w:rPr>
        <w:t xml:space="preserve"> </w:t>
      </w:r>
      <w:r>
        <w:rPr>
          <w:u w:val="single" w:color="auto"/>
        </w:rPr>
        <w:t xml:space="preserve">   </w:t>
      </w:r>
      <w:r>
        <w:rPr>
          <w:rFonts w:hint="eastAsia"/>
          <w:u w:val="single" w:color="auto"/>
          <w:lang w:val="en-US" w:eastAsia="zh-CN"/>
        </w:rPr>
        <w:t xml:space="preserve">  </w:t>
      </w:r>
      <w:r>
        <w:rPr>
          <w:u w:val="single" w:color="auto"/>
        </w:rPr>
        <w:t xml:space="preserve">  </w:t>
      </w:r>
      <w:r>
        <w:rPr>
          <w:spacing w:val="-109"/>
        </w:rPr>
        <w:t xml:space="preserve"> </w:t>
      </w:r>
      <w:r>
        <w:rPr>
          <w:spacing w:val="-15"/>
        </w:rPr>
        <w:t>年</w:t>
      </w:r>
      <w:r>
        <w:rPr>
          <w:spacing w:val="-15"/>
          <w:u w:val="single" w:color="auto"/>
        </w:rPr>
        <w:t xml:space="preserve"> </w:t>
      </w:r>
      <w:r>
        <w:rPr>
          <w:rFonts w:hint="eastAsia"/>
          <w:spacing w:val="-15"/>
          <w:u w:val="single" w:color="auto"/>
          <w:lang w:val="en-US" w:eastAsia="zh-CN"/>
        </w:rPr>
        <w:t xml:space="preserve">     </w:t>
      </w:r>
      <w:r>
        <w:rPr>
          <w:spacing w:val="-15"/>
          <w:u w:val="single" w:color="auto"/>
        </w:rPr>
        <w:t xml:space="preserve">  </w:t>
      </w:r>
      <w:r>
        <w:rPr>
          <w:spacing w:val="-105"/>
        </w:rPr>
        <w:t xml:space="preserve"> </w:t>
      </w:r>
      <w:r>
        <w:rPr>
          <w:spacing w:val="-15"/>
        </w:rPr>
        <w:t>月</w:t>
      </w:r>
      <w:r>
        <w:rPr>
          <w:u w:val="single" w:color="auto"/>
        </w:rPr>
        <w:t xml:space="preserve">  </w:t>
      </w:r>
      <w:r>
        <w:rPr>
          <w:rFonts w:hint="eastAsia"/>
          <w:u w:val="single" w:color="auto"/>
          <w:lang w:val="en-US" w:eastAsia="zh-CN"/>
        </w:rPr>
        <w:t xml:space="preserve">   </w:t>
      </w:r>
      <w:r>
        <w:rPr>
          <w:u w:val="single" w:color="auto"/>
        </w:rPr>
        <w:t xml:space="preserve"> </w:t>
      </w:r>
      <w:r>
        <w:rPr>
          <w:spacing w:val="-70"/>
        </w:rPr>
        <w:t xml:space="preserve"> </w:t>
      </w:r>
      <w:r>
        <w:rPr>
          <w:spacing w:val="-15"/>
        </w:rPr>
        <w:t>日至</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日，到期自</w:t>
      </w:r>
      <w:r>
        <w:rPr>
          <w:spacing w:val="-16"/>
        </w:rPr>
        <w:t>行废止。</w:t>
      </w:r>
    </w:p>
    <w:p>
      <w:pPr>
        <w:pStyle w:val="18"/>
        <w:spacing w:before="2" w:line="218" w:lineRule="auto"/>
        <w:ind w:left="490"/>
        <w:rPr>
          <w:rFonts w:hint="default" w:eastAsiaTheme="minorEastAsia"/>
          <w:lang w:val="en-US" w:eastAsia="zh-CN"/>
        </w:rPr>
      </w:pPr>
      <w:r>
        <w:rPr>
          <w:spacing w:val="-6"/>
        </w:rPr>
        <w:t>本合同一式</w:t>
      </w:r>
      <w:r>
        <w:rPr>
          <w:spacing w:val="-34"/>
        </w:rPr>
        <w:t xml:space="preserve"> </w:t>
      </w:r>
      <w:r>
        <w:rPr>
          <w:spacing w:val="-6"/>
          <w:u w:val="single"/>
        </w:rPr>
        <w:t>6</w:t>
      </w:r>
      <w:r>
        <w:rPr>
          <w:spacing w:val="-51"/>
          <w:u w:val="single"/>
        </w:rPr>
        <w:t xml:space="preserve"> </w:t>
      </w:r>
      <w:r>
        <w:rPr>
          <w:rFonts w:hint="eastAsia"/>
          <w:spacing w:val="-51"/>
          <w:u w:val="single"/>
          <w:lang w:val="en-US" w:eastAsia="zh-CN"/>
        </w:rPr>
        <w:t xml:space="preserve">     </w:t>
      </w:r>
      <w:r>
        <w:rPr>
          <w:spacing w:val="-6"/>
        </w:rPr>
        <w:t>份</w:t>
      </w:r>
      <w:r>
        <w:rPr>
          <w:rFonts w:hint="eastAsia"/>
          <w:spacing w:val="-6"/>
          <w:lang w:eastAsia="zh-CN"/>
        </w:rPr>
        <w:t>，</w:t>
      </w:r>
      <w:r>
        <w:rPr>
          <w:rFonts w:hint="eastAsia"/>
          <w:spacing w:val="-6"/>
          <w:lang w:val="en-US" w:eastAsia="zh-CN"/>
        </w:rPr>
        <w:t>双方各执</w:t>
      </w:r>
      <w:r>
        <w:rPr>
          <w:rFonts w:hint="eastAsia"/>
          <w:spacing w:val="-6"/>
          <w:u w:val="single"/>
          <w:lang w:val="en-US" w:eastAsia="zh-CN"/>
        </w:rPr>
        <w:t>3</w:t>
      </w:r>
      <w:r>
        <w:rPr>
          <w:rFonts w:hint="eastAsia"/>
          <w:spacing w:val="-6"/>
          <w:lang w:val="en-US" w:eastAsia="zh-CN"/>
        </w:rPr>
        <w:t>份。</w:t>
      </w:r>
    </w:p>
    <w:p>
      <w:pPr>
        <w:spacing w:line="179" w:lineRule="exact"/>
      </w:pPr>
    </w:p>
    <w:tbl>
      <w:tblPr>
        <w:tblStyle w:val="252"/>
        <w:tblW w:w="913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6"/>
        <w:gridCol w:w="4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pPr>
              <w:spacing w:before="47" w:line="217" w:lineRule="auto"/>
              <w:ind w:left="130"/>
              <w:rPr>
                <w:rFonts w:ascii="宋体" w:hAnsi="宋体" w:eastAsia="宋体" w:cs="宋体"/>
                <w:sz w:val="24"/>
                <w:szCs w:val="24"/>
              </w:rPr>
            </w:pPr>
            <w:r>
              <w:rPr>
                <w:rFonts w:ascii="宋体" w:hAnsi="宋体" w:eastAsia="宋体" w:cs="宋体"/>
                <w:spacing w:val="-4"/>
                <w:sz w:val="24"/>
                <w:szCs w:val="24"/>
              </w:rPr>
              <w:t>需方(甲方)：</w:t>
            </w:r>
          </w:p>
        </w:tc>
        <w:tc>
          <w:tcPr>
            <w:tcW w:w="4563" w:type="dxa"/>
            <w:vAlign w:val="top"/>
          </w:tcPr>
          <w:p>
            <w:pPr>
              <w:spacing w:before="47" w:line="217" w:lineRule="auto"/>
              <w:ind w:left="116"/>
              <w:rPr>
                <w:rFonts w:ascii="宋体" w:hAnsi="宋体" w:eastAsia="宋体" w:cs="宋体"/>
                <w:sz w:val="24"/>
                <w:szCs w:val="24"/>
              </w:rPr>
            </w:pPr>
            <w:r>
              <w:rPr>
                <w:rFonts w:ascii="宋体" w:hAnsi="宋体" w:eastAsia="宋体" w:cs="宋体"/>
                <w:spacing w:val="-2"/>
                <w:sz w:val="24"/>
                <w:szCs w:val="24"/>
              </w:rPr>
              <w:t>供方(乙方)：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pPr>
              <w:spacing w:before="47" w:line="216" w:lineRule="auto"/>
              <w:ind w:left="119"/>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c>
          <w:tcPr>
            <w:tcW w:w="4563" w:type="dxa"/>
            <w:vAlign w:val="top"/>
          </w:tcPr>
          <w:p>
            <w:pPr>
              <w:spacing w:before="47" w:line="216" w:lineRule="auto"/>
              <w:ind w:left="118"/>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576" w:type="dxa"/>
            <w:vAlign w:val="top"/>
          </w:tcPr>
          <w:p>
            <w:pPr>
              <w:spacing w:before="44" w:line="216" w:lineRule="auto"/>
              <w:ind w:left="119"/>
              <w:rPr>
                <w:rFonts w:ascii="宋体" w:hAnsi="宋体" w:eastAsia="宋体" w:cs="宋体"/>
                <w:sz w:val="24"/>
                <w:szCs w:val="24"/>
              </w:rPr>
            </w:pPr>
            <w:r>
              <w:rPr>
                <w:rFonts w:ascii="宋体" w:hAnsi="宋体" w:eastAsia="宋体" w:cs="宋体"/>
                <w:spacing w:val="-11"/>
                <w:sz w:val="24"/>
                <w:szCs w:val="24"/>
              </w:rPr>
              <w:t>单位地址：</w:t>
            </w:r>
          </w:p>
        </w:tc>
        <w:tc>
          <w:tcPr>
            <w:tcW w:w="4563" w:type="dxa"/>
            <w:vAlign w:val="top"/>
          </w:tcPr>
          <w:p>
            <w:pPr>
              <w:spacing w:before="44" w:line="216" w:lineRule="auto"/>
              <w:ind w:left="118"/>
              <w:rPr>
                <w:rFonts w:ascii="宋体" w:hAnsi="宋体" w:eastAsia="宋体" w:cs="宋体"/>
                <w:sz w:val="24"/>
                <w:szCs w:val="24"/>
              </w:rPr>
            </w:pPr>
            <w:r>
              <w:rPr>
                <w:rFonts w:ascii="宋体" w:hAnsi="宋体" w:eastAsia="宋体" w:cs="宋体"/>
                <w:spacing w:val="-11"/>
                <w:sz w:val="24"/>
                <w:szCs w:val="24"/>
              </w:rPr>
              <w:t>单位地址：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pPr>
              <w:spacing w:before="47" w:line="216" w:lineRule="auto"/>
              <w:ind w:left="118"/>
              <w:rPr>
                <w:rFonts w:ascii="宋体" w:hAnsi="宋体" w:eastAsia="宋体" w:cs="宋体"/>
                <w:sz w:val="24"/>
                <w:szCs w:val="24"/>
              </w:rPr>
            </w:pPr>
            <w:r>
              <w:rPr>
                <w:rFonts w:ascii="宋体" w:hAnsi="宋体" w:eastAsia="宋体" w:cs="宋体"/>
                <w:spacing w:val="-10"/>
                <w:sz w:val="24"/>
                <w:szCs w:val="24"/>
              </w:rPr>
              <w:t>法定代表人：</w:t>
            </w:r>
          </w:p>
        </w:tc>
        <w:tc>
          <w:tcPr>
            <w:tcW w:w="4563" w:type="dxa"/>
            <w:vAlign w:val="top"/>
          </w:tcPr>
          <w:p>
            <w:pPr>
              <w:spacing w:before="47" w:line="216" w:lineRule="auto"/>
              <w:ind w:left="117"/>
              <w:rPr>
                <w:rFonts w:ascii="宋体" w:hAnsi="宋体" w:eastAsia="宋体" w:cs="宋体"/>
                <w:sz w:val="24"/>
                <w:szCs w:val="24"/>
              </w:rPr>
            </w:pPr>
            <w:r>
              <w:rPr>
                <w:rFonts w:ascii="宋体" w:hAnsi="宋体" w:eastAsia="宋体" w:cs="宋体"/>
                <w:spacing w:val="-10"/>
                <w:sz w:val="24"/>
                <w:szCs w:val="24"/>
              </w:rPr>
              <w:t>法定代表人：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576" w:type="dxa"/>
            <w:vAlign w:val="top"/>
          </w:tcPr>
          <w:p>
            <w:pPr>
              <w:spacing w:before="45" w:line="215" w:lineRule="auto"/>
              <w:ind w:left="116"/>
              <w:rPr>
                <w:rFonts w:ascii="宋体" w:hAnsi="宋体" w:eastAsia="宋体" w:cs="宋体"/>
                <w:sz w:val="24"/>
                <w:szCs w:val="24"/>
              </w:rPr>
            </w:pPr>
            <w:r>
              <w:rPr>
                <w:rFonts w:ascii="宋体" w:hAnsi="宋体" w:eastAsia="宋体" w:cs="宋体"/>
                <w:spacing w:val="-9"/>
                <w:sz w:val="24"/>
                <w:szCs w:val="24"/>
              </w:rPr>
              <w:t>委托代理人：</w:t>
            </w:r>
          </w:p>
        </w:tc>
        <w:tc>
          <w:tcPr>
            <w:tcW w:w="4563" w:type="dxa"/>
            <w:vAlign w:val="top"/>
          </w:tcPr>
          <w:p>
            <w:pPr>
              <w:spacing w:before="45" w:line="215" w:lineRule="auto"/>
              <w:ind w:left="115"/>
              <w:rPr>
                <w:rFonts w:ascii="宋体" w:hAnsi="宋体" w:eastAsia="宋体" w:cs="宋体"/>
                <w:sz w:val="24"/>
                <w:szCs w:val="24"/>
              </w:rPr>
            </w:pPr>
            <w:r>
              <w:rPr>
                <w:rFonts w:ascii="宋体" w:hAnsi="宋体" w:eastAsia="宋体" w:cs="宋体"/>
                <w:spacing w:val="-9"/>
                <w:sz w:val="24"/>
                <w:szCs w:val="24"/>
              </w:rPr>
              <w:t>委托代理人：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4576" w:type="dxa"/>
            <w:vAlign w:val="top"/>
          </w:tcPr>
          <w:p>
            <w:pPr>
              <w:spacing w:before="48" w:line="215" w:lineRule="auto"/>
              <w:ind w:left="145"/>
              <w:rPr>
                <w:rFonts w:ascii="宋体" w:hAnsi="宋体" w:eastAsia="宋体" w:cs="宋体"/>
                <w:sz w:val="24"/>
                <w:szCs w:val="24"/>
              </w:rPr>
            </w:pPr>
            <w:r>
              <w:rPr>
                <w:rFonts w:ascii="宋体" w:hAnsi="宋体" w:eastAsia="宋体" w:cs="宋体"/>
                <w:spacing w:val="-15"/>
                <w:sz w:val="24"/>
                <w:szCs w:val="24"/>
              </w:rPr>
              <w:t>电话号码：</w:t>
            </w:r>
          </w:p>
        </w:tc>
        <w:tc>
          <w:tcPr>
            <w:tcW w:w="4563" w:type="dxa"/>
            <w:vAlign w:val="top"/>
          </w:tcPr>
          <w:p>
            <w:pPr>
              <w:spacing w:before="48" w:line="215" w:lineRule="auto"/>
              <w:ind w:left="144"/>
              <w:rPr>
                <w:rFonts w:ascii="宋体" w:hAnsi="宋体" w:eastAsia="宋体" w:cs="宋体"/>
                <w:sz w:val="24"/>
                <w:szCs w:val="24"/>
              </w:rPr>
            </w:pPr>
            <w:r>
              <w:rPr>
                <w:rFonts w:ascii="宋体" w:hAnsi="宋体" w:eastAsia="宋体" w:cs="宋体"/>
                <w:spacing w:val="-15"/>
                <w:sz w:val="24"/>
                <w:szCs w:val="24"/>
              </w:rPr>
              <w:t>电话号码：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pPr>
              <w:spacing w:before="46" w:line="214" w:lineRule="auto"/>
              <w:ind w:left="118"/>
              <w:rPr>
                <w:rFonts w:ascii="宋体" w:hAnsi="宋体" w:eastAsia="宋体" w:cs="宋体"/>
                <w:sz w:val="24"/>
                <w:szCs w:val="24"/>
              </w:rPr>
            </w:pPr>
            <w:r>
              <w:rPr>
                <w:rFonts w:ascii="宋体" w:hAnsi="宋体" w:eastAsia="宋体" w:cs="宋体"/>
                <w:spacing w:val="-11"/>
                <w:sz w:val="24"/>
                <w:szCs w:val="24"/>
              </w:rPr>
              <w:t>开户全称：</w:t>
            </w:r>
          </w:p>
        </w:tc>
        <w:tc>
          <w:tcPr>
            <w:tcW w:w="4563" w:type="dxa"/>
            <w:vAlign w:val="top"/>
          </w:tcPr>
          <w:p>
            <w:pPr>
              <w:spacing w:before="46" w:line="214" w:lineRule="auto"/>
              <w:ind w:left="117"/>
              <w:rPr>
                <w:rFonts w:ascii="宋体" w:hAnsi="宋体" w:eastAsia="宋体" w:cs="宋体"/>
                <w:sz w:val="24"/>
                <w:szCs w:val="24"/>
              </w:rPr>
            </w:pPr>
            <w:r>
              <w:rPr>
                <w:rFonts w:ascii="宋体" w:hAnsi="宋体" w:eastAsia="宋体" w:cs="宋体"/>
                <w:spacing w:val="-11"/>
                <w:sz w:val="24"/>
                <w:szCs w:val="24"/>
              </w:rPr>
              <w:t>开户全称：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4576" w:type="dxa"/>
            <w:vAlign w:val="top"/>
          </w:tcPr>
          <w:p>
            <w:pPr>
              <w:spacing w:before="49" w:line="214" w:lineRule="auto"/>
              <w:ind w:left="118"/>
              <w:rPr>
                <w:rFonts w:ascii="宋体" w:hAnsi="宋体" w:eastAsia="宋体" w:cs="宋体"/>
                <w:sz w:val="24"/>
                <w:szCs w:val="24"/>
              </w:rPr>
            </w:pPr>
            <w:r>
              <w:rPr>
                <w:rFonts w:ascii="宋体" w:hAnsi="宋体" w:eastAsia="宋体" w:cs="宋体"/>
                <w:spacing w:val="-11"/>
                <w:sz w:val="24"/>
                <w:szCs w:val="24"/>
              </w:rPr>
              <w:t>开户银行：</w:t>
            </w:r>
          </w:p>
        </w:tc>
        <w:tc>
          <w:tcPr>
            <w:tcW w:w="4563" w:type="dxa"/>
            <w:vAlign w:val="top"/>
          </w:tcPr>
          <w:p>
            <w:pPr>
              <w:spacing w:before="49" w:line="214" w:lineRule="auto"/>
              <w:ind w:left="117"/>
              <w:rPr>
                <w:rFonts w:ascii="宋体" w:hAnsi="宋体" w:eastAsia="宋体" w:cs="宋体"/>
                <w:sz w:val="24"/>
                <w:szCs w:val="24"/>
              </w:rPr>
            </w:pPr>
            <w:r>
              <w:rPr>
                <w:rFonts w:ascii="宋体" w:hAnsi="宋体" w:eastAsia="宋体" w:cs="宋体"/>
                <w:spacing w:val="-11"/>
                <w:sz w:val="24"/>
                <w:szCs w:val="24"/>
              </w:rPr>
              <w:t>开户银行：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pPr>
              <w:spacing w:before="46" w:line="214" w:lineRule="auto"/>
              <w:ind w:left="118"/>
              <w:rPr>
                <w:rFonts w:ascii="宋体" w:hAnsi="宋体" w:eastAsia="宋体" w:cs="宋体"/>
                <w:sz w:val="24"/>
                <w:szCs w:val="24"/>
              </w:rPr>
            </w:pPr>
            <w:r>
              <w:rPr>
                <w:rFonts w:ascii="宋体" w:hAnsi="宋体" w:eastAsia="宋体" w:cs="宋体"/>
                <w:spacing w:val="-11"/>
                <w:sz w:val="24"/>
                <w:szCs w:val="24"/>
              </w:rPr>
              <w:t>银行帐号：</w:t>
            </w:r>
          </w:p>
        </w:tc>
        <w:tc>
          <w:tcPr>
            <w:tcW w:w="4563" w:type="dxa"/>
            <w:vAlign w:val="top"/>
          </w:tcPr>
          <w:p>
            <w:pPr>
              <w:spacing w:before="46" w:line="214" w:lineRule="auto"/>
              <w:ind w:left="117"/>
              <w:rPr>
                <w:rFonts w:ascii="宋体" w:hAnsi="宋体" w:eastAsia="宋体" w:cs="宋体"/>
                <w:sz w:val="24"/>
                <w:szCs w:val="24"/>
              </w:rPr>
            </w:pPr>
            <w:r>
              <w:rPr>
                <w:rFonts w:ascii="宋体" w:hAnsi="宋体" w:eastAsia="宋体" w:cs="宋体"/>
                <w:spacing w:val="-11"/>
                <w:sz w:val="24"/>
                <w:szCs w:val="24"/>
              </w:rPr>
              <w:t>银行帐号：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4576" w:type="dxa"/>
            <w:vAlign w:val="top"/>
          </w:tcPr>
          <w:p>
            <w:pPr>
              <w:spacing w:before="51" w:line="216" w:lineRule="auto"/>
              <w:ind w:left="134"/>
              <w:rPr>
                <w:rFonts w:ascii="宋体" w:hAnsi="宋体" w:eastAsia="宋体" w:cs="宋体"/>
                <w:sz w:val="24"/>
                <w:szCs w:val="24"/>
              </w:rPr>
            </w:pPr>
            <w:r>
              <w:rPr>
                <w:rFonts w:ascii="宋体" w:hAnsi="宋体" w:eastAsia="宋体" w:cs="宋体"/>
                <w:spacing w:val="-14"/>
                <w:sz w:val="24"/>
                <w:szCs w:val="24"/>
              </w:rPr>
              <w:t>邮政编码：</w:t>
            </w:r>
          </w:p>
        </w:tc>
        <w:tc>
          <w:tcPr>
            <w:tcW w:w="4563" w:type="dxa"/>
            <w:vAlign w:val="top"/>
          </w:tcPr>
          <w:p>
            <w:pPr>
              <w:spacing w:before="51" w:line="216" w:lineRule="auto"/>
              <w:ind w:left="133"/>
              <w:rPr>
                <w:rFonts w:ascii="宋体" w:hAnsi="宋体" w:eastAsia="宋体" w:cs="宋体"/>
                <w:sz w:val="24"/>
                <w:szCs w:val="24"/>
              </w:rPr>
            </w:pPr>
            <w:r>
              <w:rPr>
                <w:rFonts w:ascii="宋体" w:hAnsi="宋体" w:eastAsia="宋体" w:cs="宋体"/>
                <w:spacing w:val="-14"/>
                <w:sz w:val="24"/>
                <w:szCs w:val="24"/>
              </w:rPr>
              <w:t>邮政编码：</w:t>
            </w:r>
          </w:p>
        </w:tc>
      </w:tr>
    </w:tbl>
    <w:p>
      <w:pPr>
        <w:spacing w:line="258" w:lineRule="auto"/>
        <w:rPr>
          <w:rFonts w:ascii="Arial"/>
          <w:sz w:val="21"/>
        </w:rPr>
      </w:pPr>
    </w:p>
    <w:p>
      <w:pPr>
        <w:jc w:val="center"/>
        <w:rPr>
          <w:rFonts w:ascii="宋体" w:hAnsi="宋体" w:cs="宋体"/>
          <w:b/>
          <w:bCs/>
          <w:sz w:val="24"/>
          <w:szCs w:val="24"/>
        </w:rPr>
      </w:pPr>
    </w:p>
    <w:p>
      <w:pPr>
        <w:widowControl/>
        <w:jc w:val="left"/>
        <w:rPr>
          <w:rStyle w:val="59"/>
          <w:rFonts w:ascii="黑体" w:hAnsi="黑体" w:eastAsia="黑体"/>
          <w:sz w:val="36"/>
          <w:szCs w:val="36"/>
        </w:rPr>
        <w:sectPr>
          <w:headerReference r:id="rId6" w:type="default"/>
          <w:footerReference r:id="rId7" w:type="default"/>
          <w:pgSz w:w="11906" w:h="16838"/>
          <w:pgMar w:top="1440" w:right="1800" w:bottom="1440" w:left="1800" w:header="851" w:footer="992" w:gutter="0"/>
          <w:cols w:space="720" w:num="1"/>
          <w:docGrid w:type="lines" w:linePitch="312" w:charSpace="0"/>
        </w:sectPr>
      </w:pPr>
      <w:bookmarkStart w:id="230" w:name="_Toc38013568"/>
      <w:bookmarkStart w:id="231" w:name="_Toc12464209"/>
      <w:bookmarkStart w:id="232" w:name="_Toc514226064"/>
      <w:bookmarkStart w:id="233" w:name="_Toc512673808"/>
      <w:bookmarkStart w:id="234" w:name="_Toc632"/>
      <w:bookmarkStart w:id="235" w:name="_Toc377025612"/>
    </w:p>
    <w:p>
      <w:pPr>
        <w:pStyle w:val="2"/>
        <w:numPr>
          <w:ilvl w:val="0"/>
          <w:numId w:val="1"/>
        </w:numPr>
        <w:spacing w:before="240" w:after="240"/>
        <w:ind w:left="240" w:leftChars="0" w:firstLineChars="0"/>
        <w:jc w:val="center"/>
        <w:rPr>
          <w:rStyle w:val="59"/>
          <w:rFonts w:hint="eastAsia" w:ascii="黑体" w:hAnsi="黑体" w:eastAsia="黑体"/>
          <w:b w:val="0"/>
          <w:bCs w:val="0"/>
          <w:sz w:val="36"/>
          <w:szCs w:val="36"/>
          <w:lang w:val="en-US" w:eastAsia="zh-CN" w:bidi="ar-SA"/>
        </w:rPr>
      </w:pPr>
      <w:r>
        <w:rPr>
          <w:rStyle w:val="59"/>
          <w:rFonts w:hint="eastAsia" w:ascii="黑体" w:hAnsi="黑体" w:eastAsia="黑体"/>
          <w:b w:val="0"/>
          <w:bCs w:val="0"/>
          <w:sz w:val="36"/>
          <w:szCs w:val="36"/>
          <w:lang w:val="en-US" w:eastAsia="zh-CN" w:bidi="ar-SA"/>
        </w:rPr>
        <w:t>技术标准和要求</w:t>
      </w:r>
      <w:bookmarkEnd w:id="230"/>
      <w:bookmarkEnd w:id="231"/>
      <w:bookmarkStart w:id="236" w:name="_Toc534207356"/>
      <w:bookmarkStart w:id="237" w:name="_Hlk113461754"/>
    </w:p>
    <w:bookmarkEnd w:id="236"/>
    <w:bookmarkEnd w:id="237"/>
    <w:p>
      <w:pPr>
        <w:keepNext/>
        <w:numPr>
          <w:ilvl w:val="0"/>
          <w:numId w:val="2"/>
        </w:numPr>
        <w:spacing w:before="240" w:after="240" w:line="360" w:lineRule="auto"/>
        <w:ind w:left="0" w:right="0" w:firstLine="0"/>
        <w:jc w:val="center"/>
        <w:rPr>
          <w:rFonts w:ascii="Times New Roman" w:hAnsi="Times New Roman" w:eastAsia="Times New Roman" w:cs="Times New Roman"/>
          <w:b/>
          <w:color w:val="auto"/>
          <w:spacing w:val="0"/>
          <w:position w:val="0"/>
          <w:sz w:val="44"/>
          <w:shd w:val="clear" w:fill="auto"/>
        </w:rPr>
      </w:pPr>
      <w:r>
        <w:rPr>
          <w:rFonts w:ascii="宋体" w:hAnsi="宋体" w:eastAsia="宋体" w:cs="宋体"/>
          <w:b/>
          <w:color w:val="auto"/>
          <w:spacing w:val="0"/>
          <w:position w:val="0"/>
          <w:sz w:val="44"/>
          <w:shd w:val="clear" w:fill="auto"/>
        </w:rPr>
        <w:t>招标内容及技术要求</w:t>
      </w:r>
    </w:p>
    <w:tbl>
      <w:tblPr>
        <w:tblStyle w:val="47"/>
        <w:tblW w:w="0" w:type="auto"/>
        <w:tblInd w:w="0" w:type="dxa"/>
        <w:tblLayout w:type="autofit"/>
        <w:tblCellMar>
          <w:top w:w="0" w:type="dxa"/>
          <w:left w:w="10" w:type="dxa"/>
          <w:bottom w:w="0" w:type="dxa"/>
          <w:right w:w="10" w:type="dxa"/>
        </w:tblCellMar>
      </w:tblPr>
      <w:tblGrid>
        <w:gridCol w:w="1164"/>
        <w:gridCol w:w="4135"/>
        <w:gridCol w:w="1676"/>
        <w:gridCol w:w="1744"/>
      </w:tblGrid>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ascii="微软雅黑" w:hAnsi="微软雅黑" w:eastAsia="微软雅黑" w:cs="微软雅黑"/>
                <w:color w:val="000000"/>
                <w:spacing w:val="0"/>
                <w:position w:val="0"/>
                <w:sz w:val="20"/>
                <w:shd w:val="clear" w:fill="auto"/>
              </w:rPr>
            </w:pPr>
            <w:r>
              <w:rPr>
                <w:rFonts w:ascii="微软雅黑" w:hAnsi="微软雅黑" w:eastAsia="微软雅黑" w:cs="微软雅黑"/>
                <w:color w:val="000000"/>
                <w:spacing w:val="0"/>
                <w:position w:val="0"/>
                <w:sz w:val="20"/>
                <w:shd w:val="clear" w:fill="auto"/>
              </w:rPr>
              <w:t>序号</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ascii="微软雅黑" w:hAnsi="微软雅黑" w:eastAsia="微软雅黑" w:cs="微软雅黑"/>
                <w:color w:val="000000"/>
                <w:spacing w:val="0"/>
                <w:position w:val="0"/>
                <w:sz w:val="20"/>
                <w:shd w:val="clear" w:fill="auto"/>
              </w:rPr>
            </w:pPr>
            <w:r>
              <w:rPr>
                <w:rFonts w:ascii="微软雅黑" w:hAnsi="微软雅黑" w:eastAsia="微软雅黑" w:cs="微软雅黑"/>
                <w:color w:val="000000"/>
                <w:spacing w:val="0"/>
                <w:position w:val="0"/>
                <w:sz w:val="20"/>
                <w:shd w:val="clear" w:fill="auto"/>
              </w:rPr>
              <w:t>名称</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ascii="微软雅黑" w:hAnsi="微软雅黑" w:eastAsia="微软雅黑" w:cs="微软雅黑"/>
                <w:color w:val="000000"/>
                <w:spacing w:val="0"/>
                <w:position w:val="0"/>
                <w:sz w:val="20"/>
                <w:shd w:val="clear" w:fill="auto"/>
              </w:rPr>
            </w:pPr>
            <w:r>
              <w:rPr>
                <w:rFonts w:ascii="微软雅黑" w:hAnsi="微软雅黑" w:eastAsia="微软雅黑" w:cs="微软雅黑"/>
                <w:color w:val="000000"/>
                <w:spacing w:val="0"/>
                <w:position w:val="0"/>
                <w:sz w:val="20"/>
                <w:shd w:val="clear" w:fill="auto"/>
              </w:rPr>
              <w:t>单位</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ascii="微软雅黑" w:hAnsi="微软雅黑" w:eastAsia="微软雅黑" w:cs="微软雅黑"/>
                <w:color w:val="000000"/>
                <w:spacing w:val="0"/>
                <w:position w:val="0"/>
                <w:sz w:val="20"/>
                <w:shd w:val="clear" w:fill="auto"/>
              </w:rPr>
            </w:pPr>
            <w:r>
              <w:rPr>
                <w:rFonts w:ascii="微软雅黑" w:hAnsi="微软雅黑" w:eastAsia="微软雅黑" w:cs="微软雅黑"/>
                <w:color w:val="000000"/>
                <w:spacing w:val="0"/>
                <w:position w:val="0"/>
                <w:sz w:val="20"/>
                <w:shd w:val="clear" w:fill="auto"/>
              </w:rPr>
              <w:t>数量</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1</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SO2分析仪</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00000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套</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2</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NO2分析仪</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00000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套</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3</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CO分析仪</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00000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套</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4</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O3分析仪</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00000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套</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5</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动态校准仪</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00000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台</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tabs>
                <w:tab w:val="left" w:pos="772"/>
                <w:tab w:val="center" w:pos="974"/>
              </w:tabs>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6</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零气发生器</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00000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台</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环境监控与质控联动设备</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00000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台</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8</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站房配套设施</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color w:val="000000"/>
                <w:spacing w:val="0"/>
                <w:position w:val="0"/>
                <w:sz w:val="21"/>
                <w:szCs w:val="21"/>
                <w:shd w:val="clear" w:fill="auto"/>
              </w:rPr>
            </w:pPr>
            <w:r>
              <w:rPr>
                <w:rFonts w:hint="eastAsia" w:asciiTheme="minorEastAsia" w:hAnsiTheme="minorEastAsia" w:eastAsiaTheme="minorEastAsia" w:cstheme="minorEastAsia"/>
                <w:b w:val="0"/>
                <w:bCs w:val="0"/>
                <w:color w:val="000000"/>
                <w:spacing w:val="0"/>
                <w:position w:val="0"/>
                <w:sz w:val="21"/>
                <w:szCs w:val="21"/>
                <w:shd w:val="clear" w:fill="auto"/>
              </w:rPr>
              <w:t>套</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240" w:lineRule="auto"/>
              <w:ind w:left="0" w:right="0" w:firstLine="0"/>
              <w:jc w:val="center"/>
              <w:rPr>
                <w:rFonts w:hint="eastAsia" w:asciiTheme="minorEastAsia" w:hAnsiTheme="minorEastAsia" w:eastAsiaTheme="minorEastAsia" w:cstheme="minorEastAsia"/>
                <w:b w:val="0"/>
                <w:bCs w:val="0"/>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36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9</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36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备件及耗材（1年服务用）</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36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套</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36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7</w:t>
            </w:r>
          </w:p>
        </w:tc>
      </w:tr>
      <w:tr>
        <w:tblPrEx>
          <w:tblCellMar>
            <w:top w:w="0" w:type="dxa"/>
            <w:left w:w="10" w:type="dxa"/>
            <w:bottom w:w="0" w:type="dxa"/>
            <w:right w:w="10" w:type="dxa"/>
          </w:tblCellMar>
        </w:tblPrEx>
        <w:trPr>
          <w:trHeight w:val="0" w:hRule="atLeast"/>
        </w:trPr>
        <w:tc>
          <w:tcPr>
            <w:tcW w:w="116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36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10</w:t>
            </w:r>
          </w:p>
        </w:tc>
        <w:tc>
          <w:tcPr>
            <w:tcW w:w="413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36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运行维护</w:t>
            </w:r>
          </w:p>
        </w:tc>
        <w:tc>
          <w:tcPr>
            <w:tcW w:w="167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36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年</w:t>
            </w:r>
          </w:p>
        </w:tc>
        <w:tc>
          <w:tcPr>
            <w:tcW w:w="174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widowControl w:val="0"/>
              <w:spacing w:before="0" w:after="0" w:line="360" w:lineRule="auto"/>
              <w:ind w:left="0" w:right="0" w:firstLine="0"/>
              <w:jc w:val="center"/>
              <w:rPr>
                <w:rFonts w:hint="eastAsia" w:asciiTheme="minorEastAsia" w:hAnsiTheme="minorEastAsia" w:eastAsiaTheme="minorEastAsia" w:cstheme="minorEastAsia"/>
                <w:b w:val="0"/>
                <w:bCs w:val="0"/>
                <w:color w:val="auto"/>
                <w:spacing w:val="0"/>
                <w:position w:val="0"/>
                <w:sz w:val="21"/>
                <w:szCs w:val="21"/>
                <w:shd w:val="clear" w:fill="auto"/>
              </w:rPr>
            </w:pPr>
            <w:r>
              <w:rPr>
                <w:rFonts w:hint="eastAsia" w:asciiTheme="minorEastAsia" w:hAnsiTheme="minorEastAsia" w:eastAsiaTheme="minorEastAsia" w:cstheme="minorEastAsia"/>
                <w:b w:val="0"/>
                <w:bCs w:val="0"/>
                <w:color w:val="auto"/>
                <w:spacing w:val="0"/>
                <w:position w:val="0"/>
                <w:sz w:val="21"/>
                <w:szCs w:val="21"/>
                <w:shd w:val="clear" w:fill="auto"/>
              </w:rPr>
              <w:t>1</w:t>
            </w:r>
          </w:p>
        </w:tc>
      </w:tr>
    </w:tbl>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p>
    <w:p>
      <w:pPr>
        <w:keepNext/>
        <w:numPr>
          <w:ilvl w:val="0"/>
          <w:numId w:val="3"/>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主要仪器的技术规格要求</w:t>
      </w:r>
    </w:p>
    <w:p>
      <w:pPr>
        <w:keepNext/>
        <w:numPr>
          <w:ilvl w:val="0"/>
          <w:numId w:val="3"/>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二氧化硫分析仪</w:t>
      </w:r>
    </w:p>
    <w:p>
      <w:pPr>
        <w:keepNext/>
        <w:numPr>
          <w:ilvl w:val="0"/>
          <w:numId w:val="3"/>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设备用途</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用于空气中二氧化硫浓度的监测</w:t>
      </w:r>
    </w:p>
    <w:p>
      <w:pPr>
        <w:keepNext/>
        <w:numPr>
          <w:ilvl w:val="0"/>
          <w:numId w:val="4"/>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配置要求</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含过滤滤膜等</w:t>
      </w:r>
    </w:p>
    <w:p>
      <w:pPr>
        <w:keepNext/>
        <w:numPr>
          <w:ilvl w:val="0"/>
          <w:numId w:val="5"/>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zCs w:val="30"/>
          <w:shd w:val="clear" w:fill="auto"/>
        </w:rPr>
        <w:t>技术参数要求【以环境保护部环境监测仪器质量监督检验中心出具的有效期内检测报告为准（需检测结果每次都满足）】</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分析方法：紫外荧光法</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量程范围：</w:t>
      </w:r>
      <w:r>
        <w:rPr>
          <w:rFonts w:ascii="Times New Roman" w:hAnsi="Times New Roman" w:eastAsia="Times New Roman" w:cs="Times New Roman"/>
          <w:color w:val="auto"/>
          <w:spacing w:val="0"/>
          <w:position w:val="0"/>
          <w:sz w:val="24"/>
          <w:shd w:val="clear" w:fill="auto"/>
        </w:rPr>
        <w:t>0-500ppb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零点噪声：≤</w:t>
      </w:r>
      <w:r>
        <w:rPr>
          <w:rFonts w:ascii="Times New Roman" w:hAnsi="Times New Roman" w:eastAsia="Times New Roman" w:cs="Times New Roman"/>
          <w:color w:val="auto"/>
          <w:spacing w:val="0"/>
          <w:position w:val="0"/>
          <w:sz w:val="24"/>
          <w:shd w:val="clear" w:fill="auto"/>
        </w:rPr>
        <w:t>0.25ppb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量程噪声：≤</w:t>
      </w:r>
      <w:r>
        <w:rPr>
          <w:rFonts w:ascii="Times New Roman" w:hAnsi="Times New Roman" w:eastAsia="Times New Roman" w:cs="Times New Roman"/>
          <w:color w:val="auto"/>
          <w:spacing w:val="0"/>
          <w:position w:val="0"/>
          <w:sz w:val="24"/>
          <w:shd w:val="clear" w:fill="auto"/>
        </w:rPr>
        <w:t>2.5ppb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最低检测限：≤</w:t>
      </w:r>
      <w:r>
        <w:rPr>
          <w:rFonts w:ascii="Times New Roman" w:hAnsi="Times New Roman" w:eastAsia="Times New Roman" w:cs="Times New Roman"/>
          <w:color w:val="auto"/>
          <w:spacing w:val="0"/>
          <w:position w:val="0"/>
          <w:sz w:val="24"/>
          <w:shd w:val="clear" w:fill="auto"/>
        </w:rPr>
        <w:t>0.5ppb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示值误差：±</w:t>
      </w:r>
      <w:r>
        <w:rPr>
          <w:rFonts w:ascii="Times New Roman" w:hAnsi="Times New Roman" w:eastAsia="Times New Roman" w:cs="Times New Roman"/>
          <w:color w:val="auto"/>
          <w:spacing w:val="0"/>
          <w:position w:val="0"/>
          <w:sz w:val="24"/>
          <w:shd w:val="clear" w:fill="auto"/>
        </w:rPr>
        <w:t>1%F.S.</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20%</w:t>
      </w:r>
      <w:r>
        <w:rPr>
          <w:rFonts w:ascii="宋体" w:hAnsi="宋体" w:eastAsia="宋体" w:cs="宋体"/>
          <w:color w:val="auto"/>
          <w:spacing w:val="0"/>
          <w:position w:val="0"/>
          <w:sz w:val="24"/>
          <w:shd w:val="clear" w:fill="auto"/>
        </w:rPr>
        <w:t>量程精密度：≤</w:t>
      </w:r>
      <w:r>
        <w:rPr>
          <w:rFonts w:ascii="Times New Roman" w:hAnsi="Times New Roman" w:eastAsia="Times New Roman" w:cs="Times New Roman"/>
          <w:color w:val="auto"/>
          <w:spacing w:val="0"/>
          <w:position w:val="0"/>
          <w:sz w:val="24"/>
          <w:shd w:val="clear" w:fill="auto"/>
        </w:rPr>
        <w:t>2ppb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80%</w:t>
      </w:r>
      <w:r>
        <w:rPr>
          <w:rFonts w:ascii="宋体" w:hAnsi="宋体" w:eastAsia="宋体" w:cs="宋体"/>
          <w:color w:val="auto"/>
          <w:spacing w:val="0"/>
          <w:position w:val="0"/>
          <w:sz w:val="24"/>
          <w:shd w:val="clear" w:fill="auto"/>
        </w:rPr>
        <w:t>量程精密度：≤</w:t>
      </w:r>
      <w:r>
        <w:rPr>
          <w:rFonts w:ascii="Times New Roman" w:hAnsi="Times New Roman" w:eastAsia="Times New Roman" w:cs="Times New Roman"/>
          <w:color w:val="auto"/>
          <w:spacing w:val="0"/>
          <w:position w:val="0"/>
          <w:sz w:val="24"/>
          <w:shd w:val="clear" w:fill="auto"/>
        </w:rPr>
        <w:t>4ppb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w:t>
      </w:r>
      <w:r>
        <w:rPr>
          <w:rFonts w:ascii="宋体" w:hAnsi="宋体" w:eastAsia="宋体" w:cs="宋体"/>
          <w:color w:val="auto"/>
          <w:spacing w:val="0"/>
          <w:position w:val="0"/>
          <w:sz w:val="24"/>
          <w:shd w:val="clear" w:fill="auto"/>
        </w:rPr>
        <w:t>零点漂移：±</w:t>
      </w:r>
      <w:r>
        <w:rPr>
          <w:rFonts w:ascii="Times New Roman" w:hAnsi="Times New Roman" w:eastAsia="Times New Roman" w:cs="Times New Roman"/>
          <w:color w:val="auto"/>
          <w:spacing w:val="0"/>
          <w:position w:val="0"/>
          <w:sz w:val="24"/>
          <w:shd w:val="clear" w:fill="auto"/>
        </w:rPr>
        <w:t>2/24h 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 20%</w:t>
      </w: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5ppb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 80%</w:t>
      </w: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5 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▲响应时间（上升</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下降）：≤</w:t>
      </w:r>
      <w:r>
        <w:rPr>
          <w:rFonts w:ascii="Times New Roman" w:hAnsi="Times New Roman" w:eastAsia="Times New Roman" w:cs="Times New Roman"/>
          <w:color w:val="auto"/>
          <w:spacing w:val="0"/>
          <w:position w:val="0"/>
          <w:sz w:val="24"/>
          <w:shd w:val="clear" w:fill="auto"/>
        </w:rPr>
        <w:t>90s</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电压稳定性：±</w:t>
      </w:r>
      <w:r>
        <w:rPr>
          <w:rFonts w:ascii="Times New Roman" w:hAnsi="Times New Roman" w:eastAsia="Times New Roman" w:cs="Times New Roman"/>
          <w:color w:val="auto"/>
          <w:spacing w:val="0"/>
          <w:position w:val="0"/>
          <w:sz w:val="24"/>
          <w:shd w:val="clear" w:fill="auto"/>
        </w:rPr>
        <w:t>1%F.S.</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流量稳定性：±</w:t>
      </w:r>
      <w:r>
        <w:rPr>
          <w:rFonts w:ascii="Times New Roman" w:hAnsi="Times New Roman" w:eastAsia="Times New Roman" w:cs="Times New Roman"/>
          <w:color w:val="auto"/>
          <w:spacing w:val="0"/>
          <w:position w:val="0"/>
          <w:sz w:val="24"/>
          <w:shd w:val="clear" w:fill="auto"/>
        </w:rPr>
        <w:t>10%</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环境温度变化影响：≤</w:t>
      </w:r>
      <w:r>
        <w:rPr>
          <w:rFonts w:ascii="Times New Roman" w:hAnsi="Times New Roman" w:eastAsia="Times New Roman" w:cs="Times New Roman"/>
          <w:color w:val="auto"/>
          <w:spacing w:val="0"/>
          <w:position w:val="0"/>
          <w:sz w:val="24"/>
          <w:shd w:val="clear" w:fill="auto"/>
        </w:rPr>
        <w:t>1ppb/</w:t>
      </w:r>
      <w:r>
        <w:rPr>
          <w:rFonts w:ascii="Segoe UI Symbol" w:hAnsi="Segoe UI Symbol" w:eastAsia="Segoe UI Symbol" w:cs="Segoe UI Symbol"/>
          <w:color w:val="auto"/>
          <w:spacing w:val="0"/>
          <w:position w:val="0"/>
          <w:sz w:val="24"/>
          <w:shd w:val="clear" w:fill="auto"/>
        </w:rPr>
        <w:t>℃</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长期零点漂移（</w:t>
      </w:r>
      <w:r>
        <w:rPr>
          <w:rFonts w:ascii="Times New Roman" w:hAnsi="Times New Roman" w:eastAsia="Times New Roman" w:cs="Times New Roman"/>
          <w:color w:val="auto"/>
          <w:spacing w:val="0"/>
          <w:position w:val="0"/>
          <w:sz w:val="24"/>
          <w:shd w:val="clear" w:fill="auto"/>
        </w:rPr>
        <w:t>7d</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2ppb</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长期量程漂移（</w:t>
      </w:r>
      <w:r>
        <w:rPr>
          <w:rFonts w:ascii="Times New Roman" w:hAnsi="Times New Roman" w:eastAsia="Times New Roman" w:cs="Times New Roman"/>
          <w:color w:val="auto"/>
          <w:spacing w:val="0"/>
          <w:position w:val="0"/>
          <w:sz w:val="24"/>
          <w:shd w:val="clear" w:fill="auto"/>
        </w:rPr>
        <w:t>7d</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10ppb</w:t>
      </w:r>
    </w:p>
    <w:p>
      <w:pPr>
        <w:keepNext/>
        <w:numPr>
          <w:ilvl w:val="0"/>
          <w:numId w:val="5"/>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产品性能要求</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具有中文触摸式彩屏，方便查询、操作维护；</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具备开机自检和运行自诊断功能；</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可自动存储校准数据及报警信息；</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支持一键查询历史数据；</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支持远程软件系统升级；</w:t>
      </w:r>
    </w:p>
    <w:p>
      <w:pPr>
        <w:numPr>
          <w:ilvl w:val="0"/>
          <w:numId w:val="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具备光源光强衰减自检功能</w:t>
      </w:r>
    </w:p>
    <w:p>
      <w:pPr>
        <w:keepNext/>
        <w:numPr>
          <w:ilvl w:val="0"/>
          <w:numId w:val="5"/>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氮氧化物分析仪</w:t>
      </w:r>
    </w:p>
    <w:p>
      <w:pPr>
        <w:keepNext/>
        <w:numPr>
          <w:ilvl w:val="0"/>
          <w:numId w:val="5"/>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设备用途</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用于空气中</w:t>
      </w:r>
      <w:r>
        <w:rPr>
          <w:rFonts w:ascii="Times New Roman" w:hAnsi="Times New Roman" w:eastAsia="Times New Roman" w:cs="Times New Roman"/>
          <w:color w:val="auto"/>
          <w:spacing w:val="0"/>
          <w:position w:val="0"/>
          <w:sz w:val="24"/>
          <w:shd w:val="clear" w:fill="auto"/>
        </w:rPr>
        <w:t>NO</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NO</w:t>
      </w:r>
      <w:r>
        <w:rPr>
          <w:rFonts w:ascii="Times New Roman" w:hAnsi="Times New Roman" w:eastAsia="Times New Roman" w:cs="Times New Roman"/>
          <w:color w:val="auto"/>
          <w:spacing w:val="0"/>
          <w:position w:val="0"/>
          <w:sz w:val="24"/>
          <w:shd w:val="clear" w:fill="auto"/>
          <w:vertAlign w:val="subscript"/>
        </w:rPr>
        <w:t>2</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NOx</w:t>
      </w:r>
      <w:r>
        <w:rPr>
          <w:rFonts w:ascii="宋体" w:hAnsi="宋体" w:eastAsia="宋体" w:cs="宋体"/>
          <w:color w:val="auto"/>
          <w:spacing w:val="0"/>
          <w:position w:val="0"/>
          <w:sz w:val="24"/>
          <w:shd w:val="clear" w:fill="auto"/>
        </w:rPr>
        <w:t>浓度的监测</w:t>
      </w:r>
    </w:p>
    <w:p>
      <w:pPr>
        <w:keepNext/>
        <w:numPr>
          <w:ilvl w:val="0"/>
          <w:numId w:val="6"/>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配置要求</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含过滤膜等</w:t>
      </w:r>
    </w:p>
    <w:p>
      <w:pPr>
        <w:keepNext/>
        <w:numPr>
          <w:ilvl w:val="0"/>
          <w:numId w:val="7"/>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技术参数要求【以环境保护部环境监测仪器质量监督检验中心出具的有效期内检测报告为准（需检测结果每次都满足）】</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分析方法：化学发光法</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测量范围：</w:t>
      </w:r>
      <w:r>
        <w:rPr>
          <w:rFonts w:ascii="Times New Roman" w:hAnsi="Times New Roman" w:eastAsia="Times New Roman" w:cs="Times New Roman"/>
          <w:color w:val="auto"/>
          <w:spacing w:val="0"/>
          <w:position w:val="0"/>
          <w:sz w:val="24"/>
          <w:shd w:val="clear" w:fill="auto"/>
        </w:rPr>
        <w:t>0-500ppb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零点噪声：≤</w:t>
      </w:r>
      <w:r>
        <w:rPr>
          <w:rFonts w:ascii="Times New Roman" w:hAnsi="Times New Roman" w:eastAsia="Times New Roman" w:cs="Times New Roman"/>
          <w:color w:val="auto"/>
          <w:spacing w:val="0"/>
          <w:position w:val="0"/>
          <w:sz w:val="24"/>
          <w:shd w:val="clear" w:fill="auto"/>
        </w:rPr>
        <w:t>0.2ppb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量程噪声：≤</w:t>
      </w:r>
      <w:r>
        <w:rPr>
          <w:rFonts w:ascii="Times New Roman" w:hAnsi="Times New Roman" w:eastAsia="Times New Roman" w:cs="Times New Roman"/>
          <w:color w:val="auto"/>
          <w:spacing w:val="0"/>
          <w:position w:val="0"/>
          <w:sz w:val="24"/>
          <w:shd w:val="clear" w:fill="auto"/>
        </w:rPr>
        <w:t>2.5ppb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最低检出限：≤</w:t>
      </w:r>
      <w:r>
        <w:rPr>
          <w:rFonts w:ascii="Times New Roman" w:hAnsi="Times New Roman" w:eastAsia="Times New Roman" w:cs="Times New Roman"/>
          <w:color w:val="auto"/>
          <w:spacing w:val="0"/>
          <w:position w:val="0"/>
          <w:sz w:val="24"/>
          <w:shd w:val="clear" w:fill="auto"/>
        </w:rPr>
        <w:t>0.4ppb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示值误差：≤±</w:t>
      </w:r>
      <w:r>
        <w:rPr>
          <w:rFonts w:ascii="Times New Roman" w:hAnsi="Times New Roman" w:eastAsia="Times New Roman" w:cs="Times New Roman"/>
          <w:color w:val="auto"/>
          <w:spacing w:val="0"/>
          <w:position w:val="0"/>
          <w:sz w:val="24"/>
          <w:shd w:val="clear" w:fill="auto"/>
        </w:rPr>
        <w:t>0.7%F.S.</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20%</w:t>
      </w:r>
      <w:r>
        <w:rPr>
          <w:rFonts w:ascii="宋体" w:hAnsi="宋体" w:eastAsia="宋体" w:cs="宋体"/>
          <w:color w:val="auto"/>
          <w:spacing w:val="0"/>
          <w:position w:val="0"/>
          <w:sz w:val="24"/>
          <w:shd w:val="clear" w:fill="auto"/>
        </w:rPr>
        <w:t>量程精密度：≤</w:t>
      </w:r>
      <w:r>
        <w:rPr>
          <w:rFonts w:ascii="Times New Roman" w:hAnsi="Times New Roman" w:eastAsia="Times New Roman" w:cs="Times New Roman"/>
          <w:color w:val="auto"/>
          <w:spacing w:val="0"/>
          <w:position w:val="0"/>
          <w:sz w:val="24"/>
          <w:shd w:val="clear" w:fill="auto"/>
        </w:rPr>
        <w:t>2 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80%</w:t>
      </w:r>
      <w:r>
        <w:rPr>
          <w:rFonts w:ascii="宋体" w:hAnsi="宋体" w:eastAsia="宋体" w:cs="宋体"/>
          <w:color w:val="auto"/>
          <w:spacing w:val="0"/>
          <w:position w:val="0"/>
          <w:sz w:val="24"/>
          <w:shd w:val="clear" w:fill="auto"/>
        </w:rPr>
        <w:t>量程精密度：≤</w:t>
      </w:r>
      <w:r>
        <w:rPr>
          <w:rFonts w:ascii="Times New Roman" w:hAnsi="Times New Roman" w:eastAsia="Times New Roman" w:cs="Times New Roman"/>
          <w:color w:val="auto"/>
          <w:spacing w:val="0"/>
          <w:position w:val="0"/>
          <w:sz w:val="24"/>
          <w:shd w:val="clear" w:fill="auto"/>
        </w:rPr>
        <w:t>4 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w:t>
      </w:r>
      <w:r>
        <w:rPr>
          <w:rFonts w:ascii="宋体" w:hAnsi="宋体" w:eastAsia="宋体" w:cs="宋体"/>
          <w:color w:val="auto"/>
          <w:spacing w:val="0"/>
          <w:position w:val="0"/>
          <w:sz w:val="24"/>
          <w:shd w:val="clear" w:fill="auto"/>
        </w:rPr>
        <w:t>零点漂移：±</w:t>
      </w:r>
      <w:r>
        <w:rPr>
          <w:rFonts w:ascii="Times New Roman" w:hAnsi="Times New Roman" w:eastAsia="Times New Roman" w:cs="Times New Roman"/>
          <w:color w:val="auto"/>
          <w:spacing w:val="0"/>
          <w:position w:val="0"/>
          <w:sz w:val="24"/>
          <w:shd w:val="clear" w:fill="auto"/>
        </w:rPr>
        <w:t>0.5ppb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 20%</w:t>
      </w: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5ppb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 80%</w:t>
      </w: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10ppb</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▲响应时间（上升</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下降）：≤</w:t>
      </w:r>
      <w:r>
        <w:rPr>
          <w:rFonts w:ascii="Times New Roman" w:hAnsi="Times New Roman" w:eastAsia="Times New Roman" w:cs="Times New Roman"/>
          <w:color w:val="auto"/>
          <w:spacing w:val="0"/>
          <w:position w:val="0"/>
          <w:sz w:val="24"/>
          <w:shd w:val="clear" w:fill="auto"/>
        </w:rPr>
        <w:t>60s</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电压稳定性：±</w:t>
      </w:r>
      <w:r>
        <w:rPr>
          <w:rFonts w:ascii="Times New Roman" w:hAnsi="Times New Roman" w:eastAsia="Times New Roman" w:cs="Times New Roman"/>
          <w:color w:val="auto"/>
          <w:spacing w:val="0"/>
          <w:position w:val="0"/>
          <w:sz w:val="24"/>
          <w:shd w:val="clear" w:fill="auto"/>
        </w:rPr>
        <w:t>1%F.S.</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流量稳定性：±</w:t>
      </w:r>
      <w:r>
        <w:rPr>
          <w:rFonts w:ascii="Times New Roman" w:hAnsi="Times New Roman" w:eastAsia="Times New Roman" w:cs="Times New Roman"/>
          <w:color w:val="auto"/>
          <w:spacing w:val="0"/>
          <w:position w:val="0"/>
          <w:sz w:val="24"/>
          <w:shd w:val="clear" w:fill="auto"/>
        </w:rPr>
        <w:t>10%</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环境温度变化影响：≤</w:t>
      </w:r>
      <w:r>
        <w:rPr>
          <w:rFonts w:ascii="Times New Roman" w:hAnsi="Times New Roman" w:eastAsia="Times New Roman" w:cs="Times New Roman"/>
          <w:color w:val="auto"/>
          <w:spacing w:val="0"/>
          <w:position w:val="0"/>
          <w:sz w:val="24"/>
          <w:shd w:val="clear" w:fill="auto"/>
        </w:rPr>
        <w:t>1ppb/</w:t>
      </w:r>
      <w:r>
        <w:rPr>
          <w:rFonts w:ascii="Segoe UI Symbol" w:hAnsi="Segoe UI Symbol" w:eastAsia="Segoe UI Symbol" w:cs="Segoe UI Symbol"/>
          <w:color w:val="auto"/>
          <w:spacing w:val="0"/>
          <w:position w:val="0"/>
          <w:sz w:val="24"/>
          <w:shd w:val="clear" w:fill="auto"/>
        </w:rPr>
        <w:t>℃</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转换效率：＞</w:t>
      </w:r>
      <w:r>
        <w:rPr>
          <w:rFonts w:ascii="Times New Roman" w:hAnsi="Times New Roman" w:eastAsia="Times New Roman" w:cs="Times New Roman"/>
          <w:color w:val="auto"/>
          <w:spacing w:val="0"/>
          <w:position w:val="0"/>
          <w:sz w:val="24"/>
          <w:shd w:val="clear" w:fill="auto"/>
        </w:rPr>
        <w:t>96%</w:t>
      </w:r>
    </w:p>
    <w:p>
      <w:pPr>
        <w:keepNext/>
        <w:numPr>
          <w:ilvl w:val="0"/>
          <w:numId w:val="7"/>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产品性能要求</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具有中文触摸式彩屏，方便查询、操作维护；</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具备开机自检和运行自诊断功能；</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可自动存储校准数据及报警信息；</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支持一键查询历史数据；</w:t>
      </w:r>
    </w:p>
    <w:p>
      <w:pPr>
        <w:numPr>
          <w:ilvl w:val="0"/>
          <w:numId w:val="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支持远程软件系统升级。</w:t>
      </w:r>
    </w:p>
    <w:p>
      <w:pPr>
        <w:keepNext/>
        <w:numPr>
          <w:ilvl w:val="0"/>
          <w:numId w:val="7"/>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一氧化碳分析仪</w:t>
      </w:r>
    </w:p>
    <w:p>
      <w:pPr>
        <w:keepNext/>
        <w:numPr>
          <w:ilvl w:val="0"/>
          <w:numId w:val="7"/>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zCs w:val="30"/>
          <w:shd w:val="clear" w:fill="auto"/>
        </w:rPr>
        <w:t>设备用途</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用于空气中一氧化碳浓度的监测</w:t>
      </w:r>
    </w:p>
    <w:p>
      <w:pPr>
        <w:keepNext/>
        <w:numPr>
          <w:ilvl w:val="0"/>
          <w:numId w:val="8"/>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配置要求</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含过滤滤膜等</w:t>
      </w:r>
    </w:p>
    <w:p>
      <w:pPr>
        <w:keepNext/>
        <w:numPr>
          <w:ilvl w:val="0"/>
          <w:numId w:val="9"/>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技术参数要求要求【以环境保护部环境监测仪器质量监督检验中心出具的有效期内检测报告为准（需检测结果每次都满足）】</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分析方法：气体滤波相关红外法</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测量范围：</w:t>
      </w:r>
      <w:r>
        <w:rPr>
          <w:rFonts w:ascii="Times New Roman" w:hAnsi="Times New Roman" w:eastAsia="Times New Roman" w:cs="Times New Roman"/>
          <w:color w:val="auto"/>
          <w:spacing w:val="0"/>
          <w:position w:val="0"/>
          <w:sz w:val="24"/>
          <w:shd w:val="clear" w:fill="auto"/>
        </w:rPr>
        <w:t>0-50ppm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零点噪声：＜</w:t>
      </w:r>
      <w:r>
        <w:rPr>
          <w:rFonts w:ascii="Times New Roman" w:hAnsi="Times New Roman" w:eastAsia="Times New Roman" w:cs="Times New Roman"/>
          <w:color w:val="auto"/>
          <w:spacing w:val="0"/>
          <w:position w:val="0"/>
          <w:sz w:val="24"/>
          <w:shd w:val="clear" w:fill="auto"/>
        </w:rPr>
        <w:t>0.1ppm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量程噪声：＜</w:t>
      </w:r>
      <w:r>
        <w:rPr>
          <w:rFonts w:ascii="Times New Roman" w:hAnsi="Times New Roman" w:eastAsia="Times New Roman" w:cs="Times New Roman"/>
          <w:color w:val="auto"/>
          <w:spacing w:val="0"/>
          <w:position w:val="0"/>
          <w:sz w:val="24"/>
          <w:shd w:val="clear" w:fill="auto"/>
        </w:rPr>
        <w:t>0.25ppm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最低检出限：＜</w:t>
      </w:r>
      <w:r>
        <w:rPr>
          <w:rFonts w:ascii="Times New Roman" w:hAnsi="Times New Roman" w:eastAsia="Times New Roman" w:cs="Times New Roman"/>
          <w:color w:val="auto"/>
          <w:spacing w:val="0"/>
          <w:position w:val="0"/>
          <w:sz w:val="24"/>
          <w:shd w:val="clear" w:fill="auto"/>
        </w:rPr>
        <w:t>0.1ppm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示值误差：≤</w:t>
      </w:r>
      <w:r>
        <w:rPr>
          <w:rFonts w:ascii="Times New Roman" w:hAnsi="Times New Roman" w:eastAsia="Times New Roman" w:cs="Times New Roman"/>
          <w:color w:val="auto"/>
          <w:spacing w:val="0"/>
          <w:position w:val="0"/>
          <w:sz w:val="24"/>
          <w:shd w:val="clear" w:fill="auto"/>
        </w:rPr>
        <w:t>1%F.S.</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20%</w:t>
      </w:r>
      <w:r>
        <w:rPr>
          <w:rFonts w:ascii="宋体" w:hAnsi="宋体" w:eastAsia="宋体" w:cs="宋体"/>
          <w:color w:val="auto"/>
          <w:spacing w:val="0"/>
          <w:position w:val="0"/>
          <w:sz w:val="24"/>
          <w:shd w:val="clear" w:fill="auto"/>
        </w:rPr>
        <w:t>量程精密度：＜</w:t>
      </w:r>
      <w:r>
        <w:rPr>
          <w:rFonts w:ascii="Times New Roman" w:hAnsi="Times New Roman" w:eastAsia="Times New Roman" w:cs="Times New Roman"/>
          <w:color w:val="auto"/>
          <w:spacing w:val="0"/>
          <w:position w:val="0"/>
          <w:sz w:val="24"/>
          <w:shd w:val="clear" w:fill="auto"/>
        </w:rPr>
        <w:t>0.1ppm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80%</w:t>
      </w:r>
      <w:r>
        <w:rPr>
          <w:rFonts w:ascii="宋体" w:hAnsi="宋体" w:eastAsia="宋体" w:cs="宋体"/>
          <w:color w:val="auto"/>
          <w:spacing w:val="0"/>
          <w:position w:val="0"/>
          <w:sz w:val="24"/>
          <w:shd w:val="clear" w:fill="auto"/>
        </w:rPr>
        <w:t>量程精密度：＜</w:t>
      </w:r>
      <w:r>
        <w:rPr>
          <w:rFonts w:ascii="Times New Roman" w:hAnsi="Times New Roman" w:eastAsia="Times New Roman" w:cs="Times New Roman"/>
          <w:color w:val="auto"/>
          <w:spacing w:val="0"/>
          <w:position w:val="0"/>
          <w:sz w:val="24"/>
          <w:shd w:val="clear" w:fill="auto"/>
        </w:rPr>
        <w:t>0.2ppm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24h</w:t>
      </w:r>
      <w:r>
        <w:rPr>
          <w:rFonts w:ascii="宋体" w:hAnsi="宋体" w:eastAsia="宋体" w:cs="宋体"/>
          <w:color w:val="auto"/>
          <w:spacing w:val="0"/>
          <w:position w:val="0"/>
          <w:sz w:val="24"/>
          <w:shd w:val="clear" w:fill="auto"/>
        </w:rPr>
        <w:t>零点漂移：±</w:t>
      </w:r>
      <w:r>
        <w:rPr>
          <w:rFonts w:ascii="Times New Roman" w:hAnsi="Times New Roman" w:eastAsia="Times New Roman" w:cs="Times New Roman"/>
          <w:color w:val="auto"/>
          <w:spacing w:val="0"/>
          <w:position w:val="0"/>
          <w:sz w:val="24"/>
          <w:shd w:val="clear" w:fill="auto"/>
        </w:rPr>
        <w:t>0.1ppm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24h 20%</w:t>
      </w: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0.5ppm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 80%</w:t>
      </w: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0.5ppm</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▲响应时间（上升</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下降）：≤</w:t>
      </w:r>
      <w:r>
        <w:rPr>
          <w:rFonts w:ascii="Times New Roman" w:hAnsi="Times New Roman" w:eastAsia="Times New Roman" w:cs="Times New Roman"/>
          <w:color w:val="auto"/>
          <w:spacing w:val="0"/>
          <w:position w:val="0"/>
          <w:sz w:val="24"/>
          <w:shd w:val="clear" w:fill="auto"/>
        </w:rPr>
        <w:t>60s</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电压稳定性：≤±</w:t>
      </w:r>
      <w:r>
        <w:rPr>
          <w:rFonts w:ascii="Times New Roman" w:hAnsi="Times New Roman" w:eastAsia="Times New Roman" w:cs="Times New Roman"/>
          <w:color w:val="auto"/>
          <w:spacing w:val="0"/>
          <w:position w:val="0"/>
          <w:sz w:val="24"/>
          <w:shd w:val="clear" w:fill="auto"/>
        </w:rPr>
        <w:t>1%F.S.</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流量稳定性：≤±</w:t>
      </w:r>
      <w:r>
        <w:rPr>
          <w:rFonts w:ascii="Times New Roman" w:hAnsi="Times New Roman" w:eastAsia="Times New Roman" w:cs="Times New Roman"/>
          <w:color w:val="auto"/>
          <w:spacing w:val="0"/>
          <w:position w:val="0"/>
          <w:sz w:val="24"/>
          <w:shd w:val="clear" w:fill="auto"/>
        </w:rPr>
        <w:t>10%</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环境温度变化影响：≤</w:t>
      </w:r>
      <w:r>
        <w:rPr>
          <w:rFonts w:ascii="Times New Roman" w:hAnsi="Times New Roman" w:eastAsia="Times New Roman" w:cs="Times New Roman"/>
          <w:color w:val="auto"/>
          <w:spacing w:val="0"/>
          <w:position w:val="0"/>
          <w:sz w:val="24"/>
          <w:shd w:val="clear" w:fill="auto"/>
        </w:rPr>
        <w:t>0.1ppm/</w:t>
      </w:r>
      <w:r>
        <w:rPr>
          <w:rFonts w:ascii="Segoe UI Symbol" w:hAnsi="Segoe UI Symbol" w:eastAsia="Segoe UI Symbol" w:cs="Segoe UI Symbol"/>
          <w:color w:val="auto"/>
          <w:spacing w:val="0"/>
          <w:position w:val="0"/>
          <w:sz w:val="24"/>
          <w:shd w:val="clear" w:fill="auto"/>
        </w:rPr>
        <w:t>℃</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长期零点漂移（</w:t>
      </w:r>
      <w:r>
        <w:rPr>
          <w:rFonts w:ascii="Times New Roman" w:hAnsi="Times New Roman" w:eastAsia="Times New Roman" w:cs="Times New Roman"/>
          <w:color w:val="auto"/>
          <w:spacing w:val="0"/>
          <w:position w:val="0"/>
          <w:sz w:val="24"/>
          <w:shd w:val="clear" w:fill="auto"/>
        </w:rPr>
        <w:t>7d</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0.2ppm</w:t>
      </w:r>
    </w:p>
    <w:p>
      <w:pPr>
        <w:keepNext/>
        <w:numPr>
          <w:ilvl w:val="0"/>
          <w:numId w:val="9"/>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产品性能要求</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具有中文触摸式彩屏，方便查询、操作维护；</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具备开机自检和运行自诊断功能；</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可自动存储校准数据及报警信息；</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支持一键查询历史数据；</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支持远程软件系统升级；</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具备光源光强衰减自检功能</w:t>
      </w:r>
    </w:p>
    <w:p>
      <w:pPr>
        <w:numPr>
          <w:ilvl w:val="0"/>
          <w:numId w:val="9"/>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产品具有</w:t>
      </w:r>
      <w:r>
        <w:rPr>
          <w:rFonts w:ascii="Times New Roman" w:hAnsi="Times New Roman" w:eastAsia="Times New Roman" w:cs="Times New Roman"/>
          <w:color w:val="auto"/>
          <w:spacing w:val="0"/>
          <w:position w:val="0"/>
          <w:sz w:val="24"/>
          <w:shd w:val="clear" w:fill="auto"/>
        </w:rPr>
        <w:t>GFC</w:t>
      </w:r>
      <w:r>
        <w:rPr>
          <w:rFonts w:ascii="宋体" w:hAnsi="宋体" w:eastAsia="宋体" w:cs="宋体"/>
          <w:color w:val="auto"/>
          <w:spacing w:val="0"/>
          <w:position w:val="0"/>
          <w:sz w:val="24"/>
          <w:shd w:val="clear" w:fill="auto"/>
        </w:rPr>
        <w:t>轮定位及同步采样功能（提供权威性证明材料扫描件，不提供视为不满足）</w:t>
      </w:r>
    </w:p>
    <w:p>
      <w:pPr>
        <w:keepNext/>
        <w:numPr>
          <w:ilvl w:val="0"/>
          <w:numId w:val="9"/>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臭氧分析仪</w:t>
      </w:r>
    </w:p>
    <w:p>
      <w:pPr>
        <w:keepNext/>
        <w:numPr>
          <w:ilvl w:val="0"/>
          <w:numId w:val="9"/>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设备用途</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用于空气中臭氧浓度的监测</w:t>
      </w:r>
    </w:p>
    <w:p>
      <w:pPr>
        <w:keepNext/>
        <w:numPr>
          <w:ilvl w:val="0"/>
          <w:numId w:val="10"/>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技术参数要求【以环境保护部环境监测仪器质量监督检验中心出具的有效期内检测报告为准（需检测结果每次都满足）】</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分析方法：紫外吸收法</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测量范围：</w:t>
      </w:r>
      <w:r>
        <w:rPr>
          <w:rFonts w:ascii="Times New Roman" w:hAnsi="Times New Roman" w:eastAsia="Times New Roman" w:cs="Times New Roman"/>
          <w:color w:val="auto"/>
          <w:spacing w:val="0"/>
          <w:position w:val="0"/>
          <w:sz w:val="24"/>
          <w:shd w:val="clear" w:fill="auto"/>
        </w:rPr>
        <w:t>0-500ppb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零点噪声：≤</w:t>
      </w:r>
      <w:r>
        <w:rPr>
          <w:rFonts w:ascii="Times New Roman" w:hAnsi="Times New Roman" w:eastAsia="Times New Roman" w:cs="Times New Roman"/>
          <w:color w:val="auto"/>
          <w:spacing w:val="0"/>
          <w:position w:val="0"/>
          <w:sz w:val="24"/>
          <w:shd w:val="clear" w:fill="auto"/>
        </w:rPr>
        <w:t>0.3ppb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量程噪声：≤</w:t>
      </w:r>
      <w:r>
        <w:rPr>
          <w:rFonts w:ascii="Times New Roman" w:hAnsi="Times New Roman" w:eastAsia="Times New Roman" w:cs="Times New Roman"/>
          <w:color w:val="auto"/>
          <w:spacing w:val="0"/>
          <w:position w:val="0"/>
          <w:sz w:val="24"/>
          <w:shd w:val="clear" w:fill="auto"/>
        </w:rPr>
        <w:t>2ppb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最低检出限：≤</w:t>
      </w:r>
      <w:r>
        <w:rPr>
          <w:rFonts w:ascii="Times New Roman" w:hAnsi="Times New Roman" w:eastAsia="Times New Roman" w:cs="Times New Roman"/>
          <w:color w:val="auto"/>
          <w:spacing w:val="0"/>
          <w:position w:val="0"/>
          <w:sz w:val="24"/>
          <w:shd w:val="clear" w:fill="auto"/>
        </w:rPr>
        <w:t>0.6ppb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示值误差：≤±</w:t>
      </w:r>
      <w:r>
        <w:rPr>
          <w:rFonts w:ascii="Times New Roman" w:hAnsi="Times New Roman" w:eastAsia="Times New Roman" w:cs="Times New Roman"/>
          <w:color w:val="auto"/>
          <w:spacing w:val="0"/>
          <w:position w:val="0"/>
          <w:sz w:val="24"/>
          <w:shd w:val="clear" w:fill="auto"/>
        </w:rPr>
        <w:t>1%F.S.</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20%</w:t>
      </w:r>
      <w:r>
        <w:rPr>
          <w:rFonts w:ascii="宋体" w:hAnsi="宋体" w:eastAsia="宋体" w:cs="宋体"/>
          <w:color w:val="auto"/>
          <w:spacing w:val="0"/>
          <w:position w:val="0"/>
          <w:sz w:val="24"/>
          <w:shd w:val="clear" w:fill="auto"/>
        </w:rPr>
        <w:t>量程精密度：≤</w:t>
      </w:r>
      <w:r>
        <w:rPr>
          <w:rFonts w:ascii="Times New Roman" w:hAnsi="Times New Roman" w:eastAsia="Times New Roman" w:cs="Times New Roman"/>
          <w:color w:val="auto"/>
          <w:spacing w:val="0"/>
          <w:position w:val="0"/>
          <w:sz w:val="24"/>
          <w:shd w:val="clear" w:fill="auto"/>
        </w:rPr>
        <w:t>1ppb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80%</w:t>
      </w:r>
      <w:r>
        <w:rPr>
          <w:rFonts w:ascii="宋体" w:hAnsi="宋体" w:eastAsia="宋体" w:cs="宋体"/>
          <w:color w:val="auto"/>
          <w:spacing w:val="0"/>
          <w:position w:val="0"/>
          <w:sz w:val="24"/>
          <w:shd w:val="clear" w:fill="auto"/>
        </w:rPr>
        <w:t>量程精密度：≤</w:t>
      </w:r>
      <w:r>
        <w:rPr>
          <w:rFonts w:ascii="Times New Roman" w:hAnsi="Times New Roman" w:eastAsia="Times New Roman" w:cs="Times New Roman"/>
          <w:color w:val="auto"/>
          <w:spacing w:val="0"/>
          <w:position w:val="0"/>
          <w:sz w:val="24"/>
          <w:shd w:val="clear" w:fill="auto"/>
        </w:rPr>
        <w:t>2ppb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w:t>
      </w:r>
      <w:r>
        <w:rPr>
          <w:rFonts w:ascii="宋体" w:hAnsi="宋体" w:eastAsia="宋体" w:cs="宋体"/>
          <w:color w:val="auto"/>
          <w:spacing w:val="0"/>
          <w:position w:val="0"/>
          <w:sz w:val="24"/>
          <w:shd w:val="clear" w:fill="auto"/>
        </w:rPr>
        <w:t>零点漂移：≤±</w:t>
      </w:r>
      <w:r>
        <w:rPr>
          <w:rFonts w:ascii="Times New Roman" w:hAnsi="Times New Roman" w:eastAsia="Times New Roman" w:cs="Times New Roman"/>
          <w:color w:val="auto"/>
          <w:spacing w:val="0"/>
          <w:position w:val="0"/>
          <w:sz w:val="24"/>
          <w:shd w:val="clear" w:fill="auto"/>
        </w:rPr>
        <w:t>0.5ppb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 20%</w:t>
      </w: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4ppb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24h 80%</w:t>
      </w: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4ppb</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▲响应时间（上升</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下降）：≤</w:t>
      </w:r>
      <w:r>
        <w:rPr>
          <w:rFonts w:ascii="Times New Roman" w:hAnsi="Times New Roman" w:eastAsia="Times New Roman" w:cs="Times New Roman"/>
          <w:color w:val="auto"/>
          <w:spacing w:val="0"/>
          <w:position w:val="0"/>
          <w:sz w:val="24"/>
          <w:shd w:val="clear" w:fill="auto"/>
        </w:rPr>
        <w:t>30s</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电压稳定性：≤±</w:t>
      </w:r>
      <w:r>
        <w:rPr>
          <w:rFonts w:ascii="Times New Roman" w:hAnsi="Times New Roman" w:eastAsia="Times New Roman" w:cs="Times New Roman"/>
          <w:color w:val="auto"/>
          <w:spacing w:val="0"/>
          <w:position w:val="0"/>
          <w:sz w:val="24"/>
          <w:shd w:val="clear" w:fill="auto"/>
        </w:rPr>
        <w:t>1%F.S.</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流量稳定性：≤±</w:t>
      </w:r>
      <w:r>
        <w:rPr>
          <w:rFonts w:ascii="Times New Roman" w:hAnsi="Times New Roman" w:eastAsia="Times New Roman" w:cs="Times New Roman"/>
          <w:color w:val="auto"/>
          <w:spacing w:val="0"/>
          <w:position w:val="0"/>
          <w:sz w:val="24"/>
          <w:shd w:val="clear" w:fill="auto"/>
        </w:rPr>
        <w:t>10%</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环境温度变化影响：≤</w:t>
      </w:r>
      <w:r>
        <w:rPr>
          <w:rFonts w:ascii="Times New Roman" w:hAnsi="Times New Roman" w:eastAsia="Times New Roman" w:cs="Times New Roman"/>
          <w:color w:val="auto"/>
          <w:spacing w:val="0"/>
          <w:position w:val="0"/>
          <w:sz w:val="24"/>
          <w:shd w:val="clear" w:fill="auto"/>
        </w:rPr>
        <w:t>0.5ppb/</w:t>
      </w:r>
      <w:r>
        <w:rPr>
          <w:rFonts w:ascii="Segoe UI Symbol" w:hAnsi="Segoe UI Symbol" w:eastAsia="Segoe UI Symbol" w:cs="Segoe UI Symbol"/>
          <w:color w:val="auto"/>
          <w:spacing w:val="0"/>
          <w:position w:val="0"/>
          <w:sz w:val="24"/>
          <w:shd w:val="clear" w:fill="auto"/>
        </w:rPr>
        <w:t>℃</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长期量程漂移（</w:t>
      </w:r>
      <w:r>
        <w:rPr>
          <w:rFonts w:ascii="Times New Roman" w:hAnsi="Times New Roman" w:eastAsia="Times New Roman" w:cs="Times New Roman"/>
          <w:color w:val="auto"/>
          <w:spacing w:val="0"/>
          <w:position w:val="0"/>
          <w:sz w:val="24"/>
          <w:shd w:val="clear" w:fill="auto"/>
        </w:rPr>
        <w:t>7d</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5ppb</w:t>
      </w:r>
    </w:p>
    <w:p>
      <w:pPr>
        <w:keepNext/>
        <w:numPr>
          <w:ilvl w:val="0"/>
          <w:numId w:val="10"/>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产品性能要求</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具有中文触摸式彩屏，方便查询、操作维护；</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具备开机自检和运行自诊断功能；</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可自动存储校准数据及报警信息；</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支持一键查询历史数据；</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支持远程软件系统升级；</w:t>
      </w:r>
    </w:p>
    <w:p>
      <w:pPr>
        <w:numPr>
          <w:ilvl w:val="0"/>
          <w:numId w:val="10"/>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具备光强衰减自检功能</w:t>
      </w:r>
    </w:p>
    <w:p>
      <w:pPr>
        <w:keepNext/>
        <w:numPr>
          <w:ilvl w:val="0"/>
          <w:numId w:val="10"/>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气象五参数监测仪</w:t>
      </w:r>
    </w:p>
    <w:p>
      <w:pPr>
        <w:spacing w:before="0" w:after="0" w:line="360" w:lineRule="auto"/>
        <w:ind w:left="0" w:right="0" w:firstLine="482"/>
        <w:jc w:val="both"/>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风速：</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测量原理：超声波；</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测量范围：（</w:t>
      </w:r>
      <w:r>
        <w:rPr>
          <w:rFonts w:ascii="Times New Roman" w:hAnsi="Times New Roman" w:eastAsia="Times New Roman" w:cs="Times New Roman"/>
          <w:color w:val="auto"/>
          <w:spacing w:val="0"/>
          <w:position w:val="0"/>
          <w:sz w:val="24"/>
          <w:shd w:val="clear" w:fill="auto"/>
        </w:rPr>
        <w:t>0~60</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m/s</w:t>
      </w:r>
      <w:r>
        <w:rPr>
          <w:rFonts w:ascii="宋体" w:hAnsi="宋体" w:eastAsia="宋体" w:cs="宋体"/>
          <w:color w:val="auto"/>
          <w:spacing w:val="0"/>
          <w:position w:val="0"/>
          <w:sz w:val="24"/>
          <w:shd w:val="clear" w:fill="auto"/>
        </w:rPr>
        <w:t>；</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测量精度：±</w:t>
      </w:r>
      <w:r>
        <w:rPr>
          <w:rFonts w:ascii="Times New Roman" w:hAnsi="Times New Roman" w:eastAsia="Times New Roman" w:cs="Times New Roman"/>
          <w:color w:val="auto"/>
          <w:spacing w:val="0"/>
          <w:position w:val="0"/>
          <w:sz w:val="24"/>
          <w:shd w:val="clear" w:fill="auto"/>
        </w:rPr>
        <w:t>0.3m/s</w:t>
      </w:r>
      <w:r>
        <w:rPr>
          <w:rFonts w:ascii="宋体" w:hAnsi="宋体" w:eastAsia="宋体" w:cs="宋体"/>
          <w:color w:val="auto"/>
          <w:spacing w:val="0"/>
          <w:position w:val="0"/>
          <w:sz w:val="24"/>
          <w:shd w:val="clear" w:fill="auto"/>
        </w:rPr>
        <w:t>（风速＜</w:t>
      </w:r>
      <w:r>
        <w:rPr>
          <w:rFonts w:ascii="Times New Roman" w:hAnsi="Times New Roman" w:eastAsia="Times New Roman" w:cs="Times New Roman"/>
          <w:color w:val="auto"/>
          <w:spacing w:val="0"/>
          <w:position w:val="0"/>
          <w:sz w:val="24"/>
          <w:shd w:val="clear" w:fill="auto"/>
        </w:rPr>
        <w:t>10m/s</w:t>
      </w:r>
      <w:r>
        <w:rPr>
          <w:rFonts w:ascii="宋体" w:hAnsi="宋体" w:eastAsia="宋体" w:cs="宋体"/>
          <w:color w:val="auto"/>
          <w:spacing w:val="0"/>
          <w:position w:val="0"/>
          <w:sz w:val="24"/>
          <w:shd w:val="clear" w:fill="auto"/>
        </w:rPr>
        <w:t>）或风速≥</w:t>
      </w:r>
      <w:r>
        <w:rPr>
          <w:rFonts w:ascii="Times New Roman" w:hAnsi="Times New Roman" w:eastAsia="Times New Roman" w:cs="Times New Roman"/>
          <w:color w:val="auto"/>
          <w:spacing w:val="0"/>
          <w:position w:val="0"/>
          <w:sz w:val="24"/>
          <w:shd w:val="clear" w:fill="auto"/>
        </w:rPr>
        <w:t>10m/s,</w:t>
      </w:r>
      <w:r>
        <w:rPr>
          <w:rFonts w:ascii="宋体" w:hAnsi="宋体" w:eastAsia="宋体" w:cs="宋体"/>
          <w:color w:val="auto"/>
          <w:spacing w:val="0"/>
          <w:position w:val="0"/>
          <w:sz w:val="24"/>
          <w:shd w:val="clear" w:fill="auto"/>
        </w:rPr>
        <w:t>测量值的</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分辨率：</w:t>
      </w:r>
      <w:r>
        <w:rPr>
          <w:rFonts w:ascii="Times New Roman" w:hAnsi="Times New Roman" w:eastAsia="Times New Roman" w:cs="Times New Roman"/>
          <w:color w:val="auto"/>
          <w:spacing w:val="0"/>
          <w:position w:val="0"/>
          <w:sz w:val="24"/>
          <w:shd w:val="clear" w:fill="auto"/>
        </w:rPr>
        <w:t>0.1m/s</w:t>
      </w:r>
    </w:p>
    <w:p>
      <w:pPr>
        <w:spacing w:before="0" w:after="0" w:line="360" w:lineRule="auto"/>
        <w:ind w:left="0" w:right="0" w:firstLine="482"/>
        <w:jc w:val="both"/>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风向：</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测量原理：超声波；</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测量范围：</w:t>
      </w:r>
      <w:r>
        <w:rPr>
          <w:rFonts w:ascii="Times New Roman" w:hAnsi="Times New Roman" w:eastAsia="Times New Roman" w:cs="Times New Roman"/>
          <w:color w:val="auto"/>
          <w:spacing w:val="0"/>
          <w:position w:val="0"/>
          <w:sz w:val="24"/>
          <w:shd w:val="clear" w:fill="auto"/>
        </w:rPr>
        <w:t>0~359.9</w:t>
      </w:r>
      <w:r>
        <w:rPr>
          <w:rFonts w:ascii="宋体" w:hAnsi="宋体" w:eastAsia="宋体" w:cs="宋体"/>
          <w:color w:val="auto"/>
          <w:spacing w:val="0"/>
          <w:position w:val="0"/>
          <w:sz w:val="24"/>
          <w:shd w:val="clear" w:fill="auto"/>
        </w:rPr>
        <w:t>°；</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测量精度：±</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分辨率：</w:t>
      </w:r>
      <w:r>
        <w:rPr>
          <w:rFonts w:ascii="Times New Roman" w:hAnsi="Times New Roman" w:eastAsia="Times New Roman" w:cs="Times New Roman"/>
          <w:color w:val="auto"/>
          <w:spacing w:val="0"/>
          <w:position w:val="0"/>
          <w:sz w:val="24"/>
          <w:shd w:val="clear" w:fill="auto"/>
        </w:rPr>
        <w:t>0.1</w:t>
      </w:r>
      <w:r>
        <w:rPr>
          <w:rFonts w:ascii="宋体" w:hAnsi="宋体" w:eastAsia="宋体" w:cs="宋体"/>
          <w:color w:val="auto"/>
          <w:spacing w:val="0"/>
          <w:position w:val="0"/>
          <w:sz w:val="24"/>
          <w:shd w:val="clear" w:fill="auto"/>
        </w:rPr>
        <w:t>°</w:t>
      </w:r>
    </w:p>
    <w:p>
      <w:pPr>
        <w:spacing w:before="0" w:after="0" w:line="360" w:lineRule="auto"/>
        <w:ind w:left="0" w:right="0" w:firstLine="482"/>
        <w:jc w:val="both"/>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温度：</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测量原理：二极管结电压；</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测量范围：（</w:t>
      </w:r>
      <w:r>
        <w:rPr>
          <w:rFonts w:ascii="Times New Roman" w:hAnsi="Times New Roman" w:eastAsia="Times New Roman" w:cs="Times New Roman"/>
          <w:color w:val="auto"/>
          <w:spacing w:val="0"/>
          <w:position w:val="0"/>
          <w:sz w:val="24"/>
          <w:shd w:val="clear" w:fill="auto"/>
        </w:rPr>
        <w:t>-40~80</w:t>
      </w:r>
      <w:r>
        <w:rPr>
          <w:rFonts w:ascii="宋体" w:hAnsi="宋体" w:eastAsia="宋体" w:cs="宋体"/>
          <w:color w:val="auto"/>
          <w:spacing w:val="0"/>
          <w:position w:val="0"/>
          <w:sz w:val="24"/>
          <w:shd w:val="clear" w:fill="auto"/>
        </w:rPr>
        <w:t>℃）；</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测量精度：±</w:t>
      </w:r>
      <w:r>
        <w:rPr>
          <w:rFonts w:ascii="Times New Roman" w:hAnsi="Times New Roman" w:eastAsia="Times New Roman" w:cs="Times New Roman"/>
          <w:color w:val="auto"/>
          <w:spacing w:val="0"/>
          <w:position w:val="0"/>
          <w:sz w:val="24"/>
          <w:shd w:val="clear" w:fill="auto"/>
        </w:rPr>
        <w:t>0.3</w:t>
      </w:r>
      <w:r>
        <w:rPr>
          <w:rFonts w:ascii="宋体" w:hAnsi="宋体" w:eastAsia="宋体" w:cs="宋体"/>
          <w:color w:val="auto"/>
          <w:spacing w:val="0"/>
          <w:position w:val="0"/>
          <w:sz w:val="24"/>
          <w:shd w:val="clear" w:fill="auto"/>
        </w:rPr>
        <w:t>℃；</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分辨率：</w:t>
      </w:r>
      <w:r>
        <w:rPr>
          <w:rFonts w:ascii="Times New Roman" w:hAnsi="Times New Roman" w:eastAsia="Times New Roman" w:cs="Times New Roman"/>
          <w:color w:val="auto"/>
          <w:spacing w:val="0"/>
          <w:position w:val="0"/>
          <w:sz w:val="24"/>
          <w:shd w:val="clear" w:fill="auto"/>
        </w:rPr>
        <w:t>0.1</w:t>
      </w:r>
      <w:r>
        <w:rPr>
          <w:rFonts w:ascii="宋体" w:hAnsi="宋体" w:eastAsia="宋体" w:cs="宋体"/>
          <w:color w:val="auto"/>
          <w:spacing w:val="0"/>
          <w:position w:val="0"/>
          <w:sz w:val="24"/>
          <w:shd w:val="clear" w:fill="auto"/>
        </w:rPr>
        <w:t>℃</w:t>
      </w:r>
    </w:p>
    <w:p>
      <w:pPr>
        <w:spacing w:before="0" w:after="0" w:line="360" w:lineRule="auto"/>
        <w:ind w:left="0" w:right="0" w:firstLine="482"/>
        <w:jc w:val="both"/>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湿度：</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测量原理：电容式；</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测量范围：（</w:t>
      </w:r>
      <w:r>
        <w:rPr>
          <w:rFonts w:ascii="Times New Roman" w:hAnsi="Times New Roman" w:eastAsia="Times New Roman" w:cs="Times New Roman"/>
          <w:color w:val="auto"/>
          <w:spacing w:val="0"/>
          <w:position w:val="0"/>
          <w:sz w:val="24"/>
          <w:shd w:val="clear" w:fill="auto"/>
        </w:rPr>
        <w:t>0~100</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%RH</w:t>
      </w:r>
      <w:r>
        <w:rPr>
          <w:rFonts w:ascii="宋体" w:hAnsi="宋体" w:eastAsia="宋体" w:cs="宋体"/>
          <w:color w:val="auto"/>
          <w:spacing w:val="0"/>
          <w:position w:val="0"/>
          <w:sz w:val="24"/>
          <w:shd w:val="clear" w:fill="auto"/>
        </w:rPr>
        <w:t>；</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测量精度：±</w:t>
      </w:r>
      <w:r>
        <w:rPr>
          <w:rFonts w:ascii="Times New Roman" w:hAnsi="Times New Roman" w:eastAsia="Times New Roman" w:cs="Times New Roman"/>
          <w:color w:val="auto"/>
          <w:spacing w:val="0"/>
          <w:position w:val="0"/>
          <w:sz w:val="24"/>
          <w:shd w:val="clear" w:fill="auto"/>
        </w:rPr>
        <w:t>2%RH</w:t>
      </w:r>
      <w:r>
        <w:rPr>
          <w:rFonts w:ascii="宋体" w:hAnsi="宋体" w:eastAsia="宋体" w:cs="宋体"/>
          <w:color w:val="auto"/>
          <w:spacing w:val="0"/>
          <w:position w:val="0"/>
          <w:sz w:val="24"/>
          <w:shd w:val="clear" w:fill="auto"/>
        </w:rPr>
        <w:t>；</w:t>
      </w:r>
    </w:p>
    <w:p>
      <w:pPr>
        <w:spacing w:before="0" w:after="0" w:line="360" w:lineRule="auto"/>
        <w:ind w:left="0" w:right="0" w:firstLine="480"/>
        <w:jc w:val="both"/>
        <w:rPr>
          <w:rFonts w:ascii="Times New Roman" w:hAnsi="Times New Roman" w:eastAsia="Times New Roman" w:cs="Times New Roman"/>
          <w:b/>
          <w:color w:val="auto"/>
          <w:spacing w:val="0"/>
          <w:position w:val="0"/>
          <w:sz w:val="24"/>
          <w:shd w:val="clear" w:fill="auto"/>
        </w:rPr>
      </w:pPr>
      <w:r>
        <w:rPr>
          <w:rFonts w:ascii="宋体" w:hAnsi="宋体" w:eastAsia="宋体" w:cs="宋体"/>
          <w:color w:val="auto"/>
          <w:spacing w:val="0"/>
          <w:position w:val="0"/>
          <w:sz w:val="24"/>
          <w:shd w:val="clear" w:fill="auto"/>
        </w:rPr>
        <w:t>分辨率：</w:t>
      </w:r>
      <w:r>
        <w:rPr>
          <w:rFonts w:ascii="Times New Roman" w:hAnsi="Times New Roman" w:eastAsia="Times New Roman" w:cs="Times New Roman"/>
          <w:color w:val="auto"/>
          <w:spacing w:val="0"/>
          <w:position w:val="0"/>
          <w:sz w:val="24"/>
          <w:shd w:val="clear" w:fill="auto"/>
        </w:rPr>
        <w:t>0.1%RH</w:t>
      </w:r>
    </w:p>
    <w:p>
      <w:pPr>
        <w:spacing w:before="0" w:after="0" w:line="360" w:lineRule="auto"/>
        <w:ind w:left="0" w:right="0" w:firstLine="482"/>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压力：</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测量原理：电容式；</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测量范围：（</w:t>
      </w:r>
      <w:r>
        <w:rPr>
          <w:rFonts w:ascii="Times New Roman" w:hAnsi="Times New Roman" w:eastAsia="Times New Roman" w:cs="Times New Roman"/>
          <w:color w:val="auto"/>
          <w:spacing w:val="0"/>
          <w:position w:val="0"/>
          <w:sz w:val="24"/>
          <w:shd w:val="clear" w:fill="auto"/>
        </w:rPr>
        <w:t>10~1100</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hpa</w:t>
      </w:r>
      <w:r>
        <w:rPr>
          <w:rFonts w:ascii="宋体" w:hAnsi="宋体" w:eastAsia="宋体" w:cs="宋体"/>
          <w:color w:val="auto"/>
          <w:spacing w:val="0"/>
          <w:position w:val="0"/>
          <w:sz w:val="24"/>
          <w:shd w:val="clear" w:fill="auto"/>
        </w:rPr>
        <w:t>；</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测量精度：±</w:t>
      </w:r>
      <w:r>
        <w:rPr>
          <w:rFonts w:ascii="Times New Roman" w:hAnsi="Times New Roman" w:eastAsia="Times New Roman" w:cs="Times New Roman"/>
          <w:color w:val="auto"/>
          <w:spacing w:val="0"/>
          <w:position w:val="0"/>
          <w:sz w:val="24"/>
          <w:shd w:val="clear" w:fill="auto"/>
        </w:rPr>
        <w:t>0.3hpa</w:t>
      </w:r>
      <w:r>
        <w:rPr>
          <w:rFonts w:ascii="宋体" w:hAnsi="宋体" w:eastAsia="宋体" w:cs="宋体"/>
          <w:color w:val="auto"/>
          <w:spacing w:val="0"/>
          <w:position w:val="0"/>
          <w:sz w:val="24"/>
          <w:shd w:val="clear" w:fill="auto"/>
        </w:rPr>
        <w:t>；</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分辨率：</w:t>
      </w:r>
      <w:r>
        <w:rPr>
          <w:rFonts w:ascii="Times New Roman" w:hAnsi="Times New Roman" w:eastAsia="Times New Roman" w:cs="Times New Roman"/>
          <w:color w:val="auto"/>
          <w:spacing w:val="0"/>
          <w:position w:val="0"/>
          <w:sz w:val="24"/>
          <w:shd w:val="clear" w:fill="auto"/>
        </w:rPr>
        <w:t>0.1hpa</w:t>
      </w:r>
    </w:p>
    <w:p>
      <w:pPr>
        <w:keepNext/>
        <w:numPr>
          <w:ilvl w:val="0"/>
          <w:numId w:val="11"/>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动态校准仪</w:t>
      </w:r>
    </w:p>
    <w:p>
      <w:pPr>
        <w:keepNext/>
        <w:numPr>
          <w:ilvl w:val="0"/>
          <w:numId w:val="11"/>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设备用途</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能依据外接标准气体种类提供精确浓度的标准气体输出，完成大气自动监测分析仪器的零点、跨度、精密度及多点校准工作。</w:t>
      </w:r>
    </w:p>
    <w:p>
      <w:pPr>
        <w:keepNext/>
        <w:numPr>
          <w:ilvl w:val="0"/>
          <w:numId w:val="12"/>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技术参数</w:t>
      </w:r>
    </w:p>
    <w:p>
      <w:pPr>
        <w:spacing w:before="0" w:after="0" w:line="360" w:lineRule="auto"/>
        <w:ind w:left="0" w:right="0" w:firstLine="482"/>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w:t>
      </w:r>
      <w:r>
        <w:rPr>
          <w:rFonts w:ascii="Times New Roman" w:hAnsi="Times New Roman" w:eastAsia="Times New Roman" w:cs="Times New Roman"/>
          <w:b/>
          <w:color w:val="auto"/>
          <w:spacing w:val="0"/>
          <w:position w:val="0"/>
          <w:sz w:val="24"/>
          <w:shd w:val="clear" w:fill="auto"/>
        </w:rPr>
        <w:t>1</w:t>
      </w:r>
      <w:r>
        <w:rPr>
          <w:rFonts w:ascii="宋体" w:hAnsi="宋体" w:eastAsia="宋体" w:cs="宋体"/>
          <w:b/>
          <w:color w:val="auto"/>
          <w:spacing w:val="0"/>
          <w:position w:val="0"/>
          <w:sz w:val="24"/>
          <w:shd w:val="clear" w:fill="auto"/>
        </w:rPr>
        <w:t>）基本单元</w:t>
      </w:r>
    </w:p>
    <w:p>
      <w:pPr>
        <w:numPr>
          <w:ilvl w:val="0"/>
          <w:numId w:val="13"/>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稀释气流量范围：</w:t>
      </w:r>
      <w:r>
        <w:rPr>
          <w:rFonts w:ascii="Times New Roman" w:hAnsi="Times New Roman" w:eastAsia="Times New Roman" w:cs="Times New Roman"/>
          <w:color w:val="auto"/>
          <w:spacing w:val="0"/>
          <w:position w:val="0"/>
          <w:sz w:val="24"/>
          <w:shd w:val="clear" w:fill="auto"/>
        </w:rPr>
        <w:t>(0~10)SLPM</w:t>
      </w:r>
      <w:r>
        <w:rPr>
          <w:rFonts w:ascii="宋体" w:hAnsi="宋体" w:eastAsia="宋体" w:cs="宋体"/>
          <w:color w:val="auto"/>
          <w:spacing w:val="0"/>
          <w:position w:val="0"/>
          <w:sz w:val="24"/>
          <w:shd w:val="clear" w:fill="auto"/>
        </w:rPr>
        <w:t>，可扩展</w:t>
      </w:r>
    </w:p>
    <w:p>
      <w:pPr>
        <w:numPr>
          <w:ilvl w:val="0"/>
          <w:numId w:val="13"/>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标气流量范围：</w:t>
      </w:r>
      <w:r>
        <w:rPr>
          <w:rFonts w:ascii="Times New Roman" w:hAnsi="Times New Roman" w:eastAsia="Times New Roman" w:cs="Times New Roman"/>
          <w:color w:val="auto"/>
          <w:spacing w:val="0"/>
          <w:position w:val="0"/>
          <w:sz w:val="24"/>
          <w:shd w:val="clear" w:fill="auto"/>
        </w:rPr>
        <w:t>(0~100) sccm</w:t>
      </w:r>
      <w:r>
        <w:rPr>
          <w:rFonts w:ascii="宋体" w:hAnsi="宋体" w:eastAsia="宋体" w:cs="宋体"/>
          <w:color w:val="auto"/>
          <w:spacing w:val="0"/>
          <w:position w:val="0"/>
          <w:sz w:val="24"/>
          <w:shd w:val="clear" w:fill="auto"/>
        </w:rPr>
        <w:t>，可扩展</w:t>
      </w:r>
    </w:p>
    <w:p>
      <w:pPr>
        <w:spacing w:before="0" w:after="0" w:line="360" w:lineRule="auto"/>
        <w:ind w:left="0" w:right="0" w:firstLine="482"/>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w:t>
      </w:r>
      <w:r>
        <w:rPr>
          <w:rFonts w:ascii="Times New Roman" w:hAnsi="Times New Roman" w:eastAsia="Times New Roman" w:cs="Times New Roman"/>
          <w:b/>
          <w:color w:val="auto"/>
          <w:spacing w:val="0"/>
          <w:position w:val="0"/>
          <w:sz w:val="24"/>
          <w:shd w:val="clear" w:fill="auto"/>
        </w:rPr>
        <w:t>2</w:t>
      </w:r>
      <w:r>
        <w:rPr>
          <w:rFonts w:ascii="宋体" w:hAnsi="宋体" w:eastAsia="宋体" w:cs="宋体"/>
          <w:b/>
          <w:color w:val="auto"/>
          <w:spacing w:val="0"/>
          <w:position w:val="0"/>
          <w:sz w:val="24"/>
          <w:shd w:val="clear" w:fill="auto"/>
        </w:rPr>
        <w:t>）臭氧配气模块</w:t>
      </w:r>
    </w:p>
    <w:p>
      <w:pPr>
        <w:numPr>
          <w:ilvl w:val="0"/>
          <w:numId w:val="14"/>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线性度：≤</w:t>
      </w:r>
      <w:r>
        <w:rPr>
          <w:rFonts w:ascii="Times New Roman" w:hAnsi="Times New Roman" w:eastAsia="Times New Roman" w:cs="Times New Roman"/>
          <w:color w:val="auto"/>
          <w:spacing w:val="0"/>
          <w:position w:val="0"/>
          <w:sz w:val="24"/>
          <w:shd w:val="clear" w:fill="auto"/>
        </w:rPr>
        <w:t>1% F.S</w:t>
      </w:r>
    </w:p>
    <w:p>
      <w:pPr>
        <w:numPr>
          <w:ilvl w:val="0"/>
          <w:numId w:val="14"/>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重复性：≤</w:t>
      </w:r>
      <w:r>
        <w:rPr>
          <w:rFonts w:ascii="Times New Roman" w:hAnsi="Times New Roman" w:eastAsia="Times New Roman" w:cs="Times New Roman"/>
          <w:color w:val="auto"/>
          <w:spacing w:val="0"/>
          <w:position w:val="0"/>
          <w:sz w:val="24"/>
          <w:shd w:val="clear" w:fill="auto"/>
        </w:rPr>
        <w:t>1% F.S</w:t>
      </w:r>
    </w:p>
    <w:p>
      <w:pPr>
        <w:numPr>
          <w:ilvl w:val="0"/>
          <w:numId w:val="14"/>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稳定时间：（</w:t>
      </w:r>
      <w:r>
        <w:rPr>
          <w:rFonts w:ascii="Times New Roman" w:hAnsi="Times New Roman" w:eastAsia="Times New Roman" w:cs="Times New Roman"/>
          <w:color w:val="auto"/>
          <w:spacing w:val="0"/>
          <w:position w:val="0"/>
          <w:sz w:val="24"/>
          <w:shd w:val="clear" w:fill="auto"/>
        </w:rPr>
        <w:t>T98</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300s</w:t>
      </w:r>
    </w:p>
    <w:p>
      <w:pPr>
        <w:numPr>
          <w:ilvl w:val="0"/>
          <w:numId w:val="14"/>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零点漂移（</w:t>
      </w:r>
      <w:r>
        <w:rPr>
          <w:rFonts w:ascii="Times New Roman" w:hAnsi="Times New Roman" w:eastAsia="Times New Roman" w:cs="Times New Roman"/>
          <w:color w:val="auto"/>
          <w:spacing w:val="0"/>
          <w:position w:val="0"/>
          <w:sz w:val="24"/>
          <w:shd w:val="clear" w:fill="auto"/>
        </w:rPr>
        <w:t>24 hours</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1nmol/mol(ppb)</w:t>
      </w:r>
    </w:p>
    <w:p>
      <w:pPr>
        <w:numPr>
          <w:ilvl w:val="0"/>
          <w:numId w:val="14"/>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量程漂移：±</w:t>
      </w:r>
      <w:r>
        <w:rPr>
          <w:rFonts w:ascii="Times New Roman" w:hAnsi="Times New Roman" w:eastAsia="Times New Roman" w:cs="Times New Roman"/>
          <w:color w:val="auto"/>
          <w:spacing w:val="0"/>
          <w:position w:val="0"/>
          <w:sz w:val="24"/>
          <w:shd w:val="clear" w:fill="auto"/>
        </w:rPr>
        <w:t>5 nmol/mol(ppb)</w:t>
      </w:r>
      <w:r>
        <w:rPr>
          <w:rFonts w:ascii="Times New Roman" w:hAnsi="Times New Roman" w:eastAsia="Times New Roman" w:cs="Times New Roman"/>
          <w:color w:val="auto"/>
          <w:spacing w:val="0"/>
          <w:position w:val="0"/>
          <w:sz w:val="24"/>
          <w:shd w:val="clear" w:fill="auto"/>
        </w:rPr>
        <w:tab/>
      </w:r>
    </w:p>
    <w:p>
      <w:pPr>
        <w:spacing w:before="0" w:after="0" w:line="360" w:lineRule="auto"/>
        <w:ind w:left="420" w:right="0" w:firstLine="0"/>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w:t>
      </w:r>
      <w:r>
        <w:rPr>
          <w:rFonts w:ascii="Times New Roman" w:hAnsi="Times New Roman" w:eastAsia="Times New Roman" w:cs="Times New Roman"/>
          <w:b/>
          <w:color w:val="auto"/>
          <w:spacing w:val="0"/>
          <w:position w:val="0"/>
          <w:sz w:val="24"/>
          <w:shd w:val="clear" w:fill="auto"/>
        </w:rPr>
        <w:t>3</w:t>
      </w:r>
      <w:r>
        <w:rPr>
          <w:rFonts w:ascii="宋体" w:hAnsi="宋体" w:eastAsia="宋体" w:cs="宋体"/>
          <w:b/>
          <w:color w:val="auto"/>
          <w:spacing w:val="0"/>
          <w:position w:val="0"/>
          <w:sz w:val="24"/>
          <w:shd w:val="clear" w:fill="auto"/>
        </w:rPr>
        <w:t>）整体</w:t>
      </w:r>
    </w:p>
    <w:p>
      <w:pPr>
        <w:numPr>
          <w:ilvl w:val="0"/>
          <w:numId w:val="1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电源：</w:t>
      </w:r>
      <w:r>
        <w:rPr>
          <w:rFonts w:ascii="Times New Roman" w:hAnsi="Times New Roman" w:eastAsia="Times New Roman" w:cs="Times New Roman"/>
          <w:color w:val="auto"/>
          <w:spacing w:val="0"/>
          <w:position w:val="0"/>
          <w:sz w:val="24"/>
          <w:shd w:val="clear" w:fill="auto"/>
        </w:rPr>
        <w:t>(220±10%)V AC/(45</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55)Hz</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功率≤</w:t>
      </w:r>
      <w:r>
        <w:rPr>
          <w:rFonts w:ascii="Times New Roman" w:hAnsi="Times New Roman" w:eastAsia="Times New Roman" w:cs="Times New Roman"/>
          <w:color w:val="auto"/>
          <w:spacing w:val="0"/>
          <w:position w:val="0"/>
          <w:sz w:val="24"/>
          <w:shd w:val="clear" w:fill="auto"/>
        </w:rPr>
        <w:t>150W</w:t>
      </w:r>
    </w:p>
    <w:p>
      <w:pPr>
        <w:numPr>
          <w:ilvl w:val="0"/>
          <w:numId w:val="1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工作条件：温度：</w:t>
      </w:r>
      <w:r>
        <w:rPr>
          <w:rFonts w:ascii="Times New Roman" w:hAnsi="Times New Roman" w:eastAsia="Times New Roman" w:cs="Times New Roman"/>
          <w:color w:val="auto"/>
          <w:spacing w:val="0"/>
          <w:position w:val="0"/>
          <w:sz w:val="24"/>
          <w:shd w:val="clear" w:fill="auto"/>
        </w:rPr>
        <w:t>(0-40)</w:t>
      </w:r>
      <w:r>
        <w:rPr>
          <w:rFonts w:ascii="Segoe UI Symbol" w:hAnsi="Segoe UI Symbol" w:eastAsia="Segoe UI Symbol" w:cs="Segoe UI Symbol"/>
          <w:color w:val="auto"/>
          <w:spacing w:val="0"/>
          <w:position w:val="0"/>
          <w:sz w:val="24"/>
          <w:shd w:val="clear" w:fill="auto"/>
        </w:rPr>
        <w:t>℃</w:t>
      </w:r>
      <w:r>
        <w:rPr>
          <w:rFonts w:ascii="宋体" w:hAnsi="宋体" w:eastAsia="宋体" w:cs="宋体"/>
          <w:color w:val="auto"/>
          <w:spacing w:val="0"/>
          <w:position w:val="0"/>
          <w:sz w:val="24"/>
          <w:shd w:val="clear" w:fill="auto"/>
        </w:rPr>
        <w:t>，湿度：</w:t>
      </w:r>
      <w:r>
        <w:rPr>
          <w:rFonts w:ascii="Times New Roman" w:hAnsi="Times New Roman" w:eastAsia="Times New Roman" w:cs="Times New Roman"/>
          <w:color w:val="auto"/>
          <w:spacing w:val="0"/>
          <w:position w:val="0"/>
          <w:sz w:val="24"/>
          <w:shd w:val="clear" w:fill="auto"/>
        </w:rPr>
        <w:t>(0-95)% RH</w:t>
      </w:r>
      <w:r>
        <w:rPr>
          <w:rFonts w:ascii="宋体" w:hAnsi="宋体" w:eastAsia="宋体" w:cs="宋体"/>
          <w:color w:val="auto"/>
          <w:spacing w:val="0"/>
          <w:position w:val="0"/>
          <w:sz w:val="24"/>
          <w:shd w:val="clear" w:fill="auto"/>
        </w:rPr>
        <w:t>（无凝露）</w:t>
      </w:r>
    </w:p>
    <w:p>
      <w:pPr>
        <w:keepNext/>
        <w:numPr>
          <w:ilvl w:val="0"/>
          <w:numId w:val="15"/>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产品性能要求</w:t>
      </w:r>
    </w:p>
    <w:p>
      <w:pPr>
        <w:numPr>
          <w:ilvl w:val="0"/>
          <w:numId w:val="1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具有中文触摸式彩屏，方便查询、操作维护；</w:t>
      </w:r>
    </w:p>
    <w:p>
      <w:pPr>
        <w:numPr>
          <w:ilvl w:val="0"/>
          <w:numId w:val="1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具备开机自检和运行自诊断功能；</w:t>
      </w:r>
    </w:p>
    <w:p>
      <w:pPr>
        <w:numPr>
          <w:ilvl w:val="0"/>
          <w:numId w:val="1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采用高精度质量流量计进行流量控制，最大可实现</w:t>
      </w:r>
      <w:r>
        <w:rPr>
          <w:rFonts w:ascii="Times New Roman" w:hAnsi="Times New Roman" w:eastAsia="Times New Roman" w:cs="Times New Roman"/>
          <w:color w:val="auto"/>
          <w:spacing w:val="0"/>
          <w:position w:val="0"/>
          <w:sz w:val="24"/>
          <w:shd w:val="clear" w:fill="auto"/>
        </w:rPr>
        <w:t>1:1000</w:t>
      </w:r>
      <w:r>
        <w:rPr>
          <w:rFonts w:ascii="宋体" w:hAnsi="宋体" w:eastAsia="宋体" w:cs="宋体"/>
          <w:color w:val="auto"/>
          <w:spacing w:val="0"/>
          <w:position w:val="0"/>
          <w:sz w:val="24"/>
          <w:shd w:val="clear" w:fill="auto"/>
        </w:rPr>
        <w:t>的样气配比；</w:t>
      </w:r>
    </w:p>
    <w:p>
      <w:pPr>
        <w:numPr>
          <w:ilvl w:val="0"/>
          <w:numId w:val="1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具备光强衰减自检功能</w:t>
      </w:r>
    </w:p>
    <w:p>
      <w:pPr>
        <w:numPr>
          <w:ilvl w:val="0"/>
          <w:numId w:val="15"/>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产品软件获得计算机软件著作权登记证书（提供证书扫描件，不提供视为不满足）</w:t>
      </w:r>
    </w:p>
    <w:p>
      <w:pPr>
        <w:keepNext/>
        <w:numPr>
          <w:ilvl w:val="0"/>
          <w:numId w:val="15"/>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零气发生器</w:t>
      </w:r>
    </w:p>
    <w:p>
      <w:pPr>
        <w:keepNext/>
        <w:numPr>
          <w:ilvl w:val="0"/>
          <w:numId w:val="15"/>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设备用途</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作为稀释校准仪器的零气源</w:t>
      </w:r>
    </w:p>
    <w:p>
      <w:pPr>
        <w:keepNext/>
        <w:numPr>
          <w:ilvl w:val="0"/>
          <w:numId w:val="16"/>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技术参数</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输出：≤</w:t>
      </w:r>
      <w:r>
        <w:rPr>
          <w:rFonts w:ascii="Times New Roman" w:hAnsi="Times New Roman" w:eastAsia="Times New Roman" w:cs="Times New Roman"/>
          <w:color w:val="auto"/>
          <w:spacing w:val="0"/>
          <w:position w:val="0"/>
          <w:sz w:val="24"/>
          <w:shd w:val="clear" w:fill="auto"/>
        </w:rPr>
        <w:t>20SLPM</w:t>
      </w:r>
      <w:r>
        <w:rPr>
          <w:rFonts w:ascii="宋体" w:hAnsi="宋体" w:eastAsia="宋体" w:cs="宋体"/>
          <w:color w:val="auto"/>
          <w:spacing w:val="0"/>
          <w:position w:val="0"/>
          <w:sz w:val="24"/>
          <w:shd w:val="clear" w:fill="auto"/>
        </w:rPr>
        <w:t>；</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露点：流量≤</w:t>
      </w:r>
      <w:r>
        <w:rPr>
          <w:rFonts w:ascii="Times New Roman" w:hAnsi="Times New Roman" w:eastAsia="Times New Roman" w:cs="Times New Roman"/>
          <w:color w:val="auto"/>
          <w:spacing w:val="0"/>
          <w:position w:val="0"/>
          <w:sz w:val="24"/>
          <w:shd w:val="clear" w:fill="auto"/>
        </w:rPr>
        <w:t>10SLPM</w:t>
      </w:r>
      <w:r>
        <w:rPr>
          <w:rFonts w:ascii="宋体" w:hAnsi="宋体" w:eastAsia="宋体" w:cs="宋体"/>
          <w:color w:val="auto"/>
          <w:spacing w:val="0"/>
          <w:position w:val="0"/>
          <w:sz w:val="24"/>
          <w:shd w:val="clear" w:fill="auto"/>
        </w:rPr>
        <w:t>时，露点≤</w:t>
      </w:r>
      <w:r>
        <w:rPr>
          <w:rFonts w:ascii="Times New Roman" w:hAnsi="Times New Roman" w:eastAsia="Times New Roman" w:cs="Times New Roman"/>
          <w:color w:val="auto"/>
          <w:spacing w:val="0"/>
          <w:position w:val="0"/>
          <w:sz w:val="24"/>
          <w:shd w:val="clear" w:fill="auto"/>
        </w:rPr>
        <w:t>-20</w:t>
      </w:r>
      <w:r>
        <w:rPr>
          <w:rFonts w:ascii="Segoe UI Symbol" w:hAnsi="Segoe UI Symbol" w:eastAsia="Segoe UI Symbol" w:cs="Segoe UI Symbol"/>
          <w:color w:val="auto"/>
          <w:spacing w:val="0"/>
          <w:position w:val="0"/>
          <w:sz w:val="24"/>
          <w:shd w:val="clear" w:fill="auto"/>
        </w:rPr>
        <w:t>℃</w:t>
      </w:r>
      <w:r>
        <w:rPr>
          <w:rFonts w:ascii="宋体" w:hAnsi="宋体" w:eastAsia="宋体" w:cs="宋体"/>
          <w:color w:val="auto"/>
          <w:spacing w:val="0"/>
          <w:position w:val="0"/>
          <w:sz w:val="24"/>
          <w:shd w:val="clear" w:fill="auto"/>
        </w:rPr>
        <w:t>；流量≤</w:t>
      </w:r>
      <w:r>
        <w:rPr>
          <w:rFonts w:ascii="Times New Roman" w:hAnsi="Times New Roman" w:eastAsia="Times New Roman" w:cs="Times New Roman"/>
          <w:color w:val="auto"/>
          <w:spacing w:val="0"/>
          <w:position w:val="0"/>
          <w:sz w:val="24"/>
          <w:shd w:val="clear" w:fill="auto"/>
        </w:rPr>
        <w:t>20SLPM</w:t>
      </w:r>
      <w:r>
        <w:rPr>
          <w:rFonts w:ascii="宋体" w:hAnsi="宋体" w:eastAsia="宋体" w:cs="宋体"/>
          <w:color w:val="auto"/>
          <w:spacing w:val="0"/>
          <w:position w:val="0"/>
          <w:sz w:val="24"/>
          <w:shd w:val="clear" w:fill="auto"/>
        </w:rPr>
        <w:t>时，露点≤</w:t>
      </w:r>
      <w:r>
        <w:rPr>
          <w:rFonts w:ascii="Times New Roman" w:hAnsi="Times New Roman" w:eastAsia="Times New Roman" w:cs="Times New Roman"/>
          <w:color w:val="auto"/>
          <w:spacing w:val="0"/>
          <w:position w:val="0"/>
          <w:sz w:val="24"/>
          <w:shd w:val="clear" w:fill="auto"/>
        </w:rPr>
        <w:t>-10</w:t>
      </w:r>
      <w:r>
        <w:rPr>
          <w:rFonts w:ascii="Segoe UI Symbol" w:hAnsi="Segoe UI Symbol" w:eastAsia="Segoe UI Symbol" w:cs="Segoe UI Symbol"/>
          <w:color w:val="auto"/>
          <w:spacing w:val="0"/>
          <w:position w:val="0"/>
          <w:sz w:val="24"/>
          <w:shd w:val="clear" w:fill="auto"/>
        </w:rPr>
        <w:t>℃</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ab/>
      </w:r>
      <w:r>
        <w:rPr>
          <w:rFonts w:ascii="宋体" w:hAnsi="宋体" w:eastAsia="宋体" w:cs="宋体"/>
          <w:color w:val="auto"/>
          <w:spacing w:val="0"/>
          <w:position w:val="0"/>
          <w:sz w:val="24"/>
          <w:shd w:val="clear" w:fill="auto"/>
        </w:rPr>
        <w:t>输出浓度：</w:t>
      </w:r>
      <w:r>
        <w:rPr>
          <w:rFonts w:ascii="Times New Roman" w:hAnsi="Times New Roman" w:eastAsia="Times New Roman" w:cs="Times New Roman"/>
          <w:color w:val="auto"/>
          <w:spacing w:val="0"/>
          <w:position w:val="0"/>
          <w:sz w:val="24"/>
          <w:shd w:val="clear" w:fill="auto"/>
        </w:rPr>
        <w:t>SO</w:t>
      </w:r>
      <w:r>
        <w:rPr>
          <w:rFonts w:ascii="Times New Roman" w:hAnsi="Times New Roman" w:eastAsia="Times New Roman" w:cs="Times New Roman"/>
          <w:color w:val="auto"/>
          <w:spacing w:val="0"/>
          <w:position w:val="0"/>
          <w:sz w:val="24"/>
          <w:shd w:val="clear" w:fill="auto"/>
          <w:vertAlign w:val="subscript"/>
        </w:rPr>
        <w:t>2</w:t>
      </w:r>
      <w:r>
        <w:rPr>
          <w:rFonts w:ascii="Cambria Math" w:hAnsi="Cambria Math" w:eastAsia="Cambria Math" w:cs="Cambria Math"/>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0.5 nmol/mol(ppb)</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NO</w:t>
      </w:r>
      <w:r>
        <w:rPr>
          <w:rFonts w:ascii="Cambria Math" w:hAnsi="Cambria Math" w:eastAsia="Cambria Math" w:cs="Cambria Math"/>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0.5 nmol/mol(ppb)</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NO</w:t>
      </w:r>
      <w:r>
        <w:rPr>
          <w:rFonts w:ascii="Times New Roman" w:hAnsi="Times New Roman" w:eastAsia="Times New Roman" w:cs="Times New Roman"/>
          <w:color w:val="auto"/>
          <w:spacing w:val="0"/>
          <w:position w:val="0"/>
          <w:sz w:val="24"/>
          <w:shd w:val="clear" w:fill="auto"/>
          <w:vertAlign w:val="subscript"/>
        </w:rPr>
        <w:t>2</w:t>
      </w:r>
      <w:r>
        <w:rPr>
          <w:rFonts w:ascii="Cambria Math" w:hAnsi="Cambria Math" w:eastAsia="Cambria Math" w:cs="Cambria Math"/>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0.5 nmol/mol(ppb)</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O</w:t>
      </w:r>
      <w:r>
        <w:rPr>
          <w:rFonts w:ascii="Times New Roman" w:hAnsi="Times New Roman" w:eastAsia="Times New Roman" w:cs="Times New Roman"/>
          <w:color w:val="auto"/>
          <w:spacing w:val="0"/>
          <w:position w:val="0"/>
          <w:sz w:val="24"/>
          <w:shd w:val="clear" w:fill="auto"/>
          <w:vertAlign w:val="subscript"/>
        </w:rPr>
        <w:t>3</w:t>
      </w:r>
      <w:r>
        <w:rPr>
          <w:rFonts w:ascii="Cambria Math" w:hAnsi="Cambria Math" w:eastAsia="Cambria Math" w:cs="Cambria Math"/>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0.5 nmol/mol(ppb)</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CO</w:t>
      </w:r>
      <w:r>
        <w:rPr>
          <w:rFonts w:ascii="Cambria Math" w:hAnsi="Cambria Math" w:eastAsia="Cambria Math" w:cs="Cambria Math"/>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0.025 μmol/mol(ppm)</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CH</w:t>
      </w:r>
      <w:r>
        <w:rPr>
          <w:rFonts w:ascii="Times New Roman" w:hAnsi="Times New Roman" w:eastAsia="Times New Roman" w:cs="Times New Roman"/>
          <w:color w:val="auto"/>
          <w:spacing w:val="0"/>
          <w:position w:val="0"/>
          <w:sz w:val="24"/>
          <w:shd w:val="clear" w:fill="auto"/>
          <w:vertAlign w:val="subscript"/>
        </w:rPr>
        <w:t>4</w:t>
      </w:r>
      <w:r>
        <w:rPr>
          <w:rFonts w:ascii="Cambria Math" w:hAnsi="Cambria Math" w:eastAsia="Cambria Math" w:cs="Cambria Math"/>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5 nmol/mol(ppb)</w:t>
      </w:r>
      <w:r>
        <w:rPr>
          <w:rFonts w:ascii="宋体" w:hAnsi="宋体" w:eastAsia="宋体" w:cs="宋体"/>
          <w:color w:val="auto"/>
          <w:spacing w:val="0"/>
          <w:position w:val="0"/>
          <w:sz w:val="24"/>
          <w:shd w:val="clear" w:fill="auto"/>
        </w:rPr>
        <w:t>，非甲烷总烃≤</w:t>
      </w:r>
      <w:r>
        <w:rPr>
          <w:rFonts w:ascii="Times New Roman" w:hAnsi="Times New Roman" w:eastAsia="Times New Roman" w:cs="Times New Roman"/>
          <w:color w:val="auto"/>
          <w:spacing w:val="0"/>
          <w:position w:val="0"/>
          <w:sz w:val="24"/>
          <w:shd w:val="clear" w:fill="auto"/>
        </w:rPr>
        <w:t>0.25nmol/mol(ppb)</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工作条件：温度：</w:t>
      </w:r>
      <w:r>
        <w:rPr>
          <w:rFonts w:ascii="Times New Roman" w:hAnsi="Times New Roman" w:eastAsia="Times New Roman" w:cs="Times New Roman"/>
          <w:color w:val="auto"/>
          <w:spacing w:val="0"/>
          <w:position w:val="0"/>
          <w:sz w:val="24"/>
          <w:shd w:val="clear" w:fill="auto"/>
        </w:rPr>
        <w:t>(0-40)</w:t>
      </w:r>
      <w:r>
        <w:rPr>
          <w:rFonts w:ascii="Segoe UI Symbol" w:hAnsi="Segoe UI Symbol" w:eastAsia="Segoe UI Symbol" w:cs="Segoe UI Symbol"/>
          <w:color w:val="auto"/>
          <w:spacing w:val="0"/>
          <w:position w:val="0"/>
          <w:sz w:val="24"/>
          <w:shd w:val="clear" w:fill="auto"/>
        </w:rPr>
        <w:t>℃</w:t>
      </w:r>
      <w:r>
        <w:rPr>
          <w:rFonts w:ascii="宋体" w:hAnsi="宋体" w:eastAsia="宋体" w:cs="宋体"/>
          <w:color w:val="auto"/>
          <w:spacing w:val="0"/>
          <w:position w:val="0"/>
          <w:sz w:val="24"/>
          <w:shd w:val="clear" w:fill="auto"/>
        </w:rPr>
        <w:t>，</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湿度：</w:t>
      </w:r>
      <w:r>
        <w:rPr>
          <w:rFonts w:ascii="Times New Roman" w:hAnsi="Times New Roman" w:eastAsia="Times New Roman" w:cs="Times New Roman"/>
          <w:color w:val="auto"/>
          <w:spacing w:val="0"/>
          <w:position w:val="0"/>
          <w:sz w:val="24"/>
          <w:shd w:val="clear" w:fill="auto"/>
        </w:rPr>
        <w:t>(0-95)% RH</w:t>
      </w:r>
      <w:r>
        <w:rPr>
          <w:rFonts w:ascii="宋体" w:hAnsi="宋体" w:eastAsia="宋体" w:cs="宋体"/>
          <w:color w:val="auto"/>
          <w:spacing w:val="0"/>
          <w:position w:val="0"/>
          <w:sz w:val="24"/>
          <w:shd w:val="clear" w:fill="auto"/>
        </w:rPr>
        <w:t>（无凝露）</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电源：</w:t>
      </w:r>
      <w:r>
        <w:rPr>
          <w:rFonts w:ascii="Times New Roman" w:hAnsi="Times New Roman" w:eastAsia="Times New Roman" w:cs="Times New Roman"/>
          <w:color w:val="auto"/>
          <w:spacing w:val="0"/>
          <w:position w:val="0"/>
          <w:sz w:val="24"/>
          <w:shd w:val="clear" w:fill="auto"/>
        </w:rPr>
        <w:t>(220±10%) V AC/(45</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55)Hz,</w:t>
      </w:r>
      <w:r>
        <w:rPr>
          <w:rFonts w:ascii="宋体" w:hAnsi="宋体" w:eastAsia="宋体" w:cs="宋体"/>
          <w:color w:val="auto"/>
          <w:spacing w:val="0"/>
          <w:position w:val="0"/>
          <w:sz w:val="24"/>
          <w:shd w:val="clear" w:fill="auto"/>
        </w:rPr>
        <w:t>功率≤</w:t>
      </w:r>
      <w:r>
        <w:rPr>
          <w:rFonts w:ascii="Times New Roman" w:hAnsi="Times New Roman" w:eastAsia="Times New Roman" w:cs="Times New Roman"/>
          <w:color w:val="auto"/>
          <w:spacing w:val="0"/>
          <w:position w:val="0"/>
          <w:sz w:val="24"/>
          <w:shd w:val="clear" w:fill="auto"/>
        </w:rPr>
        <w:t>600W</w:t>
      </w:r>
    </w:p>
    <w:p>
      <w:pPr>
        <w:keepNext/>
        <w:numPr>
          <w:ilvl w:val="0"/>
          <w:numId w:val="16"/>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产品性能要求</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输出的零气干燥、清洁、流量稳定；</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输出的零气流量最大可达</w:t>
      </w:r>
      <w:r>
        <w:rPr>
          <w:rFonts w:ascii="Times New Roman" w:hAnsi="Times New Roman" w:eastAsia="Times New Roman" w:cs="Times New Roman"/>
          <w:color w:val="auto"/>
          <w:spacing w:val="0"/>
          <w:position w:val="0"/>
          <w:sz w:val="24"/>
          <w:shd w:val="clear" w:fill="auto"/>
        </w:rPr>
        <w:t>20L/min</w:t>
      </w:r>
      <w:r>
        <w:rPr>
          <w:rFonts w:ascii="宋体" w:hAnsi="宋体" w:eastAsia="宋体" w:cs="宋体"/>
          <w:color w:val="auto"/>
          <w:spacing w:val="0"/>
          <w:position w:val="0"/>
          <w:sz w:val="24"/>
          <w:shd w:val="clear" w:fill="auto"/>
        </w:rPr>
        <w:t>，输出压力可调节；</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带有零气露点报警和仪器故障报警功能；</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日常维护量少；</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可以长期连续安全可靠地运行；</w:t>
      </w:r>
    </w:p>
    <w:p>
      <w:pPr>
        <w:numPr>
          <w:ilvl w:val="0"/>
          <w:numId w:val="16"/>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外置空气压缩机在无人值守的情况下可以实现自动排水功能</w:t>
      </w:r>
    </w:p>
    <w:p>
      <w:pPr>
        <w:keepNext/>
        <w:numPr>
          <w:ilvl w:val="0"/>
          <w:numId w:val="16"/>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环境监控与质控联动设备</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支持采集站房环境监控常规的站房运行监测设备数据，包括站房温湿度、总管温湿度、采样总管静压、站房电压、站房电流等。</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支持接受远程下达的分析仪器质控任务并启动控制阀门的开关，为分析仪器质控任务计划做提前预热准备，并能解决质控气回流、气路死区、压力异常等影响采样、质控精度的问题；在到达启动时间时自动执行质控任务，质控结束后生成详细的质控报表，并上传至市级空气平台。</w:t>
      </w:r>
    </w:p>
    <w:p>
      <w:pPr>
        <w:keepNext/>
        <w:numPr>
          <w:ilvl w:val="0"/>
          <w:numId w:val="17"/>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站房配套设施</w:t>
      </w:r>
    </w:p>
    <w:p>
      <w:pPr>
        <w:keepNext/>
        <w:numPr>
          <w:ilvl w:val="0"/>
          <w:numId w:val="17"/>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采样系统</w:t>
      </w:r>
    </w:p>
    <w:p>
      <w:pPr>
        <w:numPr>
          <w:ilvl w:val="0"/>
          <w:numId w:val="1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采样装置：垂直层流式采样总管。</w:t>
      </w:r>
    </w:p>
    <w:p>
      <w:pPr>
        <w:numPr>
          <w:ilvl w:val="0"/>
          <w:numId w:val="1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采样头：防止雨水和粗大的颗粒物落入总管，同时避免鸟类、小动物和大型昆虫进入总管。采样头的设计保证采样气流不受风向影响，稳定进入总管。</w:t>
      </w:r>
    </w:p>
    <w:p>
      <w:pPr>
        <w:numPr>
          <w:ilvl w:val="0"/>
          <w:numId w:val="1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采样总管：总管内径范围在</w:t>
      </w:r>
      <w:r>
        <w:rPr>
          <w:rFonts w:ascii="Times New Roman" w:hAnsi="Times New Roman" w:eastAsia="Times New Roman" w:cs="Times New Roman"/>
          <w:color w:val="auto"/>
          <w:spacing w:val="0"/>
          <w:position w:val="0"/>
          <w:sz w:val="24"/>
          <w:shd w:val="clear" w:fill="auto"/>
        </w:rPr>
        <w:t>1.5-15cm</w:t>
      </w:r>
      <w:r>
        <w:rPr>
          <w:rFonts w:ascii="宋体" w:hAnsi="宋体" w:eastAsia="宋体" w:cs="宋体"/>
          <w:color w:val="auto"/>
          <w:spacing w:val="0"/>
          <w:position w:val="0"/>
          <w:sz w:val="24"/>
          <w:shd w:val="clear" w:fill="auto"/>
        </w:rPr>
        <w:t>，采样总管内的气流保持层流状态，采样气体在总管内的滞留时间小于</w:t>
      </w:r>
      <w:r>
        <w:rPr>
          <w:rFonts w:ascii="Times New Roman" w:hAnsi="Times New Roman" w:eastAsia="Times New Roman" w:cs="Times New Roman"/>
          <w:color w:val="auto"/>
          <w:spacing w:val="0"/>
          <w:position w:val="0"/>
          <w:sz w:val="24"/>
          <w:shd w:val="clear" w:fill="auto"/>
        </w:rPr>
        <w:t>20s</w:t>
      </w:r>
      <w:r>
        <w:rPr>
          <w:rFonts w:ascii="宋体" w:hAnsi="宋体" w:eastAsia="宋体" w:cs="宋体"/>
          <w:color w:val="auto"/>
          <w:spacing w:val="0"/>
          <w:position w:val="0"/>
          <w:sz w:val="24"/>
          <w:shd w:val="clear" w:fill="auto"/>
        </w:rPr>
        <w:t>，各支管接头之间间隔距离大于</w:t>
      </w:r>
      <w:r>
        <w:rPr>
          <w:rFonts w:ascii="Times New Roman" w:hAnsi="Times New Roman" w:eastAsia="Times New Roman" w:cs="Times New Roman"/>
          <w:color w:val="auto"/>
          <w:spacing w:val="0"/>
          <w:position w:val="0"/>
          <w:sz w:val="24"/>
          <w:shd w:val="clear" w:fill="auto"/>
        </w:rPr>
        <w:t>8cm</w:t>
      </w:r>
      <w:r>
        <w:rPr>
          <w:rFonts w:ascii="宋体" w:hAnsi="宋体" w:eastAsia="宋体" w:cs="宋体"/>
          <w:color w:val="auto"/>
          <w:spacing w:val="0"/>
          <w:position w:val="0"/>
          <w:sz w:val="24"/>
          <w:shd w:val="clear" w:fill="auto"/>
        </w:rPr>
        <w:t>。</w:t>
      </w:r>
    </w:p>
    <w:p>
      <w:pPr>
        <w:numPr>
          <w:ilvl w:val="0"/>
          <w:numId w:val="1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管线外壁加装保温套或加热器，加热温度控制在</w:t>
      </w:r>
      <w:r>
        <w:rPr>
          <w:rFonts w:ascii="Times New Roman" w:hAnsi="Times New Roman" w:eastAsia="Times New Roman" w:cs="Times New Roman"/>
          <w:color w:val="auto"/>
          <w:spacing w:val="0"/>
          <w:position w:val="0"/>
          <w:sz w:val="24"/>
          <w:shd w:val="clear" w:fill="auto"/>
        </w:rPr>
        <w:t>30</w:t>
      </w:r>
      <w:r>
        <w:rPr>
          <w:rFonts w:ascii="Segoe UI Symbol" w:hAnsi="Segoe UI Symbol" w:eastAsia="Segoe UI Symbol" w:cs="Segoe UI Symbol"/>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~100</w:t>
      </w:r>
      <w:r>
        <w:rPr>
          <w:rFonts w:ascii="Segoe UI Symbol" w:hAnsi="Segoe UI Symbol" w:eastAsia="Segoe UI Symbol" w:cs="Segoe UI Symbol"/>
          <w:color w:val="auto"/>
          <w:spacing w:val="0"/>
          <w:position w:val="0"/>
          <w:sz w:val="24"/>
          <w:shd w:val="clear" w:fill="auto"/>
        </w:rPr>
        <w:t>℃</w:t>
      </w:r>
      <w:r>
        <w:rPr>
          <w:rFonts w:ascii="宋体" w:hAnsi="宋体" w:eastAsia="宋体" w:cs="宋体"/>
          <w:color w:val="auto"/>
          <w:spacing w:val="0"/>
          <w:position w:val="0"/>
          <w:sz w:val="24"/>
          <w:shd w:val="clear" w:fill="auto"/>
        </w:rPr>
        <w:t>。</w:t>
      </w:r>
    </w:p>
    <w:p>
      <w:pPr>
        <w:numPr>
          <w:ilvl w:val="0"/>
          <w:numId w:val="1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制作材料：不锈钢内衬聚四氟乙烯；</w:t>
      </w:r>
    </w:p>
    <w:p>
      <w:pPr>
        <w:numPr>
          <w:ilvl w:val="0"/>
          <w:numId w:val="1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样品相对湿度：≤</w:t>
      </w:r>
      <w:r>
        <w:rPr>
          <w:rFonts w:ascii="Times New Roman" w:hAnsi="Times New Roman" w:eastAsia="Times New Roman" w:cs="Times New Roman"/>
          <w:color w:val="auto"/>
          <w:spacing w:val="0"/>
          <w:position w:val="0"/>
          <w:sz w:val="24"/>
          <w:shd w:val="clear" w:fill="auto"/>
        </w:rPr>
        <w:t>80%</w:t>
      </w:r>
      <w:r>
        <w:rPr>
          <w:rFonts w:ascii="宋体" w:hAnsi="宋体" w:eastAsia="宋体" w:cs="宋体"/>
          <w:color w:val="auto"/>
          <w:spacing w:val="0"/>
          <w:position w:val="0"/>
          <w:sz w:val="24"/>
          <w:shd w:val="clear" w:fill="auto"/>
        </w:rPr>
        <w:t>；</w:t>
      </w:r>
    </w:p>
    <w:p>
      <w:pPr>
        <w:numPr>
          <w:ilvl w:val="0"/>
          <w:numId w:val="1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雷诺数</w:t>
      </w:r>
      <w:r>
        <w:rPr>
          <w:rFonts w:ascii="Times New Roman" w:hAnsi="Times New Roman" w:eastAsia="Times New Roman" w:cs="Times New Roman"/>
          <w:color w:val="auto"/>
          <w:spacing w:val="0"/>
          <w:position w:val="0"/>
          <w:sz w:val="24"/>
          <w:shd w:val="clear" w:fill="auto"/>
        </w:rPr>
        <w:t>&lt;2000</w:t>
      </w:r>
      <w:r>
        <w:rPr>
          <w:rFonts w:ascii="宋体" w:hAnsi="宋体" w:eastAsia="宋体" w:cs="宋体"/>
          <w:color w:val="auto"/>
          <w:spacing w:val="0"/>
          <w:position w:val="0"/>
          <w:sz w:val="24"/>
          <w:shd w:val="clear" w:fill="auto"/>
        </w:rPr>
        <w:t>；</w:t>
      </w:r>
    </w:p>
    <w:p>
      <w:pPr>
        <w:keepNext/>
        <w:numPr>
          <w:ilvl w:val="0"/>
          <w:numId w:val="17"/>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标准钢瓶气</w:t>
      </w:r>
    </w:p>
    <w:p>
      <w:pPr>
        <w:numPr>
          <w:ilvl w:val="0"/>
          <w:numId w:val="17"/>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SO</w:t>
      </w:r>
      <w:r>
        <w:rPr>
          <w:rFonts w:ascii="Times New Roman" w:hAnsi="Times New Roman" w:eastAsia="Times New Roman" w:cs="Times New Roman"/>
          <w:color w:val="auto"/>
          <w:spacing w:val="0"/>
          <w:position w:val="0"/>
          <w:sz w:val="24"/>
          <w:shd w:val="clear" w:fill="auto"/>
          <w:vertAlign w:val="subscript"/>
        </w:rPr>
        <w:t>2</w:t>
      </w:r>
      <w:r>
        <w:rPr>
          <w:rFonts w:ascii="Times New Roman" w:hAnsi="Times New Roman" w:eastAsia="Times New Roman" w:cs="Times New Roman"/>
          <w:color w:val="auto"/>
          <w:spacing w:val="0"/>
          <w:position w:val="0"/>
          <w:sz w:val="24"/>
          <w:shd w:val="clear" w:fill="auto"/>
        </w:rPr>
        <w:t>/NO/CO</w:t>
      </w:r>
      <w:r>
        <w:rPr>
          <w:rFonts w:ascii="宋体" w:hAnsi="宋体" w:eastAsia="宋体" w:cs="宋体"/>
          <w:color w:val="auto"/>
          <w:spacing w:val="0"/>
          <w:position w:val="0"/>
          <w:sz w:val="24"/>
          <w:shd w:val="clear" w:fill="auto"/>
        </w:rPr>
        <w:t>标气各一瓶；</w:t>
      </w:r>
    </w:p>
    <w:p>
      <w:pPr>
        <w:keepNext/>
        <w:numPr>
          <w:ilvl w:val="0"/>
          <w:numId w:val="17"/>
        </w:numPr>
        <w:spacing w:before="120" w:after="120" w:line="360" w:lineRule="auto"/>
        <w:ind w:left="0" w:right="0" w:firstLine="0"/>
        <w:jc w:val="left"/>
        <w:rPr>
          <w:rFonts w:ascii="Times New Roman" w:hAnsi="Times New Roman" w:eastAsia="Times New Roman" w:cs="Times New Roman"/>
          <w:b/>
          <w:color w:val="auto"/>
          <w:spacing w:val="0"/>
          <w:position w:val="0"/>
          <w:sz w:val="30"/>
          <w:shd w:val="clear" w:fill="auto"/>
        </w:rPr>
      </w:pPr>
      <w:r>
        <w:rPr>
          <w:rFonts w:ascii="宋体" w:hAnsi="宋体" w:eastAsia="宋体" w:cs="宋体"/>
          <w:b/>
          <w:color w:val="auto"/>
          <w:spacing w:val="0"/>
          <w:position w:val="0"/>
          <w:sz w:val="30"/>
          <w:shd w:val="clear" w:fill="auto"/>
        </w:rPr>
        <w:t>数据采集处理系统</w:t>
      </w:r>
    </w:p>
    <w:p>
      <w:pPr>
        <w:keepNext/>
        <w:numPr>
          <w:ilvl w:val="0"/>
          <w:numId w:val="17"/>
        </w:numPr>
        <w:spacing w:before="120" w:after="120" w:line="360" w:lineRule="auto"/>
        <w:ind w:left="0" w:right="0" w:firstLine="0"/>
        <w:jc w:val="left"/>
        <w:rPr>
          <w:rFonts w:ascii="Times New Roman" w:hAnsi="Times New Roman" w:eastAsia="Times New Roman" w:cs="Times New Roman"/>
          <w:b/>
          <w:color w:val="auto"/>
          <w:spacing w:val="0"/>
          <w:position w:val="0"/>
          <w:sz w:val="30"/>
          <w:szCs w:val="30"/>
          <w:shd w:val="clear" w:fill="auto"/>
        </w:rPr>
      </w:pPr>
      <w:r>
        <w:rPr>
          <w:rFonts w:ascii="宋体" w:hAnsi="宋体" w:eastAsia="宋体" w:cs="宋体"/>
          <w:b/>
          <w:color w:val="auto"/>
          <w:spacing w:val="0"/>
          <w:position w:val="0"/>
          <w:sz w:val="30"/>
          <w:szCs w:val="30"/>
          <w:shd w:val="clear" w:fill="auto"/>
        </w:rPr>
        <w:t>总体功能要求</w:t>
      </w:r>
    </w:p>
    <w:p>
      <w:pPr>
        <w:spacing w:before="0" w:after="0" w:line="36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用于监测站内所有在线分析仪器和校准设备的工作控制、数据采集、零气和标准气的供给时序、数据通讯等任务的执行。控制功能应满足空气质量自动监测系统的数据采集、控制、通讯等全部要求。</w:t>
      </w:r>
    </w:p>
    <w:p>
      <w:pPr>
        <w:keepNext/>
        <w:numPr>
          <w:ilvl w:val="0"/>
          <w:numId w:val="18"/>
        </w:numPr>
        <w:spacing w:before="120" w:after="120" w:line="360" w:lineRule="auto"/>
        <w:ind w:left="0" w:right="0" w:firstLine="0"/>
        <w:jc w:val="left"/>
        <w:rPr>
          <w:rFonts w:ascii="Times New Roman" w:hAnsi="Times New Roman" w:eastAsia="Times New Roman" w:cs="Times New Roman"/>
          <w:b/>
          <w:color w:val="auto"/>
          <w:spacing w:val="0"/>
          <w:position w:val="0"/>
          <w:sz w:val="28"/>
          <w:shd w:val="clear" w:fill="auto"/>
        </w:rPr>
      </w:pPr>
      <w:r>
        <w:rPr>
          <w:rFonts w:ascii="宋体" w:hAnsi="宋体" w:eastAsia="宋体" w:cs="宋体"/>
          <w:b/>
          <w:color w:val="auto"/>
          <w:spacing w:val="0"/>
          <w:position w:val="0"/>
          <w:sz w:val="30"/>
          <w:szCs w:val="30"/>
          <w:shd w:val="clear" w:fill="auto"/>
        </w:rPr>
        <w:t>主要技术参数要求</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应能通过</w:t>
      </w:r>
      <w:r>
        <w:rPr>
          <w:rFonts w:ascii="Times New Roman" w:hAnsi="Times New Roman" w:eastAsia="Times New Roman" w:cs="Times New Roman"/>
          <w:color w:val="auto"/>
          <w:spacing w:val="0"/>
          <w:position w:val="0"/>
          <w:sz w:val="24"/>
          <w:shd w:val="clear" w:fill="auto"/>
        </w:rPr>
        <w:t>RS232</w:t>
      </w: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RS485</w:t>
      </w:r>
      <w:r>
        <w:rPr>
          <w:rFonts w:ascii="宋体" w:hAnsi="宋体" w:eastAsia="宋体" w:cs="宋体"/>
          <w:color w:val="auto"/>
          <w:spacing w:val="0"/>
          <w:position w:val="0"/>
          <w:sz w:val="24"/>
          <w:shd w:val="clear" w:fill="auto"/>
        </w:rPr>
        <w:t>通讯、有线网络、无线网络</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含</w:t>
      </w:r>
      <w:r>
        <w:rPr>
          <w:rFonts w:ascii="Times New Roman" w:hAnsi="Times New Roman" w:eastAsia="Times New Roman" w:cs="Times New Roman"/>
          <w:color w:val="auto"/>
          <w:spacing w:val="0"/>
          <w:position w:val="0"/>
          <w:sz w:val="24"/>
          <w:shd w:val="clear" w:fill="auto"/>
        </w:rPr>
        <w:t>4G</w:t>
      </w:r>
      <w:r>
        <w:rPr>
          <w:rFonts w:ascii="宋体" w:hAnsi="宋体" w:eastAsia="宋体" w:cs="宋体"/>
          <w:color w:val="auto"/>
          <w:spacing w:val="0"/>
          <w:position w:val="0"/>
          <w:sz w:val="24"/>
          <w:shd w:val="clear" w:fill="auto"/>
        </w:rPr>
        <w:t>等</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多种通讯方式，实现与分析仪器联接并采集仪器的测量结果和工作状态；</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软件每个采集定时器的周期与每个分析仪器测量周期应保持一致且一一对应，并且软件采集周期可设；</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应内置多种国内外通讯协议（“</w:t>
      </w:r>
      <w:r>
        <w:rPr>
          <w:rFonts w:ascii="Times New Roman" w:hAnsi="Times New Roman" w:eastAsia="Times New Roman" w:cs="Times New Roman"/>
          <w:color w:val="auto"/>
          <w:spacing w:val="0"/>
          <w:position w:val="0"/>
          <w:sz w:val="24"/>
          <w:shd w:val="clear" w:fill="auto"/>
        </w:rPr>
        <w:t>HJ212-2017</w:t>
      </w:r>
      <w:r>
        <w:rPr>
          <w:rFonts w:ascii="宋体" w:hAnsi="宋体" w:eastAsia="宋体" w:cs="宋体"/>
          <w:color w:val="auto"/>
          <w:spacing w:val="0"/>
          <w:position w:val="0"/>
          <w:sz w:val="24"/>
          <w:shd w:val="clear" w:fill="auto"/>
        </w:rPr>
        <w:t>污染物在线监控（监测）系统数据传输标准”、</w:t>
      </w:r>
      <w:r>
        <w:rPr>
          <w:rFonts w:ascii="Times New Roman" w:hAnsi="Times New Roman" w:eastAsia="Times New Roman" w:cs="Times New Roman"/>
          <w:color w:val="auto"/>
          <w:spacing w:val="0"/>
          <w:position w:val="0"/>
          <w:sz w:val="24"/>
          <w:shd w:val="clear" w:fill="auto"/>
        </w:rPr>
        <w:t>Modbus</w:t>
      </w:r>
      <w:r>
        <w:rPr>
          <w:rFonts w:ascii="宋体" w:hAnsi="宋体" w:eastAsia="宋体" w:cs="宋体"/>
          <w:color w:val="auto"/>
          <w:spacing w:val="0"/>
          <w:position w:val="0"/>
          <w:sz w:val="24"/>
          <w:shd w:val="clear" w:fill="auto"/>
        </w:rPr>
        <w:t>等协议），兼容各类环境监测分析仪器；</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应不少于</w:t>
      </w:r>
      <w:r>
        <w:rPr>
          <w:rFonts w:ascii="Times New Roman" w:hAnsi="Times New Roman" w:eastAsia="Times New Roman" w:cs="Times New Roman"/>
          <w:color w:val="auto"/>
          <w:spacing w:val="0"/>
          <w:position w:val="0"/>
          <w:sz w:val="24"/>
          <w:shd w:val="clear" w:fill="auto"/>
        </w:rPr>
        <w:t>8</w:t>
      </w:r>
      <w:r>
        <w:rPr>
          <w:rFonts w:ascii="宋体" w:hAnsi="宋体" w:eastAsia="宋体" w:cs="宋体"/>
          <w:color w:val="auto"/>
          <w:spacing w:val="0"/>
          <w:position w:val="0"/>
          <w:sz w:val="24"/>
          <w:shd w:val="clear" w:fill="auto"/>
        </w:rPr>
        <w:t>个串口；</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停电后应长期保存系统设置参数，电源恢复后可自动启动，进入工作状态；</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全面支持网络通讯：可以支持有线网络、无线网络</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含</w:t>
      </w:r>
      <w:r>
        <w:rPr>
          <w:rFonts w:ascii="Times New Roman" w:hAnsi="Times New Roman" w:eastAsia="Times New Roman" w:cs="Times New Roman"/>
          <w:color w:val="auto"/>
          <w:spacing w:val="0"/>
          <w:position w:val="0"/>
          <w:sz w:val="24"/>
          <w:shd w:val="clear" w:fill="auto"/>
        </w:rPr>
        <w:t>4G</w:t>
      </w:r>
      <w:r>
        <w:rPr>
          <w:rFonts w:ascii="宋体" w:hAnsi="宋体" w:eastAsia="宋体" w:cs="宋体"/>
          <w:color w:val="auto"/>
          <w:spacing w:val="0"/>
          <w:position w:val="0"/>
          <w:sz w:val="24"/>
          <w:shd w:val="clear" w:fill="auto"/>
        </w:rPr>
        <w:t>等</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多种通讯方式，所有具有数字通讯功能的设备均实现了远程网络通讯；</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系统稳定性：整套软件运行于</w:t>
      </w:r>
      <w:r>
        <w:rPr>
          <w:rFonts w:ascii="Times New Roman" w:hAnsi="Times New Roman" w:eastAsia="Times New Roman" w:cs="Times New Roman"/>
          <w:color w:val="auto"/>
          <w:spacing w:val="0"/>
          <w:position w:val="0"/>
          <w:sz w:val="24"/>
          <w:shd w:val="clear" w:fill="auto"/>
        </w:rPr>
        <w:t>window</w:t>
      </w:r>
      <w:r>
        <w:rPr>
          <w:rFonts w:ascii="宋体" w:hAnsi="宋体" w:eastAsia="宋体" w:cs="宋体"/>
          <w:color w:val="auto"/>
          <w:spacing w:val="0"/>
          <w:position w:val="0"/>
          <w:sz w:val="24"/>
          <w:shd w:val="clear" w:fill="auto"/>
        </w:rPr>
        <w:t>系统之上，确保系统的稳定和安全；</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4"/>
          <w:shd w:val="clear" w:fill="auto"/>
        </w:rPr>
        <w:t>系统安全性：数据采用加密传输和严格的权限控制，身份认证，确保系统不受内部和外来的安全威胁。</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▲数采系统软件获得计算机软件著作权登记证书（提供证书扫描件，不提供视为不满足）</w:t>
      </w:r>
    </w:p>
    <w:p>
      <w:pPr>
        <w:keepNext/>
        <w:numPr>
          <w:ilvl w:val="0"/>
          <w:numId w:val="18"/>
        </w:numPr>
        <w:spacing w:before="120" w:after="120" w:line="360" w:lineRule="auto"/>
        <w:ind w:left="0" w:right="0" w:firstLine="0"/>
        <w:jc w:val="left"/>
        <w:rPr>
          <w:rFonts w:ascii="Times New Roman" w:hAnsi="Times New Roman" w:eastAsia="Times New Roman" w:cs="Times New Roman"/>
          <w:b/>
          <w:color w:val="auto"/>
          <w:spacing w:val="0"/>
          <w:position w:val="0"/>
          <w:sz w:val="28"/>
          <w:shd w:val="clear" w:fill="auto"/>
        </w:rPr>
      </w:pPr>
      <w:r>
        <w:rPr>
          <w:rFonts w:ascii="宋体" w:hAnsi="宋体" w:eastAsia="宋体" w:cs="宋体"/>
          <w:b/>
          <w:color w:val="auto"/>
          <w:spacing w:val="0"/>
          <w:position w:val="0"/>
          <w:sz w:val="30"/>
          <w:szCs w:val="30"/>
          <w:shd w:val="clear" w:fill="auto"/>
        </w:rPr>
        <w:t>软件功能要求</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数据上传：数据上传握手机制与断点续传机制，支持监测站点多通道监测数据上传（一点多发模式）；</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系统报警：系统应灵活设置各种报警方式；应远程显示现场工作状态、仪器设备故障自动报警、异常值自动报警，并能将报警信号自动发送至监控中心；</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设备控制：操作人员可在现场对设备进行校零、校标等操作或结合中心端软硬件平台远程对设备进行校零、校标等操作；</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数据存储：系统应实时存储保存一年以上实时数据及小时均值；</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用户管理：系统具备严格的用户管理和权限控制功能；</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数据备份：数据应实现异地备份与恢复；</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数据输出：数据采集与传输应支持数字量和模拟量输出，其中模拟量采集值与测量值误差≤</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（满量程）；</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应具备测量数据及实时状态的查询功能，按需要进行各种方式的数据查询；数采软件应可正确显示分析仪测定的资料；</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数据一致性：数采软件显示的监测数据对应的监测时间应与监测仪显示的时间一致；</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应具备数据查询功能，不仅能查询一定时间段的历史数据，而且能查询</w:t>
      </w:r>
      <w:r>
        <w:rPr>
          <w:rFonts w:ascii="Times New Roman" w:hAnsi="Times New Roman" w:eastAsia="Times New Roman" w:cs="Times New Roman"/>
          <w:color w:val="auto"/>
          <w:spacing w:val="0"/>
          <w:position w:val="0"/>
          <w:sz w:val="24"/>
          <w:shd w:val="clear" w:fill="auto"/>
        </w:rPr>
        <w:t>5</w:t>
      </w:r>
      <w:r>
        <w:rPr>
          <w:rFonts w:ascii="宋体" w:hAnsi="宋体" w:eastAsia="宋体" w:cs="宋体"/>
          <w:color w:val="auto"/>
          <w:spacing w:val="0"/>
          <w:position w:val="0"/>
          <w:sz w:val="24"/>
          <w:shd w:val="clear" w:fill="auto"/>
        </w:rPr>
        <w:t>分钟均值、小时均值，并且配有形象的图形显示，便于用户了解各个参数随时间的变化趋势；</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仪器数据补遗：支持将测量仪器数据补遗到数采软件，防止数据缺失。</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仪器参数：支持将测量仪器参数（温度、压力、流量等参数）采集到数采软件，并上传给数据中心平台。</w:t>
      </w:r>
    </w:p>
    <w:p>
      <w:pPr>
        <w:numPr>
          <w:ilvl w:val="0"/>
          <w:numId w:val="18"/>
        </w:numPr>
        <w:spacing w:before="0" w:after="0" w:line="360" w:lineRule="auto"/>
        <w:ind w:left="420" w:right="0" w:hanging="42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平台补遗：在数据中心平台缺失数据情况下，应下发补遗命令给数采软件，补遗缺失数据。</w:t>
      </w:r>
    </w:p>
    <w:p>
      <w:pPr>
        <w:keepNext/>
        <w:numPr>
          <w:ilvl w:val="0"/>
          <w:numId w:val="18"/>
        </w:numPr>
        <w:spacing w:before="120" w:after="120" w:line="360" w:lineRule="auto"/>
        <w:ind w:left="0" w:right="0" w:firstLine="0"/>
        <w:jc w:val="left"/>
        <w:rPr>
          <w:rFonts w:ascii="Times New Roman" w:hAnsi="Times New Roman" w:eastAsia="Times New Roman" w:cs="Times New Roman"/>
          <w:b/>
          <w:color w:val="auto"/>
          <w:spacing w:val="0"/>
          <w:position w:val="0"/>
          <w:sz w:val="28"/>
          <w:shd w:val="clear" w:fill="auto"/>
        </w:rPr>
      </w:pPr>
      <w:r>
        <w:rPr>
          <w:rFonts w:ascii="宋体" w:hAnsi="宋体" w:eastAsia="宋体" w:cs="宋体"/>
          <w:b/>
          <w:color w:val="auto"/>
          <w:spacing w:val="0"/>
          <w:position w:val="0"/>
          <w:sz w:val="30"/>
          <w:szCs w:val="30"/>
          <w:shd w:val="clear" w:fill="auto"/>
        </w:rPr>
        <w:t>数据采集工控机硬件要求</w:t>
      </w:r>
    </w:p>
    <w:p>
      <w:pPr>
        <w:numPr>
          <w:ilvl w:val="0"/>
          <w:numId w:val="18"/>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CPU</w:t>
      </w:r>
      <w:r>
        <w:rPr>
          <w:rFonts w:ascii="宋体" w:hAnsi="宋体" w:eastAsia="宋体" w:cs="宋体"/>
          <w:color w:val="auto"/>
          <w:spacing w:val="0"/>
          <w:position w:val="0"/>
          <w:sz w:val="24"/>
          <w:shd w:val="clear" w:fill="auto"/>
        </w:rPr>
        <w:t>主频不小于</w:t>
      </w:r>
      <w:r>
        <w:rPr>
          <w:rFonts w:ascii="Times New Roman" w:hAnsi="Times New Roman" w:eastAsia="Times New Roman" w:cs="Times New Roman"/>
          <w:color w:val="auto"/>
          <w:spacing w:val="0"/>
          <w:position w:val="0"/>
          <w:sz w:val="24"/>
          <w:shd w:val="clear" w:fill="auto"/>
        </w:rPr>
        <w:t>3GHz</w:t>
      </w:r>
    </w:p>
    <w:p>
      <w:pPr>
        <w:numPr>
          <w:ilvl w:val="0"/>
          <w:numId w:val="18"/>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内存大小不小于</w:t>
      </w:r>
      <w:r>
        <w:rPr>
          <w:rFonts w:ascii="Times New Roman" w:hAnsi="Times New Roman" w:eastAsia="Times New Roman" w:cs="Times New Roman"/>
          <w:color w:val="auto"/>
          <w:spacing w:val="0"/>
          <w:position w:val="0"/>
          <w:sz w:val="24"/>
          <w:shd w:val="clear" w:fill="auto"/>
        </w:rPr>
        <w:t>2G</w:t>
      </w:r>
    </w:p>
    <w:p>
      <w:pPr>
        <w:numPr>
          <w:ilvl w:val="0"/>
          <w:numId w:val="18"/>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硬盘容量不小于</w:t>
      </w:r>
      <w:r>
        <w:rPr>
          <w:rFonts w:ascii="Times New Roman" w:hAnsi="Times New Roman" w:eastAsia="Times New Roman" w:cs="Times New Roman"/>
          <w:color w:val="auto"/>
          <w:spacing w:val="0"/>
          <w:position w:val="0"/>
          <w:sz w:val="24"/>
          <w:shd w:val="clear" w:fill="auto"/>
        </w:rPr>
        <w:t>500G</w:t>
      </w:r>
    </w:p>
    <w:p>
      <w:pPr>
        <w:numPr>
          <w:ilvl w:val="0"/>
          <w:numId w:val="18"/>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串口情况：类型为</w:t>
      </w:r>
      <w:r>
        <w:rPr>
          <w:rFonts w:ascii="Times New Roman" w:hAnsi="Times New Roman" w:eastAsia="Times New Roman" w:cs="Times New Roman"/>
          <w:color w:val="auto"/>
          <w:spacing w:val="0"/>
          <w:position w:val="0"/>
          <w:sz w:val="24"/>
          <w:shd w:val="clear" w:fill="auto"/>
        </w:rPr>
        <w:t>RS232</w:t>
      </w:r>
      <w:r>
        <w:rPr>
          <w:rFonts w:ascii="宋体" w:hAnsi="宋体" w:eastAsia="宋体" w:cs="宋体"/>
          <w:color w:val="auto"/>
          <w:spacing w:val="0"/>
          <w:position w:val="0"/>
          <w:sz w:val="24"/>
          <w:shd w:val="clear" w:fill="auto"/>
        </w:rPr>
        <w:t>、数量不小于</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个</w:t>
      </w:r>
    </w:p>
    <w:p>
      <w:pPr>
        <w:numPr>
          <w:ilvl w:val="0"/>
          <w:numId w:val="18"/>
        </w:numPr>
        <w:spacing w:before="0" w:after="0" w:line="360" w:lineRule="auto"/>
        <w:ind w:left="420" w:right="0" w:hanging="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配备键盘、鼠标、</w:t>
      </w:r>
      <w:r>
        <w:rPr>
          <w:rFonts w:ascii="Times New Roman" w:hAnsi="Times New Roman" w:eastAsia="Times New Roman" w:cs="Times New Roman"/>
          <w:color w:val="auto"/>
          <w:spacing w:val="0"/>
          <w:position w:val="0"/>
          <w:sz w:val="24"/>
          <w:shd w:val="clear" w:fill="auto"/>
        </w:rPr>
        <w:t>17</w:t>
      </w:r>
      <w:r>
        <w:rPr>
          <w:rFonts w:ascii="宋体" w:hAnsi="宋体" w:eastAsia="宋体" w:cs="宋体"/>
          <w:color w:val="auto"/>
          <w:spacing w:val="0"/>
          <w:position w:val="0"/>
          <w:sz w:val="24"/>
          <w:shd w:val="clear" w:fill="auto"/>
        </w:rPr>
        <w:t>寸显示器</w:t>
      </w:r>
    </w:p>
    <w:p>
      <w:pPr>
        <w:widowControl/>
        <w:jc w:val="center"/>
        <w:rPr>
          <w:sz w:val="36"/>
          <w:szCs w:val="36"/>
        </w:rPr>
      </w:pPr>
    </w:p>
    <w:p>
      <w:pPr>
        <w:pageBreakBefore/>
        <w:spacing w:line="360" w:lineRule="auto"/>
        <w:jc w:val="center"/>
        <w:rPr>
          <w:rFonts w:ascii="宋体" w:hAnsi="宋体" w:cs="宋体"/>
          <w:sz w:val="44"/>
          <w:szCs w:val="44"/>
        </w:rPr>
      </w:pPr>
      <w:bookmarkStart w:id="238" w:name="_Toc38013569"/>
      <w:r>
        <w:rPr>
          <w:rStyle w:val="59"/>
          <w:rFonts w:hint="eastAsia" w:ascii="黑体" w:hAnsi="黑体" w:eastAsia="黑体"/>
          <w:b w:val="0"/>
          <w:bCs w:val="0"/>
          <w:sz w:val="36"/>
          <w:szCs w:val="36"/>
        </w:rPr>
        <w:t>第六章   投标文件格式</w:t>
      </w:r>
      <w:bookmarkEnd w:id="232"/>
      <w:bookmarkEnd w:id="238"/>
    </w:p>
    <w:p>
      <w:pPr>
        <w:pStyle w:val="3"/>
        <w:spacing w:before="260" w:after="260" w:line="413" w:lineRule="auto"/>
        <w:jc w:val="center"/>
        <w:rPr>
          <w:rFonts w:hAnsi="宋体"/>
          <w:b w:val="0"/>
          <w:w w:val="200"/>
          <w:sz w:val="44"/>
          <w:szCs w:val="44"/>
        </w:rPr>
      </w:pPr>
      <w:bookmarkStart w:id="239" w:name="_Toc11245"/>
      <w:bookmarkStart w:id="240" w:name="_Toc38013570"/>
      <w:bookmarkStart w:id="241" w:name="_Toc377025611"/>
      <w:bookmarkStart w:id="242" w:name="_Toc514226065"/>
      <w:r>
        <w:rPr>
          <w:rFonts w:hint="eastAsia" w:ascii="Arial" w:eastAsia="黑体" w:cs="Times New Roman"/>
          <w:sz w:val="44"/>
          <w:szCs w:val="44"/>
        </w:rPr>
        <w:t>封面</w:t>
      </w:r>
      <w:bookmarkEnd w:id="239"/>
      <w:bookmarkEnd w:id="240"/>
      <w:bookmarkEnd w:id="241"/>
      <w:bookmarkEnd w:id="242"/>
    </w:p>
    <w:p>
      <w:pPr>
        <w:spacing w:line="400" w:lineRule="exact"/>
        <w:rPr>
          <w:rFonts w:ascii="宋体" w:hAnsi="宋体"/>
          <w:b/>
          <w:sz w:val="44"/>
          <w:szCs w:val="44"/>
        </w:rPr>
      </w:pPr>
    </w:p>
    <w:p>
      <w:pPr>
        <w:spacing w:line="360" w:lineRule="auto"/>
        <w:jc w:val="center"/>
        <w:textAlignment w:val="baseline"/>
        <w:rPr>
          <w:rFonts w:hint="eastAsia" w:ascii="宋体" w:hAnsi="宋体" w:eastAsia="宋体" w:cs="宋体"/>
          <w:b/>
          <w:bCs/>
          <w:spacing w:val="-11"/>
          <w:sz w:val="48"/>
          <w:szCs w:val="48"/>
          <w:lang w:eastAsia="zh-CN"/>
        </w:rPr>
      </w:pPr>
      <w:r>
        <w:rPr>
          <w:rFonts w:hint="eastAsia" w:ascii="宋体" w:hAnsi="宋体"/>
          <w:b/>
          <w:sz w:val="60"/>
          <w:szCs w:val="60"/>
          <w:lang w:eastAsia="zh-CN"/>
        </w:rPr>
        <w:t>7个乡镇空气自动监测站升级改造项目</w:t>
      </w:r>
    </w:p>
    <w:p>
      <w:pPr>
        <w:spacing w:line="360" w:lineRule="auto"/>
        <w:jc w:val="center"/>
        <w:textAlignment w:val="baseline"/>
        <w:rPr>
          <w:rFonts w:ascii="宋体" w:hAnsi="宋体"/>
          <w:b/>
          <w:sz w:val="72"/>
          <w:szCs w:val="72"/>
        </w:rPr>
      </w:pPr>
    </w:p>
    <w:p>
      <w:pPr>
        <w:spacing w:line="360" w:lineRule="auto"/>
        <w:jc w:val="center"/>
        <w:textAlignment w:val="baseline"/>
        <w:rPr>
          <w:rFonts w:ascii="宋体" w:hAnsi="宋体"/>
          <w:b/>
          <w:sz w:val="72"/>
          <w:szCs w:val="72"/>
        </w:rPr>
      </w:pPr>
      <w:r>
        <w:rPr>
          <w:rFonts w:hint="eastAsia" w:ascii="宋体" w:hAnsi="宋体"/>
          <w:b/>
          <w:sz w:val="72"/>
          <w:szCs w:val="72"/>
        </w:rPr>
        <w:t>投标文件</w:t>
      </w:r>
    </w:p>
    <w:p>
      <w:pPr>
        <w:spacing w:line="360" w:lineRule="auto"/>
        <w:jc w:val="center"/>
        <w:textAlignment w:val="baseline"/>
        <w:rPr>
          <w:rFonts w:hint="eastAsia" w:ascii="宋体" w:hAnsi="宋体" w:eastAsia="宋体"/>
          <w:b/>
          <w:color w:val="auto"/>
          <w:w w:val="200"/>
          <w:sz w:val="48"/>
          <w:szCs w:val="48"/>
          <w:lang w:eastAsia="zh-CN"/>
        </w:rPr>
      </w:pPr>
      <w:r>
        <w:rPr>
          <w:rFonts w:hint="eastAsia" w:ascii="宋体" w:hAnsi="宋体"/>
          <w:b/>
          <w:sz w:val="32"/>
          <w:szCs w:val="32"/>
        </w:rPr>
        <w:t>项目编号：</w:t>
      </w:r>
      <w:r>
        <w:rPr>
          <w:rFonts w:hint="eastAsia" w:ascii="宋体" w:hAnsi="宋体"/>
          <w:b/>
          <w:color w:val="auto"/>
          <w:sz w:val="32"/>
          <w:szCs w:val="32"/>
          <w:lang w:eastAsia="zh-CN"/>
        </w:rPr>
        <w:t>SZGZ[2023]205-ZC159</w:t>
      </w:r>
    </w:p>
    <w:p>
      <w:pPr>
        <w:rPr>
          <w:rFonts w:ascii="宋体" w:hAnsi="宋体"/>
          <w:b/>
          <w:color w:val="auto"/>
          <w:sz w:val="44"/>
          <w:szCs w:val="44"/>
        </w:rPr>
      </w:pPr>
    </w:p>
    <w:p>
      <w:pPr>
        <w:spacing w:line="360" w:lineRule="auto"/>
        <w:jc w:val="center"/>
        <w:textAlignment w:val="baseline"/>
        <w:rPr>
          <w:rFonts w:ascii="宋体" w:hAnsi="宋体"/>
          <w:b/>
          <w:w w:val="200"/>
          <w:sz w:val="28"/>
          <w:szCs w:val="28"/>
        </w:rPr>
      </w:pPr>
    </w:p>
    <w:p>
      <w:pPr>
        <w:widowControl/>
        <w:snapToGrid w:val="0"/>
        <w:spacing w:line="365" w:lineRule="atLeast"/>
        <w:rPr>
          <w:rFonts w:ascii="仿宋_GB2312" w:eastAsia="仿宋_GB2312"/>
          <w:b/>
          <w:kern w:val="0"/>
          <w:sz w:val="36"/>
          <w:szCs w:val="36"/>
        </w:rPr>
      </w:pPr>
    </w:p>
    <w:p>
      <w:pPr>
        <w:widowControl/>
        <w:snapToGrid w:val="0"/>
        <w:spacing w:line="365" w:lineRule="atLeast"/>
        <w:rPr>
          <w:rFonts w:ascii="仿宋_GB2312" w:eastAsia="仿宋_GB2312"/>
          <w:b/>
          <w:kern w:val="0"/>
          <w:sz w:val="36"/>
          <w:szCs w:val="36"/>
        </w:rPr>
      </w:pPr>
    </w:p>
    <w:p>
      <w:pPr>
        <w:widowControl/>
        <w:snapToGrid w:val="0"/>
        <w:spacing w:line="365" w:lineRule="atLeast"/>
        <w:rPr>
          <w:rFonts w:ascii="仿宋_GB2312" w:eastAsia="仿宋_GB2312"/>
          <w:b/>
          <w:kern w:val="0"/>
          <w:sz w:val="36"/>
          <w:szCs w:val="36"/>
        </w:rPr>
      </w:pPr>
    </w:p>
    <w:p>
      <w:pPr>
        <w:widowControl/>
        <w:snapToGrid w:val="0"/>
        <w:spacing w:line="365" w:lineRule="atLeast"/>
        <w:rPr>
          <w:rFonts w:ascii="仿宋_GB2312" w:eastAsia="仿宋_GB2312"/>
          <w:b/>
          <w:kern w:val="0"/>
          <w:sz w:val="36"/>
          <w:szCs w:val="36"/>
        </w:rPr>
      </w:pPr>
    </w:p>
    <w:p>
      <w:pPr>
        <w:spacing w:line="520" w:lineRule="exact"/>
        <w:rPr>
          <w:rFonts w:ascii="宋体" w:hAnsi="宋体"/>
          <w:b/>
          <w:sz w:val="32"/>
          <w:szCs w:val="32"/>
        </w:rPr>
      </w:pPr>
    </w:p>
    <w:p>
      <w:pPr>
        <w:spacing w:line="520" w:lineRule="exact"/>
        <w:jc w:val="center"/>
        <w:rPr>
          <w:rFonts w:ascii="宋体" w:hAnsi="宋体"/>
          <w:b/>
          <w:sz w:val="32"/>
          <w:szCs w:val="32"/>
        </w:rPr>
      </w:pPr>
      <w:r>
        <w:rPr>
          <w:rFonts w:hint="eastAsia" w:ascii="宋体" w:hAnsi="宋体"/>
          <w:b/>
          <w:sz w:val="32"/>
          <w:szCs w:val="32"/>
        </w:rPr>
        <w:t xml:space="preserve">    供  应  商：</w:t>
      </w:r>
      <w:r>
        <w:rPr>
          <w:rFonts w:hint="eastAsia" w:ascii="宋体" w:hAnsi="宋体"/>
          <w:b/>
          <w:sz w:val="32"/>
          <w:szCs w:val="32"/>
          <w:u w:val="single"/>
        </w:rPr>
        <w:t>　　　      　　　　　</w:t>
      </w:r>
      <w:r>
        <w:rPr>
          <w:rFonts w:hint="eastAsia" w:ascii="宋体" w:hAnsi="宋体"/>
          <w:b/>
          <w:sz w:val="32"/>
          <w:szCs w:val="32"/>
        </w:rPr>
        <w:t>（盖单位章）</w:t>
      </w:r>
    </w:p>
    <w:p>
      <w:pPr>
        <w:spacing w:line="520" w:lineRule="exact"/>
        <w:rPr>
          <w:rFonts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法定代表人或委托代理人：</w:t>
      </w:r>
      <w:r>
        <w:rPr>
          <w:rFonts w:hint="eastAsia" w:ascii="宋体" w:hAnsi="宋体"/>
          <w:b/>
          <w:sz w:val="32"/>
          <w:szCs w:val="32"/>
          <w:u w:val="single"/>
        </w:rPr>
        <w:t>　　　  　　</w:t>
      </w:r>
      <w:r>
        <w:rPr>
          <w:rFonts w:hint="eastAsia" w:ascii="宋体" w:hAnsi="宋体"/>
          <w:b/>
          <w:sz w:val="32"/>
          <w:szCs w:val="32"/>
        </w:rPr>
        <w:t>（电子签章）</w:t>
      </w:r>
    </w:p>
    <w:p>
      <w:pPr>
        <w:spacing w:line="520" w:lineRule="exact"/>
        <w:ind w:firstLine="1285" w:firstLineChars="400"/>
        <w:rPr>
          <w:rFonts w:ascii="宋体" w:hAnsi="宋体"/>
          <w:b/>
          <w:sz w:val="32"/>
          <w:szCs w:val="32"/>
        </w:rPr>
      </w:pPr>
      <w:r>
        <w:rPr>
          <w:rFonts w:hint="eastAsia" w:ascii="宋体" w:hAnsi="宋体"/>
          <w:b/>
          <w:sz w:val="32"/>
          <w:szCs w:val="32"/>
        </w:rPr>
        <w:t>日      期：</w:t>
      </w:r>
      <w:r>
        <w:rPr>
          <w:rFonts w:hint="eastAsia" w:ascii="宋体" w:hAnsi="宋体"/>
          <w:b/>
          <w:sz w:val="32"/>
          <w:szCs w:val="32"/>
          <w:u w:val="single"/>
        </w:rPr>
        <w:t>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w:t>
      </w:r>
      <w:r>
        <w:rPr>
          <w:rFonts w:hint="eastAsia" w:ascii="宋体" w:hAnsi="宋体"/>
          <w:b/>
          <w:sz w:val="32"/>
          <w:szCs w:val="32"/>
        </w:rPr>
        <w:t>日</w:t>
      </w:r>
    </w:p>
    <w:p>
      <w:pPr>
        <w:pStyle w:val="3"/>
        <w:spacing w:before="260" w:after="260" w:line="413" w:lineRule="auto"/>
        <w:jc w:val="center"/>
        <w:rPr>
          <w:rFonts w:ascii="Arial" w:eastAsia="黑体" w:cs="Times New Roman"/>
        </w:rPr>
      </w:pPr>
    </w:p>
    <w:p/>
    <w:p/>
    <w:p>
      <w:pPr>
        <w:pStyle w:val="3"/>
        <w:spacing w:before="260" w:after="260" w:line="413" w:lineRule="auto"/>
        <w:jc w:val="center"/>
        <w:rPr>
          <w:rFonts w:ascii="Arial" w:eastAsia="黑体" w:cs="Times New Roman"/>
        </w:rPr>
      </w:pPr>
      <w:bookmarkStart w:id="243" w:name="_Toc38013571"/>
      <w:r>
        <w:rPr>
          <w:rFonts w:hint="eastAsia" w:ascii="Arial" w:eastAsia="黑体" w:cs="Times New Roman"/>
        </w:rPr>
        <w:t>目录（自行编制）</w:t>
      </w:r>
      <w:bookmarkEnd w:id="233"/>
      <w:bookmarkEnd w:id="234"/>
      <w:bookmarkEnd w:id="235"/>
      <w:bookmarkEnd w:id="243"/>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3"/>
        <w:spacing w:before="260" w:after="260" w:line="413" w:lineRule="auto"/>
        <w:jc w:val="center"/>
        <w:rPr>
          <w:sz w:val="32"/>
          <w:szCs w:val="32"/>
        </w:rPr>
      </w:pPr>
      <w:bookmarkStart w:id="244" w:name="_Toc38013572"/>
      <w:bookmarkStart w:id="245" w:name="_Toc507510300"/>
      <w:bookmarkStart w:id="246" w:name="_Toc12604917"/>
      <w:r>
        <w:rPr>
          <w:rFonts w:hint="eastAsia" w:ascii="Arial" w:eastAsia="黑体" w:cs="Times New Roman"/>
          <w:sz w:val="32"/>
          <w:szCs w:val="32"/>
        </w:rPr>
        <w:t>一、供应商承诺书</w:t>
      </w:r>
      <w:bookmarkEnd w:id="244"/>
      <w:bookmarkEnd w:id="245"/>
      <w:bookmarkEnd w:id="246"/>
    </w:p>
    <w:p>
      <w:pPr>
        <w:spacing w:line="360" w:lineRule="auto"/>
        <w:jc w:val="center"/>
        <w:rPr>
          <w:rFonts w:ascii="宋体" w:hAnsi="宋体"/>
          <w:b/>
          <w:sz w:val="44"/>
          <w:szCs w:val="36"/>
        </w:rPr>
      </w:pPr>
      <w:r>
        <w:rPr>
          <w:rFonts w:hint="eastAsia" w:ascii="宋体" w:hAnsi="宋体"/>
          <w:b/>
          <w:sz w:val="44"/>
          <w:szCs w:val="36"/>
        </w:rPr>
        <w:t>供应商承诺书</w:t>
      </w:r>
    </w:p>
    <w:p>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pPr>
        <w:spacing w:line="480" w:lineRule="exact"/>
        <w:ind w:firstLine="480" w:firstLineChars="200"/>
        <w:rPr>
          <w:rFonts w:ascii="宋体" w:hAnsi="宋体"/>
          <w:sz w:val="24"/>
        </w:rPr>
      </w:pPr>
      <w:r>
        <w:rPr>
          <w:rFonts w:hint="eastAsia" w:ascii="宋体" w:hAnsi="宋体"/>
          <w:sz w:val="24"/>
        </w:rPr>
        <w:t>本投标单位已详细阅读了项目招标文件，自愿参加上述项目投标，现就有关事项向招标单位郑重承诺如下：</w:t>
      </w:r>
    </w:p>
    <w:p>
      <w:pPr>
        <w:spacing w:line="480" w:lineRule="exact"/>
        <w:ind w:firstLine="480" w:firstLineChars="200"/>
        <w:rPr>
          <w:rFonts w:ascii="宋体" w:hAnsi="宋体"/>
          <w:sz w:val="24"/>
        </w:rPr>
      </w:pPr>
      <w:r>
        <w:rPr>
          <w:rFonts w:hint="eastAsia" w:ascii="宋体" w:hAnsi="宋体"/>
          <w:sz w:val="24"/>
        </w:rPr>
        <w:t>1、遵守中华人民共和国、省、市有关招标投标的法律法规，自觉维护市场秩序。</w:t>
      </w:r>
    </w:p>
    <w:p>
      <w:pPr>
        <w:spacing w:line="480" w:lineRule="exact"/>
        <w:ind w:firstLine="480" w:firstLineChars="200"/>
        <w:rPr>
          <w:rFonts w:ascii="宋体" w:hAnsi="宋体"/>
          <w:sz w:val="24"/>
        </w:rPr>
      </w:pPr>
      <w:r>
        <w:rPr>
          <w:rFonts w:hint="eastAsia" w:ascii="宋体" w:hAnsi="宋体"/>
          <w:sz w:val="24"/>
        </w:rPr>
        <w:t>2、接受招标文件全部内容。</w:t>
      </w:r>
    </w:p>
    <w:p>
      <w:pPr>
        <w:spacing w:line="480" w:lineRule="exact"/>
        <w:ind w:firstLine="480" w:firstLineChars="200"/>
        <w:rPr>
          <w:rFonts w:ascii="宋体" w:hAnsi="宋体"/>
          <w:sz w:val="24"/>
        </w:rPr>
      </w:pPr>
      <w:r>
        <w:rPr>
          <w:rFonts w:hint="eastAsia" w:ascii="宋体" w:hAnsi="宋体"/>
          <w:sz w:val="24"/>
        </w:rPr>
        <w:t>3、服从《供应商须知》的安排。</w:t>
      </w:r>
    </w:p>
    <w:p>
      <w:pPr>
        <w:spacing w:line="480" w:lineRule="exact"/>
        <w:ind w:firstLine="480" w:firstLineChars="200"/>
        <w:rPr>
          <w:rFonts w:ascii="宋体" w:hAnsi="宋体"/>
          <w:sz w:val="24"/>
        </w:rPr>
      </w:pPr>
      <w:r>
        <w:rPr>
          <w:rFonts w:hint="eastAsia" w:ascii="宋体" w:hAnsi="宋体"/>
          <w:sz w:val="24"/>
        </w:rPr>
        <w:t>4、保证投标内容无任何虚假。若评标过程中查出有虚假，同意作无效投标文件处理并承担相应责任；若中标之后查出有虚假，同意废除中标资格并承担相应责任。</w:t>
      </w:r>
    </w:p>
    <w:p>
      <w:pPr>
        <w:spacing w:line="480" w:lineRule="exact"/>
        <w:ind w:firstLine="480" w:firstLineChars="200"/>
        <w:rPr>
          <w:rFonts w:ascii="宋体" w:hAnsi="宋体"/>
          <w:sz w:val="24"/>
        </w:rPr>
      </w:pPr>
      <w:r>
        <w:rPr>
          <w:rFonts w:hint="eastAsia" w:ascii="宋体" w:hAnsi="宋体"/>
          <w:sz w:val="24"/>
        </w:rPr>
        <w:t>5、保证投标文件不存在低于成本的恶意报价行为。</w:t>
      </w:r>
    </w:p>
    <w:p>
      <w:pPr>
        <w:spacing w:line="480" w:lineRule="exact"/>
        <w:ind w:firstLine="480" w:firstLineChars="200"/>
        <w:rPr>
          <w:rFonts w:ascii="宋体" w:hAnsi="宋体"/>
          <w:sz w:val="24"/>
        </w:rPr>
      </w:pPr>
      <w:r>
        <w:rPr>
          <w:rFonts w:hint="eastAsia" w:ascii="宋体" w:hAnsi="宋体"/>
          <w:sz w:val="24"/>
        </w:rPr>
        <w:t>6、保证按招标文件及成交通知书规定提交履约保证金并商签供货合同。</w:t>
      </w:r>
    </w:p>
    <w:p>
      <w:pPr>
        <w:spacing w:line="480" w:lineRule="exact"/>
        <w:ind w:firstLine="480" w:firstLineChars="200"/>
        <w:rPr>
          <w:rFonts w:ascii="宋体" w:hAnsi="宋体"/>
          <w:sz w:val="24"/>
        </w:rPr>
      </w:pPr>
      <w:r>
        <w:rPr>
          <w:rFonts w:hint="eastAsia" w:ascii="宋体" w:hAnsi="宋体"/>
          <w:sz w:val="24"/>
        </w:rPr>
        <w:t>7、保证按供货合同约定完成合同范围内的全部内容，履行保修期的责任。</w:t>
      </w:r>
    </w:p>
    <w:p>
      <w:pPr>
        <w:spacing w:line="480" w:lineRule="exact"/>
        <w:ind w:firstLine="480" w:firstLineChars="200"/>
        <w:rPr>
          <w:rFonts w:ascii="宋体" w:hAnsi="宋体"/>
          <w:sz w:val="24"/>
        </w:rPr>
      </w:pPr>
      <w:r>
        <w:rPr>
          <w:rFonts w:hint="eastAsia" w:ascii="宋体" w:hAnsi="宋体"/>
          <w:sz w:val="24"/>
        </w:rPr>
        <w:t>8、保证成交之后按投标文件承诺安排</w:t>
      </w:r>
      <w:r>
        <w:rPr>
          <w:rFonts w:hint="eastAsia" w:ascii="宋体" w:hAnsi="宋体"/>
          <w:color w:val="000000"/>
          <w:sz w:val="24"/>
        </w:rPr>
        <w:t>项目负责人</w:t>
      </w:r>
      <w:r>
        <w:rPr>
          <w:rFonts w:hint="eastAsia" w:ascii="宋体" w:hAnsi="宋体"/>
          <w:sz w:val="24"/>
        </w:rPr>
        <w:t>；在合同供货期内不经招标单位同意，</w:t>
      </w:r>
      <w:r>
        <w:rPr>
          <w:rFonts w:hint="eastAsia" w:ascii="宋体" w:hAnsi="宋体"/>
          <w:color w:val="000000"/>
          <w:sz w:val="24"/>
        </w:rPr>
        <w:t>不得随便更换项目负责人及主要技术、管理人员</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9、保证成交之后密切配合招标单位开展工作。</w:t>
      </w:r>
    </w:p>
    <w:p>
      <w:pPr>
        <w:spacing w:line="480" w:lineRule="exact"/>
        <w:ind w:firstLine="480" w:firstLineChars="200"/>
        <w:rPr>
          <w:rFonts w:ascii="宋体" w:hAnsi="宋体"/>
          <w:sz w:val="24"/>
        </w:rPr>
      </w:pPr>
      <w:r>
        <w:rPr>
          <w:rFonts w:hint="eastAsia" w:ascii="宋体" w:hAnsi="宋体"/>
          <w:sz w:val="24"/>
        </w:rPr>
        <w:t>10、保证按招标文件及供货合同约定的原则处理相关费用调整事宜，不发生签署供货合同之后恶意提高费用的行为。</w:t>
      </w:r>
    </w:p>
    <w:p>
      <w:pPr>
        <w:spacing w:line="480" w:lineRule="exact"/>
        <w:ind w:firstLine="480" w:firstLineChars="200"/>
        <w:rPr>
          <w:rFonts w:ascii="宋体" w:hAnsi="宋体"/>
          <w:sz w:val="24"/>
        </w:rPr>
      </w:pPr>
      <w:r>
        <w:rPr>
          <w:rFonts w:hint="eastAsia" w:ascii="宋体" w:hAnsi="宋体"/>
          <w:sz w:val="24"/>
        </w:rPr>
        <w:t>若有违反以上1、2、3、5任何一条，同意被废除投标资格并接受处罚。</w:t>
      </w:r>
    </w:p>
    <w:p>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若有违反以上4、6、7、8、9、10任何一条，同意接受招标单位违约处罚并被没收履约保证金。</w:t>
      </w:r>
    </w:p>
    <w:p>
      <w:pPr>
        <w:spacing w:line="480" w:lineRule="exact"/>
        <w:ind w:firstLine="480" w:firstLineChars="200"/>
        <w:rPr>
          <w:rFonts w:hint="eastAsia" w:ascii="宋体" w:hAnsi="宋体"/>
          <w:sz w:val="24"/>
        </w:rPr>
      </w:pPr>
    </w:p>
    <w:p>
      <w:pPr>
        <w:spacing w:line="480" w:lineRule="exact"/>
        <w:ind w:firstLine="4800" w:firstLineChars="2000"/>
        <w:rPr>
          <w:rFonts w:ascii="宋体" w:hAnsi="宋体"/>
          <w:sz w:val="24"/>
        </w:rPr>
      </w:pPr>
      <w:r>
        <w:rPr>
          <w:rFonts w:hint="eastAsia" w:ascii="宋体" w:hAnsi="宋体"/>
          <w:sz w:val="24"/>
        </w:rPr>
        <w:t>供应商(盖单位章)：</w:t>
      </w:r>
    </w:p>
    <w:p>
      <w:pPr>
        <w:spacing w:line="480" w:lineRule="exact"/>
        <w:ind w:firstLine="4800" w:firstLineChars="2000"/>
        <w:rPr>
          <w:rFonts w:hint="eastAsia" w:ascii="宋体" w:hAnsi="宋体"/>
          <w:sz w:val="24"/>
        </w:rPr>
      </w:pPr>
      <w:r>
        <w:rPr>
          <w:rFonts w:hint="eastAsia" w:ascii="宋体" w:hAnsi="宋体"/>
          <w:sz w:val="24"/>
        </w:rPr>
        <w:t>法定代表人（电子签章）：</w:t>
      </w:r>
    </w:p>
    <w:p>
      <w:pPr>
        <w:spacing w:line="480" w:lineRule="exact"/>
        <w:ind w:firstLine="4800" w:firstLineChars="2000"/>
        <w:rPr>
          <w:rFonts w:hint="default" w:ascii="宋体" w:hAnsi="宋体" w:eastAsia="宋体"/>
          <w:sz w:val="24"/>
          <w:lang w:val="en-US" w:eastAsia="zh-CN"/>
        </w:rPr>
      </w:pPr>
      <w:r>
        <w:rPr>
          <w:rFonts w:hint="eastAsia" w:ascii="宋体" w:hAnsi="宋体"/>
          <w:sz w:val="24"/>
          <w:lang w:val="en-US" w:eastAsia="zh-CN"/>
        </w:rPr>
        <w:t>联系人及电话：</w:t>
      </w:r>
    </w:p>
    <w:p>
      <w:pPr>
        <w:spacing w:line="480" w:lineRule="exact"/>
        <w:ind w:firstLine="4800" w:firstLineChars="2000"/>
        <w:rPr>
          <w:rFonts w:ascii="仿宋_GB2312" w:eastAsia="仿宋_GB2312"/>
          <w:b/>
          <w:bCs/>
          <w:kern w:val="0"/>
          <w:sz w:val="32"/>
          <w:szCs w:val="32"/>
        </w:rPr>
      </w:pPr>
      <w:r>
        <w:rPr>
          <w:rFonts w:hint="eastAsia" w:ascii="宋体" w:hAnsi="宋体"/>
          <w:sz w:val="24"/>
        </w:rPr>
        <w:t>日  期：</w:t>
      </w:r>
    </w:p>
    <w:p>
      <w:pPr>
        <w:pStyle w:val="3"/>
        <w:spacing w:before="260" w:after="260" w:line="413" w:lineRule="auto"/>
        <w:jc w:val="center"/>
        <w:rPr>
          <w:rFonts w:hAnsi="宋体"/>
          <w:b w:val="0"/>
          <w:bCs w:val="0"/>
          <w:sz w:val="32"/>
          <w:szCs w:val="32"/>
        </w:rPr>
      </w:pPr>
      <w:bookmarkStart w:id="247" w:name="_Toc38013573"/>
      <w:r>
        <w:rPr>
          <w:rFonts w:hint="eastAsia" w:ascii="Arial" w:eastAsia="黑体" w:cs="Times New Roman"/>
          <w:sz w:val="32"/>
          <w:szCs w:val="32"/>
        </w:rPr>
        <w:t>二、投标函</w:t>
      </w:r>
      <w:bookmarkEnd w:id="247"/>
    </w:p>
    <w:p>
      <w:pPr>
        <w:spacing w:line="0" w:lineRule="atLeast"/>
        <w:jc w:val="center"/>
        <w:rPr>
          <w:rFonts w:ascii="宋体" w:hAnsi="宋体" w:cs="宋体"/>
          <w:b/>
          <w:bCs/>
          <w:sz w:val="30"/>
          <w:szCs w:val="30"/>
        </w:rPr>
      </w:pPr>
      <w:r>
        <w:rPr>
          <w:rFonts w:hint="eastAsia"/>
          <w:b/>
          <w:sz w:val="28"/>
          <w:szCs w:val="28"/>
        </w:rPr>
        <w:t>投标函</w:t>
      </w:r>
    </w:p>
    <w:p>
      <w:pPr>
        <w:spacing w:line="4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（招标单位名称）</w:t>
      </w:r>
    </w:p>
    <w:p>
      <w:pPr>
        <w:spacing w:line="560" w:lineRule="exact"/>
        <w:ind w:firstLine="560"/>
        <w:rPr>
          <w:rFonts w:ascii="宋体" w:hAnsi="宋体"/>
          <w:kern w:val="0"/>
          <w:sz w:val="28"/>
          <w:szCs w:val="28"/>
        </w:rPr>
      </w:pPr>
      <w:r>
        <w:rPr>
          <w:rFonts w:hint="eastAsia" w:ascii="宋体" w:hAnsi="宋体"/>
          <w:sz w:val="28"/>
          <w:szCs w:val="28"/>
        </w:rPr>
        <w:t>1、根据已收到的项目编号为</w:t>
      </w:r>
      <w:r>
        <w:rPr>
          <w:rFonts w:hint="eastAsia" w:ascii="宋体" w:hAnsi="宋体"/>
          <w:sz w:val="28"/>
          <w:szCs w:val="28"/>
          <w:u w:val="single"/>
        </w:rPr>
        <w:t xml:space="preserve">  （项目编号） </w:t>
      </w:r>
      <w:r>
        <w:rPr>
          <w:rFonts w:hint="eastAsia" w:ascii="宋体" w:hAnsi="宋体"/>
          <w:sz w:val="28"/>
          <w:szCs w:val="28"/>
        </w:rPr>
        <w:t>的</w:t>
      </w:r>
      <w:r>
        <w:rPr>
          <w:rFonts w:hint="eastAsia" w:ascii="宋体" w:hAnsi="宋体"/>
          <w:sz w:val="28"/>
          <w:szCs w:val="28"/>
          <w:u w:val="single"/>
        </w:rPr>
        <w:t xml:space="preserve"> （项目名称）</w:t>
      </w:r>
      <w:r>
        <w:rPr>
          <w:rFonts w:hint="eastAsia" w:ascii="宋体" w:hAnsi="宋体"/>
          <w:sz w:val="28"/>
          <w:szCs w:val="28"/>
        </w:rPr>
        <w:t>的招标文件，遵守《中华人民共和国政府采购法》和有关文件的规定，我单位经考察现场并研究上述项目招标文件的供应商须知和其他有关文件后，我公司愿以</w:t>
      </w:r>
      <w:r>
        <w:rPr>
          <w:rFonts w:hint="eastAsia" w:ascii="宋体" w:hAnsi="宋体"/>
          <w:kern w:val="0"/>
          <w:sz w:val="28"/>
          <w:szCs w:val="28"/>
        </w:rPr>
        <w:t>人民币:大写：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元）的报价参加该项目的投标，并按上述文件中的条款承包该项目。</w:t>
      </w:r>
    </w:p>
    <w:p>
      <w:pPr>
        <w:spacing w:line="560" w:lineRule="exact"/>
        <w:ind w:firstLine="560" w:firstLineChars="200"/>
        <w:rPr>
          <w:rFonts w:ascii="宋体" w:hAnsi="宋体"/>
          <w:sz w:val="28"/>
          <w:szCs w:val="28"/>
        </w:rPr>
      </w:pPr>
      <w:r>
        <w:rPr>
          <w:rFonts w:hint="eastAsia" w:ascii="宋体" w:hAnsi="宋体"/>
          <w:sz w:val="28"/>
          <w:szCs w:val="28"/>
        </w:rPr>
        <w:t>2、我公司完全投标招标文件中提出的所有实质性要求。</w:t>
      </w:r>
    </w:p>
    <w:p>
      <w:pPr>
        <w:spacing w:line="560" w:lineRule="exact"/>
        <w:ind w:firstLine="560" w:firstLineChars="200"/>
        <w:rPr>
          <w:rFonts w:ascii="宋体" w:hAnsi="宋体"/>
          <w:sz w:val="28"/>
          <w:szCs w:val="28"/>
        </w:rPr>
      </w:pPr>
      <w:r>
        <w:rPr>
          <w:rFonts w:hint="eastAsia" w:ascii="宋体" w:hAnsi="宋体"/>
          <w:sz w:val="28"/>
          <w:szCs w:val="28"/>
        </w:rPr>
        <w:t>3、我公司同意在招标文件规定的投标期限内，本投标文件始终对我公司具有约束力，且随时可以按此文件成交。</w:t>
      </w:r>
    </w:p>
    <w:p>
      <w:pPr>
        <w:spacing w:line="560" w:lineRule="exact"/>
        <w:ind w:firstLine="560" w:firstLineChars="200"/>
        <w:rPr>
          <w:rFonts w:ascii="宋体" w:hAnsi="宋体"/>
          <w:sz w:val="28"/>
          <w:szCs w:val="28"/>
        </w:rPr>
      </w:pPr>
      <w:r>
        <w:rPr>
          <w:rFonts w:hint="eastAsia" w:ascii="宋体" w:hAnsi="宋体"/>
          <w:sz w:val="28"/>
          <w:szCs w:val="28"/>
        </w:rPr>
        <w:t>4、一旦我公司成交，我公司保证在成交后的规定期限内签订项目合同，</w:t>
      </w:r>
      <w:r>
        <w:rPr>
          <w:rFonts w:hint="eastAsia" w:ascii="宋体" w:hAnsi="宋体"/>
          <w:color w:val="000000"/>
          <w:sz w:val="28"/>
          <w:szCs w:val="28"/>
        </w:rPr>
        <w:t>并保证在</w:t>
      </w:r>
      <w:r>
        <w:rPr>
          <w:rFonts w:hint="eastAsia" w:ascii="宋体" w:hAnsi="宋体"/>
          <w:color w:val="000000"/>
          <w:sz w:val="28"/>
          <w:szCs w:val="28"/>
          <w:u w:val="single"/>
        </w:rPr>
        <w:t xml:space="preserve">     </w:t>
      </w:r>
      <w:r>
        <w:rPr>
          <w:rFonts w:hint="eastAsia" w:ascii="宋体" w:hAnsi="宋体"/>
          <w:color w:val="000000"/>
          <w:sz w:val="28"/>
          <w:szCs w:val="28"/>
        </w:rPr>
        <w:t>日历天内完成本项目供货要求，</w:t>
      </w:r>
      <w:r>
        <w:rPr>
          <w:rFonts w:hint="eastAsia" w:ascii="宋体" w:hAnsi="宋体"/>
          <w:sz w:val="28"/>
          <w:szCs w:val="28"/>
        </w:rPr>
        <w:t>确保质量达到</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ind w:firstLine="560" w:firstLineChars="200"/>
        <w:rPr>
          <w:rFonts w:ascii="宋体" w:hAnsi="宋体"/>
          <w:sz w:val="28"/>
          <w:szCs w:val="28"/>
        </w:rPr>
      </w:pPr>
      <w:r>
        <w:rPr>
          <w:rFonts w:hint="eastAsia" w:ascii="宋体" w:hAnsi="宋体"/>
          <w:sz w:val="28"/>
          <w:szCs w:val="28"/>
        </w:rPr>
        <w:t>5、成交后，我公司将提交规定数额的履约保证金，并对此承担责任。</w:t>
      </w:r>
    </w:p>
    <w:p>
      <w:pPr>
        <w:spacing w:line="560" w:lineRule="exact"/>
        <w:ind w:firstLine="560" w:firstLineChars="200"/>
        <w:rPr>
          <w:rFonts w:ascii="宋体" w:hAnsi="宋体"/>
          <w:sz w:val="28"/>
          <w:szCs w:val="28"/>
        </w:rPr>
      </w:pPr>
      <w:r>
        <w:rPr>
          <w:rFonts w:hint="eastAsia" w:ascii="宋体" w:hAnsi="宋体"/>
          <w:sz w:val="28"/>
          <w:szCs w:val="28"/>
        </w:rPr>
        <w:t>6、我们承诺最低报价是成交的重要选择，但不是唯一选择。</w:t>
      </w:r>
    </w:p>
    <w:p>
      <w:pPr>
        <w:spacing w:line="560" w:lineRule="exact"/>
        <w:ind w:firstLine="560" w:firstLineChars="200"/>
        <w:rPr>
          <w:rFonts w:ascii="宋体" w:hAnsi="宋体"/>
          <w:sz w:val="28"/>
          <w:szCs w:val="28"/>
        </w:rPr>
      </w:pPr>
      <w:r>
        <w:rPr>
          <w:rFonts w:hint="eastAsia" w:ascii="宋体" w:hAnsi="宋体"/>
          <w:sz w:val="28"/>
          <w:szCs w:val="28"/>
        </w:rPr>
        <w:t>7、除非与贵方另外达成协议并生效，贵方的成交通知书、本投标文件将与双方签订的合同具有同等的约束力。</w:t>
      </w:r>
    </w:p>
    <w:p>
      <w:pPr>
        <w:spacing w:beforeLines="100" w:afterLines="50" w:line="360" w:lineRule="auto"/>
        <w:ind w:firstLine="4174" w:firstLineChars="1491"/>
        <w:jc w:val="left"/>
        <w:textAlignment w:val="center"/>
        <w:rPr>
          <w:rFonts w:hint="eastAsia" w:ascii="宋体" w:hAnsi="宋体" w:cs="宋体"/>
          <w:sz w:val="28"/>
          <w:szCs w:val="28"/>
        </w:rPr>
      </w:pPr>
    </w:p>
    <w:p>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投  标  人：（盖单位章）</w:t>
      </w:r>
    </w:p>
    <w:p>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法定代表人：(电子签章）</w:t>
      </w:r>
    </w:p>
    <w:p>
      <w:pPr>
        <w:spacing w:line="360" w:lineRule="auto"/>
        <w:ind w:firstLine="4200" w:firstLineChars="1500"/>
        <w:jc w:val="left"/>
        <w:rPr>
          <w:rFonts w:ascii="宋体" w:hAnsi="宋体" w:cs="宋体"/>
          <w:b/>
          <w:bCs/>
          <w:sz w:val="24"/>
          <w:szCs w:val="24"/>
        </w:rPr>
      </w:pPr>
      <w:r>
        <w:rPr>
          <w:rFonts w:hint="eastAsia" w:ascii="宋体" w:hAnsi="宋体" w:cs="宋体"/>
          <w:sz w:val="28"/>
          <w:szCs w:val="28"/>
        </w:rPr>
        <w:t>日      期：   年   月  日</w:t>
      </w:r>
    </w:p>
    <w:p>
      <w:pPr>
        <w:pStyle w:val="3"/>
        <w:spacing w:before="260" w:after="260" w:line="413" w:lineRule="auto"/>
        <w:jc w:val="center"/>
        <w:rPr>
          <w:sz w:val="32"/>
          <w:szCs w:val="32"/>
        </w:rPr>
      </w:pPr>
      <w:bookmarkStart w:id="248" w:name="page58"/>
      <w:bookmarkEnd w:id="248"/>
      <w:bookmarkStart w:id="249" w:name="_Toc12604919"/>
      <w:bookmarkStart w:id="250" w:name="_Toc38013574"/>
      <w:r>
        <w:rPr>
          <w:rFonts w:hint="eastAsia" w:ascii="Arial" w:eastAsia="黑体" w:cs="Times New Roman"/>
          <w:sz w:val="32"/>
          <w:szCs w:val="32"/>
        </w:rPr>
        <w:t>三、授权委托书</w:t>
      </w:r>
      <w:bookmarkEnd w:id="249"/>
      <w:bookmarkEnd w:id="250"/>
    </w:p>
    <w:p>
      <w:pPr>
        <w:jc w:val="center"/>
        <w:rPr>
          <w:rFonts w:ascii="宋体" w:hAnsi="宋体"/>
          <w:b/>
          <w:color w:val="000000"/>
          <w:sz w:val="30"/>
        </w:rPr>
      </w:pPr>
      <w:r>
        <w:rPr>
          <w:rFonts w:hint="eastAsia" w:ascii="宋体" w:hAnsi="宋体"/>
          <w:b/>
          <w:bCs/>
          <w:kern w:val="0"/>
          <w:sz w:val="30"/>
          <w:szCs w:val="30"/>
        </w:rPr>
        <w:t>（一）</w:t>
      </w:r>
      <w:r>
        <w:rPr>
          <w:rFonts w:hint="eastAsia" w:ascii="宋体" w:hAnsi="宋体"/>
          <w:b/>
          <w:color w:val="000000"/>
          <w:sz w:val="30"/>
        </w:rPr>
        <w:t>法定代表人身份证明</w:t>
      </w:r>
    </w:p>
    <w:p>
      <w:pPr>
        <w:jc w:val="center"/>
        <w:rPr>
          <w:rFonts w:ascii="宋体" w:hAnsi="宋体"/>
          <w:color w:val="000000"/>
          <w:sz w:val="24"/>
        </w:rPr>
      </w:pPr>
    </w:p>
    <w:p>
      <w:pPr>
        <w:spacing w:line="480" w:lineRule="exact"/>
        <w:rPr>
          <w:rFonts w:ascii="宋体" w:hAnsi="宋体"/>
          <w:kern w:val="0"/>
          <w:sz w:val="28"/>
          <w:szCs w:val="32"/>
        </w:rPr>
      </w:pPr>
      <w:r>
        <w:rPr>
          <w:rFonts w:hint="eastAsia" w:ascii="宋体" w:hAnsi="宋体"/>
          <w:kern w:val="0"/>
          <w:sz w:val="28"/>
          <w:szCs w:val="32"/>
        </w:rPr>
        <w:t xml:space="preserve">供 应 商：                                                        </w:t>
      </w:r>
    </w:p>
    <w:p>
      <w:pPr>
        <w:spacing w:line="480" w:lineRule="exact"/>
        <w:rPr>
          <w:rFonts w:ascii="宋体" w:hAnsi="宋体"/>
          <w:kern w:val="0"/>
          <w:sz w:val="28"/>
          <w:szCs w:val="32"/>
        </w:rPr>
      </w:pPr>
      <w:r>
        <w:rPr>
          <w:rFonts w:hint="eastAsia" w:ascii="宋体" w:hAnsi="宋体"/>
          <w:kern w:val="0"/>
          <w:sz w:val="28"/>
          <w:szCs w:val="32"/>
        </w:rPr>
        <w:t xml:space="preserve">单位性质：                                                        </w:t>
      </w:r>
    </w:p>
    <w:p>
      <w:pPr>
        <w:spacing w:line="480" w:lineRule="exact"/>
        <w:rPr>
          <w:rFonts w:ascii="宋体" w:hAnsi="宋体"/>
          <w:kern w:val="0"/>
          <w:sz w:val="28"/>
          <w:szCs w:val="32"/>
        </w:rPr>
      </w:pPr>
      <w:r>
        <w:rPr>
          <w:rFonts w:hint="eastAsia" w:ascii="宋体" w:hAnsi="宋体"/>
          <w:kern w:val="0"/>
          <w:sz w:val="28"/>
          <w:szCs w:val="32"/>
        </w:rPr>
        <w:t xml:space="preserve">地    址：                                                        </w:t>
      </w:r>
    </w:p>
    <w:p>
      <w:pPr>
        <w:spacing w:line="480" w:lineRule="exact"/>
        <w:rPr>
          <w:rFonts w:ascii="宋体" w:hAnsi="宋体"/>
          <w:kern w:val="0"/>
          <w:sz w:val="28"/>
          <w:szCs w:val="32"/>
        </w:rPr>
      </w:pPr>
      <w:r>
        <w:rPr>
          <w:rFonts w:hint="eastAsia" w:ascii="宋体" w:hAnsi="宋体"/>
          <w:kern w:val="0"/>
          <w:sz w:val="28"/>
          <w:szCs w:val="32"/>
        </w:rPr>
        <w:t>成立时间：      年     月   日</w:t>
      </w:r>
    </w:p>
    <w:p>
      <w:pPr>
        <w:spacing w:line="480" w:lineRule="exact"/>
        <w:rPr>
          <w:rFonts w:ascii="宋体" w:hAnsi="宋体"/>
          <w:kern w:val="0"/>
          <w:sz w:val="28"/>
          <w:szCs w:val="32"/>
        </w:rPr>
      </w:pPr>
      <w:r>
        <w:rPr>
          <w:rFonts w:hint="eastAsia" w:ascii="宋体" w:hAnsi="宋体"/>
          <w:kern w:val="0"/>
          <w:sz w:val="28"/>
          <w:szCs w:val="32"/>
        </w:rPr>
        <w:t xml:space="preserve">经营期限：                                                        </w:t>
      </w:r>
    </w:p>
    <w:p>
      <w:pPr>
        <w:spacing w:line="480" w:lineRule="exact"/>
        <w:rPr>
          <w:rFonts w:ascii="宋体" w:hAnsi="宋体"/>
          <w:kern w:val="0"/>
          <w:sz w:val="28"/>
          <w:szCs w:val="32"/>
        </w:rPr>
      </w:pPr>
      <w:r>
        <w:rPr>
          <w:rFonts w:hint="eastAsia" w:ascii="宋体" w:hAnsi="宋体"/>
          <w:kern w:val="0"/>
          <w:sz w:val="28"/>
          <w:szCs w:val="32"/>
        </w:rPr>
        <w:t xml:space="preserve">姓    名：                  性        别：                </w:t>
      </w:r>
    </w:p>
    <w:p>
      <w:pPr>
        <w:spacing w:line="480" w:lineRule="exact"/>
        <w:rPr>
          <w:rFonts w:ascii="宋体" w:hAnsi="宋体"/>
          <w:kern w:val="0"/>
          <w:sz w:val="28"/>
          <w:szCs w:val="32"/>
        </w:rPr>
      </w:pPr>
      <w:r>
        <w:rPr>
          <w:rFonts w:hint="eastAsia" w:ascii="宋体" w:hAnsi="宋体"/>
          <w:kern w:val="0"/>
          <w:sz w:val="28"/>
          <w:szCs w:val="32"/>
        </w:rPr>
        <w:t xml:space="preserve">年    龄：                  职        务：                </w:t>
      </w:r>
    </w:p>
    <w:p>
      <w:pPr>
        <w:spacing w:line="480" w:lineRule="exact"/>
        <w:rPr>
          <w:rFonts w:ascii="宋体" w:hAnsi="宋体"/>
          <w:kern w:val="0"/>
          <w:sz w:val="28"/>
          <w:szCs w:val="32"/>
        </w:rPr>
      </w:pPr>
      <w:r>
        <w:rPr>
          <w:rFonts w:hint="eastAsia" w:ascii="宋体" w:hAnsi="宋体"/>
          <w:kern w:val="0"/>
          <w:sz w:val="28"/>
          <w:szCs w:val="32"/>
        </w:rPr>
        <w:t>系           （供应商名称）的法定代表人。</w:t>
      </w:r>
    </w:p>
    <w:p>
      <w:pPr>
        <w:spacing w:line="480" w:lineRule="exact"/>
        <w:rPr>
          <w:rFonts w:ascii="宋体" w:hAnsi="宋体"/>
          <w:kern w:val="0"/>
          <w:sz w:val="28"/>
          <w:szCs w:val="32"/>
        </w:rPr>
      </w:pPr>
      <w:r>
        <w:rPr>
          <w:rFonts w:hint="eastAsia" w:ascii="宋体" w:hAnsi="宋体"/>
          <w:kern w:val="0"/>
          <w:sz w:val="28"/>
          <w:szCs w:val="32"/>
        </w:rPr>
        <w:t>特此证明。</w:t>
      </w:r>
    </w:p>
    <w:p>
      <w:pPr>
        <w:spacing w:line="480" w:lineRule="exact"/>
        <w:rPr>
          <w:rFonts w:ascii="宋体" w:hAnsi="宋体"/>
          <w:kern w:val="0"/>
          <w:sz w:val="28"/>
          <w:szCs w:val="32"/>
        </w:rPr>
      </w:pPr>
    </w:p>
    <w:p>
      <w:pPr>
        <w:spacing w:line="480" w:lineRule="exact"/>
        <w:rPr>
          <w:rFonts w:ascii="宋体" w:hAnsi="宋体"/>
          <w:kern w:val="0"/>
          <w:sz w:val="28"/>
          <w:szCs w:val="32"/>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kern w:val="0"/>
          <w:sz w:val="28"/>
          <w:szCs w:val="32"/>
        </w:rPr>
      </w:pPr>
      <w:r>
        <w:rPr>
          <w:rFonts w:hint="eastAsia" w:ascii="宋体" w:hAnsi="宋体"/>
          <w:kern w:val="0"/>
          <w:sz w:val="28"/>
          <w:szCs w:val="32"/>
        </w:rPr>
        <w:t>供应商：            （盖单位章）</w:t>
      </w:r>
    </w:p>
    <w:p>
      <w:pPr>
        <w:keepNext w:val="0"/>
        <w:keepLines w:val="0"/>
        <w:pageBreakBefore w:val="0"/>
        <w:widowControl w:val="0"/>
        <w:tabs>
          <w:tab w:val="left" w:pos="8280"/>
        </w:tabs>
        <w:kinsoku/>
        <w:wordWrap/>
        <w:overflowPunct/>
        <w:topLinePunct w:val="0"/>
        <w:autoSpaceDE/>
        <w:autoSpaceDN/>
        <w:bidi w:val="0"/>
        <w:adjustRightInd/>
        <w:snapToGrid/>
        <w:spacing w:line="480" w:lineRule="auto"/>
        <w:ind w:firstLine="4480" w:firstLineChars="1600"/>
        <w:textAlignment w:val="auto"/>
        <w:rPr>
          <w:rFonts w:ascii="宋体" w:hAnsi="宋体"/>
          <w:kern w:val="0"/>
          <w:sz w:val="28"/>
          <w:szCs w:val="32"/>
        </w:rPr>
      </w:pPr>
      <w:r>
        <w:rPr>
          <w:rFonts w:hint="eastAsia" w:ascii="宋体" w:hAnsi="宋体"/>
          <w:kern w:val="0"/>
          <w:sz w:val="28"/>
          <w:szCs w:val="32"/>
        </w:rPr>
        <w:t xml:space="preserve">     年    月    日</w:t>
      </w:r>
    </w:p>
    <w:p>
      <w:pPr>
        <w:widowControl/>
        <w:snapToGrid w:val="0"/>
        <w:spacing w:line="365" w:lineRule="atLeast"/>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ind w:firstLine="2699" w:firstLineChars="896"/>
        <w:rPr>
          <w:b/>
          <w:bCs/>
          <w:kern w:val="0"/>
          <w:sz w:val="30"/>
          <w:szCs w:val="30"/>
        </w:rPr>
      </w:pPr>
    </w:p>
    <w:p>
      <w:pPr>
        <w:widowControl/>
        <w:snapToGrid w:val="0"/>
        <w:spacing w:line="365" w:lineRule="atLeast"/>
        <w:rPr>
          <w:b/>
          <w:bCs/>
          <w:kern w:val="0"/>
          <w:sz w:val="30"/>
          <w:szCs w:val="30"/>
        </w:rPr>
      </w:pPr>
    </w:p>
    <w:p>
      <w:pPr>
        <w:widowControl/>
        <w:snapToGrid w:val="0"/>
        <w:spacing w:line="365" w:lineRule="atLeast"/>
        <w:rPr>
          <w:b/>
          <w:bCs/>
          <w:kern w:val="0"/>
          <w:sz w:val="30"/>
          <w:szCs w:val="30"/>
        </w:rPr>
      </w:pPr>
    </w:p>
    <w:p>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pPr>
        <w:widowControl/>
        <w:snapToGrid w:val="0"/>
        <w:spacing w:line="600" w:lineRule="atLeast"/>
        <w:ind w:firstLine="560" w:firstLineChars="200"/>
        <w:rPr>
          <w:rFonts w:ascii="宋体" w:hAnsi="宋体"/>
          <w:kern w:val="0"/>
          <w:sz w:val="28"/>
          <w:szCs w:val="30"/>
        </w:rPr>
      </w:pPr>
      <w:r>
        <w:rPr>
          <w:rFonts w:hint="eastAsia" w:ascii="宋体" w:hAnsi="宋体"/>
          <w:kern w:val="0"/>
          <w:sz w:val="28"/>
          <w:szCs w:val="30"/>
        </w:rPr>
        <w:t>本人</w:t>
      </w:r>
      <w:r>
        <w:rPr>
          <w:rFonts w:hint="eastAsia" w:ascii="宋体" w:hAnsi="宋体"/>
          <w:kern w:val="0"/>
          <w:sz w:val="28"/>
          <w:szCs w:val="30"/>
          <w:u w:val="single"/>
        </w:rPr>
        <w:t>（姓名）</w:t>
      </w:r>
      <w:r>
        <w:rPr>
          <w:rFonts w:hint="eastAsia" w:ascii="宋体" w:hAnsi="宋体"/>
          <w:kern w:val="0"/>
          <w:sz w:val="28"/>
          <w:szCs w:val="30"/>
        </w:rPr>
        <w:t>系</w:t>
      </w:r>
      <w:r>
        <w:rPr>
          <w:rFonts w:hint="eastAsia" w:ascii="宋体" w:hAnsi="宋体"/>
          <w:kern w:val="0"/>
          <w:sz w:val="28"/>
          <w:szCs w:val="30"/>
          <w:u w:val="single"/>
        </w:rPr>
        <w:t>（</w:t>
      </w:r>
      <w:r>
        <w:rPr>
          <w:rFonts w:hint="eastAsia" w:ascii="宋体" w:hAnsi="宋体"/>
          <w:kern w:val="0"/>
          <w:sz w:val="28"/>
          <w:szCs w:val="32"/>
          <w:u w:val="single"/>
        </w:rPr>
        <w:t>供应商</w:t>
      </w:r>
      <w:r>
        <w:rPr>
          <w:rFonts w:hint="eastAsia" w:ascii="宋体" w:hAnsi="宋体"/>
          <w:kern w:val="0"/>
          <w:sz w:val="28"/>
          <w:szCs w:val="30"/>
          <w:u w:val="single"/>
        </w:rPr>
        <w:t>名称）</w:t>
      </w:r>
      <w:r>
        <w:rPr>
          <w:rFonts w:hint="eastAsia" w:ascii="宋体" w:hAnsi="宋体"/>
          <w:kern w:val="0"/>
          <w:sz w:val="28"/>
          <w:szCs w:val="30"/>
        </w:rPr>
        <w:t>的法定代表人，现授权委托</w:t>
      </w:r>
      <w:r>
        <w:rPr>
          <w:rFonts w:hint="eastAsia" w:ascii="宋体" w:hAnsi="宋体"/>
          <w:kern w:val="0"/>
          <w:sz w:val="28"/>
          <w:szCs w:val="30"/>
          <w:u w:val="single"/>
        </w:rPr>
        <w:t>（姓名）</w:t>
      </w:r>
      <w:r>
        <w:rPr>
          <w:rFonts w:hint="eastAsia" w:ascii="宋体" w:hAnsi="宋体"/>
          <w:kern w:val="0"/>
          <w:sz w:val="28"/>
          <w:szCs w:val="30"/>
        </w:rPr>
        <w:t>为我单位</w:t>
      </w:r>
      <w:r>
        <w:rPr>
          <w:rFonts w:hint="eastAsia" w:ascii="宋体" w:hAnsi="宋体"/>
          <w:kern w:val="0"/>
          <w:sz w:val="28"/>
          <w:szCs w:val="30"/>
          <w:u w:val="single"/>
        </w:rPr>
        <w:t>（公司）</w:t>
      </w:r>
      <w:r>
        <w:rPr>
          <w:rFonts w:hint="eastAsia" w:ascii="宋体" w:hAnsi="宋体"/>
          <w:kern w:val="0"/>
          <w:sz w:val="28"/>
          <w:szCs w:val="30"/>
        </w:rPr>
        <w:t>代理人，以本单位</w:t>
      </w:r>
      <w:r>
        <w:rPr>
          <w:rFonts w:hint="eastAsia" w:ascii="宋体" w:hAnsi="宋体"/>
          <w:kern w:val="0"/>
          <w:sz w:val="28"/>
          <w:szCs w:val="30"/>
          <w:u w:val="single"/>
        </w:rPr>
        <w:t>（公司）</w:t>
      </w:r>
      <w:r>
        <w:rPr>
          <w:rFonts w:hint="eastAsia" w:ascii="宋体" w:hAnsi="宋体"/>
          <w:kern w:val="0"/>
          <w:sz w:val="28"/>
          <w:szCs w:val="30"/>
        </w:rPr>
        <w:t>的名义参加</w:t>
      </w:r>
      <w:r>
        <w:rPr>
          <w:rFonts w:hint="eastAsia" w:ascii="宋体" w:hAnsi="宋体"/>
          <w:kern w:val="0"/>
          <w:sz w:val="28"/>
          <w:szCs w:val="30"/>
          <w:u w:val="single"/>
        </w:rPr>
        <w:t>（招标单位）</w:t>
      </w:r>
      <w:r>
        <w:rPr>
          <w:rFonts w:hint="eastAsia" w:ascii="宋体" w:hAnsi="宋体"/>
          <w:kern w:val="0"/>
          <w:sz w:val="28"/>
          <w:szCs w:val="30"/>
        </w:rPr>
        <w:t>的</w:t>
      </w:r>
      <w:r>
        <w:rPr>
          <w:rFonts w:hint="eastAsia" w:ascii="宋体" w:hAnsi="宋体"/>
          <w:kern w:val="0"/>
          <w:sz w:val="28"/>
          <w:szCs w:val="30"/>
          <w:u w:val="single"/>
        </w:rPr>
        <w:t xml:space="preserve">    （项目名称）   </w:t>
      </w:r>
      <w:r>
        <w:rPr>
          <w:rFonts w:hint="eastAsia" w:ascii="宋体" w:hAnsi="宋体"/>
          <w:kern w:val="0"/>
          <w:sz w:val="28"/>
          <w:szCs w:val="30"/>
        </w:rPr>
        <w:t>项目的投标活动。代理人在开标、评标、合同谈判过程中所签署的一切文件和处理与之有关的一切事务，其法律后果由我方承担。</w:t>
      </w:r>
    </w:p>
    <w:p>
      <w:pPr>
        <w:widowControl/>
        <w:snapToGrid w:val="0"/>
        <w:spacing w:line="600" w:lineRule="atLeast"/>
        <w:ind w:firstLine="624"/>
        <w:rPr>
          <w:rFonts w:ascii="宋体" w:hAnsi="宋体"/>
          <w:kern w:val="0"/>
          <w:sz w:val="28"/>
          <w:szCs w:val="30"/>
        </w:rPr>
      </w:pPr>
      <w:r>
        <w:rPr>
          <w:rFonts w:hint="eastAsia" w:ascii="宋体" w:hAnsi="宋体"/>
          <w:kern w:val="0"/>
          <w:sz w:val="28"/>
          <w:szCs w:val="30"/>
        </w:rPr>
        <w:t>代理人无转委托权，特此证明。</w:t>
      </w:r>
    </w:p>
    <w:p>
      <w:pPr>
        <w:widowControl/>
        <w:snapToGrid w:val="0"/>
        <w:spacing w:line="548" w:lineRule="atLeast"/>
        <w:rPr>
          <w:rFonts w:ascii="宋体" w:hAnsi="宋体"/>
          <w:kern w:val="0"/>
          <w:sz w:val="28"/>
          <w:szCs w:val="30"/>
        </w:rPr>
      </w:pPr>
    </w:p>
    <w:p>
      <w:pPr>
        <w:widowControl/>
        <w:snapToGrid w:val="0"/>
        <w:spacing w:line="548" w:lineRule="atLeast"/>
        <w:rPr>
          <w:rFonts w:ascii="宋体" w:hAnsi="宋体"/>
          <w:kern w:val="0"/>
          <w:sz w:val="28"/>
          <w:szCs w:val="30"/>
          <w:u w:val="single"/>
        </w:rPr>
      </w:pPr>
      <w:r>
        <w:rPr>
          <w:rFonts w:hint="eastAsia" w:ascii="宋体" w:hAnsi="宋体"/>
          <w:kern w:val="0"/>
          <w:sz w:val="28"/>
          <w:szCs w:val="30"/>
        </w:rPr>
        <w:t>供  应  商：（盖单位章）</w:t>
      </w:r>
    </w:p>
    <w:p>
      <w:pPr>
        <w:widowControl/>
        <w:snapToGrid w:val="0"/>
        <w:spacing w:line="548" w:lineRule="atLeast"/>
        <w:rPr>
          <w:rFonts w:ascii="宋体" w:hAnsi="宋体"/>
          <w:kern w:val="0"/>
          <w:sz w:val="28"/>
          <w:szCs w:val="30"/>
          <w:u w:val="single"/>
        </w:rPr>
      </w:pPr>
      <w:r>
        <w:rPr>
          <w:rFonts w:hint="eastAsia" w:ascii="宋体" w:hAnsi="宋体"/>
          <w:kern w:val="0"/>
          <w:sz w:val="28"/>
          <w:szCs w:val="30"/>
        </w:rPr>
        <w:t xml:space="preserve">法定代表人：（签字或盖章） </w:t>
      </w:r>
    </w:p>
    <w:p>
      <w:pPr>
        <w:widowControl/>
        <w:snapToGrid w:val="0"/>
        <w:spacing w:line="548" w:lineRule="atLeast"/>
        <w:rPr>
          <w:rFonts w:ascii="宋体" w:hAnsi="宋体"/>
          <w:kern w:val="0"/>
          <w:sz w:val="28"/>
          <w:szCs w:val="30"/>
        </w:rPr>
      </w:pPr>
      <w:r>
        <w:rPr>
          <w:rFonts w:hint="eastAsia" w:ascii="宋体" w:hAnsi="宋体"/>
          <w:kern w:val="0"/>
          <w:sz w:val="28"/>
          <w:szCs w:val="30"/>
        </w:rPr>
        <w:t>法定代表人身份证号码：</w:t>
      </w:r>
    </w:p>
    <w:p>
      <w:pPr>
        <w:widowControl/>
        <w:snapToGrid w:val="0"/>
        <w:spacing w:line="548" w:lineRule="atLeast"/>
        <w:rPr>
          <w:rFonts w:ascii="宋体" w:hAnsi="宋体"/>
          <w:kern w:val="0"/>
          <w:sz w:val="28"/>
          <w:szCs w:val="30"/>
        </w:rPr>
      </w:pPr>
      <w:r>
        <w:rPr>
          <w:rFonts w:hint="eastAsia" w:ascii="宋体" w:hAnsi="宋体"/>
          <w:kern w:val="0"/>
          <w:sz w:val="28"/>
          <w:szCs w:val="30"/>
        </w:rPr>
        <w:t>委托人：</w:t>
      </w:r>
    </w:p>
    <w:p>
      <w:pPr>
        <w:widowControl/>
        <w:snapToGrid w:val="0"/>
        <w:spacing w:line="548" w:lineRule="atLeast"/>
        <w:rPr>
          <w:rFonts w:ascii="宋体" w:hAnsi="宋体"/>
          <w:kern w:val="0"/>
          <w:sz w:val="28"/>
          <w:szCs w:val="30"/>
          <w:u w:val="single"/>
        </w:rPr>
      </w:pPr>
      <w:r>
        <w:rPr>
          <w:rFonts w:hint="eastAsia" w:ascii="宋体" w:hAnsi="宋体"/>
          <w:kern w:val="0"/>
          <w:sz w:val="28"/>
          <w:szCs w:val="30"/>
        </w:rPr>
        <w:t>委托代理人身份证号码：</w:t>
      </w:r>
    </w:p>
    <w:p>
      <w:pPr>
        <w:widowControl/>
        <w:snapToGrid w:val="0"/>
        <w:spacing w:line="548" w:lineRule="atLeast"/>
        <w:ind w:firstLine="2800" w:firstLineChars="1000"/>
        <w:rPr>
          <w:rFonts w:ascii="宋体" w:hAnsi="宋体"/>
          <w:kern w:val="0"/>
          <w:sz w:val="28"/>
          <w:szCs w:val="30"/>
        </w:rPr>
      </w:pPr>
      <w:r>
        <w:rPr>
          <w:rFonts w:hint="eastAsia" w:ascii="宋体" w:hAnsi="宋体"/>
          <w:kern w:val="0"/>
          <w:sz w:val="28"/>
          <w:szCs w:val="30"/>
        </w:rPr>
        <w:t xml:space="preserve">年     月     日 </w:t>
      </w:r>
    </w:p>
    <w:p>
      <w:pPr>
        <w:widowControl/>
        <w:tabs>
          <w:tab w:val="left" w:pos="6405"/>
        </w:tabs>
        <w:snapToGrid w:val="0"/>
        <w:spacing w:line="548" w:lineRule="atLeast"/>
        <w:rPr>
          <w:rFonts w:ascii="宋体" w:hAnsi="宋体"/>
          <w:kern w:val="0"/>
          <w:sz w:val="28"/>
          <w:szCs w:val="30"/>
        </w:rPr>
      </w:pPr>
    </w:p>
    <w:p>
      <w:pPr>
        <w:widowControl/>
        <w:snapToGrid w:val="0"/>
        <w:spacing w:line="548" w:lineRule="atLeast"/>
        <w:rPr>
          <w:rFonts w:ascii="宋体" w:hAnsi="宋体"/>
          <w:kern w:val="0"/>
          <w:sz w:val="28"/>
          <w:szCs w:val="30"/>
        </w:rPr>
      </w:pPr>
      <w:r>
        <w:rPr>
          <w:rFonts w:hint="eastAsia" w:ascii="宋体" w:hAnsi="宋体"/>
          <w:kern w:val="0"/>
          <w:sz w:val="28"/>
          <w:szCs w:val="30"/>
        </w:rPr>
        <w:t>附：法定代表人及委托代理人身份证明</w:t>
      </w:r>
    </w:p>
    <w:p>
      <w:pPr>
        <w:spacing w:line="440" w:lineRule="exact"/>
        <w:jc w:val="center"/>
        <w:rPr>
          <w:rFonts w:hAnsi="宋体"/>
          <w:sz w:val="30"/>
          <w:szCs w:val="30"/>
        </w:rPr>
      </w:pPr>
    </w:p>
    <w:p>
      <w:pPr>
        <w:spacing w:line="360" w:lineRule="auto"/>
        <w:jc w:val="left"/>
        <w:rPr>
          <w:color w:val="000000"/>
        </w:rPr>
      </w:pPr>
    </w:p>
    <w:p>
      <w:pPr>
        <w:spacing w:line="360" w:lineRule="auto"/>
        <w:jc w:val="left"/>
        <w:rPr>
          <w:color w:val="000000"/>
        </w:rPr>
      </w:pPr>
    </w:p>
    <w:p>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pPr>
        <w:spacing w:line="440" w:lineRule="exact"/>
        <w:jc w:val="center"/>
        <w:rPr>
          <w:rFonts w:hAnsi="宋体"/>
          <w:sz w:val="30"/>
          <w:szCs w:val="30"/>
        </w:rPr>
      </w:pPr>
    </w:p>
    <w:p>
      <w:pPr>
        <w:spacing w:line="440" w:lineRule="exact"/>
        <w:jc w:val="center"/>
        <w:rPr>
          <w:rFonts w:hAnsi="宋体"/>
          <w:sz w:val="30"/>
          <w:szCs w:val="30"/>
        </w:rPr>
      </w:pPr>
    </w:p>
    <w:p>
      <w:pPr>
        <w:spacing w:line="440" w:lineRule="exact"/>
        <w:jc w:val="center"/>
        <w:rPr>
          <w:rFonts w:hAnsi="宋体"/>
          <w:sz w:val="30"/>
          <w:szCs w:val="30"/>
        </w:rPr>
      </w:pPr>
    </w:p>
    <w:p>
      <w:pPr>
        <w:spacing w:line="440" w:lineRule="exact"/>
        <w:jc w:val="center"/>
        <w:rPr>
          <w:rFonts w:hAnsi="宋体"/>
          <w:sz w:val="30"/>
          <w:szCs w:val="30"/>
        </w:rPr>
      </w:pPr>
    </w:p>
    <w:p>
      <w:pPr>
        <w:spacing w:line="440" w:lineRule="exact"/>
        <w:jc w:val="center"/>
        <w:rPr>
          <w:rFonts w:hAnsi="宋体"/>
          <w:sz w:val="30"/>
          <w:szCs w:val="30"/>
        </w:rPr>
      </w:pPr>
    </w:p>
    <w:p>
      <w:pPr>
        <w:pStyle w:val="3"/>
        <w:keepNext w:val="0"/>
        <w:spacing w:before="260" w:after="260" w:line="413" w:lineRule="auto"/>
        <w:jc w:val="center"/>
      </w:pPr>
      <w:bookmarkStart w:id="251" w:name="_Toc38013575"/>
      <w:bookmarkStart w:id="252" w:name="_Toc507510303"/>
      <w:bookmarkStart w:id="253" w:name="_Toc14881"/>
      <w:bookmarkStart w:id="254" w:name="_Toc12604920"/>
      <w:r>
        <w:rPr>
          <w:rFonts w:hint="eastAsia" w:ascii="Arial" w:eastAsia="黑体" w:cs="Times New Roman"/>
          <w:sz w:val="32"/>
          <w:szCs w:val="32"/>
        </w:rPr>
        <w:t>四、资格审查资料</w:t>
      </w:r>
      <w:bookmarkEnd w:id="251"/>
      <w:bookmarkEnd w:id="252"/>
      <w:bookmarkEnd w:id="253"/>
      <w:bookmarkEnd w:id="254"/>
    </w:p>
    <w:p>
      <w:pPr>
        <w:autoSpaceDE w:val="0"/>
        <w:autoSpaceDN w:val="0"/>
        <w:adjustRightInd w:val="0"/>
        <w:spacing w:line="400" w:lineRule="exact"/>
        <w:rPr>
          <w:rFonts w:ascii="宋体" w:hAnsi="宋体"/>
          <w:sz w:val="24"/>
          <w:lang w:val="zh-CN"/>
        </w:rPr>
      </w:pPr>
      <w:r>
        <w:rPr>
          <w:rFonts w:hint="eastAsia" w:ascii="宋体" w:hAnsi="宋体" w:cs="宋体"/>
          <w:kern w:val="0"/>
          <w:sz w:val="24"/>
          <w:u w:val="single"/>
        </w:rPr>
        <w:t>（招标单位）：</w:t>
      </w:r>
    </w:p>
    <w:p>
      <w:pPr>
        <w:spacing w:line="400" w:lineRule="exact"/>
        <w:ind w:firstLine="424" w:firstLineChars="177"/>
        <w:rPr>
          <w:rFonts w:ascii="宋体" w:hAnsi="宋体"/>
          <w:sz w:val="24"/>
        </w:rPr>
      </w:pPr>
      <w:r>
        <w:rPr>
          <w:rFonts w:hint="eastAsia" w:ascii="宋体" w:hAnsi="宋体"/>
          <w:sz w:val="24"/>
        </w:rPr>
        <w:t>根据已收到的项目编号为的</w:t>
      </w:r>
      <w:r>
        <w:rPr>
          <w:rFonts w:hint="eastAsia" w:ascii="宋体" w:hAnsi="宋体"/>
          <w:sz w:val="24"/>
          <w:u w:val="single"/>
        </w:rPr>
        <w:t xml:space="preserve">      项目名称     </w:t>
      </w:r>
      <w:r>
        <w:rPr>
          <w:rFonts w:hint="eastAsia" w:ascii="宋体" w:hAnsi="宋体"/>
          <w:sz w:val="24"/>
        </w:rPr>
        <w:t>的招标文件，本签字人愿意参加投标，并声明提交的下列文件是准确的和真实的。</w:t>
      </w:r>
    </w:p>
    <w:p>
      <w:pPr>
        <w:spacing w:line="540" w:lineRule="exact"/>
        <w:ind w:firstLine="480" w:firstLineChars="200"/>
        <w:rPr>
          <w:rFonts w:hint="eastAsia" w:ascii="宋体" w:hAnsi="宋体" w:eastAsia="宋体"/>
          <w:sz w:val="24"/>
          <w:lang w:eastAsia="zh-CN"/>
        </w:rPr>
      </w:pPr>
      <w:r>
        <w:rPr>
          <w:rFonts w:hint="eastAsia" w:ascii="宋体" w:hAnsi="宋体"/>
          <w:sz w:val="24"/>
          <w:lang w:val="zh-TW"/>
        </w:rPr>
        <w:t>1、</w:t>
      </w:r>
      <w:r>
        <w:rPr>
          <w:rFonts w:hint="eastAsia" w:ascii="宋体" w:hAnsi="宋体"/>
          <w:sz w:val="24"/>
        </w:rPr>
        <w:t>投标</w:t>
      </w:r>
      <w:r>
        <w:rPr>
          <w:rFonts w:hint="eastAsia" w:ascii="宋体" w:hAnsi="宋体"/>
          <w:sz w:val="24"/>
          <w:lang w:eastAsia="zh-CN"/>
        </w:rPr>
        <w:t>投标供应商须具有合法有效的营业执照；</w:t>
      </w:r>
    </w:p>
    <w:p>
      <w:pPr>
        <w:spacing w:line="540" w:lineRule="exact"/>
        <w:ind w:firstLine="480" w:firstLineChars="200"/>
        <w:rPr>
          <w:rFonts w:ascii="宋体" w:hAnsi="宋体"/>
          <w:sz w:val="24"/>
          <w:lang w:val="zh-TW"/>
        </w:rPr>
      </w:pPr>
      <w:r>
        <w:rPr>
          <w:rFonts w:hint="eastAsia" w:ascii="宋体" w:hAnsi="宋体"/>
          <w:sz w:val="24"/>
          <w:lang w:val="en-US" w:eastAsia="zh-CN"/>
        </w:rPr>
        <w:t>2</w:t>
      </w:r>
      <w:r>
        <w:rPr>
          <w:rFonts w:hint="eastAsia" w:ascii="宋体" w:hAnsi="宋体"/>
          <w:sz w:val="24"/>
          <w:lang w:val="zh-TW"/>
        </w:rPr>
        <w:t>、供应商须出具本企业无商业贿赂和不正当竞争行为承诺书；</w:t>
      </w:r>
    </w:p>
    <w:p>
      <w:pPr>
        <w:spacing w:line="540" w:lineRule="exact"/>
        <w:ind w:firstLine="480" w:firstLineChars="200"/>
        <w:rPr>
          <w:rFonts w:hint="eastAsia" w:ascii="宋体" w:hAnsi="宋体"/>
          <w:sz w:val="24"/>
          <w:lang w:val="zh-TW" w:eastAsia="zh-CN"/>
        </w:rPr>
      </w:pPr>
      <w:r>
        <w:rPr>
          <w:rFonts w:hint="eastAsia" w:ascii="宋体" w:hAnsi="宋体"/>
          <w:sz w:val="24"/>
          <w:lang w:val="en-US" w:eastAsia="zh-CN"/>
        </w:rPr>
        <w:t>3</w:t>
      </w:r>
      <w:r>
        <w:rPr>
          <w:rFonts w:hint="eastAsia" w:ascii="宋体" w:hAnsi="宋体"/>
          <w:sz w:val="24"/>
          <w:lang w:val="zh-TW"/>
        </w:rPr>
        <w:t>、</w:t>
      </w:r>
      <w:r>
        <w:rPr>
          <w:rFonts w:hint="eastAsia" w:ascii="宋体" w:hAnsi="宋体"/>
          <w:sz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pPr>
        <w:spacing w:line="540" w:lineRule="exact"/>
        <w:ind w:firstLine="480" w:firstLineChars="200"/>
        <w:rPr>
          <w:rFonts w:ascii="宋体" w:hAnsi="宋体"/>
          <w:sz w:val="24"/>
          <w:lang w:val="zh-TW"/>
        </w:rPr>
      </w:pPr>
      <w:r>
        <w:rPr>
          <w:rFonts w:hint="eastAsia" w:ascii="宋体" w:hAnsi="宋体"/>
          <w:sz w:val="24"/>
          <w:lang w:val="en-US" w:eastAsia="zh-CN"/>
        </w:rPr>
        <w:t>4</w:t>
      </w:r>
      <w:r>
        <w:rPr>
          <w:rFonts w:hint="eastAsia" w:ascii="宋体" w:hAnsi="宋体"/>
          <w:sz w:val="24"/>
          <w:lang w:val="zh-TW"/>
        </w:rPr>
        <w:t>、本</w:t>
      </w:r>
      <w:r>
        <w:rPr>
          <w:rFonts w:hint="eastAsia" w:ascii="宋体" w:hAnsi="宋体"/>
          <w:sz w:val="24"/>
        </w:rPr>
        <w:t>项目</w:t>
      </w:r>
      <w:r>
        <w:rPr>
          <w:rFonts w:hint="eastAsia" w:ascii="宋体" w:hAnsi="宋体"/>
          <w:sz w:val="24"/>
          <w:lang w:val="zh-TW"/>
        </w:rPr>
        <w:t>不接受联合体报名。</w:t>
      </w:r>
    </w:p>
    <w:p>
      <w:pPr>
        <w:spacing w:line="540" w:lineRule="exact"/>
        <w:ind w:firstLine="480" w:firstLineChars="200"/>
        <w:rPr>
          <w:rFonts w:ascii="宋体" w:hAnsi="宋体"/>
          <w:sz w:val="24"/>
        </w:rPr>
      </w:pPr>
    </w:p>
    <w:p>
      <w:pPr>
        <w:pStyle w:val="188"/>
        <w:shd w:val="clear" w:color="auto" w:fill="FFFFFF"/>
        <w:spacing w:before="0" w:beforeAutospacing="0" w:after="0" w:afterAutospacing="0" w:line="500" w:lineRule="exact"/>
        <w:rPr>
          <w:kern w:val="2"/>
          <w:szCs w:val="27"/>
          <w:shd w:val="clear" w:color="auto" w:fill="FFFFFF"/>
        </w:rPr>
      </w:pPr>
    </w:p>
    <w:p>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投  标  人：（盖单位章）</w:t>
      </w:r>
    </w:p>
    <w:p>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法定代表人：(电子签章）</w:t>
      </w:r>
    </w:p>
    <w:p>
      <w:pPr>
        <w:spacing w:line="360" w:lineRule="auto"/>
        <w:ind w:firstLine="4200" w:firstLineChars="1500"/>
        <w:jc w:val="left"/>
        <w:rPr>
          <w:rFonts w:ascii="宋体" w:hAnsi="宋体" w:cs="宋体"/>
          <w:b/>
          <w:bCs/>
          <w:sz w:val="24"/>
          <w:szCs w:val="24"/>
        </w:rPr>
      </w:pPr>
      <w:r>
        <w:rPr>
          <w:rFonts w:hint="eastAsia" w:ascii="宋体" w:hAnsi="宋体" w:cs="宋体"/>
          <w:sz w:val="28"/>
          <w:szCs w:val="28"/>
        </w:rPr>
        <w:t xml:space="preserve">地     址：  </w:t>
      </w:r>
    </w:p>
    <w:p>
      <w:pPr>
        <w:widowControl/>
        <w:spacing w:before="100" w:beforeAutospacing="1" w:after="150" w:line="460" w:lineRule="exact"/>
        <w:ind w:left="480"/>
        <w:jc w:val="left"/>
        <w:rPr>
          <w:rFonts w:ascii="宋体" w:hAnsi="宋体" w:cs="宋体"/>
          <w:sz w:val="24"/>
          <w:szCs w:val="27"/>
          <w:shd w:val="clear" w:color="auto" w:fill="FFFFFF"/>
        </w:rPr>
      </w:pPr>
    </w:p>
    <w:p>
      <w:pPr>
        <w:widowControl/>
        <w:spacing w:before="100" w:beforeAutospacing="1" w:after="150" w:line="460" w:lineRule="exact"/>
        <w:ind w:left="540"/>
        <w:jc w:val="left"/>
        <w:rPr>
          <w:rFonts w:ascii="宋体" w:hAnsi="宋体"/>
          <w:sz w:val="24"/>
        </w:rPr>
      </w:pPr>
      <w:r>
        <w:rPr>
          <w:rFonts w:ascii="宋体" w:hAnsi="宋体"/>
          <w:sz w:val="24"/>
        </w:rPr>
        <w:t> </w:t>
      </w:r>
    </w:p>
    <w:p>
      <w:pPr>
        <w:widowControl/>
        <w:spacing w:before="100" w:beforeAutospacing="1" w:after="150" w:line="400" w:lineRule="exact"/>
        <w:jc w:val="left"/>
        <w:rPr>
          <w:rFonts w:ascii="宋体" w:hAnsi="宋体"/>
          <w:sz w:val="24"/>
        </w:rPr>
      </w:pPr>
    </w:p>
    <w:p>
      <w:pPr>
        <w:jc w:val="left"/>
        <w:rPr>
          <w:sz w:val="28"/>
          <w:szCs w:val="28"/>
        </w:rPr>
      </w:pPr>
      <w:bookmarkStart w:id="255" w:name="_Toc488135760"/>
      <w:r>
        <w:rPr>
          <w:rFonts w:hint="eastAsia"/>
          <w:sz w:val="28"/>
          <w:szCs w:val="28"/>
        </w:rPr>
        <w:t>（二）近三年</w:t>
      </w:r>
      <w:bookmarkEnd w:id="255"/>
      <w:r>
        <w:rPr>
          <w:rFonts w:hint="eastAsia"/>
          <w:sz w:val="28"/>
          <w:szCs w:val="28"/>
        </w:rPr>
        <w:t>企业具有类似项目业绩及荣誉</w:t>
      </w:r>
    </w:p>
    <w:p>
      <w:pPr>
        <w:spacing w:line="400" w:lineRule="exact"/>
        <w:jc w:val="center"/>
        <w:rPr>
          <w:rFonts w:ascii="宋体" w:hAnsi="宋体" w:cs="宋体"/>
          <w:sz w:val="24"/>
        </w:rPr>
      </w:pPr>
      <w:r>
        <w:rPr>
          <w:rFonts w:hint="eastAsia" w:ascii="宋体" w:hAnsi="宋体" w:cs="宋体"/>
          <w:sz w:val="24"/>
        </w:rPr>
        <w:t>（近年指</w:t>
      </w:r>
      <w:r>
        <w:rPr>
          <w:rFonts w:hint="eastAsia" w:ascii="宋体" w:hAnsi="宋体" w:cs="宋体"/>
          <w:sz w:val="24"/>
          <w:u w:val="single"/>
        </w:rPr>
        <w:t>20</w:t>
      </w:r>
      <w:r>
        <w:rPr>
          <w:rFonts w:hint="eastAsia" w:ascii="宋体" w:hAnsi="宋体" w:cs="宋体"/>
          <w:sz w:val="24"/>
          <w:u w:val="single"/>
          <w:lang w:val="en-US" w:eastAsia="zh-CN"/>
        </w:rPr>
        <w:t>20</w:t>
      </w:r>
      <w:r>
        <w:rPr>
          <w:rFonts w:hint="eastAsia" w:ascii="宋体" w:hAnsi="宋体" w:cs="宋体"/>
          <w:sz w:val="24"/>
          <w:u w:val="single"/>
        </w:rPr>
        <w:t>年</w:t>
      </w:r>
      <w:r>
        <w:rPr>
          <w:rFonts w:hint="eastAsia" w:ascii="宋体" w:hAnsi="宋体" w:cs="宋体"/>
          <w:sz w:val="24"/>
          <w:u w:val="single"/>
          <w:lang w:val="en-US" w:eastAsia="zh-CN"/>
        </w:rPr>
        <w:t>0</w:t>
      </w:r>
      <w:r>
        <w:rPr>
          <w:rFonts w:hint="eastAsia" w:ascii="宋体" w:hAnsi="宋体" w:cs="宋体"/>
          <w:sz w:val="24"/>
          <w:u w:val="single"/>
        </w:rPr>
        <w:t>1月</w:t>
      </w:r>
      <w:r>
        <w:rPr>
          <w:rFonts w:hint="eastAsia" w:ascii="宋体" w:hAnsi="宋体" w:cs="宋体"/>
          <w:sz w:val="24"/>
          <w:u w:val="single"/>
          <w:lang w:val="en-US" w:eastAsia="zh-CN"/>
        </w:rPr>
        <w:t>0</w:t>
      </w:r>
      <w:r>
        <w:rPr>
          <w:rFonts w:hint="eastAsia" w:ascii="宋体" w:hAnsi="宋体" w:cs="宋体"/>
          <w:sz w:val="24"/>
          <w:u w:val="single"/>
        </w:rPr>
        <w:t>1日至今</w:t>
      </w:r>
      <w:r>
        <w:rPr>
          <w:rFonts w:hint="eastAsia" w:ascii="宋体" w:hAnsi="宋体" w:cs="宋体"/>
          <w:sz w:val="24"/>
        </w:rPr>
        <w:t>）</w:t>
      </w:r>
    </w:p>
    <w:tbl>
      <w:tblPr>
        <w:tblStyle w:val="47"/>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22"/>
        <w:gridCol w:w="1726"/>
        <w:gridCol w:w="1823"/>
        <w:gridCol w:w="1316"/>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3" w:type="dxa"/>
            <w:vAlign w:val="center"/>
          </w:tcPr>
          <w:p>
            <w:pPr>
              <w:spacing w:line="360" w:lineRule="auto"/>
              <w:jc w:val="center"/>
              <w:rPr>
                <w:rFonts w:ascii="宋体" w:hAnsi="宋体"/>
                <w:kern w:val="0"/>
                <w:sz w:val="24"/>
              </w:rPr>
            </w:pPr>
            <w:r>
              <w:rPr>
                <w:rFonts w:hint="eastAsia" w:ascii="宋体" w:hAnsi="宋体"/>
                <w:kern w:val="0"/>
                <w:sz w:val="24"/>
              </w:rPr>
              <w:t>序号</w:t>
            </w:r>
          </w:p>
        </w:tc>
        <w:tc>
          <w:tcPr>
            <w:tcW w:w="1922" w:type="dxa"/>
            <w:vAlign w:val="center"/>
          </w:tcPr>
          <w:p>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pPr>
              <w:spacing w:line="240" w:lineRule="auto"/>
              <w:jc w:val="center"/>
              <w:rPr>
                <w:rFonts w:ascii="宋体" w:hAnsi="宋体"/>
                <w:kern w:val="0"/>
                <w:sz w:val="24"/>
              </w:rPr>
            </w:pPr>
            <w:r>
              <w:rPr>
                <w:rFonts w:hint="eastAsia" w:ascii="宋体" w:hAnsi="宋体"/>
                <w:kern w:val="0"/>
                <w:sz w:val="24"/>
              </w:rPr>
              <w:t>投资金额</w:t>
            </w:r>
          </w:p>
          <w:p>
            <w:pPr>
              <w:spacing w:line="240" w:lineRule="auto"/>
              <w:jc w:val="center"/>
              <w:rPr>
                <w:rFonts w:ascii="宋体" w:hAnsi="宋体"/>
                <w:kern w:val="0"/>
                <w:sz w:val="24"/>
              </w:rPr>
            </w:pPr>
            <w:r>
              <w:rPr>
                <w:rFonts w:hint="eastAsia" w:ascii="宋体" w:hAnsi="宋体"/>
                <w:kern w:val="0"/>
                <w:sz w:val="24"/>
              </w:rPr>
              <w:t>（万元）</w:t>
            </w:r>
          </w:p>
        </w:tc>
        <w:tc>
          <w:tcPr>
            <w:tcW w:w="1823" w:type="dxa"/>
            <w:vAlign w:val="center"/>
          </w:tcPr>
          <w:p>
            <w:pPr>
              <w:spacing w:line="240" w:lineRule="auto"/>
              <w:jc w:val="center"/>
              <w:rPr>
                <w:rFonts w:ascii="宋体" w:hAnsi="宋体"/>
                <w:kern w:val="0"/>
                <w:sz w:val="24"/>
              </w:rPr>
            </w:pPr>
            <w:r>
              <w:rPr>
                <w:rFonts w:hint="eastAsia" w:ascii="宋体" w:hAnsi="宋体"/>
                <w:kern w:val="0"/>
                <w:sz w:val="24"/>
              </w:rPr>
              <w:t>业主单位</w:t>
            </w:r>
          </w:p>
          <w:p>
            <w:pPr>
              <w:spacing w:line="240" w:lineRule="auto"/>
              <w:jc w:val="center"/>
              <w:rPr>
                <w:rFonts w:ascii="宋体" w:hAnsi="宋体"/>
                <w:kern w:val="0"/>
                <w:sz w:val="24"/>
              </w:rPr>
            </w:pPr>
            <w:r>
              <w:rPr>
                <w:rFonts w:hint="eastAsia" w:ascii="宋体" w:hAnsi="宋体"/>
                <w:kern w:val="0"/>
                <w:sz w:val="24"/>
              </w:rPr>
              <w:t>名称</w:t>
            </w:r>
          </w:p>
        </w:tc>
        <w:tc>
          <w:tcPr>
            <w:tcW w:w="1316" w:type="dxa"/>
            <w:vAlign w:val="center"/>
          </w:tcPr>
          <w:p>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地点</w:t>
            </w:r>
          </w:p>
        </w:tc>
        <w:tc>
          <w:tcPr>
            <w:tcW w:w="971" w:type="dxa"/>
            <w:vAlign w:val="center"/>
          </w:tcPr>
          <w:p>
            <w:pPr>
              <w:spacing w:line="240" w:lineRule="auto"/>
              <w:jc w:val="center"/>
              <w:rPr>
                <w:rFonts w:ascii="宋体" w:hAnsi="宋体"/>
                <w:kern w:val="0"/>
                <w:sz w:val="24"/>
              </w:rPr>
            </w:pPr>
            <w:r>
              <w:rPr>
                <w:rFonts w:hint="eastAsia" w:ascii="宋体" w:hAnsi="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spacing w:line="360" w:lineRule="auto"/>
              <w:rPr>
                <w:rFonts w:ascii="宋体" w:hAnsi="宋体"/>
                <w:b/>
                <w:bCs/>
                <w:kern w:val="0"/>
                <w:sz w:val="24"/>
              </w:rPr>
            </w:pPr>
          </w:p>
        </w:tc>
        <w:tc>
          <w:tcPr>
            <w:tcW w:w="1922" w:type="dxa"/>
            <w:vAlign w:val="center"/>
          </w:tcPr>
          <w:p>
            <w:pPr>
              <w:spacing w:line="360" w:lineRule="auto"/>
              <w:rPr>
                <w:rFonts w:ascii="宋体" w:hAnsi="宋体"/>
                <w:b/>
                <w:bCs/>
                <w:kern w:val="0"/>
                <w:sz w:val="24"/>
              </w:rPr>
            </w:pPr>
          </w:p>
        </w:tc>
        <w:tc>
          <w:tcPr>
            <w:tcW w:w="1726" w:type="dxa"/>
            <w:vAlign w:val="center"/>
          </w:tcPr>
          <w:p>
            <w:pPr>
              <w:spacing w:line="360" w:lineRule="auto"/>
              <w:rPr>
                <w:rFonts w:ascii="宋体" w:hAnsi="宋体"/>
                <w:b/>
                <w:bCs/>
                <w:kern w:val="0"/>
                <w:sz w:val="24"/>
              </w:rPr>
            </w:pPr>
          </w:p>
        </w:tc>
        <w:tc>
          <w:tcPr>
            <w:tcW w:w="1823" w:type="dxa"/>
            <w:vAlign w:val="center"/>
          </w:tcPr>
          <w:p>
            <w:pPr>
              <w:spacing w:line="360" w:lineRule="auto"/>
              <w:rPr>
                <w:rFonts w:ascii="宋体" w:hAnsi="宋体"/>
                <w:b/>
                <w:bCs/>
                <w:kern w:val="0"/>
                <w:sz w:val="24"/>
              </w:rPr>
            </w:pPr>
          </w:p>
        </w:tc>
        <w:tc>
          <w:tcPr>
            <w:tcW w:w="1316" w:type="dxa"/>
            <w:vAlign w:val="center"/>
          </w:tcPr>
          <w:p>
            <w:pPr>
              <w:spacing w:line="360" w:lineRule="auto"/>
              <w:rPr>
                <w:rFonts w:ascii="宋体" w:hAnsi="宋体"/>
                <w:b/>
                <w:bCs/>
                <w:kern w:val="0"/>
                <w:sz w:val="24"/>
              </w:rPr>
            </w:pPr>
          </w:p>
        </w:tc>
        <w:tc>
          <w:tcPr>
            <w:tcW w:w="971" w:type="dxa"/>
          </w:tcPr>
          <w:p>
            <w:pPr>
              <w:spacing w:line="360" w:lineRule="auto"/>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pPr>
              <w:spacing w:line="360" w:lineRule="auto"/>
              <w:jc w:val="center"/>
              <w:rPr>
                <w:rFonts w:ascii="宋体" w:hAnsi="宋体"/>
                <w:b/>
                <w:bCs/>
                <w:kern w:val="0"/>
                <w:sz w:val="24"/>
              </w:rPr>
            </w:pPr>
          </w:p>
        </w:tc>
        <w:tc>
          <w:tcPr>
            <w:tcW w:w="1922" w:type="dxa"/>
          </w:tcPr>
          <w:p>
            <w:pPr>
              <w:spacing w:line="360" w:lineRule="auto"/>
              <w:jc w:val="center"/>
              <w:rPr>
                <w:rFonts w:ascii="宋体" w:hAnsi="宋体"/>
                <w:b/>
                <w:bCs/>
                <w:kern w:val="0"/>
                <w:sz w:val="24"/>
              </w:rPr>
            </w:pPr>
          </w:p>
        </w:tc>
        <w:tc>
          <w:tcPr>
            <w:tcW w:w="1726" w:type="dxa"/>
          </w:tcPr>
          <w:p>
            <w:pPr>
              <w:spacing w:line="360" w:lineRule="auto"/>
              <w:jc w:val="center"/>
              <w:rPr>
                <w:rFonts w:ascii="宋体" w:hAnsi="宋体"/>
                <w:b/>
                <w:bCs/>
                <w:kern w:val="0"/>
                <w:sz w:val="24"/>
              </w:rPr>
            </w:pPr>
          </w:p>
        </w:tc>
        <w:tc>
          <w:tcPr>
            <w:tcW w:w="1823" w:type="dxa"/>
          </w:tcPr>
          <w:p>
            <w:pPr>
              <w:spacing w:line="360" w:lineRule="auto"/>
              <w:jc w:val="center"/>
              <w:rPr>
                <w:rFonts w:ascii="宋体" w:hAnsi="宋体"/>
                <w:b/>
                <w:bCs/>
                <w:kern w:val="0"/>
                <w:sz w:val="24"/>
              </w:rPr>
            </w:pPr>
          </w:p>
        </w:tc>
        <w:tc>
          <w:tcPr>
            <w:tcW w:w="1316" w:type="dxa"/>
          </w:tcPr>
          <w:p>
            <w:pPr>
              <w:spacing w:line="360" w:lineRule="auto"/>
              <w:jc w:val="center"/>
              <w:rPr>
                <w:rFonts w:ascii="宋体" w:hAnsi="宋体"/>
                <w:b/>
                <w:bCs/>
                <w:kern w:val="0"/>
                <w:sz w:val="24"/>
              </w:rPr>
            </w:pPr>
          </w:p>
        </w:tc>
        <w:tc>
          <w:tcPr>
            <w:tcW w:w="971" w:type="dxa"/>
          </w:tcPr>
          <w:p>
            <w:pPr>
              <w:spacing w:line="360" w:lineRule="auto"/>
              <w:jc w:val="center"/>
              <w:rPr>
                <w:rFonts w:ascii="宋体" w:hAnsi="宋体"/>
                <w:b/>
                <w:bCs/>
                <w:kern w:val="0"/>
                <w:sz w:val="24"/>
              </w:rPr>
            </w:pPr>
          </w:p>
        </w:tc>
      </w:tr>
    </w:tbl>
    <w:p>
      <w:pPr>
        <w:spacing w:line="400" w:lineRule="exact"/>
        <w:jc w:val="left"/>
        <w:rPr>
          <w:rFonts w:ascii="宋体" w:hAnsi="宋体" w:cs="宋体"/>
          <w:sz w:val="24"/>
        </w:rPr>
      </w:pPr>
      <w:r>
        <w:rPr>
          <w:rFonts w:hint="eastAsia" w:ascii="宋体" w:hAnsi="宋体"/>
          <w:b/>
          <w:bCs/>
          <w:sz w:val="22"/>
        </w:rPr>
        <w:t>注：相关业绩以经监管部门备案的中标通知书</w:t>
      </w:r>
      <w:r>
        <w:rPr>
          <w:rFonts w:hint="eastAsia" w:ascii="宋体" w:hAnsi="宋体"/>
          <w:b/>
          <w:bCs/>
          <w:sz w:val="22"/>
          <w:lang w:eastAsia="zh-CN"/>
        </w:rPr>
        <w:t>、</w:t>
      </w:r>
      <w:r>
        <w:rPr>
          <w:rFonts w:hint="eastAsia" w:ascii="宋体" w:hAnsi="宋体"/>
          <w:b/>
          <w:bCs/>
          <w:sz w:val="22"/>
        </w:rPr>
        <w:t>合同</w:t>
      </w:r>
      <w:r>
        <w:rPr>
          <w:rFonts w:hint="eastAsia" w:ascii="宋体" w:hAnsi="宋体"/>
          <w:b/>
          <w:bCs/>
          <w:sz w:val="22"/>
          <w:lang w:val="en-US" w:eastAsia="zh-CN"/>
        </w:rPr>
        <w:t>、中标公告网页截图</w:t>
      </w:r>
      <w:r>
        <w:rPr>
          <w:rFonts w:hint="eastAsia" w:ascii="宋体" w:hAnsi="宋体"/>
          <w:b/>
          <w:bCs/>
          <w:sz w:val="22"/>
        </w:rPr>
        <w:t>等证明材料为准，相关材料扫描件附后。</w:t>
      </w:r>
    </w:p>
    <w:p>
      <w:pPr>
        <w:spacing w:beforeLines="100" w:afterLines="50" w:line="480" w:lineRule="exact"/>
        <w:textAlignment w:val="center"/>
        <w:rPr>
          <w:rFonts w:ascii="宋体" w:hAnsi="宋体" w:cs="宋体"/>
          <w:b/>
          <w:bCs/>
          <w:color w:val="FF0000"/>
          <w:sz w:val="24"/>
          <w:szCs w:val="24"/>
        </w:rPr>
      </w:pPr>
    </w:p>
    <w:p>
      <w:pPr>
        <w:pStyle w:val="3"/>
        <w:keepNext w:val="0"/>
        <w:spacing w:before="260" w:after="260" w:line="413" w:lineRule="auto"/>
        <w:jc w:val="center"/>
        <w:rPr>
          <w:rFonts w:ascii="Arial" w:eastAsia="黑体" w:cs="Times New Roman"/>
        </w:rPr>
      </w:pPr>
      <w:bookmarkStart w:id="256" w:name="_Toc12604922"/>
      <w:bookmarkStart w:id="257" w:name="_Toc24112"/>
      <w:bookmarkStart w:id="258" w:name="_Toc507510306"/>
    </w:p>
    <w:p>
      <w:pPr>
        <w:pStyle w:val="3"/>
        <w:keepNext w:val="0"/>
        <w:spacing w:before="260" w:after="260" w:line="413" w:lineRule="auto"/>
        <w:jc w:val="center"/>
        <w:rPr>
          <w:rFonts w:ascii="Arial" w:eastAsia="黑体" w:cs="Times New Roman"/>
        </w:rPr>
      </w:pPr>
    </w:p>
    <w:p>
      <w:pPr>
        <w:pStyle w:val="3"/>
        <w:keepNext w:val="0"/>
        <w:spacing w:before="260" w:after="260" w:line="413" w:lineRule="auto"/>
        <w:jc w:val="center"/>
        <w:rPr>
          <w:rFonts w:ascii="Arial" w:eastAsia="黑体" w:cs="Times New Roman"/>
        </w:rPr>
      </w:pPr>
    </w:p>
    <w:p>
      <w:pPr>
        <w:pStyle w:val="3"/>
        <w:keepNext w:val="0"/>
        <w:spacing w:before="260" w:after="260" w:line="413" w:lineRule="auto"/>
        <w:jc w:val="center"/>
        <w:rPr>
          <w:rFonts w:ascii="Arial" w:eastAsia="黑体" w:cs="Times New Roman"/>
          <w:sz w:val="32"/>
          <w:szCs w:val="32"/>
        </w:rPr>
      </w:pPr>
      <w:bookmarkStart w:id="259" w:name="_Toc38013576"/>
    </w:p>
    <w:p>
      <w:pPr>
        <w:pStyle w:val="3"/>
        <w:keepNext w:val="0"/>
        <w:spacing w:before="260" w:after="260" w:line="413" w:lineRule="auto"/>
        <w:jc w:val="center"/>
        <w:rPr>
          <w:rFonts w:hint="eastAsia" w:ascii="Arial" w:eastAsia="黑体" w:cs="Times New Roman"/>
          <w:sz w:val="32"/>
          <w:szCs w:val="32"/>
        </w:rPr>
      </w:pPr>
    </w:p>
    <w:p>
      <w:pPr>
        <w:pStyle w:val="3"/>
        <w:keepNext w:val="0"/>
        <w:spacing w:before="260" w:after="260" w:line="413" w:lineRule="auto"/>
        <w:jc w:val="center"/>
        <w:rPr>
          <w:rFonts w:eastAsia="黑体"/>
          <w:sz w:val="32"/>
          <w:szCs w:val="32"/>
        </w:rPr>
      </w:pPr>
      <w:r>
        <w:rPr>
          <w:rFonts w:hint="eastAsia" w:ascii="Arial" w:eastAsia="黑体" w:cs="Times New Roman"/>
          <w:sz w:val="32"/>
          <w:szCs w:val="32"/>
        </w:rPr>
        <w:t>五、投标报价</w:t>
      </w:r>
      <w:bookmarkEnd w:id="256"/>
      <w:bookmarkEnd w:id="257"/>
      <w:bookmarkEnd w:id="258"/>
      <w:bookmarkEnd w:id="259"/>
      <w:r>
        <w:rPr>
          <w:rFonts w:hint="eastAsia" w:ascii="Arial" w:eastAsia="黑体" w:cs="Times New Roman"/>
          <w:sz w:val="32"/>
          <w:szCs w:val="32"/>
        </w:rPr>
        <w:t>表</w:t>
      </w:r>
    </w:p>
    <w:p>
      <w:pPr>
        <w:widowControl/>
        <w:snapToGrid w:val="0"/>
        <w:spacing w:line="365" w:lineRule="atLeast"/>
        <w:jc w:val="center"/>
        <w:rPr>
          <w:rFonts w:ascii="宋体" w:hAnsi="宋体"/>
          <w:b/>
          <w:bCs/>
          <w:kern w:val="0"/>
          <w:sz w:val="44"/>
          <w:szCs w:val="36"/>
        </w:rPr>
      </w:pPr>
      <w:r>
        <w:rPr>
          <w:rFonts w:hint="eastAsia" w:ascii="宋体" w:hAnsi="宋体"/>
          <w:b/>
          <w:bCs/>
          <w:kern w:val="0"/>
          <w:sz w:val="36"/>
          <w:szCs w:val="36"/>
        </w:rPr>
        <w:t>投标报价表</w:t>
      </w:r>
      <w:r>
        <w:rPr>
          <w:rFonts w:hint="eastAsia" w:ascii="宋体" w:hAnsi="宋体"/>
          <w:b/>
          <w:bCs/>
          <w:kern w:val="0"/>
          <w:sz w:val="44"/>
          <w:szCs w:val="36"/>
        </w:rPr>
        <w:t xml:space="preserve"> </w:t>
      </w:r>
    </w:p>
    <w:tbl>
      <w:tblPr>
        <w:tblStyle w:val="47"/>
        <w:tblW w:w="8414" w:type="dxa"/>
        <w:tblInd w:w="108" w:type="dxa"/>
        <w:tblLayout w:type="fixed"/>
        <w:tblCellMar>
          <w:top w:w="15" w:type="dxa"/>
          <w:left w:w="15" w:type="dxa"/>
          <w:bottom w:w="15" w:type="dxa"/>
          <w:right w:w="15" w:type="dxa"/>
        </w:tblCellMar>
      </w:tblPr>
      <w:tblGrid>
        <w:gridCol w:w="2889"/>
        <w:gridCol w:w="5525"/>
      </w:tblGrid>
      <w:tr>
        <w:tblPrEx>
          <w:tblCellMar>
            <w:top w:w="15" w:type="dxa"/>
            <w:left w:w="15" w:type="dxa"/>
            <w:bottom w:w="15" w:type="dxa"/>
            <w:right w:w="15" w:type="dxa"/>
          </w:tblCellMar>
        </w:tblPrEx>
        <w:trPr>
          <w:trHeight w:val="1050" w:hRule="atLeast"/>
        </w:trPr>
        <w:tc>
          <w:tcPr>
            <w:tcW w:w="2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jc w:val="center"/>
              <w:rPr>
                <w:rFonts w:ascii="宋体" w:hAnsi="宋体"/>
                <w:kern w:val="0"/>
                <w:sz w:val="28"/>
                <w:szCs w:val="30"/>
              </w:rPr>
            </w:pPr>
            <w:r>
              <w:rPr>
                <w:rFonts w:hint="eastAsia" w:ascii="宋体" w:hAnsi="宋体"/>
                <w:kern w:val="0"/>
                <w:sz w:val="28"/>
                <w:szCs w:val="30"/>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ind w:left="1"/>
              <w:jc w:val="center"/>
              <w:rPr>
                <w:rFonts w:ascii="宋体" w:hAnsi="宋体"/>
                <w:kern w:val="0"/>
                <w:sz w:val="28"/>
                <w:szCs w:val="44"/>
              </w:rPr>
            </w:pPr>
          </w:p>
        </w:tc>
      </w:tr>
      <w:tr>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jc w:val="center"/>
              <w:rPr>
                <w:rFonts w:ascii="宋体" w:hAnsi="宋体"/>
                <w:kern w:val="0"/>
                <w:sz w:val="28"/>
                <w:szCs w:val="30"/>
              </w:rPr>
            </w:pPr>
            <w:r>
              <w:rPr>
                <w:rFonts w:hint="eastAsia" w:ascii="宋体" w:hAnsi="宋体"/>
                <w:kern w:val="0"/>
                <w:sz w:val="28"/>
                <w:szCs w:val="32"/>
              </w:rPr>
              <w:t>供货期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ind w:left="1"/>
              <w:jc w:val="center"/>
              <w:rPr>
                <w:rFonts w:ascii="宋体" w:hAnsi="宋体"/>
                <w:kern w:val="0"/>
                <w:sz w:val="28"/>
                <w:szCs w:val="32"/>
              </w:rPr>
            </w:pPr>
          </w:p>
          <w:p>
            <w:pPr>
              <w:widowControl/>
              <w:snapToGrid w:val="0"/>
              <w:spacing w:line="365" w:lineRule="atLeast"/>
              <w:ind w:left="1"/>
              <w:jc w:val="center"/>
              <w:rPr>
                <w:rFonts w:ascii="宋体" w:hAnsi="宋体"/>
                <w:kern w:val="0"/>
                <w:sz w:val="28"/>
                <w:szCs w:val="32"/>
              </w:rPr>
            </w:pPr>
          </w:p>
        </w:tc>
      </w:tr>
      <w:tr>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jc w:val="center"/>
              <w:rPr>
                <w:rFonts w:ascii="宋体" w:hAnsi="宋体"/>
                <w:kern w:val="0"/>
                <w:sz w:val="28"/>
                <w:szCs w:val="32"/>
              </w:rPr>
            </w:pPr>
            <w:r>
              <w:rPr>
                <w:rFonts w:hint="eastAsia" w:ascii="宋体" w:hAnsi="宋体"/>
                <w:kern w:val="0"/>
                <w:sz w:val="28"/>
                <w:szCs w:val="32"/>
              </w:rPr>
              <w:t>投标有效期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ind w:left="1"/>
              <w:jc w:val="center"/>
              <w:rPr>
                <w:rFonts w:ascii="宋体" w:hAnsi="宋体"/>
                <w:kern w:val="0"/>
                <w:sz w:val="28"/>
                <w:szCs w:val="32"/>
              </w:rPr>
            </w:pPr>
          </w:p>
        </w:tc>
      </w:tr>
      <w:tr>
        <w:tblPrEx>
          <w:tblCellMar>
            <w:top w:w="15" w:type="dxa"/>
            <w:left w:w="15" w:type="dxa"/>
            <w:bottom w:w="15" w:type="dxa"/>
            <w:right w:w="15" w:type="dxa"/>
          </w:tblCellMar>
        </w:tblPrEx>
        <w:trPr>
          <w:trHeight w:val="1108"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jc w:val="center"/>
              <w:rPr>
                <w:rFonts w:ascii="宋体" w:hAnsi="宋体"/>
                <w:kern w:val="0"/>
                <w:sz w:val="28"/>
                <w:szCs w:val="30"/>
              </w:rPr>
            </w:pPr>
            <w:r>
              <w:rPr>
                <w:rFonts w:hint="eastAsia" w:ascii="宋体" w:hAnsi="宋体"/>
                <w:kern w:val="0"/>
                <w:sz w:val="28"/>
                <w:szCs w:val="30"/>
              </w:rPr>
              <w:t>质量标准</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ind w:left="1"/>
              <w:jc w:val="center"/>
              <w:rPr>
                <w:rFonts w:ascii="宋体" w:hAnsi="宋体"/>
                <w:kern w:val="0"/>
                <w:sz w:val="28"/>
                <w:szCs w:val="32"/>
              </w:rPr>
            </w:pPr>
          </w:p>
          <w:p>
            <w:pPr>
              <w:widowControl/>
              <w:snapToGrid w:val="0"/>
              <w:spacing w:line="365" w:lineRule="atLeast"/>
              <w:ind w:left="1"/>
              <w:jc w:val="center"/>
              <w:rPr>
                <w:rFonts w:ascii="宋体" w:hAnsi="宋体"/>
                <w:kern w:val="0"/>
                <w:sz w:val="28"/>
                <w:szCs w:val="32"/>
              </w:rPr>
            </w:pPr>
          </w:p>
        </w:tc>
      </w:tr>
      <w:tr>
        <w:tblPrEx>
          <w:tblCellMar>
            <w:top w:w="15" w:type="dxa"/>
            <w:left w:w="15" w:type="dxa"/>
            <w:bottom w:w="15" w:type="dxa"/>
            <w:right w:w="15" w:type="dxa"/>
          </w:tblCellMar>
        </w:tblPrEx>
        <w:trPr>
          <w:trHeight w:val="1137"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jc w:val="center"/>
              <w:rPr>
                <w:rFonts w:ascii="宋体" w:hAnsi="宋体"/>
                <w:kern w:val="0"/>
                <w:sz w:val="28"/>
                <w:szCs w:val="30"/>
              </w:rPr>
            </w:pPr>
            <w:r>
              <w:rPr>
                <w:rFonts w:hint="eastAsia" w:ascii="宋体" w:hAnsi="宋体"/>
                <w:kern w:val="0"/>
                <w:sz w:val="28"/>
                <w:szCs w:val="30"/>
              </w:rPr>
              <w:t>总投标报价(元)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rPr>
                <w:rFonts w:ascii="宋体" w:hAnsi="宋体"/>
                <w:kern w:val="0"/>
                <w:sz w:val="28"/>
                <w:szCs w:val="32"/>
              </w:rPr>
            </w:pPr>
          </w:p>
          <w:p>
            <w:pPr>
              <w:widowControl/>
              <w:snapToGrid w:val="0"/>
              <w:spacing w:line="365" w:lineRule="atLeast"/>
              <w:rPr>
                <w:rFonts w:ascii="宋体" w:hAnsi="宋体"/>
                <w:kern w:val="0"/>
                <w:sz w:val="28"/>
                <w:szCs w:val="32"/>
              </w:rPr>
            </w:pPr>
            <w:r>
              <w:rPr>
                <w:rFonts w:hint="eastAsia" w:ascii="宋体" w:hAnsi="宋体"/>
                <w:kern w:val="0"/>
                <w:sz w:val="28"/>
                <w:szCs w:val="32"/>
              </w:rPr>
              <w:t>大写：</w:t>
            </w:r>
          </w:p>
          <w:p>
            <w:pPr>
              <w:widowControl/>
              <w:snapToGrid w:val="0"/>
              <w:spacing w:line="365" w:lineRule="atLeast"/>
              <w:rPr>
                <w:rFonts w:ascii="宋体" w:hAnsi="宋体"/>
                <w:kern w:val="0"/>
                <w:sz w:val="28"/>
                <w:szCs w:val="32"/>
              </w:rPr>
            </w:pPr>
          </w:p>
          <w:p>
            <w:pPr>
              <w:widowControl/>
              <w:snapToGrid w:val="0"/>
              <w:spacing w:line="365" w:lineRule="atLeast"/>
              <w:rPr>
                <w:rFonts w:ascii="宋体" w:hAnsi="宋体"/>
                <w:kern w:val="0"/>
                <w:sz w:val="28"/>
                <w:szCs w:val="32"/>
              </w:rPr>
            </w:pPr>
          </w:p>
          <w:p>
            <w:pPr>
              <w:widowControl/>
              <w:snapToGrid w:val="0"/>
              <w:spacing w:line="365" w:lineRule="atLeast"/>
              <w:rPr>
                <w:rFonts w:ascii="宋体" w:hAnsi="宋体"/>
                <w:kern w:val="0"/>
                <w:sz w:val="28"/>
                <w:szCs w:val="32"/>
              </w:rPr>
            </w:pPr>
            <w:r>
              <w:rPr>
                <w:rFonts w:hint="eastAsia" w:ascii="宋体" w:hAnsi="宋体"/>
                <w:kern w:val="0"/>
                <w:sz w:val="28"/>
                <w:szCs w:val="32"/>
              </w:rPr>
              <w:t>小写：</w:t>
            </w:r>
          </w:p>
          <w:p>
            <w:pPr>
              <w:widowControl/>
              <w:snapToGrid w:val="0"/>
              <w:spacing w:line="365" w:lineRule="atLeast"/>
              <w:rPr>
                <w:rFonts w:ascii="宋体" w:hAnsi="宋体"/>
                <w:kern w:val="0"/>
                <w:sz w:val="28"/>
                <w:szCs w:val="32"/>
              </w:rPr>
            </w:pPr>
          </w:p>
        </w:tc>
      </w:tr>
      <w:tr>
        <w:tblPrEx>
          <w:tblCellMar>
            <w:top w:w="15" w:type="dxa"/>
            <w:left w:w="15" w:type="dxa"/>
            <w:bottom w:w="15" w:type="dxa"/>
            <w:right w:w="15" w:type="dxa"/>
          </w:tblCellMar>
        </w:tblPrEx>
        <w:trPr>
          <w:trHeight w:val="1686"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jc w:val="center"/>
              <w:rPr>
                <w:rFonts w:ascii="宋体" w:hAnsi="宋体"/>
                <w:kern w:val="0"/>
                <w:sz w:val="28"/>
                <w:szCs w:val="30"/>
              </w:rPr>
            </w:pPr>
            <w:r>
              <w:rPr>
                <w:rFonts w:hint="eastAsia" w:ascii="宋体" w:hAnsi="宋体"/>
                <w:kern w:val="0"/>
                <w:sz w:val="28"/>
                <w:szCs w:val="30"/>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napToGrid w:val="0"/>
              <w:spacing w:line="365" w:lineRule="atLeast"/>
              <w:rPr>
                <w:rFonts w:ascii="宋体" w:hAnsi="宋体"/>
                <w:kern w:val="0"/>
                <w:sz w:val="28"/>
                <w:szCs w:val="32"/>
              </w:rPr>
            </w:pPr>
          </w:p>
        </w:tc>
      </w:tr>
    </w:tbl>
    <w:p>
      <w:pPr>
        <w:wordWrap w:val="0"/>
        <w:ind w:right="210" w:firstLine="2940" w:firstLineChars="1050"/>
        <w:rPr>
          <w:rFonts w:ascii="宋体" w:hAnsi="宋体"/>
          <w:sz w:val="28"/>
          <w:szCs w:val="30"/>
        </w:rPr>
      </w:pPr>
    </w:p>
    <w:p>
      <w:pPr>
        <w:wordWrap w:val="0"/>
        <w:spacing w:line="600" w:lineRule="auto"/>
        <w:ind w:right="210" w:firstLine="2940" w:firstLineChars="1050"/>
        <w:rPr>
          <w:rFonts w:ascii="宋体" w:hAnsi="宋体"/>
          <w:sz w:val="28"/>
          <w:szCs w:val="30"/>
        </w:rPr>
      </w:pPr>
      <w:r>
        <w:rPr>
          <w:rFonts w:hint="eastAsia" w:ascii="宋体" w:hAnsi="宋体"/>
          <w:sz w:val="28"/>
          <w:szCs w:val="30"/>
        </w:rPr>
        <w:t>供应商名称：（盖单位章）</w:t>
      </w:r>
    </w:p>
    <w:p>
      <w:pPr>
        <w:widowControl/>
        <w:snapToGrid w:val="0"/>
        <w:spacing w:line="600" w:lineRule="auto"/>
        <w:rPr>
          <w:rFonts w:ascii="宋体" w:hAnsi="宋体"/>
          <w:b/>
          <w:bCs/>
          <w:kern w:val="0"/>
          <w:sz w:val="28"/>
          <w:szCs w:val="32"/>
        </w:rPr>
      </w:pPr>
      <w:r>
        <w:rPr>
          <w:rFonts w:hint="eastAsia" w:ascii="宋体" w:hAnsi="宋体"/>
          <w:sz w:val="28"/>
          <w:szCs w:val="30"/>
        </w:rPr>
        <w:t xml:space="preserve">                     法定代表人：（电子签章）</w:t>
      </w:r>
    </w:p>
    <w:p>
      <w:pPr>
        <w:widowControl/>
        <w:snapToGrid w:val="0"/>
        <w:spacing w:line="365" w:lineRule="atLeast"/>
        <w:rPr>
          <w:rFonts w:ascii="宋体" w:hAnsi="宋体"/>
          <w:kern w:val="0"/>
          <w:sz w:val="28"/>
          <w:szCs w:val="30"/>
        </w:rPr>
      </w:pPr>
      <w:r>
        <w:rPr>
          <w:rFonts w:hint="eastAsia" w:ascii="宋体" w:hAnsi="宋体"/>
          <w:kern w:val="0"/>
          <w:sz w:val="28"/>
          <w:szCs w:val="30"/>
        </w:rPr>
        <w:t xml:space="preserve">                                 年    月    日  </w:t>
      </w:r>
    </w:p>
    <w:p>
      <w:pPr>
        <w:widowControl/>
        <w:snapToGrid w:val="0"/>
        <w:spacing w:line="365" w:lineRule="atLeast"/>
        <w:rPr>
          <w:rFonts w:ascii="宋体" w:hAnsi="宋体"/>
          <w:kern w:val="0"/>
          <w:sz w:val="28"/>
          <w:szCs w:val="30"/>
        </w:rPr>
      </w:pPr>
    </w:p>
    <w:p>
      <w:pPr>
        <w:pStyle w:val="3"/>
        <w:spacing w:before="260" w:after="260" w:line="413" w:lineRule="auto"/>
        <w:jc w:val="center"/>
        <w:rPr>
          <w:rFonts w:ascii="Arial" w:eastAsia="黑体" w:cs="Times New Roman"/>
          <w:sz w:val="32"/>
          <w:szCs w:val="32"/>
        </w:rPr>
      </w:pPr>
      <w:bookmarkStart w:id="260" w:name="_Toc490466407"/>
      <w:bookmarkStart w:id="261" w:name="_Toc12604923"/>
      <w:bookmarkStart w:id="262" w:name="_Toc38013577"/>
      <w:r>
        <w:rPr>
          <w:rFonts w:hint="eastAsia" w:ascii="Arial" w:eastAsia="黑体" w:cs="Times New Roman"/>
          <w:sz w:val="32"/>
          <w:szCs w:val="32"/>
        </w:rPr>
        <w:t>六、已标价采购清单</w:t>
      </w:r>
    </w:p>
    <w:tbl>
      <w:tblPr>
        <w:tblStyle w:val="47"/>
        <w:tblW w:w="815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1073"/>
        <w:gridCol w:w="1073"/>
        <w:gridCol w:w="1073"/>
        <w:gridCol w:w="1372"/>
        <w:gridCol w:w="1423"/>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1"/>
                <w:lang w:val="en-US" w:eastAsia="zh-CN" w:bidi="ar"/>
              </w:rPr>
              <w:t>序号</w:t>
            </w:r>
          </w:p>
        </w:tc>
        <w:tc>
          <w:tcPr>
            <w:tcW w:w="10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1"/>
                <w:lang w:val="en-US" w:eastAsia="zh-CN" w:bidi="ar"/>
              </w:rPr>
              <w:t>名称</w:t>
            </w:r>
          </w:p>
        </w:tc>
        <w:tc>
          <w:tcPr>
            <w:tcW w:w="10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1"/>
                <w:lang w:val="en-US" w:eastAsia="zh-CN" w:bidi="ar"/>
              </w:rPr>
              <w:t>单位</w:t>
            </w:r>
          </w:p>
        </w:tc>
        <w:tc>
          <w:tcPr>
            <w:tcW w:w="10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1"/>
                <w:lang w:val="en-US" w:eastAsia="zh-CN" w:bidi="ar"/>
              </w:rPr>
              <w:t>数量</w:t>
            </w:r>
          </w:p>
        </w:tc>
        <w:tc>
          <w:tcPr>
            <w:tcW w:w="13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4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10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72"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73" w:type="dxa"/>
            <w:tcBorders>
              <w:top w:val="nil"/>
              <w:left w:val="single" w:color="000000" w:sz="8" w:space="0"/>
              <w:bottom w:val="single" w:color="auto" w:sz="4"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2" w:type="dxa"/>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3" w:type="dxa"/>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3" w:type="dxa"/>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color w:val="000000"/>
                <w:kern w:val="0"/>
                <w:sz w:val="21"/>
                <w:szCs w:val="21"/>
                <w:u w:val="none"/>
                <w:lang w:val="en-US" w:eastAsia="zh-CN" w:bidi="ar"/>
              </w:rPr>
              <w:t>7</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1"/>
                <w:szCs w:val="21"/>
                <w:u w:val="single"/>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1"/>
                <w:szCs w:val="21"/>
                <w:u w:val="single"/>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15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1"/>
                <w:szCs w:val="21"/>
                <w:u w:val="single"/>
                <w:lang w:val="en-US" w:eastAsia="zh-CN"/>
              </w:rPr>
            </w:pPr>
            <w:r>
              <w:rPr>
                <w:rFonts w:hint="eastAsia" w:ascii="宋体" w:hAnsi="宋体" w:cs="宋体"/>
                <w:i w:val="0"/>
                <w:iCs w:val="0"/>
                <w:color w:val="000000"/>
                <w:sz w:val="21"/>
                <w:szCs w:val="21"/>
                <w:u w:val="none"/>
                <w:lang w:val="en-US" w:eastAsia="zh-CN"/>
              </w:rPr>
              <w:t>合计（元）：</w:t>
            </w:r>
          </w:p>
        </w:tc>
      </w:tr>
    </w:tbl>
    <w:p>
      <w:pPr>
        <w:pStyle w:val="3"/>
        <w:numPr>
          <w:ilvl w:val="0"/>
          <w:numId w:val="0"/>
        </w:numPr>
        <w:spacing w:before="0"/>
        <w:ind w:left="0" w:leftChars="0" w:firstLine="0" w:firstLineChars="0"/>
        <w:jc w:val="left"/>
        <w:rPr>
          <w:rFonts w:hint="eastAsia" w:ascii="宋体" w:hAnsi="宋体" w:eastAsia="宋体" w:cs="宋体"/>
          <w:b w:val="0"/>
          <w:bCs w:val="0"/>
          <w:caps w:val="0"/>
          <w:smallCaps w:val="0"/>
          <w:vanish w:val="0"/>
          <w:sz w:val="21"/>
          <w:szCs w:val="21"/>
          <w:lang w:val="en-US" w:eastAsia="zh-CN" w:bidi="ar-SA"/>
        </w:rPr>
      </w:pPr>
      <w:r>
        <w:rPr>
          <w:rFonts w:hint="eastAsia" w:ascii="Arial" w:eastAsia="黑体" w:cs="Times New Roman"/>
          <w:b w:val="0"/>
          <w:bCs w:val="0"/>
          <w:sz w:val="21"/>
          <w:szCs w:val="21"/>
          <w:lang w:val="en-US" w:eastAsia="zh-CN"/>
        </w:rPr>
        <w:t>备注：</w:t>
      </w:r>
      <w:r>
        <w:rPr>
          <w:rFonts w:hint="eastAsia" w:ascii="宋体" w:hAnsi="宋体" w:eastAsia="宋体" w:cs="宋体"/>
          <w:b w:val="0"/>
          <w:bCs w:val="0"/>
          <w:caps w:val="0"/>
          <w:smallCaps w:val="0"/>
          <w:vanish w:val="0"/>
          <w:sz w:val="21"/>
          <w:szCs w:val="21"/>
          <w:lang w:val="en-US" w:eastAsia="zh-CN" w:bidi="ar-SA"/>
        </w:rPr>
        <w:t>1、供应商根据采购清单自行调整表格；</w:t>
      </w:r>
    </w:p>
    <w:p>
      <w:pPr>
        <w:pStyle w:val="3"/>
        <w:numPr>
          <w:ilvl w:val="0"/>
          <w:numId w:val="0"/>
        </w:numPr>
        <w:spacing w:before="0"/>
        <w:ind w:left="0" w:leftChars="0" w:firstLine="630" w:firstLineChars="300"/>
        <w:jc w:val="left"/>
        <w:rPr>
          <w:rFonts w:hint="eastAsia" w:ascii="宋体" w:hAnsi="宋体" w:eastAsia="宋体" w:cs="宋体"/>
          <w:b w:val="0"/>
          <w:bCs w:val="0"/>
          <w:caps w:val="0"/>
          <w:smallCaps w:val="0"/>
          <w:vanish w:val="0"/>
          <w:sz w:val="21"/>
          <w:szCs w:val="21"/>
          <w:lang w:val="en-US" w:eastAsia="zh-CN" w:bidi="ar-SA"/>
        </w:rPr>
      </w:pPr>
      <w:r>
        <w:rPr>
          <w:rFonts w:hint="eastAsia" w:ascii="宋体" w:hAnsi="宋体" w:eastAsia="宋体" w:cs="宋体"/>
          <w:b w:val="0"/>
          <w:bCs w:val="0"/>
          <w:caps w:val="0"/>
          <w:smallCaps w:val="0"/>
          <w:vanish w:val="0"/>
          <w:sz w:val="21"/>
          <w:szCs w:val="21"/>
          <w:lang w:val="en-US" w:eastAsia="zh-CN" w:bidi="ar-SA"/>
        </w:rPr>
        <w:t>2、本报价明细表合计与报价函、报价函附录中投标报价应一致，若因不一致造成的后果由供应商自行承担；</w:t>
      </w:r>
    </w:p>
    <w:p>
      <w:pPr>
        <w:pStyle w:val="3"/>
        <w:spacing w:before="260" w:after="260" w:line="413" w:lineRule="auto"/>
        <w:jc w:val="both"/>
        <w:rPr>
          <w:rFonts w:hint="eastAsia" w:ascii="Arial" w:eastAsia="黑体" w:cs="Times New Roman"/>
          <w:sz w:val="32"/>
          <w:szCs w:val="32"/>
        </w:rPr>
      </w:pPr>
    </w:p>
    <w:p>
      <w:pPr>
        <w:rPr>
          <w:rFonts w:hint="eastAsia" w:ascii="Arial" w:eastAsia="黑体" w:cs="Times New Roman"/>
          <w:sz w:val="32"/>
          <w:szCs w:val="32"/>
        </w:rPr>
      </w:pPr>
    </w:p>
    <w:p>
      <w:pPr>
        <w:rPr>
          <w:rFonts w:hint="eastAsia" w:ascii="Arial" w:eastAsia="黑体" w:cs="Times New Roman"/>
          <w:sz w:val="32"/>
          <w:szCs w:val="32"/>
        </w:rPr>
      </w:pPr>
    </w:p>
    <w:p>
      <w:pPr>
        <w:rPr>
          <w:rFonts w:hint="eastAsia" w:ascii="Arial" w:eastAsia="黑体" w:cs="Times New Roman"/>
          <w:sz w:val="32"/>
          <w:szCs w:val="32"/>
        </w:rPr>
      </w:pPr>
    </w:p>
    <w:p>
      <w:pPr>
        <w:pStyle w:val="3"/>
        <w:spacing w:before="260" w:after="260" w:line="413" w:lineRule="auto"/>
        <w:jc w:val="center"/>
        <w:rPr>
          <w:rFonts w:hint="eastAsia" w:ascii="Arial" w:eastAsia="黑体" w:cs="Times New Roman"/>
          <w:sz w:val="32"/>
          <w:szCs w:val="32"/>
        </w:rPr>
      </w:pPr>
    </w:p>
    <w:p>
      <w:pPr>
        <w:pStyle w:val="3"/>
        <w:spacing w:before="260" w:after="260" w:line="413" w:lineRule="auto"/>
        <w:jc w:val="both"/>
        <w:rPr>
          <w:rFonts w:hint="eastAsia" w:ascii="Arial" w:eastAsia="黑体" w:cs="Times New Roman"/>
          <w:sz w:val="32"/>
          <w:szCs w:val="32"/>
        </w:rPr>
      </w:pPr>
    </w:p>
    <w:p>
      <w:pPr>
        <w:pStyle w:val="3"/>
        <w:spacing w:before="0" w:after="0" w:line="240" w:lineRule="auto"/>
        <w:jc w:val="both"/>
        <w:rPr>
          <w:rFonts w:hint="eastAsia" w:ascii="Arial" w:eastAsia="黑体" w:cs="Times New Roman"/>
          <w:sz w:val="32"/>
          <w:szCs w:val="32"/>
        </w:rPr>
      </w:pPr>
    </w:p>
    <w:p>
      <w:pPr>
        <w:rPr>
          <w:rFonts w:hint="eastAsia" w:ascii="Arial" w:eastAsia="黑体" w:cs="Times New Roman"/>
          <w:sz w:val="32"/>
          <w:szCs w:val="32"/>
        </w:rPr>
      </w:pPr>
    </w:p>
    <w:p>
      <w:pPr>
        <w:pStyle w:val="3"/>
        <w:spacing w:before="260" w:after="260" w:line="413" w:lineRule="auto"/>
        <w:jc w:val="center"/>
        <w:rPr>
          <w:rFonts w:ascii="Arial" w:eastAsia="黑体" w:cs="Times New Roman"/>
          <w:sz w:val="32"/>
          <w:szCs w:val="32"/>
        </w:rPr>
      </w:pPr>
      <w:r>
        <w:rPr>
          <w:rFonts w:hint="eastAsia" w:ascii="Arial" w:eastAsia="黑体" w:cs="Times New Roman"/>
          <w:sz w:val="32"/>
          <w:szCs w:val="32"/>
        </w:rPr>
        <w:t>七、技术规格偏离表</w:t>
      </w:r>
    </w:p>
    <w:tbl>
      <w:tblPr>
        <w:tblStyle w:val="4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65"/>
        <w:gridCol w:w="1865"/>
        <w:gridCol w:w="1865"/>
        <w:gridCol w:w="1130"/>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240" w:lineRule="auto"/>
              <w:jc w:val="center"/>
              <w:rPr>
                <w:rFonts w:ascii="宋体" w:hAnsi="宋体" w:cs="宋体"/>
                <w:sz w:val="24"/>
              </w:rPr>
            </w:pPr>
            <w:r>
              <w:rPr>
                <w:rFonts w:hint="eastAsia" w:ascii="宋体" w:hAnsi="宋体" w:cs="微软雅黑"/>
                <w:sz w:val="24"/>
              </w:rPr>
              <w:t>序号</w:t>
            </w:r>
          </w:p>
        </w:tc>
        <w:tc>
          <w:tcPr>
            <w:tcW w:w="1865" w:type="dxa"/>
            <w:tcBorders>
              <w:top w:val="single" w:color="auto" w:sz="4" w:space="0"/>
              <w:left w:val="nil"/>
              <w:bottom w:val="single" w:color="auto" w:sz="4" w:space="0"/>
              <w:right w:val="single" w:color="auto" w:sz="4" w:space="0"/>
            </w:tcBorders>
            <w:vAlign w:val="center"/>
          </w:tcPr>
          <w:p>
            <w:pPr>
              <w:spacing w:beforeLines="50" w:afterLines="50" w:line="240" w:lineRule="auto"/>
              <w:jc w:val="center"/>
              <w:rPr>
                <w:rFonts w:ascii="宋体" w:hAnsi="宋体" w:cs="宋体"/>
                <w:sz w:val="24"/>
              </w:rPr>
            </w:pPr>
            <w:r>
              <w:rPr>
                <w:rFonts w:hint="eastAsia" w:ascii="宋体" w:hAnsi="宋体" w:cs="微软雅黑"/>
                <w:sz w:val="24"/>
              </w:rPr>
              <w:t>货物名称</w:t>
            </w:r>
          </w:p>
        </w:tc>
        <w:tc>
          <w:tcPr>
            <w:tcW w:w="1865" w:type="dxa"/>
            <w:tcBorders>
              <w:top w:val="single" w:color="auto" w:sz="4" w:space="0"/>
              <w:left w:val="nil"/>
              <w:bottom w:val="single" w:color="auto" w:sz="4" w:space="0"/>
              <w:right w:val="single" w:color="auto" w:sz="4" w:space="0"/>
            </w:tcBorders>
            <w:vAlign w:val="center"/>
          </w:tcPr>
          <w:p>
            <w:pPr>
              <w:spacing w:beforeLines="50" w:afterLines="50" w:line="240" w:lineRule="auto"/>
              <w:jc w:val="center"/>
              <w:rPr>
                <w:rFonts w:ascii="宋体" w:hAnsi="宋体" w:cs="宋体"/>
                <w:sz w:val="24"/>
              </w:rPr>
            </w:pPr>
            <w:r>
              <w:rPr>
                <w:rFonts w:hint="eastAsia" w:ascii="宋体" w:hAnsi="宋体" w:cs="微软雅黑"/>
                <w:sz w:val="24"/>
              </w:rPr>
              <w:t>招标规格</w:t>
            </w:r>
          </w:p>
        </w:tc>
        <w:tc>
          <w:tcPr>
            <w:tcW w:w="1865" w:type="dxa"/>
            <w:tcBorders>
              <w:top w:val="single" w:color="auto" w:sz="4" w:space="0"/>
              <w:left w:val="nil"/>
              <w:bottom w:val="single" w:color="auto" w:sz="4" w:space="0"/>
              <w:right w:val="single" w:color="auto" w:sz="4" w:space="0"/>
            </w:tcBorders>
            <w:vAlign w:val="center"/>
          </w:tcPr>
          <w:p>
            <w:pPr>
              <w:spacing w:beforeLines="50" w:afterLines="50" w:line="240" w:lineRule="auto"/>
              <w:jc w:val="center"/>
              <w:rPr>
                <w:rFonts w:ascii="宋体" w:hAnsi="宋体" w:cs="宋体"/>
                <w:sz w:val="24"/>
              </w:rPr>
            </w:pPr>
            <w:r>
              <w:rPr>
                <w:rFonts w:hint="eastAsia" w:ascii="宋体" w:hAnsi="宋体" w:cs="微软雅黑"/>
                <w:sz w:val="24"/>
              </w:rPr>
              <w:t>投标规格</w:t>
            </w:r>
          </w:p>
        </w:tc>
        <w:tc>
          <w:tcPr>
            <w:tcW w:w="1130" w:type="dxa"/>
            <w:tcBorders>
              <w:top w:val="single" w:color="auto" w:sz="4" w:space="0"/>
              <w:left w:val="nil"/>
              <w:bottom w:val="single" w:color="auto" w:sz="4" w:space="0"/>
              <w:right w:val="single" w:color="auto" w:sz="4" w:space="0"/>
            </w:tcBorders>
            <w:vAlign w:val="center"/>
          </w:tcPr>
          <w:p>
            <w:pPr>
              <w:spacing w:beforeLines="50" w:afterLines="50" w:line="240" w:lineRule="auto"/>
              <w:jc w:val="center"/>
              <w:rPr>
                <w:rFonts w:ascii="宋体" w:hAnsi="宋体" w:cs="宋体"/>
                <w:sz w:val="24"/>
              </w:rPr>
            </w:pPr>
            <w:r>
              <w:rPr>
                <w:rFonts w:hint="eastAsia" w:ascii="宋体" w:hAnsi="宋体" w:cs="微软雅黑"/>
                <w:sz w:val="24"/>
              </w:rPr>
              <w:t>偏离</w:t>
            </w:r>
          </w:p>
          <w:p>
            <w:pPr>
              <w:spacing w:beforeLines="50" w:afterLines="50" w:line="240" w:lineRule="auto"/>
              <w:jc w:val="center"/>
              <w:rPr>
                <w:rFonts w:ascii="宋体" w:hAnsi="宋体" w:cs="宋体"/>
                <w:sz w:val="24"/>
              </w:rPr>
            </w:pPr>
            <w:r>
              <w:rPr>
                <w:rFonts w:hint="eastAsia" w:ascii="宋体" w:hAnsi="宋体" w:cs="宋体"/>
                <w:sz w:val="24"/>
              </w:rPr>
              <w:t>(</w:t>
            </w:r>
            <w:r>
              <w:rPr>
                <w:rFonts w:hint="eastAsia" w:ascii="宋体" w:hAnsi="宋体" w:cs="微软雅黑"/>
                <w:sz w:val="24"/>
              </w:rPr>
              <w:t>正</w:t>
            </w:r>
            <w:r>
              <w:rPr>
                <w:rFonts w:hint="eastAsia" w:ascii="宋体" w:hAnsi="宋体" w:cs="宋体"/>
                <w:sz w:val="24"/>
              </w:rPr>
              <w:t>/</w:t>
            </w:r>
            <w:r>
              <w:rPr>
                <w:rFonts w:hint="eastAsia" w:ascii="宋体" w:hAnsi="宋体" w:cs="微软雅黑"/>
                <w:sz w:val="24"/>
              </w:rPr>
              <w:t>负</w:t>
            </w:r>
            <w:r>
              <w:rPr>
                <w:rFonts w:hint="eastAsia" w:ascii="宋体" w:hAnsi="宋体" w:cs="宋体"/>
                <w:sz w:val="24"/>
              </w:rPr>
              <w:t>/</w:t>
            </w:r>
            <w:r>
              <w:rPr>
                <w:rFonts w:hint="eastAsia" w:ascii="宋体" w:hAnsi="宋体" w:cs="微软雅黑"/>
                <w:sz w:val="24"/>
              </w:rPr>
              <w:t>无</w:t>
            </w:r>
            <w:r>
              <w:rPr>
                <w:rFonts w:hint="eastAsia" w:ascii="宋体" w:hAnsi="宋体" w:cs="宋体"/>
                <w:sz w:val="24"/>
              </w:rPr>
              <w:t>)</w:t>
            </w:r>
          </w:p>
        </w:tc>
        <w:tc>
          <w:tcPr>
            <w:tcW w:w="815" w:type="dxa"/>
            <w:tcBorders>
              <w:top w:val="single" w:color="auto" w:sz="4" w:space="0"/>
              <w:left w:val="nil"/>
              <w:bottom w:val="single" w:color="auto" w:sz="4" w:space="0"/>
              <w:right w:val="single" w:color="auto" w:sz="4" w:space="0"/>
            </w:tcBorders>
            <w:vAlign w:val="center"/>
          </w:tcPr>
          <w:p>
            <w:pPr>
              <w:spacing w:beforeLines="50" w:afterLines="50" w:line="240" w:lineRule="auto"/>
              <w:jc w:val="center"/>
              <w:rPr>
                <w:rFonts w:ascii="宋体" w:hAnsi="宋体" w:cs="宋体"/>
                <w:sz w:val="24"/>
              </w:rPr>
            </w:pPr>
            <w:r>
              <w:rPr>
                <w:rFonts w:hint="eastAsia" w:ascii="宋体" w:hAnsi="宋体" w:cs="微软雅黑"/>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r>
              <w:rPr>
                <w:rFonts w:hint="eastAsia" w:ascii="宋体" w:hAnsi="宋体" w:cs="宋体"/>
                <w:sz w:val="24"/>
              </w:rPr>
              <w:t>1</w:t>
            </w: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r>
              <w:rPr>
                <w:rFonts w:hint="eastAsia" w:ascii="宋体" w:hAnsi="宋体" w:cs="宋体"/>
                <w:sz w:val="24"/>
              </w:rPr>
              <w:t>2</w:t>
            </w: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r>
              <w:rPr>
                <w:rFonts w:hint="eastAsia" w:ascii="宋体" w:hAnsi="宋体" w:cs="宋体"/>
                <w:sz w:val="24"/>
              </w:rPr>
              <w:t>3</w:t>
            </w: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r>
              <w:rPr>
                <w:rFonts w:hint="eastAsia" w:ascii="宋体" w:hAnsi="宋体" w:cs="微软雅黑"/>
                <w:sz w:val="24"/>
              </w:rPr>
              <w:t>…</w:t>
            </w: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rPr>
          <w:rFonts w:ascii="宋体" w:hAnsi="宋体" w:cs="宋体"/>
          <w:b/>
        </w:rPr>
      </w:pPr>
      <w:r>
        <w:rPr>
          <w:rFonts w:hint="eastAsia" w:ascii="宋体" w:hAnsi="宋体" w:cs="宋体"/>
          <w:b/>
        </w:rPr>
        <w:t xml:space="preserve"> </w:t>
      </w:r>
    </w:p>
    <w:p>
      <w:pPr>
        <w:spacing w:line="360" w:lineRule="auto"/>
        <w:rPr>
          <w:rFonts w:ascii="宋体" w:hAnsi="宋体" w:cs="宋体"/>
          <w:b/>
        </w:rPr>
      </w:pPr>
      <w:r>
        <w:rPr>
          <w:rFonts w:hint="eastAsia" w:ascii="宋体" w:hAnsi="宋体" w:cs="微软雅黑"/>
          <w:b/>
        </w:rPr>
        <w:t>供应商：（盖单位章）</w:t>
      </w:r>
    </w:p>
    <w:p>
      <w:pPr>
        <w:spacing w:line="360" w:lineRule="auto"/>
        <w:rPr>
          <w:rFonts w:ascii="宋体" w:hAnsi="宋体" w:cs="宋体"/>
          <w:b/>
        </w:rPr>
      </w:pPr>
      <w:r>
        <w:rPr>
          <w:rFonts w:hint="eastAsia" w:ascii="宋体" w:hAnsi="宋体" w:cs="微软雅黑"/>
          <w:b/>
        </w:rPr>
        <w:t>法定代表人：（电子签章）</w:t>
      </w:r>
    </w:p>
    <w:p>
      <w:pPr>
        <w:spacing w:line="360" w:lineRule="auto"/>
        <w:rPr>
          <w:rFonts w:ascii="宋体" w:hAnsi="宋体" w:cs="宋体"/>
          <w:b/>
        </w:rPr>
      </w:pPr>
      <w:r>
        <w:rPr>
          <w:rFonts w:hint="eastAsia" w:ascii="宋体" w:hAnsi="宋体" w:cs="微软雅黑"/>
          <w:b/>
        </w:rPr>
        <w:t>注：供应商应对照招标文件技术规格要求，反映所提供货物和服务对招标文件的技术规格要求的全部正</w:t>
      </w:r>
      <w:r>
        <w:rPr>
          <w:rFonts w:hint="eastAsia" w:ascii="宋体" w:hAnsi="宋体" w:cs="宋体"/>
          <w:b/>
        </w:rPr>
        <w:t>/</w:t>
      </w:r>
      <w:r>
        <w:rPr>
          <w:rFonts w:hint="eastAsia" w:ascii="宋体" w:hAnsi="宋体" w:cs="微软雅黑"/>
          <w:b/>
        </w:rPr>
        <w:t>负偏离（优于招标文件要求的为正偏离，低于招标文件要求的为负偏离，与招标文件要求一致的为无偏离）情况。在本表中做出偏离说明的项目，供应商必须提供所投设备的具体参数值，并在技术标中提供详细资料。</w:t>
      </w:r>
    </w:p>
    <w:p>
      <w:pPr>
        <w:pStyle w:val="3"/>
        <w:spacing w:before="260" w:after="260" w:line="413" w:lineRule="auto"/>
        <w:jc w:val="center"/>
        <w:rPr>
          <w:rFonts w:ascii="Arial" w:eastAsia="黑体" w:cs="Times New Roman"/>
          <w:sz w:val="32"/>
          <w:szCs w:val="32"/>
        </w:rPr>
      </w:pPr>
      <w:r>
        <w:rPr>
          <w:rFonts w:hint="eastAsia" w:ascii="Arial" w:eastAsia="黑体" w:cs="Times New Roman"/>
          <w:sz w:val="32"/>
          <w:szCs w:val="32"/>
        </w:rPr>
        <w:t>八、技术资料</w:t>
      </w:r>
      <w:bookmarkEnd w:id="260"/>
      <w:bookmarkEnd w:id="261"/>
      <w:bookmarkEnd w:id="262"/>
    </w:p>
    <w:p>
      <w:pPr>
        <w:spacing w:line="360" w:lineRule="auto"/>
        <w:rPr>
          <w:sz w:val="24"/>
        </w:rPr>
      </w:pPr>
    </w:p>
    <w:p>
      <w:pPr>
        <w:spacing w:line="360" w:lineRule="auto"/>
        <w:ind w:firstLine="560" w:firstLineChars="200"/>
        <w:jc w:val="left"/>
        <w:rPr>
          <w:sz w:val="28"/>
          <w:szCs w:val="28"/>
        </w:rPr>
      </w:pPr>
      <w:r>
        <w:rPr>
          <w:rFonts w:hint="eastAsia"/>
          <w:sz w:val="28"/>
          <w:szCs w:val="28"/>
        </w:rPr>
        <w:t>投标人根据本项目实际情况编制供货、安装方案、服务承诺等技术资料。</w:t>
      </w:r>
    </w:p>
    <w:p>
      <w:pPr>
        <w:spacing w:line="360" w:lineRule="auto"/>
        <w:rPr>
          <w:sz w:val="24"/>
        </w:rPr>
      </w:pPr>
    </w:p>
    <w:p>
      <w:pPr>
        <w:pStyle w:val="3"/>
        <w:jc w:val="center"/>
        <w:rPr>
          <w:color w:val="000000"/>
        </w:rPr>
      </w:pPr>
    </w:p>
    <w:p>
      <w:pPr>
        <w:rPr>
          <w:color w:val="000000"/>
          <w:sz w:val="28"/>
        </w:rPr>
      </w:pPr>
    </w:p>
    <w:p>
      <w:pPr>
        <w:spacing w:beforeLines="100" w:afterLines="50" w:line="480" w:lineRule="exact"/>
        <w:textAlignment w:val="center"/>
        <w:rPr>
          <w:rFonts w:ascii="宋体" w:hAnsi="宋体" w:cs="宋体"/>
          <w:sz w:val="24"/>
          <w:szCs w:val="24"/>
        </w:rPr>
      </w:pPr>
    </w:p>
    <w:p>
      <w:pPr>
        <w:spacing w:beforeLines="100" w:afterLines="50" w:line="480" w:lineRule="exact"/>
        <w:textAlignment w:val="center"/>
        <w:rPr>
          <w:rFonts w:ascii="宋体" w:hAnsi="宋体" w:cs="宋体"/>
          <w:sz w:val="24"/>
          <w:szCs w:val="24"/>
        </w:rPr>
      </w:pPr>
    </w:p>
    <w:p>
      <w:pPr>
        <w:spacing w:beforeLines="100" w:afterLines="50" w:line="480" w:lineRule="exact"/>
        <w:textAlignment w:val="center"/>
        <w:rPr>
          <w:rFonts w:ascii="宋体" w:hAnsi="宋体" w:cs="宋体"/>
          <w:sz w:val="24"/>
          <w:szCs w:val="24"/>
        </w:rPr>
      </w:pPr>
    </w:p>
    <w:p>
      <w:pPr>
        <w:spacing w:beforeLines="100" w:afterLines="50" w:line="480" w:lineRule="exact"/>
        <w:textAlignment w:val="center"/>
        <w:rPr>
          <w:rFonts w:ascii="宋体" w:hAnsi="宋体" w:cs="宋体"/>
          <w:sz w:val="24"/>
          <w:szCs w:val="24"/>
        </w:rPr>
      </w:pPr>
    </w:p>
    <w:p>
      <w:pPr>
        <w:spacing w:beforeLines="100" w:afterLines="50" w:line="480" w:lineRule="exact"/>
        <w:textAlignment w:val="center"/>
        <w:rPr>
          <w:rFonts w:ascii="宋体" w:hAnsi="宋体" w:cs="宋体"/>
          <w:sz w:val="24"/>
          <w:szCs w:val="24"/>
        </w:rPr>
      </w:pPr>
    </w:p>
    <w:p>
      <w:pPr>
        <w:spacing w:beforeLines="100" w:afterLines="50" w:line="480" w:lineRule="exact"/>
        <w:textAlignment w:val="center"/>
        <w:rPr>
          <w:rFonts w:ascii="宋体" w:hAnsi="宋体" w:cs="宋体"/>
          <w:sz w:val="24"/>
          <w:szCs w:val="24"/>
        </w:rPr>
      </w:pPr>
    </w:p>
    <w:p>
      <w:pPr>
        <w:spacing w:beforeLines="100" w:afterLines="50" w:line="480" w:lineRule="exact"/>
        <w:textAlignment w:val="center"/>
        <w:rPr>
          <w:rFonts w:ascii="宋体" w:hAnsi="宋体" w:cs="宋体"/>
          <w:sz w:val="24"/>
          <w:szCs w:val="24"/>
        </w:rPr>
      </w:pPr>
    </w:p>
    <w:p>
      <w:pPr>
        <w:spacing w:beforeLines="100" w:afterLines="50" w:line="480" w:lineRule="exact"/>
        <w:textAlignment w:val="center"/>
        <w:rPr>
          <w:rFonts w:ascii="宋体" w:hAnsi="宋体" w:cs="宋体"/>
          <w:sz w:val="24"/>
          <w:szCs w:val="24"/>
        </w:rPr>
      </w:pPr>
    </w:p>
    <w:p>
      <w:pPr>
        <w:spacing w:beforeLines="100" w:afterLines="50" w:line="480" w:lineRule="exact"/>
        <w:textAlignment w:val="center"/>
        <w:rPr>
          <w:rFonts w:ascii="宋体" w:hAnsi="宋体" w:cs="宋体"/>
          <w:b/>
          <w:bCs/>
          <w:sz w:val="24"/>
          <w:szCs w:val="24"/>
        </w:rPr>
      </w:pPr>
    </w:p>
    <w:p>
      <w:pPr>
        <w:spacing w:beforeLines="100" w:afterLines="50" w:line="480" w:lineRule="exact"/>
        <w:textAlignment w:val="center"/>
        <w:rPr>
          <w:rFonts w:ascii="宋体" w:hAnsi="宋体" w:cs="宋体"/>
          <w:b/>
          <w:bCs/>
          <w:sz w:val="24"/>
          <w:szCs w:val="24"/>
        </w:rPr>
      </w:pPr>
    </w:p>
    <w:p>
      <w:pPr>
        <w:spacing w:beforeLines="100" w:afterLines="50" w:line="480" w:lineRule="exact"/>
        <w:textAlignment w:val="center"/>
        <w:rPr>
          <w:rFonts w:ascii="宋体" w:hAnsi="宋体" w:cs="宋体"/>
          <w:b/>
          <w:bCs/>
          <w:sz w:val="24"/>
          <w:szCs w:val="24"/>
        </w:rPr>
      </w:pPr>
    </w:p>
    <w:p>
      <w:pPr>
        <w:spacing w:beforeLines="100" w:afterLines="50" w:line="480" w:lineRule="exact"/>
        <w:textAlignment w:val="center"/>
        <w:rPr>
          <w:rFonts w:ascii="宋体" w:hAnsi="宋体" w:cs="宋体"/>
          <w:sz w:val="24"/>
          <w:szCs w:val="24"/>
        </w:rPr>
      </w:pPr>
    </w:p>
    <w:p>
      <w:pPr>
        <w:pStyle w:val="3"/>
        <w:jc w:val="center"/>
        <w:rPr>
          <w:rFonts w:ascii="Arial" w:eastAsia="黑体" w:cs="Times New Roman"/>
          <w:sz w:val="32"/>
          <w:szCs w:val="32"/>
        </w:rPr>
      </w:pPr>
      <w:bookmarkStart w:id="263" w:name="_Toc38013579"/>
      <w:r>
        <w:rPr>
          <w:rFonts w:hint="eastAsia" w:ascii="Arial" w:eastAsia="黑体" w:cs="Times New Roman"/>
          <w:sz w:val="32"/>
          <w:szCs w:val="32"/>
        </w:rPr>
        <w:t>九、供应商认为需要提供的其他材料</w:t>
      </w:r>
      <w:bookmarkEnd w:id="263"/>
    </w:p>
    <w:p>
      <w:pPr>
        <w:spacing w:line="500" w:lineRule="exact"/>
        <w:rPr>
          <w:rFonts w:ascii="宋体" w:hAnsi="宋体" w:cs="宋体"/>
          <w:sz w:val="32"/>
          <w:szCs w:val="32"/>
        </w:rPr>
      </w:pPr>
    </w:p>
    <w:p>
      <w:pPr>
        <w:spacing w:line="500" w:lineRule="exact"/>
        <w:rPr>
          <w:sz w:val="28"/>
          <w:szCs w:val="28"/>
        </w:rPr>
      </w:pPr>
      <w:r>
        <w:rPr>
          <w:rFonts w:hint="eastAsia"/>
          <w:sz w:val="28"/>
          <w:szCs w:val="28"/>
        </w:rPr>
        <w:t>1、投标文件须包含本招标文件投标人资质要求的各项资料；</w:t>
      </w:r>
    </w:p>
    <w:p>
      <w:pPr>
        <w:spacing w:line="500" w:lineRule="exact"/>
        <w:rPr>
          <w:sz w:val="28"/>
          <w:szCs w:val="28"/>
        </w:rPr>
      </w:pPr>
      <w:r>
        <w:rPr>
          <w:rFonts w:hint="eastAsia"/>
          <w:sz w:val="28"/>
          <w:szCs w:val="28"/>
        </w:rPr>
        <w:t>2、招标文件要求及投标人认为有利于本次投标的其他资料。</w:t>
      </w:r>
    </w:p>
    <w:p>
      <w:pPr>
        <w:spacing w:line="480" w:lineRule="exact"/>
        <w:textAlignment w:val="center"/>
        <w:rPr>
          <w:rFonts w:ascii="宋体" w:hAnsi="宋体" w:cs="宋体"/>
          <w:sz w:val="28"/>
          <w:szCs w:val="28"/>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hint="eastAsia" w:ascii="Calibri" w:hAnsi="Calibri" w:eastAsia="仿宋_GB2312"/>
          <w:spacing w:val="6"/>
          <w:sz w:val="30"/>
          <w:szCs w:val="30"/>
        </w:rPr>
      </w:pPr>
    </w:p>
    <w:p>
      <w:pPr>
        <w:spacing w:line="588" w:lineRule="exact"/>
        <w:rPr>
          <w:rFonts w:ascii="Calibri" w:hAnsi="Calibri" w:eastAsia="仿宋_GB2312"/>
          <w:spacing w:val="6"/>
          <w:sz w:val="30"/>
          <w:szCs w:val="30"/>
        </w:rPr>
      </w:pPr>
      <w:r>
        <w:rPr>
          <w:rFonts w:hint="eastAsia" w:ascii="Calibri" w:hAnsi="Calibri" w:eastAsia="仿宋_GB2312"/>
          <w:spacing w:val="6"/>
          <w:sz w:val="30"/>
          <w:szCs w:val="30"/>
        </w:rPr>
        <w:t>附件一</w:t>
      </w:r>
    </w:p>
    <w:p>
      <w:pPr>
        <w:numPr>
          <w:ilvl w:val="1"/>
          <w:numId w:val="0"/>
        </w:numPr>
        <w:wordWrap w:val="0"/>
        <w:topLinePunct/>
        <w:spacing w:line="360" w:lineRule="auto"/>
        <w:ind w:firstLine="482" w:firstLineChars="200"/>
        <w:jc w:val="center"/>
        <w:outlineLvl w:val="1"/>
        <w:rPr>
          <w:rFonts w:ascii="宋体" w:hAnsi="宋体" w:cs="宋体"/>
          <w:b/>
          <w:bCs/>
          <w:sz w:val="24"/>
          <w:szCs w:val="24"/>
          <w:lang w:val="zh-CN"/>
        </w:rPr>
      </w:pPr>
      <w:r>
        <w:rPr>
          <w:rFonts w:hint="eastAsia" w:ascii="宋体" w:hAnsi="宋体" w:cs="宋体"/>
          <w:b/>
          <w:bCs/>
          <w:sz w:val="24"/>
          <w:szCs w:val="24"/>
          <w:lang w:val="zh-CN"/>
        </w:rPr>
        <w:t>中小企业声明函</w:t>
      </w:r>
    </w:p>
    <w:p>
      <w:pPr>
        <w:spacing w:line="400" w:lineRule="exact"/>
        <w:ind w:firstLine="410" w:firstLineChars="200"/>
        <w:jc w:val="center"/>
        <w:rPr>
          <w:rFonts w:ascii="宋体" w:hAnsi="宋体" w:eastAsiaTheme="minorEastAsia" w:cstheme="minorBidi"/>
          <w:b/>
          <w:w w:val="66"/>
          <w:sz w:val="31"/>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 xml:space="preserve">                   </w:t>
      </w:r>
      <w:r>
        <w:rPr>
          <w:rFonts w:hint="eastAsia" w:ascii="宋体" w:hAnsi="宋体" w:cs="宋体"/>
          <w:sz w:val="24"/>
          <w:szCs w:val="24"/>
        </w:rPr>
        <w:t>（单位名称）的</w:t>
      </w:r>
      <w:r>
        <w:rPr>
          <w:rFonts w:hint="eastAsia" w:ascii="宋体" w:hAnsi="宋体" w:cs="宋体"/>
          <w:sz w:val="24"/>
          <w:szCs w:val="24"/>
          <w:u w:val="single"/>
        </w:rPr>
        <w:t xml:space="preserve">   （项目名称）  </w:t>
      </w:r>
      <w:r>
        <w:rPr>
          <w:rFonts w:hint="eastAsia" w:ascii="宋体" w:hAnsi="宋体" w:cs="宋体"/>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pPr>
        <w:numPr>
          <w:ilvl w:val="0"/>
          <w:numId w:val="19"/>
        </w:numP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其他未列明</w:t>
      </w:r>
      <w:r>
        <w:rPr>
          <w:rFonts w:hint="eastAsia" w:ascii="宋体" w:hAnsi="宋体" w:cs="宋体"/>
          <w:sz w:val="24"/>
          <w:szCs w:val="24"/>
          <w:u w:val="single"/>
        </w:rPr>
        <w:t xml:space="preserve"> </w:t>
      </w:r>
      <w:r>
        <w:rPr>
          <w:rFonts w:hint="eastAsia" w:ascii="宋体" w:hAnsi="宋体" w:cs="宋体"/>
          <w:sz w:val="24"/>
          <w:szCs w:val="24"/>
        </w:rPr>
        <w:t>行业；承建（承接）企业为</w:t>
      </w:r>
      <w:r>
        <w:rPr>
          <w:rFonts w:hint="eastAsia" w:ascii="宋体" w:hAnsi="宋体" w:cs="宋体"/>
          <w:sz w:val="24"/>
          <w:szCs w:val="24"/>
          <w:u w:val="single"/>
        </w:rPr>
        <w:t xml:space="preserve">            </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万元，属于（中型企业、小型企业、微型企业）；</w:t>
      </w:r>
    </w:p>
    <w:p>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pPr>
        <w:spacing w:after="120"/>
        <w:ind w:firstLine="480" w:firstLineChars="200"/>
        <w:rPr>
          <w:rFonts w:ascii="Calibri" w:hAnsi="Calibri"/>
          <w:sz w:val="24"/>
          <w:szCs w:val="24"/>
        </w:rPr>
      </w:pPr>
    </w:p>
    <w:p>
      <w:pPr>
        <w:spacing w:line="360" w:lineRule="auto"/>
        <w:ind w:firstLine="480" w:firstLineChars="200"/>
        <w:jc w:val="right"/>
        <w:rPr>
          <w:rFonts w:ascii="宋体" w:hAnsi="宋体" w:cs="宋体"/>
          <w:sz w:val="24"/>
          <w:szCs w:val="24"/>
        </w:rPr>
      </w:pPr>
    </w:p>
    <w:p>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企业名称（盖章）： </w:t>
      </w:r>
    </w:p>
    <w:p>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日 期： </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注：从业人员、营业收入、资产总额填报上一年度数据，无上一年度数据的新成立企业可不填报。</w:t>
      </w:r>
    </w:p>
    <w:p>
      <w:pPr>
        <w:spacing w:after="120"/>
        <w:ind w:firstLine="420" w:firstLineChars="200"/>
        <w:rPr>
          <w:rFonts w:ascii="Calibri" w:hAnsi="Calibri"/>
        </w:rPr>
      </w:pPr>
    </w:p>
    <w:p>
      <w:pPr>
        <w:widowControl/>
        <w:spacing w:line="340" w:lineRule="exact"/>
        <w:ind w:firstLine="482" w:firstLineChars="200"/>
        <w:rPr>
          <w:rFonts w:ascii="宋体" w:hAnsi="宋体" w:cs="宋体"/>
          <w:b/>
          <w:sz w:val="24"/>
          <w:szCs w:val="24"/>
        </w:rPr>
      </w:pPr>
      <w:r>
        <w:rPr>
          <w:rFonts w:hint="eastAsia" w:ascii="宋体" w:hAnsi="宋体" w:cs="宋体"/>
          <w:b/>
          <w:sz w:val="24"/>
          <w:szCs w:val="24"/>
        </w:rPr>
        <w:t>（提醒：本项目对应的中小企业划分标准所属行业为：</w:t>
      </w:r>
      <w:r>
        <w:rPr>
          <w:rFonts w:hint="eastAsia" w:ascii="宋体" w:hAnsi="宋体" w:eastAsia="宋体" w:cs="宋体"/>
          <w:b/>
          <w:sz w:val="24"/>
          <w:szCs w:val="24"/>
          <w:lang w:val="en-US" w:eastAsia="zh-CN"/>
        </w:rPr>
        <w:t>其他未列明</w:t>
      </w:r>
      <w:r>
        <w:rPr>
          <w:rFonts w:hint="eastAsia" w:ascii="宋体" w:hAnsi="宋体" w:eastAsia="宋体" w:cs="宋体"/>
          <w:b/>
          <w:sz w:val="24"/>
          <w:szCs w:val="24"/>
        </w:rPr>
        <w:t>行业</w:t>
      </w:r>
      <w:r>
        <w:rPr>
          <w:rFonts w:hint="eastAsia" w:ascii="宋体" w:hAnsi="宋体" w:cs="宋体"/>
          <w:b/>
          <w:sz w:val="24"/>
          <w:szCs w:val="24"/>
        </w:rPr>
        <w:t>）。</w:t>
      </w:r>
    </w:p>
    <w:p>
      <w:pPr>
        <w:spacing w:after="120"/>
        <w:ind w:firstLine="482" w:firstLineChars="200"/>
        <w:rPr>
          <w:rFonts w:ascii="宋体" w:hAnsi="宋体" w:cs="宋体"/>
          <w:b/>
          <w:sz w:val="24"/>
          <w:szCs w:val="24"/>
        </w:rPr>
      </w:pPr>
    </w:p>
    <w:p>
      <w:pPr>
        <w:ind w:firstLine="482" w:firstLineChars="200"/>
        <w:rPr>
          <w:rFonts w:ascii="宋体" w:hAnsi="宋体" w:cs="宋体"/>
          <w:b/>
          <w:sz w:val="24"/>
          <w:szCs w:val="24"/>
        </w:rPr>
      </w:pPr>
    </w:p>
    <w:p>
      <w:pPr>
        <w:spacing w:after="120"/>
        <w:ind w:firstLine="420" w:firstLineChars="200"/>
        <w:rPr>
          <w:rFonts w:ascii="Calibri" w:hAnsi="Calibri"/>
        </w:rPr>
      </w:pPr>
    </w:p>
    <w:p>
      <w:pPr>
        <w:spacing w:after="120"/>
        <w:ind w:firstLine="420" w:firstLineChars="200"/>
        <w:rPr>
          <w:rFonts w:ascii="Calibri" w:hAnsi="Calibri"/>
        </w:rPr>
      </w:pPr>
    </w:p>
    <w:p>
      <w:pPr>
        <w:numPr>
          <w:ilvl w:val="1"/>
          <w:numId w:val="0"/>
        </w:numPr>
        <w:wordWrap w:val="0"/>
        <w:topLinePunct/>
        <w:spacing w:line="360" w:lineRule="auto"/>
        <w:ind w:firstLine="482" w:firstLineChars="200"/>
        <w:jc w:val="center"/>
        <w:outlineLvl w:val="1"/>
        <w:rPr>
          <w:rFonts w:ascii="宋体" w:hAnsi="宋体" w:cs="宋体"/>
          <w:b/>
          <w:bCs/>
          <w:sz w:val="24"/>
          <w:szCs w:val="24"/>
        </w:rPr>
      </w:pPr>
      <w:bookmarkStart w:id="264" w:name="_Toc21261"/>
      <w:bookmarkStart w:id="265" w:name="_Toc25719"/>
      <w:bookmarkStart w:id="266" w:name="_Toc14029"/>
      <w:bookmarkStart w:id="267" w:name="_Toc26908"/>
      <w:bookmarkStart w:id="268" w:name="_Toc22816"/>
      <w:bookmarkStart w:id="269" w:name="_Toc5459"/>
      <w:bookmarkStart w:id="270" w:name="_Toc18758"/>
      <w:bookmarkStart w:id="271" w:name="_Toc14656"/>
      <w:bookmarkStart w:id="272" w:name="_Toc10802"/>
      <w:bookmarkStart w:id="273" w:name="OLE_LINK13"/>
      <w:bookmarkStart w:id="274" w:name="_Toc29482"/>
      <w:bookmarkStart w:id="275" w:name="_Toc23527"/>
      <w:bookmarkStart w:id="276" w:name="_Toc2835"/>
      <w:bookmarkStart w:id="277" w:name="_Toc1407"/>
      <w:bookmarkStart w:id="278" w:name="_Toc25504"/>
      <w:bookmarkStart w:id="279" w:name="OLE_LINK14"/>
      <w:bookmarkStart w:id="280" w:name="_Toc15388"/>
      <w:bookmarkStart w:id="281" w:name="_Toc7278"/>
      <w:bookmarkStart w:id="282" w:name="_Toc3686"/>
      <w:bookmarkStart w:id="283" w:name="_Toc22084"/>
    </w:p>
    <w:p>
      <w:pPr>
        <w:numPr>
          <w:ilvl w:val="1"/>
          <w:numId w:val="0"/>
        </w:numPr>
        <w:wordWrap w:val="0"/>
        <w:topLinePunct/>
        <w:spacing w:line="360" w:lineRule="auto"/>
        <w:ind w:firstLine="482" w:firstLineChars="200"/>
        <w:jc w:val="center"/>
        <w:outlineLvl w:val="1"/>
        <w:rPr>
          <w:rFonts w:ascii="宋体" w:hAnsi="宋体" w:cs="宋体"/>
          <w:b/>
          <w:bCs/>
          <w:sz w:val="24"/>
          <w:szCs w:val="24"/>
        </w:rPr>
      </w:pPr>
    </w:p>
    <w:p>
      <w:pPr>
        <w:numPr>
          <w:ilvl w:val="1"/>
          <w:numId w:val="0"/>
        </w:numPr>
        <w:wordWrap w:val="0"/>
        <w:topLinePunct/>
        <w:spacing w:line="360" w:lineRule="auto"/>
        <w:ind w:firstLine="482" w:firstLineChars="200"/>
        <w:jc w:val="center"/>
        <w:outlineLvl w:val="1"/>
        <w:rPr>
          <w:rFonts w:ascii="宋体" w:hAnsi="宋体" w:cs="宋体"/>
          <w:b/>
          <w:bCs/>
          <w:sz w:val="24"/>
          <w:szCs w:val="24"/>
        </w:rPr>
      </w:pPr>
    </w:p>
    <w:p>
      <w:pPr>
        <w:numPr>
          <w:ilvl w:val="1"/>
          <w:numId w:val="0"/>
        </w:numPr>
        <w:wordWrap w:val="0"/>
        <w:topLinePunct/>
        <w:spacing w:line="360" w:lineRule="auto"/>
        <w:ind w:firstLine="482" w:firstLineChars="200"/>
        <w:jc w:val="center"/>
        <w:outlineLvl w:val="1"/>
        <w:rPr>
          <w:rFonts w:ascii="宋体" w:hAnsi="宋体" w:cs="宋体"/>
          <w:b/>
          <w:bCs/>
          <w:spacing w:val="6"/>
          <w:sz w:val="24"/>
          <w:szCs w:val="24"/>
        </w:rPr>
      </w:pPr>
      <w:r>
        <w:rPr>
          <w:rFonts w:hint="eastAsia" w:ascii="宋体" w:hAnsi="宋体" w:cs="宋体"/>
          <w:b/>
          <w:bCs/>
          <w:sz w:val="24"/>
          <w:szCs w:val="24"/>
        </w:rPr>
        <w:t>残疾人福利性单位声明函</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360" w:lineRule="auto"/>
        <w:ind w:firstLine="504" w:firstLineChars="200"/>
        <w:rPr>
          <w:rFonts w:ascii="宋体" w:hAnsi="宋体" w:cs="宋体"/>
          <w:spacing w:val="6"/>
          <w:sz w:val="24"/>
          <w:szCs w:val="24"/>
        </w:rPr>
      </w:pPr>
    </w:p>
    <w:p>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tabs>
          <w:tab w:val="left" w:pos="840"/>
        </w:tabs>
        <w:autoSpaceDE w:val="0"/>
        <w:autoSpaceDN w:val="0"/>
        <w:adjustRightInd w:val="0"/>
        <w:spacing w:line="360" w:lineRule="auto"/>
        <w:ind w:firstLine="482" w:firstLineChars="200"/>
        <w:jc w:val="center"/>
        <w:rPr>
          <w:rFonts w:ascii="宋体" w:hAnsi="宋体" w:cs="宋体"/>
          <w:b/>
          <w:sz w:val="24"/>
          <w:szCs w:val="24"/>
        </w:rPr>
      </w:pPr>
    </w:p>
    <w:p>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pPr>
        <w:tabs>
          <w:tab w:val="left" w:pos="840"/>
        </w:tabs>
        <w:autoSpaceDE w:val="0"/>
        <w:autoSpaceDN w:val="0"/>
        <w:adjustRightInd w:val="0"/>
        <w:spacing w:line="360" w:lineRule="auto"/>
        <w:ind w:firstLine="482" w:firstLineChars="200"/>
        <w:rPr>
          <w:rFonts w:ascii="宋体" w:hAnsi="宋体" w:cs="宋体"/>
          <w:b/>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pPr>
        <w:spacing w:after="120"/>
        <w:ind w:firstLine="210" w:firstLineChars="100"/>
        <w:rPr>
          <w:rFonts w:asciiTheme="minorHAnsi" w:hAnsiTheme="minorHAnsi" w:eastAsiaTheme="minorEastAsia" w:cstheme="minorBidi"/>
          <w:szCs w:val="24"/>
        </w:rPr>
      </w:pPr>
    </w:p>
    <w:p>
      <w:pPr>
        <w:numPr>
          <w:ilvl w:val="1"/>
          <w:numId w:val="0"/>
        </w:numPr>
        <w:wordWrap w:val="0"/>
        <w:topLinePunct/>
        <w:spacing w:line="360" w:lineRule="auto"/>
        <w:ind w:firstLine="643" w:firstLineChars="200"/>
        <w:jc w:val="center"/>
        <w:outlineLvl w:val="1"/>
        <w:rPr>
          <w:rFonts w:ascii="宋体" w:hAnsi="宋体" w:cs="宋体"/>
          <w:b/>
          <w:bCs/>
          <w:sz w:val="32"/>
          <w:szCs w:val="24"/>
        </w:rPr>
      </w:pPr>
      <w:bookmarkStart w:id="284" w:name="_Toc27334"/>
      <w:bookmarkStart w:id="285" w:name="_Toc28942"/>
      <w:bookmarkStart w:id="286" w:name="_Toc12130"/>
      <w:bookmarkStart w:id="287" w:name="_Toc2763"/>
      <w:r>
        <w:rPr>
          <w:rFonts w:hint="eastAsia" w:ascii="宋体" w:hAnsi="宋体" w:cs="宋体"/>
          <w:b/>
          <w:bCs/>
          <w:sz w:val="32"/>
          <w:szCs w:val="24"/>
        </w:rPr>
        <w:t>监狱企业证明文件</w:t>
      </w:r>
      <w:bookmarkEnd w:id="284"/>
      <w:bookmarkEnd w:id="285"/>
      <w:bookmarkEnd w:id="286"/>
      <w:bookmarkEnd w:id="287"/>
    </w:p>
    <w:p>
      <w:pPr>
        <w:spacing w:beforeLines="50" w:afterLines="100" w:line="420" w:lineRule="exact"/>
        <w:ind w:firstLine="420" w:firstLineChars="200"/>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jc w:val="center"/>
        <w:textAlignment w:val="center"/>
        <w:rPr>
          <w:rFonts w:ascii="宋体" w:hAnsi="宋体" w:cs="宋体"/>
          <w:sz w:val="24"/>
          <w:szCs w:val="24"/>
        </w:rPr>
      </w:pPr>
    </w:p>
    <w:p>
      <w:pPr>
        <w:spacing w:line="480" w:lineRule="exact"/>
        <w:textAlignment w:val="center"/>
        <w:rPr>
          <w:rFonts w:ascii="宋体" w:hAnsi="宋体" w:cs="宋体"/>
          <w:sz w:val="24"/>
          <w:szCs w:val="24"/>
        </w:rPr>
      </w:pPr>
    </w:p>
    <w:p>
      <w:pPr>
        <w:spacing w:line="480" w:lineRule="exact"/>
        <w:jc w:val="center"/>
        <w:textAlignment w:val="center"/>
        <w:rPr>
          <w:rFonts w:ascii="宋体" w:hAnsi="宋体" w:cs="宋体"/>
          <w:sz w:val="24"/>
          <w:szCs w:val="24"/>
        </w:rPr>
      </w:pPr>
    </w:p>
    <w:p>
      <w:pPr>
        <w:spacing w:line="480" w:lineRule="exact"/>
        <w:jc w:val="center"/>
        <w:textAlignment w:val="center"/>
        <w:rPr>
          <w:rFonts w:ascii="宋体" w:hAnsi="宋体" w:cs="宋体"/>
          <w:sz w:val="24"/>
          <w:szCs w:val="24"/>
        </w:rPr>
      </w:pPr>
    </w:p>
    <w:p>
      <w:pPr>
        <w:spacing w:line="480" w:lineRule="exact"/>
        <w:jc w:val="center"/>
        <w:textAlignment w:val="center"/>
        <w:rPr>
          <w:rFonts w:ascii="宋体" w:hAnsi="宋体" w:cs="宋体"/>
          <w:sz w:val="24"/>
          <w:szCs w:val="24"/>
        </w:rPr>
      </w:pPr>
    </w:p>
    <w:bookmarkEnd w:id="121"/>
    <w:bookmarkEnd w:id="122"/>
    <w:bookmarkEnd w:id="123"/>
    <w:bookmarkEnd w:id="124"/>
    <w:bookmarkEnd w:id="136"/>
    <w:p>
      <w:pPr>
        <w:spacing w:line="480" w:lineRule="exact"/>
        <w:textAlignment w:val="center"/>
        <w:rPr>
          <w:rFonts w:ascii="宋体" w:hAnsi="宋体" w:cs="宋体"/>
          <w:sz w:val="24"/>
          <w:szCs w:val="24"/>
        </w:rPr>
      </w:pPr>
    </w:p>
    <w:sectPr>
      <w:pgSz w:w="11906" w:h="16838"/>
      <w:pgMar w:top="1440" w:right="10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77910"/>
    </w:sdtPr>
    <w:sdtContent>
      <w:p>
        <w:pPr>
          <w:pStyle w:val="30"/>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0"/>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9" w:lineRule="auto"/>
      <w:ind w:left="4441"/>
      <w:rPr>
        <w:rFonts w:ascii="Calibri" w:hAnsi="Calibri" w:eastAsia="Calibri" w:cs="Calibri"/>
        <w:sz w:val="21"/>
        <w:szCs w:val="21"/>
      </w:rPr>
    </w:pPr>
    <w:r>
      <w:rPr>
        <w:rFonts w:ascii="Calibri" w:hAnsi="Calibri" w:eastAsia="Calibri" w:cs="Calibri"/>
        <w:spacing w:val="-5"/>
        <w:sz w:val="21"/>
        <w:szCs w:val="21"/>
      </w:rPr>
      <w:t>39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512" w:rightChars="-244"/>
      <w:jc w:val="left"/>
    </w:pPr>
    <w:r>
      <w:rPr>
        <w:rFonts w:hint="eastAsia"/>
        <w:lang w:eastAsia="zh-CN"/>
      </w:rPr>
      <w:t>7个乡镇空气自动监测站升级改造项目</w:t>
    </w:r>
    <w:r>
      <w:rPr>
        <w:rFonts w:hint="eastAsia"/>
      </w:rPr>
      <w:t xml:space="preserve">                    </w:t>
    </w:r>
    <w:r>
      <w:rPr>
        <w:rFonts w:hint="eastAsia"/>
        <w:lang w:val="en-US" w:eastAsia="zh-CN"/>
      </w:rPr>
      <w:t xml:space="preserve">                               </w:t>
    </w:r>
    <w:r>
      <w:rPr>
        <w:rFonts w:hint="eastAsia"/>
      </w:rPr>
      <w:t xml:space="preserve">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val="0"/>
      <w:kinsoku/>
      <w:wordWrap/>
      <w:overflowPunct/>
      <w:topLinePunct w:val="0"/>
      <w:bidi w:val="0"/>
      <w:adjustRightInd/>
      <w:snapToGrid/>
      <w:spacing w:line="240" w:lineRule="auto"/>
      <w:textAlignment w:val="auto"/>
      <w:rPr>
        <w:sz w:val="18"/>
        <w:szCs w:val="18"/>
      </w:rPr>
    </w:pPr>
    <w:r>
      <w:rPr>
        <w:rFonts w:hint="eastAsia"/>
        <w:sz w:val="18"/>
        <w:szCs w:val="18"/>
        <w:lang w:eastAsia="zh-CN"/>
      </w:rPr>
      <w:t>7个乡镇空气自动监测站升级改造项目</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招标文件 </w:t>
    </w:r>
    <w:r>
      <mc:AlternateContent>
        <mc:Choice Requires="wps">
          <w:drawing>
            <wp:anchor distT="0" distB="0" distL="114300" distR="114300" simplePos="0" relativeHeight="251660288" behindDoc="0" locked="0" layoutInCell="0" allowOverlap="1">
              <wp:simplePos x="0" y="0"/>
              <wp:positionH relativeFrom="page">
                <wp:posOffset>1080770</wp:posOffset>
              </wp:positionH>
              <wp:positionV relativeFrom="page">
                <wp:posOffset>673100</wp:posOffset>
              </wp:positionV>
              <wp:extent cx="566102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61025" cy="6350"/>
                      </a:xfrm>
                      <a:custGeom>
                        <a:avLst/>
                        <a:gdLst/>
                        <a:ahLst/>
                        <a:cxnLst/>
                        <a:pathLst>
                          <a:path w="8915" h="10">
                            <a:moveTo>
                              <a:pt x="0" y="9"/>
                            </a:moveTo>
                            <a:lnTo>
                              <a:pt x="8915" y="9"/>
                            </a:lnTo>
                            <a:lnTo>
                              <a:pt x="8915"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1pt;margin-top:53pt;height:0.5pt;width:445.75pt;mso-position-horizontal-relative:page;mso-position-vertical-relative:page;z-index:251660288;mso-width-relative:page;mso-height-relative:page;" fillcolor="#000000" filled="t" stroked="f" coordsize="8915,10" o:allowincell="f" o:gfxdata="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ynjfZAAAADAEAAA8A&#10;AAAAAAAAAQAgAAAAIgAAAGRycy9kb3ducmV2LnhtbFBLAQIUABQAAAAIAIdO4kBbT537FgIAAHkE&#10;AAAOAAAAAAAAAAEAIAAAACgBAABkcnMvZTJvRG9jLnhtbFBLBQYAAAAABgAGAFkBAACwBQAAAAA=&#10;" path="m0,9l8915,9,8915,0,0,0,0,9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F3945"/>
    <w:multiLevelType w:val="singleLevel"/>
    <w:tmpl w:val="BD3F3945"/>
    <w:lvl w:ilvl="0" w:tentative="0">
      <w:start w:val="1"/>
      <w:numFmt w:val="bullet"/>
      <w:lvlText w:val="•"/>
      <w:lvlJc w:val="left"/>
    </w:lvl>
  </w:abstractNum>
  <w:abstractNum w:abstractNumId="1">
    <w:nsid w:val="BDFE669B"/>
    <w:multiLevelType w:val="singleLevel"/>
    <w:tmpl w:val="BDFE669B"/>
    <w:lvl w:ilvl="0" w:tentative="0">
      <w:start w:val="1"/>
      <w:numFmt w:val="bullet"/>
      <w:lvlText w:val="•"/>
      <w:lvlJc w:val="left"/>
    </w:lvl>
  </w:abstractNum>
  <w:abstractNum w:abstractNumId="2">
    <w:nsid w:val="BEAA591E"/>
    <w:multiLevelType w:val="singleLevel"/>
    <w:tmpl w:val="BEAA591E"/>
    <w:lvl w:ilvl="0" w:tentative="0">
      <w:start w:val="1"/>
      <w:numFmt w:val="bullet"/>
      <w:lvlText w:val="•"/>
      <w:lvlJc w:val="left"/>
    </w:lvl>
  </w:abstractNum>
  <w:abstractNum w:abstractNumId="3">
    <w:nsid w:val="CFF75CE3"/>
    <w:multiLevelType w:val="singleLevel"/>
    <w:tmpl w:val="CFF75CE3"/>
    <w:lvl w:ilvl="0" w:tentative="0">
      <w:start w:val="1"/>
      <w:numFmt w:val="bullet"/>
      <w:lvlText w:val="•"/>
      <w:lvlJc w:val="left"/>
    </w:lvl>
  </w:abstractNum>
  <w:abstractNum w:abstractNumId="4">
    <w:nsid w:val="E65A92A5"/>
    <w:multiLevelType w:val="singleLevel"/>
    <w:tmpl w:val="E65A92A5"/>
    <w:lvl w:ilvl="0" w:tentative="0">
      <w:start w:val="1"/>
      <w:numFmt w:val="bullet"/>
      <w:lvlText w:val="•"/>
      <w:lvlJc w:val="left"/>
    </w:lvl>
  </w:abstractNum>
  <w:abstractNum w:abstractNumId="5">
    <w:nsid w:val="F27C45A3"/>
    <w:multiLevelType w:val="singleLevel"/>
    <w:tmpl w:val="F27C45A3"/>
    <w:lvl w:ilvl="0" w:tentative="0">
      <w:start w:val="1"/>
      <w:numFmt w:val="decimal"/>
      <w:suff w:val="space"/>
      <w:lvlText w:val="%1."/>
      <w:lvlJc w:val="left"/>
    </w:lvl>
  </w:abstractNum>
  <w:abstractNum w:abstractNumId="6">
    <w:nsid w:val="F37D541C"/>
    <w:multiLevelType w:val="singleLevel"/>
    <w:tmpl w:val="F37D541C"/>
    <w:lvl w:ilvl="0" w:tentative="0">
      <w:start w:val="1"/>
      <w:numFmt w:val="bullet"/>
      <w:lvlText w:val="•"/>
      <w:lvlJc w:val="left"/>
    </w:lvl>
  </w:abstractNum>
  <w:abstractNum w:abstractNumId="7">
    <w:nsid w:val="F5DA35D5"/>
    <w:multiLevelType w:val="singleLevel"/>
    <w:tmpl w:val="F5DA35D5"/>
    <w:lvl w:ilvl="0" w:tentative="0">
      <w:start w:val="1"/>
      <w:numFmt w:val="bullet"/>
      <w:lvlText w:val="•"/>
      <w:lvlJc w:val="left"/>
    </w:lvl>
  </w:abstractNum>
  <w:abstractNum w:abstractNumId="8">
    <w:nsid w:val="FDCB30A6"/>
    <w:multiLevelType w:val="singleLevel"/>
    <w:tmpl w:val="FDCB30A6"/>
    <w:lvl w:ilvl="0" w:tentative="0">
      <w:start w:val="1"/>
      <w:numFmt w:val="bullet"/>
      <w:lvlText w:val="•"/>
      <w:lvlJc w:val="left"/>
    </w:lvl>
  </w:abstractNum>
  <w:abstractNum w:abstractNumId="9">
    <w:nsid w:val="FDFE9173"/>
    <w:multiLevelType w:val="singleLevel"/>
    <w:tmpl w:val="FDFE9173"/>
    <w:lvl w:ilvl="0" w:tentative="0">
      <w:start w:val="1"/>
      <w:numFmt w:val="bullet"/>
      <w:lvlText w:val="•"/>
      <w:lvlJc w:val="left"/>
    </w:lvl>
  </w:abstractNum>
  <w:abstractNum w:abstractNumId="10">
    <w:nsid w:val="FF871B82"/>
    <w:multiLevelType w:val="singleLevel"/>
    <w:tmpl w:val="FF871B82"/>
    <w:lvl w:ilvl="0" w:tentative="0">
      <w:start w:val="1"/>
      <w:numFmt w:val="bullet"/>
      <w:lvlText w:val="•"/>
      <w:lvlJc w:val="left"/>
    </w:lvl>
  </w:abstractNum>
  <w:abstractNum w:abstractNumId="11">
    <w:nsid w:val="2A0107B7"/>
    <w:multiLevelType w:val="singleLevel"/>
    <w:tmpl w:val="2A0107B7"/>
    <w:lvl w:ilvl="0" w:tentative="0">
      <w:start w:val="5"/>
      <w:numFmt w:val="chineseCounting"/>
      <w:suff w:val="space"/>
      <w:lvlText w:val="第%1章"/>
      <w:lvlJc w:val="left"/>
      <w:rPr>
        <w:rFonts w:hint="eastAsia"/>
      </w:rPr>
    </w:lvl>
  </w:abstractNum>
  <w:abstractNum w:abstractNumId="12">
    <w:nsid w:val="3F7D0E7D"/>
    <w:multiLevelType w:val="singleLevel"/>
    <w:tmpl w:val="3F7D0E7D"/>
    <w:lvl w:ilvl="0" w:tentative="0">
      <w:start w:val="1"/>
      <w:numFmt w:val="bullet"/>
      <w:lvlText w:val="•"/>
      <w:lvlJc w:val="left"/>
    </w:lvl>
  </w:abstractNum>
  <w:abstractNum w:abstractNumId="13">
    <w:nsid w:val="4FDE5B50"/>
    <w:multiLevelType w:val="singleLevel"/>
    <w:tmpl w:val="4FDE5B50"/>
    <w:lvl w:ilvl="0" w:tentative="0">
      <w:start w:val="1"/>
      <w:numFmt w:val="bullet"/>
      <w:lvlText w:val="•"/>
      <w:lvlJc w:val="left"/>
    </w:lvl>
  </w:abstractNum>
  <w:abstractNum w:abstractNumId="14">
    <w:nsid w:val="5CEFA644"/>
    <w:multiLevelType w:val="singleLevel"/>
    <w:tmpl w:val="5CEFA644"/>
    <w:lvl w:ilvl="0" w:tentative="0">
      <w:start w:val="1"/>
      <w:numFmt w:val="bullet"/>
      <w:lvlText w:val="•"/>
      <w:lvlJc w:val="left"/>
    </w:lvl>
  </w:abstractNum>
  <w:abstractNum w:abstractNumId="15">
    <w:nsid w:val="5F6E67DD"/>
    <w:multiLevelType w:val="singleLevel"/>
    <w:tmpl w:val="5F6E67DD"/>
    <w:lvl w:ilvl="0" w:tentative="0">
      <w:start w:val="1"/>
      <w:numFmt w:val="bullet"/>
      <w:lvlText w:val="•"/>
      <w:lvlJc w:val="left"/>
    </w:lvl>
  </w:abstractNum>
  <w:abstractNum w:abstractNumId="16">
    <w:nsid w:val="75F85077"/>
    <w:multiLevelType w:val="singleLevel"/>
    <w:tmpl w:val="75F85077"/>
    <w:lvl w:ilvl="0" w:tentative="0">
      <w:start w:val="1"/>
      <w:numFmt w:val="bullet"/>
      <w:lvlText w:val="•"/>
      <w:lvlJc w:val="left"/>
    </w:lvl>
  </w:abstractNum>
  <w:abstractNum w:abstractNumId="17">
    <w:nsid w:val="7B6CAD7B"/>
    <w:multiLevelType w:val="singleLevel"/>
    <w:tmpl w:val="7B6CAD7B"/>
    <w:lvl w:ilvl="0" w:tentative="0">
      <w:start w:val="1"/>
      <w:numFmt w:val="bullet"/>
      <w:lvlText w:val="•"/>
      <w:lvlJc w:val="left"/>
    </w:lvl>
  </w:abstractNum>
  <w:abstractNum w:abstractNumId="18">
    <w:nsid w:val="7FEAB7CA"/>
    <w:multiLevelType w:val="singleLevel"/>
    <w:tmpl w:val="7FEAB7CA"/>
    <w:lvl w:ilvl="0" w:tentative="0">
      <w:start w:val="1"/>
      <w:numFmt w:val="bullet"/>
      <w:lvlText w:val="•"/>
      <w:lvlJc w:val="left"/>
    </w:lvl>
  </w:abstractNum>
  <w:num w:numId="1">
    <w:abstractNumId w:val="11"/>
  </w:num>
  <w:num w:numId="2">
    <w:abstractNumId w:val="4"/>
  </w:num>
  <w:num w:numId="3">
    <w:abstractNumId w:val="0"/>
  </w:num>
  <w:num w:numId="4">
    <w:abstractNumId w:val="12"/>
  </w:num>
  <w:num w:numId="5">
    <w:abstractNumId w:val="1"/>
  </w:num>
  <w:num w:numId="6">
    <w:abstractNumId w:val="15"/>
  </w:num>
  <w:num w:numId="7">
    <w:abstractNumId w:val="8"/>
  </w:num>
  <w:num w:numId="8">
    <w:abstractNumId w:val="14"/>
  </w:num>
  <w:num w:numId="9">
    <w:abstractNumId w:val="13"/>
  </w:num>
  <w:num w:numId="10">
    <w:abstractNumId w:val="7"/>
  </w:num>
  <w:num w:numId="11">
    <w:abstractNumId w:val="10"/>
  </w:num>
  <w:num w:numId="12">
    <w:abstractNumId w:val="16"/>
  </w:num>
  <w:num w:numId="13">
    <w:abstractNumId w:val="6"/>
  </w:num>
  <w:num w:numId="14">
    <w:abstractNumId w:val="9"/>
  </w:num>
  <w:num w:numId="15">
    <w:abstractNumId w:val="2"/>
  </w:num>
  <w:num w:numId="16">
    <w:abstractNumId w:val="3"/>
  </w:num>
  <w:num w:numId="17">
    <w:abstractNumId w:val="18"/>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lkY2U1M2IwZDRhMzM1ZDBmOGNhYWQ4MTY3ZGUifQ=="/>
  </w:docVars>
  <w:rsids>
    <w:rsidRoot w:val="00110AD9"/>
    <w:rsid w:val="00002A87"/>
    <w:rsid w:val="00004222"/>
    <w:rsid w:val="0000568A"/>
    <w:rsid w:val="00010364"/>
    <w:rsid w:val="00014AB4"/>
    <w:rsid w:val="00017B86"/>
    <w:rsid w:val="0002297D"/>
    <w:rsid w:val="000236F6"/>
    <w:rsid w:val="00025BBD"/>
    <w:rsid w:val="000273C6"/>
    <w:rsid w:val="00040009"/>
    <w:rsid w:val="0004099E"/>
    <w:rsid w:val="00045131"/>
    <w:rsid w:val="0004566C"/>
    <w:rsid w:val="000627D7"/>
    <w:rsid w:val="000650C6"/>
    <w:rsid w:val="00070E9C"/>
    <w:rsid w:val="00071DD5"/>
    <w:rsid w:val="000A2C52"/>
    <w:rsid w:val="000A5A0D"/>
    <w:rsid w:val="000B60E0"/>
    <w:rsid w:val="000C40A8"/>
    <w:rsid w:val="000D014E"/>
    <w:rsid w:val="000D4617"/>
    <w:rsid w:val="000D6CC4"/>
    <w:rsid w:val="000E1218"/>
    <w:rsid w:val="000E1484"/>
    <w:rsid w:val="000E6637"/>
    <w:rsid w:val="000E7D59"/>
    <w:rsid w:val="000F0F9A"/>
    <w:rsid w:val="000F4B7C"/>
    <w:rsid w:val="00100976"/>
    <w:rsid w:val="0010215C"/>
    <w:rsid w:val="00102B0A"/>
    <w:rsid w:val="001035EC"/>
    <w:rsid w:val="00104E9E"/>
    <w:rsid w:val="00106F09"/>
    <w:rsid w:val="00110AD9"/>
    <w:rsid w:val="001132BB"/>
    <w:rsid w:val="001134E7"/>
    <w:rsid w:val="001167D7"/>
    <w:rsid w:val="001172F1"/>
    <w:rsid w:val="0012023F"/>
    <w:rsid w:val="00127866"/>
    <w:rsid w:val="00132CD6"/>
    <w:rsid w:val="001330FE"/>
    <w:rsid w:val="00133A0E"/>
    <w:rsid w:val="00135A88"/>
    <w:rsid w:val="00143BC8"/>
    <w:rsid w:val="00143F2E"/>
    <w:rsid w:val="00145C43"/>
    <w:rsid w:val="001467F5"/>
    <w:rsid w:val="00152D04"/>
    <w:rsid w:val="00153A1D"/>
    <w:rsid w:val="001544BF"/>
    <w:rsid w:val="00155E38"/>
    <w:rsid w:val="0016054C"/>
    <w:rsid w:val="00160CC6"/>
    <w:rsid w:val="00164951"/>
    <w:rsid w:val="001674DF"/>
    <w:rsid w:val="00171D62"/>
    <w:rsid w:val="00172D8E"/>
    <w:rsid w:val="00180BB9"/>
    <w:rsid w:val="00180BCF"/>
    <w:rsid w:val="00181833"/>
    <w:rsid w:val="001835F0"/>
    <w:rsid w:val="0019286A"/>
    <w:rsid w:val="001944F3"/>
    <w:rsid w:val="00195130"/>
    <w:rsid w:val="001954C9"/>
    <w:rsid w:val="001A50FC"/>
    <w:rsid w:val="001A54E5"/>
    <w:rsid w:val="001B014B"/>
    <w:rsid w:val="001B2B5D"/>
    <w:rsid w:val="001C346D"/>
    <w:rsid w:val="001C3769"/>
    <w:rsid w:val="001C7E8C"/>
    <w:rsid w:val="001D2B2C"/>
    <w:rsid w:val="001E101E"/>
    <w:rsid w:val="001E4F55"/>
    <w:rsid w:val="001F074B"/>
    <w:rsid w:val="001F0FCA"/>
    <w:rsid w:val="00201AA3"/>
    <w:rsid w:val="00202167"/>
    <w:rsid w:val="0020380C"/>
    <w:rsid w:val="00204A38"/>
    <w:rsid w:val="00204B77"/>
    <w:rsid w:val="00211FF2"/>
    <w:rsid w:val="00220783"/>
    <w:rsid w:val="00220FBD"/>
    <w:rsid w:val="002219EA"/>
    <w:rsid w:val="00225765"/>
    <w:rsid w:val="00227357"/>
    <w:rsid w:val="0023405C"/>
    <w:rsid w:val="002378DF"/>
    <w:rsid w:val="00242166"/>
    <w:rsid w:val="00245602"/>
    <w:rsid w:val="002458D9"/>
    <w:rsid w:val="00252976"/>
    <w:rsid w:val="002566C3"/>
    <w:rsid w:val="00256923"/>
    <w:rsid w:val="002579B8"/>
    <w:rsid w:val="00266B4E"/>
    <w:rsid w:val="00270610"/>
    <w:rsid w:val="00273466"/>
    <w:rsid w:val="00283A8F"/>
    <w:rsid w:val="00283E01"/>
    <w:rsid w:val="00286D6D"/>
    <w:rsid w:val="00286DDF"/>
    <w:rsid w:val="00290B2E"/>
    <w:rsid w:val="0029419A"/>
    <w:rsid w:val="002957F9"/>
    <w:rsid w:val="00296795"/>
    <w:rsid w:val="002A1A96"/>
    <w:rsid w:val="002A2173"/>
    <w:rsid w:val="002A356F"/>
    <w:rsid w:val="002B2E43"/>
    <w:rsid w:val="002B3B87"/>
    <w:rsid w:val="002C1910"/>
    <w:rsid w:val="002C61F7"/>
    <w:rsid w:val="002C66BB"/>
    <w:rsid w:val="002D584B"/>
    <w:rsid w:val="002E3FA4"/>
    <w:rsid w:val="002F0DF7"/>
    <w:rsid w:val="002F4F73"/>
    <w:rsid w:val="002F7139"/>
    <w:rsid w:val="003057C4"/>
    <w:rsid w:val="00306F63"/>
    <w:rsid w:val="00315C97"/>
    <w:rsid w:val="003177E9"/>
    <w:rsid w:val="00321851"/>
    <w:rsid w:val="00327F62"/>
    <w:rsid w:val="003329EC"/>
    <w:rsid w:val="00333180"/>
    <w:rsid w:val="0033640C"/>
    <w:rsid w:val="0033778A"/>
    <w:rsid w:val="0034311C"/>
    <w:rsid w:val="00357BCF"/>
    <w:rsid w:val="00360705"/>
    <w:rsid w:val="00363F38"/>
    <w:rsid w:val="00371B5B"/>
    <w:rsid w:val="00374E16"/>
    <w:rsid w:val="003759B6"/>
    <w:rsid w:val="003852C8"/>
    <w:rsid w:val="00385BA7"/>
    <w:rsid w:val="0039205F"/>
    <w:rsid w:val="00392406"/>
    <w:rsid w:val="003955F0"/>
    <w:rsid w:val="00396541"/>
    <w:rsid w:val="003B128A"/>
    <w:rsid w:val="003B3B34"/>
    <w:rsid w:val="003B4014"/>
    <w:rsid w:val="003C4322"/>
    <w:rsid w:val="003D5B5A"/>
    <w:rsid w:val="003E0F79"/>
    <w:rsid w:val="003E3AFB"/>
    <w:rsid w:val="003F2FE8"/>
    <w:rsid w:val="003F6DAF"/>
    <w:rsid w:val="00405146"/>
    <w:rsid w:val="00410D05"/>
    <w:rsid w:val="00412BA9"/>
    <w:rsid w:val="00412BD3"/>
    <w:rsid w:val="00414814"/>
    <w:rsid w:val="00414EA0"/>
    <w:rsid w:val="00414EFD"/>
    <w:rsid w:val="00430547"/>
    <w:rsid w:val="00431F23"/>
    <w:rsid w:val="004322D9"/>
    <w:rsid w:val="00433267"/>
    <w:rsid w:val="00440AEE"/>
    <w:rsid w:val="0044159F"/>
    <w:rsid w:val="00444313"/>
    <w:rsid w:val="00451C14"/>
    <w:rsid w:val="00463A1E"/>
    <w:rsid w:val="00471BA9"/>
    <w:rsid w:val="00475972"/>
    <w:rsid w:val="00475E7D"/>
    <w:rsid w:val="00477188"/>
    <w:rsid w:val="0048020B"/>
    <w:rsid w:val="0048485C"/>
    <w:rsid w:val="004855F4"/>
    <w:rsid w:val="004862CC"/>
    <w:rsid w:val="00486446"/>
    <w:rsid w:val="004919C1"/>
    <w:rsid w:val="00495AD6"/>
    <w:rsid w:val="004A4593"/>
    <w:rsid w:val="004B315C"/>
    <w:rsid w:val="004B49B4"/>
    <w:rsid w:val="004B5BE3"/>
    <w:rsid w:val="004C23C9"/>
    <w:rsid w:val="004C5EB2"/>
    <w:rsid w:val="004D20C8"/>
    <w:rsid w:val="004E3A9C"/>
    <w:rsid w:val="004E57C1"/>
    <w:rsid w:val="004F399F"/>
    <w:rsid w:val="004F554F"/>
    <w:rsid w:val="004F6F77"/>
    <w:rsid w:val="00512078"/>
    <w:rsid w:val="0051337E"/>
    <w:rsid w:val="00514C1B"/>
    <w:rsid w:val="0051522E"/>
    <w:rsid w:val="00520325"/>
    <w:rsid w:val="00521AA0"/>
    <w:rsid w:val="005248DC"/>
    <w:rsid w:val="005403AD"/>
    <w:rsid w:val="00551266"/>
    <w:rsid w:val="00561069"/>
    <w:rsid w:val="00561529"/>
    <w:rsid w:val="00561D33"/>
    <w:rsid w:val="005640DF"/>
    <w:rsid w:val="00567DE6"/>
    <w:rsid w:val="0057163B"/>
    <w:rsid w:val="00573BE6"/>
    <w:rsid w:val="005813B5"/>
    <w:rsid w:val="005817F6"/>
    <w:rsid w:val="0058220C"/>
    <w:rsid w:val="00582530"/>
    <w:rsid w:val="00590E6A"/>
    <w:rsid w:val="00591580"/>
    <w:rsid w:val="00592BEC"/>
    <w:rsid w:val="005A5201"/>
    <w:rsid w:val="005B0439"/>
    <w:rsid w:val="005B0B87"/>
    <w:rsid w:val="005B2BDC"/>
    <w:rsid w:val="005C645D"/>
    <w:rsid w:val="005C6AB6"/>
    <w:rsid w:val="005D3BF8"/>
    <w:rsid w:val="005D3F75"/>
    <w:rsid w:val="005F0A99"/>
    <w:rsid w:val="005F0F83"/>
    <w:rsid w:val="005F56DD"/>
    <w:rsid w:val="006003A1"/>
    <w:rsid w:val="0060050F"/>
    <w:rsid w:val="00604F48"/>
    <w:rsid w:val="00605566"/>
    <w:rsid w:val="00605A92"/>
    <w:rsid w:val="00607F13"/>
    <w:rsid w:val="00624314"/>
    <w:rsid w:val="00626563"/>
    <w:rsid w:val="00635BDF"/>
    <w:rsid w:val="0064493C"/>
    <w:rsid w:val="0064697E"/>
    <w:rsid w:val="00647A6C"/>
    <w:rsid w:val="00654097"/>
    <w:rsid w:val="006625C3"/>
    <w:rsid w:val="0067068B"/>
    <w:rsid w:val="0067195E"/>
    <w:rsid w:val="00680697"/>
    <w:rsid w:val="00682328"/>
    <w:rsid w:val="00685348"/>
    <w:rsid w:val="00687C48"/>
    <w:rsid w:val="00690B12"/>
    <w:rsid w:val="00693FF9"/>
    <w:rsid w:val="006942C4"/>
    <w:rsid w:val="00695A4F"/>
    <w:rsid w:val="006972BC"/>
    <w:rsid w:val="006A05E7"/>
    <w:rsid w:val="006A2AE8"/>
    <w:rsid w:val="006B018D"/>
    <w:rsid w:val="006B4030"/>
    <w:rsid w:val="006B523B"/>
    <w:rsid w:val="006B6941"/>
    <w:rsid w:val="006C48FF"/>
    <w:rsid w:val="006C533F"/>
    <w:rsid w:val="006D0398"/>
    <w:rsid w:val="006D2122"/>
    <w:rsid w:val="006F38CC"/>
    <w:rsid w:val="00701308"/>
    <w:rsid w:val="007015EC"/>
    <w:rsid w:val="00701B5A"/>
    <w:rsid w:val="0070240C"/>
    <w:rsid w:val="00702AE2"/>
    <w:rsid w:val="00712693"/>
    <w:rsid w:val="00713C54"/>
    <w:rsid w:val="00715DB3"/>
    <w:rsid w:val="00725C84"/>
    <w:rsid w:val="00726980"/>
    <w:rsid w:val="00730019"/>
    <w:rsid w:val="00735010"/>
    <w:rsid w:val="00736CA4"/>
    <w:rsid w:val="00736ED2"/>
    <w:rsid w:val="00737717"/>
    <w:rsid w:val="007424B7"/>
    <w:rsid w:val="00751CF3"/>
    <w:rsid w:val="00751E66"/>
    <w:rsid w:val="00752C39"/>
    <w:rsid w:val="00757E56"/>
    <w:rsid w:val="00765412"/>
    <w:rsid w:val="007658F8"/>
    <w:rsid w:val="007710F8"/>
    <w:rsid w:val="00772236"/>
    <w:rsid w:val="007751EA"/>
    <w:rsid w:val="00776946"/>
    <w:rsid w:val="00784007"/>
    <w:rsid w:val="007850B0"/>
    <w:rsid w:val="00792782"/>
    <w:rsid w:val="007A17DB"/>
    <w:rsid w:val="007A1BC0"/>
    <w:rsid w:val="007A4E59"/>
    <w:rsid w:val="007A564F"/>
    <w:rsid w:val="007B0C73"/>
    <w:rsid w:val="007B6134"/>
    <w:rsid w:val="007B72CE"/>
    <w:rsid w:val="007C1CA6"/>
    <w:rsid w:val="007C1FF6"/>
    <w:rsid w:val="007C6609"/>
    <w:rsid w:val="007C671A"/>
    <w:rsid w:val="007D1C34"/>
    <w:rsid w:val="007D6A7F"/>
    <w:rsid w:val="007E15C4"/>
    <w:rsid w:val="007E1F23"/>
    <w:rsid w:val="007E3209"/>
    <w:rsid w:val="007E5550"/>
    <w:rsid w:val="007E55BE"/>
    <w:rsid w:val="007E59E8"/>
    <w:rsid w:val="007E5CDD"/>
    <w:rsid w:val="007F212C"/>
    <w:rsid w:val="00801563"/>
    <w:rsid w:val="00815191"/>
    <w:rsid w:val="00820455"/>
    <w:rsid w:val="008209C3"/>
    <w:rsid w:val="00823B00"/>
    <w:rsid w:val="00824732"/>
    <w:rsid w:val="00825FCC"/>
    <w:rsid w:val="00826E53"/>
    <w:rsid w:val="00830AD8"/>
    <w:rsid w:val="008375F5"/>
    <w:rsid w:val="008403C5"/>
    <w:rsid w:val="00840B43"/>
    <w:rsid w:val="00845151"/>
    <w:rsid w:val="00845D1F"/>
    <w:rsid w:val="0084619D"/>
    <w:rsid w:val="00851DB0"/>
    <w:rsid w:val="008548BE"/>
    <w:rsid w:val="008565EA"/>
    <w:rsid w:val="008627F8"/>
    <w:rsid w:val="00863F6B"/>
    <w:rsid w:val="008648AA"/>
    <w:rsid w:val="00866EAF"/>
    <w:rsid w:val="008718B6"/>
    <w:rsid w:val="00872C1B"/>
    <w:rsid w:val="00881820"/>
    <w:rsid w:val="00881CFF"/>
    <w:rsid w:val="008A756B"/>
    <w:rsid w:val="008B0920"/>
    <w:rsid w:val="008B2AD3"/>
    <w:rsid w:val="008C3812"/>
    <w:rsid w:val="008C5C00"/>
    <w:rsid w:val="008D0D20"/>
    <w:rsid w:val="008D42B8"/>
    <w:rsid w:val="008E26BD"/>
    <w:rsid w:val="008E29BC"/>
    <w:rsid w:val="008E2C6F"/>
    <w:rsid w:val="008E6767"/>
    <w:rsid w:val="008E71F1"/>
    <w:rsid w:val="008F1CD5"/>
    <w:rsid w:val="008F3E78"/>
    <w:rsid w:val="008F5420"/>
    <w:rsid w:val="009020B1"/>
    <w:rsid w:val="009021AC"/>
    <w:rsid w:val="00904D7F"/>
    <w:rsid w:val="009079B6"/>
    <w:rsid w:val="0091051C"/>
    <w:rsid w:val="00910B04"/>
    <w:rsid w:val="00911A14"/>
    <w:rsid w:val="00912BCB"/>
    <w:rsid w:val="009158B6"/>
    <w:rsid w:val="009172EC"/>
    <w:rsid w:val="00921B25"/>
    <w:rsid w:val="0092513A"/>
    <w:rsid w:val="009263F8"/>
    <w:rsid w:val="009279A8"/>
    <w:rsid w:val="00927E80"/>
    <w:rsid w:val="00943967"/>
    <w:rsid w:val="00946650"/>
    <w:rsid w:val="009470A9"/>
    <w:rsid w:val="009502FA"/>
    <w:rsid w:val="009520E3"/>
    <w:rsid w:val="00955D02"/>
    <w:rsid w:val="0096187C"/>
    <w:rsid w:val="00962DED"/>
    <w:rsid w:val="00965A24"/>
    <w:rsid w:val="00965AEF"/>
    <w:rsid w:val="00966BB6"/>
    <w:rsid w:val="009706A5"/>
    <w:rsid w:val="00974A04"/>
    <w:rsid w:val="009812D3"/>
    <w:rsid w:val="0098154F"/>
    <w:rsid w:val="00982ED8"/>
    <w:rsid w:val="00985C44"/>
    <w:rsid w:val="00994BCA"/>
    <w:rsid w:val="009A0791"/>
    <w:rsid w:val="009A0797"/>
    <w:rsid w:val="009A237D"/>
    <w:rsid w:val="009A4B87"/>
    <w:rsid w:val="009A6D19"/>
    <w:rsid w:val="009B314B"/>
    <w:rsid w:val="009B38C1"/>
    <w:rsid w:val="009C030C"/>
    <w:rsid w:val="009C2E3B"/>
    <w:rsid w:val="009D05CE"/>
    <w:rsid w:val="009D624E"/>
    <w:rsid w:val="009D694E"/>
    <w:rsid w:val="009E1112"/>
    <w:rsid w:val="009E2F4F"/>
    <w:rsid w:val="009E33A8"/>
    <w:rsid w:val="009E4469"/>
    <w:rsid w:val="009E4497"/>
    <w:rsid w:val="009F6232"/>
    <w:rsid w:val="00A032CE"/>
    <w:rsid w:val="00A033A7"/>
    <w:rsid w:val="00A05099"/>
    <w:rsid w:val="00A12460"/>
    <w:rsid w:val="00A1562C"/>
    <w:rsid w:val="00A15886"/>
    <w:rsid w:val="00A15B2B"/>
    <w:rsid w:val="00A22EE8"/>
    <w:rsid w:val="00A33F77"/>
    <w:rsid w:val="00A34AFA"/>
    <w:rsid w:val="00A42DEF"/>
    <w:rsid w:val="00A47654"/>
    <w:rsid w:val="00A6716E"/>
    <w:rsid w:val="00A7499F"/>
    <w:rsid w:val="00A8200B"/>
    <w:rsid w:val="00A836ED"/>
    <w:rsid w:val="00A87AE5"/>
    <w:rsid w:val="00A90E17"/>
    <w:rsid w:val="00A9278D"/>
    <w:rsid w:val="00AA0F97"/>
    <w:rsid w:val="00AA2C4A"/>
    <w:rsid w:val="00AA56D5"/>
    <w:rsid w:val="00AB145C"/>
    <w:rsid w:val="00AB1F23"/>
    <w:rsid w:val="00AB266A"/>
    <w:rsid w:val="00AB67B9"/>
    <w:rsid w:val="00AC52C7"/>
    <w:rsid w:val="00AD45CB"/>
    <w:rsid w:val="00AD48DA"/>
    <w:rsid w:val="00AE167E"/>
    <w:rsid w:val="00AE6B55"/>
    <w:rsid w:val="00AE6CAA"/>
    <w:rsid w:val="00AF0728"/>
    <w:rsid w:val="00AF1C07"/>
    <w:rsid w:val="00AF53CA"/>
    <w:rsid w:val="00AF7957"/>
    <w:rsid w:val="00B044A8"/>
    <w:rsid w:val="00B04A4B"/>
    <w:rsid w:val="00B04C28"/>
    <w:rsid w:val="00B06273"/>
    <w:rsid w:val="00B160E1"/>
    <w:rsid w:val="00B20AE6"/>
    <w:rsid w:val="00B256A8"/>
    <w:rsid w:val="00B26C2C"/>
    <w:rsid w:val="00B3642F"/>
    <w:rsid w:val="00B37631"/>
    <w:rsid w:val="00B40E60"/>
    <w:rsid w:val="00B413E8"/>
    <w:rsid w:val="00B43F42"/>
    <w:rsid w:val="00B45CAD"/>
    <w:rsid w:val="00B50722"/>
    <w:rsid w:val="00B52C43"/>
    <w:rsid w:val="00B62FD7"/>
    <w:rsid w:val="00B72620"/>
    <w:rsid w:val="00B729C9"/>
    <w:rsid w:val="00B77DB7"/>
    <w:rsid w:val="00B856C9"/>
    <w:rsid w:val="00B86D4D"/>
    <w:rsid w:val="00B86D85"/>
    <w:rsid w:val="00B9212A"/>
    <w:rsid w:val="00B9299F"/>
    <w:rsid w:val="00B96C1B"/>
    <w:rsid w:val="00BC2944"/>
    <w:rsid w:val="00BC58CE"/>
    <w:rsid w:val="00BC7582"/>
    <w:rsid w:val="00BD2D8D"/>
    <w:rsid w:val="00BD6086"/>
    <w:rsid w:val="00BF1A5A"/>
    <w:rsid w:val="00BF2CF3"/>
    <w:rsid w:val="00BF3DB0"/>
    <w:rsid w:val="00BF5636"/>
    <w:rsid w:val="00BF706B"/>
    <w:rsid w:val="00C00A10"/>
    <w:rsid w:val="00C0190B"/>
    <w:rsid w:val="00C04656"/>
    <w:rsid w:val="00C04A12"/>
    <w:rsid w:val="00C04C58"/>
    <w:rsid w:val="00C07C29"/>
    <w:rsid w:val="00C109F4"/>
    <w:rsid w:val="00C10F9D"/>
    <w:rsid w:val="00C1730C"/>
    <w:rsid w:val="00C23B4A"/>
    <w:rsid w:val="00C241A5"/>
    <w:rsid w:val="00C24D20"/>
    <w:rsid w:val="00C262B2"/>
    <w:rsid w:val="00C265B9"/>
    <w:rsid w:val="00C35F7A"/>
    <w:rsid w:val="00C45184"/>
    <w:rsid w:val="00C46E14"/>
    <w:rsid w:val="00C5165A"/>
    <w:rsid w:val="00C54EE0"/>
    <w:rsid w:val="00C56C1F"/>
    <w:rsid w:val="00C63592"/>
    <w:rsid w:val="00C652AF"/>
    <w:rsid w:val="00C67B4A"/>
    <w:rsid w:val="00C761A2"/>
    <w:rsid w:val="00C7620E"/>
    <w:rsid w:val="00C7710B"/>
    <w:rsid w:val="00C8056C"/>
    <w:rsid w:val="00C80BF4"/>
    <w:rsid w:val="00C85ACD"/>
    <w:rsid w:val="00C94486"/>
    <w:rsid w:val="00C95BA0"/>
    <w:rsid w:val="00C96C67"/>
    <w:rsid w:val="00CA2AAA"/>
    <w:rsid w:val="00CA3E19"/>
    <w:rsid w:val="00CA7C88"/>
    <w:rsid w:val="00CB13DC"/>
    <w:rsid w:val="00CB434F"/>
    <w:rsid w:val="00CB43EF"/>
    <w:rsid w:val="00CB55C4"/>
    <w:rsid w:val="00CC17FC"/>
    <w:rsid w:val="00CC3B94"/>
    <w:rsid w:val="00CD2024"/>
    <w:rsid w:val="00CD59FA"/>
    <w:rsid w:val="00CE124B"/>
    <w:rsid w:val="00CE1B0F"/>
    <w:rsid w:val="00CE3C9E"/>
    <w:rsid w:val="00CE5313"/>
    <w:rsid w:val="00D008DA"/>
    <w:rsid w:val="00D03154"/>
    <w:rsid w:val="00D0591C"/>
    <w:rsid w:val="00D11108"/>
    <w:rsid w:val="00D11792"/>
    <w:rsid w:val="00D11E45"/>
    <w:rsid w:val="00D26DE7"/>
    <w:rsid w:val="00D329B6"/>
    <w:rsid w:val="00D33D00"/>
    <w:rsid w:val="00D42002"/>
    <w:rsid w:val="00D47774"/>
    <w:rsid w:val="00D504A7"/>
    <w:rsid w:val="00D508E1"/>
    <w:rsid w:val="00D541E3"/>
    <w:rsid w:val="00D611D5"/>
    <w:rsid w:val="00D678AB"/>
    <w:rsid w:val="00D72F02"/>
    <w:rsid w:val="00D85F2D"/>
    <w:rsid w:val="00D8614F"/>
    <w:rsid w:val="00D868C6"/>
    <w:rsid w:val="00D91233"/>
    <w:rsid w:val="00D91EF7"/>
    <w:rsid w:val="00D954A6"/>
    <w:rsid w:val="00DA0745"/>
    <w:rsid w:val="00DB47D8"/>
    <w:rsid w:val="00DB5DD7"/>
    <w:rsid w:val="00DB660D"/>
    <w:rsid w:val="00DC5036"/>
    <w:rsid w:val="00DD049B"/>
    <w:rsid w:val="00DD2886"/>
    <w:rsid w:val="00DD566A"/>
    <w:rsid w:val="00DE1709"/>
    <w:rsid w:val="00DE2154"/>
    <w:rsid w:val="00DE2271"/>
    <w:rsid w:val="00DE6241"/>
    <w:rsid w:val="00DF295F"/>
    <w:rsid w:val="00DF6572"/>
    <w:rsid w:val="00E0152C"/>
    <w:rsid w:val="00E03712"/>
    <w:rsid w:val="00E04E44"/>
    <w:rsid w:val="00E05E2D"/>
    <w:rsid w:val="00E06D2F"/>
    <w:rsid w:val="00E12B0B"/>
    <w:rsid w:val="00E15293"/>
    <w:rsid w:val="00E25D6F"/>
    <w:rsid w:val="00E26F7A"/>
    <w:rsid w:val="00E3446B"/>
    <w:rsid w:val="00E360A4"/>
    <w:rsid w:val="00E36ED2"/>
    <w:rsid w:val="00E405EB"/>
    <w:rsid w:val="00E424B2"/>
    <w:rsid w:val="00E472BA"/>
    <w:rsid w:val="00E5245A"/>
    <w:rsid w:val="00E53E10"/>
    <w:rsid w:val="00E569B1"/>
    <w:rsid w:val="00E61251"/>
    <w:rsid w:val="00E6278B"/>
    <w:rsid w:val="00E66532"/>
    <w:rsid w:val="00E67227"/>
    <w:rsid w:val="00E67DFE"/>
    <w:rsid w:val="00E702DB"/>
    <w:rsid w:val="00E715C8"/>
    <w:rsid w:val="00E7613A"/>
    <w:rsid w:val="00E7708D"/>
    <w:rsid w:val="00E81B3E"/>
    <w:rsid w:val="00E846C8"/>
    <w:rsid w:val="00E93C4A"/>
    <w:rsid w:val="00E978EA"/>
    <w:rsid w:val="00EA6B08"/>
    <w:rsid w:val="00EB1B0A"/>
    <w:rsid w:val="00EB1B42"/>
    <w:rsid w:val="00EB7780"/>
    <w:rsid w:val="00EC1BE4"/>
    <w:rsid w:val="00EC4F4B"/>
    <w:rsid w:val="00EC6F2D"/>
    <w:rsid w:val="00ED1456"/>
    <w:rsid w:val="00ED3AFD"/>
    <w:rsid w:val="00EE1849"/>
    <w:rsid w:val="00EE5644"/>
    <w:rsid w:val="00EF70B6"/>
    <w:rsid w:val="00EF7A1F"/>
    <w:rsid w:val="00F0091D"/>
    <w:rsid w:val="00F0326D"/>
    <w:rsid w:val="00F143C1"/>
    <w:rsid w:val="00F20EAE"/>
    <w:rsid w:val="00F21F97"/>
    <w:rsid w:val="00F22127"/>
    <w:rsid w:val="00F27FDA"/>
    <w:rsid w:val="00F31192"/>
    <w:rsid w:val="00F3126C"/>
    <w:rsid w:val="00F31822"/>
    <w:rsid w:val="00F359F5"/>
    <w:rsid w:val="00F37C20"/>
    <w:rsid w:val="00F40DEE"/>
    <w:rsid w:val="00F526EC"/>
    <w:rsid w:val="00F6760F"/>
    <w:rsid w:val="00F67B71"/>
    <w:rsid w:val="00F736AE"/>
    <w:rsid w:val="00F87F1E"/>
    <w:rsid w:val="00F90D0C"/>
    <w:rsid w:val="00F9540E"/>
    <w:rsid w:val="00F966B9"/>
    <w:rsid w:val="00F9698D"/>
    <w:rsid w:val="00FB08FB"/>
    <w:rsid w:val="00FB4147"/>
    <w:rsid w:val="00FB7C62"/>
    <w:rsid w:val="00FC0886"/>
    <w:rsid w:val="00FC1318"/>
    <w:rsid w:val="00FC51D1"/>
    <w:rsid w:val="00FC7D2D"/>
    <w:rsid w:val="00FD1991"/>
    <w:rsid w:val="00FD30EC"/>
    <w:rsid w:val="00FE05CF"/>
    <w:rsid w:val="01227D26"/>
    <w:rsid w:val="01935C7D"/>
    <w:rsid w:val="01C04874"/>
    <w:rsid w:val="02291AB0"/>
    <w:rsid w:val="025D4D8E"/>
    <w:rsid w:val="02FF5E45"/>
    <w:rsid w:val="040E6340"/>
    <w:rsid w:val="04333FF8"/>
    <w:rsid w:val="04954AC7"/>
    <w:rsid w:val="04C5067D"/>
    <w:rsid w:val="04DD3F64"/>
    <w:rsid w:val="05237BC9"/>
    <w:rsid w:val="052C0F40"/>
    <w:rsid w:val="0575419C"/>
    <w:rsid w:val="05922FA0"/>
    <w:rsid w:val="06543ADB"/>
    <w:rsid w:val="065D35AE"/>
    <w:rsid w:val="06AB60C8"/>
    <w:rsid w:val="06FC2DC7"/>
    <w:rsid w:val="06FC6923"/>
    <w:rsid w:val="071C6FC5"/>
    <w:rsid w:val="07232CDC"/>
    <w:rsid w:val="07AD40C1"/>
    <w:rsid w:val="080C703A"/>
    <w:rsid w:val="0845254C"/>
    <w:rsid w:val="085602C7"/>
    <w:rsid w:val="08A13C26"/>
    <w:rsid w:val="08B46BC8"/>
    <w:rsid w:val="094B1DE4"/>
    <w:rsid w:val="094B2FBF"/>
    <w:rsid w:val="09570789"/>
    <w:rsid w:val="0963712E"/>
    <w:rsid w:val="09794312"/>
    <w:rsid w:val="09A339CE"/>
    <w:rsid w:val="0A8E4236"/>
    <w:rsid w:val="0ACE6829"/>
    <w:rsid w:val="0AEE0C79"/>
    <w:rsid w:val="0B860EB1"/>
    <w:rsid w:val="0BD46892"/>
    <w:rsid w:val="0C7E2E8D"/>
    <w:rsid w:val="0C8E2B7B"/>
    <w:rsid w:val="0D5154EF"/>
    <w:rsid w:val="0D5D3E94"/>
    <w:rsid w:val="0D702390"/>
    <w:rsid w:val="0D8633EB"/>
    <w:rsid w:val="0DEC67BF"/>
    <w:rsid w:val="0E715E49"/>
    <w:rsid w:val="0EC266A4"/>
    <w:rsid w:val="0FF94EDA"/>
    <w:rsid w:val="102D3FF1"/>
    <w:rsid w:val="10600733"/>
    <w:rsid w:val="10952813"/>
    <w:rsid w:val="109C0C94"/>
    <w:rsid w:val="10B95885"/>
    <w:rsid w:val="112A22DF"/>
    <w:rsid w:val="119963B9"/>
    <w:rsid w:val="11CC783A"/>
    <w:rsid w:val="12046FD4"/>
    <w:rsid w:val="12154D3D"/>
    <w:rsid w:val="1255683B"/>
    <w:rsid w:val="12F11306"/>
    <w:rsid w:val="136E6014"/>
    <w:rsid w:val="138E4ADE"/>
    <w:rsid w:val="139A7BF0"/>
    <w:rsid w:val="13DF1AA7"/>
    <w:rsid w:val="14335E9F"/>
    <w:rsid w:val="1444633F"/>
    <w:rsid w:val="1485231C"/>
    <w:rsid w:val="153951E6"/>
    <w:rsid w:val="15542020"/>
    <w:rsid w:val="15671D54"/>
    <w:rsid w:val="16253698"/>
    <w:rsid w:val="16287735"/>
    <w:rsid w:val="16557DFE"/>
    <w:rsid w:val="16630E82"/>
    <w:rsid w:val="16BC60CF"/>
    <w:rsid w:val="17A052AD"/>
    <w:rsid w:val="17AA3615"/>
    <w:rsid w:val="17EA64CC"/>
    <w:rsid w:val="181066D2"/>
    <w:rsid w:val="181A3E44"/>
    <w:rsid w:val="1840688C"/>
    <w:rsid w:val="186802BC"/>
    <w:rsid w:val="188C616C"/>
    <w:rsid w:val="18CE20EA"/>
    <w:rsid w:val="18FA6A3B"/>
    <w:rsid w:val="193261D5"/>
    <w:rsid w:val="19964256"/>
    <w:rsid w:val="1A450189"/>
    <w:rsid w:val="1A7A6085"/>
    <w:rsid w:val="1AD25EC1"/>
    <w:rsid w:val="1AFA0F74"/>
    <w:rsid w:val="1B9B6711"/>
    <w:rsid w:val="1BF01486"/>
    <w:rsid w:val="1CB87339"/>
    <w:rsid w:val="1CED6FE2"/>
    <w:rsid w:val="1D434E54"/>
    <w:rsid w:val="1D5F5A06"/>
    <w:rsid w:val="1E03354B"/>
    <w:rsid w:val="1E764DB5"/>
    <w:rsid w:val="1F0625DD"/>
    <w:rsid w:val="1F095C2A"/>
    <w:rsid w:val="1F721825"/>
    <w:rsid w:val="1FC94AE7"/>
    <w:rsid w:val="203211B0"/>
    <w:rsid w:val="205A11F9"/>
    <w:rsid w:val="20F50195"/>
    <w:rsid w:val="214B42D7"/>
    <w:rsid w:val="21DF0EC4"/>
    <w:rsid w:val="21EF7359"/>
    <w:rsid w:val="22361730"/>
    <w:rsid w:val="23660F82"/>
    <w:rsid w:val="23955CDE"/>
    <w:rsid w:val="24155071"/>
    <w:rsid w:val="241B49E1"/>
    <w:rsid w:val="24961D0D"/>
    <w:rsid w:val="24DB3BC4"/>
    <w:rsid w:val="251F3C47"/>
    <w:rsid w:val="259C77F7"/>
    <w:rsid w:val="26130D79"/>
    <w:rsid w:val="26A821CC"/>
    <w:rsid w:val="26E256DE"/>
    <w:rsid w:val="273C4EE5"/>
    <w:rsid w:val="277A3B68"/>
    <w:rsid w:val="279664C8"/>
    <w:rsid w:val="27C546B8"/>
    <w:rsid w:val="28C36E49"/>
    <w:rsid w:val="2A1D4C7F"/>
    <w:rsid w:val="2A225DF1"/>
    <w:rsid w:val="2A5D6CB9"/>
    <w:rsid w:val="2A8F792B"/>
    <w:rsid w:val="2B5B15BB"/>
    <w:rsid w:val="2B6F32B8"/>
    <w:rsid w:val="2CD86C3B"/>
    <w:rsid w:val="2D3B5B48"/>
    <w:rsid w:val="2F1231BF"/>
    <w:rsid w:val="2F77098D"/>
    <w:rsid w:val="2F987B8B"/>
    <w:rsid w:val="2FC00586"/>
    <w:rsid w:val="2FDB2CCA"/>
    <w:rsid w:val="302562D8"/>
    <w:rsid w:val="30A97174"/>
    <w:rsid w:val="30DC4F4C"/>
    <w:rsid w:val="31501496"/>
    <w:rsid w:val="319770C5"/>
    <w:rsid w:val="32222E32"/>
    <w:rsid w:val="32701975"/>
    <w:rsid w:val="3296737C"/>
    <w:rsid w:val="331704BD"/>
    <w:rsid w:val="33267BFD"/>
    <w:rsid w:val="3365198F"/>
    <w:rsid w:val="33B026C0"/>
    <w:rsid w:val="33D20888"/>
    <w:rsid w:val="340547BA"/>
    <w:rsid w:val="346F257B"/>
    <w:rsid w:val="34E24AFB"/>
    <w:rsid w:val="35666C41"/>
    <w:rsid w:val="35CF32D1"/>
    <w:rsid w:val="36EA2FE6"/>
    <w:rsid w:val="37677539"/>
    <w:rsid w:val="37CA01F4"/>
    <w:rsid w:val="38353180"/>
    <w:rsid w:val="385E6B8E"/>
    <w:rsid w:val="38981C17"/>
    <w:rsid w:val="38D26C34"/>
    <w:rsid w:val="398443D3"/>
    <w:rsid w:val="399C171C"/>
    <w:rsid w:val="39D3691A"/>
    <w:rsid w:val="3A976388"/>
    <w:rsid w:val="3AC54CA3"/>
    <w:rsid w:val="3B5B73B5"/>
    <w:rsid w:val="3C187054"/>
    <w:rsid w:val="3C5F2ED5"/>
    <w:rsid w:val="3CCA47F2"/>
    <w:rsid w:val="3D163594"/>
    <w:rsid w:val="3E2B6F15"/>
    <w:rsid w:val="3E3C643A"/>
    <w:rsid w:val="3E506F79"/>
    <w:rsid w:val="3F2E4202"/>
    <w:rsid w:val="407F76A2"/>
    <w:rsid w:val="40953369"/>
    <w:rsid w:val="41076015"/>
    <w:rsid w:val="41540B2E"/>
    <w:rsid w:val="41E40104"/>
    <w:rsid w:val="42C27D1A"/>
    <w:rsid w:val="42C6780A"/>
    <w:rsid w:val="432D2B30"/>
    <w:rsid w:val="434846C3"/>
    <w:rsid w:val="437D08DD"/>
    <w:rsid w:val="43875B4A"/>
    <w:rsid w:val="4439400C"/>
    <w:rsid w:val="44416217"/>
    <w:rsid w:val="44BD69EB"/>
    <w:rsid w:val="457C6FD5"/>
    <w:rsid w:val="45E34426"/>
    <w:rsid w:val="462222A9"/>
    <w:rsid w:val="485F6737"/>
    <w:rsid w:val="48724813"/>
    <w:rsid w:val="48D82045"/>
    <w:rsid w:val="4A2470B2"/>
    <w:rsid w:val="4A325785"/>
    <w:rsid w:val="4A3C6604"/>
    <w:rsid w:val="4A4A2ACF"/>
    <w:rsid w:val="4AC705C3"/>
    <w:rsid w:val="4AC76815"/>
    <w:rsid w:val="4B111850"/>
    <w:rsid w:val="4B3C6FE3"/>
    <w:rsid w:val="4BF076A6"/>
    <w:rsid w:val="4C0D64AA"/>
    <w:rsid w:val="4C4C2BBF"/>
    <w:rsid w:val="4CEC2563"/>
    <w:rsid w:val="4D7D140D"/>
    <w:rsid w:val="4D9F1383"/>
    <w:rsid w:val="4F2064F4"/>
    <w:rsid w:val="4FE45773"/>
    <w:rsid w:val="50B66929"/>
    <w:rsid w:val="50C11611"/>
    <w:rsid w:val="511B6236"/>
    <w:rsid w:val="511F2F07"/>
    <w:rsid w:val="516C5A20"/>
    <w:rsid w:val="517E1085"/>
    <w:rsid w:val="5180327A"/>
    <w:rsid w:val="51A258E6"/>
    <w:rsid w:val="51AA0AAD"/>
    <w:rsid w:val="51BC69A8"/>
    <w:rsid w:val="523A5B1F"/>
    <w:rsid w:val="525B7B04"/>
    <w:rsid w:val="52741DC1"/>
    <w:rsid w:val="527E1EAF"/>
    <w:rsid w:val="52B15DE1"/>
    <w:rsid w:val="52DB2E5E"/>
    <w:rsid w:val="538B4884"/>
    <w:rsid w:val="54C120D0"/>
    <w:rsid w:val="54F52E46"/>
    <w:rsid w:val="55B17EA6"/>
    <w:rsid w:val="5627460C"/>
    <w:rsid w:val="56535401"/>
    <w:rsid w:val="57233025"/>
    <w:rsid w:val="572A6162"/>
    <w:rsid w:val="57CA16F3"/>
    <w:rsid w:val="57E52089"/>
    <w:rsid w:val="58020E8D"/>
    <w:rsid w:val="58262DCD"/>
    <w:rsid w:val="58647451"/>
    <w:rsid w:val="590D463C"/>
    <w:rsid w:val="59720769"/>
    <w:rsid w:val="5A046208"/>
    <w:rsid w:val="5A1E5B85"/>
    <w:rsid w:val="5AD06469"/>
    <w:rsid w:val="5B7B0F25"/>
    <w:rsid w:val="5C1A141A"/>
    <w:rsid w:val="5C4F21C6"/>
    <w:rsid w:val="5CE134A3"/>
    <w:rsid w:val="5D130133"/>
    <w:rsid w:val="5D7E7207"/>
    <w:rsid w:val="5DC97650"/>
    <w:rsid w:val="5DDE1A54"/>
    <w:rsid w:val="5EA06D09"/>
    <w:rsid w:val="5EFB6656"/>
    <w:rsid w:val="5F1F4ED8"/>
    <w:rsid w:val="5F280BF9"/>
    <w:rsid w:val="602120CC"/>
    <w:rsid w:val="60432042"/>
    <w:rsid w:val="60D55390"/>
    <w:rsid w:val="611D0AE5"/>
    <w:rsid w:val="61363D6C"/>
    <w:rsid w:val="61691F7C"/>
    <w:rsid w:val="61812E22"/>
    <w:rsid w:val="619568CD"/>
    <w:rsid w:val="62193481"/>
    <w:rsid w:val="624B3430"/>
    <w:rsid w:val="62DA1A0F"/>
    <w:rsid w:val="635F3637"/>
    <w:rsid w:val="63FF779E"/>
    <w:rsid w:val="642066CD"/>
    <w:rsid w:val="644D7933"/>
    <w:rsid w:val="64526CF8"/>
    <w:rsid w:val="647749B0"/>
    <w:rsid w:val="648C5659"/>
    <w:rsid w:val="64BE613B"/>
    <w:rsid w:val="64FA23D0"/>
    <w:rsid w:val="652367E0"/>
    <w:rsid w:val="6598698C"/>
    <w:rsid w:val="65BA6903"/>
    <w:rsid w:val="65E9368C"/>
    <w:rsid w:val="661F63EA"/>
    <w:rsid w:val="665E7BD6"/>
    <w:rsid w:val="669C425A"/>
    <w:rsid w:val="674A1F08"/>
    <w:rsid w:val="67753429"/>
    <w:rsid w:val="68692862"/>
    <w:rsid w:val="692F585A"/>
    <w:rsid w:val="69E67527"/>
    <w:rsid w:val="6A503CD9"/>
    <w:rsid w:val="6AA858C3"/>
    <w:rsid w:val="6AE61F48"/>
    <w:rsid w:val="6BF30DC0"/>
    <w:rsid w:val="6C9D1648"/>
    <w:rsid w:val="6CB24E0B"/>
    <w:rsid w:val="6D117A09"/>
    <w:rsid w:val="6EB5235D"/>
    <w:rsid w:val="6EFC61DE"/>
    <w:rsid w:val="6F2614AD"/>
    <w:rsid w:val="6F6B6EC0"/>
    <w:rsid w:val="6FFE1AE2"/>
    <w:rsid w:val="70335C2F"/>
    <w:rsid w:val="70886D23"/>
    <w:rsid w:val="70932B72"/>
    <w:rsid w:val="7104137A"/>
    <w:rsid w:val="71AB0B90"/>
    <w:rsid w:val="726E11A1"/>
    <w:rsid w:val="73D77023"/>
    <w:rsid w:val="745E6FF3"/>
    <w:rsid w:val="74654825"/>
    <w:rsid w:val="74E53270"/>
    <w:rsid w:val="750114D9"/>
    <w:rsid w:val="7530273D"/>
    <w:rsid w:val="76845A85"/>
    <w:rsid w:val="76EE3833"/>
    <w:rsid w:val="774C604A"/>
    <w:rsid w:val="7860158C"/>
    <w:rsid w:val="789C633C"/>
    <w:rsid w:val="79330A4E"/>
    <w:rsid w:val="7947274B"/>
    <w:rsid w:val="7956126A"/>
    <w:rsid w:val="796230E1"/>
    <w:rsid w:val="79951709"/>
    <w:rsid w:val="79BF22E2"/>
    <w:rsid w:val="7A0F316A"/>
    <w:rsid w:val="7A28432B"/>
    <w:rsid w:val="7B5B428C"/>
    <w:rsid w:val="7B5F1FCE"/>
    <w:rsid w:val="7BB816DF"/>
    <w:rsid w:val="7C393AA3"/>
    <w:rsid w:val="7CB00608"/>
    <w:rsid w:val="7CE745C5"/>
    <w:rsid w:val="7D192F2B"/>
    <w:rsid w:val="7D3204B3"/>
    <w:rsid w:val="7D586CD5"/>
    <w:rsid w:val="7D79158D"/>
    <w:rsid w:val="7DCA74A7"/>
    <w:rsid w:val="7E5A082B"/>
    <w:rsid w:val="7FA93818"/>
    <w:rsid w:val="7FE60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0"/>
    <w:autoRedefine/>
    <w:qFormat/>
    <w:uiPriority w:val="0"/>
    <w:pPr>
      <w:keepNext/>
      <w:keepLines/>
      <w:spacing w:before="60" w:after="60"/>
      <w:outlineLvl w:val="1"/>
    </w:pPr>
    <w:rPr>
      <w:rFonts w:ascii="宋体" w:hAnsi="Arial" w:cs="宋体"/>
      <w:sz w:val="28"/>
      <w:szCs w:val="28"/>
    </w:rPr>
  </w:style>
  <w:style w:type="paragraph" w:styleId="4">
    <w:name w:val="heading 3"/>
    <w:basedOn w:val="3"/>
    <w:next w:val="1"/>
    <w:link w:val="61"/>
    <w:autoRedefine/>
    <w:qFormat/>
    <w:uiPriority w:val="0"/>
    <w:pPr>
      <w:keepNext/>
      <w:keepLines/>
      <w:spacing w:before="120" w:after="120"/>
      <w:ind w:firstLine="480"/>
      <w:outlineLvl w:val="2"/>
    </w:pPr>
    <w:rPr>
      <w:sz w:val="24"/>
      <w:szCs w:val="24"/>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73"/>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5"/>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6"/>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rPr>
      <w:szCs w:val="24"/>
    </w:r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64"/>
    <w:autoRedefine/>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autoRedefine/>
    <w:qFormat/>
    <w:uiPriority w:val="0"/>
    <w:pPr>
      <w:spacing w:before="120"/>
    </w:pPr>
    <w:rPr>
      <w:rFonts w:ascii="Arial" w:hAnsi="Arial" w:cs="Arial"/>
      <w:sz w:val="24"/>
      <w:szCs w:val="24"/>
    </w:rPr>
  </w:style>
  <w:style w:type="paragraph" w:styleId="16">
    <w:name w:val="annotation text"/>
    <w:basedOn w:val="1"/>
    <w:link w:val="161"/>
    <w:autoRedefine/>
    <w:unhideWhenUsed/>
    <w:qFormat/>
    <w:uiPriority w:val="0"/>
    <w:pPr>
      <w:jc w:val="left"/>
    </w:pPr>
  </w:style>
  <w:style w:type="paragraph" w:styleId="17">
    <w:name w:val="Body Text 3"/>
    <w:basedOn w:val="1"/>
    <w:link w:val="165"/>
    <w:autoRedefine/>
    <w:qFormat/>
    <w:uiPriority w:val="0"/>
    <w:pPr>
      <w:spacing w:after="120"/>
    </w:pPr>
    <w:rPr>
      <w:rFonts w:asciiTheme="minorHAnsi" w:hAnsiTheme="minorHAnsi" w:eastAsiaTheme="minorEastAsia" w:cstheme="minorBidi"/>
      <w:sz w:val="16"/>
      <w:szCs w:val="16"/>
    </w:rPr>
  </w:style>
  <w:style w:type="paragraph" w:styleId="18">
    <w:name w:val="Body Text"/>
    <w:basedOn w:val="1"/>
    <w:link w:val="166"/>
    <w:autoRedefine/>
    <w:qFormat/>
    <w:uiPriority w:val="0"/>
    <w:pPr>
      <w:spacing w:after="120"/>
    </w:pPr>
    <w:rPr>
      <w:rFonts w:cs="Mangal" w:asciiTheme="minorHAnsi" w:hAnsiTheme="minorHAnsi" w:eastAsiaTheme="minorEastAsia"/>
      <w:szCs w:val="18"/>
      <w:lang w:eastAsia="hi-IN" w:bidi="hi-IN"/>
    </w:rPr>
  </w:style>
  <w:style w:type="paragraph" w:styleId="19">
    <w:name w:val="Body Text Indent"/>
    <w:basedOn w:val="1"/>
    <w:next w:val="1"/>
    <w:link w:val="160"/>
    <w:autoRedefine/>
    <w:qFormat/>
    <w:uiPriority w:val="0"/>
    <w:pPr>
      <w:spacing w:after="120"/>
      <w:ind w:left="420" w:leftChars="200"/>
    </w:pPr>
    <w:rPr>
      <w:rFonts w:asciiTheme="minorHAnsi" w:hAnsiTheme="minorHAnsi" w:eastAsiaTheme="minorEastAsia" w:cstheme="minorBidi"/>
      <w:szCs w:val="24"/>
    </w:rPr>
  </w:style>
  <w:style w:type="paragraph" w:styleId="20">
    <w:name w:val="List 2"/>
    <w:basedOn w:val="1"/>
    <w:autoRedefine/>
    <w:qFormat/>
    <w:uiPriority w:val="0"/>
    <w:pPr>
      <w:ind w:left="100" w:leftChars="200" w:hanging="200" w:hangingChars="200"/>
    </w:pPr>
    <w:rPr>
      <w:szCs w:val="24"/>
    </w:rPr>
  </w:style>
  <w:style w:type="paragraph" w:styleId="21">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tabs>
        <w:tab w:val="right" w:leader="dot" w:pos="8296"/>
      </w:tabs>
      <w:ind w:left="1050" w:leftChars="500"/>
    </w:pPr>
    <w:rPr>
      <w:rFonts w:ascii="Calibri" w:hAnsi="Calibri"/>
      <w:szCs w:val="22"/>
    </w:rPr>
  </w:style>
  <w:style w:type="paragraph" w:styleId="24">
    <w:name w:val="toc 3"/>
    <w:basedOn w:val="1"/>
    <w:next w:val="1"/>
    <w:autoRedefine/>
    <w:qFormat/>
    <w:uiPriority w:val="39"/>
    <w:pPr>
      <w:tabs>
        <w:tab w:val="right" w:leader="dot" w:pos="8302"/>
      </w:tabs>
      <w:ind w:left="420"/>
      <w:jc w:val="left"/>
    </w:pPr>
    <w:rPr>
      <w:rFonts w:ascii="宋体" w:hAnsi="宋体"/>
      <w:iCs/>
      <w:snapToGrid w:val="0"/>
      <w:kern w:val="0"/>
    </w:rPr>
  </w:style>
  <w:style w:type="paragraph" w:styleId="25">
    <w:name w:val="Plain Text"/>
    <w:basedOn w:val="1"/>
    <w:link w:val="65"/>
    <w:autoRedefine/>
    <w:unhideWhenUsed/>
    <w:qFormat/>
    <w:uiPriority w:val="0"/>
    <w:rPr>
      <w:rFonts w:ascii="宋体" w:hAnsi="Courier New" w:cs="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163"/>
    <w:autoRedefine/>
    <w:qFormat/>
    <w:uiPriority w:val="0"/>
    <w:pPr>
      <w:ind w:left="100" w:leftChars="2500"/>
    </w:pPr>
    <w:rPr>
      <w:rFonts w:asciiTheme="minorHAnsi" w:hAnsiTheme="minorHAnsi" w:eastAsiaTheme="minorEastAsia" w:cstheme="minorBidi"/>
      <w:szCs w:val="24"/>
    </w:rPr>
  </w:style>
  <w:style w:type="paragraph" w:styleId="28">
    <w:name w:val="Body Text Indent 2"/>
    <w:basedOn w:val="1"/>
    <w:link w:val="154"/>
    <w:autoRedefine/>
    <w:qFormat/>
    <w:uiPriority w:val="0"/>
    <w:pPr>
      <w:ind w:firstLine="538" w:firstLineChars="192"/>
    </w:pPr>
    <w:rPr>
      <w:rFonts w:asciiTheme="minorHAnsi" w:hAnsiTheme="minorHAnsi" w:eastAsiaTheme="minorEastAsia" w:cstheme="minorBidi"/>
      <w:sz w:val="28"/>
      <w:szCs w:val="22"/>
    </w:rPr>
  </w:style>
  <w:style w:type="paragraph" w:styleId="29">
    <w:name w:val="Balloon Text"/>
    <w:basedOn w:val="1"/>
    <w:link w:val="72"/>
    <w:autoRedefine/>
    <w:unhideWhenUsed/>
    <w:qFormat/>
    <w:uiPriority w:val="0"/>
    <w:rPr>
      <w:sz w:val="18"/>
      <w:szCs w:val="18"/>
    </w:rPr>
  </w:style>
  <w:style w:type="paragraph" w:styleId="30">
    <w:name w:val="footer"/>
    <w:basedOn w:val="1"/>
    <w:link w:val="71"/>
    <w:autoRedefine/>
    <w:unhideWhenUsed/>
    <w:qFormat/>
    <w:uiPriority w:val="99"/>
    <w:pPr>
      <w:snapToGrid w:val="0"/>
      <w:jc w:val="left"/>
    </w:pPr>
    <w:rPr>
      <w:sz w:val="18"/>
      <w:szCs w:val="18"/>
    </w:rPr>
  </w:style>
  <w:style w:type="paragraph" w:styleId="31">
    <w:name w:val="header"/>
    <w:basedOn w:val="1"/>
    <w:link w:val="68"/>
    <w:autoRedefine/>
    <w:unhideWhenUsed/>
    <w:qFormat/>
    <w:uiPriority w:val="99"/>
    <w:pPr>
      <w:pBdr>
        <w:bottom w:val="single" w:color="auto" w:sz="6" w:space="1"/>
      </w:pBdr>
      <w:snapToGrid w:val="0"/>
      <w:jc w:val="center"/>
    </w:pPr>
    <w:rPr>
      <w:sz w:val="18"/>
      <w:szCs w:val="18"/>
    </w:rPr>
  </w:style>
  <w:style w:type="paragraph" w:styleId="32">
    <w:name w:val="toc 1"/>
    <w:basedOn w:val="1"/>
    <w:next w:val="1"/>
    <w:unhideWhenUsed/>
    <w:qFormat/>
    <w:uiPriority w:val="39"/>
    <w:pPr>
      <w:spacing w:line="400" w:lineRule="exact"/>
      <w:jc w:val="left"/>
    </w:pPr>
    <w:rPr>
      <w:rFonts w:ascii="宋体" w:hAnsi="宋体" w:cs="宋体"/>
      <w:b/>
      <w:bCs/>
      <w:caps/>
      <w:color w:val="000000"/>
    </w:rPr>
  </w:style>
  <w:style w:type="paragraph" w:styleId="33">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4">
    <w:name w:val="Subtitle"/>
    <w:basedOn w:val="1"/>
    <w:next w:val="1"/>
    <w:link w:val="158"/>
    <w:autoRedefine/>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5">
    <w:name w:val="footnote text"/>
    <w:basedOn w:val="1"/>
    <w:link w:val="249"/>
    <w:autoRedefine/>
    <w:semiHidden/>
    <w:unhideWhenUsed/>
    <w:qFormat/>
    <w:uiPriority w:val="99"/>
    <w:pPr>
      <w:snapToGrid w:val="0"/>
      <w:jc w:val="left"/>
    </w:pPr>
    <w:rPr>
      <w:sz w:val="18"/>
      <w:szCs w:val="18"/>
    </w:rPr>
  </w:style>
  <w:style w:type="paragraph" w:styleId="36">
    <w:name w:val="toc 6"/>
    <w:basedOn w:val="1"/>
    <w:next w:val="1"/>
    <w:autoRedefine/>
    <w:qFormat/>
    <w:uiPriority w:val="0"/>
    <w:pPr>
      <w:ind w:left="1050"/>
      <w:jc w:val="left"/>
    </w:pPr>
    <w:rPr>
      <w:sz w:val="20"/>
      <w:szCs w:val="20"/>
    </w:rPr>
  </w:style>
  <w:style w:type="paragraph" w:styleId="37">
    <w:name w:val="Body Text Indent 3"/>
    <w:basedOn w:val="1"/>
    <w:link w:val="170"/>
    <w:qFormat/>
    <w:uiPriority w:val="0"/>
    <w:pPr>
      <w:spacing w:after="120"/>
      <w:ind w:left="420" w:leftChars="200"/>
    </w:pPr>
    <w:rPr>
      <w:rFonts w:asciiTheme="minorHAnsi" w:hAnsiTheme="minorHAnsi" w:eastAsiaTheme="minorEastAsia" w:cstheme="minorBidi"/>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0">
    <w:name w:val="toc 9"/>
    <w:basedOn w:val="1"/>
    <w:next w:val="1"/>
    <w:autoRedefine/>
    <w:qFormat/>
    <w:uiPriority w:val="0"/>
    <w:pPr>
      <w:ind w:left="3360" w:leftChars="1600"/>
    </w:pPr>
    <w:rPr>
      <w:rFonts w:ascii="Calibri" w:hAnsi="Calibri"/>
      <w:szCs w:val="22"/>
    </w:rPr>
  </w:style>
  <w:style w:type="paragraph" w:styleId="41">
    <w:name w:val="Body Text 2"/>
    <w:basedOn w:val="1"/>
    <w:next w:val="18"/>
    <w:link w:val="174"/>
    <w:autoRedefine/>
    <w:qFormat/>
    <w:uiPriority w:val="0"/>
    <w:pPr>
      <w:widowControl/>
      <w:spacing w:before="100" w:beforeAutospacing="1" w:after="100" w:afterAutospacing="1"/>
      <w:jc w:val="left"/>
    </w:pPr>
    <w:rPr>
      <w:rFonts w:ascii="宋体" w:hAnsi="宋体" w:cs="宋体" w:eastAsiaTheme="minorEastAsia"/>
      <w:sz w:val="24"/>
      <w:szCs w:val="24"/>
    </w:rPr>
  </w:style>
  <w:style w:type="paragraph" w:styleId="42">
    <w:name w:val="Message Header"/>
    <w:basedOn w:val="1"/>
    <w:link w:val="63"/>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3">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157"/>
    <w:autoRedefine/>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5">
    <w:name w:val="annotation subject"/>
    <w:basedOn w:val="16"/>
    <w:next w:val="16"/>
    <w:link w:val="162"/>
    <w:autoRedefine/>
    <w:qFormat/>
    <w:uiPriority w:val="0"/>
    <w:rPr>
      <w:rFonts w:ascii="宋体" w:hAnsiTheme="minorHAnsi" w:eastAsiaTheme="minorEastAsia" w:cstheme="minorBidi"/>
      <w:b/>
      <w:bCs/>
      <w:sz w:val="28"/>
      <w:szCs w:val="22"/>
    </w:rPr>
  </w:style>
  <w:style w:type="paragraph" w:styleId="46">
    <w:name w:val="Body Text First Indent 2"/>
    <w:basedOn w:val="19"/>
    <w:next w:val="1"/>
    <w:autoRedefine/>
    <w:qFormat/>
    <w:uiPriority w:val="0"/>
    <w:pPr>
      <w:adjustRightInd w:val="0"/>
      <w:spacing w:after="0"/>
      <w:ind w:left="960" w:leftChars="0" w:firstLine="420"/>
      <w:jc w:val="left"/>
    </w:pPr>
    <w:rPr>
      <w:rFonts w:ascii="楷体_GB2312"/>
      <w:kern w:val="0"/>
      <w:sz w:val="28"/>
      <w:szCs w:val="28"/>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basedOn w:val="49"/>
    <w:unhideWhenUsed/>
    <w:qFormat/>
    <w:uiPriority w:val="0"/>
    <w:rPr>
      <w:color w:val="000000"/>
      <w:sz w:val="16"/>
      <w:szCs w:val="16"/>
      <w:u w:val="none"/>
    </w:rPr>
  </w:style>
  <w:style w:type="character" w:styleId="53">
    <w:name w:val="Emphasis"/>
    <w:autoRedefine/>
    <w:qFormat/>
    <w:uiPriority w:val="0"/>
    <w:rPr>
      <w:color w:val="C60A00"/>
    </w:rPr>
  </w:style>
  <w:style w:type="character" w:styleId="54">
    <w:name w:val="Hyperlink"/>
    <w:basedOn w:val="49"/>
    <w:unhideWhenUsed/>
    <w:qFormat/>
    <w:uiPriority w:val="99"/>
    <w:rPr>
      <w:color w:val="000000"/>
      <w:sz w:val="16"/>
      <w:szCs w:val="16"/>
      <w:u w:val="none"/>
    </w:rPr>
  </w:style>
  <w:style w:type="character" w:styleId="55">
    <w:name w:val="annotation reference"/>
    <w:autoRedefine/>
    <w:qFormat/>
    <w:uiPriority w:val="0"/>
    <w:rPr>
      <w:rFonts w:cs="Times New Roman"/>
      <w:sz w:val="21"/>
      <w:szCs w:val="21"/>
    </w:rPr>
  </w:style>
  <w:style w:type="paragraph" w:customStyle="1" w:styleId="56">
    <w:name w:val="Default"/>
    <w:basedOn w:val="1"/>
    <w:next w:val="38"/>
    <w:qFormat/>
    <w:uiPriority w:val="0"/>
    <w:pPr>
      <w:autoSpaceDE w:val="0"/>
      <w:autoSpaceDN w:val="0"/>
      <w:adjustRightInd w:val="0"/>
      <w:jc w:val="left"/>
    </w:pPr>
    <w:rPr>
      <w:rFonts w:ascii="宋体" w:cs="宋体"/>
      <w:color w:val="000000"/>
      <w:kern w:val="0"/>
      <w:sz w:val="24"/>
      <w:szCs w:val="24"/>
    </w:rPr>
  </w:style>
  <w:style w:type="paragraph" w:customStyle="1" w:styleId="57">
    <w:name w:val="首行缩进"/>
    <w:basedOn w:val="1"/>
    <w:qFormat/>
    <w:uiPriority w:val="0"/>
    <w:pPr>
      <w:spacing w:line="360" w:lineRule="auto"/>
      <w:ind w:firstLine="480"/>
    </w:pPr>
    <w:rPr>
      <w:rFonts w:ascii="宋体" w:hAnsi="宋体"/>
      <w:kern w:val="0"/>
      <w:sz w:val="24"/>
    </w:rPr>
  </w:style>
  <w:style w:type="paragraph" w:customStyle="1" w:styleId="58">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59">
    <w:name w:val="标题 1 Char"/>
    <w:basedOn w:val="49"/>
    <w:link w:val="2"/>
    <w:qFormat/>
    <w:uiPriority w:val="0"/>
    <w:rPr>
      <w:rFonts w:ascii="Times New Roman" w:hAnsi="Times New Roman" w:eastAsia="宋体" w:cs="Times New Roman"/>
      <w:b/>
      <w:bCs/>
      <w:kern w:val="44"/>
      <w:sz w:val="44"/>
      <w:szCs w:val="44"/>
    </w:rPr>
  </w:style>
  <w:style w:type="character" w:customStyle="1" w:styleId="60">
    <w:name w:val="标题 2 Char"/>
    <w:basedOn w:val="49"/>
    <w:link w:val="3"/>
    <w:autoRedefine/>
    <w:qFormat/>
    <w:uiPriority w:val="0"/>
    <w:rPr>
      <w:rFonts w:ascii="宋体" w:hAnsi="Arial" w:eastAsia="宋体" w:cs="宋体"/>
      <w:b/>
      <w:bCs/>
      <w:sz w:val="28"/>
      <w:szCs w:val="28"/>
    </w:rPr>
  </w:style>
  <w:style w:type="character" w:customStyle="1" w:styleId="61">
    <w:name w:val="标题 3 Char"/>
    <w:basedOn w:val="49"/>
    <w:link w:val="4"/>
    <w:qFormat/>
    <w:uiPriority w:val="0"/>
    <w:rPr>
      <w:rFonts w:ascii="Times New Roman" w:hAnsi="Times New Roman" w:eastAsia="宋体" w:cs="Times New Roman"/>
      <w:b/>
      <w:bCs/>
      <w:sz w:val="24"/>
      <w:szCs w:val="24"/>
    </w:rPr>
  </w:style>
  <w:style w:type="character" w:customStyle="1" w:styleId="62">
    <w:name w:val="标题 4 Char"/>
    <w:basedOn w:val="49"/>
    <w:link w:val="5"/>
    <w:autoRedefine/>
    <w:qFormat/>
    <w:uiPriority w:val="0"/>
    <w:rPr>
      <w:rFonts w:ascii="Arial" w:hAnsi="Arial" w:eastAsia="黑体" w:cs="Arial"/>
      <w:b/>
      <w:bCs/>
      <w:sz w:val="28"/>
      <w:szCs w:val="28"/>
    </w:rPr>
  </w:style>
  <w:style w:type="character" w:customStyle="1" w:styleId="63">
    <w:name w:val="信息标题 Char"/>
    <w:basedOn w:val="49"/>
    <w:link w:val="42"/>
    <w:autoRedefine/>
    <w:semiHidden/>
    <w:qFormat/>
    <w:uiPriority w:val="99"/>
    <w:rPr>
      <w:rFonts w:ascii="Cambria" w:hAnsi="Cambria" w:eastAsia="宋体" w:cs="宋体"/>
      <w:sz w:val="24"/>
      <w:szCs w:val="24"/>
      <w:shd w:val="clear" w:color="auto" w:fill="7F7F7F"/>
    </w:rPr>
  </w:style>
  <w:style w:type="paragraph" w:customStyle="1" w:styleId="6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character" w:customStyle="1" w:styleId="65">
    <w:name w:val="纯文本 Char"/>
    <w:basedOn w:val="49"/>
    <w:link w:val="25"/>
    <w:qFormat/>
    <w:uiPriority w:val="0"/>
    <w:rPr>
      <w:rFonts w:ascii="宋体" w:hAnsi="Courier New" w:eastAsia="宋体" w:cs="Courier New"/>
      <w:szCs w:val="21"/>
    </w:rPr>
  </w:style>
  <w:style w:type="paragraph" w:customStyle="1" w:styleId="66">
    <w:name w:val="zw"/>
    <w:basedOn w:val="1"/>
    <w:autoRedefine/>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7">
    <w:name w:val="列出段落1"/>
    <w:basedOn w:val="1"/>
    <w:autoRedefine/>
    <w:qFormat/>
    <w:uiPriority w:val="0"/>
    <w:pPr>
      <w:ind w:firstLine="420" w:firstLineChars="200"/>
    </w:pPr>
  </w:style>
  <w:style w:type="character" w:customStyle="1" w:styleId="68">
    <w:name w:val="页眉 Char"/>
    <w:basedOn w:val="49"/>
    <w:link w:val="31"/>
    <w:autoRedefine/>
    <w:qFormat/>
    <w:uiPriority w:val="99"/>
    <w:rPr>
      <w:rFonts w:ascii="Times New Roman" w:hAnsi="Times New Roman" w:eastAsia="宋体" w:cs="Times New Roman"/>
      <w:sz w:val="18"/>
      <w:szCs w:val="18"/>
    </w:rPr>
  </w:style>
  <w:style w:type="paragraph" w:customStyle="1" w:styleId="69">
    <w:name w:val="p15"/>
    <w:basedOn w:val="1"/>
    <w:autoRedefine/>
    <w:qFormat/>
    <w:uiPriority w:val="0"/>
    <w:pPr>
      <w:widowControl/>
      <w:spacing w:before="100" w:after="100"/>
      <w:jc w:val="left"/>
    </w:pPr>
    <w:rPr>
      <w:rFonts w:ascii="宋体" w:hAnsi="宋体" w:cs="宋体"/>
      <w:kern w:val="0"/>
      <w:sz w:val="24"/>
      <w:szCs w:val="24"/>
    </w:rPr>
  </w:style>
  <w:style w:type="paragraph" w:customStyle="1" w:styleId="70">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71">
    <w:name w:val="页脚 Char"/>
    <w:basedOn w:val="49"/>
    <w:link w:val="30"/>
    <w:qFormat/>
    <w:uiPriority w:val="99"/>
    <w:rPr>
      <w:rFonts w:ascii="Times New Roman" w:hAnsi="Times New Roman" w:eastAsia="宋体" w:cs="Times New Roman"/>
      <w:sz w:val="18"/>
      <w:szCs w:val="18"/>
    </w:rPr>
  </w:style>
  <w:style w:type="character" w:customStyle="1" w:styleId="72">
    <w:name w:val="批注框文本 Char"/>
    <w:basedOn w:val="49"/>
    <w:link w:val="29"/>
    <w:qFormat/>
    <w:uiPriority w:val="0"/>
    <w:rPr>
      <w:rFonts w:ascii="Times New Roman" w:hAnsi="Times New Roman" w:eastAsia="宋体" w:cs="Times New Roman"/>
      <w:sz w:val="18"/>
      <w:szCs w:val="18"/>
    </w:rPr>
  </w:style>
  <w:style w:type="character" w:customStyle="1" w:styleId="73">
    <w:name w:val="标题 5 Char"/>
    <w:basedOn w:val="49"/>
    <w:link w:val="6"/>
    <w:autoRedefine/>
    <w:qFormat/>
    <w:uiPriority w:val="0"/>
    <w:rPr>
      <w:rFonts w:ascii="Times New Roman" w:hAnsi="Times New Roman" w:eastAsia="宋体" w:cs="Times New Roman"/>
      <w:b/>
      <w:bCs/>
      <w:sz w:val="28"/>
      <w:szCs w:val="28"/>
    </w:rPr>
  </w:style>
  <w:style w:type="character" w:customStyle="1" w:styleId="74">
    <w:name w:val="标题 6 Char"/>
    <w:basedOn w:val="49"/>
    <w:link w:val="7"/>
    <w:autoRedefine/>
    <w:qFormat/>
    <w:uiPriority w:val="0"/>
    <w:rPr>
      <w:rFonts w:ascii="Arial" w:hAnsi="Arial" w:eastAsia="黑体" w:cs="Times New Roman"/>
      <w:b/>
      <w:bCs/>
      <w:kern w:val="0"/>
      <w:sz w:val="24"/>
      <w:szCs w:val="24"/>
    </w:rPr>
  </w:style>
  <w:style w:type="character" w:customStyle="1" w:styleId="75">
    <w:name w:val="标题 7 Char"/>
    <w:basedOn w:val="49"/>
    <w:link w:val="8"/>
    <w:autoRedefine/>
    <w:qFormat/>
    <w:uiPriority w:val="0"/>
    <w:rPr>
      <w:rFonts w:ascii="Times New Roman" w:hAnsi="Times New Roman" w:eastAsia="宋体" w:cs="Times New Roman"/>
      <w:b/>
      <w:bCs/>
      <w:kern w:val="0"/>
      <w:sz w:val="24"/>
      <w:szCs w:val="24"/>
    </w:rPr>
  </w:style>
  <w:style w:type="character" w:customStyle="1" w:styleId="76">
    <w:name w:val="标题 8 Char"/>
    <w:basedOn w:val="49"/>
    <w:link w:val="9"/>
    <w:qFormat/>
    <w:uiPriority w:val="0"/>
    <w:rPr>
      <w:rFonts w:ascii="Arial" w:hAnsi="Arial" w:eastAsia="黑体" w:cs="Times New Roman"/>
      <w:kern w:val="0"/>
      <w:sz w:val="24"/>
      <w:szCs w:val="24"/>
    </w:rPr>
  </w:style>
  <w:style w:type="character" w:customStyle="1" w:styleId="77">
    <w:name w:val="标题 9 Char"/>
    <w:basedOn w:val="49"/>
    <w:link w:val="10"/>
    <w:qFormat/>
    <w:uiPriority w:val="0"/>
    <w:rPr>
      <w:rFonts w:ascii="Arial" w:hAnsi="Arial" w:eastAsia="黑体" w:cs="Times New Roman"/>
      <w:kern w:val="0"/>
      <w:szCs w:val="21"/>
    </w:rPr>
  </w:style>
  <w:style w:type="character" w:customStyle="1" w:styleId="78">
    <w:name w:val="批注文字 Char"/>
    <w:autoRedefine/>
    <w:qFormat/>
    <w:uiPriority w:val="0"/>
    <w:rPr>
      <w:szCs w:val="24"/>
    </w:rPr>
  </w:style>
  <w:style w:type="character" w:customStyle="1" w:styleId="79">
    <w:name w:val="批注文字 Char3"/>
    <w:basedOn w:val="49"/>
    <w:autoRedefine/>
    <w:semiHidden/>
    <w:qFormat/>
    <w:uiPriority w:val="99"/>
    <w:rPr>
      <w:rFonts w:ascii="Times New Roman" w:hAnsi="Times New Roman" w:eastAsia="宋体" w:cs="Times New Roman"/>
      <w:szCs w:val="24"/>
    </w:rPr>
  </w:style>
  <w:style w:type="character" w:customStyle="1" w:styleId="80">
    <w:name w:val="文档结构图 Char4"/>
    <w:basedOn w:val="49"/>
    <w:autoRedefine/>
    <w:semiHidden/>
    <w:qFormat/>
    <w:uiPriority w:val="99"/>
    <w:rPr>
      <w:rFonts w:ascii="宋体" w:hAnsi="Times New Roman" w:eastAsia="宋体" w:cs="Times New Roman"/>
      <w:sz w:val="18"/>
      <w:szCs w:val="18"/>
    </w:rPr>
  </w:style>
  <w:style w:type="character" w:customStyle="1" w:styleId="81">
    <w:name w:val="正文文本 Char2"/>
    <w:basedOn w:val="49"/>
    <w:autoRedefine/>
    <w:qFormat/>
    <w:uiPriority w:val="99"/>
    <w:rPr>
      <w:kern w:val="2"/>
      <w:sz w:val="21"/>
      <w:szCs w:val="24"/>
    </w:rPr>
  </w:style>
  <w:style w:type="character" w:customStyle="1" w:styleId="82">
    <w:name w:val="批注主题 Char4"/>
    <w:basedOn w:val="79"/>
    <w:autoRedefine/>
    <w:semiHidden/>
    <w:qFormat/>
    <w:uiPriority w:val="99"/>
    <w:rPr>
      <w:rFonts w:ascii="Times New Roman" w:hAnsi="Times New Roman" w:eastAsia="宋体" w:cs="Times New Roman"/>
      <w:b/>
      <w:bCs/>
      <w:szCs w:val="24"/>
    </w:rPr>
  </w:style>
  <w:style w:type="character" w:customStyle="1" w:styleId="83">
    <w:name w:val="正文文本 Char3"/>
    <w:basedOn w:val="49"/>
    <w:autoRedefine/>
    <w:semiHidden/>
    <w:qFormat/>
    <w:uiPriority w:val="99"/>
    <w:rPr>
      <w:rFonts w:ascii="Times New Roman" w:hAnsi="Times New Roman" w:eastAsia="宋体" w:cs="Times New Roman"/>
      <w:szCs w:val="24"/>
    </w:rPr>
  </w:style>
  <w:style w:type="character" w:customStyle="1" w:styleId="84">
    <w:name w:val="标题 Char2"/>
    <w:basedOn w:val="49"/>
    <w:autoRedefine/>
    <w:qFormat/>
    <w:uiPriority w:val="10"/>
    <w:rPr>
      <w:rFonts w:ascii="Cambria" w:hAnsi="Cambria" w:eastAsia="宋体" w:cs="Times New Roman"/>
      <w:b/>
      <w:bCs/>
      <w:sz w:val="32"/>
      <w:szCs w:val="32"/>
    </w:rPr>
  </w:style>
  <w:style w:type="character" w:customStyle="1" w:styleId="85">
    <w:name w:val="副标题 Char2"/>
    <w:basedOn w:val="49"/>
    <w:qFormat/>
    <w:uiPriority w:val="11"/>
    <w:rPr>
      <w:rFonts w:ascii="Cambria" w:hAnsi="Cambria" w:eastAsia="宋体" w:cs="Times New Roman"/>
      <w:b/>
      <w:bCs/>
      <w:kern w:val="28"/>
      <w:sz w:val="32"/>
      <w:szCs w:val="32"/>
    </w:rPr>
  </w:style>
  <w:style w:type="character" w:customStyle="1" w:styleId="86">
    <w:name w:val="正文文本 Char"/>
    <w:basedOn w:val="49"/>
    <w:autoRedefine/>
    <w:qFormat/>
    <w:uiPriority w:val="0"/>
    <w:rPr>
      <w:rFonts w:cs="Mangal"/>
      <w:szCs w:val="18"/>
      <w:lang w:eastAsia="hi-IN" w:bidi="hi-IN"/>
    </w:rPr>
  </w:style>
  <w:style w:type="character" w:customStyle="1" w:styleId="87">
    <w:name w:val="批注文字 Char1"/>
    <w:basedOn w:val="49"/>
    <w:autoRedefine/>
    <w:qFormat/>
    <w:uiPriority w:val="99"/>
    <w:rPr>
      <w:kern w:val="2"/>
      <w:sz w:val="21"/>
      <w:szCs w:val="24"/>
    </w:rPr>
  </w:style>
  <w:style w:type="character" w:customStyle="1" w:styleId="88">
    <w:name w:val="引用 Char"/>
    <w:qFormat/>
    <w:uiPriority w:val="0"/>
    <w:rPr>
      <w:i/>
      <w:iCs/>
      <w:color w:val="000000"/>
    </w:rPr>
  </w:style>
  <w:style w:type="paragraph" w:styleId="89">
    <w:name w:val="Quote"/>
    <w:basedOn w:val="1"/>
    <w:next w:val="1"/>
    <w:link w:val="181"/>
    <w:autoRedefine/>
    <w:qFormat/>
    <w:uiPriority w:val="0"/>
    <w:rPr>
      <w:rFonts w:asciiTheme="minorHAnsi" w:hAnsiTheme="minorHAnsi" w:eastAsiaTheme="minorEastAsia" w:cstheme="minorBidi"/>
      <w:i/>
      <w:iCs/>
      <w:color w:val="000000"/>
      <w:szCs w:val="22"/>
    </w:rPr>
  </w:style>
  <w:style w:type="character" w:customStyle="1" w:styleId="90">
    <w:name w:val="textcontents"/>
    <w:autoRedefine/>
    <w:qFormat/>
    <w:uiPriority w:val="0"/>
    <w:rPr>
      <w:rFonts w:cs="Times New Roman"/>
    </w:rPr>
  </w:style>
  <w:style w:type="character" w:customStyle="1" w:styleId="91">
    <w:name w:val="正文文本 3 Char"/>
    <w:basedOn w:val="49"/>
    <w:autoRedefine/>
    <w:qFormat/>
    <w:uiPriority w:val="0"/>
    <w:rPr>
      <w:sz w:val="16"/>
      <w:szCs w:val="16"/>
    </w:rPr>
  </w:style>
  <w:style w:type="character" w:customStyle="1" w:styleId="92">
    <w:name w:val="正文文本缩进 Char"/>
    <w:basedOn w:val="49"/>
    <w:autoRedefine/>
    <w:qFormat/>
    <w:uiPriority w:val="0"/>
    <w:rPr>
      <w:szCs w:val="24"/>
    </w:rPr>
  </w:style>
  <w:style w:type="character" w:customStyle="1" w:styleId="93">
    <w:name w:val="副标题 Char1"/>
    <w:basedOn w:val="49"/>
    <w:autoRedefine/>
    <w:qFormat/>
    <w:uiPriority w:val="11"/>
    <w:rPr>
      <w:rFonts w:ascii="Cambria" w:hAnsi="Cambria" w:cs="Times New Roman"/>
      <w:b/>
      <w:bCs/>
      <w:kern w:val="28"/>
      <w:sz w:val="32"/>
      <w:szCs w:val="32"/>
    </w:rPr>
  </w:style>
  <w:style w:type="character" w:customStyle="1" w:styleId="94">
    <w:name w:val="文档结构图 Char"/>
    <w:autoRedefine/>
    <w:qFormat/>
    <w:uiPriority w:val="0"/>
    <w:rPr>
      <w:szCs w:val="24"/>
      <w:shd w:val="clear" w:color="auto" w:fill="000080"/>
    </w:rPr>
  </w:style>
  <w:style w:type="character" w:customStyle="1" w:styleId="95">
    <w:name w:val="日期 Char"/>
    <w:autoRedefine/>
    <w:qFormat/>
    <w:uiPriority w:val="0"/>
    <w:rPr>
      <w:szCs w:val="24"/>
    </w:rPr>
  </w:style>
  <w:style w:type="character" w:customStyle="1" w:styleId="96">
    <w:name w:val="正文文本缩进 Char1"/>
    <w:basedOn w:val="49"/>
    <w:autoRedefine/>
    <w:qFormat/>
    <w:uiPriority w:val="0"/>
    <w:rPr>
      <w:kern w:val="2"/>
      <w:sz w:val="21"/>
      <w:szCs w:val="24"/>
    </w:rPr>
  </w:style>
  <w:style w:type="character" w:customStyle="1" w:styleId="97">
    <w:name w:val="明显引用 Char"/>
    <w:autoRedefine/>
    <w:qFormat/>
    <w:uiPriority w:val="0"/>
    <w:rPr>
      <w:b/>
      <w:bCs/>
      <w:i/>
      <w:iCs/>
      <w:color w:val="4F81BD"/>
    </w:rPr>
  </w:style>
  <w:style w:type="paragraph" w:styleId="98">
    <w:name w:val="Intense Quote"/>
    <w:basedOn w:val="1"/>
    <w:next w:val="1"/>
    <w:link w:val="180"/>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99">
    <w:name w:val="副标题 Char"/>
    <w:autoRedefine/>
    <w:qFormat/>
    <w:uiPriority w:val="0"/>
    <w:rPr>
      <w:rFonts w:ascii="Cambria" w:hAnsi="Cambria" w:cs="Nimbus Sans L"/>
      <w:b/>
      <w:bCs/>
      <w:kern w:val="28"/>
      <w:sz w:val="32"/>
      <w:szCs w:val="32"/>
      <w:lang w:bidi="he-IL"/>
    </w:rPr>
  </w:style>
  <w:style w:type="character" w:customStyle="1" w:styleId="100">
    <w:name w:val="引用 Char3"/>
    <w:basedOn w:val="49"/>
    <w:autoRedefine/>
    <w:qFormat/>
    <w:uiPriority w:val="29"/>
    <w:rPr>
      <w:rFonts w:ascii="Times New Roman" w:hAnsi="Times New Roman" w:eastAsia="宋体" w:cs="Times New Roman"/>
      <w:i/>
      <w:iCs/>
      <w:color w:val="000000"/>
      <w:szCs w:val="24"/>
    </w:rPr>
  </w:style>
  <w:style w:type="character" w:customStyle="1" w:styleId="101">
    <w:name w:val="不明显强调1"/>
    <w:autoRedefine/>
    <w:qFormat/>
    <w:uiPriority w:val="0"/>
    <w:rPr>
      <w:i/>
      <w:iCs/>
      <w:color w:val="808080"/>
    </w:rPr>
  </w:style>
  <w:style w:type="character" w:customStyle="1" w:styleId="102">
    <w:name w:val="明显强调1"/>
    <w:autoRedefine/>
    <w:qFormat/>
    <w:uiPriority w:val="0"/>
    <w:rPr>
      <w:b/>
      <w:bCs/>
      <w:i/>
      <w:iCs/>
      <w:color w:val="4F81BD"/>
    </w:rPr>
  </w:style>
  <w:style w:type="character" w:customStyle="1" w:styleId="103">
    <w:name w:val="正文文本缩进 3 Char"/>
    <w:basedOn w:val="49"/>
    <w:autoRedefine/>
    <w:qFormat/>
    <w:uiPriority w:val="0"/>
    <w:rPr>
      <w:sz w:val="16"/>
      <w:szCs w:val="16"/>
    </w:rPr>
  </w:style>
  <w:style w:type="character" w:customStyle="1" w:styleId="104">
    <w:name w:val="批注框文本 Char3"/>
    <w:basedOn w:val="49"/>
    <w:autoRedefine/>
    <w:qFormat/>
    <w:uiPriority w:val="0"/>
    <w:rPr>
      <w:kern w:val="2"/>
      <w:sz w:val="18"/>
      <w:szCs w:val="18"/>
    </w:rPr>
  </w:style>
  <w:style w:type="character" w:customStyle="1" w:styleId="105">
    <w:name w:val="正文文本 2 Char"/>
    <w:basedOn w:val="49"/>
    <w:autoRedefine/>
    <w:qFormat/>
    <w:uiPriority w:val="0"/>
    <w:rPr>
      <w:rFonts w:ascii="宋体" w:hAnsi="宋体" w:cs="宋体"/>
      <w:sz w:val="24"/>
      <w:szCs w:val="24"/>
    </w:rPr>
  </w:style>
  <w:style w:type="character" w:customStyle="1" w:styleId="106">
    <w:name w:val="明显引用 Char2"/>
    <w:basedOn w:val="49"/>
    <w:autoRedefine/>
    <w:qFormat/>
    <w:uiPriority w:val="30"/>
    <w:rPr>
      <w:b/>
      <w:bCs/>
      <w:i/>
      <w:iCs/>
      <w:color w:val="4F81BD"/>
      <w:kern w:val="2"/>
      <w:sz w:val="21"/>
      <w:szCs w:val="24"/>
    </w:rPr>
  </w:style>
  <w:style w:type="character" w:customStyle="1" w:styleId="107">
    <w:name w:val="批注主题 Char3"/>
    <w:basedOn w:val="108"/>
    <w:autoRedefine/>
    <w:qFormat/>
    <w:uiPriority w:val="0"/>
    <w:rPr>
      <w:b/>
      <w:bCs/>
      <w:kern w:val="2"/>
      <w:sz w:val="21"/>
      <w:szCs w:val="24"/>
    </w:rPr>
  </w:style>
  <w:style w:type="character" w:customStyle="1" w:styleId="108">
    <w:name w:val="批注文字 Char2"/>
    <w:basedOn w:val="49"/>
    <w:autoRedefine/>
    <w:qFormat/>
    <w:uiPriority w:val="0"/>
    <w:rPr>
      <w:kern w:val="2"/>
      <w:sz w:val="21"/>
      <w:szCs w:val="24"/>
    </w:rPr>
  </w:style>
  <w:style w:type="character" w:customStyle="1" w:styleId="109">
    <w:name w:val="批注主题 Char2"/>
    <w:basedOn w:val="87"/>
    <w:autoRedefine/>
    <w:qFormat/>
    <w:uiPriority w:val="99"/>
    <w:rPr>
      <w:b/>
      <w:bCs/>
      <w:kern w:val="2"/>
      <w:sz w:val="21"/>
      <w:szCs w:val="24"/>
    </w:rPr>
  </w:style>
  <w:style w:type="character" w:customStyle="1" w:styleId="110">
    <w:name w:val="批注主题 Char"/>
    <w:autoRedefine/>
    <w:qFormat/>
    <w:uiPriority w:val="0"/>
    <w:rPr>
      <w:rFonts w:ascii="宋体"/>
      <w:b/>
      <w:bCs/>
      <w:sz w:val="28"/>
    </w:rPr>
  </w:style>
  <w:style w:type="character" w:customStyle="1" w:styleId="111">
    <w:name w:val="正文文本缩进 3 Char1"/>
    <w:basedOn w:val="49"/>
    <w:autoRedefine/>
    <w:qFormat/>
    <w:uiPriority w:val="0"/>
    <w:rPr>
      <w:kern w:val="2"/>
      <w:sz w:val="16"/>
      <w:szCs w:val="16"/>
    </w:rPr>
  </w:style>
  <w:style w:type="character" w:customStyle="1" w:styleId="112">
    <w:name w:val="正文文本缩进 Char2"/>
    <w:basedOn w:val="49"/>
    <w:autoRedefine/>
    <w:semiHidden/>
    <w:qFormat/>
    <w:uiPriority w:val="99"/>
    <w:rPr>
      <w:rFonts w:ascii="Times New Roman" w:hAnsi="Times New Roman" w:eastAsia="宋体" w:cs="Times New Roman"/>
      <w:szCs w:val="24"/>
    </w:rPr>
  </w:style>
  <w:style w:type="character" w:customStyle="1" w:styleId="113">
    <w:name w:val="书籍标题1"/>
    <w:autoRedefine/>
    <w:qFormat/>
    <w:uiPriority w:val="0"/>
    <w:rPr>
      <w:b/>
      <w:bCs/>
      <w:smallCaps/>
      <w:spacing w:val="5"/>
    </w:rPr>
  </w:style>
  <w:style w:type="character" w:customStyle="1" w:styleId="114">
    <w:name w:val="文档结构图 Char3"/>
    <w:basedOn w:val="49"/>
    <w:autoRedefine/>
    <w:qFormat/>
    <w:uiPriority w:val="0"/>
    <w:rPr>
      <w:rFonts w:ascii="宋体"/>
      <w:kern w:val="2"/>
      <w:sz w:val="18"/>
      <w:szCs w:val="18"/>
    </w:rPr>
  </w:style>
  <w:style w:type="character" w:customStyle="1" w:styleId="115">
    <w:name w:val="纯文本 Char1"/>
    <w:basedOn w:val="49"/>
    <w:autoRedefine/>
    <w:qFormat/>
    <w:uiPriority w:val="0"/>
    <w:rPr>
      <w:rFonts w:ascii="宋体" w:hAnsi="Courier New" w:cs="Courier New"/>
      <w:kern w:val="2"/>
      <w:sz w:val="21"/>
      <w:szCs w:val="21"/>
    </w:rPr>
  </w:style>
  <w:style w:type="character" w:customStyle="1" w:styleId="116">
    <w:name w:val="页脚 Char2"/>
    <w:basedOn w:val="49"/>
    <w:autoRedefine/>
    <w:qFormat/>
    <w:uiPriority w:val="0"/>
    <w:rPr>
      <w:kern w:val="2"/>
      <w:sz w:val="18"/>
      <w:szCs w:val="18"/>
    </w:rPr>
  </w:style>
  <w:style w:type="character" w:customStyle="1" w:styleId="117">
    <w:name w:val="Char Char18"/>
    <w:autoRedefine/>
    <w:qFormat/>
    <w:uiPriority w:val="0"/>
    <w:rPr>
      <w:rFonts w:ascii="Calibri" w:hAnsi="Calibri" w:eastAsia="宋体"/>
      <w:b/>
      <w:bCs/>
      <w:kern w:val="44"/>
      <w:sz w:val="44"/>
      <w:szCs w:val="44"/>
      <w:lang w:val="en-US" w:eastAsia="zh-CN" w:bidi="ar-SA"/>
    </w:rPr>
  </w:style>
  <w:style w:type="character" w:customStyle="1" w:styleId="118">
    <w:name w:val="日期 Char1"/>
    <w:autoRedefine/>
    <w:qFormat/>
    <w:uiPriority w:val="0"/>
    <w:rPr>
      <w:kern w:val="2"/>
      <w:sz w:val="21"/>
      <w:szCs w:val="22"/>
    </w:rPr>
  </w:style>
  <w:style w:type="character" w:customStyle="1" w:styleId="119">
    <w:name w:val="批注框文本 Char1"/>
    <w:autoRedefine/>
    <w:qFormat/>
    <w:uiPriority w:val="0"/>
    <w:rPr>
      <w:kern w:val="2"/>
      <w:sz w:val="18"/>
      <w:szCs w:val="18"/>
    </w:rPr>
  </w:style>
  <w:style w:type="character" w:customStyle="1" w:styleId="120">
    <w:name w:val="标题5 Char Char"/>
    <w:link w:val="121"/>
    <w:autoRedefine/>
    <w:qFormat/>
    <w:uiPriority w:val="0"/>
    <w:rPr>
      <w:rFonts w:ascii="Arial" w:hAnsi="Arial"/>
      <w:b/>
      <w:bCs/>
      <w:sz w:val="24"/>
      <w:szCs w:val="32"/>
    </w:rPr>
  </w:style>
  <w:style w:type="paragraph" w:customStyle="1" w:styleId="121">
    <w:name w:val="标题5"/>
    <w:basedOn w:val="4"/>
    <w:link w:val="120"/>
    <w:autoRedefine/>
    <w:qFormat/>
    <w:uiPriority w:val="0"/>
    <w:pPr>
      <w:spacing w:before="260" w:after="260" w:line="413" w:lineRule="auto"/>
      <w:ind w:firstLine="0"/>
    </w:pPr>
    <w:rPr>
      <w:rFonts w:ascii="Arial" w:hAnsi="Arial" w:eastAsiaTheme="minorEastAsia" w:cstheme="minorBidi"/>
      <w:szCs w:val="32"/>
    </w:rPr>
  </w:style>
  <w:style w:type="character" w:customStyle="1" w:styleId="122">
    <w:name w:val="文档结构图 Char1"/>
    <w:qFormat/>
    <w:uiPriority w:val="0"/>
    <w:rPr>
      <w:rFonts w:ascii="宋体"/>
      <w:kern w:val="2"/>
      <w:sz w:val="18"/>
      <w:szCs w:val="18"/>
    </w:rPr>
  </w:style>
  <w:style w:type="character" w:customStyle="1" w:styleId="123">
    <w:name w:val="正文文本 2 Char1"/>
    <w:basedOn w:val="49"/>
    <w:autoRedefine/>
    <w:qFormat/>
    <w:uiPriority w:val="0"/>
    <w:rPr>
      <w:kern w:val="2"/>
      <w:sz w:val="21"/>
      <w:szCs w:val="24"/>
    </w:rPr>
  </w:style>
  <w:style w:type="character" w:customStyle="1" w:styleId="124">
    <w:name w:val="明显参考1"/>
    <w:autoRedefine/>
    <w:qFormat/>
    <w:uiPriority w:val="0"/>
    <w:rPr>
      <w:b/>
      <w:bCs/>
      <w:smallCaps/>
      <w:color w:val="C0504D"/>
      <w:spacing w:val="5"/>
      <w:u w:val="single"/>
    </w:rPr>
  </w:style>
  <w:style w:type="character" w:customStyle="1" w:styleId="125">
    <w:name w:val="引用 Char2"/>
    <w:basedOn w:val="49"/>
    <w:autoRedefine/>
    <w:qFormat/>
    <w:uiPriority w:val="29"/>
    <w:rPr>
      <w:i/>
      <w:iCs/>
      <w:color w:val="000000"/>
      <w:kern w:val="2"/>
      <w:sz w:val="21"/>
      <w:szCs w:val="24"/>
    </w:rPr>
  </w:style>
  <w:style w:type="character" w:customStyle="1" w:styleId="126">
    <w:name w:val="日期 Char4"/>
    <w:basedOn w:val="49"/>
    <w:autoRedefine/>
    <w:semiHidden/>
    <w:qFormat/>
    <w:uiPriority w:val="99"/>
    <w:rPr>
      <w:rFonts w:ascii="Times New Roman" w:hAnsi="Times New Roman" w:eastAsia="宋体" w:cs="Times New Roman"/>
      <w:szCs w:val="24"/>
    </w:rPr>
  </w:style>
  <w:style w:type="character" w:customStyle="1" w:styleId="127">
    <w:name w:val="正文文本 Char1"/>
    <w:qFormat/>
    <w:uiPriority w:val="0"/>
    <w:rPr>
      <w:kern w:val="2"/>
      <w:sz w:val="21"/>
      <w:szCs w:val="22"/>
    </w:rPr>
  </w:style>
  <w:style w:type="character" w:customStyle="1" w:styleId="128">
    <w:name w:val="正文文本缩进 2 Char1"/>
    <w:basedOn w:val="49"/>
    <w:autoRedefine/>
    <w:qFormat/>
    <w:uiPriority w:val="0"/>
    <w:rPr>
      <w:kern w:val="2"/>
      <w:sz w:val="21"/>
      <w:szCs w:val="24"/>
    </w:rPr>
  </w:style>
  <w:style w:type="character" w:customStyle="1" w:styleId="129">
    <w:name w:val="font161"/>
    <w:basedOn w:val="49"/>
    <w:qFormat/>
    <w:uiPriority w:val="0"/>
    <w:rPr>
      <w:b/>
      <w:bCs/>
      <w:sz w:val="32"/>
      <w:szCs w:val="32"/>
    </w:rPr>
  </w:style>
  <w:style w:type="character" w:customStyle="1" w:styleId="130">
    <w:name w:val="标题 Char"/>
    <w:qFormat/>
    <w:uiPriority w:val="0"/>
    <w:rPr>
      <w:rFonts w:ascii="Arial" w:hAnsi="Arial" w:cs="Nimbus Sans L"/>
      <w:b/>
      <w:sz w:val="32"/>
    </w:rPr>
  </w:style>
  <w:style w:type="character" w:customStyle="1" w:styleId="131">
    <w:name w:val="正文文本缩进 2 Char"/>
    <w:basedOn w:val="49"/>
    <w:autoRedefine/>
    <w:qFormat/>
    <w:uiPriority w:val="0"/>
    <w:rPr>
      <w:sz w:val="28"/>
    </w:rPr>
  </w:style>
  <w:style w:type="character" w:customStyle="1" w:styleId="132">
    <w:name w:val="不明显参考1"/>
    <w:autoRedefine/>
    <w:qFormat/>
    <w:uiPriority w:val="0"/>
    <w:rPr>
      <w:smallCaps/>
      <w:color w:val="C0504D"/>
      <w:u w:val="single"/>
    </w:rPr>
  </w:style>
  <w:style w:type="character" w:customStyle="1" w:styleId="133">
    <w:name w:val="批注框文本 Char4"/>
    <w:basedOn w:val="49"/>
    <w:semiHidden/>
    <w:qFormat/>
    <w:uiPriority w:val="99"/>
    <w:rPr>
      <w:rFonts w:ascii="Times New Roman" w:hAnsi="Times New Roman" w:eastAsia="宋体" w:cs="Times New Roman"/>
      <w:sz w:val="18"/>
      <w:szCs w:val="18"/>
    </w:rPr>
  </w:style>
  <w:style w:type="character" w:customStyle="1" w:styleId="134">
    <w:name w:val="正文文本 2 Char2"/>
    <w:basedOn w:val="49"/>
    <w:autoRedefine/>
    <w:semiHidden/>
    <w:qFormat/>
    <w:uiPriority w:val="99"/>
    <w:rPr>
      <w:rFonts w:ascii="Times New Roman" w:hAnsi="Times New Roman" w:eastAsia="宋体" w:cs="Times New Roman"/>
      <w:szCs w:val="24"/>
    </w:rPr>
  </w:style>
  <w:style w:type="character" w:customStyle="1" w:styleId="135">
    <w:name w:val="批注框文本 Char2"/>
    <w:basedOn w:val="49"/>
    <w:qFormat/>
    <w:uiPriority w:val="99"/>
    <w:rPr>
      <w:kern w:val="2"/>
      <w:sz w:val="18"/>
      <w:szCs w:val="18"/>
    </w:rPr>
  </w:style>
  <w:style w:type="character" w:customStyle="1" w:styleId="136">
    <w:name w:val="明显引用 Char3"/>
    <w:basedOn w:val="49"/>
    <w:qFormat/>
    <w:uiPriority w:val="30"/>
    <w:rPr>
      <w:rFonts w:ascii="Times New Roman" w:hAnsi="Times New Roman" w:eastAsia="宋体" w:cs="Times New Roman"/>
      <w:b/>
      <w:bCs/>
      <w:i/>
      <w:iCs/>
      <w:color w:val="4F81BD"/>
      <w:szCs w:val="24"/>
    </w:rPr>
  </w:style>
  <w:style w:type="character" w:customStyle="1" w:styleId="137">
    <w:name w:val="日期 Char3"/>
    <w:basedOn w:val="49"/>
    <w:qFormat/>
    <w:uiPriority w:val="0"/>
    <w:rPr>
      <w:kern w:val="2"/>
      <w:sz w:val="21"/>
      <w:szCs w:val="24"/>
    </w:rPr>
  </w:style>
  <w:style w:type="character" w:customStyle="1" w:styleId="138">
    <w:name w:val="正文文本 3 Char1"/>
    <w:basedOn w:val="49"/>
    <w:qFormat/>
    <w:uiPriority w:val="0"/>
    <w:rPr>
      <w:kern w:val="2"/>
      <w:sz w:val="16"/>
      <w:szCs w:val="16"/>
    </w:rPr>
  </w:style>
  <w:style w:type="character" w:customStyle="1" w:styleId="139">
    <w:name w:val="明显引用 Char1"/>
    <w:basedOn w:val="49"/>
    <w:autoRedefine/>
    <w:qFormat/>
    <w:uiPriority w:val="30"/>
    <w:rPr>
      <w:b/>
      <w:bCs/>
      <w:i/>
      <w:iCs/>
      <w:color w:val="4F81BD"/>
      <w:kern w:val="2"/>
      <w:sz w:val="21"/>
      <w:szCs w:val="24"/>
    </w:rPr>
  </w:style>
  <w:style w:type="character" w:customStyle="1" w:styleId="140">
    <w:name w:val="正文文本缩进 3 Char2"/>
    <w:basedOn w:val="49"/>
    <w:semiHidden/>
    <w:qFormat/>
    <w:uiPriority w:val="99"/>
    <w:rPr>
      <w:rFonts w:ascii="Times New Roman" w:hAnsi="Times New Roman" w:eastAsia="宋体" w:cs="Times New Roman"/>
      <w:sz w:val="16"/>
      <w:szCs w:val="16"/>
    </w:rPr>
  </w:style>
  <w:style w:type="character" w:customStyle="1" w:styleId="141">
    <w:name w:val="引用 Char1"/>
    <w:basedOn w:val="49"/>
    <w:autoRedefine/>
    <w:qFormat/>
    <w:uiPriority w:val="29"/>
    <w:rPr>
      <w:i/>
      <w:iCs/>
      <w:color w:val="000000"/>
      <w:kern w:val="2"/>
      <w:sz w:val="21"/>
      <w:szCs w:val="24"/>
    </w:rPr>
  </w:style>
  <w:style w:type="character" w:customStyle="1" w:styleId="142">
    <w:name w:val="Char Char17"/>
    <w:autoRedefine/>
    <w:qFormat/>
    <w:uiPriority w:val="0"/>
    <w:rPr>
      <w:rFonts w:ascii="Cambria" w:hAnsi="Cambria" w:eastAsia="宋体"/>
      <w:b/>
      <w:bCs/>
      <w:kern w:val="2"/>
      <w:sz w:val="32"/>
      <w:szCs w:val="32"/>
      <w:lang w:val="en-US" w:eastAsia="zh-CN" w:bidi="ar-SA"/>
    </w:rPr>
  </w:style>
  <w:style w:type="character" w:customStyle="1" w:styleId="143">
    <w:name w:val="正文文本 3 Char2"/>
    <w:basedOn w:val="49"/>
    <w:autoRedefine/>
    <w:qFormat/>
    <w:uiPriority w:val="0"/>
    <w:rPr>
      <w:kern w:val="2"/>
      <w:sz w:val="16"/>
      <w:szCs w:val="16"/>
    </w:rPr>
  </w:style>
  <w:style w:type="character" w:customStyle="1" w:styleId="144">
    <w:name w:val="正文文本缩进 2 Char2"/>
    <w:basedOn w:val="49"/>
    <w:autoRedefine/>
    <w:semiHidden/>
    <w:qFormat/>
    <w:uiPriority w:val="99"/>
    <w:rPr>
      <w:rFonts w:ascii="Times New Roman" w:hAnsi="Times New Roman" w:eastAsia="宋体" w:cs="Times New Roman"/>
      <w:szCs w:val="24"/>
    </w:rPr>
  </w:style>
  <w:style w:type="character" w:customStyle="1" w:styleId="145">
    <w:name w:val="页眉 Char2"/>
    <w:basedOn w:val="49"/>
    <w:autoRedefine/>
    <w:qFormat/>
    <w:uiPriority w:val="0"/>
    <w:rPr>
      <w:kern w:val="2"/>
      <w:sz w:val="18"/>
      <w:szCs w:val="18"/>
    </w:rPr>
  </w:style>
  <w:style w:type="character" w:customStyle="1" w:styleId="146">
    <w:name w:val="正文文本 3 Char3"/>
    <w:basedOn w:val="49"/>
    <w:autoRedefine/>
    <w:semiHidden/>
    <w:qFormat/>
    <w:uiPriority w:val="99"/>
    <w:rPr>
      <w:rFonts w:ascii="Times New Roman" w:hAnsi="Times New Roman" w:eastAsia="宋体" w:cs="Times New Roman"/>
      <w:sz w:val="16"/>
      <w:szCs w:val="16"/>
    </w:rPr>
  </w:style>
  <w:style w:type="character" w:customStyle="1" w:styleId="147">
    <w:name w:val="标题 Char1"/>
    <w:basedOn w:val="49"/>
    <w:autoRedefine/>
    <w:qFormat/>
    <w:uiPriority w:val="10"/>
    <w:rPr>
      <w:rFonts w:ascii="Cambria" w:hAnsi="Cambria" w:cs="Times New Roman"/>
      <w:b/>
      <w:bCs/>
      <w:kern w:val="2"/>
      <w:sz w:val="32"/>
      <w:szCs w:val="32"/>
    </w:rPr>
  </w:style>
  <w:style w:type="character" w:customStyle="1" w:styleId="148">
    <w:name w:val="纯文本 Char2"/>
    <w:basedOn w:val="49"/>
    <w:autoRedefine/>
    <w:semiHidden/>
    <w:qFormat/>
    <w:uiPriority w:val="99"/>
    <w:rPr>
      <w:rFonts w:ascii="宋体" w:hAnsi="Courier New" w:eastAsia="宋体" w:cs="Courier New"/>
      <w:szCs w:val="21"/>
    </w:rPr>
  </w:style>
  <w:style w:type="character" w:customStyle="1" w:styleId="149">
    <w:name w:val="批注文字 Char Char"/>
    <w:autoRedefine/>
    <w:qFormat/>
    <w:uiPriority w:val="0"/>
    <w:rPr>
      <w:rFonts w:ascii="宋体" w:hAnsi="Times New Roman" w:eastAsia="宋体" w:cs="Times New Roman"/>
      <w:sz w:val="28"/>
      <w:szCs w:val="20"/>
    </w:rPr>
  </w:style>
  <w:style w:type="character" w:customStyle="1" w:styleId="150">
    <w:name w:val="批注主题 Char1"/>
    <w:autoRedefine/>
    <w:qFormat/>
    <w:uiPriority w:val="0"/>
    <w:rPr>
      <w:b/>
      <w:bCs/>
      <w:kern w:val="2"/>
      <w:sz w:val="21"/>
      <w:szCs w:val="22"/>
    </w:rPr>
  </w:style>
  <w:style w:type="character" w:customStyle="1" w:styleId="151">
    <w:name w:val="标题4 Char Char"/>
    <w:link w:val="152"/>
    <w:autoRedefine/>
    <w:qFormat/>
    <w:uiPriority w:val="0"/>
    <w:rPr>
      <w:rFonts w:ascii="Arial" w:hAnsi="Arial"/>
      <w:b/>
      <w:bCs/>
      <w:sz w:val="24"/>
      <w:szCs w:val="32"/>
    </w:rPr>
  </w:style>
  <w:style w:type="paragraph" w:customStyle="1" w:styleId="152">
    <w:name w:val="标题4"/>
    <w:basedOn w:val="3"/>
    <w:next w:val="22"/>
    <w:link w:val="151"/>
    <w:qFormat/>
    <w:uiPriority w:val="0"/>
    <w:pPr>
      <w:spacing w:before="260" w:after="260" w:line="413" w:lineRule="auto"/>
    </w:pPr>
    <w:rPr>
      <w:rFonts w:ascii="Arial" w:eastAsiaTheme="minorEastAsia" w:cstheme="minorBidi"/>
      <w:sz w:val="24"/>
      <w:szCs w:val="32"/>
    </w:rPr>
  </w:style>
  <w:style w:type="character" w:customStyle="1" w:styleId="153">
    <w:name w:val="普通文字 Char"/>
    <w:basedOn w:val="49"/>
    <w:autoRedefine/>
    <w:qFormat/>
    <w:uiPriority w:val="0"/>
    <w:rPr>
      <w:rFonts w:ascii="宋体" w:hAnsi="Courier New" w:eastAsia="幼圆"/>
      <w:kern w:val="2"/>
      <w:sz w:val="21"/>
      <w:lang w:val="en-US" w:eastAsia="zh-CN" w:bidi="ar-SA"/>
    </w:rPr>
  </w:style>
  <w:style w:type="character" w:customStyle="1" w:styleId="154">
    <w:name w:val="正文文本缩进 2 Char3"/>
    <w:basedOn w:val="49"/>
    <w:link w:val="28"/>
    <w:semiHidden/>
    <w:qFormat/>
    <w:uiPriority w:val="99"/>
    <w:rPr>
      <w:rFonts w:ascii="Times New Roman" w:hAnsi="Times New Roman" w:eastAsia="宋体" w:cs="Times New Roman"/>
      <w:szCs w:val="21"/>
    </w:rPr>
  </w:style>
  <w:style w:type="paragraph" w:customStyle="1" w:styleId="155">
    <w:name w:val="Char"/>
    <w:basedOn w:val="1"/>
    <w:qFormat/>
    <w:uiPriority w:val="0"/>
    <w:rPr>
      <w:szCs w:val="24"/>
    </w:rPr>
  </w:style>
  <w:style w:type="paragraph" w:customStyle="1" w:styleId="156">
    <w:name w:val="Char Char Char Char"/>
    <w:basedOn w:val="14"/>
    <w:qFormat/>
    <w:uiPriority w:val="0"/>
    <w:rPr>
      <w:szCs w:val="20"/>
    </w:rPr>
  </w:style>
  <w:style w:type="character" w:customStyle="1" w:styleId="157">
    <w:name w:val="标题 Char3"/>
    <w:basedOn w:val="49"/>
    <w:link w:val="44"/>
    <w:qFormat/>
    <w:uiPriority w:val="10"/>
    <w:rPr>
      <w:rFonts w:eastAsia="宋体" w:asciiTheme="majorHAnsi" w:hAnsiTheme="majorHAnsi" w:cstheme="majorBidi"/>
      <w:b/>
      <w:bCs/>
      <w:sz w:val="32"/>
      <w:szCs w:val="32"/>
    </w:rPr>
  </w:style>
  <w:style w:type="character" w:customStyle="1" w:styleId="158">
    <w:name w:val="副标题 Char3"/>
    <w:basedOn w:val="49"/>
    <w:link w:val="34"/>
    <w:qFormat/>
    <w:uiPriority w:val="11"/>
    <w:rPr>
      <w:rFonts w:eastAsia="宋体" w:asciiTheme="majorHAnsi" w:hAnsiTheme="majorHAnsi" w:cstheme="majorBidi"/>
      <w:b/>
      <w:bCs/>
      <w:kern w:val="28"/>
      <w:sz w:val="32"/>
      <w:szCs w:val="32"/>
    </w:rPr>
  </w:style>
  <w:style w:type="paragraph" w:customStyle="1" w:styleId="1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0">
    <w:name w:val="正文文本缩进 Char3"/>
    <w:basedOn w:val="49"/>
    <w:link w:val="19"/>
    <w:autoRedefine/>
    <w:semiHidden/>
    <w:qFormat/>
    <w:uiPriority w:val="99"/>
    <w:rPr>
      <w:rFonts w:ascii="Times New Roman" w:hAnsi="Times New Roman" w:eastAsia="宋体" w:cs="Times New Roman"/>
      <w:szCs w:val="21"/>
    </w:rPr>
  </w:style>
  <w:style w:type="character" w:customStyle="1" w:styleId="161">
    <w:name w:val="批注文字 Char4"/>
    <w:basedOn w:val="49"/>
    <w:link w:val="16"/>
    <w:autoRedefine/>
    <w:semiHidden/>
    <w:qFormat/>
    <w:uiPriority w:val="99"/>
    <w:rPr>
      <w:rFonts w:ascii="Times New Roman" w:hAnsi="Times New Roman" w:eastAsia="宋体" w:cs="Times New Roman"/>
      <w:szCs w:val="21"/>
    </w:rPr>
  </w:style>
  <w:style w:type="character" w:customStyle="1" w:styleId="162">
    <w:name w:val="批注主题 Char5"/>
    <w:basedOn w:val="161"/>
    <w:link w:val="45"/>
    <w:semiHidden/>
    <w:qFormat/>
    <w:uiPriority w:val="99"/>
    <w:rPr>
      <w:rFonts w:ascii="Times New Roman" w:hAnsi="Times New Roman" w:eastAsia="宋体" w:cs="Times New Roman"/>
      <w:b/>
      <w:bCs/>
      <w:szCs w:val="21"/>
    </w:rPr>
  </w:style>
  <w:style w:type="character" w:customStyle="1" w:styleId="163">
    <w:name w:val="日期 Char2"/>
    <w:basedOn w:val="49"/>
    <w:link w:val="27"/>
    <w:semiHidden/>
    <w:qFormat/>
    <w:uiPriority w:val="99"/>
    <w:rPr>
      <w:rFonts w:ascii="Times New Roman" w:hAnsi="Times New Roman" w:eastAsia="宋体" w:cs="Times New Roman"/>
      <w:szCs w:val="21"/>
    </w:rPr>
  </w:style>
  <w:style w:type="character" w:customStyle="1" w:styleId="164">
    <w:name w:val="文档结构图 Char2"/>
    <w:basedOn w:val="49"/>
    <w:link w:val="14"/>
    <w:semiHidden/>
    <w:qFormat/>
    <w:uiPriority w:val="99"/>
    <w:rPr>
      <w:rFonts w:ascii="宋体" w:hAnsi="Times New Roman" w:eastAsia="宋体" w:cs="Times New Roman"/>
      <w:sz w:val="18"/>
      <w:szCs w:val="18"/>
    </w:rPr>
  </w:style>
  <w:style w:type="character" w:customStyle="1" w:styleId="165">
    <w:name w:val="正文文本 3 Char4"/>
    <w:basedOn w:val="49"/>
    <w:link w:val="17"/>
    <w:semiHidden/>
    <w:qFormat/>
    <w:uiPriority w:val="99"/>
    <w:rPr>
      <w:rFonts w:ascii="Times New Roman" w:hAnsi="Times New Roman" w:eastAsia="宋体" w:cs="Times New Roman"/>
      <w:sz w:val="16"/>
      <w:szCs w:val="16"/>
    </w:rPr>
  </w:style>
  <w:style w:type="character" w:customStyle="1" w:styleId="166">
    <w:name w:val="正文文本 Char4"/>
    <w:basedOn w:val="49"/>
    <w:link w:val="18"/>
    <w:autoRedefine/>
    <w:semiHidden/>
    <w:qFormat/>
    <w:uiPriority w:val="99"/>
    <w:rPr>
      <w:rFonts w:ascii="Times New Roman" w:hAnsi="Times New Roman" w:eastAsia="宋体" w:cs="Times New Roman"/>
      <w:szCs w:val="21"/>
    </w:rPr>
  </w:style>
  <w:style w:type="paragraph" w:customStyle="1" w:styleId="167">
    <w:name w:val="1"/>
    <w:basedOn w:val="1"/>
    <w:qFormat/>
    <w:uiPriority w:val="0"/>
    <w:rPr>
      <w:szCs w:val="24"/>
    </w:rPr>
  </w:style>
  <w:style w:type="paragraph" w:customStyle="1" w:styleId="168">
    <w:name w:val="dash6b63_65871"/>
    <w:basedOn w:val="1"/>
    <w:autoRedefine/>
    <w:qFormat/>
    <w:uiPriority w:val="0"/>
    <w:pPr>
      <w:widowControl/>
    </w:pPr>
    <w:rPr>
      <w:rFonts w:ascii="Calibri" w:hAnsi="Calibri" w:cs="Calibri"/>
      <w:kern w:val="0"/>
      <w:sz w:val="20"/>
      <w:szCs w:val="20"/>
    </w:rPr>
  </w:style>
  <w:style w:type="paragraph" w:customStyle="1" w:styleId="169">
    <w:name w:val="正文2"/>
    <w:basedOn w:val="1"/>
    <w:autoRedefine/>
    <w:qFormat/>
    <w:uiPriority w:val="0"/>
    <w:pPr>
      <w:widowControl/>
      <w:spacing w:after="160" w:line="360" w:lineRule="auto"/>
      <w:ind w:firstLine="200" w:firstLineChars="200"/>
      <w:jc w:val="left"/>
    </w:pPr>
    <w:rPr>
      <w:szCs w:val="20"/>
    </w:rPr>
  </w:style>
  <w:style w:type="character" w:customStyle="1" w:styleId="170">
    <w:name w:val="正文文本缩进 3 Char3"/>
    <w:basedOn w:val="49"/>
    <w:link w:val="37"/>
    <w:autoRedefine/>
    <w:semiHidden/>
    <w:qFormat/>
    <w:uiPriority w:val="99"/>
    <w:rPr>
      <w:rFonts w:ascii="Times New Roman" w:hAnsi="Times New Roman" w:eastAsia="宋体" w:cs="Times New Roman"/>
      <w:sz w:val="16"/>
      <w:szCs w:val="16"/>
    </w:rPr>
  </w:style>
  <w:style w:type="paragraph" w:customStyle="1" w:styleId="171">
    <w:name w:val="默认段落字体 Para Char Char Char Char"/>
    <w:basedOn w:val="1"/>
    <w:autoRedefine/>
    <w:qFormat/>
    <w:uiPriority w:val="0"/>
    <w:rPr>
      <w:szCs w:val="24"/>
    </w:rPr>
  </w:style>
  <w:style w:type="paragraph" w:customStyle="1" w:styleId="1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3">
    <w:name w:val="List Paragraph"/>
    <w:basedOn w:val="1"/>
    <w:autoRedefine/>
    <w:qFormat/>
    <w:uiPriority w:val="34"/>
    <w:pPr>
      <w:ind w:firstLine="420" w:firstLineChars="200"/>
    </w:pPr>
    <w:rPr>
      <w:rFonts w:ascii="Calibri" w:hAnsi="Calibri"/>
      <w:szCs w:val="22"/>
    </w:rPr>
  </w:style>
  <w:style w:type="character" w:customStyle="1" w:styleId="174">
    <w:name w:val="正文文本 2 Char3"/>
    <w:basedOn w:val="49"/>
    <w:link w:val="41"/>
    <w:semiHidden/>
    <w:qFormat/>
    <w:uiPriority w:val="99"/>
    <w:rPr>
      <w:rFonts w:ascii="Times New Roman" w:hAnsi="Times New Roman" w:eastAsia="宋体" w:cs="Times New Roman"/>
      <w:szCs w:val="21"/>
    </w:rPr>
  </w:style>
  <w:style w:type="paragraph" w:customStyle="1" w:styleId="175">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表格文字"/>
    <w:basedOn w:val="1"/>
    <w:qFormat/>
    <w:uiPriority w:val="0"/>
    <w:pPr>
      <w:adjustRightInd w:val="0"/>
      <w:spacing w:line="420" w:lineRule="atLeast"/>
      <w:jc w:val="left"/>
      <w:textAlignment w:val="baseline"/>
    </w:pPr>
    <w:rPr>
      <w:kern w:val="0"/>
      <w:szCs w:val="20"/>
    </w:rPr>
  </w:style>
  <w:style w:type="paragraph" w:customStyle="1" w:styleId="178">
    <w:name w:val="_Style 43"/>
    <w:autoRedefine/>
    <w:qFormat/>
    <w:uiPriority w:val="0"/>
    <w:rPr>
      <w:rFonts w:ascii="Times New Roman" w:hAnsi="Times New Roman" w:eastAsia="宋体" w:cs="Times New Roman"/>
      <w:lang w:val="en-US" w:eastAsia="zh-CN" w:bidi="ar-SA"/>
    </w:rPr>
  </w:style>
  <w:style w:type="paragraph" w:customStyle="1" w:styleId="179">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80">
    <w:name w:val="明显引用 Char4"/>
    <w:basedOn w:val="49"/>
    <w:link w:val="98"/>
    <w:autoRedefine/>
    <w:qFormat/>
    <w:uiPriority w:val="30"/>
    <w:rPr>
      <w:rFonts w:ascii="Times New Roman" w:hAnsi="Times New Roman" w:eastAsia="宋体" w:cs="Times New Roman"/>
      <w:b/>
      <w:bCs/>
      <w:i/>
      <w:iCs/>
      <w:color w:val="4F81BD" w:themeColor="accent1"/>
      <w:szCs w:val="21"/>
      <w14:textFill>
        <w14:solidFill>
          <w14:schemeClr w14:val="accent1"/>
        </w14:solidFill>
      </w14:textFill>
    </w:rPr>
  </w:style>
  <w:style w:type="character" w:customStyle="1" w:styleId="181">
    <w:name w:val="引用 Char4"/>
    <w:basedOn w:val="49"/>
    <w:link w:val="89"/>
    <w:qFormat/>
    <w:uiPriority w:val="29"/>
    <w:rPr>
      <w:rFonts w:ascii="Times New Roman" w:hAnsi="Times New Roman" w:eastAsia="宋体" w:cs="Times New Roman"/>
      <w:i/>
      <w:iCs/>
      <w:color w:val="000000" w:themeColor="text1"/>
      <w:szCs w:val="21"/>
      <w14:textFill>
        <w14:solidFill>
          <w14:schemeClr w14:val="tx1"/>
        </w14:solidFill>
      </w14:textFill>
    </w:rPr>
  </w:style>
  <w:style w:type="paragraph" w:customStyle="1" w:styleId="182">
    <w:name w:val="p0"/>
    <w:basedOn w:val="1"/>
    <w:autoRedefine/>
    <w:qFormat/>
    <w:uiPriority w:val="0"/>
  </w:style>
  <w:style w:type="paragraph" w:customStyle="1" w:styleId="183">
    <w:name w:val="修订1"/>
    <w:qFormat/>
    <w:uiPriority w:val="0"/>
    <w:rPr>
      <w:rFonts w:ascii="Times New Roman" w:hAnsi="Times New Roman" w:eastAsia="宋体" w:cs="Times New Roman"/>
      <w:kern w:val="2"/>
      <w:sz w:val="21"/>
      <w:szCs w:val="24"/>
      <w:lang w:val="en-US" w:eastAsia="zh-CN" w:bidi="ar-SA"/>
    </w:rPr>
  </w:style>
  <w:style w:type="paragraph" w:customStyle="1" w:styleId="184">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85">
    <w:name w:val="列出段落2"/>
    <w:basedOn w:val="1"/>
    <w:autoRedefine/>
    <w:unhideWhenUsed/>
    <w:qFormat/>
    <w:uiPriority w:val="99"/>
    <w:pPr>
      <w:ind w:firstLine="420" w:firstLineChars="200"/>
    </w:pPr>
    <w:rPr>
      <w:szCs w:val="24"/>
    </w:rPr>
  </w:style>
  <w:style w:type="paragraph" w:customStyle="1" w:styleId="186">
    <w:name w:val="表格"/>
    <w:basedOn w:val="1"/>
    <w:qFormat/>
    <w:uiPriority w:val="0"/>
    <w:pPr>
      <w:jc w:val="center"/>
      <w:textAlignment w:val="center"/>
    </w:pPr>
    <w:rPr>
      <w:rFonts w:ascii="华文细黑" w:hAnsi="华文细黑"/>
      <w:kern w:val="0"/>
      <w:szCs w:val="20"/>
    </w:rPr>
  </w:style>
  <w:style w:type="paragraph" w:customStyle="1" w:styleId="187">
    <w:name w:val="Char Char10 Char Char Char Char"/>
    <w:basedOn w:val="1"/>
    <w:autoRedefine/>
    <w:qFormat/>
    <w:uiPriority w:val="0"/>
    <w:rPr>
      <w:szCs w:val="24"/>
    </w:rPr>
  </w:style>
  <w:style w:type="paragraph" w:customStyle="1" w:styleId="188">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89">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0">
    <w:name w:val="Char2 Char Char Char Char Char Char"/>
    <w:basedOn w:val="1"/>
    <w:autoRedefine/>
    <w:qFormat/>
    <w:uiPriority w:val="0"/>
    <w:rPr>
      <w:rFonts w:ascii="仿宋_GB2312"/>
      <w:b/>
      <w:sz w:val="30"/>
      <w:szCs w:val="32"/>
    </w:rPr>
  </w:style>
  <w:style w:type="paragraph" w:customStyle="1" w:styleId="191">
    <w:name w:val="Char1"/>
    <w:basedOn w:val="1"/>
    <w:autoRedefine/>
    <w:qFormat/>
    <w:uiPriority w:val="0"/>
    <w:rPr>
      <w:rFonts w:ascii="Tahoma" w:hAnsi="Tahoma"/>
      <w:sz w:val="24"/>
      <w:szCs w:val="20"/>
    </w:rPr>
  </w:style>
  <w:style w:type="character" w:customStyle="1" w:styleId="192">
    <w:name w:val="正  文 Char Char"/>
    <w:link w:val="193"/>
    <w:autoRedefine/>
    <w:qFormat/>
    <w:uiPriority w:val="0"/>
    <w:rPr>
      <w:rFonts w:ascii="宋体"/>
      <w:sz w:val="24"/>
    </w:rPr>
  </w:style>
  <w:style w:type="paragraph" w:customStyle="1" w:styleId="193">
    <w:name w:val="正  文"/>
    <w:basedOn w:val="1"/>
    <w:link w:val="192"/>
    <w:autoRedefine/>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4">
    <w:name w:val="m-text"/>
    <w:basedOn w:val="49"/>
    <w:qFormat/>
    <w:uiPriority w:val="0"/>
  </w:style>
  <w:style w:type="character" w:customStyle="1" w:styleId="195">
    <w:name w:val="swapimg4"/>
    <w:basedOn w:val="49"/>
    <w:qFormat/>
    <w:uiPriority w:val="0"/>
  </w:style>
  <w:style w:type="character" w:customStyle="1" w:styleId="196">
    <w:name w:val="close"/>
    <w:basedOn w:val="49"/>
    <w:autoRedefine/>
    <w:qFormat/>
    <w:uiPriority w:val="0"/>
  </w:style>
  <w:style w:type="character" w:customStyle="1" w:styleId="197">
    <w:name w:val="menutitle10"/>
    <w:basedOn w:val="49"/>
    <w:qFormat/>
    <w:uiPriority w:val="0"/>
    <w:rPr>
      <w:color w:val="333333"/>
      <w:sz w:val="19"/>
      <w:szCs w:val="19"/>
    </w:rPr>
  </w:style>
  <w:style w:type="character" w:customStyle="1" w:styleId="198">
    <w:name w:val="menutitle11"/>
    <w:basedOn w:val="49"/>
    <w:autoRedefine/>
    <w:qFormat/>
    <w:uiPriority w:val="0"/>
    <w:rPr>
      <w:color w:val="333333"/>
      <w:sz w:val="19"/>
      <w:szCs w:val="19"/>
    </w:rPr>
  </w:style>
  <w:style w:type="character" w:customStyle="1" w:styleId="199">
    <w:name w:val="l_111"/>
    <w:basedOn w:val="49"/>
    <w:autoRedefine/>
    <w:qFormat/>
    <w:uiPriority w:val="0"/>
  </w:style>
  <w:style w:type="character" w:customStyle="1" w:styleId="200">
    <w:name w:val="searchopen"/>
    <w:basedOn w:val="49"/>
    <w:autoRedefine/>
    <w:qFormat/>
    <w:uiPriority w:val="0"/>
  </w:style>
  <w:style w:type="character" w:customStyle="1" w:styleId="201">
    <w:name w:val="searchclose"/>
    <w:basedOn w:val="49"/>
    <w:autoRedefine/>
    <w:qFormat/>
    <w:uiPriority w:val="0"/>
  </w:style>
  <w:style w:type="character" w:customStyle="1" w:styleId="202">
    <w:name w:val="l_10"/>
    <w:basedOn w:val="49"/>
    <w:autoRedefine/>
    <w:qFormat/>
    <w:uiPriority w:val="0"/>
  </w:style>
  <w:style w:type="character" w:customStyle="1" w:styleId="203">
    <w:name w:val="focus2"/>
    <w:basedOn w:val="49"/>
    <w:qFormat/>
    <w:uiPriority w:val="0"/>
    <w:rPr>
      <w:b/>
      <w:color w:val="000000"/>
    </w:rPr>
  </w:style>
  <w:style w:type="character" w:customStyle="1" w:styleId="204">
    <w:name w:val="l_1"/>
    <w:basedOn w:val="49"/>
    <w:autoRedefine/>
    <w:qFormat/>
    <w:uiPriority w:val="0"/>
  </w:style>
  <w:style w:type="character" w:customStyle="1" w:styleId="205">
    <w:name w:val="l_11"/>
    <w:basedOn w:val="49"/>
    <w:qFormat/>
    <w:uiPriority w:val="0"/>
  </w:style>
  <w:style w:type="character" w:customStyle="1" w:styleId="206">
    <w:name w:val="l_7"/>
    <w:basedOn w:val="49"/>
    <w:qFormat/>
    <w:uiPriority w:val="0"/>
  </w:style>
  <w:style w:type="character" w:customStyle="1" w:styleId="207">
    <w:name w:val="l_5"/>
    <w:basedOn w:val="49"/>
    <w:autoRedefine/>
    <w:qFormat/>
    <w:uiPriority w:val="0"/>
  </w:style>
  <w:style w:type="character" w:customStyle="1" w:styleId="208">
    <w:name w:val="icon_dljg"/>
    <w:basedOn w:val="49"/>
    <w:autoRedefine/>
    <w:qFormat/>
    <w:uiPriority w:val="0"/>
  </w:style>
  <w:style w:type="character" w:customStyle="1" w:styleId="209">
    <w:name w:val="icon_cxktbr"/>
    <w:basedOn w:val="49"/>
    <w:autoRedefine/>
    <w:qFormat/>
    <w:uiPriority w:val="0"/>
  </w:style>
  <w:style w:type="character" w:customStyle="1" w:styleId="210">
    <w:name w:val="icon_cxkcyry"/>
    <w:basedOn w:val="49"/>
    <w:qFormat/>
    <w:uiPriority w:val="0"/>
  </w:style>
  <w:style w:type="character" w:customStyle="1" w:styleId="211">
    <w:name w:val="icon_gzkj"/>
    <w:basedOn w:val="49"/>
    <w:autoRedefine/>
    <w:qFormat/>
    <w:uiPriority w:val="0"/>
  </w:style>
  <w:style w:type="character" w:customStyle="1" w:styleId="212">
    <w:name w:val="icon_lzrz"/>
    <w:basedOn w:val="49"/>
    <w:autoRedefine/>
    <w:qFormat/>
    <w:uiPriority w:val="0"/>
  </w:style>
  <w:style w:type="character" w:customStyle="1" w:styleId="213">
    <w:name w:val="icon_xglc"/>
    <w:basedOn w:val="49"/>
    <w:autoRedefine/>
    <w:qFormat/>
    <w:uiPriority w:val="0"/>
  </w:style>
  <w:style w:type="character" w:customStyle="1" w:styleId="214">
    <w:name w:val="icon_xzry"/>
    <w:basedOn w:val="49"/>
    <w:autoRedefine/>
    <w:qFormat/>
    <w:uiPriority w:val="0"/>
  </w:style>
  <w:style w:type="character" w:customStyle="1" w:styleId="215">
    <w:name w:val="l_12"/>
    <w:basedOn w:val="49"/>
    <w:autoRedefine/>
    <w:qFormat/>
    <w:uiPriority w:val="0"/>
  </w:style>
  <w:style w:type="character" w:customStyle="1" w:styleId="216">
    <w:name w:val="l_121"/>
    <w:basedOn w:val="49"/>
    <w:qFormat/>
    <w:uiPriority w:val="0"/>
  </w:style>
  <w:style w:type="character" w:customStyle="1" w:styleId="217">
    <w:name w:val="l_2"/>
    <w:basedOn w:val="49"/>
    <w:autoRedefine/>
    <w:qFormat/>
    <w:uiPriority w:val="0"/>
  </w:style>
  <w:style w:type="character" w:customStyle="1" w:styleId="218">
    <w:name w:val="l_21"/>
    <w:basedOn w:val="49"/>
    <w:autoRedefine/>
    <w:qFormat/>
    <w:uiPriority w:val="0"/>
  </w:style>
  <w:style w:type="character" w:customStyle="1" w:styleId="219">
    <w:name w:val="l_4"/>
    <w:basedOn w:val="49"/>
    <w:autoRedefine/>
    <w:qFormat/>
    <w:uiPriority w:val="0"/>
  </w:style>
  <w:style w:type="character" w:customStyle="1" w:styleId="220">
    <w:name w:val="l_41"/>
    <w:basedOn w:val="49"/>
    <w:autoRedefine/>
    <w:qFormat/>
    <w:uiPriority w:val="0"/>
  </w:style>
  <w:style w:type="character" w:customStyle="1" w:styleId="221">
    <w:name w:val="l_0"/>
    <w:basedOn w:val="49"/>
    <w:autoRedefine/>
    <w:qFormat/>
    <w:uiPriority w:val="0"/>
  </w:style>
  <w:style w:type="character" w:customStyle="1" w:styleId="222">
    <w:name w:val="l_01"/>
    <w:basedOn w:val="49"/>
    <w:autoRedefine/>
    <w:qFormat/>
    <w:uiPriority w:val="0"/>
  </w:style>
  <w:style w:type="character" w:customStyle="1" w:styleId="223">
    <w:name w:val="l_3"/>
    <w:basedOn w:val="49"/>
    <w:autoRedefine/>
    <w:qFormat/>
    <w:uiPriority w:val="0"/>
  </w:style>
  <w:style w:type="character" w:customStyle="1" w:styleId="224">
    <w:name w:val="l_31"/>
    <w:basedOn w:val="49"/>
    <w:autoRedefine/>
    <w:qFormat/>
    <w:uiPriority w:val="0"/>
  </w:style>
  <w:style w:type="character" w:customStyle="1" w:styleId="225">
    <w:name w:val="l_6"/>
    <w:basedOn w:val="49"/>
    <w:autoRedefine/>
    <w:qFormat/>
    <w:uiPriority w:val="0"/>
  </w:style>
  <w:style w:type="character" w:customStyle="1" w:styleId="226">
    <w:name w:val="l_61"/>
    <w:basedOn w:val="49"/>
    <w:autoRedefine/>
    <w:qFormat/>
    <w:uiPriority w:val="0"/>
  </w:style>
  <w:style w:type="character" w:customStyle="1" w:styleId="227">
    <w:name w:val="l_8"/>
    <w:basedOn w:val="49"/>
    <w:autoRedefine/>
    <w:qFormat/>
    <w:uiPriority w:val="0"/>
  </w:style>
  <w:style w:type="character" w:customStyle="1" w:styleId="228">
    <w:name w:val="l_81"/>
    <w:basedOn w:val="49"/>
    <w:autoRedefine/>
    <w:qFormat/>
    <w:uiPriority w:val="0"/>
  </w:style>
  <w:style w:type="character" w:customStyle="1" w:styleId="229">
    <w:name w:val="l_9"/>
    <w:basedOn w:val="49"/>
    <w:autoRedefine/>
    <w:qFormat/>
    <w:uiPriority w:val="0"/>
  </w:style>
  <w:style w:type="character" w:customStyle="1" w:styleId="230">
    <w:name w:val="l_91"/>
    <w:basedOn w:val="49"/>
    <w:autoRedefine/>
    <w:qFormat/>
    <w:uiPriority w:val="0"/>
  </w:style>
  <w:style w:type="character" w:customStyle="1" w:styleId="231">
    <w:name w:val="l_13"/>
    <w:basedOn w:val="49"/>
    <w:autoRedefine/>
    <w:qFormat/>
    <w:uiPriority w:val="0"/>
  </w:style>
  <w:style w:type="character" w:customStyle="1" w:styleId="232">
    <w:name w:val="l_131"/>
    <w:basedOn w:val="49"/>
    <w:qFormat/>
    <w:uiPriority w:val="0"/>
  </w:style>
  <w:style w:type="character" w:customStyle="1" w:styleId="233">
    <w:name w:val="l_14"/>
    <w:basedOn w:val="49"/>
    <w:qFormat/>
    <w:uiPriority w:val="0"/>
  </w:style>
  <w:style w:type="character" w:customStyle="1" w:styleId="234">
    <w:name w:val="l_141"/>
    <w:basedOn w:val="49"/>
    <w:qFormat/>
    <w:uiPriority w:val="0"/>
  </w:style>
  <w:style w:type="character" w:customStyle="1" w:styleId="235">
    <w:name w:val="l_15"/>
    <w:basedOn w:val="49"/>
    <w:autoRedefine/>
    <w:qFormat/>
    <w:uiPriority w:val="0"/>
  </w:style>
  <w:style w:type="character" w:customStyle="1" w:styleId="236">
    <w:name w:val="l_151"/>
    <w:basedOn w:val="49"/>
    <w:autoRedefine/>
    <w:qFormat/>
    <w:uiPriority w:val="0"/>
  </w:style>
  <w:style w:type="character" w:customStyle="1" w:styleId="237">
    <w:name w:val="color_cdyy"/>
    <w:basedOn w:val="49"/>
    <w:autoRedefine/>
    <w:qFormat/>
    <w:uiPriority w:val="0"/>
    <w:rPr>
      <w:color w:val="FFFFFF"/>
      <w:bdr w:val="single" w:color="FFFFFF" w:sz="4" w:space="0"/>
    </w:rPr>
  </w:style>
  <w:style w:type="character" w:customStyle="1" w:styleId="238">
    <w:name w:val="menutitle"/>
    <w:basedOn w:val="49"/>
    <w:qFormat/>
    <w:uiPriority w:val="0"/>
    <w:rPr>
      <w:color w:val="333333"/>
      <w:sz w:val="19"/>
      <w:szCs w:val="19"/>
    </w:rPr>
  </w:style>
  <w:style w:type="character" w:customStyle="1" w:styleId="239">
    <w:name w:val="menutitle1"/>
    <w:basedOn w:val="49"/>
    <w:qFormat/>
    <w:uiPriority w:val="0"/>
    <w:rPr>
      <w:color w:val="333333"/>
      <w:sz w:val="19"/>
      <w:szCs w:val="19"/>
    </w:rPr>
  </w:style>
  <w:style w:type="character" w:customStyle="1" w:styleId="240">
    <w:name w:val="l_101"/>
    <w:basedOn w:val="49"/>
    <w:qFormat/>
    <w:uiPriority w:val="0"/>
  </w:style>
  <w:style w:type="character" w:customStyle="1" w:styleId="241">
    <w:name w:val="close6"/>
    <w:basedOn w:val="49"/>
    <w:autoRedefine/>
    <w:qFormat/>
    <w:uiPriority w:val="0"/>
  </w:style>
  <w:style w:type="character" w:customStyle="1" w:styleId="242">
    <w:name w:val="swapimg"/>
    <w:basedOn w:val="49"/>
    <w:autoRedefine/>
    <w:qFormat/>
    <w:uiPriority w:val="0"/>
  </w:style>
  <w:style w:type="character" w:customStyle="1" w:styleId="243">
    <w:name w:val="swapimg1"/>
    <w:basedOn w:val="49"/>
    <w:autoRedefine/>
    <w:qFormat/>
    <w:uiPriority w:val="0"/>
  </w:style>
  <w:style w:type="character" w:customStyle="1" w:styleId="244">
    <w:name w:val="l_51"/>
    <w:basedOn w:val="49"/>
    <w:qFormat/>
    <w:uiPriority w:val="0"/>
  </w:style>
  <w:style w:type="character" w:customStyle="1" w:styleId="245">
    <w:name w:val="l_71"/>
    <w:basedOn w:val="49"/>
    <w:autoRedefine/>
    <w:qFormat/>
    <w:uiPriority w:val="0"/>
  </w:style>
  <w:style w:type="character" w:customStyle="1" w:styleId="246">
    <w:name w:val="swapimg3"/>
    <w:basedOn w:val="49"/>
    <w:autoRedefine/>
    <w:qFormat/>
    <w:uiPriority w:val="0"/>
  </w:style>
  <w:style w:type="character" w:customStyle="1" w:styleId="247">
    <w:name w:val="l_112"/>
    <w:basedOn w:val="49"/>
    <w:autoRedefine/>
    <w:qFormat/>
    <w:uiPriority w:val="0"/>
  </w:style>
  <w:style w:type="character" w:customStyle="1" w:styleId="248">
    <w:name w:val="style4"/>
    <w:basedOn w:val="49"/>
    <w:qFormat/>
    <w:uiPriority w:val="0"/>
  </w:style>
  <w:style w:type="character" w:customStyle="1" w:styleId="249">
    <w:name w:val="脚注文本 Char"/>
    <w:basedOn w:val="49"/>
    <w:link w:val="35"/>
    <w:autoRedefine/>
    <w:semiHidden/>
    <w:qFormat/>
    <w:uiPriority w:val="99"/>
    <w:rPr>
      <w:rFonts w:ascii="Times New Roman" w:hAnsi="Times New Roman" w:eastAsia="宋体" w:cs="Times New Roman"/>
      <w:kern w:val="2"/>
      <w:sz w:val="18"/>
      <w:szCs w:val="18"/>
    </w:rPr>
  </w:style>
  <w:style w:type="paragraph" w:customStyle="1" w:styleId="250">
    <w:name w:val="_Style 2"/>
    <w:basedOn w:val="1"/>
    <w:autoRedefine/>
    <w:qFormat/>
    <w:uiPriority w:val="0"/>
  </w:style>
  <w:style w:type="character" w:customStyle="1" w:styleId="251">
    <w:name w:val="font11"/>
    <w:basedOn w:val="49"/>
    <w:autoRedefine/>
    <w:qFormat/>
    <w:uiPriority w:val="0"/>
    <w:rPr>
      <w:rFonts w:hint="eastAsia" w:ascii="宋体" w:hAnsi="宋体" w:eastAsia="宋体" w:cs="宋体"/>
      <w:color w:val="000000"/>
      <w:sz w:val="21"/>
      <w:szCs w:val="21"/>
      <w:u w:val="none"/>
    </w:rPr>
  </w:style>
  <w:style w:type="table" w:customStyle="1" w:styleId="252">
    <w:name w:val="Table Normal"/>
    <w:autoRedefine/>
    <w:semiHidden/>
    <w:unhideWhenUsed/>
    <w:qFormat/>
    <w:uiPriority w:val="0"/>
    <w:tblPr>
      <w:tblCellMar>
        <w:top w:w="0" w:type="dxa"/>
        <w:left w:w="0" w:type="dxa"/>
        <w:bottom w:w="0" w:type="dxa"/>
        <w:right w:w="0" w:type="dxa"/>
      </w:tblCellMar>
    </w:tblPr>
  </w:style>
  <w:style w:type="paragraph" w:customStyle="1" w:styleId="253">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6EC5B-1950-4418-9CC2-DB8D8F7D25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3460</Words>
  <Characters>19726</Characters>
  <Lines>164</Lines>
  <Paragraphs>46</Paragraphs>
  <TotalTime>8</TotalTime>
  <ScaleCrop>false</ScaleCrop>
  <LinksUpToDate>false</LinksUpToDate>
  <CharactersWithSpaces>23140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2020-01-14T00:34:00Z</cp:lastPrinted>
  <dcterms:modified xsi:type="dcterms:W3CDTF">2023-12-29T01:43:05Z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91D0204CBF164683B12E28981BE972F3_13</vt:lpwstr>
  </property>
</Properties>
</file>