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rPr>
      </w:pPr>
      <w:bookmarkStart w:id="296" w:name="_GoBack"/>
      <w:bookmarkEnd w:id="296"/>
    </w:p>
    <w:p>
      <w:pPr>
        <w:spacing w:line="360" w:lineRule="auto"/>
        <w:jc w:val="center"/>
        <w:rPr>
          <w:rFonts w:hint="eastAsia" w:ascii="宋体" w:hAnsi="宋体"/>
          <w:b/>
          <w:sz w:val="48"/>
          <w:szCs w:val="44"/>
        </w:rPr>
      </w:pPr>
      <w:r>
        <w:rPr>
          <w:rFonts w:hint="eastAsia" w:ascii="宋体" w:hAnsi="宋体"/>
          <w:b/>
          <w:sz w:val="48"/>
          <w:szCs w:val="44"/>
        </w:rPr>
        <w:t>卢氏县市场监督管理局202</w:t>
      </w:r>
      <w:r>
        <w:rPr>
          <w:rFonts w:hint="eastAsia" w:ascii="宋体" w:hAnsi="宋体"/>
          <w:b/>
          <w:sz w:val="48"/>
          <w:szCs w:val="44"/>
          <w:lang w:val="en-US" w:eastAsia="zh-CN"/>
        </w:rPr>
        <w:t>4</w:t>
      </w:r>
      <w:r>
        <w:rPr>
          <w:rFonts w:hint="eastAsia" w:ascii="宋体" w:hAnsi="宋体"/>
          <w:b/>
          <w:sz w:val="48"/>
          <w:szCs w:val="44"/>
        </w:rPr>
        <w:t>年食品</w:t>
      </w:r>
    </w:p>
    <w:p>
      <w:pPr>
        <w:spacing w:line="360" w:lineRule="auto"/>
        <w:jc w:val="center"/>
        <w:rPr>
          <w:rFonts w:ascii="宋体" w:hAnsi="宋体"/>
          <w:b/>
          <w:sz w:val="48"/>
          <w:szCs w:val="44"/>
        </w:rPr>
      </w:pPr>
      <w:r>
        <w:rPr>
          <w:rFonts w:hint="eastAsia" w:ascii="宋体" w:hAnsi="宋体"/>
          <w:b/>
          <w:sz w:val="48"/>
          <w:szCs w:val="44"/>
        </w:rPr>
        <w:t>第三方抽检机构服务项目</w:t>
      </w:r>
    </w:p>
    <w:p>
      <w:pPr>
        <w:spacing w:line="560" w:lineRule="exact"/>
        <w:jc w:val="center"/>
        <w:rPr>
          <w:rFonts w:hint="eastAsia" w:ascii="宋体" w:hAnsi="宋体"/>
          <w:b/>
          <w:bCs/>
          <w:sz w:val="24"/>
          <w:u w:val="single"/>
        </w:rPr>
      </w:pPr>
    </w:p>
    <w:p>
      <w:pPr>
        <w:ind w:right="27"/>
        <w:jc w:val="center"/>
        <w:rPr>
          <w:rFonts w:hint="eastAsia" w:ascii="宋体" w:hAnsi="宋体" w:cs="黑体"/>
          <w:b/>
          <w:sz w:val="72"/>
          <w:szCs w:val="72"/>
        </w:rPr>
      </w:pPr>
      <w:r>
        <w:rPr>
          <w:rFonts w:hint="eastAsia" w:ascii="宋体" w:hAnsi="宋体"/>
          <w:b/>
          <w:bCs/>
          <w:sz w:val="72"/>
          <w:szCs w:val="72"/>
        </w:rPr>
        <w:t>竞争性磋商文件</w:t>
      </w:r>
    </w:p>
    <w:p>
      <w:pPr>
        <w:jc w:val="center"/>
        <w:rPr>
          <w:rFonts w:hint="eastAsia" w:ascii="宋体" w:hAnsi="宋体"/>
          <w:sz w:val="24"/>
        </w:rPr>
      </w:pPr>
      <w:r>
        <w:rPr>
          <w:rFonts w:hint="eastAsia" w:ascii="宋体" w:hAnsi="宋体"/>
          <w:sz w:val="24"/>
        </w:rPr>
        <w:t xml:space="preserve"> </w:t>
      </w:r>
    </w:p>
    <w:p>
      <w:pPr>
        <w:spacing w:line="560" w:lineRule="exact"/>
        <w:jc w:val="center"/>
        <w:rPr>
          <w:rFonts w:hint="eastAsia" w:ascii="宋体" w:hAnsi="宋体" w:cs="Times New Roman"/>
          <w:b/>
          <w:bCs/>
          <w:sz w:val="28"/>
          <w:szCs w:val="28"/>
          <w:lang w:val="en-US" w:eastAsia="zh-CN"/>
        </w:rPr>
      </w:pPr>
    </w:p>
    <w:p>
      <w:pPr>
        <w:spacing w:line="560" w:lineRule="exact"/>
        <w:jc w:val="center"/>
        <w:rPr>
          <w:rFonts w:hint="eastAsia" w:ascii="宋体" w:hAnsi="宋体" w:cs="Times New Roman"/>
          <w:b/>
          <w:bCs/>
          <w:sz w:val="28"/>
          <w:szCs w:val="28"/>
          <w:lang w:val="en-US" w:eastAsia="zh-CN"/>
        </w:rPr>
      </w:pPr>
      <w:r>
        <w:rPr>
          <w:rFonts w:hint="eastAsia" w:ascii="宋体" w:hAnsi="宋体" w:cs="Times New Roman"/>
          <w:b/>
          <w:bCs/>
          <w:sz w:val="28"/>
          <w:szCs w:val="28"/>
          <w:lang w:val="en-US" w:eastAsia="zh-CN"/>
        </w:rPr>
        <w:t>项目编号：三卢竞磋采购-2024-57、LSGZ[2024]114-ZC081</w:t>
      </w:r>
    </w:p>
    <w:p>
      <w:pPr>
        <w:pStyle w:val="17"/>
        <w:rPr>
          <w:rFonts w:hint="default"/>
          <w:lang w:val="en-US" w:eastAsia="zh-CN"/>
        </w:rPr>
      </w:pPr>
    </w:p>
    <w:p>
      <w:pPr>
        <w:spacing w:line="560" w:lineRule="exact"/>
        <w:jc w:val="center"/>
        <w:rPr>
          <w:rFonts w:hint="default" w:ascii="宋体" w:hAnsi="宋体" w:cs="宋体"/>
          <w:b/>
          <w:sz w:val="30"/>
          <w:szCs w:val="30"/>
          <w:lang w:val="en-US" w:eastAsia="zh-CN"/>
        </w:rPr>
      </w:pPr>
    </w:p>
    <w:p>
      <w:pPr>
        <w:pStyle w:val="5"/>
        <w:rPr>
          <w:rFonts w:hint="default"/>
          <w:lang w:val="en-US" w:eastAsia="zh-CN"/>
        </w:rPr>
      </w:pPr>
    </w:p>
    <w:p>
      <w:pPr>
        <w:jc w:val="center"/>
        <w:rPr>
          <w:rFonts w:hint="eastAsia" w:ascii="宋体" w:hAnsi="宋体"/>
          <w:b/>
          <w:bCs/>
          <w:sz w:val="24"/>
        </w:rPr>
      </w:pPr>
      <w:r>
        <w:rPr>
          <w:rFonts w:ascii="宋体" w:hAnsi="宋体"/>
          <w:b/>
          <w:bCs/>
          <w:sz w:val="24"/>
        </w:rPr>
        <w:drawing>
          <wp:inline distT="0" distB="0" distL="114300" distR="114300">
            <wp:extent cx="2419350" cy="2305050"/>
            <wp:effectExtent l="0" t="0" r="3810" b="11430"/>
            <wp:docPr id="2" name="图片 1" descr="6e17c54e3529366174cb5ea4d83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e17c54e3529366174cb5ea4d832013"/>
                    <pic:cNvPicPr>
                      <a:picLocks noChangeAspect="1"/>
                    </pic:cNvPicPr>
                  </pic:nvPicPr>
                  <pic:blipFill>
                    <a:blip r:embed="rId8"/>
                    <a:stretch>
                      <a:fillRect/>
                    </a:stretch>
                  </pic:blipFill>
                  <pic:spPr>
                    <a:xfrm>
                      <a:off x="0" y="0"/>
                      <a:ext cx="2419350" cy="2305050"/>
                    </a:xfrm>
                    <a:prstGeom prst="rect">
                      <a:avLst/>
                    </a:prstGeom>
                    <a:noFill/>
                    <a:ln>
                      <a:noFill/>
                    </a:ln>
                  </pic:spPr>
                </pic:pic>
              </a:graphicData>
            </a:graphic>
          </wp:inline>
        </w:drawing>
      </w:r>
    </w:p>
    <w:p>
      <w:pPr>
        <w:spacing w:line="560" w:lineRule="exact"/>
        <w:jc w:val="center"/>
        <w:rPr>
          <w:rFonts w:hint="eastAsia" w:ascii="宋体" w:hAnsi="宋体"/>
          <w:b/>
          <w:bCs/>
          <w:sz w:val="24"/>
        </w:rPr>
      </w:pPr>
    </w:p>
    <w:p>
      <w:pPr>
        <w:spacing w:line="560" w:lineRule="exact"/>
        <w:jc w:val="center"/>
        <w:rPr>
          <w:rFonts w:hint="eastAsia" w:ascii="宋体" w:hAnsi="宋体"/>
          <w:b/>
          <w:bCs/>
          <w:sz w:val="24"/>
        </w:rPr>
      </w:pPr>
    </w:p>
    <w:p>
      <w:pPr>
        <w:spacing w:line="360" w:lineRule="auto"/>
        <w:rPr>
          <w:rFonts w:hint="eastAsia" w:ascii="宋体" w:hAnsi="宋体"/>
          <w:sz w:val="24"/>
        </w:rPr>
      </w:pPr>
    </w:p>
    <w:p>
      <w:pPr>
        <w:spacing w:line="360" w:lineRule="auto"/>
        <w:ind w:firstLine="1702" w:firstLineChars="565"/>
        <w:rPr>
          <w:rFonts w:hint="eastAsia" w:ascii="宋体" w:hAnsi="宋体"/>
          <w:b/>
          <w:sz w:val="30"/>
          <w:szCs w:val="30"/>
        </w:rPr>
      </w:pPr>
      <w:r>
        <w:rPr>
          <w:rFonts w:hint="eastAsia" w:ascii="宋体" w:hAnsi="宋体"/>
          <w:b/>
          <w:sz w:val="30"/>
          <w:szCs w:val="30"/>
        </w:rPr>
        <w:t>采购人：卢氏县市场监督管理局</w:t>
      </w:r>
    </w:p>
    <w:p>
      <w:pPr>
        <w:spacing w:line="360" w:lineRule="auto"/>
        <w:ind w:firstLine="1702" w:firstLineChars="565"/>
        <w:rPr>
          <w:rFonts w:hint="eastAsia" w:ascii="宋体" w:hAnsi="宋体"/>
          <w:b/>
          <w:sz w:val="30"/>
          <w:szCs w:val="30"/>
        </w:rPr>
      </w:pPr>
      <w:r>
        <w:rPr>
          <w:rFonts w:hint="eastAsia" w:ascii="宋体" w:hAnsi="宋体"/>
          <w:b/>
          <w:sz w:val="30"/>
          <w:szCs w:val="30"/>
        </w:rPr>
        <w:t>代理机构：中伟诚工程管理有限公司</w:t>
      </w:r>
    </w:p>
    <w:p>
      <w:pPr>
        <w:spacing w:line="360" w:lineRule="auto"/>
        <w:ind w:firstLine="1702" w:firstLineChars="565"/>
        <w:rPr>
          <w:rFonts w:hint="eastAsia" w:ascii="宋体" w:hAnsi="宋体"/>
          <w:b/>
          <w:sz w:val="30"/>
          <w:szCs w:val="30"/>
        </w:rPr>
      </w:pPr>
      <w:r>
        <w:rPr>
          <w:rFonts w:hint="eastAsia" w:ascii="宋体" w:hAnsi="宋体"/>
          <w:b/>
          <w:sz w:val="30"/>
          <w:szCs w:val="30"/>
        </w:rPr>
        <w:t>日期：二</w:t>
      </w:r>
      <w:r>
        <w:rPr>
          <w:rFonts w:hint="eastAsia" w:ascii="宋体" w:hAnsi="宋体"/>
          <w:b/>
          <w:sz w:val="30"/>
          <w:szCs w:val="30"/>
          <w:lang w:val="en-US" w:eastAsia="zh-CN"/>
        </w:rPr>
        <w:t>0</w:t>
      </w:r>
      <w:r>
        <w:rPr>
          <w:rFonts w:hint="eastAsia" w:ascii="宋体" w:hAnsi="宋体"/>
          <w:b/>
          <w:sz w:val="30"/>
          <w:szCs w:val="30"/>
        </w:rPr>
        <w:t>二</w:t>
      </w:r>
      <w:r>
        <w:rPr>
          <w:rFonts w:hint="eastAsia" w:ascii="宋体" w:hAnsi="宋体"/>
          <w:b/>
          <w:sz w:val="30"/>
          <w:szCs w:val="30"/>
          <w:lang w:val="en-US" w:eastAsia="zh-CN"/>
        </w:rPr>
        <w:t>四</w:t>
      </w:r>
      <w:r>
        <w:rPr>
          <w:rFonts w:hint="eastAsia" w:ascii="宋体" w:hAnsi="宋体"/>
          <w:b/>
          <w:sz w:val="30"/>
          <w:szCs w:val="30"/>
        </w:rPr>
        <w:t>年</w:t>
      </w:r>
      <w:r>
        <w:rPr>
          <w:rFonts w:hint="eastAsia" w:ascii="宋体" w:hAnsi="宋体"/>
          <w:b/>
          <w:sz w:val="30"/>
          <w:szCs w:val="30"/>
          <w:lang w:val="en-US" w:eastAsia="zh-CN"/>
        </w:rPr>
        <w:t>六</w:t>
      </w:r>
      <w:r>
        <w:rPr>
          <w:rFonts w:hint="eastAsia" w:ascii="宋体" w:hAnsi="宋体"/>
          <w:b/>
          <w:sz w:val="30"/>
          <w:szCs w:val="30"/>
        </w:rPr>
        <w:t>月</w:t>
      </w:r>
    </w:p>
    <w:p>
      <w:pPr>
        <w:spacing w:line="360" w:lineRule="auto"/>
        <w:rPr>
          <w:rFonts w:ascii="宋体" w:hAnsi="宋体"/>
          <w:b/>
          <w:bCs/>
          <w:kern w:val="44"/>
          <w:sz w:val="24"/>
        </w:rPr>
        <w:sectPr>
          <w:footerReference r:id="rId3" w:type="first"/>
          <w:pgSz w:w="11850" w:h="16783"/>
          <w:pgMar w:top="1418" w:right="1588" w:bottom="1418" w:left="1588" w:header="851" w:footer="992" w:gutter="0"/>
          <w:cols w:space="720" w:num="1"/>
        </w:sectPr>
      </w:pPr>
    </w:p>
    <w:p>
      <w:pPr>
        <w:spacing w:line="480" w:lineRule="auto"/>
        <w:jc w:val="center"/>
        <w:rPr>
          <w:rFonts w:hint="eastAsia" w:ascii="宋体" w:hAnsi="宋体" w:eastAsia="宋体" w:cs="宋体"/>
          <w:b w:val="0"/>
          <w:bCs w:val="0"/>
          <w:kern w:val="2"/>
          <w:sz w:val="32"/>
          <w:szCs w:val="32"/>
          <w:lang w:val="en-US" w:eastAsia="zh-CN" w:bidi="ar-SA"/>
        </w:rPr>
      </w:pPr>
      <w:bookmarkStart w:id="0" w:name="_Toc296602400"/>
      <w:bookmarkEnd w:id="0"/>
      <w:bookmarkStart w:id="1" w:name="_Toc246996898"/>
      <w:bookmarkEnd w:id="1"/>
      <w:bookmarkStart w:id="2" w:name="_Toc247085669"/>
      <w:bookmarkEnd w:id="2"/>
      <w:bookmarkStart w:id="3" w:name="_Toc456164339"/>
      <w:bookmarkStart w:id="4" w:name="_Toc179632527"/>
      <w:bookmarkStart w:id="5" w:name="_Toc247096243"/>
      <w:bookmarkStart w:id="6" w:name="_Toc247085671"/>
      <w:bookmarkStart w:id="7" w:name="_Toc152045511"/>
      <w:bookmarkStart w:id="8" w:name="_Toc144974479"/>
      <w:bookmarkStart w:id="9" w:name="_Toc152042287"/>
      <w:bookmarkStart w:id="10" w:name="_Toc246996900"/>
      <w:bookmarkStart w:id="11" w:name="_Toc246996157"/>
      <w:r>
        <w:rPr>
          <w:rFonts w:hint="eastAsia" w:ascii="宋体" w:hAnsi="宋体"/>
          <w:b w:val="0"/>
          <w:bCs w:val="0"/>
          <w:sz w:val="28"/>
          <w:szCs w:val="28"/>
        </w:rPr>
        <w:t>目   录</w:t>
      </w:r>
      <w:bookmarkEnd w:id="3"/>
      <w:bookmarkStart w:id="12" w:name="_Toc246996156"/>
      <w:bookmarkStart w:id="13" w:name="_Toc246996899"/>
      <w:bookmarkStart w:id="14" w:name="_Toc247085670"/>
      <w:r>
        <w:rPr>
          <w:rFonts w:hint="eastAsia" w:ascii="宋体" w:hAnsi="宋体" w:eastAsia="宋体" w:cs="宋体"/>
          <w:b w:val="0"/>
          <w:bCs w:val="0"/>
          <w:sz w:val="32"/>
          <w:szCs w:val="32"/>
        </w:rPr>
        <w:fldChar w:fldCharType="begin"/>
      </w:r>
      <w:r>
        <w:rPr>
          <w:rFonts w:hint="eastAsia" w:ascii="宋体" w:hAnsi="宋体" w:eastAsia="宋体" w:cs="宋体"/>
          <w:b w:val="0"/>
          <w:bCs w:val="0"/>
          <w:iCs/>
          <w:caps/>
          <w:sz w:val="32"/>
          <w:szCs w:val="32"/>
        </w:rPr>
        <w:instrText xml:space="preserve"> TOC \o \h \z \u </w:instrText>
      </w:r>
      <w:r>
        <w:rPr>
          <w:rFonts w:hint="eastAsia" w:ascii="宋体" w:hAnsi="宋体" w:eastAsia="宋体" w:cs="宋体"/>
          <w:b w:val="0"/>
          <w:bCs w:val="0"/>
          <w:sz w:val="32"/>
          <w:szCs w:val="32"/>
        </w:rPr>
        <w:fldChar w:fldCharType="separate"/>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_Toc2233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第一章 竞争性磋商公告</w:t>
      </w:r>
      <w:r>
        <w:rPr>
          <w:b w:val="0"/>
          <w:bCs w:val="0"/>
          <w:sz w:val="21"/>
          <w:szCs w:val="21"/>
        </w:rPr>
        <w:tab/>
      </w:r>
      <w:r>
        <w:rPr>
          <w:b w:val="0"/>
          <w:bCs w:val="0"/>
          <w:sz w:val="21"/>
          <w:szCs w:val="21"/>
        </w:rPr>
        <w:fldChar w:fldCharType="begin"/>
      </w:r>
      <w:r>
        <w:rPr>
          <w:b w:val="0"/>
          <w:bCs w:val="0"/>
          <w:sz w:val="21"/>
          <w:szCs w:val="21"/>
        </w:rPr>
        <w:instrText xml:space="preserve"> PAGEREF _Toc2233 \h </w:instrText>
      </w:r>
      <w:r>
        <w:rPr>
          <w:b w:val="0"/>
          <w:bCs w:val="0"/>
          <w:sz w:val="21"/>
          <w:szCs w:val="21"/>
        </w:rPr>
        <w:fldChar w:fldCharType="separate"/>
      </w:r>
      <w:r>
        <w:rPr>
          <w:b w:val="0"/>
          <w:bCs w:val="0"/>
          <w:sz w:val="21"/>
          <w:szCs w:val="21"/>
        </w:rPr>
        <w:t>1</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_Toc14931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第二章 供应商须知</w:t>
      </w:r>
      <w:r>
        <w:rPr>
          <w:b w:val="0"/>
          <w:bCs w:val="0"/>
          <w:sz w:val="21"/>
          <w:szCs w:val="21"/>
        </w:rPr>
        <w:tab/>
      </w:r>
      <w:r>
        <w:rPr>
          <w:b w:val="0"/>
          <w:bCs w:val="0"/>
          <w:sz w:val="21"/>
          <w:szCs w:val="21"/>
        </w:rPr>
        <w:fldChar w:fldCharType="begin"/>
      </w:r>
      <w:r>
        <w:rPr>
          <w:b w:val="0"/>
          <w:bCs w:val="0"/>
          <w:sz w:val="21"/>
          <w:szCs w:val="21"/>
        </w:rPr>
        <w:instrText xml:space="preserve"> PAGEREF _Toc14931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_Toc27215 </w:instrText>
      </w:r>
      <w:r>
        <w:rPr>
          <w:rFonts w:hint="eastAsia" w:ascii="宋体" w:hAnsi="宋体" w:eastAsia="宋体" w:cs="宋体"/>
          <w:b w:val="0"/>
          <w:bCs w:val="0"/>
          <w:sz w:val="21"/>
          <w:szCs w:val="32"/>
        </w:rPr>
        <w:fldChar w:fldCharType="separate"/>
      </w:r>
      <w:r>
        <w:rPr>
          <w:rFonts w:hint="eastAsia" w:ascii="宋体" w:hAnsi="宋体" w:eastAsia="宋体"/>
          <w:b w:val="0"/>
          <w:bCs w:val="0"/>
          <w:sz w:val="21"/>
          <w:szCs w:val="28"/>
        </w:rPr>
        <w:t>供应商须知前附表</w:t>
      </w:r>
      <w:r>
        <w:rPr>
          <w:b w:val="0"/>
          <w:bCs w:val="0"/>
          <w:sz w:val="21"/>
          <w:szCs w:val="21"/>
        </w:rPr>
        <w:tab/>
      </w:r>
      <w:r>
        <w:rPr>
          <w:b w:val="0"/>
          <w:bCs w:val="0"/>
          <w:sz w:val="21"/>
          <w:szCs w:val="21"/>
        </w:rPr>
        <w:fldChar w:fldCharType="begin"/>
      </w:r>
      <w:r>
        <w:rPr>
          <w:b w:val="0"/>
          <w:bCs w:val="0"/>
          <w:sz w:val="21"/>
          <w:szCs w:val="21"/>
        </w:rPr>
        <w:instrText xml:space="preserve"> PAGEREF _Toc27215 \h </w:instrText>
      </w:r>
      <w:r>
        <w:rPr>
          <w:b w:val="0"/>
          <w:bCs w:val="0"/>
          <w:sz w:val="21"/>
          <w:szCs w:val="21"/>
        </w:rPr>
        <w:fldChar w:fldCharType="separate"/>
      </w:r>
      <w:r>
        <w:rPr>
          <w:b w:val="0"/>
          <w:bCs w:val="0"/>
          <w:sz w:val="21"/>
          <w:szCs w:val="21"/>
        </w:rPr>
        <w:t>5</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_Toc5936 </w:instrText>
      </w:r>
      <w:r>
        <w:rPr>
          <w:rFonts w:hint="eastAsia" w:ascii="宋体" w:hAnsi="宋体" w:eastAsia="宋体" w:cs="宋体"/>
          <w:b w:val="0"/>
          <w:bCs w:val="0"/>
          <w:sz w:val="21"/>
          <w:szCs w:val="32"/>
        </w:rPr>
        <w:fldChar w:fldCharType="separate"/>
      </w:r>
      <w:r>
        <w:rPr>
          <w:rFonts w:hint="eastAsia" w:ascii="宋体" w:hAnsi="宋体"/>
          <w:b w:val="0"/>
          <w:bCs w:val="0"/>
          <w:sz w:val="21"/>
          <w:szCs w:val="28"/>
        </w:rPr>
        <w:t>第三章 服务内容与相关要求</w:t>
      </w:r>
      <w:r>
        <w:rPr>
          <w:b w:val="0"/>
          <w:bCs w:val="0"/>
          <w:sz w:val="21"/>
          <w:szCs w:val="21"/>
        </w:rPr>
        <w:tab/>
      </w:r>
      <w:r>
        <w:rPr>
          <w:b w:val="0"/>
          <w:bCs w:val="0"/>
          <w:sz w:val="21"/>
          <w:szCs w:val="21"/>
        </w:rPr>
        <w:fldChar w:fldCharType="begin"/>
      </w:r>
      <w:r>
        <w:rPr>
          <w:b w:val="0"/>
          <w:bCs w:val="0"/>
          <w:sz w:val="21"/>
          <w:szCs w:val="21"/>
        </w:rPr>
        <w:instrText xml:space="preserve"> PAGEREF _Toc5936 \h </w:instrText>
      </w:r>
      <w:r>
        <w:rPr>
          <w:b w:val="0"/>
          <w:bCs w:val="0"/>
          <w:sz w:val="21"/>
          <w:szCs w:val="21"/>
        </w:rPr>
        <w:fldChar w:fldCharType="separate"/>
      </w:r>
      <w:r>
        <w:rPr>
          <w:b w:val="0"/>
          <w:bCs w:val="0"/>
          <w:sz w:val="21"/>
          <w:szCs w:val="21"/>
        </w:rPr>
        <w:t>22</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_Toc30847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第四章 评审办法</w:t>
      </w:r>
      <w:r>
        <w:rPr>
          <w:b w:val="0"/>
          <w:bCs w:val="0"/>
          <w:sz w:val="21"/>
          <w:szCs w:val="21"/>
        </w:rPr>
        <w:tab/>
      </w:r>
      <w:r>
        <w:rPr>
          <w:b w:val="0"/>
          <w:bCs w:val="0"/>
          <w:sz w:val="21"/>
          <w:szCs w:val="21"/>
        </w:rPr>
        <w:fldChar w:fldCharType="begin"/>
      </w:r>
      <w:r>
        <w:rPr>
          <w:b w:val="0"/>
          <w:bCs w:val="0"/>
          <w:sz w:val="21"/>
          <w:szCs w:val="21"/>
        </w:rPr>
        <w:instrText xml:space="preserve"> PAGEREF _Toc30847 \h </w:instrText>
      </w:r>
      <w:r>
        <w:rPr>
          <w:b w:val="0"/>
          <w:bCs w:val="0"/>
          <w:sz w:val="21"/>
          <w:szCs w:val="21"/>
        </w:rPr>
        <w:fldChar w:fldCharType="separate"/>
      </w:r>
      <w:r>
        <w:rPr>
          <w:b w:val="0"/>
          <w:bCs w:val="0"/>
          <w:sz w:val="21"/>
          <w:szCs w:val="21"/>
        </w:rPr>
        <w:t>41</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_Toc364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第五章 合同主要条款及格式</w:t>
      </w:r>
      <w:r>
        <w:rPr>
          <w:b w:val="0"/>
          <w:bCs w:val="0"/>
          <w:sz w:val="21"/>
          <w:szCs w:val="21"/>
        </w:rPr>
        <w:tab/>
      </w:r>
      <w:r>
        <w:rPr>
          <w:b w:val="0"/>
          <w:bCs w:val="0"/>
          <w:sz w:val="21"/>
          <w:szCs w:val="21"/>
        </w:rPr>
        <w:fldChar w:fldCharType="begin"/>
      </w:r>
      <w:r>
        <w:rPr>
          <w:b w:val="0"/>
          <w:bCs w:val="0"/>
          <w:sz w:val="21"/>
          <w:szCs w:val="21"/>
        </w:rPr>
        <w:instrText xml:space="preserve"> PAGEREF _Toc364 \h </w:instrText>
      </w:r>
      <w:r>
        <w:rPr>
          <w:b w:val="0"/>
          <w:bCs w:val="0"/>
          <w:sz w:val="21"/>
          <w:szCs w:val="21"/>
        </w:rPr>
        <w:fldChar w:fldCharType="separate"/>
      </w:r>
      <w:r>
        <w:rPr>
          <w:b w:val="0"/>
          <w:bCs w:val="0"/>
          <w:sz w:val="21"/>
          <w:szCs w:val="21"/>
        </w:rPr>
        <w:t>49</w:t>
      </w:r>
      <w:r>
        <w:rPr>
          <w:b w:val="0"/>
          <w:bCs w:val="0"/>
          <w:sz w:val="21"/>
          <w:szCs w:val="21"/>
        </w:rPr>
        <w:fldChar w:fldCharType="end"/>
      </w:r>
      <w:r>
        <w:rPr>
          <w:rFonts w:hint="eastAsia" w:ascii="宋体" w:hAnsi="宋体" w:eastAsia="宋体" w:cs="宋体"/>
          <w:b w:val="0"/>
          <w:bCs w:val="0"/>
          <w:sz w:val="21"/>
          <w:szCs w:val="32"/>
        </w:rPr>
        <w:fldChar w:fldCharType="end"/>
      </w:r>
    </w:p>
    <w:p>
      <w:pPr>
        <w:pStyle w:val="11"/>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_Toc29187 </w:instrText>
      </w:r>
      <w:r>
        <w:rPr>
          <w:rFonts w:hint="eastAsia" w:ascii="宋体" w:hAnsi="宋体" w:eastAsia="宋体" w:cs="宋体"/>
          <w:b w:val="0"/>
          <w:bCs w:val="0"/>
          <w:sz w:val="21"/>
          <w:szCs w:val="32"/>
        </w:rPr>
        <w:fldChar w:fldCharType="separate"/>
      </w:r>
      <w:r>
        <w:rPr>
          <w:rFonts w:hint="eastAsia" w:ascii="宋体" w:hAnsi="宋体"/>
          <w:b w:val="0"/>
          <w:bCs w:val="0"/>
          <w:sz w:val="21"/>
          <w:szCs w:val="40"/>
        </w:rPr>
        <w:t>第六章 磋商响应文件格式</w:t>
      </w:r>
      <w:r>
        <w:rPr>
          <w:b w:val="0"/>
          <w:bCs w:val="0"/>
          <w:sz w:val="21"/>
          <w:szCs w:val="21"/>
        </w:rPr>
        <w:tab/>
      </w:r>
      <w:r>
        <w:rPr>
          <w:b w:val="0"/>
          <w:bCs w:val="0"/>
          <w:sz w:val="21"/>
          <w:szCs w:val="21"/>
        </w:rPr>
        <w:fldChar w:fldCharType="begin"/>
      </w:r>
      <w:r>
        <w:rPr>
          <w:b w:val="0"/>
          <w:bCs w:val="0"/>
          <w:sz w:val="21"/>
          <w:szCs w:val="21"/>
        </w:rPr>
        <w:instrText xml:space="preserve"> PAGEREF _Toc29187 \h </w:instrText>
      </w:r>
      <w:r>
        <w:rPr>
          <w:b w:val="0"/>
          <w:bCs w:val="0"/>
          <w:sz w:val="21"/>
          <w:szCs w:val="21"/>
        </w:rPr>
        <w:fldChar w:fldCharType="separate"/>
      </w:r>
      <w:r>
        <w:rPr>
          <w:b w:val="0"/>
          <w:bCs w:val="0"/>
          <w:sz w:val="21"/>
          <w:szCs w:val="21"/>
        </w:rPr>
        <w:t>53</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_Toc12993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一、报价函及报价函附表</w:t>
      </w:r>
      <w:r>
        <w:rPr>
          <w:b w:val="0"/>
          <w:bCs w:val="0"/>
          <w:sz w:val="21"/>
          <w:szCs w:val="21"/>
        </w:rPr>
        <w:tab/>
      </w:r>
      <w:r>
        <w:rPr>
          <w:b w:val="0"/>
          <w:bCs w:val="0"/>
          <w:sz w:val="21"/>
          <w:szCs w:val="21"/>
        </w:rPr>
        <w:fldChar w:fldCharType="begin"/>
      </w:r>
      <w:r>
        <w:rPr>
          <w:b w:val="0"/>
          <w:bCs w:val="0"/>
          <w:sz w:val="21"/>
          <w:szCs w:val="21"/>
        </w:rPr>
        <w:instrText xml:space="preserve"> PAGEREF _Toc12993 \h </w:instrText>
      </w:r>
      <w:r>
        <w:rPr>
          <w:b w:val="0"/>
          <w:bCs w:val="0"/>
          <w:sz w:val="21"/>
          <w:szCs w:val="21"/>
        </w:rPr>
        <w:fldChar w:fldCharType="separate"/>
      </w:r>
      <w:r>
        <w:rPr>
          <w:b w:val="0"/>
          <w:bCs w:val="0"/>
          <w:sz w:val="21"/>
          <w:szCs w:val="21"/>
        </w:rPr>
        <w:t>55</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_Toc16375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二、法定代表人身份证明及授权委托书</w:t>
      </w:r>
      <w:r>
        <w:rPr>
          <w:b w:val="0"/>
          <w:bCs w:val="0"/>
          <w:sz w:val="21"/>
          <w:szCs w:val="21"/>
        </w:rPr>
        <w:tab/>
      </w:r>
      <w:r>
        <w:rPr>
          <w:b w:val="0"/>
          <w:bCs w:val="0"/>
          <w:sz w:val="21"/>
          <w:szCs w:val="21"/>
        </w:rPr>
        <w:fldChar w:fldCharType="begin"/>
      </w:r>
      <w:r>
        <w:rPr>
          <w:b w:val="0"/>
          <w:bCs w:val="0"/>
          <w:sz w:val="21"/>
          <w:szCs w:val="21"/>
        </w:rPr>
        <w:instrText xml:space="preserve"> PAGEREF _Toc16375 \h </w:instrText>
      </w:r>
      <w:r>
        <w:rPr>
          <w:b w:val="0"/>
          <w:bCs w:val="0"/>
          <w:sz w:val="21"/>
          <w:szCs w:val="21"/>
        </w:rPr>
        <w:fldChar w:fldCharType="separate"/>
      </w:r>
      <w:r>
        <w:rPr>
          <w:b w:val="0"/>
          <w:bCs w:val="0"/>
          <w:sz w:val="21"/>
          <w:szCs w:val="21"/>
        </w:rPr>
        <w:t>57</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_Toc5189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三、磋商承诺函</w:t>
      </w:r>
      <w:r>
        <w:rPr>
          <w:b w:val="0"/>
          <w:bCs w:val="0"/>
          <w:sz w:val="21"/>
          <w:szCs w:val="21"/>
        </w:rPr>
        <w:tab/>
      </w:r>
      <w:r>
        <w:rPr>
          <w:b w:val="0"/>
          <w:bCs w:val="0"/>
          <w:sz w:val="21"/>
          <w:szCs w:val="21"/>
        </w:rPr>
        <w:fldChar w:fldCharType="begin"/>
      </w:r>
      <w:r>
        <w:rPr>
          <w:b w:val="0"/>
          <w:bCs w:val="0"/>
          <w:sz w:val="21"/>
          <w:szCs w:val="21"/>
        </w:rPr>
        <w:instrText xml:space="preserve"> PAGEREF _Toc5189 \h </w:instrText>
      </w:r>
      <w:r>
        <w:rPr>
          <w:b w:val="0"/>
          <w:bCs w:val="0"/>
          <w:sz w:val="21"/>
          <w:szCs w:val="21"/>
        </w:rPr>
        <w:fldChar w:fldCharType="separate"/>
      </w:r>
      <w:r>
        <w:rPr>
          <w:b w:val="0"/>
          <w:bCs w:val="0"/>
          <w:sz w:val="21"/>
          <w:szCs w:val="21"/>
        </w:rPr>
        <w:t>59</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_Toc22138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四、分项报价表</w:t>
      </w:r>
      <w:r>
        <w:rPr>
          <w:b w:val="0"/>
          <w:bCs w:val="0"/>
          <w:sz w:val="21"/>
          <w:szCs w:val="21"/>
        </w:rPr>
        <w:tab/>
      </w:r>
      <w:r>
        <w:rPr>
          <w:b w:val="0"/>
          <w:bCs w:val="0"/>
          <w:sz w:val="21"/>
          <w:szCs w:val="21"/>
        </w:rPr>
        <w:fldChar w:fldCharType="begin"/>
      </w:r>
      <w:r>
        <w:rPr>
          <w:b w:val="0"/>
          <w:bCs w:val="0"/>
          <w:sz w:val="21"/>
          <w:szCs w:val="21"/>
        </w:rPr>
        <w:instrText xml:space="preserve"> PAGEREF _Toc22138 \h </w:instrText>
      </w:r>
      <w:r>
        <w:rPr>
          <w:b w:val="0"/>
          <w:bCs w:val="0"/>
          <w:sz w:val="21"/>
          <w:szCs w:val="21"/>
        </w:rPr>
        <w:fldChar w:fldCharType="separate"/>
      </w:r>
      <w:r>
        <w:rPr>
          <w:b w:val="0"/>
          <w:bCs w:val="0"/>
          <w:sz w:val="21"/>
          <w:szCs w:val="21"/>
        </w:rPr>
        <w:t>60</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_Toc31147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五、技术标</w:t>
      </w:r>
      <w:r>
        <w:rPr>
          <w:b w:val="0"/>
          <w:bCs w:val="0"/>
          <w:sz w:val="21"/>
          <w:szCs w:val="21"/>
        </w:rPr>
        <w:tab/>
      </w:r>
      <w:r>
        <w:rPr>
          <w:b w:val="0"/>
          <w:bCs w:val="0"/>
          <w:sz w:val="21"/>
          <w:szCs w:val="21"/>
        </w:rPr>
        <w:fldChar w:fldCharType="begin"/>
      </w:r>
      <w:r>
        <w:rPr>
          <w:b w:val="0"/>
          <w:bCs w:val="0"/>
          <w:sz w:val="21"/>
          <w:szCs w:val="21"/>
        </w:rPr>
        <w:instrText xml:space="preserve"> PAGEREF _Toc31147 \h </w:instrText>
      </w:r>
      <w:r>
        <w:rPr>
          <w:b w:val="0"/>
          <w:bCs w:val="0"/>
          <w:sz w:val="21"/>
          <w:szCs w:val="21"/>
        </w:rPr>
        <w:fldChar w:fldCharType="separate"/>
      </w:r>
      <w:r>
        <w:rPr>
          <w:b w:val="0"/>
          <w:bCs w:val="0"/>
          <w:sz w:val="21"/>
          <w:szCs w:val="21"/>
        </w:rPr>
        <w:t>62</w:t>
      </w:r>
      <w:r>
        <w:rPr>
          <w:b w:val="0"/>
          <w:bCs w:val="0"/>
          <w:sz w:val="21"/>
          <w:szCs w:val="21"/>
        </w:rPr>
        <w:fldChar w:fldCharType="end"/>
      </w:r>
      <w:r>
        <w:rPr>
          <w:rFonts w:hint="eastAsia" w:ascii="宋体" w:hAnsi="宋体" w:eastAsia="宋体" w:cs="宋体"/>
          <w:b w:val="0"/>
          <w:bCs w:val="0"/>
          <w:sz w:val="21"/>
          <w:szCs w:val="32"/>
        </w:rPr>
        <w:fldChar w:fldCharType="end"/>
      </w:r>
    </w:p>
    <w:p>
      <w:pPr>
        <w:pStyle w:val="12"/>
        <w:tabs>
          <w:tab w:val="right" w:leader="dot" w:pos="8674"/>
        </w:tabs>
        <w:rPr>
          <w:rFonts w:hint="eastAsia" w:eastAsia="宋体"/>
          <w:b w:val="0"/>
          <w:bCs w:val="0"/>
          <w:sz w:val="21"/>
          <w:szCs w:val="21"/>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_Toc6631 </w:instrText>
      </w:r>
      <w:r>
        <w:rPr>
          <w:rFonts w:hint="eastAsia" w:ascii="宋体" w:hAnsi="宋体" w:eastAsia="宋体" w:cs="宋体"/>
          <w:b w:val="0"/>
          <w:bCs w:val="0"/>
          <w:sz w:val="21"/>
          <w:szCs w:val="32"/>
        </w:rPr>
        <w:fldChar w:fldCharType="separate"/>
      </w:r>
      <w:r>
        <w:rPr>
          <w:rFonts w:hint="eastAsia" w:ascii="宋体" w:hAnsi="宋体" w:cs="宋体-PUA"/>
          <w:b w:val="0"/>
          <w:bCs w:val="0"/>
          <w:sz w:val="21"/>
          <w:szCs w:val="21"/>
        </w:rPr>
        <w:t>六、商务标</w:t>
      </w:r>
      <w:r>
        <w:rPr>
          <w:b w:val="0"/>
          <w:bCs w:val="0"/>
          <w:sz w:val="21"/>
          <w:szCs w:val="21"/>
        </w:rPr>
        <w:tab/>
      </w:r>
      <w:r>
        <w:rPr>
          <w:rFonts w:hint="eastAsia"/>
          <w:b w:val="0"/>
          <w:bCs w:val="0"/>
          <w:sz w:val="21"/>
          <w:szCs w:val="21"/>
          <w:lang w:val="en-US" w:eastAsia="zh-CN"/>
        </w:rPr>
        <w:t>7</w:t>
      </w:r>
      <w:r>
        <w:rPr>
          <w:rFonts w:hint="eastAsia" w:ascii="宋体" w:hAnsi="宋体" w:eastAsia="宋体" w:cs="宋体"/>
          <w:b w:val="0"/>
          <w:bCs w:val="0"/>
          <w:sz w:val="21"/>
          <w:szCs w:val="32"/>
        </w:rPr>
        <w:fldChar w:fldCharType="end"/>
      </w:r>
      <w:r>
        <w:rPr>
          <w:rFonts w:hint="eastAsia" w:ascii="宋体" w:hAnsi="宋体" w:eastAsia="宋体" w:cs="宋体"/>
          <w:b w:val="0"/>
          <w:bCs w:val="0"/>
          <w:sz w:val="21"/>
          <w:szCs w:val="32"/>
          <w:lang w:val="en-US" w:eastAsia="zh-CN"/>
        </w:rPr>
        <w:t>1</w:t>
      </w:r>
    </w:p>
    <w:p>
      <w:pPr>
        <w:pStyle w:val="12"/>
        <w:tabs>
          <w:tab w:val="right" w:leader="dot" w:pos="8674"/>
        </w:tabs>
        <w:rPr>
          <w:rFonts w:hint="eastAsia" w:ascii="宋体" w:hAnsi="宋体" w:eastAsia="宋体" w:cs="宋体"/>
          <w:b w:val="0"/>
          <w:bCs w:val="0"/>
          <w:sz w:val="21"/>
          <w:szCs w:val="32"/>
          <w:lang w:val="en-US" w:eastAsia="zh-CN"/>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_Toc4604 </w:instrText>
      </w:r>
      <w:r>
        <w:rPr>
          <w:rFonts w:hint="eastAsia" w:ascii="宋体" w:hAnsi="宋体" w:eastAsia="宋体" w:cs="宋体"/>
          <w:b w:val="0"/>
          <w:bCs w:val="0"/>
          <w:sz w:val="21"/>
          <w:szCs w:val="32"/>
        </w:rPr>
        <w:fldChar w:fldCharType="separate"/>
      </w:r>
      <w:r>
        <w:rPr>
          <w:rFonts w:hint="eastAsia" w:ascii="宋体" w:hAnsi="宋体" w:cs="宋体-PUA"/>
          <w:b w:val="0"/>
          <w:bCs w:val="0"/>
          <w:sz w:val="21"/>
          <w:szCs w:val="21"/>
        </w:rPr>
        <w:t>七、供应商资格证明资料</w:t>
      </w:r>
      <w:r>
        <w:rPr>
          <w:b w:val="0"/>
          <w:bCs w:val="0"/>
          <w:sz w:val="21"/>
          <w:szCs w:val="21"/>
        </w:rPr>
        <w:tab/>
      </w:r>
      <w:r>
        <w:rPr>
          <w:rFonts w:hint="eastAsia"/>
          <w:b w:val="0"/>
          <w:bCs w:val="0"/>
          <w:sz w:val="21"/>
          <w:szCs w:val="21"/>
          <w:lang w:val="en-US" w:eastAsia="zh-CN"/>
        </w:rPr>
        <w:t>7</w:t>
      </w:r>
      <w:r>
        <w:rPr>
          <w:rFonts w:hint="eastAsia" w:ascii="宋体" w:hAnsi="宋体" w:eastAsia="宋体" w:cs="宋体"/>
          <w:b w:val="0"/>
          <w:bCs w:val="0"/>
          <w:sz w:val="21"/>
          <w:szCs w:val="32"/>
        </w:rPr>
        <w:fldChar w:fldCharType="end"/>
      </w:r>
      <w:r>
        <w:rPr>
          <w:rFonts w:hint="eastAsia" w:ascii="宋体" w:hAnsi="宋体" w:eastAsia="宋体" w:cs="宋体"/>
          <w:b w:val="0"/>
          <w:bCs w:val="0"/>
          <w:sz w:val="21"/>
          <w:szCs w:val="32"/>
          <w:lang w:val="en-US" w:eastAsia="zh-CN"/>
        </w:rPr>
        <w:t>6</w:t>
      </w:r>
    </w:p>
    <w:p>
      <w:pPr>
        <w:pStyle w:val="12"/>
        <w:tabs>
          <w:tab w:val="right" w:leader="dot" w:pos="8674"/>
        </w:tabs>
        <w:rPr>
          <w:b w:val="0"/>
          <w:bCs w:val="0"/>
          <w:sz w:val="21"/>
          <w:szCs w:val="21"/>
        </w:rPr>
      </w:pPr>
      <w:r>
        <w:rPr>
          <w:rFonts w:hint="eastAsia" w:ascii="宋体" w:hAnsi="宋体" w:eastAsia="宋体" w:cs="宋体"/>
          <w:b w:val="0"/>
          <w:bCs w:val="0"/>
          <w:sz w:val="21"/>
          <w:szCs w:val="32"/>
        </w:rPr>
        <w:fldChar w:fldCharType="begin"/>
      </w:r>
      <w:r>
        <w:rPr>
          <w:rFonts w:hint="eastAsia" w:ascii="宋体" w:hAnsi="宋体" w:eastAsia="宋体" w:cs="宋体"/>
          <w:b w:val="0"/>
          <w:bCs w:val="0"/>
          <w:sz w:val="21"/>
          <w:szCs w:val="32"/>
        </w:rPr>
        <w:instrText xml:space="preserve"> HYPERLINK \l _Toc7450 </w:instrText>
      </w:r>
      <w:r>
        <w:rPr>
          <w:rFonts w:hint="eastAsia" w:ascii="宋体" w:hAnsi="宋体" w:eastAsia="宋体" w:cs="宋体"/>
          <w:b w:val="0"/>
          <w:bCs w:val="0"/>
          <w:sz w:val="21"/>
          <w:szCs w:val="32"/>
        </w:rPr>
        <w:fldChar w:fldCharType="separate"/>
      </w:r>
      <w:r>
        <w:rPr>
          <w:rFonts w:hint="eastAsia" w:ascii="宋体" w:hAnsi="宋体" w:eastAsia="宋体" w:cs="宋体-PUA"/>
          <w:b w:val="0"/>
          <w:bCs w:val="0"/>
          <w:sz w:val="21"/>
          <w:szCs w:val="28"/>
        </w:rPr>
        <w:t>八、供应商认为需要提供的其他材料</w:t>
      </w:r>
      <w:r>
        <w:rPr>
          <w:b w:val="0"/>
          <w:bCs w:val="0"/>
          <w:sz w:val="21"/>
          <w:szCs w:val="21"/>
        </w:rPr>
        <w:tab/>
      </w:r>
      <w:r>
        <w:rPr>
          <w:b w:val="0"/>
          <w:bCs w:val="0"/>
          <w:sz w:val="21"/>
          <w:szCs w:val="21"/>
        </w:rPr>
        <w:fldChar w:fldCharType="begin"/>
      </w:r>
      <w:r>
        <w:rPr>
          <w:b w:val="0"/>
          <w:bCs w:val="0"/>
          <w:sz w:val="21"/>
          <w:szCs w:val="21"/>
        </w:rPr>
        <w:instrText xml:space="preserve"> PAGEREF _Toc7450 \h </w:instrText>
      </w:r>
      <w:r>
        <w:rPr>
          <w:b w:val="0"/>
          <w:bCs w:val="0"/>
          <w:sz w:val="21"/>
          <w:szCs w:val="21"/>
        </w:rPr>
        <w:fldChar w:fldCharType="separate"/>
      </w:r>
      <w:r>
        <w:rPr>
          <w:b w:val="0"/>
          <w:bCs w:val="0"/>
          <w:sz w:val="21"/>
          <w:szCs w:val="21"/>
        </w:rPr>
        <w:t>77</w:t>
      </w:r>
      <w:r>
        <w:rPr>
          <w:b w:val="0"/>
          <w:bCs w:val="0"/>
          <w:sz w:val="21"/>
          <w:szCs w:val="21"/>
        </w:rPr>
        <w:fldChar w:fldCharType="end"/>
      </w:r>
      <w:r>
        <w:rPr>
          <w:rFonts w:hint="eastAsia" w:ascii="宋体" w:hAnsi="宋体" w:eastAsia="宋体" w:cs="宋体"/>
          <w:b w:val="0"/>
          <w:bCs w:val="0"/>
          <w:sz w:val="21"/>
          <w:szCs w:val="32"/>
        </w:rPr>
        <w:fldChar w:fldCharType="end"/>
      </w:r>
    </w:p>
    <w:p>
      <w:pPr>
        <w:spacing w:line="480" w:lineRule="auto"/>
        <w:jc w:val="center"/>
        <w:rPr>
          <w:rFonts w:hint="eastAsia" w:ascii="宋体" w:hAnsi="宋体" w:eastAsia="宋体" w:cs="宋体"/>
          <w:sz w:val="28"/>
          <w:szCs w:val="28"/>
          <w:lang w:val="en-US" w:eastAsia="zh-CN"/>
        </w:rPr>
      </w:pPr>
      <w:r>
        <w:rPr>
          <w:rFonts w:hint="eastAsia" w:ascii="宋体" w:hAnsi="宋体" w:eastAsia="宋体" w:cs="宋体"/>
          <w:b w:val="0"/>
          <w:bCs w:val="0"/>
          <w:sz w:val="32"/>
          <w:szCs w:val="32"/>
        </w:rPr>
        <w:fldChar w:fldCharType="end"/>
      </w:r>
      <w:bookmarkEnd w:id="12"/>
      <w:bookmarkEnd w:id="13"/>
      <w:bookmarkEnd w:id="14"/>
    </w:p>
    <w:p>
      <w:pPr>
        <w:rPr>
          <w:rFonts w:hint="eastAsia"/>
          <w:sz w:val="24"/>
          <w:szCs w:val="24"/>
        </w:rPr>
      </w:pPr>
    </w:p>
    <w:p>
      <w:pPr>
        <w:widowControl/>
        <w:spacing w:line="360" w:lineRule="auto"/>
        <w:jc w:val="left"/>
        <w:rPr>
          <w:rFonts w:hint="default" w:ascii="宋体" w:hAnsi="宋体" w:eastAsia="宋体" w:cs="宋体"/>
          <w:b/>
          <w:smallCaps/>
          <w:sz w:val="24"/>
          <w:szCs w:val="24"/>
          <w:lang w:val="en-US" w:eastAsia="zh-CN"/>
        </w:rPr>
        <w:sectPr>
          <w:pgSz w:w="11850" w:h="16783"/>
          <w:pgMar w:top="1135" w:right="1588" w:bottom="993" w:left="1588" w:header="567" w:footer="992" w:gutter="0"/>
          <w:pgNumType w:fmt="upperRoman" w:start="1"/>
          <w:cols w:space="720" w:num="1"/>
        </w:sectPr>
      </w:pPr>
      <w:r>
        <w:rPr>
          <w:rFonts w:hint="eastAsia" w:ascii="宋体" w:hAnsi="宋体" w:cs="宋体"/>
          <w:b/>
          <w:smallCaps/>
          <w:sz w:val="24"/>
          <w:szCs w:val="24"/>
          <w:lang w:val="en-US" w:eastAsia="zh-CN"/>
        </w:rPr>
        <w:t xml:space="preserve">  </w:t>
      </w:r>
    </w:p>
    <w:bookmarkEnd w:id="4"/>
    <w:bookmarkEnd w:id="5"/>
    <w:bookmarkEnd w:id="6"/>
    <w:bookmarkEnd w:id="7"/>
    <w:bookmarkEnd w:id="8"/>
    <w:bookmarkEnd w:id="9"/>
    <w:bookmarkEnd w:id="10"/>
    <w:bookmarkEnd w:id="11"/>
    <w:p>
      <w:pPr>
        <w:pStyle w:val="2"/>
        <w:spacing w:line="240" w:lineRule="auto"/>
        <w:ind w:left="360"/>
        <w:jc w:val="center"/>
        <w:rPr>
          <w:rFonts w:hint="eastAsia" w:ascii="宋体" w:hAnsi="宋体"/>
          <w:sz w:val="24"/>
          <w:szCs w:val="24"/>
        </w:rPr>
      </w:pPr>
      <w:bookmarkStart w:id="15" w:name="_Toc47970967"/>
      <w:bookmarkStart w:id="16" w:name="_Toc2233"/>
      <w:bookmarkStart w:id="17" w:name="_Toc484115837"/>
      <w:bookmarkStart w:id="18" w:name="_Toc30423"/>
      <w:bookmarkStart w:id="19" w:name="_Toc101344059"/>
      <w:bookmarkStart w:id="20" w:name="_Toc484276227"/>
      <w:r>
        <w:rPr>
          <w:rFonts w:hint="eastAsia" w:ascii="宋体" w:hAnsi="宋体"/>
          <w:sz w:val="24"/>
          <w:szCs w:val="24"/>
        </w:rPr>
        <w:t>第一章 竞争性磋商公告</w:t>
      </w:r>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sz w:val="24"/>
          <w:szCs w:val="24"/>
        </w:rPr>
      </w:pPr>
      <w:bookmarkStart w:id="21" w:name="_Toc152045527"/>
      <w:bookmarkStart w:id="22" w:name="_Toc179632544"/>
      <w:bookmarkStart w:id="23" w:name="_Toc43652626"/>
      <w:bookmarkStart w:id="24" w:name="_Toc152042303"/>
      <w:bookmarkStart w:id="25" w:name="_Toc27041"/>
      <w:bookmarkStart w:id="26" w:name="_Toc144974495"/>
      <w:bookmarkStart w:id="27" w:name="_Toc247085687"/>
      <w:bookmarkStart w:id="28" w:name="_Toc246996916"/>
      <w:bookmarkStart w:id="29" w:name="_Toc246996173"/>
      <w:r>
        <w:rPr>
          <w:rFonts w:hint="eastAsia" w:ascii="宋体" w:hAnsi="宋体"/>
          <w:sz w:val="24"/>
          <w:szCs w:val="24"/>
        </w:rPr>
        <w:t>中伟诚工程管理有限公司受卢氏县市场监督管理局的委托，就</w:t>
      </w:r>
      <w:r>
        <w:rPr>
          <w:rFonts w:hint="eastAsia" w:ascii="宋体" w:hAnsi="宋体"/>
          <w:sz w:val="24"/>
          <w:szCs w:val="24"/>
          <w:lang w:eastAsia="zh-CN"/>
        </w:rPr>
        <w:t>卢氏县市场监督管理局2024年食品第三方抽检机构服务项目</w:t>
      </w:r>
      <w:r>
        <w:rPr>
          <w:rFonts w:hint="eastAsia" w:ascii="宋体" w:hAnsi="宋体"/>
          <w:sz w:val="24"/>
          <w:szCs w:val="24"/>
        </w:rPr>
        <w:t>进行竞争性磋商采购，欢迎符合资格条件的供应商参加。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采购人：卢氏县市场监督管理局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项目名称：</w:t>
      </w:r>
      <w:r>
        <w:rPr>
          <w:rFonts w:hint="eastAsia" w:ascii="宋体" w:hAnsi="宋体"/>
          <w:sz w:val="24"/>
          <w:szCs w:val="24"/>
          <w:lang w:eastAsia="zh-CN"/>
        </w:rPr>
        <w:t>卢氏县市场监督管理局2024年食品第三方抽检机构服务项目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项目编号：</w:t>
      </w:r>
      <w:r>
        <w:rPr>
          <w:rFonts w:hint="eastAsia" w:ascii="宋体" w:hAnsi="宋体"/>
          <w:sz w:val="24"/>
          <w:szCs w:val="24"/>
          <w:lang w:val="en-US" w:eastAsia="zh-CN"/>
        </w:rPr>
        <w:t>三卢竞磋采购-2024-57、LSGZ[2024]114-ZC081</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标段划分：本项目共分为2个标段；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lang w:eastAsia="zh-CN"/>
        </w:rPr>
        <w:t>服务</w:t>
      </w:r>
      <w:r>
        <w:rPr>
          <w:rFonts w:hint="eastAsia" w:ascii="宋体" w:hAnsi="宋体"/>
          <w:sz w:val="24"/>
          <w:szCs w:val="24"/>
        </w:rPr>
        <w:t>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第一标段：共450批次，包括粮食加工品、乳制品、餐饮食品、食用农产品等安全监督抽样检测服务；（具体要求详见本项目竞争性磋商文件第三章服务内容及相关要求）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第二标段：共500批次，包括粮食加工品、乳制品、餐饮食品、食用农产品等安全监督抽样检测服务；（具体要求详见本项目竞争性磋商文件第三章服务内容及相关要求）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预算金额：￥</w:t>
      </w:r>
      <w:r>
        <w:rPr>
          <w:rFonts w:hint="eastAsia" w:ascii="宋体" w:hAnsi="宋体" w:eastAsia="宋体" w:cs="Times New Roman"/>
          <w:sz w:val="24"/>
          <w:szCs w:val="24"/>
          <w:lang w:val="en-US" w:eastAsia="zh-CN"/>
        </w:rPr>
        <w:t>58</w:t>
      </w:r>
      <w:r>
        <w:rPr>
          <w:rFonts w:hint="eastAsia" w:ascii="宋体" w:hAnsi="宋体" w:eastAsia="宋体" w:cs="Times New Roman"/>
          <w:sz w:val="24"/>
          <w:szCs w:val="24"/>
        </w:rPr>
        <w:t>0000.00元（其中第一标段为￥</w:t>
      </w:r>
      <w:r>
        <w:rPr>
          <w:rFonts w:hint="eastAsia" w:ascii="宋体" w:hAnsi="宋体" w:eastAsia="宋体" w:cs="Times New Roman"/>
          <w:sz w:val="24"/>
          <w:szCs w:val="24"/>
          <w:lang w:val="en-US" w:eastAsia="zh-CN"/>
        </w:rPr>
        <w:t>275</w:t>
      </w:r>
      <w:r>
        <w:rPr>
          <w:rFonts w:hint="eastAsia" w:ascii="宋体" w:hAnsi="宋体" w:eastAsia="宋体" w:cs="Times New Roman"/>
          <w:sz w:val="24"/>
          <w:szCs w:val="24"/>
        </w:rPr>
        <w:t>000.00元，第二标段为￥</w:t>
      </w:r>
      <w:r>
        <w:rPr>
          <w:rFonts w:hint="eastAsia" w:ascii="宋体" w:hAnsi="宋体" w:eastAsia="宋体" w:cs="Times New Roman"/>
          <w:sz w:val="24"/>
          <w:szCs w:val="24"/>
          <w:lang w:val="en-US" w:eastAsia="zh-CN"/>
        </w:rPr>
        <w:t>305</w:t>
      </w:r>
      <w:r>
        <w:rPr>
          <w:rFonts w:hint="eastAsia" w:ascii="宋体" w:hAnsi="宋体" w:eastAsia="宋体" w:cs="Times New Roman"/>
          <w:sz w:val="24"/>
          <w:szCs w:val="24"/>
        </w:rPr>
        <w:t>000.00元）；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7</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资金来源：财政资金，已落实；</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8</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服务标准</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符合国家及行业标准并满足采购人使用要求</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9</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服务期限：自合同签订生效之日起1年；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sz w:val="24"/>
          <w:szCs w:val="24"/>
          <w:lang w:val="en-US" w:eastAsia="zh-CN"/>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服务地点：采购人指定地点</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Times New Roman"/>
          <w:sz w:val="24"/>
          <w:szCs w:val="24"/>
          <w:lang w:val="en-US" w:eastAsia="zh-CN"/>
        </w:rPr>
        <w:t>11.</w:t>
      </w:r>
      <w:r>
        <w:rPr>
          <w:rFonts w:ascii="宋体" w:hAnsi="宋体" w:eastAsia="宋体" w:cs="宋体"/>
          <w:sz w:val="24"/>
          <w:szCs w:val="24"/>
        </w:rPr>
        <w:t>是否专门面向中小企业：否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二、供应商资格要求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满足《中华人民共和国政府采购法》第二十二条规定，且符合下列要求：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必须是在中国境内注册的独立法人，具有合法有效的营业执照</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eastAsia="宋体" w:cs="Times New Roman"/>
          <w:sz w:val="24"/>
          <w:szCs w:val="24"/>
          <w:lang w:val="en-US" w:eastAsia="zh-CN"/>
        </w:rPr>
        <w:t>采购项目需要落实的政府采购政策：本项目执行促进中小型企业发展政策（残疾人福利性企业、监狱企业视同小微企业）、优先采购节能环保产品等政府采购政策；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参加政府采购活动前3年内无行贿犯罪记录；（提供《中国裁判文书网》查询结果网页截图或企业自行承诺的无行贿犯罪承诺书，查询&lt;承诺&gt;对象为“企业，法定代表人，项目负责人”）</w:t>
      </w:r>
      <w:r>
        <w:rPr>
          <w:rFonts w:hint="eastAsia" w:ascii="宋体" w:hAnsi="宋体" w:eastAsia="宋体" w:cs="Times New Roman"/>
          <w:sz w:val="24"/>
          <w:szCs w:val="24"/>
          <w:lang w:val="en-US"/>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lang w:val="en-US"/>
        </w:rPr>
        <w:t>参加政府采购活动前3年内无商业贿赂、不正当竞争行为、骗取中标、严重违约及重大工程质量等问题</w:t>
      </w:r>
      <w:r>
        <w:rPr>
          <w:rFonts w:hint="eastAsia" w:ascii="宋体" w:hAnsi="宋体"/>
          <w:sz w:val="24"/>
          <w:szCs w:val="24"/>
          <w:lang w:val="en-US" w:eastAsia="zh-CN"/>
        </w:rPr>
        <w:t>，</w:t>
      </w:r>
      <w:r>
        <w:rPr>
          <w:rFonts w:hint="eastAsia" w:ascii="宋体" w:hAnsi="宋体"/>
          <w:sz w:val="24"/>
          <w:szCs w:val="24"/>
          <w:lang w:val="en-US"/>
        </w:rPr>
        <w:t>（</w:t>
      </w:r>
      <w:r>
        <w:rPr>
          <w:rFonts w:hint="eastAsia" w:ascii="宋体" w:hAnsi="宋体"/>
          <w:sz w:val="24"/>
          <w:szCs w:val="24"/>
          <w:lang w:val="en-US" w:eastAsia="zh-CN"/>
        </w:rPr>
        <w:t>供应商</w:t>
      </w:r>
      <w:r>
        <w:rPr>
          <w:rFonts w:hint="eastAsia" w:ascii="宋体" w:hAnsi="宋体"/>
          <w:sz w:val="24"/>
          <w:szCs w:val="24"/>
          <w:lang w:val="en-US"/>
        </w:rPr>
        <w:t>须自行出具承诺书）</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9.根据《关于在政府采购活动中查询及使用信用记录有关问题的通知》(财库[2016]125号)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本项目不接受联合体</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注</w:t>
      </w:r>
      <w:r>
        <w:rPr>
          <w:rFonts w:hint="eastAsia" w:ascii="宋体" w:hAnsi="宋体" w:eastAsia="宋体" w:cs="Times New Roman"/>
          <w:sz w:val="24"/>
          <w:szCs w:val="24"/>
          <w:lang w:eastAsia="zh-CN"/>
        </w:rPr>
        <w:t>：</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被列入失信被执行人及</w:t>
      </w:r>
      <w:r>
        <w:rPr>
          <w:rFonts w:hint="eastAsia" w:ascii="宋体" w:hAnsi="宋体" w:eastAsia="宋体" w:cs="Times New Roman"/>
          <w:sz w:val="24"/>
          <w:szCs w:val="24"/>
          <w:lang w:val="en-US" w:eastAsia="zh-CN"/>
        </w:rPr>
        <w:t>重大税收违法失信主体</w:t>
      </w:r>
      <w:r>
        <w:rPr>
          <w:rFonts w:hint="eastAsia" w:ascii="宋体" w:hAnsi="宋体" w:eastAsia="宋体" w:cs="Times New Roman"/>
          <w:sz w:val="24"/>
          <w:szCs w:val="24"/>
        </w:rPr>
        <w:t>的企业做无效标处理。采购人或采购代理机构有权对投标人信用记录进行甄别和复查</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供应商可选报多个标段，但只能取得一个标段的成交资格，如果某一成交候选人在此项目中的</w:t>
      </w:r>
      <w:r>
        <w:rPr>
          <w:rFonts w:hint="eastAsia" w:ascii="宋体" w:hAnsi="宋体" w:eastAsia="宋体" w:cs="Times New Roman"/>
          <w:sz w:val="24"/>
          <w:szCs w:val="24"/>
          <w:lang w:val="en-US" w:eastAsia="zh-CN"/>
        </w:rPr>
        <w:t>两</w:t>
      </w:r>
      <w:r>
        <w:rPr>
          <w:rFonts w:hint="eastAsia" w:ascii="宋体" w:hAnsi="宋体" w:eastAsia="宋体" w:cs="Times New Roman"/>
          <w:sz w:val="24"/>
          <w:szCs w:val="24"/>
        </w:rPr>
        <w:t>个标段中均排名第一，</w:t>
      </w:r>
      <w:r>
        <w:rPr>
          <w:rFonts w:hint="eastAsia" w:ascii="宋体" w:hAnsi="宋体" w:eastAsia="宋体" w:cs="Times New Roman"/>
          <w:sz w:val="24"/>
          <w:szCs w:val="24"/>
          <w:lang w:val="en-US" w:eastAsia="zh-CN"/>
        </w:rPr>
        <w:t>按标段排序的先后排序，取排序最靠前的一个标段为该投标人的中标候选项目，其它标段的候选人按排名次序递补</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sz w:val="24"/>
          <w:szCs w:val="24"/>
        </w:rPr>
      </w:pPr>
      <w:r>
        <w:rPr>
          <w:rFonts w:hint="eastAsia" w:ascii="宋体" w:hAnsi="宋体"/>
          <w:sz w:val="24"/>
          <w:szCs w:val="24"/>
        </w:rPr>
        <w:t>三、竞争性磋商文件的获取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sz w:val="24"/>
          <w:szCs w:val="24"/>
        </w:rPr>
        <w:t>1.</w:t>
      </w:r>
      <w:r>
        <w:rPr>
          <w:rFonts w:hint="eastAsia"/>
          <w:bCs/>
          <w:kern w:val="2"/>
          <w:sz w:val="24"/>
          <w:szCs w:val="24"/>
          <w:lang w:val="en-US" w:bidi="ar-SA"/>
        </w:rPr>
        <w:t>方式：本项目没有报名环节，投标人凭CA数字证书通过三门峡市公共资源交易中心网（网址：</w:t>
      </w:r>
      <w:r>
        <w:rPr>
          <w:bCs/>
          <w:kern w:val="2"/>
          <w:sz w:val="24"/>
          <w:szCs w:val="24"/>
          <w:lang w:val="en-US" w:bidi="ar-SA"/>
        </w:rPr>
        <w:t>http://gzjy.smx.gov.cn</w:t>
      </w:r>
      <w:r>
        <w:rPr>
          <w:rFonts w:hint="eastAsia"/>
          <w:bCs/>
          <w:kern w:val="2"/>
          <w:sz w:val="24"/>
          <w:szCs w:val="24"/>
          <w:lang w:val="en-US" w:bidi="ar-SA"/>
        </w:rPr>
        <w:t>），点击交易平台选择</w:t>
      </w:r>
      <w:r>
        <w:rPr>
          <w:rFonts w:hint="eastAsia" w:ascii="宋体" w:hAnsi="宋体" w:eastAsia="宋体" w:cs="Times New Roman"/>
          <w:sz w:val="24"/>
          <w:szCs w:val="24"/>
          <w:lang w:val="en-US"/>
        </w:rPr>
        <w:t>“市场主体登录”，在所参与项目右侧点击参与投标，即可直接下载本项目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lang w:val="en-US"/>
        </w:rPr>
        <w:t>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办理CA证书：http://www.smxgzjy.org/bwstb/23330.jhtml</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bCs/>
          <w:kern w:val="2"/>
          <w:sz w:val="24"/>
          <w:szCs w:val="24"/>
          <w:lang w:val="en-US" w:bidi="ar-SA"/>
        </w:rPr>
      </w:pPr>
      <w:r>
        <w:rPr>
          <w:rFonts w:hint="eastAsia"/>
          <w:bCs/>
          <w:kern w:val="2"/>
          <w:sz w:val="24"/>
          <w:szCs w:val="24"/>
          <w:lang w:val="en-US" w:bidi="ar-SA"/>
        </w:rPr>
        <w:t>2.时间：202</w:t>
      </w:r>
      <w:r>
        <w:rPr>
          <w:rFonts w:hint="eastAsia"/>
          <w:bCs/>
          <w:kern w:val="2"/>
          <w:sz w:val="24"/>
          <w:szCs w:val="24"/>
          <w:lang w:val="en-US" w:eastAsia="zh-CN" w:bidi="ar-SA"/>
        </w:rPr>
        <w:t>4</w:t>
      </w:r>
      <w:r>
        <w:rPr>
          <w:rFonts w:hint="eastAsia"/>
          <w:bCs/>
          <w:kern w:val="2"/>
          <w:sz w:val="24"/>
          <w:szCs w:val="24"/>
          <w:lang w:val="en-US" w:bidi="ar-SA"/>
        </w:rPr>
        <w:t>年</w:t>
      </w:r>
      <w:r>
        <w:rPr>
          <w:rFonts w:hint="eastAsia"/>
          <w:bCs/>
          <w:kern w:val="2"/>
          <w:sz w:val="24"/>
          <w:szCs w:val="24"/>
          <w:lang w:val="en-US" w:eastAsia="zh-CN" w:bidi="ar-SA"/>
        </w:rPr>
        <w:t>06</w:t>
      </w:r>
      <w:r>
        <w:rPr>
          <w:rFonts w:hint="eastAsia"/>
          <w:bCs/>
          <w:kern w:val="2"/>
          <w:sz w:val="24"/>
          <w:szCs w:val="24"/>
          <w:lang w:val="en-US" w:bidi="ar-SA"/>
        </w:rPr>
        <w:t>月</w:t>
      </w:r>
      <w:r>
        <w:rPr>
          <w:rFonts w:hint="eastAsia"/>
          <w:bCs/>
          <w:kern w:val="2"/>
          <w:sz w:val="24"/>
          <w:szCs w:val="24"/>
          <w:lang w:val="en-US" w:eastAsia="zh-CN" w:bidi="ar-SA"/>
        </w:rPr>
        <w:t>15</w:t>
      </w:r>
      <w:r>
        <w:rPr>
          <w:rFonts w:hint="eastAsia"/>
          <w:bCs/>
          <w:kern w:val="2"/>
          <w:sz w:val="24"/>
          <w:szCs w:val="24"/>
          <w:lang w:val="en-US" w:bidi="ar-SA"/>
        </w:rPr>
        <w:t>日08时00分至202</w:t>
      </w:r>
      <w:r>
        <w:rPr>
          <w:rFonts w:hint="eastAsia"/>
          <w:bCs/>
          <w:kern w:val="2"/>
          <w:sz w:val="24"/>
          <w:szCs w:val="24"/>
          <w:lang w:val="en-US" w:eastAsia="zh-CN" w:bidi="ar-SA"/>
        </w:rPr>
        <w:t>4</w:t>
      </w:r>
      <w:r>
        <w:rPr>
          <w:rFonts w:hint="eastAsia"/>
          <w:bCs/>
          <w:kern w:val="2"/>
          <w:sz w:val="24"/>
          <w:szCs w:val="24"/>
          <w:lang w:val="en-US" w:bidi="ar-SA"/>
        </w:rPr>
        <w:t>年</w:t>
      </w:r>
      <w:r>
        <w:rPr>
          <w:rFonts w:hint="eastAsia"/>
          <w:bCs/>
          <w:kern w:val="2"/>
          <w:sz w:val="24"/>
          <w:szCs w:val="24"/>
          <w:lang w:val="en-US" w:eastAsia="zh-CN" w:bidi="ar-SA"/>
        </w:rPr>
        <w:t>06</w:t>
      </w:r>
      <w:r>
        <w:rPr>
          <w:rFonts w:hint="eastAsia"/>
          <w:bCs/>
          <w:kern w:val="2"/>
          <w:sz w:val="24"/>
          <w:szCs w:val="24"/>
          <w:lang w:val="en-US" w:bidi="ar-SA"/>
        </w:rPr>
        <w:t>月</w:t>
      </w:r>
      <w:r>
        <w:rPr>
          <w:rFonts w:hint="eastAsia"/>
          <w:bCs/>
          <w:kern w:val="2"/>
          <w:sz w:val="24"/>
          <w:szCs w:val="24"/>
          <w:lang w:val="en-US" w:eastAsia="zh-CN" w:bidi="ar-SA"/>
        </w:rPr>
        <w:t>28</w:t>
      </w:r>
      <w:r>
        <w:rPr>
          <w:rFonts w:hint="eastAsia"/>
          <w:bCs/>
          <w:kern w:val="2"/>
          <w:sz w:val="24"/>
          <w:szCs w:val="24"/>
          <w:lang w:val="en-US" w:bidi="ar-SA"/>
        </w:rPr>
        <w:t>日08时40分。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本项目采用全电子化招标，不再收取竞争性磋商文件费。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四、磋商响应资料的提交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五、磋商保证金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cs="宋体"/>
          <w:sz w:val="24"/>
          <w:lang w:val="en-US"/>
        </w:rPr>
        <w:t>按照《河南省财政厅关于优化政府采购营商环境有关问题的通知》（豫财购[2019]4号文）的要求本项目不再收取</w:t>
      </w:r>
      <w:r>
        <w:rPr>
          <w:rFonts w:hint="eastAsia" w:ascii="宋体" w:hAnsi="宋体" w:cs="宋体"/>
          <w:sz w:val="24"/>
          <w:lang w:val="en-US" w:eastAsia="zh-CN"/>
        </w:rPr>
        <w:t>磋商</w:t>
      </w:r>
      <w:r>
        <w:rPr>
          <w:rFonts w:hint="eastAsia" w:ascii="宋体" w:hAnsi="宋体" w:cs="宋体"/>
          <w:sz w:val="24"/>
          <w:lang w:val="en-US"/>
        </w:rPr>
        <w:t>保证金。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六、磋商文件的递交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1、磋商文件递交的截止时间（开标时间）为202</w:t>
      </w:r>
      <w:r>
        <w:rPr>
          <w:rFonts w:hint="eastAsia" w:ascii="宋体" w:hAnsi="宋体" w:cs="宋体"/>
          <w:sz w:val="24"/>
          <w:lang w:val="en-US" w:eastAsia="zh-CN"/>
        </w:rPr>
        <w:t>4</w:t>
      </w:r>
      <w:r>
        <w:rPr>
          <w:rFonts w:hint="eastAsia" w:ascii="宋体" w:hAnsi="宋体" w:cs="宋体"/>
          <w:sz w:val="24"/>
          <w:lang w:val="en-US"/>
        </w:rPr>
        <w:t>年</w:t>
      </w:r>
      <w:r>
        <w:rPr>
          <w:rFonts w:hint="eastAsia" w:ascii="宋体" w:hAnsi="宋体" w:cs="宋体"/>
          <w:sz w:val="24"/>
          <w:lang w:val="en-US" w:eastAsia="zh-CN"/>
        </w:rPr>
        <w:t>06</w:t>
      </w:r>
      <w:r>
        <w:rPr>
          <w:rFonts w:hint="eastAsia" w:ascii="宋体" w:hAnsi="宋体" w:cs="宋体"/>
          <w:sz w:val="24"/>
          <w:lang w:val="en-US"/>
        </w:rPr>
        <w:t>月</w:t>
      </w:r>
      <w:r>
        <w:rPr>
          <w:rFonts w:hint="eastAsia" w:ascii="宋体" w:hAnsi="宋体" w:cs="宋体"/>
          <w:sz w:val="24"/>
          <w:lang w:val="en-US" w:eastAsia="zh-CN"/>
        </w:rPr>
        <w:t>28</w:t>
      </w:r>
      <w:r>
        <w:rPr>
          <w:rFonts w:hint="eastAsia" w:ascii="宋体" w:hAnsi="宋体" w:cs="宋体"/>
          <w:sz w:val="24"/>
          <w:lang w:val="en-US"/>
        </w:rPr>
        <w:t>日08时</w:t>
      </w:r>
      <w:r>
        <w:rPr>
          <w:rFonts w:hint="eastAsia" w:ascii="宋体" w:hAnsi="宋体" w:cs="宋体"/>
          <w:sz w:val="24"/>
          <w:lang w:val="en-US" w:eastAsia="zh-CN"/>
        </w:rPr>
        <w:t>40</w:t>
      </w:r>
      <w:r>
        <w:rPr>
          <w:rFonts w:hint="eastAsia" w:ascii="宋体" w:hAnsi="宋体" w:cs="宋体"/>
          <w:sz w:val="24"/>
          <w:lang w:val="en-US"/>
        </w:rPr>
        <w:t>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2、开标地点：卢氏县公共资源交易中心</w:t>
      </w:r>
      <w:r>
        <w:rPr>
          <w:rFonts w:hint="eastAsia" w:ascii="宋体" w:hAnsi="宋体" w:cs="宋体"/>
          <w:sz w:val="24"/>
          <w:lang w:val="en-US" w:eastAsia="zh-CN"/>
        </w:rPr>
        <w:t>四</w:t>
      </w:r>
      <w:r>
        <w:rPr>
          <w:rFonts w:hint="eastAsia" w:ascii="宋体" w:hAnsi="宋体" w:cs="宋体"/>
          <w:sz w:val="24"/>
          <w:lang w:val="en-US"/>
        </w:rPr>
        <w:t>楼第</w:t>
      </w:r>
      <w:r>
        <w:rPr>
          <w:rFonts w:hint="eastAsia" w:ascii="宋体" w:hAnsi="宋体" w:cs="宋体"/>
          <w:sz w:val="24"/>
          <w:lang w:val="en-US" w:eastAsia="zh-CN"/>
        </w:rPr>
        <w:t>二</w:t>
      </w:r>
      <w:r>
        <w:rPr>
          <w:rFonts w:hint="eastAsia" w:ascii="宋体" w:hAnsi="宋体" w:cs="宋体"/>
          <w:sz w:val="24"/>
          <w:lang w:val="en-US"/>
        </w:rPr>
        <w:t>开标室；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lang w:val="en-US"/>
        </w:rPr>
      </w:pPr>
      <w:r>
        <w:rPr>
          <w:rFonts w:hint="eastAsia" w:ascii="宋体" w:hAnsi="宋体" w:cs="宋体"/>
          <w:sz w:val="24"/>
          <w:lang w:val="en-US"/>
        </w:rPr>
        <w:t>3、评标地点：卢氏县公共资源交易中心二楼第</w:t>
      </w:r>
      <w:r>
        <w:rPr>
          <w:rFonts w:hint="eastAsia" w:ascii="宋体" w:hAnsi="宋体" w:cs="宋体"/>
          <w:sz w:val="24"/>
          <w:lang w:val="en-US" w:eastAsia="zh-CN"/>
        </w:rPr>
        <w:t>二</w:t>
      </w:r>
      <w:r>
        <w:rPr>
          <w:rFonts w:hint="eastAsia" w:ascii="宋体" w:hAnsi="宋体" w:cs="宋体"/>
          <w:sz w:val="24"/>
          <w:lang w:val="en-US"/>
        </w:rPr>
        <w:t>评标室；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七、其他事项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1、响应人应仔细阅读操作手册，在本公告中要求的截止时间前完成磋商文件下载工作。因响应人操作不当问题造成的无法下载磋商文件等一切后果，由响应人自行承担。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2、响应人递交的响应文件不论中标与否均不予退还。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3、采购人不组织投标单位踏勘现场。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温馨提示：本项目为电子化、无纸化交易项目，开标时不再接受任何纸质资料，为保证您能开标成功，请需仔细阅读</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lang w:val="en-US"/>
        </w:rPr>
        <w:t>文件和三门峡市公共资源交易中心官网业务办理指南。</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rPr>
        <w:t>八、发布公告的媒介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本次磋商公告同时在</w:t>
      </w:r>
      <w:r>
        <w:rPr>
          <w:rFonts w:hint="eastAsia" w:ascii="宋体" w:hAnsi="宋体"/>
          <w:sz w:val="24"/>
          <w:szCs w:val="24"/>
          <w:lang w:val="en-US" w:eastAsia="en-US"/>
        </w:rPr>
        <w:t>《河南省政府采购网》、《三门峡市公共资源交易中心网》</w:t>
      </w:r>
      <w:r>
        <w:rPr>
          <w:rFonts w:hint="eastAsia" w:ascii="宋体" w:hAnsi="宋体"/>
          <w:sz w:val="24"/>
          <w:szCs w:val="24"/>
          <w:lang w:val="en-US" w:eastAsia="zh-CN"/>
        </w:rPr>
        <w:t>、</w:t>
      </w:r>
      <w:r>
        <w:rPr>
          <w:rFonts w:hint="eastAsia" w:ascii="宋体" w:hAnsi="宋体"/>
          <w:sz w:val="24"/>
          <w:szCs w:val="24"/>
          <w:lang w:val="en-US" w:eastAsia="en-US"/>
        </w:rPr>
        <w:t>《河南省电子招标投标公共服务平台》</w:t>
      </w:r>
      <w:r>
        <w:rPr>
          <w:rFonts w:hint="eastAsia" w:ascii="宋体" w:hAnsi="宋体"/>
          <w:sz w:val="24"/>
          <w:szCs w:val="24"/>
          <w:lang w:val="en-US" w:eastAsia="zh-CN"/>
        </w:rPr>
        <w:t>、</w:t>
      </w:r>
      <w:r>
        <w:rPr>
          <w:rFonts w:hint="eastAsia" w:ascii="宋体" w:hAnsi="宋体"/>
          <w:sz w:val="24"/>
          <w:szCs w:val="24"/>
          <w:lang w:val="en-US" w:eastAsia="en-US"/>
        </w:rPr>
        <w:t>《中国招标投标公共服务平台》</w:t>
      </w:r>
      <w:r>
        <w:rPr>
          <w:rFonts w:hint="eastAsia" w:ascii="宋体" w:hAnsi="宋体"/>
          <w:sz w:val="24"/>
          <w:szCs w:val="24"/>
        </w:rPr>
        <w:t>上发布。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九、联系方式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监督单位：卢氏县政府采购办公室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 xml:space="preserve">联系方式：0398-7863556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监督单位：卢氏县市场监督管理局主体责任办公室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联系人：郭久胜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联系方式：0398-7878226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采购人：卢氏县市场监督管理局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联系人：付倩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联系方式：15839800136</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地址：卢氏县城关镇解放路中段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采购代理机构：中伟诚工程管理有限公司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联系人：张凯丽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13643982722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地址：</w:t>
      </w:r>
      <w:r>
        <w:rPr>
          <w:rFonts w:hint="eastAsia" w:ascii="宋体" w:hAnsi="宋体" w:eastAsia="宋体" w:cs="Times New Roman"/>
          <w:sz w:val="24"/>
          <w:szCs w:val="24"/>
          <w:lang w:val="en-US"/>
        </w:rPr>
        <w:t>河南</w:t>
      </w:r>
      <w:r>
        <w:rPr>
          <w:rFonts w:hint="eastAsia" w:ascii="宋体" w:hAnsi="宋体" w:eastAsia="宋体" w:cs="Times New Roman"/>
          <w:sz w:val="24"/>
          <w:szCs w:val="24"/>
          <w:lang w:val="en-US" w:eastAsia="zh-CN"/>
        </w:rPr>
        <w:t>自贸试验区郑州片区（郑东）金水东路88-1号1号楼3层307</w:t>
      </w:r>
    </w:p>
    <w:p>
      <w:pPr>
        <w:pStyle w:val="2"/>
        <w:spacing w:line="240" w:lineRule="auto"/>
        <w:ind w:left="360"/>
        <w:jc w:val="center"/>
        <w:rPr>
          <w:rFonts w:hint="eastAsia" w:ascii="宋体" w:hAnsi="宋体"/>
          <w:sz w:val="24"/>
          <w:szCs w:val="24"/>
        </w:rPr>
      </w:pPr>
      <w:r>
        <w:rPr>
          <w:rFonts w:ascii="宋体" w:hAnsi="宋体"/>
          <w:sz w:val="24"/>
          <w:szCs w:val="24"/>
        </w:rPr>
        <w:br w:type="page"/>
      </w:r>
      <w:bookmarkStart w:id="30" w:name="_Toc14931"/>
      <w:bookmarkStart w:id="31" w:name="_Toc101344060"/>
      <w:r>
        <w:rPr>
          <w:rFonts w:hint="eastAsia" w:ascii="宋体" w:hAnsi="宋体"/>
          <w:sz w:val="24"/>
          <w:szCs w:val="24"/>
        </w:rPr>
        <w:t>第二章 供应商须知</w:t>
      </w:r>
      <w:bookmarkEnd w:id="21"/>
      <w:bookmarkEnd w:id="22"/>
      <w:bookmarkEnd w:id="23"/>
      <w:bookmarkEnd w:id="24"/>
      <w:bookmarkEnd w:id="25"/>
      <w:bookmarkEnd w:id="26"/>
      <w:bookmarkEnd w:id="27"/>
      <w:bookmarkEnd w:id="28"/>
      <w:bookmarkEnd w:id="29"/>
      <w:bookmarkEnd w:id="30"/>
      <w:bookmarkEnd w:id="31"/>
    </w:p>
    <w:p>
      <w:pPr>
        <w:pStyle w:val="3"/>
        <w:spacing w:before="200" w:after="200" w:line="240" w:lineRule="auto"/>
        <w:jc w:val="center"/>
        <w:rPr>
          <w:rFonts w:ascii="宋体" w:hAnsi="宋体" w:eastAsia="宋体"/>
          <w:bCs w:val="0"/>
          <w:sz w:val="24"/>
          <w:szCs w:val="24"/>
        </w:rPr>
      </w:pPr>
      <w:bookmarkStart w:id="32" w:name="_Toc27215"/>
      <w:bookmarkStart w:id="33" w:name="_Toc43652627"/>
      <w:bookmarkStart w:id="34" w:name="_Toc101344061"/>
      <w:bookmarkStart w:id="35" w:name="_Toc533503498"/>
      <w:bookmarkStart w:id="36" w:name="_Toc184635070"/>
      <w:bookmarkStart w:id="37" w:name="_Toc26346"/>
      <w:bookmarkStart w:id="38" w:name="_Toc13269"/>
      <w:bookmarkStart w:id="39" w:name="_Toc466303888"/>
      <w:r>
        <w:rPr>
          <w:rFonts w:hint="eastAsia" w:ascii="宋体" w:hAnsi="宋体" w:eastAsia="宋体"/>
          <w:bCs w:val="0"/>
          <w:sz w:val="24"/>
          <w:szCs w:val="24"/>
        </w:rPr>
        <w:t>供应商须知前附表</w:t>
      </w:r>
      <w:bookmarkEnd w:id="32"/>
      <w:bookmarkEnd w:id="33"/>
      <w:bookmarkEnd w:id="34"/>
      <w:bookmarkEnd w:id="35"/>
    </w:p>
    <w:tbl>
      <w:tblPr>
        <w:tblStyle w:val="15"/>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53"/>
        <w:gridCol w:w="6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33"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条款号</w:t>
            </w:r>
          </w:p>
        </w:tc>
        <w:tc>
          <w:tcPr>
            <w:tcW w:w="2353"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条 款 名 称</w:t>
            </w:r>
          </w:p>
        </w:tc>
        <w:tc>
          <w:tcPr>
            <w:tcW w:w="6155" w:type="dxa"/>
            <w:noWrap w:val="0"/>
            <w:vAlign w:val="center"/>
          </w:tcPr>
          <w:p>
            <w:pPr>
              <w:spacing w:line="360" w:lineRule="exact"/>
              <w:jc w:val="center"/>
              <w:textAlignment w:val="center"/>
              <w:rPr>
                <w:rFonts w:hint="eastAsia" w:ascii="宋体" w:hAnsi="宋体"/>
                <w:b/>
                <w:sz w:val="24"/>
                <w:szCs w:val="24"/>
              </w:rPr>
            </w:pPr>
            <w:r>
              <w:rPr>
                <w:rFonts w:hint="eastAsia" w:ascii="宋体" w:hAnsi="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1.0</w:t>
            </w:r>
          </w:p>
        </w:tc>
        <w:tc>
          <w:tcPr>
            <w:tcW w:w="235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监督单位</w:t>
            </w:r>
          </w:p>
        </w:tc>
        <w:tc>
          <w:tcPr>
            <w:tcW w:w="6155" w:type="dxa"/>
            <w:noWrap w:val="0"/>
            <w:vAlign w:val="center"/>
          </w:tcPr>
          <w:p>
            <w:pPr>
              <w:spacing w:line="360" w:lineRule="exact"/>
              <w:jc w:val="left"/>
              <w:rPr>
                <w:rFonts w:hint="eastAsia" w:ascii="宋体" w:hAnsi="宋体" w:cs="宋体"/>
                <w:sz w:val="24"/>
                <w:szCs w:val="24"/>
              </w:rPr>
            </w:pPr>
            <w:r>
              <w:rPr>
                <w:rFonts w:hint="eastAsia" w:ascii="宋体" w:hAnsi="宋体" w:cs="宋体"/>
                <w:sz w:val="24"/>
                <w:szCs w:val="24"/>
              </w:rPr>
              <w:t>监督单位：卢氏县政府采购办公室</w:t>
            </w:r>
          </w:p>
          <w:p>
            <w:pPr>
              <w:spacing w:line="360" w:lineRule="exact"/>
              <w:jc w:val="left"/>
              <w:rPr>
                <w:rFonts w:hint="eastAsia" w:ascii="宋体" w:hAnsi="宋体" w:cs="宋体"/>
                <w:sz w:val="24"/>
                <w:szCs w:val="24"/>
              </w:rPr>
            </w:pPr>
            <w:r>
              <w:rPr>
                <w:rFonts w:hint="eastAsia" w:ascii="宋体" w:hAnsi="宋体" w:cs="宋体"/>
                <w:sz w:val="24"/>
                <w:szCs w:val="24"/>
              </w:rPr>
              <w:t xml:space="preserve">联系方式：0398-7863556 </w:t>
            </w:r>
          </w:p>
          <w:p>
            <w:pPr>
              <w:spacing w:line="360" w:lineRule="exact"/>
              <w:jc w:val="left"/>
              <w:rPr>
                <w:rFonts w:hint="eastAsia" w:ascii="宋体" w:hAnsi="宋体" w:cs="宋体"/>
                <w:sz w:val="24"/>
                <w:szCs w:val="24"/>
              </w:rPr>
            </w:pPr>
            <w:r>
              <w:rPr>
                <w:rFonts w:hint="eastAsia" w:ascii="宋体" w:hAnsi="宋体" w:cs="宋体"/>
                <w:sz w:val="24"/>
                <w:szCs w:val="24"/>
              </w:rPr>
              <w:t>地址：卢氏县城关镇解放路中段</w:t>
            </w:r>
          </w:p>
          <w:p>
            <w:pPr>
              <w:spacing w:line="360" w:lineRule="exact"/>
              <w:jc w:val="left"/>
              <w:rPr>
                <w:rFonts w:hint="eastAsia" w:ascii="宋体" w:hAnsi="宋体" w:cs="宋体"/>
                <w:sz w:val="24"/>
                <w:szCs w:val="24"/>
              </w:rPr>
            </w:pPr>
            <w:r>
              <w:rPr>
                <w:rFonts w:hint="eastAsia" w:ascii="宋体" w:hAnsi="宋体" w:cs="宋体"/>
                <w:sz w:val="24"/>
                <w:szCs w:val="24"/>
              </w:rPr>
              <w:t>监督单位：卢氏县市场监督管理局主体责任办公室</w:t>
            </w:r>
          </w:p>
          <w:p>
            <w:pPr>
              <w:spacing w:line="360" w:lineRule="exact"/>
              <w:jc w:val="left"/>
              <w:rPr>
                <w:rFonts w:hint="eastAsia" w:ascii="宋体" w:hAnsi="宋体" w:cs="宋体"/>
                <w:sz w:val="24"/>
                <w:szCs w:val="24"/>
              </w:rPr>
            </w:pPr>
            <w:r>
              <w:rPr>
                <w:rFonts w:hint="eastAsia" w:ascii="宋体" w:hAnsi="宋体" w:cs="宋体"/>
                <w:sz w:val="24"/>
                <w:szCs w:val="24"/>
              </w:rPr>
              <w:t>联系人：郭久胜</w:t>
            </w:r>
          </w:p>
          <w:p>
            <w:pPr>
              <w:spacing w:line="360" w:lineRule="exact"/>
              <w:jc w:val="left"/>
              <w:rPr>
                <w:rFonts w:hint="eastAsia" w:ascii="宋体" w:hAnsi="宋体" w:cs="宋体"/>
                <w:sz w:val="24"/>
                <w:szCs w:val="24"/>
              </w:rPr>
            </w:pPr>
            <w:r>
              <w:rPr>
                <w:rFonts w:hint="eastAsia" w:ascii="宋体" w:hAnsi="宋体" w:cs="宋体"/>
                <w:sz w:val="24"/>
                <w:szCs w:val="24"/>
              </w:rPr>
              <w:t>联系方式：0398-7878226</w:t>
            </w:r>
          </w:p>
          <w:p>
            <w:pPr>
              <w:spacing w:line="360" w:lineRule="exact"/>
              <w:jc w:val="left"/>
              <w:rPr>
                <w:rFonts w:hint="eastAsia" w:ascii="宋体" w:hAnsi="宋体" w:cs="宋体"/>
                <w:sz w:val="24"/>
                <w:szCs w:val="24"/>
              </w:rPr>
            </w:pPr>
            <w:r>
              <w:rPr>
                <w:rFonts w:hint="eastAsia" w:ascii="宋体" w:hAnsi="宋体" w:cs="宋体"/>
                <w:sz w:val="24"/>
                <w:szCs w:val="24"/>
              </w:rPr>
              <w:t>地址：</w:t>
            </w:r>
            <w:r>
              <w:rPr>
                <w:rFonts w:hint="eastAsia" w:ascii="宋体" w:hAnsi="宋体" w:eastAsia="宋体" w:cs="Times New Roman"/>
                <w:sz w:val="24"/>
                <w:szCs w:val="24"/>
              </w:rPr>
              <w:t>卢氏县城关镇解放路中段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采购人：卢氏县市场监督管理局</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联系人：付倩</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联系方式：15839800136</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Times New Roman"/>
                <w:sz w:val="24"/>
                <w:szCs w:val="24"/>
              </w:rPr>
              <w:t>卢氏县城关镇解放路中段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采购代理机构</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采购代理机构：中伟诚工程管理有限公司</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联系人：张凯丽</w:t>
            </w:r>
          </w:p>
          <w:p>
            <w:pPr>
              <w:spacing w:line="360" w:lineRule="exact"/>
              <w:jc w:val="left"/>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18239837907</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rPr>
              <w:t>河南</w:t>
            </w:r>
            <w:r>
              <w:rPr>
                <w:rFonts w:hint="eastAsia" w:ascii="宋体" w:hAnsi="宋体" w:eastAsia="宋体" w:cs="宋体"/>
                <w:sz w:val="24"/>
                <w:szCs w:val="24"/>
                <w:lang w:val="en-US" w:eastAsia="zh-CN"/>
              </w:rPr>
              <w:t>自贸试验区郑州片区（郑东）金水东路88-1号1号楼3层307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项目名称</w:t>
            </w:r>
          </w:p>
        </w:tc>
        <w:tc>
          <w:tcPr>
            <w:tcW w:w="6155" w:type="dxa"/>
            <w:noWrap w:val="0"/>
            <w:vAlign w:val="center"/>
          </w:tcPr>
          <w:p>
            <w:pPr>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卢氏县市场监督管理局2024年食品第三方抽检机构服务项目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资金来源及落实情况</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1.6</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预算金额</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58</w:t>
            </w:r>
            <w:r>
              <w:rPr>
                <w:rFonts w:hint="eastAsia" w:ascii="宋体" w:hAnsi="宋体" w:eastAsia="宋体" w:cs="宋体"/>
                <w:sz w:val="24"/>
                <w:szCs w:val="24"/>
              </w:rPr>
              <w:t>0000.00元（其中第一标段为￥</w:t>
            </w:r>
            <w:r>
              <w:rPr>
                <w:rFonts w:hint="eastAsia" w:ascii="宋体" w:hAnsi="宋体" w:eastAsia="宋体" w:cs="宋体"/>
                <w:sz w:val="24"/>
                <w:szCs w:val="24"/>
                <w:lang w:val="en-US" w:eastAsia="zh-CN"/>
              </w:rPr>
              <w:t>275</w:t>
            </w:r>
            <w:r>
              <w:rPr>
                <w:rFonts w:hint="eastAsia" w:ascii="宋体" w:hAnsi="宋体" w:eastAsia="宋体" w:cs="宋体"/>
                <w:sz w:val="24"/>
                <w:szCs w:val="24"/>
              </w:rPr>
              <w:t>000.00元，第二标段为￥</w:t>
            </w:r>
            <w:r>
              <w:rPr>
                <w:rFonts w:hint="eastAsia" w:ascii="宋体" w:hAnsi="宋体" w:eastAsia="宋体" w:cs="宋体"/>
                <w:sz w:val="24"/>
                <w:szCs w:val="24"/>
                <w:lang w:val="en-US" w:eastAsia="zh-CN"/>
              </w:rPr>
              <w:t>305</w:t>
            </w:r>
            <w:r>
              <w:rPr>
                <w:rFonts w:hint="eastAsia" w:ascii="宋体" w:hAnsi="宋体" w:eastAsia="宋体" w:cs="宋体"/>
                <w:sz w:val="24"/>
                <w:szCs w:val="24"/>
              </w:rPr>
              <w:t>000.00元）；</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供应商报价不得超出采购预算金额，否则予以废标处理。若所有供应商的报价均超过预算价，则采购人有权重新组织采购。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333" w:type="dxa"/>
            <w:noWrap w:val="0"/>
            <w:vAlign w:val="center"/>
          </w:tcPr>
          <w:p>
            <w:pPr>
              <w:spacing w:line="360" w:lineRule="exact"/>
              <w:jc w:val="center"/>
              <w:textAlignment w:val="center"/>
              <w:rPr>
                <w:rFonts w:hint="eastAsia" w:ascii="宋体" w:hAnsi="宋体"/>
                <w:sz w:val="24"/>
                <w:szCs w:val="24"/>
              </w:rPr>
            </w:pPr>
            <w:r>
              <w:rPr>
                <w:rFonts w:hint="eastAsia" w:ascii="宋体" w:hAnsi="宋体"/>
                <w:sz w:val="24"/>
                <w:szCs w:val="24"/>
              </w:rPr>
              <w:t>1.7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w:t>
            </w:r>
            <w:r>
              <w:rPr>
                <w:rFonts w:hint="eastAsia" w:ascii="宋体" w:hAnsi="宋体" w:eastAsia="宋体" w:cs="Times New Roman"/>
                <w:sz w:val="24"/>
                <w:szCs w:val="24"/>
              </w:rPr>
              <w:t>内容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第一标段：共450批次，包括粮食加工品、乳制品、餐饮食品、食用农产品等安全监督抽样检测服务；（具体要求详见本项目竞争性磋商文件第三章服务内容及相关要求）</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第二标段：共500批次，包括粮食加工品、乳制品、餐饮食品、食用农产品等安全监督抽样检测服务；（具体要求详见本项目竞争性磋商文件第三章服务内容及相关要求）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服务标准</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Times New Roman"/>
                <w:sz w:val="24"/>
                <w:szCs w:val="24"/>
                <w:lang w:val="en-US" w:eastAsia="zh-CN"/>
              </w:rPr>
              <w:t>符合国家及行业标准并满足采购人使用要求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服务期限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自合同签订之日起1年；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1.10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服务地点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33" w:type="dxa"/>
            <w:noWrap w:val="0"/>
            <w:vAlign w:val="center"/>
          </w:tcPr>
          <w:p>
            <w:pPr>
              <w:widowControl/>
              <w:spacing w:line="360" w:lineRule="exact"/>
              <w:jc w:val="center"/>
              <w:rPr>
                <w:rFonts w:hint="eastAsia" w:ascii="宋体" w:hAnsi="宋体"/>
                <w:sz w:val="24"/>
                <w:szCs w:val="24"/>
              </w:rPr>
            </w:pPr>
            <w:r>
              <w:rPr>
                <w:rFonts w:hint="eastAsia" w:ascii="宋体" w:hAnsi="宋体"/>
                <w:sz w:val="24"/>
                <w:szCs w:val="24"/>
              </w:rPr>
              <w:t>2.0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供应商资格要求</w:t>
            </w:r>
          </w:p>
        </w:tc>
        <w:tc>
          <w:tcPr>
            <w:tcW w:w="615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满足《中华人民共和国政府采购法》第二十二条规定，且符合下列要求：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必须是在中国境内注册的独立法人，具有合法有效的营业执照</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eastAsia="宋体" w:cs="Times New Roman"/>
                <w:sz w:val="24"/>
                <w:szCs w:val="24"/>
                <w:lang w:val="en-US" w:eastAsia="zh-CN"/>
              </w:rPr>
              <w:t>采购项目需要落实的政府采购政策：本项目执行促进中小型企业发展政策（残疾人福利性企业、监狱企业视同小微企业）、优先采购节能环保产品等政府采购政策；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cs" w:ascii="宋体" w:hAnsi="宋体" w:eastAsia="宋体" w:cs="Times New Roman"/>
                <w:sz w:val="24"/>
                <w:szCs w:val="24"/>
                <w:cs/>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参加政府采购活动前3年内无行贿犯罪记录；（提供《中国裁判文书网》查询结果网页截图或企业自行承诺的无行贿犯罪承诺书，查询&lt;承诺&gt;对象为“企业，法定代表人，项目负责人”）</w:t>
            </w:r>
            <w:r>
              <w:rPr>
                <w:rFonts w:hint="eastAsia" w:ascii="宋体" w:hAnsi="宋体" w:eastAsia="宋体" w:cs="Times New Roman"/>
                <w:sz w:val="24"/>
                <w:szCs w:val="24"/>
                <w:lang w:val="en-US"/>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lang w:val="en-US"/>
              </w:rPr>
              <w:t>参加政府采购活动前3年内无商业贿赂、不正当竞争行为、骗取中标、严重违约及重大工程质量等问题</w:t>
            </w:r>
            <w:r>
              <w:rPr>
                <w:rFonts w:hint="eastAsia" w:ascii="宋体" w:hAnsi="宋体"/>
                <w:sz w:val="24"/>
                <w:szCs w:val="24"/>
                <w:lang w:val="en-US" w:eastAsia="zh-CN"/>
              </w:rPr>
              <w:t>，</w:t>
            </w:r>
            <w:r>
              <w:rPr>
                <w:rFonts w:hint="eastAsia" w:ascii="宋体" w:hAnsi="宋体"/>
                <w:sz w:val="24"/>
                <w:szCs w:val="24"/>
                <w:lang w:val="en-US"/>
              </w:rPr>
              <w:t>（</w:t>
            </w:r>
            <w:r>
              <w:rPr>
                <w:rFonts w:hint="eastAsia" w:ascii="宋体" w:hAnsi="宋体"/>
                <w:sz w:val="24"/>
                <w:szCs w:val="24"/>
                <w:lang w:val="en-US" w:eastAsia="zh-CN"/>
              </w:rPr>
              <w:t>供应商</w:t>
            </w:r>
            <w:r>
              <w:rPr>
                <w:rFonts w:hint="eastAsia" w:ascii="宋体" w:hAnsi="宋体"/>
                <w:sz w:val="24"/>
                <w:szCs w:val="24"/>
                <w:lang w:val="en-US"/>
              </w:rPr>
              <w:t>须自行出具承诺书）</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9.根据《关于在政府采购活动中查询及使用信用记录有关问题的通知》(财库[2016]125号)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本项目不接受联合体</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注</w:t>
            </w:r>
            <w:r>
              <w:rPr>
                <w:rFonts w:hint="eastAsia" w:ascii="宋体" w:hAnsi="宋体" w:eastAsia="宋体" w:cs="Times New Roman"/>
                <w:sz w:val="24"/>
                <w:szCs w:val="24"/>
                <w:lang w:eastAsia="zh-CN"/>
              </w:rPr>
              <w:t>：</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被列入失信被执行人及</w:t>
            </w:r>
            <w:r>
              <w:rPr>
                <w:rFonts w:hint="eastAsia" w:ascii="宋体" w:hAnsi="宋体" w:eastAsia="宋体" w:cs="Times New Roman"/>
                <w:sz w:val="24"/>
                <w:szCs w:val="24"/>
                <w:lang w:val="en-US" w:eastAsia="zh-CN"/>
              </w:rPr>
              <w:t>重大税收违法失信主体</w:t>
            </w:r>
            <w:r>
              <w:rPr>
                <w:rFonts w:hint="eastAsia" w:ascii="宋体" w:hAnsi="宋体" w:eastAsia="宋体" w:cs="Times New Roman"/>
                <w:sz w:val="24"/>
                <w:szCs w:val="24"/>
              </w:rPr>
              <w:t>的企业做无效标处理。采购人或采购代理机构有权对投标人信用记录进行甄别和复查</w:t>
            </w:r>
            <w:r>
              <w:rPr>
                <w:rFonts w:hint="eastAsia" w:ascii="宋体" w:hAnsi="宋体" w:eastAsia="宋体"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供应商可选报多个标段，但只能取得一个标段的成交资格，如果某一成交候选人在此项目中的</w:t>
            </w:r>
            <w:r>
              <w:rPr>
                <w:rFonts w:hint="eastAsia" w:ascii="宋体" w:hAnsi="宋体" w:eastAsia="宋体" w:cs="Times New Roman"/>
                <w:sz w:val="24"/>
                <w:szCs w:val="24"/>
                <w:lang w:val="en-US" w:eastAsia="zh-CN"/>
              </w:rPr>
              <w:t>两</w:t>
            </w:r>
            <w:r>
              <w:rPr>
                <w:rFonts w:hint="eastAsia" w:ascii="宋体" w:hAnsi="宋体" w:eastAsia="宋体" w:cs="Times New Roman"/>
                <w:sz w:val="24"/>
                <w:szCs w:val="24"/>
              </w:rPr>
              <w:t>个标段中均排名第一，</w:t>
            </w:r>
            <w:r>
              <w:rPr>
                <w:rFonts w:hint="eastAsia" w:ascii="宋体" w:hAnsi="宋体" w:eastAsia="宋体" w:cs="Times New Roman"/>
                <w:sz w:val="24"/>
                <w:szCs w:val="24"/>
                <w:lang w:val="en-US" w:eastAsia="zh-CN"/>
              </w:rPr>
              <w:t>按标段排序的先后排序，取排序最靠前的一个标段为该投标人的中标候选项目，其它标段的候选人按排名次序递补</w:t>
            </w:r>
            <w:r>
              <w:rPr>
                <w:rFonts w:hint="eastAsia" w:ascii="宋体" w:hAnsi="宋体" w:eastAsia="宋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踏勘现场</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不组织，供应商自行前往现场踏勘；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投标答疑会</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竞争性磋商文件的组成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详见</w:t>
            </w:r>
            <w:r>
              <w:rPr>
                <w:rFonts w:hint="eastAsia" w:ascii="宋体" w:hAnsi="宋体" w:eastAsia="宋体" w:cs="宋体"/>
                <w:sz w:val="24"/>
                <w:szCs w:val="24"/>
                <w:lang w:val="en-US" w:eastAsia="en-US"/>
              </w:rPr>
              <w:t>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构成竞争性磋商文件的其他材料</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采购人在招标期间发出的有编号的补遗书和其它有效正式函件等均是竞争性磋商文件的组成部分。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3.5</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供应商提出问题的截止时间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33" w:type="dxa"/>
            <w:noWrap w:val="0"/>
            <w:vAlign w:val="center"/>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lang w:val="en-US"/>
              </w:rPr>
              <w:t>3.6</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采购人书面澄清的时间</w:t>
            </w:r>
          </w:p>
        </w:tc>
        <w:tc>
          <w:tcPr>
            <w:tcW w:w="6155" w:type="dxa"/>
            <w:noWrap w:val="0"/>
            <w:vAlign w:val="top"/>
          </w:tcPr>
          <w:p>
            <w:pPr>
              <w:spacing w:line="360" w:lineRule="exact"/>
              <w:jc w:val="left"/>
              <w:rPr>
                <w:rFonts w:hint="eastAsia" w:ascii="宋体" w:hAnsi="宋体" w:eastAsia="宋体" w:cs="宋体"/>
                <w:sz w:val="24"/>
                <w:szCs w:val="24"/>
                <w:lang w:val="en-US" w:eastAsia="en-US"/>
              </w:rPr>
            </w:pP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递交磋商响应文件截止之日</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3.7</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供应商确认收到竞争性磋商文件澄清的时间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3.8</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供应商确认收到竞争性磋商文件修改的时间</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供应商在收到竞争性磋商文件修改文件后24小时内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3.9</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近年完成的类似项目的年份要求</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近 3 年（20</w:t>
            </w:r>
            <w:r>
              <w:rPr>
                <w:rFonts w:hint="eastAsia" w:ascii="宋体" w:hAnsi="宋体" w:eastAsia="宋体" w:cs="宋体"/>
                <w:sz w:val="24"/>
                <w:szCs w:val="24"/>
                <w:lang w:val="en-US" w:eastAsia="zh-CN"/>
              </w:rPr>
              <w:t>20</w:t>
            </w:r>
            <w:r>
              <w:rPr>
                <w:rFonts w:hint="eastAsia" w:ascii="宋体" w:hAnsi="宋体" w:eastAsia="宋体" w:cs="宋体"/>
                <w:sz w:val="24"/>
                <w:szCs w:val="24"/>
                <w:lang w:val="en-US" w:eastAsia="en-US"/>
              </w:rPr>
              <w:t>年1月1日至今）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lang w:val="en-US"/>
              </w:rPr>
              <w:t>3.10</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eastAsia="en-US"/>
              </w:rPr>
            </w:pPr>
            <w:r>
              <w:rPr>
                <w:rFonts w:hint="eastAsia" w:ascii="宋体" w:hAnsi="宋体" w:eastAsia="宋体" w:cs="Times New Roman"/>
                <w:sz w:val="24"/>
                <w:szCs w:val="24"/>
              </w:rPr>
              <w:t>是否允许递交备选投标方案</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spacing w:line="360" w:lineRule="exact"/>
              <w:jc w:val="center"/>
              <w:rPr>
                <w:rFonts w:hint="eastAsia" w:ascii="宋体" w:hAnsi="宋体"/>
                <w:sz w:val="24"/>
                <w:szCs w:val="24"/>
              </w:rPr>
            </w:pPr>
            <w:r>
              <w:rPr>
                <w:rFonts w:hint="eastAsia"/>
                <w:sz w:val="28"/>
                <w:szCs w:val="28"/>
                <w:lang w:val="en-US"/>
              </w:rPr>
              <w:t>3.11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磋商有效期</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60日历天（从磋商截止之日算起）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rPr>
              <w:t>3.12</w:t>
            </w:r>
          </w:p>
        </w:tc>
        <w:tc>
          <w:tcPr>
            <w:tcW w:w="2353" w:type="dxa"/>
            <w:noWrap w:val="0"/>
            <w:vAlign w:val="center"/>
          </w:tcPr>
          <w:p>
            <w:pPr>
              <w:spacing w:line="360" w:lineRule="exact"/>
              <w:jc w:val="center"/>
              <w:textAlignment w:val="center"/>
              <w:rPr>
                <w:rFonts w:hint="eastAsia" w:ascii="宋体" w:hAnsi="宋体" w:eastAsia="宋体" w:cs="Times New Roman"/>
                <w:sz w:val="24"/>
                <w:szCs w:val="24"/>
                <w:lang w:val="en-US"/>
              </w:rPr>
            </w:pPr>
            <w:r>
              <w:rPr>
                <w:rFonts w:hint="eastAsia" w:ascii="宋体" w:hAnsi="宋体" w:eastAsia="宋体" w:cs="Times New Roman"/>
                <w:sz w:val="24"/>
                <w:szCs w:val="24"/>
              </w:rPr>
              <w:t>政府采购政策落实</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Times New Roman"/>
                <w:sz w:val="24"/>
                <w:szCs w:val="24"/>
                <w:lang w:val="en-US" w:eastAsia="zh-CN"/>
              </w:rPr>
              <w:t>本项目执行促进中小型企业发展政策（残疾人福利性企业、监狱企业视同小微企业）、优先采购节能环保产品等政府采购政策</w:t>
            </w:r>
            <w:r>
              <w:rPr>
                <w:rFonts w:hint="eastAsia" w:ascii="宋体" w:hAnsi="宋体" w:eastAsia="宋体" w:cs="宋体"/>
                <w:sz w:val="24"/>
                <w:szCs w:val="24"/>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rPr>
              <w:t>3.13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付款办法</w:t>
            </w:r>
          </w:p>
        </w:tc>
        <w:tc>
          <w:tcPr>
            <w:tcW w:w="6155" w:type="dxa"/>
            <w:noWrap w:val="0"/>
            <w:vAlign w:val="top"/>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rPr>
              <w:t>抽样检测费用按实际批次和检验项目结算，购买样品费用和抽检产生费用包含在项目检测费用里，费用由乙方先行垫付，待检验和复检工作全部完成后，乙方按照实际抽检批次和成交项目单价合计抽样检测费用，经甲方认可后，向甲方提供合法、真实、有效的检测费用发票、样品清单等资料，每季度结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lang w:val="en-US" w:eastAsia="zh-CN"/>
              </w:rPr>
              <w:t>3.14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履约保证金</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响应文件</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使用CA在电子平台上传电子</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开标时不再递交纸质</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3.16</w:t>
            </w:r>
          </w:p>
        </w:tc>
        <w:tc>
          <w:tcPr>
            <w:tcW w:w="2353" w:type="dxa"/>
            <w:noWrap w:val="0"/>
            <w:vAlign w:val="top"/>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响应文件的组成</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见竞争性磋商文件第六章“响应文件格式”；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33" w:type="dxa"/>
            <w:noWrap w:val="0"/>
            <w:vAlign w:val="center"/>
          </w:tcPr>
          <w:p>
            <w:pPr>
              <w:pStyle w:val="18"/>
              <w:spacing w:line="360" w:lineRule="exact"/>
              <w:jc w:val="center"/>
              <w:rPr>
                <w:rFonts w:ascii="宋体" w:hAnsi="宋体"/>
                <w:sz w:val="24"/>
                <w:szCs w:val="24"/>
              </w:rPr>
            </w:pPr>
            <w:r>
              <w:rPr>
                <w:rFonts w:hint="eastAsia"/>
                <w:sz w:val="28"/>
                <w:szCs w:val="28"/>
              </w:rPr>
              <w:t>3.17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w:t>
            </w:r>
            <w:r>
              <w:rPr>
                <w:rFonts w:hint="eastAsia" w:ascii="宋体" w:hAnsi="宋体" w:eastAsia="宋体" w:cs="Times New Roman"/>
                <w:sz w:val="24"/>
                <w:szCs w:val="24"/>
                <w:lang w:eastAsia="zh-CN"/>
              </w:rPr>
              <w:t>磋商</w:t>
            </w:r>
            <w:r>
              <w:rPr>
                <w:rFonts w:hint="eastAsia" w:ascii="宋体" w:hAnsi="宋体" w:eastAsia="宋体" w:cs="Times New Roman"/>
                <w:sz w:val="24"/>
                <w:szCs w:val="24"/>
              </w:rPr>
              <w:t>响应文件签章</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1、供应商在生成电子化磋商响应文件后，应对电子化磋商响应文件进行签章，未对电子化文件进行签章的视为无效投标。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2、磋商文件中要求加盖单位公章的，供应商在进行电子化磋商响应文件签章时，以签盖投标企业的单位电子印章；</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3、磋商文件中要求法定代表人或授权委托人签字或盖章的，供应商在进行电子化磋商响应文件签章时，以签盖法定代表人个人电子印章为准。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33" w:type="dxa"/>
            <w:noWrap w:val="0"/>
            <w:vAlign w:val="center"/>
          </w:tcPr>
          <w:p>
            <w:pPr>
              <w:pStyle w:val="18"/>
              <w:wordWrap w:val="0"/>
              <w:spacing w:line="360" w:lineRule="exact"/>
              <w:jc w:val="center"/>
              <w:rPr>
                <w:rFonts w:ascii="宋体" w:hAnsi="宋体"/>
                <w:sz w:val="24"/>
                <w:szCs w:val="24"/>
              </w:rPr>
            </w:pPr>
            <w:r>
              <w:rPr>
                <w:rFonts w:hint="eastAsia"/>
                <w:sz w:val="28"/>
                <w:szCs w:val="28"/>
              </w:rPr>
              <w:t>3.18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磋商截止时间和地点</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磋商时间：202</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年</w:t>
            </w:r>
            <w:r>
              <w:rPr>
                <w:rFonts w:hint="eastAsia" w:ascii="宋体" w:hAnsi="宋体" w:eastAsia="宋体" w:cs="宋体"/>
                <w:sz w:val="24"/>
                <w:szCs w:val="24"/>
                <w:lang w:val="en-US" w:eastAsia="zh-CN"/>
              </w:rPr>
              <w:t>06</w:t>
            </w:r>
            <w:r>
              <w:rPr>
                <w:rFonts w:hint="eastAsia" w:ascii="宋体" w:hAnsi="宋体" w:eastAsia="宋体" w:cs="宋体"/>
                <w:sz w:val="24"/>
                <w:szCs w:val="24"/>
                <w:lang w:val="en-US" w:eastAsia="en-US"/>
              </w:rPr>
              <w:t>月</w:t>
            </w:r>
            <w:r>
              <w:rPr>
                <w:rFonts w:hint="eastAsia" w:ascii="宋体" w:hAnsi="宋体" w:eastAsia="宋体" w:cs="宋体"/>
                <w:sz w:val="24"/>
                <w:szCs w:val="24"/>
                <w:lang w:val="en-US" w:eastAsia="zh-CN"/>
              </w:rPr>
              <w:t>28</w:t>
            </w:r>
            <w:r>
              <w:rPr>
                <w:rFonts w:hint="eastAsia" w:ascii="宋体" w:hAnsi="宋体" w:eastAsia="宋体" w:cs="宋体"/>
                <w:sz w:val="24"/>
                <w:szCs w:val="24"/>
                <w:lang w:val="en-US" w:eastAsia="en-US"/>
              </w:rPr>
              <w:t>日08时</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0分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磋商地点：卢氏县公共资源交易中心</w:t>
            </w:r>
            <w:r>
              <w:rPr>
                <w:rFonts w:hint="eastAsia" w:ascii="宋体" w:hAnsi="宋体" w:eastAsia="宋体" w:cs="宋体"/>
                <w:sz w:val="24"/>
                <w:szCs w:val="24"/>
                <w:lang w:val="en-US" w:eastAsia="zh-CN"/>
              </w:rPr>
              <w:t>四</w:t>
            </w:r>
            <w:r>
              <w:rPr>
                <w:rFonts w:hint="eastAsia" w:ascii="宋体" w:hAnsi="宋体" w:eastAsia="宋体" w:cs="宋体"/>
                <w:sz w:val="24"/>
                <w:szCs w:val="24"/>
                <w:lang w:val="en-US" w:eastAsia="en-US"/>
              </w:rPr>
              <w:t>楼第</w:t>
            </w:r>
            <w:r>
              <w:rPr>
                <w:rFonts w:hint="eastAsia" w:ascii="宋体" w:hAnsi="宋体" w:eastAsia="宋体" w:cs="宋体"/>
                <w:sz w:val="24"/>
                <w:szCs w:val="24"/>
                <w:lang w:val="en-US" w:eastAsia="zh-CN"/>
              </w:rPr>
              <w:t>二</w:t>
            </w:r>
            <w:r>
              <w:rPr>
                <w:rFonts w:hint="eastAsia" w:ascii="宋体" w:hAnsi="宋体" w:eastAsia="宋体" w:cs="宋体"/>
                <w:sz w:val="24"/>
                <w:szCs w:val="24"/>
                <w:lang w:val="en-US" w:eastAsia="en-US"/>
              </w:rPr>
              <w:t>开标室；</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评标地点：卢氏县公共资源交易中心二楼第</w:t>
            </w:r>
            <w:r>
              <w:rPr>
                <w:rFonts w:hint="eastAsia" w:ascii="宋体" w:hAnsi="宋体" w:eastAsia="宋体" w:cs="宋体"/>
                <w:sz w:val="24"/>
                <w:szCs w:val="24"/>
                <w:lang w:val="en-US" w:eastAsia="zh-CN"/>
              </w:rPr>
              <w:t>二</w:t>
            </w:r>
            <w:r>
              <w:rPr>
                <w:rFonts w:hint="eastAsia" w:ascii="宋体" w:hAnsi="宋体" w:eastAsia="宋体" w:cs="宋体"/>
                <w:sz w:val="24"/>
                <w:szCs w:val="24"/>
                <w:lang w:val="en-US" w:eastAsia="en-US"/>
              </w:rPr>
              <w:t>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33" w:type="dxa"/>
            <w:noWrap w:val="0"/>
            <w:vAlign w:val="center"/>
          </w:tcPr>
          <w:p>
            <w:pPr>
              <w:pStyle w:val="18"/>
              <w:wordWrap w:val="0"/>
              <w:spacing w:line="360" w:lineRule="exact"/>
              <w:jc w:val="center"/>
              <w:rPr>
                <w:rFonts w:ascii="宋体" w:hAnsi="宋体"/>
                <w:kern w:val="0"/>
                <w:sz w:val="24"/>
                <w:szCs w:val="24"/>
              </w:rPr>
            </w:pPr>
            <w:r>
              <w:rPr>
                <w:rFonts w:hint="eastAsia"/>
                <w:sz w:val="28"/>
                <w:szCs w:val="28"/>
              </w:rPr>
              <w:t>3.1</w:t>
            </w:r>
            <w:r>
              <w:rPr>
                <w:rFonts w:hint="eastAsia"/>
                <w:sz w:val="28"/>
                <w:szCs w:val="28"/>
                <w:lang w:val="en-US" w:eastAsia="zh-CN"/>
              </w:rPr>
              <w:t>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是否退还响应文件</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pPr>
              <w:pStyle w:val="18"/>
              <w:wordWrap w:val="0"/>
              <w:spacing w:line="360" w:lineRule="exact"/>
              <w:jc w:val="center"/>
              <w:rPr>
                <w:rFonts w:hint="eastAsia" w:ascii="宋体" w:hAnsi="宋体"/>
                <w:sz w:val="24"/>
                <w:szCs w:val="24"/>
              </w:rPr>
            </w:pPr>
            <w:r>
              <w:rPr>
                <w:rFonts w:hint="eastAsia"/>
                <w:sz w:val="28"/>
                <w:szCs w:val="28"/>
              </w:rPr>
              <w:t>3.20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val="en-US" w:eastAsia="en-US"/>
              </w:rPr>
              <w:t>报价</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本次竞争性磋商采取两轮报价：第一轮报价直接填报于磋商响应文件中，开标后远程进行唱标，初步审查通过后进行第二轮报价，第二轮报价远程填报。</w:t>
            </w:r>
          </w:p>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供应商所报总价为履行本项目</w:t>
            </w:r>
            <w:r>
              <w:rPr>
                <w:rFonts w:hint="eastAsia" w:ascii="宋体" w:hAnsi="宋体" w:eastAsia="宋体" w:cs="宋体"/>
                <w:sz w:val="24"/>
                <w:szCs w:val="24"/>
                <w:lang w:val="en-US" w:eastAsia="zh-CN"/>
              </w:rPr>
              <w:t>服务</w:t>
            </w:r>
            <w:r>
              <w:rPr>
                <w:rFonts w:hint="eastAsia" w:ascii="宋体" w:hAnsi="宋体" w:eastAsia="宋体" w:cs="宋体"/>
                <w:sz w:val="24"/>
                <w:szCs w:val="24"/>
                <w:lang w:val="en-US" w:eastAsia="en-US"/>
              </w:rPr>
              <w:t>内容等所有费用。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center"/>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rPr>
              <w:t>3.21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磋商小组的组建</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磋商小组成员为3人，采购人代表1人，其余技术、经济等方面的专家2人从相关评标专家库中随机抽取。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pPr>
              <w:pStyle w:val="18"/>
              <w:wordWrap w:val="0"/>
              <w:spacing w:line="360" w:lineRule="exact"/>
              <w:jc w:val="center"/>
              <w:rPr>
                <w:rFonts w:hint="default" w:ascii="宋体" w:hAnsi="宋体" w:eastAsia="宋体"/>
                <w:sz w:val="24"/>
                <w:szCs w:val="24"/>
                <w:lang w:val="en-US" w:eastAsia="zh-CN"/>
              </w:rPr>
            </w:pPr>
            <w:r>
              <w:rPr>
                <w:rFonts w:hint="eastAsia"/>
                <w:sz w:val="28"/>
                <w:szCs w:val="28"/>
              </w:rPr>
              <w:t>3.22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是否授权磋商专家确定成交供应商</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否，由磋商小组按照评审得分由高到底推荐3名成交候选供应商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33" w:type="dxa"/>
            <w:noWrap w:val="0"/>
            <w:vAlign w:val="top"/>
          </w:tcPr>
          <w:p>
            <w:pPr>
              <w:pStyle w:val="18"/>
              <w:wordWrap w:val="0"/>
              <w:spacing w:line="360" w:lineRule="exact"/>
              <w:jc w:val="center"/>
              <w:rPr>
                <w:rFonts w:hint="eastAsia"/>
                <w:sz w:val="28"/>
                <w:szCs w:val="28"/>
                <w:lang w:val="en-US"/>
              </w:rPr>
            </w:pPr>
          </w:p>
          <w:p>
            <w:pPr>
              <w:pStyle w:val="18"/>
              <w:wordWrap w:val="0"/>
              <w:spacing w:line="360" w:lineRule="exact"/>
              <w:jc w:val="center"/>
              <w:rPr>
                <w:rFonts w:hint="default" w:ascii="宋体" w:hAnsi="宋体" w:eastAsia="宋体"/>
                <w:sz w:val="24"/>
                <w:szCs w:val="24"/>
                <w:lang w:val="en-US" w:eastAsia="zh-CN"/>
              </w:rPr>
            </w:pPr>
            <w:r>
              <w:rPr>
                <w:rFonts w:hint="eastAsia"/>
                <w:sz w:val="28"/>
                <w:szCs w:val="28"/>
                <w:lang w:val="en-US"/>
              </w:rPr>
              <w:t>3.23</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代理服务费</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招标代理服务收费参照豫招协[2023]002号河南省招标投标协会关于印发《河南省招标代理服务收费指导意见》规定的收费标准</w:t>
            </w:r>
            <w:r>
              <w:rPr>
                <w:rFonts w:hint="eastAsia" w:ascii="宋体" w:hAnsi="宋体" w:eastAsia="宋体" w:cs="宋体"/>
                <w:sz w:val="24"/>
                <w:szCs w:val="24"/>
                <w:lang w:val="en-US" w:eastAsia="zh-CN"/>
              </w:rPr>
              <w:t>（中标价*1.7%）</w:t>
            </w:r>
            <w:r>
              <w:rPr>
                <w:rFonts w:hint="eastAsia" w:ascii="宋体" w:hAnsi="宋体" w:eastAsia="宋体" w:cs="宋体"/>
                <w:sz w:val="24"/>
                <w:szCs w:val="24"/>
                <w:lang w:val="en-US" w:eastAsia="en-US"/>
              </w:rPr>
              <w:t>收取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服务费，领取</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default" w:ascii="宋体" w:hAnsi="宋体" w:eastAsia="宋体"/>
                <w:kern w:val="0"/>
                <w:sz w:val="24"/>
                <w:szCs w:val="24"/>
                <w:lang w:val="en-US" w:eastAsia="zh-CN"/>
              </w:rPr>
            </w:pPr>
            <w:r>
              <w:rPr>
                <w:rFonts w:hint="eastAsia"/>
                <w:sz w:val="28"/>
                <w:szCs w:val="28"/>
                <w:lang w:val="en-US"/>
              </w:rPr>
              <w:t>3.24</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需要补充的其他内容</w:t>
            </w:r>
          </w:p>
        </w:tc>
        <w:tc>
          <w:tcPr>
            <w:tcW w:w="6155" w:type="dxa"/>
            <w:noWrap w:val="0"/>
            <w:vAlign w:val="center"/>
          </w:tcPr>
          <w:p>
            <w:pPr>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bookmarkStart w:id="40" w:name="_Toc533503499"/>
            <w:bookmarkStart w:id="41" w:name="_Toc101344062"/>
            <w:bookmarkStart w:id="42" w:name="_Toc26417"/>
            <w:bookmarkStart w:id="43" w:name="_Toc48158310"/>
            <w:bookmarkStart w:id="44" w:name="_Toc354753243"/>
            <w:bookmarkStart w:id="45" w:name="_Toc466303889"/>
            <w:bookmarkStart w:id="46" w:name="_Toc16409"/>
            <w:bookmarkStart w:id="47" w:name="_Toc68710928"/>
            <w:bookmarkStart w:id="48" w:name="_Toc291089182"/>
            <w:r>
              <w:rPr>
                <w:rFonts w:hint="eastAsia"/>
                <w:sz w:val="28"/>
                <w:szCs w:val="28"/>
                <w:lang w:val="en-US"/>
              </w:rPr>
              <w:t>3.25</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是否实行计算机辅助评标</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3.26</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供应商代表出席开标会</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投标文件解密等。每位供应商的解密时间为开标时间起30分钟内完成。未按时解密的其投标将被否决。因供应商原因未能解密、解密失败或解密超时的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3.27</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lang w:eastAsia="zh-CN"/>
              </w:rPr>
              <w:t>成交</w:t>
            </w:r>
            <w:r>
              <w:rPr>
                <w:rFonts w:hint="eastAsia" w:ascii="宋体" w:hAnsi="宋体" w:eastAsia="宋体" w:cs="Times New Roman"/>
                <w:sz w:val="24"/>
                <w:szCs w:val="24"/>
              </w:rPr>
              <w:t>公</w:t>
            </w:r>
            <w:r>
              <w:rPr>
                <w:rFonts w:hint="eastAsia" w:ascii="宋体" w:hAnsi="宋体" w:eastAsia="宋体" w:cs="Times New Roman"/>
                <w:sz w:val="24"/>
                <w:szCs w:val="24"/>
                <w:lang w:eastAsia="zh-CN"/>
              </w:rPr>
              <w:t>告</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在《河南省政府采购网》、《三门峡市公共资源交易中心网》</w:t>
            </w:r>
            <w:r>
              <w:rPr>
                <w:rFonts w:hint="eastAsia" w:ascii="宋体" w:hAnsi="宋体" w:cs="宋体"/>
                <w:sz w:val="24"/>
                <w:szCs w:val="24"/>
                <w:lang w:val="en-US" w:eastAsia="zh-CN"/>
              </w:rPr>
              <w:t>、</w:t>
            </w:r>
            <w:r>
              <w:rPr>
                <w:rFonts w:hint="eastAsia" w:ascii="宋体" w:hAnsi="宋体" w:eastAsia="宋体" w:cs="宋体"/>
                <w:sz w:val="24"/>
                <w:szCs w:val="24"/>
                <w:lang w:val="en-US" w:eastAsia="en-US"/>
              </w:rPr>
              <w:t>《中国招标投标公共服务平台》、《河南省电子招标投标公共服务平台》同时进行公告，公示期</w:t>
            </w:r>
            <w:r>
              <w:rPr>
                <w:rFonts w:hint="eastAsia" w:ascii="宋体" w:hAnsi="宋体" w:eastAsia="宋体" w:cs="宋体"/>
                <w:sz w:val="24"/>
                <w:szCs w:val="24"/>
                <w:lang w:val="en-US" w:eastAsia="zh-CN"/>
              </w:rPr>
              <w:t>为七</w:t>
            </w:r>
            <w:r>
              <w:rPr>
                <w:rFonts w:hint="eastAsia" w:ascii="宋体" w:hAnsi="宋体" w:eastAsia="宋体" w:cs="宋体"/>
                <w:sz w:val="24"/>
                <w:szCs w:val="24"/>
                <w:lang w:val="en-US" w:eastAsia="en-US"/>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3.28</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知识产权</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构成本竞争性</w:t>
            </w:r>
            <w:r>
              <w:rPr>
                <w:rFonts w:hint="eastAsia" w:ascii="宋体" w:hAnsi="宋体" w:eastAsia="宋体" w:cs="宋体"/>
                <w:sz w:val="24"/>
                <w:szCs w:val="24"/>
                <w:lang w:val="en-US" w:eastAsia="zh-CN"/>
              </w:rPr>
              <w:t>磋商</w:t>
            </w:r>
            <w:r>
              <w:rPr>
                <w:rFonts w:hint="eastAsia" w:ascii="宋体" w:hAnsi="宋体" w:eastAsia="宋体" w:cs="宋体"/>
                <w:sz w:val="24"/>
                <w:szCs w:val="24"/>
                <w:lang w:val="en-US" w:eastAsia="en-US"/>
              </w:rPr>
              <w:t>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3.29</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解释权</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sz w:val="28"/>
                <w:szCs w:val="28"/>
                <w:lang w:val="en-US"/>
              </w:rPr>
            </w:pPr>
            <w:r>
              <w:rPr>
                <w:rFonts w:hint="eastAsia"/>
                <w:sz w:val="28"/>
                <w:szCs w:val="28"/>
                <w:lang w:val="en-US"/>
              </w:rPr>
              <w:t>3.30</w:t>
            </w:r>
          </w:p>
        </w:tc>
        <w:tc>
          <w:tcPr>
            <w:tcW w:w="2353" w:type="dxa"/>
            <w:noWrap w:val="0"/>
            <w:vAlign w:val="center"/>
          </w:tcPr>
          <w:p>
            <w:pPr>
              <w:keepLines/>
              <w:spacing w:line="360" w:lineRule="exact"/>
              <w:jc w:val="center"/>
              <w:rPr>
                <w:rFonts w:hint="eastAsia" w:ascii="宋体" w:hAnsi="宋体" w:eastAsia="宋体" w:cs="Times New Roman"/>
                <w:kern w:val="0"/>
                <w:sz w:val="28"/>
                <w:szCs w:val="28"/>
                <w:lang w:eastAsia="zh-CN"/>
              </w:rPr>
            </w:pPr>
            <w:r>
              <w:rPr>
                <w:rFonts w:hint="eastAsia" w:ascii="宋体" w:hAnsi="宋体" w:eastAsia="宋体" w:cs="Times New Roman"/>
                <w:kern w:val="0"/>
                <w:sz w:val="28"/>
                <w:szCs w:val="28"/>
                <w:lang w:eastAsia="zh-CN"/>
              </w:rPr>
              <w:t>无效标</w:t>
            </w:r>
          </w:p>
          <w:p>
            <w:pPr>
              <w:keepLines/>
              <w:spacing w:line="360" w:lineRule="exact"/>
              <w:jc w:val="center"/>
              <w:rPr>
                <w:rFonts w:hint="eastAsia" w:ascii="宋体" w:hAnsi="宋体" w:eastAsia="宋体" w:cs="Times New Roman"/>
                <w:kern w:val="0"/>
                <w:sz w:val="28"/>
                <w:szCs w:val="28"/>
                <w:lang w:val="en-US" w:eastAsia="zh-CN" w:bidi="ar-SA"/>
              </w:rPr>
            </w:pPr>
            <w:r>
              <w:rPr>
                <w:rFonts w:hint="eastAsia" w:ascii="宋体" w:hAnsi="宋体" w:eastAsia="宋体" w:cs="Times New Roman"/>
                <w:kern w:val="0"/>
                <w:sz w:val="28"/>
                <w:szCs w:val="28"/>
                <w:lang w:eastAsia="zh-CN"/>
              </w:rPr>
              <w:t>条件</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1、投标供应商资格条件不符合国家有关规定和磋商文件要求的；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2、没有按照磋商文件要求提供投标承诺函；</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3、电子化响应文件附有采购人不能接受的条件的；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4、投标报价低于成本、高于磋商文件设定的最高投标限价；</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5、以他人的名义投标、串通投标、以行贿手段谋取中标或者以其他弄虚作假方式投标的；</w:t>
            </w:r>
          </w:p>
          <w:p>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6、采取不正当手段谋取中标的；</w:t>
            </w:r>
          </w:p>
          <w:p>
            <w:pPr>
              <w:spacing w:line="360" w:lineRule="exact"/>
              <w:jc w:val="left"/>
              <w:rPr>
                <w:rFonts w:hint="eastAsia" w:ascii="宋体" w:hAnsi="宋体" w:eastAsia="宋体" w:cs="Times New Roman"/>
                <w:kern w:val="0"/>
                <w:sz w:val="28"/>
                <w:szCs w:val="28"/>
                <w:lang w:val="en-US" w:eastAsia="en-US" w:bidi="ar-SA"/>
              </w:rPr>
            </w:pPr>
            <w:r>
              <w:rPr>
                <w:rFonts w:hint="eastAsia" w:ascii="宋体" w:hAnsi="宋体" w:eastAsia="宋体" w:cs="宋体"/>
                <w:sz w:val="24"/>
                <w:szCs w:val="24"/>
                <w:lang w:val="en-US" w:eastAsia="zh-CN"/>
              </w:rPr>
              <w:t>7、法律、法规规定的其他情况。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eastAsia="宋体"/>
                <w:sz w:val="28"/>
                <w:szCs w:val="28"/>
                <w:lang w:val="en-US" w:eastAsia="zh-CN"/>
              </w:rPr>
            </w:pPr>
            <w:r>
              <w:rPr>
                <w:rFonts w:hint="eastAsia"/>
                <w:sz w:val="28"/>
                <w:szCs w:val="28"/>
                <w:lang w:val="en-US"/>
              </w:rPr>
              <w:t>3.3</w:t>
            </w:r>
            <w:r>
              <w:rPr>
                <w:rFonts w:hint="eastAsia"/>
                <w:sz w:val="28"/>
                <w:szCs w:val="28"/>
                <w:lang w:val="en-US" w:eastAsia="zh-CN"/>
              </w:rPr>
              <w:t>1</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重新招标的其他情形</w:t>
            </w:r>
          </w:p>
        </w:tc>
        <w:tc>
          <w:tcPr>
            <w:tcW w:w="6155" w:type="dxa"/>
            <w:noWrap w:val="0"/>
            <w:vAlign w:val="center"/>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除响应人须知正文规定的情形外，除非已经产生</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候选人，在磋商有效期内同意延长磋商有效期的响应人少于三个的，采购人应当依法重新招标。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default" w:eastAsia="宋体"/>
                <w:sz w:val="28"/>
                <w:szCs w:val="28"/>
                <w:lang w:val="en-US" w:eastAsia="zh-CN"/>
              </w:rPr>
            </w:pPr>
            <w:r>
              <w:rPr>
                <w:rFonts w:hint="eastAsia"/>
                <w:sz w:val="28"/>
                <w:szCs w:val="28"/>
                <w:lang w:val="en-US" w:eastAsia="zh-CN"/>
              </w:rPr>
              <w:t>3.32</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宋体"/>
                <w:sz w:val="24"/>
                <w:szCs w:val="24"/>
                <w:lang w:val="en-US" w:eastAsia="en-US"/>
              </w:rPr>
              <w:t>需要补充的其他内容</w:t>
            </w:r>
          </w:p>
        </w:tc>
        <w:tc>
          <w:tcPr>
            <w:tcW w:w="6155" w:type="dxa"/>
            <w:noWrap w:val="0"/>
            <w:vAlign w:val="center"/>
          </w:tcPr>
          <w:p>
            <w:pPr>
              <w:spacing w:line="360" w:lineRule="exact"/>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en-US"/>
              </w:rPr>
              <w:t>采购人有权在</w:t>
            </w:r>
            <w:r>
              <w:rPr>
                <w:rFonts w:hint="eastAsia" w:ascii="宋体" w:hAnsi="宋体" w:eastAsia="宋体" w:cs="宋体"/>
                <w:sz w:val="24"/>
                <w:szCs w:val="24"/>
                <w:lang w:val="en-US" w:eastAsia="zh-CN"/>
              </w:rPr>
              <w:t>成交通知书发放</w:t>
            </w:r>
            <w:r>
              <w:rPr>
                <w:rFonts w:hint="eastAsia" w:ascii="宋体" w:hAnsi="宋体" w:eastAsia="宋体" w:cs="宋体"/>
                <w:sz w:val="24"/>
                <w:szCs w:val="24"/>
                <w:lang w:val="en-US" w:eastAsia="en-US"/>
              </w:rPr>
              <w:t>前</w:t>
            </w:r>
            <w:r>
              <w:rPr>
                <w:rFonts w:hint="eastAsia" w:ascii="宋体" w:hAnsi="宋体" w:eastAsia="宋体" w:cs="宋体"/>
                <w:sz w:val="24"/>
                <w:szCs w:val="24"/>
                <w:lang w:val="en-US" w:eastAsia="zh-CN"/>
              </w:rPr>
              <w:t>组织</w:t>
            </w:r>
            <w:r>
              <w:rPr>
                <w:rFonts w:hint="default" w:ascii="宋体" w:hAnsi="宋体" w:eastAsia="宋体" w:cs="宋体"/>
                <w:sz w:val="24"/>
                <w:szCs w:val="24"/>
                <w:lang w:val="en-US" w:eastAsia="zh-CN"/>
              </w:rPr>
              <w:t>现场考察</w:t>
            </w:r>
            <w:r>
              <w:rPr>
                <w:rFonts w:hint="eastAsia" w:ascii="宋体" w:hAnsi="宋体" w:eastAsia="宋体" w:cs="宋体"/>
                <w:sz w:val="24"/>
                <w:szCs w:val="24"/>
                <w:lang w:val="en-US" w:eastAsia="en-US"/>
              </w:rPr>
              <w:t>，</w:t>
            </w:r>
            <w:r>
              <w:rPr>
                <w:rFonts w:hint="default" w:ascii="宋体" w:hAnsi="宋体" w:eastAsia="宋体" w:cs="宋体"/>
                <w:sz w:val="24"/>
                <w:szCs w:val="24"/>
                <w:lang w:val="en-US" w:eastAsia="zh-CN"/>
              </w:rPr>
              <w:t>核实</w:t>
            </w:r>
            <w:r>
              <w:rPr>
                <w:rFonts w:hint="eastAsia" w:ascii="宋体" w:hAnsi="宋体" w:eastAsia="宋体" w:cs="宋体"/>
                <w:sz w:val="24"/>
                <w:szCs w:val="24"/>
                <w:lang w:val="en-US" w:eastAsia="zh-CN"/>
              </w:rPr>
              <w:t>企业实力是否与</w:t>
            </w:r>
            <w:r>
              <w:rPr>
                <w:rFonts w:hint="default" w:ascii="宋体" w:hAnsi="宋体" w:eastAsia="宋体" w:cs="宋体"/>
                <w:sz w:val="24"/>
                <w:szCs w:val="24"/>
                <w:lang w:val="en-US" w:eastAsia="zh-CN"/>
              </w:rPr>
              <w:t>供应商</w:t>
            </w:r>
            <w:r>
              <w:rPr>
                <w:rFonts w:hint="eastAsia" w:ascii="宋体" w:hAnsi="宋体" w:eastAsia="宋体" w:cs="宋体"/>
                <w:sz w:val="24"/>
                <w:szCs w:val="24"/>
                <w:lang w:val="en-US" w:eastAsia="zh-CN"/>
              </w:rPr>
              <w:t>响应文件提供资料一致，</w:t>
            </w:r>
            <w:r>
              <w:rPr>
                <w:rFonts w:hint="default" w:ascii="宋体" w:hAnsi="宋体" w:eastAsia="宋体" w:cs="宋体"/>
                <w:sz w:val="24"/>
                <w:szCs w:val="24"/>
                <w:lang w:val="en-US" w:eastAsia="zh-CN"/>
              </w:rPr>
              <w:t>其是否具有承担中标项目合同的履行能力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供应商应对</w:t>
            </w:r>
            <w:r>
              <w:rPr>
                <w:rFonts w:hint="eastAsia" w:ascii="宋体" w:hAnsi="宋体" w:eastAsia="宋体" w:cs="宋体"/>
                <w:sz w:val="24"/>
                <w:szCs w:val="24"/>
                <w:lang w:val="en-US" w:eastAsia="zh-CN"/>
              </w:rPr>
              <w:t>响应文件</w:t>
            </w:r>
            <w:r>
              <w:rPr>
                <w:rFonts w:hint="eastAsia" w:ascii="宋体" w:hAnsi="宋体" w:eastAsia="宋体" w:cs="宋体"/>
                <w:sz w:val="24"/>
                <w:szCs w:val="24"/>
                <w:lang w:val="en-US" w:eastAsia="en-US"/>
              </w:rPr>
              <w:t>内容的真实性、合法性、有效性负责。如</w:t>
            </w: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en-US"/>
              </w:rPr>
              <w:t>虚假</w:t>
            </w:r>
            <w:r>
              <w:rPr>
                <w:rFonts w:hint="eastAsia" w:ascii="宋体" w:hAnsi="宋体" w:eastAsia="宋体" w:cs="宋体"/>
                <w:sz w:val="24"/>
                <w:szCs w:val="24"/>
                <w:lang w:val="en-US" w:eastAsia="zh-CN"/>
              </w:rPr>
              <w:t>材料</w:t>
            </w:r>
            <w:r>
              <w:rPr>
                <w:rFonts w:hint="eastAsia" w:ascii="宋体" w:hAnsi="宋体" w:eastAsia="宋体" w:cs="宋体"/>
                <w:sz w:val="24"/>
                <w:szCs w:val="24"/>
                <w:lang w:val="en-US" w:eastAsia="en-US"/>
              </w:rPr>
              <w:t>，视同为“提供虚假材料谋取中标、成交”的违法行为。经调查核实后，</w:t>
            </w:r>
            <w:r>
              <w:rPr>
                <w:rFonts w:hint="eastAsia" w:ascii="宋体" w:hAnsi="宋体" w:eastAsia="宋体" w:cs="宋体"/>
                <w:sz w:val="24"/>
                <w:szCs w:val="24"/>
                <w:lang w:val="en-US" w:eastAsia="zh-CN"/>
              </w:rPr>
              <w:t>取消中标人资格，并</w:t>
            </w:r>
            <w:r>
              <w:rPr>
                <w:rFonts w:hint="eastAsia" w:ascii="宋体" w:hAnsi="宋体" w:eastAsia="宋体" w:cs="宋体"/>
                <w:sz w:val="24"/>
                <w:szCs w:val="24"/>
                <w:lang w:val="en-US" w:eastAsia="en-US"/>
              </w:rPr>
              <w:t>按照《政府采购法》第七十七条，七十九条规定，处以采购金额千分之五以上千分之十以下的罚款，列入不良行为记录名单，在一至三年内禁止参加政府采购活动，有违法所得的， 并处没收 违法所得，情节严重的，由市场监管部门吊销营业执照；构成犯罪的，依法追究刑事责任；给他人造成损失的，依照有关民事法律规定承担民事责任</w:t>
            </w:r>
            <w:r>
              <w:rPr>
                <w:rFonts w:hint="eastAsia" w:ascii="宋体" w:hAnsi="宋体" w:eastAsia="宋体" w:cs="宋体"/>
                <w:sz w:val="24"/>
                <w:szCs w:val="24"/>
                <w:lang w:val="en-US" w:eastAsia="zh-CN"/>
              </w:rPr>
              <w:t>；</w:t>
            </w:r>
          </w:p>
          <w:p>
            <w:pPr>
              <w:pStyle w:val="17"/>
              <w:numPr>
                <w:ilvl w:val="0"/>
                <w:numId w:val="1"/>
              </w:numPr>
              <w:rPr>
                <w:rFonts w:hint="eastAsia"/>
                <w:lang w:val="en-US" w:eastAsia="zh-CN"/>
              </w:rPr>
            </w:pPr>
            <w:r>
              <w:rPr>
                <w:rFonts w:ascii="宋体" w:hAnsi="宋体" w:eastAsia="宋体" w:cs="宋体"/>
                <w:sz w:val="24"/>
                <w:szCs w:val="24"/>
              </w:rPr>
              <w:t>成交供应商在领取中标通知书时，须提供响应文件（上传稿）纸质资料两套，需加盖单位公章，胶装成册。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33" w:type="dxa"/>
            <w:noWrap w:val="0"/>
            <w:vAlign w:val="center"/>
          </w:tcPr>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b/>
                <w:sz w:val="28"/>
                <w:szCs w:val="28"/>
              </w:rPr>
            </w:pPr>
          </w:p>
          <w:p>
            <w:pPr>
              <w:pStyle w:val="18"/>
              <w:wordWrap w:val="0"/>
              <w:spacing w:line="360" w:lineRule="exact"/>
              <w:jc w:val="center"/>
              <w:rPr>
                <w:rFonts w:hint="eastAsia"/>
                <w:sz w:val="28"/>
                <w:szCs w:val="28"/>
                <w:lang w:val="en-US"/>
              </w:rPr>
            </w:pPr>
            <w:r>
              <w:rPr>
                <w:rFonts w:hint="eastAsia"/>
                <w:sz w:val="28"/>
                <w:szCs w:val="28"/>
              </w:rPr>
              <w:t>4.</w:t>
            </w:r>
            <w:r>
              <w:rPr>
                <w:rFonts w:hint="eastAsia"/>
                <w:sz w:val="28"/>
                <w:szCs w:val="28"/>
                <w:lang w:val="en-US" w:eastAsia="zh-CN"/>
              </w:rPr>
              <w:t>0</w:t>
            </w:r>
          </w:p>
        </w:tc>
        <w:tc>
          <w:tcPr>
            <w:tcW w:w="2353" w:type="dxa"/>
            <w:noWrap w:val="0"/>
            <w:vAlign w:val="center"/>
          </w:tcPr>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p>
          <w:p>
            <w:pPr>
              <w:spacing w:line="360" w:lineRule="exact"/>
              <w:jc w:val="center"/>
              <w:textAlignment w:val="center"/>
              <w:rPr>
                <w:rFonts w:hint="eastAsia" w:ascii="宋体" w:hAnsi="宋体" w:eastAsia="宋体" w:cs="Times New Roman"/>
                <w:sz w:val="24"/>
                <w:szCs w:val="24"/>
              </w:rPr>
            </w:pPr>
            <w:r>
              <w:rPr>
                <w:rFonts w:hint="eastAsia" w:ascii="宋体" w:hAnsi="宋体" w:eastAsia="宋体" w:cs="Times New Roman"/>
                <w:sz w:val="24"/>
                <w:szCs w:val="24"/>
              </w:rPr>
              <w:t>电子化交易注意事项</w:t>
            </w:r>
          </w:p>
        </w:tc>
        <w:tc>
          <w:tcPr>
            <w:tcW w:w="6155" w:type="dxa"/>
            <w:noWrap w:val="0"/>
            <w:vAlign w:val="top"/>
          </w:tcPr>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本</w:t>
            </w:r>
            <w:r>
              <w:rPr>
                <w:rFonts w:hint="eastAsia" w:ascii="宋体" w:hAnsi="宋体" w:eastAsia="宋体" w:cs="宋体"/>
                <w:sz w:val="24"/>
                <w:szCs w:val="24"/>
                <w:lang w:val="en-US" w:eastAsia="en-US"/>
              </w:rPr>
              <w:t>项目为电子化交易项目，</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、供应商（以下简称“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制作系统制作，并经过电子签章和加密后生成的电子版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投标时，不须提交纸质文件资料。</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 “交易智库”中下载操作流程</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温馨提示：本项目为电子化、无纸化交易项目，投标时不接受任何纸质资料，为保证您能投标成功，请需仔细阅读以下条款。</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（一）电子化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的签章</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在生成电子化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后，应对电子化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进行签章，未进行签章的视为无效投标。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w:t>
            </w:r>
            <w:r>
              <w:rPr>
                <w:rFonts w:hint="eastAsia" w:ascii="宋体" w:hAnsi="宋体" w:eastAsia="宋体" w:cs="宋体"/>
                <w:sz w:val="24"/>
                <w:szCs w:val="24"/>
                <w:lang w:val="en-US" w:eastAsia="zh-CN"/>
              </w:rPr>
              <w:t>磋商文件</w:t>
            </w:r>
            <w:r>
              <w:rPr>
                <w:rFonts w:hint="eastAsia" w:ascii="宋体" w:hAnsi="宋体" w:eastAsia="宋体" w:cs="宋体"/>
                <w:sz w:val="24"/>
                <w:szCs w:val="24"/>
                <w:lang w:val="en-US" w:eastAsia="en-US"/>
              </w:rPr>
              <w:t>中要求法定代表人或授权委托人签字或盖章的，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在进行电子化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签章时，以签盖法定代表人签章为准。电子化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具体制作教材请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通过CA证书登录三门峡市公共资源电子化交易系统在右上角“交易智库”中查看。电子化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工具请点击http://t.cn/A6ZvtVob进行下载。</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的格式及上传投标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所上传的电子化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，应是通过中心</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制作系统制作的（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制作工具下载地址：http://t.cn/A6ZvtVob），经过签章和加密后生成的电子版</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。其中包含用于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上传的主文件（后缀为.smxtf）和用于应急补救的</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备份文件（后缀为.nsmxtf）。备份文件主要用于电子化开标出现技术问题后的补救，请</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随身携带。</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投报多个标段的，需要每个标段单独制作电子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应在投标截止时间前成功上传至三门峡市公共资源电子化交易系统。至投标截止时间止，仍未上传成功的电子化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注：如按照电子化投标操作教材制作完成的电子化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无法上传的，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应在投标截止时间前尽早的联系中心技术人员，以便有充分的时间进行处理。</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应充分考虑到处理技术问题和上传数据等工作所需的时间问题，</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未在投标截止时间前成功上传的，其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技术联系电话：400-998-0000</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（三）电子化项目开标、解密、唱标、评标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1、本项目采用电子化、无纸化进行招标，开标当日，</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无需到开标现场参加开标会议，</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应当在投标截止时间前，登陆不见面开标大厅选择登陆三门峡市公共资源电子招投标系统进行登陆,在线准时参加开标活动并进行</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解密等。</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采用一次加密方式。开标时，由</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使用CA 证书，在规定时间内对其电子化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进行解密。每位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的解密时间为开标时间起30分钟内，如在规定时间内未完成解密的，其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不予开标、唱标。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解密异常的处理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如出现</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无法解密等异常情况，</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应及时致电中介服务机构说明。</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异常，按以下步骤进行处理：</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（1）首先由技术人员进行问题排查。</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（2）经技术人员排查后，是</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文件自身问题导致</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无法解密的，该</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将不予接收、解密和唱标。开标会议继续进行。</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（3）经技术人员排查后，如果是电子化交易系统问题造成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无法解密的，将由技术人员对问题进行处理。如短时间内问题无法解决的，将由中介服务机构向监督部门申请，经监督部门同意后，暂停开标会议，待问题解决后继续开标。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4、待所有</w:t>
            </w:r>
            <w:r>
              <w:rPr>
                <w:rFonts w:hint="eastAsia" w:ascii="宋体" w:hAnsi="宋体" w:eastAsia="宋体" w:cs="宋体"/>
                <w:sz w:val="24"/>
                <w:szCs w:val="24"/>
                <w:lang w:val="en-US" w:eastAsia="zh-CN"/>
              </w:rPr>
              <w:t>供应商磋商响应文件</w:t>
            </w:r>
            <w:r>
              <w:rPr>
                <w:rFonts w:hint="eastAsia" w:ascii="宋体" w:hAnsi="宋体" w:eastAsia="宋体" w:cs="宋体"/>
                <w:sz w:val="24"/>
                <w:szCs w:val="24"/>
                <w:lang w:val="en-US" w:eastAsia="en-US"/>
              </w:rPr>
              <w:t>解密完成后，由中介服务机构操作，对所有已解密</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应保证在开标期间电话、电脑、网络能够正常工作，</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因停电、电脑病毒、网络堵塞等原因，未在规定的解密时间内对</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进行解密的，其</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不予接收、唱标。</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5、开标时</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可登录到交易系统中在开标解密栏中点击报价一览表查看自己的投标报价。如对自己的唱标内容有异议的，应在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解密成功后10分钟内向中介服务机构电话质疑。中介服务机构应在监督人员的监督下进行免提通话接受</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的质疑并做好书面记录。</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未在规定时间内提出质疑的，视为认可唱标内容。</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6、评标时，磋商小组对电子化</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有质疑的，将通过电子化交易系统对</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发起质疑，并在监督人员的监督下，用免提模式致电需要答复的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对质疑进行回复。</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的回复文件必须以经过</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和其法定代表人签章的PDF格式文件为准，并通过电子化交易系统提交至磋商小组。</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7、如磋商小组对需要回复的</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连续三次致电未接通的，视为</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放弃回复，磋商小组将自行对需要回复的内容进行认定。</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二、相关证书原件的提交</w:t>
            </w:r>
          </w:p>
          <w:p>
            <w:pPr>
              <w:spacing w:line="360" w:lineRule="exact"/>
              <w:jc w:val="left"/>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本项目实行资格后审，</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中要求</w:t>
            </w:r>
            <w:r>
              <w:rPr>
                <w:rFonts w:hint="eastAsia" w:ascii="宋体" w:hAnsi="宋体" w:eastAsia="宋体" w:cs="宋体"/>
                <w:sz w:val="24"/>
                <w:szCs w:val="24"/>
                <w:lang w:val="en-US" w:eastAsia="zh-CN"/>
              </w:rPr>
              <w:t>供应商</w:t>
            </w:r>
            <w:r>
              <w:rPr>
                <w:rFonts w:hint="eastAsia" w:ascii="宋体" w:hAnsi="宋体" w:eastAsia="宋体" w:cs="宋体"/>
                <w:sz w:val="24"/>
                <w:szCs w:val="24"/>
                <w:lang w:val="en-US" w:eastAsia="en-US"/>
              </w:rPr>
              <w:t>提交资质、业绩、荣誉及单位人员等相关资料的，</w:t>
            </w:r>
            <w:r>
              <w:rPr>
                <w:rFonts w:hint="eastAsia" w:ascii="宋体" w:hAnsi="宋体" w:eastAsia="宋体" w:cs="宋体"/>
                <w:sz w:val="24"/>
                <w:szCs w:val="24"/>
                <w:lang w:val="en-US" w:eastAsia="zh-CN"/>
              </w:rPr>
              <w:t>供应商须</w:t>
            </w:r>
            <w:r>
              <w:rPr>
                <w:rFonts w:hint="eastAsia" w:ascii="宋体" w:hAnsi="宋体" w:eastAsia="宋体" w:cs="宋体"/>
                <w:sz w:val="24"/>
                <w:szCs w:val="24"/>
                <w:lang w:val="en-US" w:eastAsia="en-US"/>
              </w:rPr>
              <w:t>将原件扫描件制作到电子</w:t>
            </w:r>
            <w:r>
              <w:rPr>
                <w:rFonts w:hint="eastAsia" w:ascii="宋体" w:hAnsi="宋体" w:eastAsia="宋体" w:cs="宋体"/>
                <w:sz w:val="24"/>
                <w:szCs w:val="24"/>
                <w:lang w:val="en-US" w:eastAsia="zh-CN"/>
              </w:rPr>
              <w:t>磋商响应文件</w:t>
            </w:r>
            <w:r>
              <w:rPr>
                <w:rFonts w:hint="eastAsia" w:ascii="宋体" w:hAnsi="宋体" w:eastAsia="宋体" w:cs="宋体"/>
                <w:sz w:val="24"/>
                <w:szCs w:val="24"/>
                <w:lang w:val="en-US" w:eastAsia="en-US"/>
              </w:rPr>
              <w:t>中</w:t>
            </w:r>
            <w:r>
              <w:rPr>
                <w:rFonts w:hint="eastAsia" w:ascii="宋体" w:hAnsi="宋体" w:eastAsia="宋体" w:cs="宋体"/>
                <w:sz w:val="24"/>
                <w:szCs w:val="24"/>
                <w:lang w:val="en-US" w:eastAsia="zh-CN"/>
              </w:rPr>
              <w:t>，</w:t>
            </w:r>
            <w:r>
              <w:rPr>
                <w:rFonts w:hint="eastAsia" w:ascii="宋体" w:hAnsi="宋体" w:eastAsia="宋体" w:cs="Times New Roman"/>
                <w:sz w:val="24"/>
                <w:szCs w:val="24"/>
                <w:lang w:val="en-US" w:eastAsia="zh-CN"/>
              </w:rPr>
              <w:t>否则，由此造成应得分而未得分或资格审查不合格等情况的，由供应商承担责任</w:t>
            </w:r>
            <w:r>
              <w:rPr>
                <w:rFonts w:hint="eastAsia" w:ascii="宋体" w:hAnsi="宋体" w:eastAsia="宋体" w:cs="宋体"/>
                <w:sz w:val="24"/>
                <w:szCs w:val="24"/>
                <w:lang w:val="en-US" w:eastAsia="en-US"/>
              </w:rPr>
              <w:t>。</w:t>
            </w:r>
          </w:p>
        </w:tc>
      </w:tr>
      <w:bookmarkEnd w:id="36"/>
      <w:bookmarkEnd w:id="37"/>
      <w:bookmarkEnd w:id="38"/>
      <w:bookmarkEnd w:id="39"/>
      <w:bookmarkEnd w:id="40"/>
      <w:bookmarkEnd w:id="41"/>
      <w:bookmarkEnd w:id="42"/>
      <w:bookmarkEnd w:id="43"/>
      <w:bookmarkEnd w:id="44"/>
      <w:bookmarkEnd w:id="45"/>
      <w:bookmarkEnd w:id="46"/>
      <w:bookmarkEnd w:id="47"/>
      <w:bookmarkEnd w:id="48"/>
    </w:tbl>
    <w:p>
      <w:pPr>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Times New Roman" w:hAnsi="Times New Roman" w:eastAsia="宋体" w:cs="Times New Roman"/>
          <w:sz w:val="28"/>
          <w:szCs w:val="28"/>
          <w:lang w:bidi="ar-SA"/>
        </w:rPr>
      </w:pPr>
      <w:bookmarkStart w:id="49" w:name="_Toc487498474"/>
      <w:bookmarkStart w:id="50" w:name="_Toc488504474"/>
      <w:bookmarkStart w:id="51" w:name="_Toc20123_WPSOffice_Level2"/>
      <w:bookmarkStart w:id="52" w:name="_Toc455080108"/>
      <w:bookmarkStart w:id="53" w:name="_Toc22449"/>
      <w:bookmarkStart w:id="54" w:name="_Toc247085689"/>
      <w:bookmarkStart w:id="55" w:name="_Toc456164344"/>
      <w:bookmarkStart w:id="56" w:name="_Toc152045589"/>
      <w:bookmarkStart w:id="57" w:name="_Toc246996918"/>
      <w:bookmarkStart w:id="58" w:name="_Toc247085747"/>
      <w:bookmarkStart w:id="59" w:name="_Toc179632546"/>
      <w:bookmarkStart w:id="60" w:name="_Toc179632607"/>
      <w:bookmarkStart w:id="61" w:name="_Toc296602420"/>
      <w:bookmarkStart w:id="62" w:name="_Toc246996175"/>
      <w:bookmarkStart w:id="63" w:name="_Toc246996975"/>
      <w:bookmarkStart w:id="64" w:name="_Toc246996232"/>
      <w:bookmarkStart w:id="65" w:name="_Toc4869"/>
      <w:bookmarkStart w:id="66" w:name="_Toc152042305"/>
      <w:bookmarkStart w:id="67" w:name="_Toc152045529"/>
      <w:bookmarkStart w:id="68" w:name="_Toc296602477"/>
      <w:bookmarkStart w:id="69" w:name="_Toc43652638"/>
      <w:bookmarkStart w:id="70" w:name="_Toc144974556"/>
      <w:bookmarkStart w:id="71" w:name="_Toc144974497"/>
      <w:bookmarkStart w:id="72" w:name="_Toc152042366"/>
      <w:bookmarkStart w:id="73" w:name="_Toc246996252"/>
      <w:bookmarkStart w:id="74" w:name="_Toc247085767"/>
      <w:bookmarkStart w:id="75" w:name="_Toc179632627"/>
      <w:bookmarkStart w:id="76" w:name="_Toc152042387"/>
      <w:bookmarkStart w:id="77" w:name="_Toc246996995"/>
      <w:bookmarkStart w:id="78" w:name="_Toc144974577"/>
      <w:bookmarkStart w:id="79" w:name="_Toc152045609"/>
      <w:r>
        <w:rPr>
          <w:rFonts w:hint="eastAsia" w:ascii="Times New Roman" w:hAnsi="Times New Roman" w:eastAsia="宋体" w:cs="Times New Roman"/>
          <w:b/>
          <w:bCs/>
          <w:sz w:val="28"/>
          <w:szCs w:val="28"/>
          <w:lang w:bidi="ar-SA"/>
        </w:rPr>
        <w:t>供应商须知</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bCs/>
          <w:sz w:val="24"/>
          <w:szCs w:val="24"/>
          <w:lang w:bidi="ar-SA"/>
        </w:rPr>
        <w:t>1. 总则</w:t>
      </w:r>
      <w:bookmarkEnd w:id="49"/>
      <w:bookmarkEnd w:id="50"/>
      <w:bookmarkEnd w:id="51"/>
      <w:bookmarkEnd w:id="52"/>
      <w:bookmarkEnd w:id="5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80" w:name="_Toc29023"/>
      <w:bookmarkStart w:id="81" w:name="_Toc1172"/>
      <w:bookmarkStart w:id="82" w:name="_Toc281380952"/>
      <w:bookmarkStart w:id="83" w:name="_Toc15709"/>
      <w:bookmarkStart w:id="84" w:name="_Toc464035510"/>
      <w:bookmarkStart w:id="85" w:name="_Toc10273"/>
      <w:bookmarkStart w:id="86" w:name="_Toc318450675"/>
      <w:bookmarkStart w:id="87" w:name="_Toc274409866"/>
      <w:bookmarkStart w:id="88" w:name="_Toc21458"/>
      <w:bookmarkStart w:id="89" w:name="_Toc455080109"/>
      <w:bookmarkStart w:id="90" w:name="_Toc21496_WPSOffice_Level3"/>
      <w:bookmarkStart w:id="91" w:name="_Toc31404"/>
      <w:bookmarkStart w:id="92" w:name="_Toc463701031"/>
      <w:bookmarkStart w:id="93" w:name="_Toc152045531"/>
      <w:bookmarkStart w:id="94" w:name="_Toc144974499"/>
      <w:bookmarkStart w:id="95" w:name="_Toc152042307"/>
      <w:r>
        <w:rPr>
          <w:rFonts w:hint="eastAsia" w:ascii="Times New Roman" w:hAnsi="Times New Roman" w:eastAsia="宋体" w:cs="Times New Roman"/>
          <w:sz w:val="24"/>
          <w:szCs w:val="24"/>
          <w:lang w:bidi="ar-SA"/>
        </w:rPr>
        <w:t>1.1 适用范围</w:t>
      </w:r>
      <w:bookmarkEnd w:id="80"/>
      <w:bookmarkEnd w:id="81"/>
      <w:bookmarkEnd w:id="82"/>
      <w:bookmarkEnd w:id="83"/>
      <w:bookmarkEnd w:id="84"/>
      <w:bookmarkEnd w:id="85"/>
      <w:bookmarkEnd w:id="86"/>
      <w:bookmarkEnd w:id="87"/>
      <w:bookmarkEnd w:id="88"/>
      <w:bookmarkEnd w:id="89"/>
      <w:bookmarkEnd w:id="90"/>
      <w:bookmarkEnd w:id="91"/>
      <w:bookmarkEnd w:id="9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1.1.1根据《中华人民共和国政府采购法》等有关法律、法规和规章的规定，编制本项目磋商文件。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96" w:name="_Toc281405468"/>
      <w:bookmarkStart w:id="97" w:name="_Toc463701032"/>
      <w:bookmarkStart w:id="98" w:name="_Toc2929"/>
      <w:bookmarkStart w:id="99" w:name="_Toc274409867"/>
      <w:bookmarkStart w:id="100" w:name="_Toc455080110"/>
      <w:bookmarkStart w:id="101" w:name="_Toc710"/>
      <w:bookmarkStart w:id="102" w:name="_Toc25773"/>
      <w:bookmarkStart w:id="103" w:name="_Toc464035511"/>
      <w:bookmarkStart w:id="104" w:name="_Toc25399_WPSOffice_Level3"/>
      <w:bookmarkStart w:id="105" w:name="_Toc3336"/>
      <w:bookmarkStart w:id="106" w:name="_Toc30891"/>
      <w:bookmarkStart w:id="107" w:name="_Toc32619"/>
      <w:bookmarkStart w:id="108" w:name="_Toc318450676"/>
      <w:r>
        <w:rPr>
          <w:rFonts w:hint="eastAsia" w:ascii="Times New Roman" w:hAnsi="Times New Roman" w:eastAsia="宋体" w:cs="Times New Roman"/>
          <w:sz w:val="24"/>
          <w:szCs w:val="24"/>
          <w:lang w:bidi="ar-SA"/>
        </w:rPr>
        <w:t>1.2 采购项目说明</w:t>
      </w:r>
      <w:bookmarkEnd w:id="96"/>
      <w:bookmarkEnd w:id="97"/>
      <w:bookmarkEnd w:id="98"/>
      <w:bookmarkEnd w:id="99"/>
      <w:bookmarkEnd w:id="100"/>
      <w:bookmarkEnd w:id="101"/>
      <w:bookmarkEnd w:id="102"/>
      <w:bookmarkEnd w:id="103"/>
      <w:bookmarkEnd w:id="104"/>
      <w:bookmarkEnd w:id="105"/>
      <w:bookmarkEnd w:id="106"/>
      <w:bookmarkEnd w:id="107"/>
      <w:bookmarkEnd w:id="10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本项目采购人：见供应商须知前附表。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 xml:space="preserve">1.2.2 </w:t>
      </w:r>
      <w:r>
        <w:rPr>
          <w:rFonts w:hint="eastAsia"/>
          <w:sz w:val="24"/>
          <w:szCs w:val="24"/>
          <w:lang w:bidi="ar-SA"/>
        </w:rPr>
        <w:t>本项目采购代理机构：见供应商须知前附表。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1.2.3 本项目名称：见供应商须知前附表。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09" w:name="_Toc31122_WPSOffice_Level3"/>
      <w:bookmarkStart w:id="110" w:name="_Toc3477"/>
      <w:bookmarkStart w:id="111" w:name="_Toc463701033"/>
      <w:bookmarkStart w:id="112" w:name="_Toc274409868"/>
      <w:bookmarkStart w:id="113" w:name="_Toc1373"/>
      <w:bookmarkStart w:id="114" w:name="_Toc16931"/>
      <w:bookmarkStart w:id="115" w:name="_Toc464035512"/>
      <w:bookmarkStart w:id="116" w:name="_Toc281405469"/>
      <w:bookmarkStart w:id="117" w:name="_Toc455080111"/>
      <w:bookmarkStart w:id="118" w:name="_Toc18960"/>
      <w:bookmarkStart w:id="119" w:name="_Toc318450677"/>
      <w:bookmarkStart w:id="120" w:name="_Toc4952"/>
      <w:bookmarkStart w:id="121" w:name="_Toc17016"/>
      <w:r>
        <w:rPr>
          <w:rFonts w:hint="eastAsia"/>
          <w:sz w:val="24"/>
          <w:szCs w:val="24"/>
          <w:lang w:bidi="ar-SA"/>
        </w:rPr>
        <w:t>1.3 定义及解释</w:t>
      </w:r>
      <w:bookmarkEnd w:id="109"/>
      <w:bookmarkEnd w:id="110"/>
      <w:bookmarkEnd w:id="111"/>
      <w:bookmarkEnd w:id="112"/>
      <w:bookmarkEnd w:id="113"/>
      <w:bookmarkEnd w:id="114"/>
      <w:bookmarkEnd w:id="115"/>
      <w:bookmarkEnd w:id="116"/>
      <w:bookmarkEnd w:id="117"/>
      <w:bookmarkEnd w:id="118"/>
      <w:bookmarkEnd w:id="119"/>
      <w:bookmarkEnd w:id="120"/>
      <w:bookmarkEnd w:id="12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1.3.1采购人：依法进行政府采购的国家机关、事业单位、团体组织。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1.3.2采购代理机构：取得政府采购招标代理资质，受采购人委托组织招标活动的社会中介组织。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1.3.3</w:t>
      </w:r>
      <w:r>
        <w:rPr>
          <w:rFonts w:hint="eastAsia"/>
          <w:sz w:val="24"/>
          <w:szCs w:val="24"/>
          <w:lang w:eastAsia="zh-CN" w:bidi="ar-SA"/>
        </w:rPr>
        <w:t>采购</w:t>
      </w:r>
      <w:r>
        <w:rPr>
          <w:rFonts w:hint="eastAsia"/>
          <w:sz w:val="24"/>
          <w:szCs w:val="24"/>
          <w:lang w:bidi="ar-SA"/>
        </w:rPr>
        <w:t>：系指根据本磋商文件规定供应商须承担的</w:t>
      </w:r>
      <w:r>
        <w:rPr>
          <w:rFonts w:hint="eastAsia"/>
          <w:sz w:val="24"/>
          <w:szCs w:val="24"/>
          <w:lang w:eastAsia="zh-CN" w:bidi="ar-SA"/>
        </w:rPr>
        <w:t>服务</w:t>
      </w:r>
      <w:r>
        <w:rPr>
          <w:rFonts w:hint="eastAsia"/>
          <w:sz w:val="24"/>
          <w:szCs w:val="24"/>
          <w:lang w:bidi="ar-SA"/>
        </w:rPr>
        <w:t>内容以及其他类似的义务等。</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1.3.4供应商：供应商是响应磋商文件、参加磋商竞争的中华人民共和国境内的法人、其它组织。</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1.3.5响应文件：指供应商根据磋商文件提交的所有文件。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1.3.6磋商小组：依据</w:t>
      </w:r>
      <w:r>
        <w:rPr>
          <w:rFonts w:hint="eastAsia"/>
          <w:sz w:val="24"/>
          <w:szCs w:val="24"/>
          <w:lang w:bidi="en-US"/>
        </w:rPr>
        <w:t>《中华人民共和国政府采购法》及有关法律、法规的规定依法组建的专门负责本次评标工作的临时机构</w:t>
      </w:r>
      <w:r>
        <w:rPr>
          <w:rFonts w:hint="eastAsia"/>
          <w:sz w:val="24"/>
          <w:szCs w:val="24"/>
          <w:lang w:bidi="ar-SA"/>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1.3.7偏离：磋商响应文件的响应相对于磋商文件要求的偏差，该偏差优于磋商文件要求的为正偏离；劣于的，为负偏离。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1.3.8“日期”或“天”：指日历天。</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1.3.9合同：指依据本次采购招标结果签订的协议或合约文件。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sz w:val="24"/>
          <w:szCs w:val="24"/>
          <w:lang w:bidi="ar-SA"/>
        </w:rPr>
        <w:t>1.3.10磋商文件中的标题或题名仅起引导作用，而不应视为对磋商文件内容的理解和解释。</w:t>
      </w:r>
    </w:p>
    <w:bookmarkEnd w:id="93"/>
    <w:bookmarkEnd w:id="94"/>
    <w:bookmarkEnd w:id="95"/>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bookmarkStart w:id="122" w:name="_Toc21766"/>
      <w:bookmarkStart w:id="123" w:name="_Toc14043"/>
      <w:bookmarkStart w:id="124" w:name="_Toc27407"/>
      <w:bookmarkStart w:id="125" w:name="_Toc152042308"/>
      <w:bookmarkStart w:id="126" w:name="_Toc152045532"/>
      <w:bookmarkStart w:id="127" w:name="_Toc318450678"/>
      <w:bookmarkStart w:id="128" w:name="_Toc12752"/>
      <w:bookmarkStart w:id="129" w:name="_Toc16470"/>
      <w:bookmarkStart w:id="130" w:name="_Toc19363"/>
      <w:bookmarkStart w:id="131" w:name="_Toc455080112"/>
      <w:bookmarkStart w:id="132" w:name="_Toc463701034"/>
      <w:bookmarkStart w:id="133" w:name="_Toc144974500"/>
      <w:bookmarkStart w:id="134" w:name="_Toc3626_WPSOffice_Level3"/>
      <w:bookmarkStart w:id="135" w:name="_Toc464035513"/>
      <w:r>
        <w:rPr>
          <w:rFonts w:hint="eastAsia" w:ascii="Times New Roman" w:hAnsi="Times New Roman" w:eastAsia="宋体" w:cs="Times New Roman"/>
          <w:sz w:val="24"/>
          <w:szCs w:val="24"/>
          <w:lang w:bidi="ar-SA"/>
        </w:rPr>
        <w:t xml:space="preserve">1.4 </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内容、</w:t>
      </w:r>
      <w:r>
        <w:rPr>
          <w:rFonts w:hint="eastAsia" w:ascii="Times New Roman" w:hAnsi="Times New Roman" w:eastAsia="宋体" w:cs="Times New Roman"/>
          <w:sz w:val="24"/>
          <w:szCs w:val="24"/>
          <w:lang w:eastAsia="zh-CN" w:bidi="ar-SA"/>
        </w:rPr>
        <w:t>服务期限</w:t>
      </w:r>
      <w:r>
        <w:rPr>
          <w:rFonts w:hint="eastAsia" w:ascii="Times New Roman" w:hAnsi="Times New Roman" w:eastAsia="宋体" w:cs="Times New Roman"/>
          <w:sz w:val="24"/>
          <w:szCs w:val="24"/>
          <w:lang w:bidi="ar-SA"/>
        </w:rPr>
        <w:t>和</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Times New Roman" w:hAnsi="Times New Roman" w:eastAsia="宋体" w:cs="Times New Roman"/>
          <w:sz w:val="24"/>
          <w:szCs w:val="24"/>
          <w:lang w:eastAsia="zh-CN" w:bidi="ar-SA"/>
        </w:rPr>
        <w:t>服务标准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ascii="Times New Roman" w:hAnsi="Times New Roman" w:eastAsia="宋体" w:cs="Times New Roman"/>
          <w:sz w:val="24"/>
          <w:szCs w:val="24"/>
          <w:lang w:bidi="ar-SA"/>
        </w:rPr>
        <w:t>1.4.1 本次</w:t>
      </w:r>
      <w:r>
        <w:rPr>
          <w:rFonts w:hint="eastAsia" w:ascii="Times New Roman" w:hAnsi="Times New Roman" w:eastAsia="宋体" w:cs="Times New Roman"/>
          <w:sz w:val="24"/>
          <w:szCs w:val="24"/>
          <w:lang w:eastAsia="zh-CN" w:bidi="ar-SA"/>
        </w:rPr>
        <w:t>采购</w:t>
      </w:r>
      <w:r>
        <w:rPr>
          <w:rFonts w:hint="eastAsia"/>
          <w:sz w:val="24"/>
          <w:szCs w:val="24"/>
          <w:lang w:bidi="ar-SA"/>
        </w:rPr>
        <w:t>内容：见供应商须知前附表。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1.4.2 本项目的</w:t>
      </w:r>
      <w:r>
        <w:rPr>
          <w:rFonts w:hint="eastAsia" w:ascii="Times New Roman" w:hAnsi="Times New Roman" w:eastAsia="宋体" w:cs="Times New Roman"/>
          <w:sz w:val="24"/>
          <w:szCs w:val="24"/>
          <w:lang w:eastAsia="zh-CN" w:bidi="ar-SA"/>
        </w:rPr>
        <w:t>服务期限</w:t>
      </w:r>
      <w:r>
        <w:rPr>
          <w:rFonts w:hint="eastAsia"/>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1.4.3 本项目的</w:t>
      </w:r>
      <w:r>
        <w:rPr>
          <w:rFonts w:hint="eastAsia" w:ascii="Times New Roman" w:hAnsi="Times New Roman" w:eastAsia="宋体" w:cs="Times New Roman"/>
          <w:sz w:val="24"/>
          <w:szCs w:val="24"/>
          <w:lang w:eastAsia="zh-CN" w:bidi="ar-SA"/>
        </w:rPr>
        <w:t>服务标准</w:t>
      </w:r>
      <w:r>
        <w:rPr>
          <w:rFonts w:hint="eastAsia"/>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36" w:name="_Toc455080115"/>
      <w:bookmarkStart w:id="137" w:name="_Toc152042312"/>
      <w:bookmarkStart w:id="138" w:name="_Toc144974504"/>
      <w:bookmarkStart w:id="139" w:name="_Toc32053"/>
      <w:bookmarkStart w:id="140" w:name="_Toc7579_WPSOffice_Level3"/>
      <w:bookmarkStart w:id="141" w:name="_Toc5402"/>
      <w:bookmarkStart w:id="142" w:name="_Toc8055"/>
      <w:bookmarkStart w:id="143" w:name="_Toc463701037"/>
      <w:bookmarkStart w:id="144" w:name="_Toc6014"/>
      <w:bookmarkStart w:id="145" w:name="_Toc20145"/>
      <w:bookmarkStart w:id="146" w:name="_Toc464035516"/>
      <w:bookmarkStart w:id="147" w:name="_Toc2622"/>
      <w:bookmarkStart w:id="148" w:name="_Toc318450681"/>
      <w:bookmarkStart w:id="149" w:name="_Toc152045536"/>
      <w:r>
        <w:rPr>
          <w:rFonts w:hint="eastAsia"/>
          <w:sz w:val="24"/>
          <w:szCs w:val="24"/>
          <w:lang w:bidi="ar-SA"/>
        </w:rPr>
        <w:t>1.</w:t>
      </w:r>
      <w:r>
        <w:rPr>
          <w:rFonts w:hint="eastAsia"/>
          <w:sz w:val="24"/>
          <w:szCs w:val="24"/>
          <w:lang w:val="en-US" w:eastAsia="en-US" w:bidi="ar-SA"/>
        </w:rPr>
        <w:t>5</w:t>
      </w:r>
      <w:r>
        <w:rPr>
          <w:rFonts w:hint="eastAsia"/>
          <w:sz w:val="24"/>
          <w:szCs w:val="24"/>
          <w:lang w:bidi="ar-SA"/>
        </w:rPr>
        <w:t>保密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 xml:space="preserve">参与磋商活动的各方应对磋商文件和磋商响应文件中的商业和技术等秘密保密，违者应对由此造成的后果承担法律责任。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50" w:name="_Toc144974505"/>
      <w:bookmarkStart w:id="151" w:name="_Toc30583"/>
      <w:bookmarkStart w:id="152" w:name="_Toc318450682"/>
      <w:bookmarkStart w:id="153" w:name="_Toc152045537"/>
      <w:bookmarkStart w:id="154" w:name="_Toc14775"/>
      <w:bookmarkStart w:id="155" w:name="_Toc464035517"/>
      <w:bookmarkStart w:id="156" w:name="_Toc19210_WPSOffice_Level3"/>
      <w:bookmarkStart w:id="157" w:name="_Toc30747"/>
      <w:bookmarkStart w:id="158" w:name="_Toc455080116"/>
      <w:bookmarkStart w:id="159" w:name="_Toc3628"/>
      <w:bookmarkStart w:id="160" w:name="_Toc463701038"/>
      <w:bookmarkStart w:id="161" w:name="_Toc152042313"/>
      <w:bookmarkStart w:id="162" w:name="_Toc21089"/>
      <w:bookmarkStart w:id="163" w:name="_Toc25517"/>
      <w:r>
        <w:rPr>
          <w:rFonts w:hint="eastAsia"/>
          <w:sz w:val="24"/>
          <w:szCs w:val="24"/>
          <w:lang w:bidi="ar-SA"/>
        </w:rPr>
        <w:t>1.</w:t>
      </w:r>
      <w:r>
        <w:rPr>
          <w:rFonts w:hint="eastAsia"/>
          <w:sz w:val="24"/>
          <w:szCs w:val="24"/>
          <w:lang w:val="en-US" w:eastAsia="en-US" w:bidi="ar-SA"/>
        </w:rPr>
        <w:t>6</w:t>
      </w:r>
      <w:r>
        <w:rPr>
          <w:rFonts w:hint="eastAsia"/>
          <w:sz w:val="24"/>
          <w:szCs w:val="24"/>
          <w:lang w:bidi="ar-SA"/>
        </w:rPr>
        <w:t>语言</w:t>
      </w:r>
      <w:bookmarkEnd w:id="150"/>
      <w:r>
        <w:rPr>
          <w:rFonts w:hint="eastAsia"/>
          <w:sz w:val="24"/>
          <w:szCs w:val="24"/>
          <w:lang w:bidi="ar-SA"/>
        </w:rPr>
        <w:t>文字</w:t>
      </w:r>
      <w:bookmarkEnd w:id="151"/>
      <w:bookmarkEnd w:id="152"/>
      <w:bookmarkEnd w:id="153"/>
      <w:bookmarkEnd w:id="154"/>
      <w:bookmarkEnd w:id="155"/>
      <w:bookmarkEnd w:id="156"/>
      <w:bookmarkEnd w:id="157"/>
      <w:bookmarkEnd w:id="158"/>
      <w:bookmarkEnd w:id="159"/>
      <w:bookmarkEnd w:id="160"/>
      <w:bookmarkEnd w:id="161"/>
      <w:bookmarkEnd w:id="162"/>
      <w:bookmarkEnd w:id="16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除专用术语外，与磋商有关的语言均使用中文。必要时专用术语应附有中文注释，</w:t>
      </w:r>
      <w:r>
        <w:rPr>
          <w:rFonts w:hint="eastAsia"/>
          <w:sz w:val="24"/>
          <w:szCs w:val="24"/>
          <w:lang w:bidi="en-US"/>
        </w:rPr>
        <w:t>对不同文字文本响应文件的解释发生异议的，以中文文本为准。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bookmarkStart w:id="164" w:name="_Toc152045538"/>
      <w:bookmarkStart w:id="165" w:name="_Toc318450683"/>
      <w:bookmarkStart w:id="166" w:name="_Toc463701039"/>
      <w:bookmarkStart w:id="167" w:name="_Toc22378"/>
      <w:bookmarkStart w:id="168" w:name="_Toc455080117"/>
      <w:bookmarkStart w:id="169" w:name="_Toc9511_WPSOffice_Level3"/>
      <w:bookmarkStart w:id="170" w:name="_Toc152042314"/>
      <w:bookmarkStart w:id="171" w:name="_Toc2702"/>
      <w:bookmarkStart w:id="172" w:name="_Toc4237"/>
      <w:bookmarkStart w:id="173" w:name="_Toc144974506"/>
      <w:bookmarkStart w:id="174" w:name="_Toc24337"/>
      <w:bookmarkStart w:id="175" w:name="_Toc464035518"/>
      <w:bookmarkStart w:id="176" w:name="_Toc32507"/>
      <w:bookmarkStart w:id="177" w:name="_Toc9446"/>
      <w:r>
        <w:rPr>
          <w:rFonts w:hint="eastAsia"/>
          <w:sz w:val="24"/>
          <w:szCs w:val="24"/>
          <w:lang w:bidi="ar-SA"/>
        </w:rPr>
        <w:t>1.</w:t>
      </w:r>
      <w:r>
        <w:rPr>
          <w:rFonts w:hint="eastAsia"/>
          <w:sz w:val="24"/>
          <w:szCs w:val="24"/>
          <w:lang w:val="en-US" w:eastAsia="en-US" w:bidi="ar-SA"/>
        </w:rPr>
        <w:t>7</w:t>
      </w:r>
      <w:r>
        <w:rPr>
          <w:rFonts w:hint="eastAsia"/>
          <w:sz w:val="24"/>
          <w:szCs w:val="24"/>
          <w:lang w:bidi="ar-SA"/>
        </w:rPr>
        <w:t xml:space="preserve">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lang w:bidi="ar-SA"/>
        </w:rPr>
      </w:pPr>
      <w:r>
        <w:rPr>
          <w:rFonts w:hint="eastAsia"/>
          <w:sz w:val="24"/>
          <w:szCs w:val="24"/>
          <w:lang w:bidi="ar-SA"/>
        </w:rPr>
        <w:t>所有计量均采用中华人民共和国法定计量单位。</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8" w:name="_Toc12366_WPSOffice_Level2"/>
      <w:r>
        <w:rPr>
          <w:rFonts w:hint="eastAsia" w:ascii="Times New Roman" w:hAnsi="Times New Roman" w:eastAsia="宋体" w:cs="Times New Roman"/>
          <w:b/>
          <w:bCs/>
          <w:sz w:val="24"/>
          <w:szCs w:val="24"/>
          <w:lang w:bidi="ar-SA"/>
        </w:rPr>
        <w:t>2、合格的</w:t>
      </w:r>
      <w:bookmarkEnd w:id="178"/>
      <w:r>
        <w:rPr>
          <w:rFonts w:hint="eastAsia" w:ascii="Times New Roman" w:hAnsi="Times New Roman" w:eastAsia="宋体" w:cs="Times New Roman"/>
          <w:b/>
          <w:bCs/>
          <w:sz w:val="24"/>
          <w:szCs w:val="24"/>
          <w:lang w:bidi="ar-SA"/>
        </w:rPr>
        <w:t>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见供应商须知前附表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79" w:name="_Toc8655_WPSOffice_Level2"/>
      <w:r>
        <w:rPr>
          <w:rFonts w:hint="eastAsia" w:ascii="Times New Roman" w:hAnsi="Times New Roman" w:eastAsia="宋体" w:cs="Times New Roman"/>
          <w:b/>
          <w:bCs/>
          <w:sz w:val="24"/>
          <w:szCs w:val="24"/>
          <w:lang w:bidi="ar-SA"/>
        </w:rPr>
        <w:t>3、费用</w:t>
      </w:r>
      <w:bookmarkEnd w:id="17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 供应商应自行承担参加磋商活动有关的全部费用，采购人在任何情况下均无义务和责任承担上述费用。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0" w:name="_Toc4976_WPSOffice_Level2"/>
      <w:r>
        <w:rPr>
          <w:rFonts w:hint="eastAsia" w:ascii="Times New Roman" w:hAnsi="Times New Roman" w:eastAsia="宋体" w:cs="Times New Roman"/>
          <w:b/>
          <w:bCs/>
          <w:sz w:val="24"/>
          <w:szCs w:val="24"/>
          <w:lang w:bidi="ar-SA"/>
        </w:rPr>
        <w:t>4、竞争性磋商文件的构成</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第一章 竞争性磋商公告</w:t>
      </w:r>
      <w:bookmarkEnd w:id="18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1" w:name="_Toc25399_WPSOffice_Level1"/>
      <w:r>
        <w:rPr>
          <w:rFonts w:hint="eastAsia" w:ascii="Times New Roman" w:hAnsi="Times New Roman" w:eastAsia="宋体" w:cs="Times New Roman"/>
          <w:sz w:val="24"/>
          <w:szCs w:val="24"/>
          <w:lang w:bidi="ar-SA"/>
        </w:rPr>
        <w:t>第二章 供应商须知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第三章 </w:t>
      </w:r>
      <w:bookmarkEnd w:id="181"/>
      <w:r>
        <w:rPr>
          <w:rFonts w:hint="eastAsia" w:ascii="Times New Roman" w:hAnsi="Times New Roman" w:eastAsia="宋体" w:cs="Times New Roman"/>
          <w:sz w:val="24"/>
          <w:szCs w:val="24"/>
          <w:lang w:bidi="ar-SA"/>
        </w:rPr>
        <w:t>服务内容与相关要求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2" w:name="_Toc3669_WPSOffice_Level2"/>
      <w:r>
        <w:rPr>
          <w:rFonts w:hint="eastAsia" w:ascii="Times New Roman" w:hAnsi="Times New Roman" w:eastAsia="宋体" w:cs="Times New Roman"/>
          <w:sz w:val="24"/>
          <w:szCs w:val="24"/>
          <w:lang w:bidi="ar-SA"/>
        </w:rPr>
        <w:t>第四章 评审办法</w:t>
      </w:r>
      <w:bookmarkEnd w:id="18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3" w:name="_Toc1982_WPSOffice_Level2"/>
      <w:r>
        <w:rPr>
          <w:rFonts w:hint="eastAsia" w:ascii="Times New Roman" w:hAnsi="Times New Roman" w:eastAsia="宋体" w:cs="Times New Roman"/>
          <w:sz w:val="24"/>
          <w:szCs w:val="24"/>
          <w:lang w:bidi="ar-SA"/>
        </w:rPr>
        <w:t>第五章 合同主要条款及格式</w:t>
      </w:r>
      <w:bookmarkEnd w:id="18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bookmarkStart w:id="184" w:name="_Toc4328_WPSOffice_Level2"/>
      <w:r>
        <w:rPr>
          <w:rFonts w:hint="eastAsia" w:ascii="Times New Roman" w:hAnsi="Times New Roman" w:eastAsia="宋体" w:cs="Times New Roman"/>
          <w:sz w:val="24"/>
          <w:szCs w:val="24"/>
          <w:lang w:bidi="ar-SA"/>
        </w:rPr>
        <w:t>第六章 磋商响应文件内容及格式</w:t>
      </w:r>
      <w:bookmarkEnd w:id="184"/>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5" w:name="_Toc20095_WPSOffice_Level3"/>
      <w:r>
        <w:rPr>
          <w:rFonts w:hint="eastAsia" w:ascii="Times New Roman" w:hAnsi="Times New Roman" w:eastAsia="宋体" w:cs="Times New Roman"/>
          <w:b/>
          <w:bCs/>
          <w:sz w:val="24"/>
          <w:szCs w:val="24"/>
          <w:lang w:bidi="ar-SA"/>
        </w:rPr>
        <w:t>5、竞争性磋商文件的澄清</w:t>
      </w:r>
      <w:bookmarkEnd w:id="18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5.1供应商对磋商文件需有澄清或疑问，应在下载竞争性磋商文件后3日内向采购人进行询问，采购人在收到供应商的疑问后于2日内将视情况确定采用适当方式予以澄清或以书面形式予以答复，并在其认为必要时，将书面答复所有潜在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5.2采购人将视情况在认为必要时于采购截止时间前答疑。</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86" w:name="_Toc20123_WPSOffice_Level3"/>
      <w:r>
        <w:rPr>
          <w:rFonts w:hint="eastAsia" w:ascii="Times New Roman" w:hAnsi="Times New Roman" w:eastAsia="宋体" w:cs="Times New Roman"/>
          <w:b/>
          <w:bCs/>
          <w:sz w:val="24"/>
          <w:szCs w:val="24"/>
          <w:lang w:bidi="ar-SA"/>
        </w:rPr>
        <w:t>6、竞争性磋商文件的修改</w:t>
      </w:r>
      <w:bookmarkEnd w:id="18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6.1 竞争性磋商文件的修改书将构成磋商响应文件的一部分，对所有供应商均有约束力。</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7" w:name="_Toc12366_WPSOffice_Level3"/>
      <w:r>
        <w:rPr>
          <w:rFonts w:hint="eastAsia" w:ascii="Times New Roman" w:hAnsi="Times New Roman" w:eastAsia="宋体" w:cs="Times New Roman"/>
          <w:b/>
          <w:bCs/>
          <w:sz w:val="24"/>
          <w:szCs w:val="24"/>
          <w:lang w:bidi="ar-SA"/>
        </w:rPr>
        <w:t>7、要求</w:t>
      </w:r>
      <w:bookmarkEnd w:id="18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7.1 供应商应仔细阅读竞争性磋商文件的所有内容，按竞争性磋商文件的要求提供磋商响应文件，并保证所提供资料的真实性，以使其磋商响应文件对竞争性磋商文件作出实质性响应，否则，其磋商响应文件不予接受。</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8" w:name="_Toc8655_WPSOffice_Level3"/>
      <w:r>
        <w:rPr>
          <w:rFonts w:hint="eastAsia" w:ascii="Times New Roman" w:hAnsi="Times New Roman" w:eastAsia="宋体" w:cs="Times New Roman"/>
          <w:b/>
          <w:bCs/>
          <w:sz w:val="24"/>
          <w:szCs w:val="24"/>
          <w:lang w:bidi="ar-SA"/>
        </w:rPr>
        <w:t>8、电子化磋商响应文件的组成</w:t>
      </w:r>
      <w:bookmarkEnd w:id="18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详见第六章响应文件内容及格式</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89" w:name="_Toc4976_WPSOffice_Level3"/>
      <w:r>
        <w:rPr>
          <w:rFonts w:hint="eastAsia" w:ascii="Times New Roman" w:hAnsi="Times New Roman" w:eastAsia="宋体" w:cs="Times New Roman"/>
          <w:b/>
          <w:bCs/>
          <w:sz w:val="24"/>
          <w:szCs w:val="24"/>
          <w:lang w:bidi="ar-SA"/>
        </w:rPr>
        <w:t>9、电子化磋商响应文件的格式</w:t>
      </w:r>
      <w:bookmarkEnd w:id="18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9.1 投标人所上传的电子化</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文件，应是通过中心</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文件制作系统制作的（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文件制作工具下载地址：http://t.cn/A6ZvtVob），经过签章和加密后生成的电子版</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文件。其中包含用于</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文件上传的主文件（后缀为.smxtf）和用于应急补救的</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文件备份文件（后缀为.nsmxtf）。备份文件主要用于电子化开标出现技术问题后的补救，请投标人随身携带。</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w:t>
      </w:r>
      <w:r>
        <w:rPr>
          <w:rFonts w:hint="eastAsia" w:ascii="Times New Roman" w:hAnsi="Times New Roman" w:eastAsia="宋体" w:cs="Times New Roman"/>
          <w:sz w:val="24"/>
          <w:szCs w:val="24"/>
          <w:lang w:eastAsia="zh-CN" w:bidi="ar-SA"/>
        </w:rPr>
        <w:t>供应商</w:t>
      </w:r>
      <w:r>
        <w:rPr>
          <w:rFonts w:hint="eastAsia" w:ascii="Times New Roman" w:hAnsi="Times New Roman" w:eastAsia="宋体" w:cs="Times New Roman"/>
          <w:sz w:val="24"/>
          <w:szCs w:val="24"/>
          <w:lang w:bidi="ar-SA"/>
        </w:rPr>
        <w:t>投报多个标段的，需要每个标段单独制作电子</w:t>
      </w:r>
      <w:r>
        <w:rPr>
          <w:rFonts w:hint="eastAsia" w:ascii="Times New Roman" w:hAnsi="Times New Roman" w:eastAsia="宋体" w:cs="Times New Roman"/>
          <w:sz w:val="24"/>
          <w:szCs w:val="24"/>
          <w:lang w:eastAsia="zh-CN" w:bidi="ar-SA"/>
        </w:rPr>
        <w:t>响应</w:t>
      </w:r>
      <w:r>
        <w:rPr>
          <w:rFonts w:hint="eastAsia" w:ascii="Times New Roman" w:hAnsi="Times New Roman" w:eastAsia="宋体" w:cs="Times New Roman"/>
          <w:sz w:val="24"/>
          <w:szCs w:val="24"/>
          <w:lang w:bidi="ar-SA"/>
        </w:rPr>
        <w:t>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0" w:name="_Toc3669_WPSOffice_Level3"/>
      <w:r>
        <w:rPr>
          <w:rFonts w:hint="eastAsia" w:ascii="Times New Roman" w:hAnsi="Times New Roman" w:eastAsia="宋体" w:cs="Times New Roman"/>
          <w:b/>
          <w:bCs/>
          <w:sz w:val="24"/>
          <w:szCs w:val="24"/>
          <w:lang w:bidi="ar-SA"/>
        </w:rPr>
        <w:t>10、电子化磋商响应文件的签署</w:t>
      </w:r>
      <w:bookmarkEnd w:id="19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10.1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1" w:name="_Toc1982_WPSOffice_Level3"/>
      <w:r>
        <w:rPr>
          <w:rFonts w:hint="eastAsia" w:ascii="Times New Roman" w:hAnsi="Times New Roman" w:eastAsia="宋体" w:cs="Times New Roman"/>
          <w:b/>
          <w:bCs/>
          <w:sz w:val="24"/>
          <w:szCs w:val="24"/>
          <w:lang w:bidi="ar-SA"/>
        </w:rPr>
        <w:t>11、电子化磋商响应文件的上传</w:t>
      </w:r>
      <w:bookmarkEnd w:id="19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b w:val="0"/>
          <w:bCs w:val="0"/>
          <w:sz w:val="24"/>
          <w:szCs w:val="24"/>
          <w:lang w:bidi="ar-SA"/>
        </w:rPr>
        <w:t>11.1 电子化磋商响应文件应在磋</w:t>
      </w:r>
      <w:r>
        <w:rPr>
          <w:rFonts w:hint="eastAsia" w:ascii="Times New Roman" w:hAnsi="Times New Roman" w:eastAsia="宋体" w:cs="Times New Roman"/>
          <w:sz w:val="24"/>
          <w:szCs w:val="24"/>
          <w:lang w:bidi="ar-SA"/>
        </w:rPr>
        <w:t>商截止时间前成功上传至三门峡市公共资源电子化交易系统。至磋商截止时间止，仍未上传成功的电子化磋商响应文件将不予接收。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2" w:name="_Toc4328_WPSOffice_Level3"/>
      <w:r>
        <w:rPr>
          <w:rFonts w:hint="eastAsia" w:ascii="Times New Roman" w:hAnsi="Times New Roman" w:eastAsia="宋体" w:cs="Times New Roman"/>
          <w:b/>
          <w:bCs/>
          <w:sz w:val="24"/>
          <w:szCs w:val="24"/>
          <w:lang w:bidi="ar-SA"/>
        </w:rPr>
        <w:t>12、磋商截止时间</w:t>
      </w:r>
      <w:bookmarkEnd w:id="19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12.1 电子化磋商响应文件的截止时间见本须知前附表规定。</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3" w:name="_Toc14892_WPSOffice_Level3"/>
      <w:r>
        <w:rPr>
          <w:rFonts w:hint="eastAsia" w:ascii="Times New Roman" w:hAnsi="Times New Roman" w:eastAsia="宋体" w:cs="Times New Roman"/>
          <w:b/>
          <w:bCs/>
          <w:sz w:val="24"/>
          <w:szCs w:val="24"/>
          <w:lang w:bidi="ar-SA"/>
        </w:rPr>
        <w:t>13、电子化磋商响应文件的补充、修改与撤回</w:t>
      </w:r>
      <w:bookmarkEnd w:id="19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13.1 在磋商截止时间之后，供应商不得补充、修改电子化磋商响应文件。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4" w:name="_Toc16713_WPSOffice_Level3"/>
      <w:r>
        <w:rPr>
          <w:rFonts w:hint="eastAsia" w:ascii="Times New Roman" w:hAnsi="Times New Roman" w:eastAsia="宋体" w:cs="Times New Roman"/>
          <w:b/>
          <w:bCs/>
          <w:sz w:val="24"/>
          <w:szCs w:val="24"/>
          <w:lang w:bidi="ar-SA"/>
        </w:rPr>
        <w:t>14、磋商报价</w:t>
      </w:r>
      <w:bookmarkEnd w:id="194"/>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14.1 本次磋商均须以人民币为计算单位。</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14.2 供应商应报出完成本项目</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内容的总报价。其中应包含货物价、备品</w:t>
      </w:r>
      <w:r>
        <w:rPr>
          <w:rFonts w:hint="eastAsia" w:ascii="Times New Roman" w:hAnsi="Times New Roman" w:eastAsia="宋体" w:cs="Times New Roman"/>
          <w:sz w:val="24"/>
          <w:szCs w:val="24"/>
          <w:lang w:eastAsia="zh-CN" w:bidi="ar-SA"/>
        </w:rPr>
        <w:t>、</w:t>
      </w:r>
      <w:r>
        <w:rPr>
          <w:rFonts w:hint="eastAsia" w:ascii="Times New Roman" w:hAnsi="Times New Roman" w:eastAsia="宋体" w:cs="Times New Roman"/>
          <w:sz w:val="24"/>
          <w:szCs w:val="24"/>
          <w:lang w:bidi="ar-SA"/>
        </w:rPr>
        <w:t>税金（含关税、增值税）、检测验收费等各项费用。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14.3 供应商应充分考虑市场风险和国家政策性风险系数，根据企业具体情况在合理的范围内自主报价，但不得低于企业实际成本。</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14.4 供应商的磋商报价应包含验收合格正式交付使用前所发生的一切费用，且供应商只能提出一个报价，采购人不接受任何有选择的报价，最后报价不得超过项目采购预算。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14.5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14.6本次采购为竞争性磋商采购，允许二次报价。</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5" w:name="_Toc28583_WPSOffice_Level3"/>
      <w:r>
        <w:rPr>
          <w:rFonts w:hint="eastAsia" w:ascii="Times New Roman" w:hAnsi="Times New Roman" w:eastAsia="宋体" w:cs="Times New Roman"/>
          <w:b/>
          <w:bCs/>
          <w:sz w:val="24"/>
          <w:szCs w:val="24"/>
          <w:lang w:bidi="ar-SA"/>
        </w:rPr>
        <w:t>15、供应商资格的证明文件</w:t>
      </w:r>
      <w:bookmarkEnd w:id="19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15.1证明供应商是有资格参加磋商的。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15.2证明供应商有能力履行竞争性磋商文件中合同条款和技术要求规定的由供应商提供的</w:t>
      </w:r>
      <w:r>
        <w:rPr>
          <w:rFonts w:hint="eastAsia" w:ascii="Times New Roman" w:hAnsi="Times New Roman" w:eastAsia="宋体" w:cs="Times New Roman"/>
          <w:sz w:val="24"/>
          <w:szCs w:val="24"/>
          <w:lang w:eastAsia="zh-CN" w:bidi="ar-SA"/>
        </w:rPr>
        <w:t>采购</w:t>
      </w:r>
      <w:r>
        <w:rPr>
          <w:rFonts w:hint="eastAsia" w:ascii="Times New Roman" w:hAnsi="Times New Roman" w:eastAsia="宋体" w:cs="Times New Roman"/>
          <w:sz w:val="24"/>
          <w:szCs w:val="24"/>
          <w:lang w:bidi="ar-SA"/>
        </w:rPr>
        <w:t>等义务。</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6" w:name="_Toc29721_WPSOffice_Level3"/>
      <w:r>
        <w:rPr>
          <w:rFonts w:hint="eastAsia" w:ascii="Times New Roman" w:hAnsi="Times New Roman" w:eastAsia="宋体" w:cs="Times New Roman"/>
          <w:b/>
          <w:bCs/>
          <w:sz w:val="24"/>
          <w:szCs w:val="24"/>
          <w:lang w:bidi="ar-SA"/>
        </w:rPr>
        <w:t>16、磋商保证金</w:t>
      </w:r>
      <w:bookmarkEnd w:id="19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16.1按照《河南省财政厅关于优化政府采购营商环境有关问题的通知》（豫财购[2019]4号文）的要求本项目不再收取磋商保证金。</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197" w:name="_Toc26640_WPSOffice_Level3"/>
      <w:r>
        <w:rPr>
          <w:rFonts w:hint="eastAsia" w:ascii="Times New Roman" w:hAnsi="Times New Roman" w:eastAsia="宋体" w:cs="Times New Roman"/>
          <w:b/>
          <w:bCs/>
          <w:sz w:val="24"/>
          <w:szCs w:val="24"/>
          <w:lang w:bidi="ar-SA"/>
        </w:rPr>
        <w:t>17、磋商响应文件有效期</w:t>
      </w:r>
      <w:bookmarkEnd w:id="19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17.1响应性文件从首次递交竞争性磋商响应文件截止时间之日起开始生效，磋商有效期为 60 日历天，有效期短于此规定的响应文件将被视为无效文件。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17.2特殊情况下，采购人可于磋商响应文件有效期满之前要求供应商同意延长有效期，要求与答复均为书面形式。供应商可以拒绝上述要求，对于同意该要求的供应商，不允许其修改磋商响应文件。</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8" w:name="_Toc14449_WPSOffice_Level3"/>
      <w:r>
        <w:rPr>
          <w:rFonts w:hint="eastAsia" w:ascii="Times New Roman" w:hAnsi="Times New Roman" w:eastAsia="宋体" w:cs="Times New Roman"/>
          <w:b/>
          <w:bCs/>
          <w:sz w:val="24"/>
          <w:szCs w:val="24"/>
          <w:lang w:bidi="ar-SA"/>
        </w:rPr>
        <w:t>18、磋商</w:t>
      </w:r>
      <w:bookmarkEnd w:id="19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18.1采购人按本须知前附表规定的时间和地点磋商。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18.2磋商会议由采购代理机构主持；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18.3宣布磋商会议纪律；</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18.4磋商时，电子招标投标交易平台自动提取所有电子化磋商响应文件，按时在线解密；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18.5电子化磋商响应文件的有效性</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199" w:name="_Toc29167_WPSOffice_Level3"/>
      <w:r>
        <w:rPr>
          <w:rFonts w:hint="eastAsia" w:ascii="Times New Roman" w:hAnsi="Times New Roman" w:eastAsia="宋体" w:cs="Times New Roman"/>
          <w:b/>
          <w:bCs/>
          <w:sz w:val="24"/>
          <w:szCs w:val="24"/>
          <w:lang w:bidi="ar-SA"/>
        </w:rPr>
        <w:t>19、磋商小组</w:t>
      </w:r>
      <w:bookmarkEnd w:id="19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19.1磋商小组由3人构成：采购人代表1人，经济、技术方面专家2人，在磋商会议开始前从</w:t>
      </w:r>
      <w:r>
        <w:rPr>
          <w:rFonts w:hint="eastAsia" w:ascii="Times New Roman" w:hAnsi="Times New Roman" w:eastAsia="宋体" w:cs="Times New Roman"/>
          <w:sz w:val="24"/>
          <w:szCs w:val="24"/>
          <w:lang w:eastAsia="zh-CN" w:bidi="ar-SA"/>
        </w:rPr>
        <w:t>相关</w:t>
      </w:r>
      <w:r>
        <w:rPr>
          <w:rFonts w:hint="eastAsia" w:ascii="Times New Roman" w:hAnsi="Times New Roman" w:eastAsia="宋体" w:cs="Times New Roman"/>
          <w:sz w:val="24"/>
          <w:szCs w:val="24"/>
          <w:lang w:bidi="ar-SA"/>
        </w:rPr>
        <w:t>评标专家库中随机抽取。</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19.2磋商小组对所有供应商的磋商响应文件进行评审，按评审后得分由高到低顺序排列，递交给采购人。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0" w:name="_Toc30532_WPSOffice_Level3"/>
      <w:r>
        <w:rPr>
          <w:rFonts w:hint="eastAsia" w:ascii="Times New Roman" w:hAnsi="Times New Roman" w:eastAsia="宋体" w:cs="Times New Roman"/>
          <w:b/>
          <w:bCs/>
          <w:sz w:val="24"/>
          <w:szCs w:val="24"/>
          <w:lang w:bidi="ar-SA"/>
        </w:rPr>
        <w:t>20、磋商程序</w:t>
      </w:r>
      <w:bookmarkEnd w:id="20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20.1磋商小组所有成员集中评审磋商响应文件及集中与供应商分别进行磋商。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 xml:space="preserve">20.2磋商小组首先对所有磋商响应文件进行资格性和初步审查。资格性审查是指：磋商小组按照竞争性磋商文件第四章评审办法的要求，对供应商进行资格审查，有一项不符合的，视为未通过资格审查，不得进入下一评审过程。初步审查是指：磋商小组按照竞争性磋商文件本须知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条及第四章评审办法中资格、形式及响应性评审的要求，对供应商进行审查，有一项不符合的，视为未通过初步审查。未通过资格性和初步审查的磋商响应文件按无效响应处理，磋商小组应当告知提交磋商响应文件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20.2.1允许修正磋商响应文件中不构成重大偏离的、微小的、非正规的、不一致或不规则的地方。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20.2.2磋商小组判断磋商响应文件的响应性仅基于磋商响应文件本身内容而不靠外部证据。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20.2.3实质性未响应磋商文件要求的响应将被拒绝，供应商不得通过修正或撤消不符之处而使其响应成为实质性响应。</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20.2.4实质性未响应是指磋商响应文件中提出了超出磋商文件中采购标的、预算金额、</w:t>
      </w:r>
      <w:r>
        <w:rPr>
          <w:rFonts w:hint="eastAsia" w:ascii="Times New Roman" w:hAnsi="Times New Roman" w:eastAsia="宋体" w:cs="Times New Roman"/>
          <w:sz w:val="24"/>
          <w:szCs w:val="24"/>
          <w:lang w:eastAsia="zh-CN" w:bidi="ar-SA"/>
        </w:rPr>
        <w:t>供货期限</w:t>
      </w:r>
      <w:r>
        <w:rPr>
          <w:rFonts w:hint="eastAsia" w:ascii="Times New Roman" w:hAnsi="Times New Roman" w:eastAsia="宋体" w:cs="Times New Roman"/>
          <w:sz w:val="24"/>
          <w:szCs w:val="24"/>
          <w:lang w:bidi="ar-SA"/>
        </w:rPr>
        <w:t>、质量、</w:t>
      </w:r>
      <w:r>
        <w:rPr>
          <w:rFonts w:hint="eastAsia" w:ascii="Times New Roman" w:hAnsi="Times New Roman" w:eastAsia="宋体" w:cs="Times New Roman"/>
          <w:sz w:val="24"/>
          <w:szCs w:val="24"/>
          <w:lang w:eastAsia="zh-CN" w:bidi="ar-SA"/>
        </w:rPr>
        <w:t>采购内容及</w:t>
      </w:r>
      <w:r>
        <w:rPr>
          <w:rFonts w:hint="eastAsia" w:ascii="Times New Roman" w:hAnsi="Times New Roman" w:eastAsia="宋体" w:cs="Times New Roman"/>
          <w:sz w:val="24"/>
          <w:szCs w:val="24"/>
          <w:lang w:bidi="ar-SA"/>
        </w:rPr>
        <w:t>技术</w:t>
      </w:r>
      <w:r>
        <w:rPr>
          <w:rFonts w:hint="eastAsia" w:ascii="Times New Roman" w:hAnsi="Times New Roman" w:eastAsia="宋体" w:cs="Times New Roman"/>
          <w:sz w:val="24"/>
          <w:szCs w:val="24"/>
          <w:lang w:eastAsia="zh-CN" w:bidi="ar-SA"/>
        </w:rPr>
        <w:t>参数</w:t>
      </w:r>
      <w:r>
        <w:rPr>
          <w:rFonts w:hint="eastAsia" w:ascii="Times New Roman" w:hAnsi="Times New Roman" w:eastAsia="宋体" w:cs="Times New Roman"/>
          <w:sz w:val="24"/>
          <w:szCs w:val="24"/>
          <w:lang w:bidi="ar-SA"/>
        </w:rPr>
        <w:t>要求等内容。</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20.3 有下列情形之一的，其磋商响应文件将会被拒绝：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（1）供应商未提交磋商承诺函；</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（2）磋商报价超过竞争性磋商文件规定的预算金额的；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（3）以他人的名义磋商、串通磋商、以行贿手段谋取成交或者以其他弄虚作假方式磋商的；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（4）采取不正当手段谋取成交的。</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1" w:name="_Toc31948_WPSOffice_Level3"/>
      <w:r>
        <w:rPr>
          <w:rFonts w:hint="eastAsia" w:ascii="Times New Roman" w:hAnsi="Times New Roman" w:eastAsia="宋体" w:cs="Times New Roman"/>
          <w:b/>
          <w:bCs/>
          <w:sz w:val="24"/>
          <w:szCs w:val="24"/>
          <w:lang w:bidi="ar-SA"/>
        </w:rPr>
        <w:t>21、对供应商的评价</w:t>
      </w:r>
      <w:bookmarkEnd w:id="20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21.1磋商小组只对已判定为实质性响应且通过资格审查的磋商响应文件进行详细评价和比较。</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21.2磋商小组所有成员应当集中与单一供应商分别进行磋商，并给予所有参加磋商的供应商平等的磋商机会。磋商完成后，要求其在规定时间内提交最后报价，提交最后报价的供应商不少于3家。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21.3经磋商确定最终采购需求和提交最后报价的供应商后，磋商小组采用综合评分法对提交最后报价的供应商的磋商响应文件和最后报价进行综合评分。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21.4磋商小组根据综合评分情况，按评审得分由高到低的顺序确定</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21.5如果第一名供应商放弃成交资格或因不可抗力提出不能履行合同的，采购人将依序确定排名第二名的供应商为成交供应商，也可以重新开展政府采购活动。</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2" w:name="_Toc27346_WPSOffice_Level3"/>
      <w:r>
        <w:rPr>
          <w:rFonts w:hint="eastAsia" w:ascii="Times New Roman" w:hAnsi="Times New Roman" w:eastAsia="宋体" w:cs="Times New Roman"/>
          <w:b/>
          <w:bCs/>
          <w:sz w:val="24"/>
          <w:szCs w:val="24"/>
          <w:lang w:bidi="ar-SA"/>
        </w:rPr>
        <w:t>22、磋商响应文件的澄清</w:t>
      </w:r>
      <w:bookmarkEnd w:id="20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22.1为了有助于对磋商响应文件进行审查、评估和比较，磋商小组有权向供应商质疑。请供应商澄清其磋商内容。供应商有责任按照磋商小组通知的时间、地点、方式指派委托代理人进行答疑和澄清。</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22.2重要澄清的答复应是书面的，并由法定代表人或其委托代理人签字。</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22.3供应商的澄清文件是磋商响应文件的组成部分，并取代磋商响应文件中被澄清的部分。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22.4磋商响应文件澄清部分不得对磋商内容进行实质性修改。</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3" w:name="_Toc10070_WPSOffice_Level3"/>
      <w:r>
        <w:rPr>
          <w:rFonts w:hint="eastAsia" w:ascii="Times New Roman" w:hAnsi="Times New Roman" w:eastAsia="宋体" w:cs="Times New Roman"/>
          <w:b/>
          <w:bCs/>
          <w:sz w:val="24"/>
          <w:szCs w:val="24"/>
          <w:lang w:bidi="ar-SA"/>
        </w:rPr>
        <w:t>23、磋商原则和方法</w:t>
      </w:r>
      <w:bookmarkEnd w:id="203"/>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23.1坚持公开、公平、公正的原则。</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23.2磋商小组应当集中与单一供应商分别进行磋商，磋商小组将遵照磋商原则，公正、平等地对待所有供应商。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23.3评审方法</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23.3.1初步评审（是否响应竞争性磋商文件的要求），确定合格的供应商。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23.3.2公布各供应商报价；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23.3.3供应商依据各自情况进行最后报价。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经磋商确定最终采购需求和提交最后报价的供应商，有磋商小组采用综合评分法对提交最后报价的供应商的响应文件和最后报价进行综合评分。</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4" w:name="_Toc5813_WPSOffice_Level3"/>
      <w:r>
        <w:rPr>
          <w:rFonts w:hint="eastAsia" w:ascii="Times New Roman" w:hAnsi="Times New Roman" w:eastAsia="宋体" w:cs="Times New Roman"/>
          <w:b/>
          <w:bCs/>
          <w:sz w:val="24"/>
          <w:szCs w:val="24"/>
          <w:lang w:bidi="ar-SA"/>
        </w:rPr>
        <w:t>24、确定成交</w:t>
      </w:r>
      <w:bookmarkEnd w:id="204"/>
      <w:r>
        <w:rPr>
          <w:rFonts w:hint="eastAsia" w:ascii="Times New Roman" w:hAnsi="Times New Roman" w:eastAsia="宋体" w:cs="Times New Roman"/>
          <w:b/>
          <w:bCs/>
          <w:sz w:val="24"/>
          <w:szCs w:val="24"/>
          <w:lang w:bidi="ar-SA"/>
        </w:rPr>
        <w:t>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24.1 磋商小组应当根据综合评分情况，按照评审</w:t>
      </w:r>
      <w:r>
        <w:rPr>
          <w:rFonts w:hint="eastAsia" w:ascii="Times New Roman" w:hAnsi="Times New Roman" w:eastAsia="宋体" w:cs="Times New Roman"/>
          <w:sz w:val="24"/>
          <w:szCs w:val="24"/>
          <w:lang w:val="en-US" w:eastAsia="zh-CN" w:bidi="ar-SA"/>
        </w:rPr>
        <w:t>由</w:t>
      </w:r>
      <w:r>
        <w:rPr>
          <w:rFonts w:hint="eastAsia" w:ascii="Times New Roman" w:hAnsi="Times New Roman" w:eastAsia="宋体" w:cs="Times New Roman"/>
          <w:sz w:val="24"/>
          <w:szCs w:val="24"/>
          <w:lang w:bidi="ar-SA"/>
        </w:rPr>
        <w:t>高到低的顺序推荐</w:t>
      </w:r>
      <w:r>
        <w:rPr>
          <w:rFonts w:hint="eastAsia" w:ascii="Times New Roman" w:hAnsi="Times New Roman" w:eastAsia="宋体" w:cs="Times New Roman"/>
          <w:sz w:val="24"/>
          <w:szCs w:val="24"/>
          <w:lang w:val="en-US" w:eastAsia="zh-CN" w:bidi="ar-SA"/>
        </w:rPr>
        <w:t>3名</w:t>
      </w:r>
      <w:r>
        <w:rPr>
          <w:rFonts w:hint="eastAsia" w:ascii="Times New Roman" w:hAnsi="Times New Roman" w:eastAsia="宋体" w:cs="Times New Roman"/>
          <w:sz w:val="24"/>
          <w:szCs w:val="24"/>
          <w:lang w:bidi="ar-SA"/>
        </w:rPr>
        <w:t>成交候选</w:t>
      </w:r>
      <w:r>
        <w:rPr>
          <w:rFonts w:hint="eastAsia" w:ascii="Times New Roman" w:hAnsi="Times New Roman" w:eastAsia="宋体" w:cs="Times New Roman"/>
          <w:sz w:val="24"/>
          <w:szCs w:val="24"/>
          <w:lang w:eastAsia="zh-CN" w:bidi="ar-SA"/>
        </w:rPr>
        <w:t>人</w:t>
      </w:r>
      <w:r>
        <w:rPr>
          <w:rFonts w:hint="eastAsia" w:ascii="Times New Roman" w:hAnsi="Times New Roman" w:eastAsia="宋体" w:cs="Times New Roman"/>
          <w:sz w:val="24"/>
          <w:szCs w:val="24"/>
          <w:lang w:bidi="ar-SA"/>
        </w:rPr>
        <w:t>，并向采购人提供书面评审报告，</w:t>
      </w:r>
      <w:r>
        <w:rPr>
          <w:rFonts w:hint="eastAsia" w:ascii="Times New Roman" w:hAnsi="Times New Roman" w:eastAsia="宋体" w:cs="Times New Roman"/>
          <w:sz w:val="24"/>
          <w:szCs w:val="24"/>
          <w:lang w:val="en-US" w:eastAsia="zh-CN" w:bidi="ar-SA"/>
        </w:rPr>
        <w:t>由采购人确定排名第一的为成交供应商</w:t>
      </w:r>
      <w:r>
        <w:rPr>
          <w:rFonts w:hint="eastAsia" w:ascii="Times New Roman" w:hAnsi="Times New Roman" w:eastAsia="宋体" w:cs="Times New Roman"/>
          <w:sz w:val="24"/>
          <w:szCs w:val="24"/>
          <w:lang w:eastAsia="zh-CN" w:bidi="ar-SA"/>
        </w:rPr>
        <w:t>，采购人及采购代理机构在政府采购项目评审结束之日当天完成评标报告的报送、中标（成交）供应商的确定、中标（成交）公告发布及中标（成交）通知书的发出等。</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sz w:val="24"/>
          <w:szCs w:val="24"/>
          <w:lang w:bidi="ar-SA"/>
        </w:rPr>
      </w:pPr>
      <w:bookmarkStart w:id="205" w:name="_Toc28609_WPSOffice_Level3"/>
      <w:r>
        <w:rPr>
          <w:rFonts w:hint="eastAsia" w:ascii="Times New Roman" w:hAnsi="Times New Roman" w:eastAsia="宋体" w:cs="Times New Roman"/>
          <w:b/>
          <w:bCs/>
          <w:sz w:val="24"/>
          <w:szCs w:val="24"/>
          <w:lang w:bidi="ar-SA"/>
        </w:rPr>
        <w:t>25、保密及其它注意事项</w:t>
      </w:r>
      <w:bookmarkEnd w:id="205"/>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25.1评审工作是磋商工作的重要环节，评审工作在磋商小组内独立进行。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25.2</w:t>
      </w:r>
      <w:r>
        <w:rPr>
          <w:rFonts w:hint="eastAsia" w:ascii="Times New Roman" w:hAnsi="Times New Roman" w:eastAsia="宋体" w:cs="Times New Roman"/>
          <w:sz w:val="24"/>
          <w:szCs w:val="24"/>
          <w:lang w:eastAsia="zh-CN" w:bidi="ar-SA"/>
        </w:rPr>
        <w:t>评审期</w:t>
      </w:r>
      <w:r>
        <w:rPr>
          <w:rFonts w:hint="eastAsia" w:ascii="Times New Roman" w:hAnsi="Times New Roman" w:eastAsia="宋体" w:cs="Times New Roman"/>
          <w:sz w:val="24"/>
          <w:szCs w:val="24"/>
          <w:lang w:bidi="ar-SA"/>
        </w:rPr>
        <w:t>间，供应商不得向磋商小组成员询问评审情况，不得进行影响评审结果的活动。否则其响应将会被拒绝。</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25.3</w:t>
      </w:r>
      <w:r>
        <w:rPr>
          <w:rFonts w:hint="eastAsia" w:ascii="Times New Roman" w:hAnsi="Times New Roman" w:eastAsia="宋体" w:cs="Times New Roman"/>
          <w:sz w:val="24"/>
          <w:szCs w:val="24"/>
          <w:lang w:eastAsia="zh-CN" w:bidi="ar-SA"/>
        </w:rPr>
        <w:t>评</w:t>
      </w:r>
      <w:r>
        <w:rPr>
          <w:rFonts w:hint="eastAsia" w:ascii="Times New Roman" w:hAnsi="Times New Roman" w:eastAsia="宋体" w:cs="Times New Roman"/>
          <w:sz w:val="24"/>
          <w:szCs w:val="24"/>
          <w:lang w:bidi="ar-SA"/>
        </w:rPr>
        <w:t>审的公正性，磋商开始后直至授予成交供应商合同，磋商小组成员不得与供应商私下交换意见。</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25.4</w:t>
      </w:r>
      <w:r>
        <w:rPr>
          <w:rFonts w:hint="eastAsia" w:ascii="Times New Roman" w:hAnsi="Times New Roman" w:eastAsia="宋体" w:cs="Times New Roman"/>
          <w:sz w:val="24"/>
          <w:szCs w:val="24"/>
          <w:lang w:eastAsia="zh-CN" w:bidi="ar-SA"/>
        </w:rPr>
        <w:t>评审工</w:t>
      </w:r>
      <w:r>
        <w:rPr>
          <w:rFonts w:hint="eastAsia" w:ascii="Times New Roman" w:hAnsi="Times New Roman" w:eastAsia="宋体" w:cs="Times New Roman"/>
          <w:sz w:val="24"/>
          <w:szCs w:val="24"/>
          <w:lang w:bidi="ar-SA"/>
        </w:rPr>
        <w:t>作结束后，凡与评审情况有接触的任何人不得擅自将评审情况扩散出评审人员之外。</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6" w:name="_Toc27984_WPSOffice_Level3"/>
      <w:r>
        <w:rPr>
          <w:rFonts w:hint="eastAsia" w:ascii="Times New Roman" w:hAnsi="Times New Roman" w:eastAsia="宋体" w:cs="Times New Roman"/>
          <w:b/>
          <w:bCs/>
          <w:sz w:val="24"/>
          <w:szCs w:val="24"/>
          <w:lang w:bidi="ar-SA"/>
        </w:rPr>
        <w:t>26、成交通知</w:t>
      </w:r>
      <w:bookmarkEnd w:id="206"/>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26.1成交供应商确定后，采购人向成交供应商签发《成交通知书》，并将成交结果通知所有未成交的供应商。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26.2《成交通知书》作为签订合同的依据，对采购人和成交供应商均具有法律效力，成交通知书发出后，采购人改变成交结果或者成交供应商放弃项目，应依法承担法律责任。</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7" w:name="_Toc8188_WPSOffice_Level3"/>
      <w:r>
        <w:rPr>
          <w:rFonts w:hint="eastAsia" w:ascii="Times New Roman" w:hAnsi="Times New Roman" w:eastAsia="宋体" w:cs="Times New Roman"/>
          <w:b/>
          <w:bCs/>
          <w:sz w:val="24"/>
          <w:szCs w:val="24"/>
          <w:lang w:bidi="ar-SA"/>
        </w:rPr>
        <w:t>27、授予合同时变更数量的权力</w:t>
      </w:r>
      <w:bookmarkEnd w:id="207"/>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27.1 采购人在授予合同时，保留对服务内容予以适当增减的权利。成交供应商不得在此情况下对磋商响应文件做出修改，如价格、服务承诺等。</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8" w:name="_Toc30112_WPSOffice_Level3"/>
      <w:r>
        <w:rPr>
          <w:rFonts w:hint="eastAsia" w:ascii="Times New Roman" w:hAnsi="Times New Roman" w:eastAsia="宋体" w:cs="Times New Roman"/>
          <w:b/>
          <w:bCs/>
          <w:sz w:val="24"/>
          <w:szCs w:val="24"/>
          <w:lang w:bidi="ar-SA"/>
        </w:rPr>
        <w:t>28、签订合同</w:t>
      </w:r>
      <w:bookmarkEnd w:id="208"/>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28.1成交供应商接到《成交通知书》后</w:t>
      </w:r>
      <w:r>
        <w:rPr>
          <w:rFonts w:hint="eastAsia" w:ascii="Times New Roman" w:hAnsi="Times New Roman" w:eastAsia="宋体" w:cs="Times New Roman"/>
          <w:sz w:val="24"/>
          <w:szCs w:val="24"/>
          <w:lang w:val="en-US" w:eastAsia="zh-CN" w:bidi="ar-SA"/>
        </w:rPr>
        <w:t>1个工作</w:t>
      </w:r>
      <w:r>
        <w:rPr>
          <w:rFonts w:hint="eastAsia" w:ascii="Times New Roman" w:hAnsi="Times New Roman" w:eastAsia="宋体" w:cs="Times New Roman"/>
          <w:sz w:val="24"/>
          <w:szCs w:val="24"/>
          <w:lang w:bidi="ar-SA"/>
        </w:rPr>
        <w:t>日内按指定地点与采购人签订采购合同；</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eastAsia="zh-CN" w:bidi="ar-SA"/>
        </w:rPr>
      </w:pPr>
      <w:r>
        <w:rPr>
          <w:rFonts w:hint="eastAsia" w:ascii="Times New Roman" w:hAnsi="Times New Roman" w:eastAsia="宋体" w:cs="Times New Roman"/>
          <w:sz w:val="24"/>
          <w:szCs w:val="24"/>
          <w:lang w:bidi="ar-SA"/>
        </w:rPr>
        <w:t>采购人应当在合同签订后</w:t>
      </w:r>
      <w:r>
        <w:rPr>
          <w:rFonts w:hint="eastAsia" w:ascii="Times New Roman" w:hAnsi="Times New Roman" w:eastAsia="宋体" w:cs="Times New Roman"/>
          <w:sz w:val="24"/>
          <w:szCs w:val="24"/>
          <w:lang w:val="en-US" w:eastAsia="zh-CN" w:bidi="ar-SA"/>
        </w:rPr>
        <w:t>1</w:t>
      </w:r>
      <w:r>
        <w:rPr>
          <w:rFonts w:hint="eastAsia" w:ascii="Times New Roman" w:hAnsi="Times New Roman" w:eastAsia="宋体" w:cs="Times New Roman"/>
          <w:sz w:val="24"/>
          <w:szCs w:val="24"/>
          <w:lang w:bidi="ar-SA"/>
        </w:rPr>
        <w:t>个工作日内</w:t>
      </w:r>
      <w:r>
        <w:rPr>
          <w:rFonts w:hint="eastAsia" w:ascii="Times New Roman" w:hAnsi="Times New Roman" w:eastAsia="宋体" w:cs="Times New Roman"/>
          <w:sz w:val="24"/>
          <w:szCs w:val="24"/>
          <w:lang w:eastAsia="zh-CN" w:bidi="ar-SA"/>
        </w:rPr>
        <w:t>在河南政府采购网公示采购合同</w:t>
      </w:r>
      <w:r>
        <w:rPr>
          <w:rFonts w:hint="eastAsia" w:ascii="Times New Roman" w:hAnsi="Times New Roman" w:eastAsia="宋体" w:cs="Times New Roman"/>
          <w:sz w:val="24"/>
          <w:szCs w:val="24"/>
          <w:lang w:bidi="ar-SA"/>
        </w:rPr>
        <w:t>，</w:t>
      </w:r>
      <w:r>
        <w:rPr>
          <w:rFonts w:hint="eastAsia" w:ascii="Times New Roman" w:hAnsi="Times New Roman" w:eastAsia="宋体" w:cs="Times New Roman"/>
          <w:sz w:val="24"/>
          <w:szCs w:val="24"/>
          <w:lang w:eastAsia="zh-CN" w:bidi="ar-SA"/>
        </w:rPr>
        <w:t>并完成合同</w:t>
      </w:r>
      <w:r>
        <w:rPr>
          <w:rFonts w:hint="eastAsia" w:ascii="Times New Roman" w:hAnsi="Times New Roman" w:eastAsia="宋体" w:cs="Times New Roman"/>
          <w:sz w:val="24"/>
          <w:szCs w:val="24"/>
          <w:lang w:bidi="ar-SA"/>
        </w:rPr>
        <w:t>备案</w:t>
      </w:r>
      <w:r>
        <w:rPr>
          <w:rFonts w:hint="eastAsia" w:ascii="Times New Roman" w:hAnsi="Times New Roman" w:eastAsia="宋体" w:cs="Times New Roman"/>
          <w:sz w:val="24"/>
          <w:szCs w:val="24"/>
          <w:lang w:eastAsia="zh-CN" w:bidi="ar-SA"/>
        </w:rPr>
        <w:t>。</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28.2采购人签发的成交通知书、竞争性磋商文件、成交供应商的磋商响应文件及其澄清文件等，均为签订合同的依据。</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28.3成交供应商如不按本供应商须知的规定与采购人订立合同，则采购人将废除授标，并做出相应的处罚，同时依法承担相应法律责任。</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28.4成交供应商需向采购代理机构支付代理服务费。</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09" w:name="_Toc7342_WPSOffice_Level3"/>
      <w:r>
        <w:rPr>
          <w:rFonts w:hint="eastAsia" w:ascii="Times New Roman" w:hAnsi="Times New Roman" w:eastAsia="宋体" w:cs="Times New Roman"/>
          <w:b/>
          <w:bCs/>
          <w:sz w:val="24"/>
          <w:szCs w:val="24"/>
          <w:lang w:bidi="ar-SA"/>
        </w:rPr>
        <w:t>29、特别注意事项</w:t>
      </w:r>
      <w:bookmarkEnd w:id="209"/>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29.1现下列情形之一的，磋商小组可取消其磋商资格：</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（1）未按磋商文件要求和规定提交实质性响应材料的；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（2）相互串通磋商的（有下列情形之一的，视为供应商相互串通磋商）；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A、不同供应商的响应文件由同一单位或者个人编制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B、不同供应商委托同一单位或者个人办理磋商事宜</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C、不同供应商的响应文件载明的项目管理成员为同一人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D、不同供应商的响应文件异常一致或者磋商报价呈规律性差异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E、不同供应商的磋商保证金从同一单位的账户转出</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29.2供应商出现下列情形之一的，将被视为非实质性响应磋商文件要求：</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（1）</w:t>
      </w:r>
      <w:r>
        <w:rPr>
          <w:rFonts w:hint="eastAsia" w:ascii="Times New Roman" w:hAnsi="Times New Roman" w:eastAsia="宋体" w:cs="Times New Roman"/>
          <w:sz w:val="24"/>
          <w:szCs w:val="24"/>
          <w:lang w:eastAsia="zh-CN" w:bidi="ar-SA"/>
        </w:rPr>
        <w:t>交货期</w:t>
      </w:r>
      <w:r>
        <w:rPr>
          <w:rFonts w:hint="eastAsia" w:ascii="Times New Roman" w:hAnsi="Times New Roman" w:eastAsia="宋体" w:cs="Times New Roman"/>
          <w:sz w:val="24"/>
          <w:szCs w:val="24"/>
          <w:lang w:bidi="ar-SA"/>
        </w:rPr>
        <w:t>不确切或不符合磋商文件要求的；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（2）最后报价有选择性的；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（3）最后报价超过采购预算金额的；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（4）被磋商小组认定存在重大负偏离的；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注：所谓重大负偏离是指供应商对磋商文件的响应在范围、质量、数量和</w:t>
      </w:r>
      <w:r>
        <w:rPr>
          <w:rFonts w:hint="eastAsia" w:ascii="Times New Roman" w:hAnsi="Times New Roman" w:eastAsia="宋体" w:cs="Times New Roman"/>
          <w:sz w:val="24"/>
          <w:szCs w:val="24"/>
          <w:lang w:eastAsia="zh-CN" w:bidi="ar-SA"/>
        </w:rPr>
        <w:t>交货期</w:t>
      </w:r>
      <w:r>
        <w:rPr>
          <w:rFonts w:hint="eastAsia" w:ascii="Times New Roman" w:hAnsi="Times New Roman" w:eastAsia="宋体" w:cs="Times New Roman"/>
          <w:sz w:val="24"/>
          <w:szCs w:val="24"/>
          <w:lang w:bidi="ar-SA"/>
        </w:rPr>
        <w:t>要求等方面明显不能满足采购需求的。重大负偏离的认定须经磋商小组三分之二以上同意。</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0" w:name="_Toc7366_WPSOffice_Level3"/>
      <w:r>
        <w:rPr>
          <w:rFonts w:hint="eastAsia" w:ascii="Times New Roman" w:hAnsi="Times New Roman" w:eastAsia="宋体" w:cs="Times New Roman"/>
          <w:b/>
          <w:bCs/>
          <w:sz w:val="24"/>
          <w:szCs w:val="24"/>
          <w:lang w:bidi="ar-SA"/>
        </w:rPr>
        <w:t>30、询问</w:t>
      </w:r>
      <w:bookmarkEnd w:id="210"/>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供应商对采购事项有疑问，可以按照《政府采购法》的相关规定向采购人或采购机构提出询问。</w:t>
      </w:r>
    </w:p>
    <w:p>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bidi="ar-SA"/>
        </w:rPr>
      </w:pPr>
      <w:bookmarkStart w:id="211" w:name="_Toc13604_WPSOffice_Level3"/>
      <w:r>
        <w:rPr>
          <w:rFonts w:hint="eastAsia" w:ascii="Times New Roman" w:hAnsi="Times New Roman" w:eastAsia="宋体" w:cs="Times New Roman"/>
          <w:b/>
          <w:bCs/>
          <w:sz w:val="24"/>
          <w:szCs w:val="24"/>
          <w:lang w:bidi="ar-SA"/>
        </w:rPr>
        <w:t>31、质疑程序及处理</w:t>
      </w:r>
      <w:bookmarkEnd w:id="211"/>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（一）对可以质疑的磋商文件提出质疑的，为收到磋商文件之日或者磋商文件公告期限届满之日；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（二）对采购过程提出质疑的，为各采购程序环节结束之日；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（三）对成交结果提出质疑的，为成交结果公告期限届满之日。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31.2质疑书应当包括下列主要内容，并按照“谁主张、谁举证”的原则，附上相关证明材料。否则，采购人不予受理：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（一）质疑供应商全称、地址、法定代表人、联系人及联系电话、邮政编码等；</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（二）被质疑采购项目的名称、编号；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（三）质疑的具体事项、明确的请求和主张；</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（四）质疑所依据的法律依据（具体条款）、具体事实和具体理由。质疑书依据理由部分只有主观陈述、推理、猜测等，而没有提供客观事实依据、法律依据的；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（六）充足有效的相关证明材料；如果涉及到产品功能或技术指标的，应出具相关制造商的证明文件；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（七）质疑材料中有外文资料的，应一并附上中文译本，并以中文译本为准。</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（八）提起质疑的日期</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31.3供应商委托代理人办理质疑事宜，应当提交授权委托书，并载明委托代理的具体权限和事项。授权委托书应当由委托人签字并加盖单位公章。</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31.6供应商不得虚假质疑和恶意质疑，并对质疑内容的真实性承担责任。供应商或者其他利害关系人通过捏造事实、伪造证明材料等方式提出异议或投诉，阻碍招磋商活动正常进行的，属于严重不良行为，采购人将提请财政部门将其列入不良行为记录名单，并依法予以处罚。</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pPr>
      <w:r>
        <w:rPr>
          <w:rFonts w:hint="eastAsia" w:ascii="Times New Roman" w:hAnsi="Times New Roman" w:eastAsia="宋体" w:cs="Times New Roman"/>
          <w:sz w:val="24"/>
          <w:szCs w:val="24"/>
          <w:lang w:bidi="ar-SA"/>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sz w:val="24"/>
          <w:szCs w:val="24"/>
          <w:lang w:bidi="ar-SA"/>
        </w:rPr>
        <w:sectPr>
          <w:footerReference r:id="rId4" w:type="default"/>
          <w:pgSz w:w="11910" w:h="16840"/>
          <w:pgMar w:top="1400" w:right="1020" w:bottom="900" w:left="1040" w:header="0" w:footer="640" w:gutter="0"/>
          <w:pgNumType w:fmt="decimal" w:start="1"/>
          <w:cols w:space="720" w:num="1"/>
          <w:docGrid w:linePitch="299" w:charSpace="0"/>
        </w:sectPr>
      </w:pPr>
      <w:r>
        <w:rPr>
          <w:rFonts w:hint="eastAsia" w:ascii="Times New Roman" w:hAnsi="Times New Roman" w:eastAsia="宋体" w:cs="Times New Roman"/>
          <w:sz w:val="24"/>
          <w:szCs w:val="24"/>
          <w:lang w:bidi="ar-SA"/>
        </w:rPr>
        <w:t>31.8质疑供应商对采购人的答复不满意以及采购人未在规定的时间内做出答复的， 可以在答复期满后15个工作日内向财政部门投诉</w:t>
      </w:r>
    </w:p>
    <w:p>
      <w:pPr>
        <w:pStyle w:val="2"/>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sz w:val="24"/>
          <w:szCs w:val="24"/>
        </w:rPr>
      </w:pPr>
      <w:bookmarkStart w:id="212" w:name="_Toc101344072"/>
      <w:bookmarkStart w:id="213" w:name="_Toc5936"/>
      <w:r>
        <w:rPr>
          <w:rFonts w:hint="eastAsia" w:ascii="宋体" w:hAnsi="宋体"/>
          <w:sz w:val="24"/>
          <w:szCs w:val="24"/>
        </w:rPr>
        <w:t>第三章</w:t>
      </w:r>
      <w:bookmarkStart w:id="214" w:name="_Toc27573769"/>
      <w:r>
        <w:rPr>
          <w:rFonts w:hint="eastAsia" w:ascii="宋体" w:hAnsi="宋体"/>
          <w:sz w:val="24"/>
          <w:szCs w:val="24"/>
        </w:rPr>
        <w:t xml:space="preserve"> 服务内容与</w:t>
      </w:r>
      <w:bookmarkEnd w:id="214"/>
      <w:r>
        <w:rPr>
          <w:rFonts w:hint="eastAsia" w:ascii="宋体" w:hAnsi="宋体"/>
          <w:sz w:val="24"/>
          <w:szCs w:val="24"/>
        </w:rPr>
        <w:t>相关要求</w:t>
      </w:r>
      <w:bookmarkEnd w:id="212"/>
      <w:bookmarkEnd w:id="213"/>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sz w:val="24"/>
          <w:szCs w:val="24"/>
        </w:rPr>
      </w:pPr>
      <w:bookmarkStart w:id="215" w:name="_Toc43652639"/>
      <w:bookmarkStart w:id="216" w:name="_Toc27662"/>
      <w:r>
        <w:rPr>
          <w:rFonts w:hint="eastAsia" w:ascii="宋体" w:hAnsi="宋体"/>
          <w:b/>
          <w:bCs/>
          <w:sz w:val="24"/>
          <w:szCs w:val="24"/>
        </w:rPr>
        <w:t>一.技术要求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szCs w:val="24"/>
        </w:rPr>
      </w:pPr>
      <w:r>
        <w:rPr>
          <w:rFonts w:hint="eastAsia" w:ascii="宋体" w:hAnsi="宋体"/>
          <w:sz w:val="24"/>
          <w:szCs w:val="24"/>
        </w:rPr>
        <w:t>1.总体要求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sz w:val="24"/>
          <w:szCs w:val="24"/>
        </w:rPr>
      </w:pPr>
      <w:r>
        <w:rPr>
          <w:rFonts w:hint="eastAsia" w:ascii="宋体" w:hAnsi="宋体"/>
          <w:sz w:val="24"/>
          <w:szCs w:val="24"/>
        </w:rPr>
        <w:t>成交供应商应承诺严格按照国家及河南省政府关于政府采购的有关法律法规及政策，规范操作，杜绝违法违规事件。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2.监督抽检品种、项目要求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成交标供应商应依据国家市场监督管理总局《国家食品安全监督抽检实施细则》、《食品安全抽样检验管理办法》、《食品农产品抽样检验和核查处置规定》及有关食品安全标准，承担食品的标签检测、性状检验、理化检验、微生物检测、农药检测、兽药检测、重金属检测、营养指标检测等任务（具体品种和批次见附表）。如涉及相关科室、直属机构检测品种、项目有其他具体要求的，按照相关科室、直属机构要求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蔬菜、水果应选择以本地生产的、时令季节的蔬菜、水果。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3.抽检费用要求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抽样检测费用按实际批次和检验项目结算，购买样品费用和抽样产生费用包含在检测项目费用里，费用由承检方先行垫付，待检验和复检工作全部完成后，承检方须向委托方汇总检测经费，问委托方提供合法、真实有效的检验费用标准，经委托方认可后，按中标价格进行结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4.单位场地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1）有满足检测工作需要的、独立的、固定的检测场地。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2）具有格局合理的微生物检验区和理化检验区；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抽检工作满足24小时抽样并能保证检验样品能在最科学合理的时间内送到实验室的措施和技术力量，确保检验样品在运输过程中不会受到污染的措施和技术力量，确保检测数据真实有效、科学客观的措施和技术力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5.设备配备情况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1）具有满足检测的仪器设备。有满足检测需求的气相色谱、液相色谱、质谱仪、原子吸收分光光度计、原子荧光分光光度计等。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2）实验室食品检测仪器设备充足，能满足检测需要；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6.应急抽检快速反应能力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成交供应商必需保证接到招标人应急抽检要求后，6小时内到达指定地点开展应急抽检工作。</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宋体" w:hAnsi="宋体"/>
          <w:b/>
          <w:sz w:val="24"/>
          <w:szCs w:val="24"/>
        </w:rPr>
      </w:pPr>
      <w:r>
        <w:rPr>
          <w:rFonts w:hint="eastAsia" w:ascii="宋体" w:hAnsi="宋体"/>
          <w:b/>
          <w:sz w:val="24"/>
          <w:szCs w:val="24"/>
        </w:rPr>
        <w:t>二、管理要求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各成交供应商应接受卢氏县市场监督管理局的各项规定，切实享受各项权利，严格履行承诺的义务，依法依规做好项目服务，并接受以下各项管理要求：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一）成交供应商确定后，根据自愿的原则由采购方相关科室（直属单位）与成交供应商达成委托意向，由县局与成交供应商签订委托协议书。本文件未尽事宜，由采购方与成交供应商协商后在协议书中进一步明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（二）成交供应商应严格按照有关法律法规规定依法组织抽样、检验、产品贮藏、留样及检验报告送达等工作；应遵守统一服务承诺，做好各项服务工作，认真履行义务。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（三）在服务期内，成交供应商必须接受卢氏县政府食安办、市场监督管理局及相关科室的管理，项目完成后，成交供应商完成一份高质量的食品安全质量分析报告。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（四）业务建档制度：成交供应商须针对卢氏县市场监督管理局食品检测业务建立单独的业务档案资料。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（五）投诉制度：卢氏县市场监督管理局及相关科室有权对检测机构监督投诉。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（六）违规处理：采购人可就成交供应商是否规范执行相关法律法规等方面进行监督检查，如发现违规情况，根据具体情况分别采取警告、暂停抽检计划、取消资格等措施。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具体如下：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未按照规定要求开展抽样、检验、产品贮藏、留样及检验报告送达，未按照规定时间和要求上报抽检结果（包括检测报告、汇总表及质量分析报告）的，发现1次给予警告，2次暂停下一期抽检任务，3次取消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2.针对中途放弃或恶意中标的承检单位，暂停该承检单位的抽检任务；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3.响应文件中存在虚报、错报、骗取检测资质行为的，直接取消抽检资格。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4.其他未明确的违规行为，根据具体情况酌情处理。</w:t>
      </w:r>
    </w:p>
    <w:p>
      <w:pPr>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sz w:val="24"/>
          <w:lang w:val="en-US" w:eastAsia="zh-CN"/>
        </w:rPr>
        <w:sectPr>
          <w:footerReference r:id="rId5" w:type="default"/>
          <w:pgSz w:w="11906" w:h="16838"/>
          <w:pgMar w:top="1418" w:right="1588" w:bottom="1418" w:left="1588" w:header="851" w:footer="992" w:gutter="0"/>
          <w:pgNumType w:fmt="decimal"/>
          <w:cols w:space="720" w:num="1"/>
          <w:docGrid w:linePitch="334" w:charSpace="808"/>
        </w:sectPr>
      </w:pPr>
    </w:p>
    <w:p>
      <w:pPr>
        <w:autoSpaceDE w:val="0"/>
        <w:autoSpaceDN w:val="0"/>
        <w:adjustRightInd w:val="0"/>
        <w:spacing w:line="360" w:lineRule="auto"/>
        <w:jc w:val="left"/>
        <w:rPr>
          <w:rFonts w:hint="eastAsia" w:ascii="宋体" w:hAnsi="宋体" w:cs="Courier New"/>
          <w:b/>
          <w:bCs/>
          <w:sz w:val="24"/>
        </w:rPr>
      </w:pPr>
      <w:r>
        <w:rPr>
          <w:rFonts w:hint="eastAsia" w:ascii="宋体" w:hAnsi="宋体"/>
          <w:b/>
          <w:bCs/>
          <w:sz w:val="24"/>
        </w:rPr>
        <w:t>三、</w:t>
      </w:r>
      <w:r>
        <w:rPr>
          <w:rFonts w:hint="eastAsia" w:ascii="宋体" w:hAnsi="宋体" w:cs="Courier New"/>
          <w:b/>
          <w:bCs/>
          <w:sz w:val="24"/>
        </w:rPr>
        <w:t>服务项目明细</w:t>
      </w:r>
    </w:p>
    <w:p>
      <w:pPr>
        <w:tabs>
          <w:tab w:val="left" w:pos="697"/>
        </w:tabs>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bCs/>
          <w:sz w:val="44"/>
          <w:szCs w:val="44"/>
          <w:lang w:eastAsia="zh-CN"/>
        </w:rPr>
        <w:t>卢氏县2024年县级食品安全抽检监测任务表（一标段）</w:t>
      </w:r>
    </w:p>
    <w:tbl>
      <w:tblPr>
        <w:tblStyle w:val="15"/>
        <w:tblW w:w="1375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325"/>
        <w:gridCol w:w="1764"/>
        <w:gridCol w:w="840"/>
        <w:gridCol w:w="7392"/>
        <w:gridCol w:w="96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食品大类</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食品小类</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风险等级</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批次</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镉（以Cd计）、苯并[a]芘、玉米赤霉烯酮、脱氧雪腐镰刀菌烯醇、赭曲霉毒素A、黄曲霉毒素B</w:t>
            </w:r>
            <w:r>
              <w:rPr>
                <w:rStyle w:val="20"/>
                <w:rFonts w:hint="eastAsia" w:ascii="宋体" w:hAnsi="宋体" w:eastAsia="宋体" w:cs="宋体"/>
                <w:sz w:val="20"/>
                <w:szCs w:val="20"/>
                <w:lang w:val="en-US" w:eastAsia="zh-CN" w:bidi="ar"/>
              </w:rPr>
              <w:t>1</w:t>
            </w:r>
            <w:r>
              <w:rPr>
                <w:rStyle w:val="19"/>
                <w:rFonts w:hint="eastAsia" w:ascii="宋体" w:hAnsi="宋体" w:eastAsia="宋体" w:cs="宋体"/>
                <w:sz w:val="20"/>
                <w:szCs w:val="20"/>
                <w:lang w:val="en-US" w:eastAsia="zh-CN" w:bidi="ar"/>
              </w:rPr>
              <w:t>、过氧化苯甲酰</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铅（以Pb计）、镉（以Cd计）、黄曲霉毒素B</w:t>
            </w:r>
            <w:r>
              <w:rPr>
                <w:rStyle w:val="20"/>
                <w:rFonts w:hint="eastAsia" w:ascii="宋体" w:hAnsi="宋体" w:eastAsia="宋体" w:cs="宋体"/>
                <w:sz w:val="20"/>
                <w:szCs w:val="20"/>
                <w:lang w:val="en-US" w:eastAsia="zh-CN" w:bidi="ar"/>
              </w:rPr>
              <w:t>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玉米粉、玉米片、玉米渣</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黄曲霉毒素B</w:t>
            </w:r>
            <w:r>
              <w:rPr>
                <w:rStyle w:val="20"/>
                <w:rFonts w:hint="eastAsia" w:ascii="宋体" w:hAnsi="宋体" w:eastAsia="宋体" w:cs="宋体"/>
                <w:sz w:val="20"/>
                <w:szCs w:val="20"/>
                <w:lang w:val="en-US" w:eastAsia="zh-CN" w:bidi="ar"/>
              </w:rPr>
              <w:t>1</w:t>
            </w:r>
            <w:r>
              <w:rPr>
                <w:rStyle w:val="19"/>
                <w:rFonts w:hint="eastAsia" w:ascii="宋体" w:hAnsi="宋体" w:eastAsia="宋体" w:cs="宋体"/>
                <w:sz w:val="20"/>
                <w:szCs w:val="20"/>
                <w:lang w:val="en-US" w:eastAsia="zh-CN" w:bidi="ar"/>
              </w:rPr>
              <w:t>、赭曲霉毒素A、玉米赤霉烯酮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其他粮食加工品（米粉）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苯甲酸及其钠盐（以苯甲酸计）、山梨酸及其钾盐（以山梨酸计）、脱氢乙酸及其钠盐（以脱氢乙酸计）、二氧化硫残留量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酸值/酸价、过氧化值、黄曲霉毒素B1、苯并［a］芘、 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酸值/酸价、过氧化值、苯并［a］芘、 溶剂残留量 、乙基麦芽酚</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 （以Pb 计）、苯并［a］芘、 溶剂残留量、特丁基对苯二酚（TBHQ）、乙基麦芽酚</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酸价/酸价、过氧化值、苯并［a］ 芘、溶剂残留量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5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氨基酸态氮、全氮、</w:t>
            </w:r>
            <w:r>
              <w:rPr>
                <w:rStyle w:val="19"/>
                <w:rFonts w:hint="eastAsia" w:ascii="宋体" w:hAnsi="宋体" w:eastAsia="宋体" w:cs="宋体"/>
                <w:sz w:val="20"/>
                <w:szCs w:val="20"/>
                <w:lang w:val="en-US" w:eastAsia="zh-CN" w:bidi="ar"/>
              </w:rPr>
              <w:t>苯甲酸及其钠盐（以苯甲酸计）、山梨酸及其钾盐（以山梨酸计）、脱氢乙酸及其钠盐（以脱氢乙酸计）、</w:t>
            </w:r>
            <w:r>
              <w:rPr>
                <w:rStyle w:val="21"/>
                <w:rFonts w:hint="eastAsia" w:ascii="宋体" w:hAnsi="宋体" w:eastAsia="宋体" w:cs="宋体"/>
                <w:sz w:val="20"/>
                <w:szCs w:val="20"/>
                <w:lang w:val="en-US" w:eastAsia="zh-CN" w:bidi="ar"/>
              </w:rPr>
              <w:t>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总酸、不挥发酸（以乳酸计）、</w:t>
            </w:r>
            <w:r>
              <w:rPr>
                <w:rStyle w:val="19"/>
                <w:rFonts w:hint="eastAsia" w:ascii="宋体" w:hAnsi="宋体" w:eastAsia="宋体" w:cs="宋体"/>
                <w:sz w:val="20"/>
                <w:szCs w:val="20"/>
                <w:lang w:val="en-US" w:eastAsia="zh-CN" w:bidi="ar"/>
              </w:rPr>
              <w:t>苯甲酸及其钠盐（以苯甲酸计）、山梨酸及其钾盐（以山梨酸计）、脱氢乙酸及其钠盐（以脱氢乙酸计）、</w:t>
            </w:r>
            <w:r>
              <w:rPr>
                <w:rStyle w:val="21"/>
                <w:rFonts w:hint="eastAsia" w:ascii="宋体" w:hAnsi="宋体" w:eastAsia="宋体" w:cs="宋体"/>
                <w:sz w:val="20"/>
                <w:szCs w:val="20"/>
                <w:lang w:val="en-US" w:eastAsia="zh-CN" w:bidi="ar"/>
              </w:rPr>
              <w:t>菌落总数</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半固体复合调味料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铅（以Pb计）、苯甲酸及其钠盐（以苯甲酸计）、山梨酸及其钾盐（以山梨酸计）、罂粟碱、吗啡、可待因、那可丁、罗丹明B </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钡（以Ba计）、碘（以I计）、铅（以Pb计）、总砷（以As计）、镉（以Cd计）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预制肉制品（腌腊肉制品）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过氧化值（以脂肪计）、铅（以Pb计）、总砷（以As计）、亚硝酸盐（以亚硝酸钠计）、苯甲酸及其钠盐（以苯甲酸计）、山梨酸及其钾盐（以山梨酸计）、</w:t>
            </w:r>
            <w:r>
              <w:rPr>
                <w:rStyle w:val="21"/>
                <w:rFonts w:hint="eastAsia" w:ascii="宋体" w:hAnsi="宋体" w:eastAsia="宋体" w:cs="宋体"/>
                <w:sz w:val="20"/>
                <w:szCs w:val="20"/>
                <w:lang w:val="en-US" w:eastAsia="zh-CN" w:bidi="ar"/>
              </w:rPr>
              <w:t>合成着色剂（胭脂红、诱惑红、苋菜红、酸性红）、氯霉素</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熟肉制品（酱卤肉制品）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铬（以Cr计）、亚硝酸盐（以亚硝酸钠计）、苯甲酸及其钠盐（以苯甲酸计）、山梨酸及其钾盐（以山梨酸计）、脱氢乙酸及其钠盐（以脱氢乙酸计）、防腐剂混合使用时各自用量占其最大使用量的比例之和、菌落总数、大肠菌群、沙门氏菌、金黄色葡萄球菌、致泻大肠埃希氏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巴氏杀菌乳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蛋白质、酸度、三聚氰胺、沙门氏菌、金黄色葡萄球菌、菌落总数、大肠菌群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蛋白质、酸度、脂肪、三聚氰胺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发酵乳</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脂肪、蛋白质、酸度、乳酸菌数、山梨酸及其钾盐、三聚氰胺、金黄色葡萄球菌、沙门氏菌、大肠菌群、霉菌、酵母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 料</w:t>
            </w:r>
          </w:p>
        </w:tc>
        <w:tc>
          <w:tcPr>
            <w:tcW w:w="176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包装饮用水（饮用纯净水）</w:t>
            </w:r>
          </w:p>
        </w:tc>
        <w:tc>
          <w:tcPr>
            <w:tcW w:w="84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电导率、耗氧量（以O2计）、铅（以Pb计）、总砷（以As计）、镉（以Cd计）、亚硝酸盐（以NO2-计）、余氯（游离氯）、溴酸盐、三氯甲烷、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蛋白饮料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蛋白质、</w:t>
            </w:r>
            <w:r>
              <w:rPr>
                <w:rStyle w:val="21"/>
                <w:rFonts w:hint="eastAsia" w:ascii="宋体" w:hAnsi="宋体" w:eastAsia="宋体" w:cs="宋体"/>
                <w:sz w:val="20"/>
                <w:szCs w:val="20"/>
                <w:lang w:val="en-US" w:eastAsia="zh-CN" w:bidi="ar"/>
              </w:rPr>
              <w:t>苯甲酸及其钠盐（以苯甲酸计）、山梨酸及其钾盐（以山梨酸计）、脱氢乙酸及其钠盐（以脱氢乙酸计）、防腐剂混合使用时各自用量占其最大使用量的比例之和、大肠菌群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碳酸饮料（汽水）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二氧化碳气容量、</w:t>
            </w:r>
            <w:r>
              <w:rPr>
                <w:rStyle w:val="21"/>
                <w:rFonts w:hint="eastAsia" w:ascii="宋体" w:hAnsi="宋体" w:eastAsia="宋体" w:cs="宋体"/>
                <w:sz w:val="20"/>
                <w:szCs w:val="20"/>
                <w:lang w:val="en-US" w:eastAsia="zh-CN" w:bidi="ar"/>
              </w:rPr>
              <w:t>苯甲酸及其钠盐（以苯甲酸计）、山梨酸及其钾盐（以山梨酸计）、防腐剂混合使用时各自用量占其最大使用量的比例之和、甜蜜素（以环己基氨基磺酸计）、阿斯巴甜、霉菌、菌落总数、酵母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果蔬汁及其他饮料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甜蜜素（以环己基氨基磺酸计）、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酸价（以脂肪计）、过氧化值（以脂肪计）、菌落总数、大肠菌群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调味面制品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价（以脂肪计）、过氧化值（以脂肪计）、糖精钠（以糖精计）、苯甲酸及其钠盐（以苯甲酸计）、山梨酸及其钾盐（以山梨酸计）、脱氢乙酸及其钠盐（以脱氢乙酸计）、二氧化硫残留量、菌落总数、大肠菌群、霉菌、沙门氏菌、金黄色葡萄球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 头</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水果罐头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铅、合成着色剂（柠檬黄、亮蓝、靛蓝、诱惑红）、苯甲酸及其钠盐（以苯甲酸计）、山梨酸及其钾盐（以山梨酸计）、糖精钠（以糖精计）、甜蜜素（以环己基氨基磺酸计）、阿斯巴甜、商业无菌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铅、镉、苯甲酸及其钠盐（以苯甲酸计）、山梨酸及其钾盐（以山梨酸计）、糖精钠（以糖精计）、商业无菌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冰淇淋、雪糕、雪泥、冰棍、食用冰、甜味冰、其他类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蛋白质、甜蜜素（以环己基氨基磺酸计）、糖精钠（以糖精计）、菌落总数、大肠菌群、沙门氏菌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速冻面米食品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过氧化值、铅</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2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膨化食品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水分、</w:t>
            </w:r>
            <w:r>
              <w:rPr>
                <w:rStyle w:val="19"/>
                <w:rFonts w:hint="eastAsia" w:ascii="宋体" w:hAnsi="宋体" w:eastAsia="宋体" w:cs="宋体"/>
                <w:sz w:val="20"/>
                <w:szCs w:val="20"/>
                <w:lang w:val="en-US" w:eastAsia="zh-CN" w:bidi="ar"/>
              </w:rPr>
              <w:t>酸价（以脂肪计）</w:t>
            </w:r>
            <w:r>
              <w:rPr>
                <w:rStyle w:val="23"/>
                <w:rFonts w:hint="eastAsia" w:ascii="宋体" w:hAnsi="宋体" w:eastAsia="宋体" w:cs="宋体"/>
                <w:sz w:val="20"/>
                <w:szCs w:val="20"/>
                <w:lang w:val="en-US" w:eastAsia="zh-CN" w:bidi="ar"/>
              </w:rPr>
              <w:t>a</w:t>
            </w:r>
            <w:r>
              <w:rPr>
                <w:rStyle w:val="19"/>
                <w:rFonts w:hint="eastAsia" w:ascii="宋体" w:hAnsi="宋体" w:eastAsia="宋体" w:cs="宋体"/>
                <w:sz w:val="20"/>
                <w:szCs w:val="20"/>
                <w:lang w:val="en-US" w:eastAsia="zh-CN" w:bidi="ar"/>
              </w:rPr>
              <w:t>、过氧化值（以脂肪计）</w:t>
            </w:r>
            <w:r>
              <w:rPr>
                <w:rStyle w:val="23"/>
                <w:rFonts w:hint="eastAsia" w:ascii="宋体" w:hAnsi="宋体" w:eastAsia="宋体" w:cs="宋体"/>
                <w:sz w:val="20"/>
                <w:szCs w:val="20"/>
                <w:lang w:val="en-US" w:eastAsia="zh-CN" w:bidi="ar"/>
              </w:rPr>
              <w:t>a</w:t>
            </w:r>
            <w:r>
              <w:rPr>
                <w:rStyle w:val="19"/>
                <w:rFonts w:hint="eastAsia" w:ascii="宋体" w:hAnsi="宋体" w:eastAsia="宋体" w:cs="宋体"/>
                <w:sz w:val="20"/>
                <w:szCs w:val="20"/>
                <w:lang w:val="en-US" w:eastAsia="zh-CN" w:bidi="ar"/>
              </w:rPr>
              <w:t>、黄曲霉毒素B</w:t>
            </w:r>
            <w:r>
              <w:rPr>
                <w:rStyle w:val="20"/>
                <w:rFonts w:hint="eastAsia" w:ascii="宋体" w:hAnsi="宋体" w:eastAsia="宋体" w:cs="宋体"/>
                <w:sz w:val="20"/>
                <w:szCs w:val="20"/>
                <w:lang w:val="en-US" w:eastAsia="zh-CN" w:bidi="ar"/>
              </w:rPr>
              <w:t>1</w:t>
            </w:r>
            <w:r>
              <w:rPr>
                <w:rStyle w:val="23"/>
                <w:rFonts w:hint="eastAsia" w:ascii="宋体" w:hAnsi="宋体" w:eastAsia="宋体" w:cs="宋体"/>
                <w:sz w:val="20"/>
                <w:szCs w:val="20"/>
                <w:lang w:val="en-US" w:eastAsia="zh-CN" w:bidi="ar"/>
              </w:rPr>
              <w:t>b</w:t>
            </w:r>
            <w:r>
              <w:rPr>
                <w:rStyle w:val="19"/>
                <w:rFonts w:hint="eastAsia" w:ascii="宋体" w:hAnsi="宋体" w:eastAsia="宋体" w:cs="宋体"/>
                <w:sz w:val="20"/>
                <w:szCs w:val="20"/>
                <w:lang w:val="en-US" w:eastAsia="zh-CN" w:bidi="ar"/>
              </w:rPr>
              <w:t>、糖精钠（以糖精计）、苯甲酸及其钠盐（以苯甲酸计）、山梨酸及其钾盐（以山梨酸计）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铅（以Pb计）、</w:t>
            </w:r>
            <w:r>
              <w:rPr>
                <w:rStyle w:val="19"/>
                <w:rFonts w:hint="eastAsia" w:ascii="宋体" w:hAnsi="宋体" w:eastAsia="宋体" w:cs="宋体"/>
                <w:sz w:val="20"/>
                <w:szCs w:val="20"/>
                <w:lang w:val="en-US" w:eastAsia="zh-CN" w:bidi="ar"/>
              </w:rPr>
              <w:t>糖精钠（以糖精计）、甜蜜素（以环己基氨基磺酸计）、二氧化硫残留量、</w:t>
            </w:r>
            <w:r>
              <w:rPr>
                <w:rStyle w:val="21"/>
                <w:rFonts w:hint="eastAsia" w:ascii="宋体" w:hAnsi="宋体" w:eastAsia="宋体" w:cs="宋体"/>
                <w:sz w:val="20"/>
                <w:szCs w:val="20"/>
                <w:lang w:val="en-US" w:eastAsia="zh-CN" w:bidi="ar"/>
              </w:rPr>
              <w:t>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铅（以Pb计）、</w:t>
            </w:r>
            <w:r>
              <w:rPr>
                <w:rStyle w:val="19"/>
                <w:rFonts w:hint="eastAsia" w:ascii="宋体" w:hAnsi="宋体" w:eastAsia="宋体" w:cs="宋体"/>
                <w:sz w:val="20"/>
                <w:szCs w:val="20"/>
                <w:lang w:val="en-US" w:eastAsia="zh-CN" w:bidi="ar"/>
              </w:rPr>
              <w:t>苯甲酸及其钠盐（以苯甲酸计）、山梨酸及其钾盐（以山梨酸计）、糖精钠（以糖精计）、甜蜜素（以环己基氨基磺酸计）、</w:t>
            </w:r>
            <w:r>
              <w:rPr>
                <w:rStyle w:val="21"/>
                <w:rFonts w:hint="eastAsia" w:ascii="宋体" w:hAnsi="宋体" w:eastAsia="宋体" w:cs="宋体"/>
                <w:sz w:val="20"/>
                <w:szCs w:val="20"/>
                <w:lang w:val="en-US" w:eastAsia="zh-CN" w:bidi="ar"/>
              </w:rPr>
              <w:t>菌落总数、大肠菌群、霉菌、酵母</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茶叶及其相关制品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铅（以Pb计）、草甘膦、啶虫脒、吡虫啉、甲拌磷、克百威、氧乐果、多菌灵</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含茶制品和代用茶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铅（以Pb计）、啶虫脒、吡虫啉、克百威、霉菌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 类</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蒸馏酒（白酒）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酒精度、甲醇、氰化物（以HCN计）、糖精钠（以糖精计）、甜蜜素（以环己基氨基磺酸计）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发酵酒（葡萄酒）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酒精度、甲醇、苯甲酸及其钠盐（以苯甲酸计）、山梨酸及其钾盐（以山梨酸计）、糖精钠（以糖精计）、二氧化硫残留量、甜蜜素（以环己基氨基磺酸计）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酒精度、氨基酸态氮、苯甲酸及其钠盐（以苯甲酸计）、山梨酸及其钾盐（以山梨酸计）、糖精钠（以糖精计）、甜蜜素（以环己基氨基磺酸计）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其他酒（蜂蜜酒）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酒精度、甲醇、氰化物（以HCN计）、甜蜜素（以环己基氨基磺酸计）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酱腌菜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铅、亚硝酸盐、苯甲酸及其钠盐（以苯甲酸计）、防腐剂混合使用时各自用量占其最大使用量的比例之和、山梨酸及其钾盐（以山梨酸计）、糖精钠（以糖精计）、脱氢乙酸及其钠盐（以脱氢乙酸计）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食用菌制品（干制）</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铅（以Pb计）、总砷（以As计）、镉（以Cd计）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蔬菜干制品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铅（以Pb计）、</w:t>
            </w:r>
            <w:r>
              <w:rPr>
                <w:rStyle w:val="21"/>
                <w:rFonts w:hint="eastAsia" w:ascii="宋体" w:hAnsi="宋体" w:eastAsia="宋体" w:cs="宋体"/>
                <w:sz w:val="20"/>
                <w:szCs w:val="20"/>
                <w:lang w:val="en-US" w:eastAsia="zh-CN" w:bidi="ar"/>
              </w:rPr>
              <w:t>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水果干制品（枣夹核桃）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w:t>
            </w:r>
            <w:r>
              <w:rPr>
                <w:rStyle w:val="19"/>
                <w:rFonts w:hint="eastAsia" w:ascii="宋体" w:hAnsi="宋体" w:eastAsia="宋体" w:cs="宋体"/>
                <w:sz w:val="20"/>
                <w:szCs w:val="20"/>
                <w:lang w:val="en-US" w:eastAsia="zh-CN" w:bidi="ar"/>
              </w:rPr>
              <w:t>山梨酸及其钾盐（以山梨酸计）、</w:t>
            </w:r>
            <w:r>
              <w:rPr>
                <w:rStyle w:val="21"/>
                <w:rFonts w:hint="eastAsia" w:ascii="宋体" w:hAnsi="宋体" w:eastAsia="宋体" w:cs="宋体"/>
                <w:sz w:val="20"/>
                <w:szCs w:val="20"/>
                <w:lang w:val="en-US" w:eastAsia="zh-CN" w:bidi="ar"/>
              </w:rPr>
              <w:t>菌落总数、大肠菌群、霉菌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铅、脱氢乙酸及其钠盐（以脱氢乙酸计）、苯甲酸及其钠盐（以苯甲酸计）、</w:t>
            </w:r>
            <w:r>
              <w:rPr>
                <w:rStyle w:val="19"/>
                <w:rFonts w:hint="eastAsia" w:ascii="宋体" w:hAnsi="宋体" w:eastAsia="宋体" w:cs="宋体"/>
                <w:sz w:val="20"/>
                <w:szCs w:val="20"/>
                <w:lang w:val="en-US" w:eastAsia="zh-CN" w:bidi="ar"/>
              </w:rPr>
              <w:t>山梨酸及其钾盐（以山梨酸计）</w:t>
            </w:r>
            <w:r>
              <w:rPr>
                <w:rStyle w:val="21"/>
                <w:rFonts w:hint="eastAsia" w:ascii="宋体" w:hAnsi="宋体" w:eastAsia="宋体" w:cs="宋体"/>
                <w:sz w:val="20"/>
                <w:szCs w:val="20"/>
                <w:lang w:val="en-US" w:eastAsia="zh-CN" w:bidi="ar"/>
              </w:rPr>
              <w:t>、防腐剂混合使用时各自用量占其最大使用量的比例之和、糖精钠（以糖精计）、</w:t>
            </w:r>
            <w:r>
              <w:rPr>
                <w:rStyle w:val="19"/>
                <w:rFonts w:hint="eastAsia" w:ascii="宋体" w:hAnsi="宋体" w:eastAsia="宋体" w:cs="宋体"/>
                <w:sz w:val="20"/>
                <w:szCs w:val="20"/>
                <w:lang w:val="en-US" w:eastAsia="zh-CN" w:bidi="ar"/>
              </w:rPr>
              <w:t>甜蜜素（以环己基氨基磺酸计）、</w:t>
            </w:r>
            <w:r>
              <w:rPr>
                <w:rStyle w:val="21"/>
                <w:rFonts w:hint="eastAsia" w:ascii="宋体" w:hAnsi="宋体" w:eastAsia="宋体" w:cs="宋体"/>
                <w:sz w:val="20"/>
                <w:szCs w:val="20"/>
                <w:lang w:val="en-US" w:eastAsia="zh-CN" w:bidi="ar"/>
              </w:rPr>
              <w:t>菌落总数、大肠菌群、霉菌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铅、脱氢乙酸及其钠盐（以脱氢乙酸计）、大肠菌群、霉菌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19"/>
                <w:rFonts w:hint="eastAsia" w:ascii="宋体" w:hAnsi="宋体" w:eastAsia="宋体" w:cs="宋体"/>
                <w:sz w:val="20"/>
                <w:szCs w:val="20"/>
                <w:lang w:val="en-US" w:eastAsia="zh-CN" w:bidi="ar"/>
              </w:rPr>
              <w:t>酸价（以脂肪计）、过氧化值（以脂肪计）、</w:t>
            </w:r>
            <w:r>
              <w:rPr>
                <w:rStyle w:val="21"/>
                <w:rFonts w:hint="eastAsia" w:ascii="宋体" w:hAnsi="宋体" w:eastAsia="宋体" w:cs="宋体"/>
                <w:sz w:val="20"/>
                <w:szCs w:val="20"/>
                <w:lang w:val="en-US" w:eastAsia="zh-CN" w:bidi="ar"/>
              </w:rPr>
              <w:t>大肠菌群、铅、黄曲霉毒素B</w:t>
            </w:r>
            <w:r>
              <w:rPr>
                <w:rStyle w:val="24"/>
                <w:rFonts w:hint="eastAsia" w:ascii="宋体" w:hAnsi="宋体" w:eastAsia="宋体" w:cs="宋体"/>
                <w:sz w:val="20"/>
                <w:szCs w:val="20"/>
                <w:lang w:val="en-US" w:eastAsia="zh-CN" w:bidi="ar"/>
              </w:rPr>
              <w:t>1</w:t>
            </w:r>
            <w:r>
              <w:rPr>
                <w:rStyle w:val="21"/>
                <w:rFonts w:hint="eastAsia" w:ascii="宋体" w:hAnsi="宋体" w:eastAsia="宋体" w:cs="宋体"/>
                <w:sz w:val="20"/>
                <w:szCs w:val="20"/>
                <w:lang w:val="en-US" w:eastAsia="zh-CN" w:bidi="ar"/>
              </w:rPr>
              <w:t>、</w:t>
            </w:r>
            <w:r>
              <w:rPr>
                <w:rStyle w:val="19"/>
                <w:rFonts w:hint="eastAsia" w:ascii="宋体" w:hAnsi="宋体" w:eastAsia="宋体" w:cs="宋体"/>
                <w:sz w:val="20"/>
                <w:szCs w:val="20"/>
                <w:lang w:val="en-US" w:eastAsia="zh-CN" w:bidi="ar"/>
              </w:rPr>
              <w:t>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再制蛋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食糖</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蔗糖分、还原糖分、色值、二氧化硫残留量、螨</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总糖分、不溶于水杂质、二氧化硫残留量、螨、合成着色剂（柠檬黄、新红、苋菜红、胭脂红、日落黄、诱惑红、酸性红、 喹啉黄、赤藓红）</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水产制品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熟制动物性水产制品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苯甲酸及其钠盐（以苯甲酸计）、山梨酸及其钾盐（以山梨酸计）、糖精钠（以糖精计）、脱氢乙酸及其钠盐（以脱氢乙酸计）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 xml:space="preserve">  </w:t>
            </w:r>
            <w:r>
              <w:rPr>
                <w:rStyle w:val="19"/>
                <w:rFonts w:hint="eastAsia" w:ascii="宋体" w:hAnsi="宋体" w:eastAsia="宋体" w:cs="宋体"/>
                <w:sz w:val="20"/>
                <w:szCs w:val="20"/>
                <w:lang w:val="en-US" w:eastAsia="zh-CN" w:bidi="ar"/>
              </w:rPr>
              <w:t>铅（以Pb计）、菌落总数、</w:t>
            </w:r>
            <w:r>
              <w:rPr>
                <w:rStyle w:val="21"/>
                <w:rFonts w:hint="eastAsia" w:ascii="宋体" w:hAnsi="宋体" w:eastAsia="宋体" w:cs="宋体"/>
                <w:sz w:val="20"/>
                <w:szCs w:val="20"/>
                <w:lang w:val="en-US" w:eastAsia="zh-CN" w:bidi="ar"/>
              </w:rPr>
              <w:t>大肠菌群</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both"/>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铅（以Pb计）、苯甲酸及其钠盐（以苯甲酸计）、山梨酸及其钾盐（以山梨酸计）、铝的残留量（干样品，以A1计）、二氧化硫残留量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其他淀粉制品（橡子凉粉）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 点</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防腐剂混合使用时各自用量占其最大使用量的比例之和、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粽  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山梨酸及其钾盐（以山梨酸计）、糖精钠（以糖精计）、菌落总数、大肠菌群、金黄色葡萄球菌、沙门氏菌、霉菌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月  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铝的残留量（干样品，以A1计）、脱氢乙酸及其钠盐（以脱氢乙酸计）、防腐剂混合使用时各自用量占其最大使用量的比例之和、菌落总数、大肠菌群、金黄色葡萄球菌、沙门氏菌、霉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非发酵性豆制品（豆腐、豆皮、油皮、腐竹等）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铅（以Pb计）、苯甲酸及其钠盐（以苯甲酸计）、山梨酸及其钾盐（以山梨酸计）、脱氢乙酸及其钠盐（以脱氢乙酸计）、铝的残留量（干样品，以A1计）、沙门氏菌、金黄色葡萄球菌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5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2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蜂产品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果糖和葡萄糖、蔗糖、菌落总数、霉菌计数、嗜渗酵母计数、甲硝唑、洛硝达唑、山梨酸及其钾盐（以山梨酸计）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5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25"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保健食品</w:t>
            </w: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辅助降血糖类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功效/标志性成分、格列本脲、甲苯磺丁脲、格列齐特、盐酸二甲双胍、瑞格列奈</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辅助降血压类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功效/标志性成分、阿替洛尔、卡托普利、氢氯噻嗪、硝苯地平、尼群地平</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5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减肥类</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西布曲明、N-单去甲基西布曲明、N，N-双去甲基西布曲明、麻黄碱、芬氟拉明、酚酞</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2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畜肉（猪肉）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五氯酚酸钠(以五氯酚计)、恩诺沙星、磺胺类(总量)、挥发性盐基氮、呋喃唑酮代谢物、沙丁胺醇、克伦特罗、莱克多巴胺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畜肉（牛肉）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五氯酚酸钠(以五氯酚计)、克伦特罗、挥发性盐基氮、呋喃唑酮代谢物、沙丁胺醇、莱克多巴胺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畜肉（羊肉）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克伦特罗、磺胺类（总量）、五氯酚酸钠（以五氯酚计）、恩诺沙星、</w:t>
            </w:r>
            <w:r>
              <w:rPr>
                <w:rStyle w:val="22"/>
                <w:rFonts w:hint="eastAsia" w:ascii="宋体" w:hAnsi="宋体" w:eastAsia="宋体" w:cs="宋体"/>
                <w:sz w:val="20"/>
                <w:szCs w:val="20"/>
                <w:lang w:val="en-US" w:eastAsia="zh-CN" w:bidi="ar"/>
              </w:rPr>
              <w:t>沙丁胺醇、莱克多巴胺</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禽肉（鸡肉）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五氯酚酸钠(以五氯酚计)、氧氟沙星、挥发性盐基氮、呋喃唑酮代谢物、氟苯尼考</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恩诺沙星、孔雀石绿、地西泮、磺胺类(总量)、甲氧苄啶、</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淡水产品（淡水虾）</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恩诺沙星、氧氟沙星、诺氟沙星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海水产品（海水鱼）</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恩诺沙星、挥发性盐基氮、氧氟沙星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其他水产品（重点品种：牛蛙）</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 xml:space="preserve">恩诺沙星 </w:t>
            </w:r>
            <w:r>
              <w:rPr>
                <w:rStyle w:val="22"/>
                <w:rFonts w:hint="eastAsia" w:ascii="宋体" w:hAnsi="宋体" w:eastAsia="宋体" w:cs="宋体"/>
                <w:sz w:val="20"/>
                <w:szCs w:val="20"/>
                <w:lang w:val="en-US" w:eastAsia="zh-CN" w:bidi="ar"/>
              </w:rPr>
              <w:t xml:space="preserve">a </w:t>
            </w:r>
            <w:r>
              <w:rPr>
                <w:rStyle w:val="25"/>
                <w:rFonts w:hint="eastAsia" w:ascii="宋体" w:hAnsi="宋体" w:eastAsia="宋体" w:cs="宋体"/>
                <w:sz w:val="20"/>
                <w:szCs w:val="20"/>
                <w:lang w:val="en-US" w:eastAsia="zh-CN" w:bidi="ar"/>
              </w:rPr>
              <w:t>、呋喃唑酮代谢物、呋喃西林代谢物、氧氟沙星、诺氟沙星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鲜蛋（鸡蛋）</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甲硝唑、甲氧苄啶、多西环素、恩诺沙星、氧氟沙星</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韭菜）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毒死蜱、镉（以Cd计）、腐霉利、敌敌畏</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噻虫嗪、镉（以Cd计）、甲拌磷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豆类蔬菜（菜豆）</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噻虫胺、毒死蜱、氧乐果、水胺硫磷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豆类蔬菜（豇豆）</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倍硫磷、灭蝇胺、噻虫胺、噻虫嗪、毒死蜱、甲基异柳磷、甲氨基阿维菌素苯甲酸盐、水胺硫磷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4-氯苯氧乙酸钠（以4-氯苯氧乙酸计）、6-苄基腺嘌呤（6-BA）、铅（以Pb计）、亚硫酸盐（以S02计）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根茎类和薯芋类</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蔬菜（姜）</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铅（以Pb计）、噻虫胺、噻虫嗪、毒死蜱、镉（以 Cd 计）、克百威、吡虫啉</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根茎类和薯芋类</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蔬菜（山药）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咪鲜胺和咪鲜胺锰盐、铅(以Pb计)、毒死蜱</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茄果类蔬菜（甜椒）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噻虫胺、啶虫脒、噻虫嗪</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茄果类蔬菜（茄子）</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镉（以Cd计）、噻虫胺、毒死蜱、氧乐果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茄果类蔬菜（辣椒）</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2"/>
                <w:rFonts w:hint="eastAsia" w:ascii="宋体" w:hAnsi="宋体" w:eastAsia="宋体" w:cs="宋体"/>
                <w:sz w:val="20"/>
                <w:szCs w:val="20"/>
                <w:lang w:val="en-US" w:eastAsia="zh-CN" w:bidi="ar"/>
              </w:rPr>
              <w:t>毒死蜱、镉(以Cd计)、噻虫胺、啶虫脒、</w:t>
            </w:r>
            <w:r>
              <w:rPr>
                <w:rStyle w:val="25"/>
                <w:rFonts w:hint="eastAsia" w:ascii="宋体" w:hAnsi="宋体" w:eastAsia="宋体" w:cs="宋体"/>
                <w:sz w:val="20"/>
                <w:szCs w:val="20"/>
                <w:lang w:val="en-US" w:eastAsia="zh-CN" w:bidi="ar"/>
              </w:rPr>
              <w:t>噻虫嗪、氧乐果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叶菜类蔬菜（菠菜）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毒死蜱、镉（以Cd计）、氧乐果、甲拌磷</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叶菜类蔬菜（芹菜）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毒死蜱、噻虫胺、甲拌磷、噻虫嗪、氧乐果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仁果类（苹果、梨）</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敌敌畏、啶虫脒、毒死蜱、甲拌磷、克百威、氧乐果、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热带和亚热带水果（香蕉）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吡虫啉、噻虫嗪、噻虫胺、腈苯唑、苯醚甲环唑、联苯菊酯</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热带和亚热带水果（芒果）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吡唑醚菌酯、噻虫胺、氧乐果、吡虫啉</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热带和亚热带水果（荔枝）</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氯氟氰菊酯和高效氯氟氰菊酯、吡唑醚菌酯、苯醚甲环唑、氯氰菊酯和高效氯氰菊酯、</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热带和亚热带水果（杨梅）</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脱氢乙酸及其钠盐(以脱氢乙酸计)、糖精钠(以糖精计)、苯甲酸及其钠盐(以苯甲酸计)、山梨酸及其钾盐(以山梨酸计)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柑橘类水果（柑、橘）</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丙溴磷、苯醚甲环唑、联苯菊酯、氯氟氰菊酯和高效氯氟氰菊酯、氧乐果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浆果和其他小型水果（桑葚）</w:t>
            </w:r>
          </w:p>
        </w:tc>
        <w:tc>
          <w:tcPr>
            <w:tcW w:w="84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脱氢乙酸及其钠盐(以脱氢乙酸计)、糖精钠(以糖精计)、苯甲酸及其钠盐(以苯甲酸计)、山梨酸及其钾盐(以山梨酸计)</w:t>
            </w: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浆果和其他小型水果（草莓）</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烯酰吗啉、氧乐果吡虫啉、</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浆果和其他小型水果（猕猴桃）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氯吡脲、敌敌畏、氧乐果</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生干坚果与籽类（重点品种：芝麻、花生）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5"/>
                <w:rFonts w:hint="eastAsia" w:ascii="宋体" w:hAnsi="宋体" w:eastAsia="宋体" w:cs="宋体"/>
                <w:sz w:val="20"/>
                <w:szCs w:val="20"/>
                <w:lang w:val="en-US" w:eastAsia="zh-CN" w:bidi="ar"/>
              </w:rPr>
              <w:t>酸价（以脂肪计）(KOH)、黄曲霉毒素B</w:t>
            </w:r>
            <w:r>
              <w:rPr>
                <w:rStyle w:val="26"/>
                <w:rFonts w:hint="eastAsia" w:ascii="宋体" w:hAnsi="宋体" w:eastAsia="宋体" w:cs="宋体"/>
                <w:sz w:val="20"/>
                <w:szCs w:val="20"/>
                <w:lang w:val="en-US" w:eastAsia="zh-CN" w:bidi="ar"/>
              </w:rPr>
              <w:t>1</w:t>
            </w:r>
            <w:r>
              <w:rPr>
                <w:rStyle w:val="25"/>
                <w:rFonts w:hint="eastAsia" w:ascii="宋体" w:hAnsi="宋体" w:eastAsia="宋体" w:cs="宋体"/>
                <w:sz w:val="20"/>
                <w:szCs w:val="20"/>
                <w:lang w:val="en-US" w:eastAsia="zh-CN" w:bidi="ar"/>
              </w:rPr>
              <w:t>（重点品种：花生）、过氧化值（以脂肪计）、镉（以 Cd 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5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7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其他类</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根据监管需要依情况抽取相应的类别，按相应食品类别检验项目检验。</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25"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764"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840"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vMerge w:val="restart"/>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酸价</w:t>
            </w: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c>
          <w:tcPr>
            <w:tcW w:w="96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840"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7392" w:type="dxa"/>
            <w:vMerge w:val="continue"/>
            <w:noWrap w:val="0"/>
            <w:vAlign w:val="center"/>
          </w:tcPr>
          <w:p>
            <w:pPr>
              <w:jc w:val="both"/>
              <w:rPr>
                <w:rFonts w:hint="eastAsia" w:ascii="宋体" w:hAnsi="宋体" w:eastAsia="宋体" w:cs="宋体"/>
                <w:i w:val="0"/>
                <w:iCs w:val="0"/>
                <w:color w:val="000000"/>
                <w:sz w:val="20"/>
                <w:szCs w:val="20"/>
                <w:u w:val="none"/>
              </w:rPr>
            </w:pPr>
          </w:p>
        </w:tc>
        <w:tc>
          <w:tcPr>
            <w:tcW w:w="960"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924" w:type="dxa"/>
            <w:vMerge w:val="continue"/>
            <w:noWrap w:val="0"/>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油炸面制品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铝的残留限量（干样品，以Al计）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发酵面制品、生湿面制品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花生制品（自制）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黄曲霉毒素B1</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肉冻、皮冻（自制）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铬（以Cr计）</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火锅麻辣烫底料（自制）</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阴离子合成洗涤剂（以十二烷基苯磺酸钠计）、大肠菌群</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5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325"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76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其他餐饮食品</w:t>
            </w:r>
          </w:p>
        </w:tc>
        <w:tc>
          <w:tcPr>
            <w:tcW w:w="84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39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Style w:val="21"/>
                <w:rFonts w:hint="eastAsia" w:ascii="宋体" w:hAnsi="宋体" w:eastAsia="宋体" w:cs="宋体"/>
                <w:sz w:val="20"/>
                <w:szCs w:val="20"/>
                <w:lang w:val="en-US" w:eastAsia="zh-CN" w:bidi="ar"/>
              </w:rPr>
              <w:t>抽检学校（托幼机构）食堂、配餐企业及养老机构食堂购买的食用油、米、面、蔬菜、调味料、自制糕点、自制饮料、动物血制品等，按相应食品类别检验项目。</w:t>
            </w:r>
          </w:p>
        </w:tc>
        <w:tc>
          <w:tcPr>
            <w:tcW w:w="9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default" w:ascii="仿宋_GB2312" w:eastAsia="仿宋_GB2312" w:cs="黑体"/>
          <w:color w:val="auto"/>
          <w:w w:val="90"/>
          <w:kern w:val="2"/>
          <w:sz w:val="32"/>
          <w:szCs w:val="32"/>
          <w:lang w:val="en-US" w:eastAsia="zh-CN" w:bidi="ar-SA"/>
        </w:rPr>
      </w:pPr>
    </w:p>
    <w:p>
      <w:pPr>
        <w:spacing w:line="360" w:lineRule="auto"/>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bCs/>
          <w:sz w:val="44"/>
          <w:szCs w:val="44"/>
          <w:lang w:eastAsia="zh-CN"/>
        </w:rPr>
      </w:pPr>
    </w:p>
    <w:p>
      <w:pPr>
        <w:tabs>
          <w:tab w:val="left" w:pos="697"/>
        </w:tabs>
        <w:jc w:val="center"/>
        <w:rPr>
          <w:rFonts w:hint="eastAsia" w:ascii="文星标宋" w:hAnsi="文星标宋" w:eastAsia="文星标宋" w:cs="文星标宋"/>
          <w:sz w:val="32"/>
          <w:szCs w:val="32"/>
          <w:lang w:eastAsia="zh-CN"/>
        </w:rPr>
      </w:pPr>
      <w:r>
        <w:rPr>
          <w:rFonts w:hint="eastAsia" w:ascii="文星标宋" w:hAnsi="文星标宋" w:eastAsia="文星标宋" w:cs="文星标宋"/>
          <w:bCs/>
          <w:sz w:val="44"/>
          <w:szCs w:val="44"/>
          <w:lang w:eastAsia="zh-CN"/>
        </w:rPr>
        <w:t>卢氏县2024年县级食品安全抽检监测任务表（二标段）</w:t>
      </w:r>
    </w:p>
    <w:tbl>
      <w:tblPr>
        <w:tblStyle w:val="15"/>
        <w:tblW w:w="1398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92"/>
        <w:gridCol w:w="1944"/>
        <w:gridCol w:w="792"/>
        <w:gridCol w:w="7920"/>
        <w:gridCol w:w="84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大类</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食品小类</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风险等级</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检验项目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抽检</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批次</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镉（以Cd计）、苯并[a]芘、玉米赤霉烯酮、脱氧雪腐镰刀菌烯醇、赭曲霉毒素A、黄曲霉毒素B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、过氧化苯甲酰</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铅（以Pb计）、镉（以Cd计）、黄曲霉毒素B</w:t>
            </w:r>
            <w:r>
              <w:rPr>
                <w:rStyle w:val="27"/>
                <w:rFonts w:hint="eastAsia" w:ascii="宋体" w:hAnsi="宋体" w:eastAsia="宋体" w:cs="宋体"/>
                <w:sz w:val="20"/>
                <w:szCs w:val="20"/>
                <w:lang w:val="en-US" w:eastAsia="zh-CN" w:bidi="ar"/>
              </w:rPr>
              <w:t>1</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玉米粉、玉米片、玉米渣</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、赭曲霉毒素A、玉米赤霉烯酮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酸值/酸价、过氧化值、黄曲霉毒素B1、苯并［a］芘、 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 溶剂残留量 、乙基麦芽酚</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酸值/酸价、过氧化值、铅 （以Pb 计）、苯并［a］芘、 溶剂残留量、特丁基对苯二酚（TBHQ）、乙基麦芽酚</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酸值/酸价、过氧化值、苯并［a］芘、溶剂残留量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酸价/酸价、过氧化值、苯并［a］ 芘、溶剂残留量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1"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总酸、不挥发酸（以乳酸计）、苯甲酸及其钠盐（以苯甲酸计）、山梨酸及其钾盐（以山梨酸计）、脱氢乙酸及其钠盐（以脱氢乙酸计）、菌落总数</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半固体复合调味料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铅（以Pb计）、苯甲酸及其钠盐（以苯甲酸计）、山梨酸及其钾盐（以山梨酸计）、罂粟碱、吗啡、可待因、那可丁、罗丹明B</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预制肉制品（腌腊肉制品）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以脂肪计）、铅（以Pb计）、总砷（以As计）、亚硝酸盐（以亚硝酸钠计）、苯甲酸及其钠盐（以苯甲酸计）、山梨酸及其钾盐（以山梨酸计）、合成着色剂（胭脂红、诱惑红、苋菜红、酸性红）、氯霉素</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熟肉制品（酱卤肉制品）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铬（以Cr计）、亚硝酸盐（以亚硝酸钠计）、苯甲酸及其钠盐（以苯甲酸计）、山梨酸及其钾盐（以山梨酸计）、脱氢乙酸及其钠盐（以脱氢乙酸计）、防腐剂混合使用时各自用量占其最大使用量的比例之和、菌落总数、大肠菌群、沙门氏菌、金黄色葡萄球菌、致泻大肠埃希氏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巴氏杀菌乳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蛋白质、酸度、三聚氰胺、沙门氏菌、金黄色葡萄球菌、菌落总数、大肠菌群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灭菌乳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蛋白质、酸度、脂肪、三聚氰胺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发酵乳</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top"/>
          </w:tcPr>
          <w:p>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脂肪、蛋白质、酸度、乳酸菌数、山梨酸及其钾盐、三聚氰胺、金黄色葡萄球菌、沙门氏菌、大肠菌群、霉菌、酵母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 料</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包装饮用水（饮用纯净水）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电导率、耗氧量（以O2计）、铅（以Pb计）、总砷（以As计）、镉（以Cd计）、亚硝酸盐（以NO2-计）、余氯（游离氯）、溴酸盐、三氯甲烷、大肠菌群、铜绿假单胞菌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蛋白饮料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蛋白质、苯甲酸及其钠盐（以苯甲酸计）、山梨酸及其钾盐（以山梨酸计）、脱氢乙酸及其钠盐（以脱氢乙酸计）、防腐剂混合使用时各自用量占其最大使用量的比例之和、大肠菌群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碳酸饮料（汽水）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二氧化碳气容量、苯甲酸及其钠盐（以苯甲酸计）、山梨酸及其钾盐（以山梨酸计）、防腐剂混合使用时各自用量占其最大使用量的比例之和、甜蜜素（以环己基氨基磺酸计）、阿斯巴甜、霉菌、菌落总数、酵母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果蔬汁及其他</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防腐剂混合使用时各自用量占其最大使用量的比例之和、甜蜜素（以环己基氨基磺酸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方便食品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方便面</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调味面制品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脱氢乙酸及其钠盐（以脱氢乙酸计）、二氧化硫残留量、菌落总数、大肠菌群、霉菌、沙门氏菌、金黄色葡萄球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蓄禽肉类罐头</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铅、镉、苯甲酸及其钠盐（以苯甲酸计）、山梨酸及其钾盐（以山梨酸计）、糖精钠（以糖精计）、商业无菌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冷冻饮品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冰淇淋、雪糕、雪泥、冰棍、食用冰、甜味冰、其他类</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蛋白质、甜蜜素（以环己基氨基磺酸计）、糖精钠（以糖精计）、菌落总数、大肠菌群、沙门氏菌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薯类和膨化食品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膨化食品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水分、酸价（以脂肪计）</w:t>
            </w:r>
            <w:r>
              <w:rPr>
                <w:rFonts w:hint="eastAsia" w:ascii="宋体" w:hAnsi="宋体" w:eastAsia="宋体" w:cs="宋体"/>
                <w:i w:val="0"/>
                <w:iCs w:val="0"/>
                <w:color w:val="000000"/>
                <w:kern w:val="0"/>
                <w:sz w:val="20"/>
                <w:szCs w:val="20"/>
                <w:u w:val="none"/>
                <w:vertAlign w:val="superscript"/>
                <w:lang w:val="en-US" w:eastAsia="zh-CN" w:bidi="ar"/>
              </w:rPr>
              <w:t>a</w:t>
            </w:r>
            <w:r>
              <w:rPr>
                <w:rFonts w:hint="eastAsia" w:ascii="宋体" w:hAnsi="宋体" w:eastAsia="宋体" w:cs="宋体"/>
                <w:i w:val="0"/>
                <w:iCs w:val="0"/>
                <w:color w:val="000000"/>
                <w:kern w:val="0"/>
                <w:sz w:val="20"/>
                <w:szCs w:val="20"/>
                <w:u w:val="none"/>
                <w:lang w:val="en-US" w:eastAsia="zh-CN" w:bidi="ar"/>
              </w:rPr>
              <w:t>、过氧化值（以脂肪计）</w:t>
            </w:r>
            <w:r>
              <w:rPr>
                <w:rFonts w:hint="eastAsia" w:ascii="宋体" w:hAnsi="宋体" w:eastAsia="宋体" w:cs="宋体"/>
                <w:i w:val="0"/>
                <w:iCs w:val="0"/>
                <w:color w:val="000000"/>
                <w:kern w:val="0"/>
                <w:sz w:val="20"/>
                <w:szCs w:val="20"/>
                <w:u w:val="none"/>
                <w:vertAlign w:val="superscript"/>
                <w:lang w:val="en-US" w:eastAsia="zh-CN" w:bidi="ar"/>
              </w:rPr>
              <w:t>a</w:t>
            </w:r>
            <w:r>
              <w:rPr>
                <w:rFonts w:hint="eastAsia" w:ascii="宋体" w:hAnsi="宋体" w:eastAsia="宋体" w:cs="宋体"/>
                <w:i w:val="0"/>
                <w:iCs w:val="0"/>
                <w:color w:val="000000"/>
                <w:kern w:val="0"/>
                <w:sz w:val="20"/>
                <w:szCs w:val="20"/>
                <w:u w:val="none"/>
                <w:lang w:val="en-US" w:eastAsia="zh-CN" w:bidi="ar"/>
              </w:rPr>
              <w:t>、黄曲霉毒素B</w:t>
            </w:r>
            <w:r>
              <w:rPr>
                <w:rStyle w:val="27"/>
                <w:rFonts w:hint="eastAsia" w:ascii="宋体" w:hAnsi="宋体" w:eastAsia="宋体" w:cs="宋体"/>
                <w:sz w:val="20"/>
                <w:szCs w:val="20"/>
                <w:lang w:val="en-US" w:eastAsia="zh-CN" w:bidi="ar"/>
              </w:rPr>
              <w:t>1</w:t>
            </w:r>
            <w:r>
              <w:rPr>
                <w:rFonts w:hint="eastAsia" w:ascii="宋体" w:hAnsi="宋体" w:eastAsia="宋体" w:cs="宋体"/>
                <w:i w:val="0"/>
                <w:iCs w:val="0"/>
                <w:color w:val="000000"/>
                <w:kern w:val="0"/>
                <w:sz w:val="20"/>
                <w:szCs w:val="20"/>
                <w:u w:val="none"/>
                <w:vertAlign w:val="superscript"/>
                <w:lang w:val="en-US" w:eastAsia="zh-CN" w:bidi="ar"/>
              </w:rPr>
              <w:t>b</w:t>
            </w:r>
            <w:r>
              <w:rPr>
                <w:rFonts w:hint="eastAsia" w:ascii="宋体" w:hAnsi="宋体" w:eastAsia="宋体" w:cs="宋体"/>
                <w:i w:val="0"/>
                <w:iCs w:val="0"/>
                <w:color w:val="000000"/>
                <w:kern w:val="0"/>
                <w:sz w:val="20"/>
                <w:szCs w:val="20"/>
                <w:u w:val="none"/>
                <w:lang w:val="en-US" w:eastAsia="zh-CN" w:bidi="ar"/>
              </w:rPr>
              <w:t>、糖精钠（以糖精计）、苯甲酸及其钠盐（以苯甲酸计）、山梨酸及其钾盐（以山梨酸计）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4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糖果制品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果冻</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铅（以Pb计）、苯甲酸及其钠盐（以苯甲酸计）、山梨酸及其钾盐（以山梨酸计）、糖精钠（以糖精计）、甜蜜素（以环己基氨基磺酸计）、菌落总数、大肠菌群、霉菌、酵母</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41"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2" w:type="dxa"/>
            <w:vMerge w:val="restart"/>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茶叶及其相关制品</w:t>
            </w: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铅（以Pb计）、草甘膦、啶虫脒、吡虫啉、甲拌磷、克百威、氧乐果、多菌灵</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41"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FFFFFF"/>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含茶制品和代用茶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铅（以Pb计）、啶虫脒、吡虫啉、克百威、霉菌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 类</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蒸馏酒（白酒）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酒精度、甲醇、氰化物（以HCN计）、糖精钠（以糖精计）、甜蜜素（以环己基氨基磺酸计）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发酵酒（葡萄酒）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酒精度、甲醇、苯甲酸及其钠盐（以苯甲酸计）、山梨酸及其钾盐（以山梨酸计）、糖精钠（以糖精计）、二氧化硫残留量、甜蜜素（以环己基氨基磺酸计）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酱腌菜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铅、亚硝酸盐、苯甲酸及其钠盐（以苯甲酸计）、防腐剂混合使用时各自用量占其最大使用量的比例之和、山梨酸及其钾盐（以山梨酸计）、糖精钠（以糖精计）、脱氢乙酸及其钠盐（以脱氢乙酸计）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食用菌制品（干制）</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铅（以Pb计）、总砷（以As计）、镉（以Cd计）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蔬菜干制品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水果干制品（枣夹核桃）</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铅、山梨酸及其钾盐（以山梨酸计）、菌落总数、大肠菌群、霉菌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蜜饯</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脱氢乙酸及其钠盐（以脱氢乙酸计）、苯甲酸及其钠盐（以苯甲酸计）、山梨酸及其钾盐（以山梨酸计）、防腐剂混合使用时各自用量占其最大使用量的比例之和、糖精钠（以糖精计）、甜蜜素（以环己基氨基磺酸计）、菌落总数、大肠菌群、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炒货食品及坚果制品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酸价（以脂肪计）、过氧化值（以脂肪计）、大肠菌群、铅、黄曲霉毒素B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、二氧化硫残留量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再制蛋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食糖</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白砂糖</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蔗糖分、还原糖分、色值、二氧化硫残留量、螨</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红糖</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总糖分、不溶于水杂质、二氧化硫残留量、螨、合成着色剂（柠檬黄、新红、苋菜红、胭脂红、日落黄、诱惑红、酸性红、 喹啉黄、赤藓红）</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藻类干制品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铅（以Pb计）、菌落总数、大肠菌群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铅（以Pb计）、苯甲酸及其钠盐（以苯甲酸计）、山梨酸及其钾盐（以山梨酸计）、铝的残留量（干样品，以A1计）、二氧化硫残留量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 点</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铅（以Pb计）、苯甲酸及其钠盐（以苯甲酸计）、山梨酸及其钾盐（以山梨酸计）、糖精钠（以糖精计）、甜蜜素（以环己基氨基磺酸计）、铝的残留量（干样品，以Al计）、脱氢乙酸及其钠盐（以脱氢乙酸计）、防腐剂混合使用时各自用量占其最大使用量的比例之和、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粽  子</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山梨酸及其钾盐（以山梨酸计）、糖精钠（以糖精计）、菌落总数、大肠菌群、金黄色葡萄球菌、沙门氏菌、霉菌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  饼</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过氧化值（以脂肪计）、糖精钠（以糖精计）、苯甲酸及其钠盐（以苯甲酸计）、山梨酸及其钾盐（以山梨酸计）、铝的残留量（干样品，以A1计）、脱氢乙酸及其钠盐（以脱氢乙酸计）、防腐剂混合使用时各自用量占其最大使用量的比例之和、菌落总数、大肠菌群、金黄色葡萄球菌、沙门氏菌、霉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非发酵性豆制品（豆腐、豆皮、油皮、腐竹等）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铅（以Pb计）、苯甲酸及其钠盐（以苯甲酸计）、山梨酸及其钾盐（以山梨酸计）、脱氢乙酸及其钠盐（以脱氢乙酸计）、铝的残留量（干样品，以A1计）、沙门氏菌、金黄色葡萄球菌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蜂产品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果糖和葡萄糖、蔗糖、菌落总数、霉菌计数、嗜渗酵母计数、甲硝唑、洛硝达唑、山梨酸及其钾盐（以山梨酸计）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41"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2"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食用农产品</w:t>
            </w: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畜肉（猪肉）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五氯酚酸钠(以五氯酚计)、恩诺沙星、磺胺类(总量)、挥发性盐基氮、呋喃唑酮代谢物、沙丁胺醇、克伦特罗、莱克多巴胺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畜肉（牛肉）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五氯酚酸钠(以五氯酚计)、克伦特罗、挥发性盐基氮、呋喃唑酮代谢物、沙丁胺醇、莱克多巴胺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畜肉（羊肉）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克伦特罗、磺胺类（总量）、五氯酚酸钠（以五氯酚计）、恩诺沙星、沙丁胺醇、莱克多巴胺</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禽肉（鸡肉）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五氯酚酸钠(以五氯酚计)、氧氟沙星、挥发性盐基氮、呋喃唑酮代谢物、氟苯尼考</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淡水产品（淡水鱼）</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恩诺沙星、孔雀石绿、地西泮、磺胺类(总量)、甲氧苄啶、</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淡水产品（淡水虾）</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恩诺沙星、氧氟沙星、诺氟沙星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鲜蛋（鸡蛋）</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甲硝唑、甲氧苄啶、多西环素、恩诺沙星、氧氟沙星</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韭菜）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毒死蜱、镉（以Cd计）、腐霉利、敌敌畏</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鳞茎类蔬菜（ 葱）</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噻虫嗪、镉（以Cd计）、甲拌磷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豆类蔬菜（菜豆）</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噻虫胺、毒死蜱、氧乐果、水胺硫磷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豆类蔬菜（豇豆）</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倍硫磷、灭蝇胺、噻虫胺、噻虫嗪、毒死蜱、甲基异柳磷、甲氨基阿维菌素苯甲酸盐、水胺硫磷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豆芽</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4-氯苯氧乙酸钠（以4-氯苯氧乙酸计）、6-苄基腺嘌呤（6-BA）、铅（以Pb计）、亚硫酸盐（以S02计）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根茎类和薯芋类、蔬菜（姜）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铅（以Pb计）、噻虫胺、噻虫嗪、毒死蜱、镉（以 Cd 计）、克百威、吡虫啉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根茎类和薯芋类蔬菜（山药）</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咪鲜胺和咪鲜胺锰盐、铅(以Pb计)、毒死蜱</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茄果类蔬菜（甜椒）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噻虫胺、啶虫脒、噻虫嗪</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茄果类蔬菜（茄子）</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镉（以Cd计）、噻虫胺、毒死蜱、氧乐果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茄果类蔬菜（辣椒）</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毒死蜱、镉(以Cd计)、噻虫胺、啶虫脒、噻虫嗪、氧乐果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叶菜类蔬菜（菠菜）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毒死蜱、镉（以Cd计）、氧乐果、甲拌磷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叶菜类蔬菜（芹菜）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毒死蜱、噻虫胺、甲拌磷、噻虫嗪、氧乐果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仁果类（苹果、梨）</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敌敌畏、啶虫脒、毒死蜱、甲拌磷、克百威、氧乐果、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热带和亚热带水果（香蕉）</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吡虫啉、噻虫嗪、噻虫胺、腈苯唑、苯醚甲环唑、联苯菊酯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热带和亚热带水果（芒果）</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吡唑醚菌酯、噻虫胺、氧乐果、吡虫啉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热带和亚热带水果（荔枝）</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氯氟氰菊酯和高效氯氟氰菊酯、吡唑醚菌酯、苯醚甲环唑、氯氰菊酯和高效氯氰菊酯、</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柑橘类水果（柑、橘）</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丙溴磷、苯醚甲环唑、联苯菊酯、氯氟氰菊酯和高效氯氟氰菊酯、氧乐果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浆果和其他小型水果（草莓）</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烯酰吗啉、氧乐果吡虫啉、</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浆果和其他小型水果（猕猴桃）</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氯吡脲、敌敌畏、氧乐果</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生干坚果与籽类（重点品种：芝麻、花生）</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酸价（以脂肪计）(KOH)、黄曲霉毒素B</w:t>
            </w:r>
            <w:r>
              <w:rPr>
                <w:rFonts w:hint="eastAsia" w:ascii="宋体" w:hAnsi="宋体" w:eastAsia="宋体" w:cs="宋体"/>
                <w:i w:val="0"/>
                <w:iCs w:val="0"/>
                <w:color w:val="000000"/>
                <w:kern w:val="0"/>
                <w:sz w:val="20"/>
                <w:szCs w:val="20"/>
                <w:u w:val="none"/>
                <w:vertAlign w:val="subscript"/>
                <w:lang w:val="en-US" w:eastAsia="zh-CN" w:bidi="ar"/>
              </w:rPr>
              <w:t>1</w:t>
            </w:r>
            <w:r>
              <w:rPr>
                <w:rFonts w:hint="eastAsia" w:ascii="宋体" w:hAnsi="宋体" w:eastAsia="宋体" w:cs="宋体"/>
                <w:i w:val="0"/>
                <w:iCs w:val="0"/>
                <w:color w:val="000000"/>
                <w:kern w:val="0"/>
                <w:sz w:val="20"/>
                <w:szCs w:val="20"/>
                <w:u w:val="none"/>
                <w:lang w:val="en-US" w:eastAsia="zh-CN" w:bidi="ar"/>
              </w:rPr>
              <w:t>（重点品种：花生）、过氧化值（以脂肪计）、镉（以 Cd 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41"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noWrap w:val="0"/>
            <w:vAlign w:val="center"/>
          </w:tcPr>
          <w:p>
            <w:pPr>
              <w:jc w:val="center"/>
              <w:rPr>
                <w:rFonts w:hint="eastAsia" w:ascii="宋体" w:hAnsi="宋体" w:eastAsia="宋体" w:cs="宋体"/>
                <w:i w:val="0"/>
                <w:iCs w:val="0"/>
                <w:color w:val="000000"/>
                <w:sz w:val="20"/>
                <w:szCs w:val="20"/>
                <w:u w:val="none"/>
              </w:rPr>
            </w:pPr>
          </w:p>
        </w:tc>
        <w:tc>
          <w:tcPr>
            <w:tcW w:w="19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其他类</w:t>
            </w:r>
          </w:p>
        </w:tc>
        <w:tc>
          <w:tcPr>
            <w:tcW w:w="79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根据监管需要依情况抽取相应的类别，按相应食品类别检验项目检验。</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1"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92" w:type="dxa"/>
            <w:vMerge w:val="restar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油炸面制品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铝的残留限量（干样品，以Al计）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发酵面制品、生湿面制品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苯甲酸及其钠盐（以苯甲酸计）、山梨酸及其钾盐（以山梨酸计）、糖精钠</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花生制品（自制）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黄曲霉毒素B1</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肉冻、皮冻（自制）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铬（以Cr计）</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火锅麻辣烫底料（自制）</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复用餐饮具</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阴离子合成洗涤剂（以十二烷基苯磺酸钠计）、大肠菌群</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1"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092" w:type="dxa"/>
            <w:vMerge w:val="continue"/>
            <w:shd w:val="clear" w:color="auto" w:fill="auto"/>
            <w:noWrap w:val="0"/>
            <w:vAlign w:val="center"/>
          </w:tcPr>
          <w:p>
            <w:pPr>
              <w:jc w:val="center"/>
              <w:rPr>
                <w:rFonts w:hint="eastAsia" w:ascii="宋体" w:hAnsi="宋体" w:eastAsia="宋体" w:cs="宋体"/>
                <w:i w:val="0"/>
                <w:iCs w:val="0"/>
                <w:color w:val="000000"/>
                <w:sz w:val="20"/>
                <w:szCs w:val="20"/>
                <w:u w:val="none"/>
              </w:rPr>
            </w:pPr>
          </w:p>
        </w:tc>
        <w:tc>
          <w:tcPr>
            <w:tcW w:w="194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其他餐饮食品</w:t>
            </w:r>
          </w:p>
        </w:tc>
        <w:tc>
          <w:tcPr>
            <w:tcW w:w="792"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7920"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抽检学校（托幼机构）食堂、配餐企业及养老机构食堂购买的食用油、米、面、蔬菜、调味料、自制糕点、自制饮料、动物血制品等，按相应食品类别检验项目。</w:t>
            </w:r>
          </w:p>
        </w:tc>
        <w:tc>
          <w:tcPr>
            <w:tcW w:w="8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75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default" w:ascii="仿宋_GB2312" w:eastAsia="仿宋_GB2312" w:cs="黑体"/>
          <w:color w:val="auto"/>
          <w:w w:val="90"/>
          <w:kern w:val="2"/>
          <w:sz w:val="32"/>
          <w:szCs w:val="32"/>
          <w:lang w:val="en-US" w:eastAsia="zh-CN" w:bidi="ar-SA"/>
        </w:rPr>
      </w:pPr>
    </w:p>
    <w:p>
      <w:pPr>
        <w:pStyle w:val="2"/>
        <w:spacing w:line="240" w:lineRule="auto"/>
        <w:jc w:val="center"/>
        <w:rPr>
          <w:rFonts w:ascii="宋体" w:hAnsi="宋体"/>
          <w:sz w:val="36"/>
          <w:szCs w:val="36"/>
        </w:rPr>
        <w:sectPr>
          <w:pgSz w:w="16838" w:h="11906" w:orient="landscape"/>
          <w:pgMar w:top="1588" w:right="1418" w:bottom="1588" w:left="1418" w:header="851" w:footer="992" w:gutter="0"/>
          <w:pgNumType w:fmt="decimal"/>
          <w:cols w:space="720" w:num="1"/>
          <w:docGrid w:linePitch="334" w:charSpace="808"/>
        </w:sectPr>
      </w:pPr>
    </w:p>
    <w:p>
      <w:pPr>
        <w:pStyle w:val="2"/>
        <w:spacing w:line="240" w:lineRule="auto"/>
        <w:ind w:left="360"/>
        <w:jc w:val="center"/>
        <w:rPr>
          <w:rFonts w:hint="eastAsia" w:ascii="宋体" w:hAnsi="宋体"/>
          <w:sz w:val="36"/>
          <w:szCs w:val="36"/>
        </w:rPr>
      </w:pPr>
      <w:bookmarkStart w:id="217" w:name="_Toc30847"/>
      <w:bookmarkStart w:id="218" w:name="_Toc101344073"/>
      <w:r>
        <w:rPr>
          <w:rFonts w:hint="eastAsia" w:ascii="宋体" w:hAnsi="宋体"/>
          <w:sz w:val="36"/>
          <w:szCs w:val="36"/>
        </w:rPr>
        <w:t>第四章 评审办法</w:t>
      </w:r>
      <w:bookmarkEnd w:id="215"/>
      <w:bookmarkEnd w:id="216"/>
      <w:bookmarkEnd w:id="217"/>
      <w:bookmarkEnd w:id="218"/>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ascii="宋体" w:hAnsi="宋体"/>
          <w:b/>
          <w:bCs/>
          <w:sz w:val="24"/>
          <w:szCs w:val="24"/>
        </w:rPr>
      </w:pPr>
      <w:r>
        <w:rPr>
          <w:rFonts w:hint="eastAsia" w:ascii="宋体" w:hAnsi="宋体"/>
          <w:b/>
          <w:bCs/>
          <w:sz w:val="24"/>
          <w:szCs w:val="24"/>
        </w:rPr>
        <w:t>1. 磋商响应文件的评审、比较和否决</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1.1 磋商小组将按照竞争性磋商文件的规定，仅对在实质上响应竞争性磋商文件要求的磋商响应文件进行评估和比较。</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1.2 根据相关法律法规及有关招磋商响应文件规定，结合本项目具体情况，制定本次招标评审办法。并按照“公平、公正、科学、择优”的原则进行评标。采用百分制综合分法进行评比。</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1.3 在评审过程中，磋商小组可以要求供应商就磋商响应文件中含义不明确的内容进行陈述；凡遇到竞争性磋商文件中无界定或界定不清、前后不一致使磋商小组成员意见有分歧且又难于协商一致的问题，均由磋商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1.4 评审时，报价是评标的重要依据，但不是唯一依据，采购人不承诺将合同授予报价最低或最高的供应商。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1.5 磋商小组依据竞争性磋商文件中规定的评标标准和方法，对磋商响应文件进行评审和比较，向采购人提出书面评标报告，并推荐合格的中标候选人。采购人根据磋商小组提出的书面评标报告和推荐的中标候选人按序确定中标人。</w:t>
      </w:r>
    </w:p>
    <w:p>
      <w:pPr>
        <w:keepNext w:val="0"/>
        <w:keepLines w:val="0"/>
        <w:pageBreakBefore w:val="0"/>
        <w:widowControl w:val="0"/>
        <w:kinsoku/>
        <w:wordWrap/>
        <w:overflowPunct/>
        <w:topLinePunct w:val="0"/>
        <w:autoSpaceDE/>
        <w:autoSpaceDN/>
        <w:bidi w:val="0"/>
        <w:adjustRightInd/>
        <w:snapToGrid w:val="0"/>
        <w:spacing w:line="500" w:lineRule="exact"/>
        <w:ind w:left="1" w:firstLine="480" w:firstLineChars="200"/>
        <w:textAlignment w:val="auto"/>
        <w:rPr>
          <w:rFonts w:ascii="宋体" w:hAnsi="Calibri" w:cs="宋体"/>
          <w:sz w:val="24"/>
          <w:szCs w:val="24"/>
        </w:rPr>
      </w:pPr>
      <w:r>
        <w:rPr>
          <w:rFonts w:hint="eastAsia" w:ascii="宋体" w:hAnsi="Calibri" w:cs="宋体"/>
          <w:sz w:val="24"/>
          <w:szCs w:val="24"/>
        </w:rPr>
        <w:t>1.6在磋商过程中，评审得分相同的，按照最后报价由低到高的顺序确定，评审得分且最后报价相同的，由采购人确定成交候选供应商。</w:t>
      </w:r>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b/>
          <w:bCs/>
          <w:sz w:val="24"/>
          <w:szCs w:val="24"/>
        </w:rPr>
      </w:pPr>
      <w:r>
        <w:rPr>
          <w:rFonts w:hint="eastAsia" w:ascii="宋体" w:hAnsi="宋体"/>
          <w:b/>
          <w:bCs/>
          <w:sz w:val="24"/>
          <w:szCs w:val="24"/>
        </w:rPr>
        <w:t>2. 评审程序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 xml:space="preserve">2.1 </w:t>
      </w:r>
      <w:r>
        <w:rPr>
          <w:rFonts w:hint="eastAsia" w:ascii="宋体" w:hAnsi="Calibri" w:cs="宋体"/>
          <w:sz w:val="24"/>
          <w:szCs w:val="24"/>
        </w:rPr>
        <w:t>资格审查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条“磋商具体方法和标准”的要求对磋商供应商的资格要求相关证件材料进行审查，有一项不符合的，视为未通过资格审查，按无效标处理，符合的进入下一磋商程序。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ascii="宋体" w:hAnsi="Calibri" w:cs="宋体"/>
          <w:sz w:val="24"/>
          <w:szCs w:val="24"/>
        </w:rPr>
        <w:t>2.2</w:t>
      </w:r>
      <w:r>
        <w:rPr>
          <w:rFonts w:hint="eastAsia" w:ascii="宋体" w:hAnsi="Calibri" w:cs="宋体"/>
          <w:sz w:val="24"/>
          <w:szCs w:val="24"/>
        </w:rPr>
        <w:t>符合性审查</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Calibri" w:cs="宋体"/>
          <w:sz w:val="24"/>
          <w:szCs w:val="24"/>
        </w:rPr>
      </w:pPr>
      <w:r>
        <w:rPr>
          <w:rFonts w:hint="eastAsia" w:ascii="宋体" w:hAnsi="Calibri" w:cs="宋体"/>
          <w:sz w:val="24"/>
          <w:szCs w:val="24"/>
        </w:rPr>
        <w:t>磋商小组按照本章第</w:t>
      </w:r>
      <w:r>
        <w:rPr>
          <w:rFonts w:hint="eastAsia" w:ascii="宋体" w:hAnsi="Calibri" w:cs="宋体"/>
          <w:sz w:val="24"/>
          <w:szCs w:val="24"/>
          <w:lang w:val="en-US" w:eastAsia="zh-CN"/>
        </w:rPr>
        <w:t>3</w:t>
      </w:r>
      <w:r>
        <w:rPr>
          <w:rFonts w:hint="eastAsia" w:ascii="宋体" w:hAnsi="Calibri" w:cs="宋体"/>
          <w:sz w:val="24"/>
          <w:szCs w:val="24"/>
        </w:rPr>
        <w:t>条“磋商具体方法和标准”的要求对磋商供应商的符合性进行审查，有一项不符合的，视为未通过符合性审查，按无效标处理，符合的进入下一磋商程序。</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rPr>
        <w:t>2.3 磋商小组所有成员集中与通过初步评审的供应商分别逐一进行磋商，磋商双方可以就磋商项目所涉服务方案、服务要求等进行磋商，但磋商的任何一方不得透露与磋商有关的其他供应商的技术资料、价格和其他信息。磋商结束后要求所有参加磋商的磋商供应商在规定时间内进行（最后报价）。</w:t>
      </w:r>
    </w:p>
    <w:p>
      <w:pPr>
        <w:keepNext w:val="0"/>
        <w:keepLines w:val="0"/>
        <w:pageBreakBefore w:val="0"/>
        <w:widowControl w:val="0"/>
        <w:kinsoku/>
        <w:wordWrap/>
        <w:overflowPunct/>
        <w:topLinePunct w:val="0"/>
        <w:autoSpaceDE/>
        <w:autoSpaceDN/>
        <w:bidi w:val="0"/>
        <w:adjustRightInd/>
        <w:snapToGrid w:val="0"/>
        <w:spacing w:line="500" w:lineRule="exact"/>
        <w:ind w:left="1" w:firstLine="482" w:firstLineChars="200"/>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3.磋商具体方法和标准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宋体" w:hAnsi="Calibri" w:cs="宋体"/>
          <w:sz w:val="24"/>
          <w:szCs w:val="24"/>
        </w:rPr>
      </w:pPr>
      <w:r>
        <w:rPr>
          <w:rFonts w:hint="eastAsia" w:ascii="宋体" w:hAnsi="Calibri" w:cs="宋体"/>
          <w:sz w:val="24"/>
          <w:szCs w:val="24"/>
          <w:lang w:val="en-US" w:eastAsia="zh-CN"/>
        </w:rPr>
        <w:t>3.1</w:t>
      </w:r>
      <w:r>
        <w:rPr>
          <w:rFonts w:hint="eastAsia" w:ascii="宋体" w:hAnsi="Calibri" w:cs="宋体"/>
          <w:sz w:val="24"/>
          <w:szCs w:val="24"/>
        </w:rPr>
        <w:t>满足</w:t>
      </w:r>
      <w:r>
        <w:rPr>
          <w:rFonts w:hint="eastAsia" w:ascii="宋体" w:hAnsi="Calibri" w:cs="宋体"/>
          <w:sz w:val="24"/>
          <w:szCs w:val="24"/>
          <w:lang w:eastAsia="zh-CN"/>
        </w:rPr>
        <w:t>竞争性磋商</w:t>
      </w:r>
      <w:r>
        <w:rPr>
          <w:rFonts w:hint="eastAsia" w:ascii="宋体" w:hAnsi="Calibri" w:cs="宋体"/>
          <w:sz w:val="24"/>
          <w:szCs w:val="24"/>
        </w:rPr>
        <w:t>文件要求且价格最低的报价为评标基准价，其价格分为满分（即</w:t>
      </w:r>
      <w:r>
        <w:rPr>
          <w:rFonts w:hint="eastAsia" w:ascii="宋体" w:hAnsi="Calibri" w:cs="宋体"/>
          <w:sz w:val="24"/>
          <w:szCs w:val="24"/>
          <w:lang w:val="en-US" w:eastAsia="zh-CN"/>
        </w:rPr>
        <w:t>10</w:t>
      </w:r>
      <w:r>
        <w:rPr>
          <w:rFonts w:hint="eastAsia" w:ascii="宋体" w:hAnsi="Calibri" w:cs="宋体"/>
          <w:sz w:val="24"/>
          <w:szCs w:val="24"/>
        </w:rPr>
        <w:t>分）。其他投标人的价格分统一按照下列公式计算：报价得分=(评标基准价／报价)×价格权值（</w:t>
      </w:r>
      <w:r>
        <w:rPr>
          <w:rFonts w:hint="eastAsia" w:ascii="宋体" w:hAnsi="Calibri" w:cs="宋体"/>
          <w:sz w:val="24"/>
          <w:szCs w:val="24"/>
          <w:lang w:val="en-US" w:eastAsia="zh-CN"/>
        </w:rPr>
        <w:t>10</w:t>
      </w:r>
      <w:r>
        <w:rPr>
          <w:rFonts w:hint="eastAsia" w:ascii="宋体" w:hAnsi="Calibri" w:cs="宋体"/>
          <w:sz w:val="24"/>
          <w:szCs w:val="24"/>
        </w:rPr>
        <w:t>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Calibri" w:cs="宋体"/>
          <w:sz w:val="24"/>
          <w:szCs w:val="24"/>
        </w:rPr>
      </w:pPr>
      <w:r>
        <w:rPr>
          <w:rFonts w:hint="eastAsia" w:ascii="宋体" w:hAnsi="Calibri" w:cs="宋体"/>
          <w:sz w:val="24"/>
          <w:szCs w:val="24"/>
          <w:lang w:val="en-US" w:eastAsia="zh-CN"/>
        </w:rPr>
        <w:t>3.2</w:t>
      </w:r>
      <w:r>
        <w:rPr>
          <w:rFonts w:hint="eastAsia" w:ascii="宋体" w:hAnsi="Calibri" w:cs="宋体"/>
          <w:sz w:val="24"/>
          <w:szCs w:val="24"/>
        </w:rPr>
        <w:t>磋商小组根据磋商原则和办法对所有磋商文件进行集中审核，分别评价。</w:t>
      </w:r>
    </w:p>
    <w:tbl>
      <w:tblPr>
        <w:tblStyle w:val="15"/>
        <w:tblW w:w="9532" w:type="dxa"/>
        <w:jc w:val="center"/>
        <w:tblLayout w:type="fixed"/>
        <w:tblCellMar>
          <w:top w:w="0" w:type="dxa"/>
          <w:left w:w="0" w:type="dxa"/>
          <w:bottom w:w="0" w:type="dxa"/>
          <w:right w:w="0" w:type="dxa"/>
        </w:tblCellMar>
      </w:tblPr>
      <w:tblGrid>
        <w:gridCol w:w="1027"/>
        <w:gridCol w:w="1359"/>
        <w:gridCol w:w="1559"/>
        <w:gridCol w:w="766"/>
        <w:gridCol w:w="4821"/>
      </w:tblGrid>
      <w:tr>
        <w:tblPrEx>
          <w:tblCellMar>
            <w:top w:w="0" w:type="dxa"/>
            <w:left w:w="0" w:type="dxa"/>
            <w:bottom w:w="0" w:type="dxa"/>
            <w:right w:w="0" w:type="dxa"/>
          </w:tblCellMar>
        </w:tblPrEx>
        <w:trPr>
          <w:trHeight w:val="655" w:hRule="atLeast"/>
          <w:jc w:val="center"/>
        </w:trPr>
        <w:tc>
          <w:tcPr>
            <w:tcW w:w="2386" w:type="dxa"/>
            <w:gridSpan w:val="2"/>
            <w:tcBorders>
              <w:top w:val="single" w:color="auto" w:sz="4" w:space="0"/>
              <w:left w:val="single" w:color="auto"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2325" w:type="dxa"/>
            <w:gridSpan w:val="2"/>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评审因素</w:t>
            </w:r>
          </w:p>
        </w:tc>
        <w:tc>
          <w:tcPr>
            <w:tcW w:w="4821" w:type="dxa"/>
            <w:tcBorders>
              <w:top w:val="single" w:color="auto" w:sz="4" w:space="0"/>
              <w:left w:val="single" w:color="000000" w:sz="4" w:space="0"/>
              <w:bottom w:val="single" w:color="000000" w:sz="4" w:space="0"/>
              <w:right w:val="single" w:color="auto"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评审标准</w:t>
            </w:r>
          </w:p>
        </w:tc>
      </w:tr>
      <w:tr>
        <w:tblPrEx>
          <w:tblCellMar>
            <w:top w:w="0" w:type="dxa"/>
            <w:left w:w="0" w:type="dxa"/>
            <w:bottom w:w="0" w:type="dxa"/>
            <w:right w:w="0" w:type="dxa"/>
          </w:tblCellMar>
        </w:tblPrEx>
        <w:trPr>
          <w:trHeight w:val="1104" w:hRule="atLeast"/>
          <w:jc w:val="center"/>
        </w:trPr>
        <w:tc>
          <w:tcPr>
            <w:tcW w:w="1027"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2.1.1</w:t>
            </w:r>
          </w:p>
        </w:tc>
        <w:tc>
          <w:tcPr>
            <w:tcW w:w="1359"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资格评审标准</w:t>
            </w: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独立法人</w:t>
            </w:r>
            <w:r>
              <w:rPr>
                <w:rFonts w:hint="eastAsia" w:ascii="宋体" w:hAnsi="宋体" w:cs="宋体"/>
                <w:sz w:val="24"/>
                <w:szCs w:val="24"/>
                <w:lang w:eastAsia="zh-CN"/>
              </w:rPr>
              <w:t>、</w:t>
            </w:r>
            <w:r>
              <w:rPr>
                <w:rFonts w:hint="eastAsia" w:ascii="宋体" w:hAnsi="宋体"/>
                <w:sz w:val="24"/>
                <w:szCs w:val="24"/>
              </w:rPr>
              <w:t>有效的营业执照</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rPr>
            </w:pPr>
            <w:r>
              <w:rPr>
                <w:rFonts w:hint="eastAsia" w:ascii="宋体" w:hAnsi="宋体"/>
                <w:sz w:val="24"/>
                <w:szCs w:val="24"/>
              </w:rPr>
              <w:t>必须是在中国境内注册的独立法人，具有合法有效的营业执照；</w:t>
            </w:r>
          </w:p>
        </w:tc>
      </w:tr>
      <w:tr>
        <w:tblPrEx>
          <w:tblCellMar>
            <w:top w:w="0" w:type="dxa"/>
            <w:left w:w="0" w:type="dxa"/>
            <w:bottom w:w="0" w:type="dxa"/>
            <w:right w:w="0" w:type="dxa"/>
          </w:tblCellMar>
        </w:tblPrEx>
        <w:trPr>
          <w:trHeight w:val="2441"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认证证书、检验资质、合格证书</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rPr>
            </w:pPr>
            <w:r>
              <w:rPr>
                <w:rFonts w:hint="eastAsia" w:ascii="宋体" w:hAnsi="宋体"/>
                <w:sz w:val="24"/>
                <w:szCs w:val="24"/>
              </w:rPr>
              <w:t>具备有效的食品检验机构资质认定证书（CMAF）或标识含食品的资质认定计量认证证书（CMA），具备所有检验项目（注：保健食品中的“功效</w:t>
            </w:r>
            <w:r>
              <w:rPr>
                <w:rFonts w:ascii="宋体" w:hAnsi="宋体"/>
                <w:sz w:val="24"/>
                <w:szCs w:val="24"/>
              </w:rPr>
              <w:t>/标志性成分</w:t>
            </w:r>
            <w:r>
              <w:rPr>
                <w:rFonts w:hint="eastAsia" w:ascii="宋体" w:hAnsi="宋体"/>
                <w:sz w:val="24"/>
                <w:szCs w:val="24"/>
              </w:rPr>
              <w:t>”除外）的法定检验资质（须提供证书及已取得认证项目目录）；</w:t>
            </w:r>
          </w:p>
        </w:tc>
      </w:tr>
      <w:tr>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具有履行本项目采购内容所必须的设备和专业技术服务能力</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具有履行本项目采购内容所必须的设备和专业技术服务能力</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(提供证明材料或承诺书)</w:t>
            </w:r>
            <w:r>
              <w:rPr>
                <w:rFonts w:hint="eastAsia" w:ascii="宋体" w:hAnsi="宋体" w:eastAsia="宋体" w:cs="Times New Roman"/>
                <w:sz w:val="24"/>
                <w:szCs w:val="24"/>
              </w:rPr>
              <w:t>；</w:t>
            </w:r>
          </w:p>
        </w:tc>
      </w:tr>
      <w:tr>
        <w:tblPrEx>
          <w:tblCellMar>
            <w:top w:w="0" w:type="dxa"/>
            <w:left w:w="0" w:type="dxa"/>
            <w:bottom w:w="0" w:type="dxa"/>
            <w:right w:w="0" w:type="dxa"/>
          </w:tblCellMar>
        </w:tblPrEx>
        <w:trPr>
          <w:trHeight w:val="2424"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依法缴纳税收</w:t>
            </w:r>
            <w:r>
              <w:rPr>
                <w:rFonts w:hint="eastAsia" w:ascii="宋体" w:hAnsi="宋体" w:cs="宋体"/>
                <w:sz w:val="24"/>
                <w:szCs w:val="24"/>
                <w:lang w:eastAsia="zh-CN"/>
              </w:rPr>
              <w:t>和</w:t>
            </w:r>
            <w:r>
              <w:rPr>
                <w:rFonts w:hint="eastAsia" w:ascii="宋体" w:hAnsi="宋体" w:cs="宋体"/>
                <w:sz w:val="24"/>
                <w:szCs w:val="24"/>
              </w:rPr>
              <w:t>社会保障资金</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依法缴纳税收（提供202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w:t>
            </w:r>
            <w:r>
              <w:rPr>
                <w:rFonts w:hint="eastAsia" w:ascii="宋体" w:hAnsi="宋体" w:eastAsia="宋体" w:cs="Times New Roman"/>
                <w:sz w:val="24"/>
                <w:szCs w:val="24"/>
                <w:lang w:eastAsia="zh-CN"/>
              </w:rPr>
              <w:t>连续三个</w:t>
            </w:r>
            <w:r>
              <w:rPr>
                <w:rFonts w:hint="eastAsia" w:ascii="宋体" w:hAnsi="宋体" w:eastAsia="宋体" w:cs="Times New Roman"/>
                <w:sz w:val="24"/>
                <w:szCs w:val="24"/>
              </w:rPr>
              <w:t>月的税收缴纳证明材料；注：依法免税的，应提供税务部门出具的依法免税证明材料；）和社会保障资金（提供202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01</w:t>
            </w:r>
            <w:r>
              <w:rPr>
                <w:rFonts w:hint="eastAsia" w:ascii="宋体" w:hAnsi="宋体" w:eastAsia="宋体" w:cs="Times New Roman"/>
                <w:sz w:val="24"/>
                <w:szCs w:val="24"/>
              </w:rPr>
              <w:t>月以来项目负责人</w:t>
            </w:r>
            <w:r>
              <w:rPr>
                <w:rFonts w:hint="eastAsia" w:ascii="宋体" w:hAnsi="宋体" w:eastAsia="宋体" w:cs="Times New Roman"/>
                <w:sz w:val="24"/>
                <w:szCs w:val="24"/>
                <w:lang w:eastAsia="zh-CN"/>
              </w:rPr>
              <w:t>连续</w:t>
            </w:r>
            <w:r>
              <w:rPr>
                <w:rFonts w:hint="eastAsia" w:ascii="宋体" w:hAnsi="宋体" w:eastAsia="宋体" w:cs="Times New Roman"/>
                <w:sz w:val="24"/>
                <w:szCs w:val="24"/>
              </w:rPr>
              <w:t>三个月的社保证明材料）；</w:t>
            </w:r>
          </w:p>
        </w:tc>
      </w:tr>
      <w:tr>
        <w:tblPrEx>
          <w:tblCellMar>
            <w:top w:w="0" w:type="dxa"/>
            <w:left w:w="0" w:type="dxa"/>
            <w:bottom w:w="0" w:type="dxa"/>
            <w:right w:w="0" w:type="dxa"/>
          </w:tblCellMar>
        </w:tblPrEx>
        <w:trPr>
          <w:trHeight w:val="210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lang w:val="en-US"/>
              </w:rPr>
              <w:t>具有良好的商业信誉和健全的财务会计制度</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rPr>
              <w:t>具有良好的商业信誉和健全的财务会计制度，提供近三年任意一年经审计的财务报告（或财务报表）；新成立公司无审计报告应附最新的财务报表说明；</w:t>
            </w:r>
          </w:p>
        </w:tc>
      </w:tr>
      <w:tr>
        <w:tblPrEx>
          <w:tblCellMar>
            <w:top w:w="0" w:type="dxa"/>
            <w:left w:w="0" w:type="dxa"/>
            <w:bottom w:w="0" w:type="dxa"/>
            <w:right w:w="0" w:type="dxa"/>
          </w:tblCellMar>
        </w:tblPrEx>
        <w:trPr>
          <w:trHeight w:val="235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参加政府采购活动前3年内无行贿犯罪记录</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参加政府采购活动前3年内无行贿犯罪记录；（提供《中国裁判文书网》查询结果网页截图或企业自行承诺的无行贿犯罪承诺书，查询&lt;承诺&gt;对象为“企业，法定代表人，项目负责人”。）</w:t>
            </w:r>
          </w:p>
        </w:tc>
      </w:tr>
      <w:tr>
        <w:tblPrEx>
          <w:tblCellMar>
            <w:top w:w="0" w:type="dxa"/>
            <w:left w:w="0" w:type="dxa"/>
            <w:bottom w:w="0" w:type="dxa"/>
            <w:right w:w="0" w:type="dxa"/>
          </w:tblCellMar>
        </w:tblPrEx>
        <w:trPr>
          <w:trHeight w:val="166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eastAsia="宋体" w:cs="宋体"/>
                <w:sz w:val="24"/>
                <w:szCs w:val="24"/>
              </w:rPr>
              <w:t>参加政府采购活动前3年内无商业贿赂、不正当竞争行为</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rPr>
              <w:t>参加政府采购活动前3年内无商业贿赂、不正当竞争行为、骗取中标、严重违约及重大工程质量等问题</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val="en-US"/>
              </w:rPr>
              <w:t>（</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lang w:val="en-US"/>
              </w:rPr>
              <w:t>须自行出具承诺书）</w:t>
            </w:r>
          </w:p>
        </w:tc>
      </w:tr>
      <w:tr>
        <w:tblPrEx>
          <w:tblCellMar>
            <w:top w:w="0" w:type="dxa"/>
            <w:left w:w="0" w:type="dxa"/>
            <w:bottom w:w="0" w:type="dxa"/>
            <w:right w:w="0" w:type="dxa"/>
          </w:tblCellMar>
        </w:tblPrEx>
        <w:trPr>
          <w:trHeight w:val="67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信用查询</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tblPrEx>
          <w:tblCellMar>
            <w:top w:w="0" w:type="dxa"/>
            <w:left w:w="0" w:type="dxa"/>
            <w:bottom w:w="0" w:type="dxa"/>
            <w:right w:w="0" w:type="dxa"/>
          </w:tblCellMar>
        </w:tblPrEx>
        <w:trPr>
          <w:trHeight w:val="56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非</w:t>
            </w:r>
            <w:r>
              <w:rPr>
                <w:rFonts w:hint="eastAsia" w:ascii="宋体" w:hAnsi="宋体" w:eastAsia="宋体" w:cs="宋体"/>
                <w:sz w:val="24"/>
                <w:szCs w:val="24"/>
              </w:rPr>
              <w:t>联合体</w:t>
            </w:r>
            <w:r>
              <w:rPr>
                <w:rFonts w:hint="eastAsia" w:ascii="宋体" w:hAnsi="宋体" w:eastAsia="宋体" w:cs="宋体"/>
                <w:sz w:val="24"/>
                <w:szCs w:val="24"/>
                <w:lang w:eastAsia="zh-CN"/>
              </w:rPr>
              <w:t>投标</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本项目不接受联合体；</w:t>
            </w:r>
          </w:p>
        </w:tc>
      </w:tr>
      <w:tr>
        <w:tblPrEx>
          <w:tblCellMar>
            <w:top w:w="0" w:type="dxa"/>
            <w:left w:w="0" w:type="dxa"/>
            <w:bottom w:w="0" w:type="dxa"/>
            <w:right w:w="0" w:type="dxa"/>
          </w:tblCellMar>
        </w:tblPrEx>
        <w:trPr>
          <w:trHeight w:val="68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2325" w:type="dxa"/>
            <w:gridSpan w:val="2"/>
            <w:tcBorders>
              <w:top w:val="single" w:color="000000"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其他</w:t>
            </w:r>
          </w:p>
        </w:tc>
        <w:tc>
          <w:tcPr>
            <w:tcW w:w="482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磋商文件规定的其他内容</w:t>
            </w:r>
          </w:p>
        </w:tc>
      </w:tr>
      <w:tr>
        <w:tblPrEx>
          <w:tblCellMar>
            <w:top w:w="0" w:type="dxa"/>
            <w:left w:w="0" w:type="dxa"/>
            <w:bottom w:w="0" w:type="dxa"/>
            <w:right w:w="0" w:type="dxa"/>
          </w:tblCellMar>
        </w:tblPrEx>
        <w:trPr>
          <w:trHeight w:val="682" w:hRule="atLeast"/>
          <w:jc w:val="center"/>
        </w:trPr>
        <w:tc>
          <w:tcPr>
            <w:tcW w:w="9532" w:type="dxa"/>
            <w:gridSpan w:val="5"/>
            <w:tcBorders>
              <w:top w:val="single" w:color="auto" w:sz="4" w:space="0"/>
              <w:left w:val="single" w:color="auto" w:sz="4" w:space="0"/>
              <w:right w:val="single" w:color="auto" w:sz="4" w:space="0"/>
            </w:tcBorders>
            <w:noWrap w:val="0"/>
            <w:vAlign w:val="center"/>
          </w:tcPr>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注：以上资格项评审标准中所涉及的证明材料，均以磋商响应文件中所附原件扫描件为准（网页查询以网页截图为准），提供不全或者未按要求提供的，视为没有提供。</w:t>
            </w:r>
          </w:p>
        </w:tc>
      </w:tr>
      <w:tr>
        <w:tblPrEx>
          <w:tblCellMar>
            <w:top w:w="0" w:type="dxa"/>
            <w:left w:w="0" w:type="dxa"/>
            <w:bottom w:w="0" w:type="dxa"/>
            <w:right w:w="0" w:type="dxa"/>
          </w:tblCellMar>
        </w:tblPrEx>
        <w:trPr>
          <w:trHeight w:val="552" w:hRule="atLeast"/>
          <w:jc w:val="center"/>
        </w:trPr>
        <w:tc>
          <w:tcPr>
            <w:tcW w:w="1027"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2.1.2</w:t>
            </w:r>
          </w:p>
        </w:tc>
        <w:tc>
          <w:tcPr>
            <w:tcW w:w="1359" w:type="dxa"/>
            <w:vMerge w:val="restart"/>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符合性评审标准</w:t>
            </w:r>
          </w:p>
        </w:tc>
        <w:tc>
          <w:tcPr>
            <w:tcW w:w="2325" w:type="dxa"/>
            <w:gridSpan w:val="2"/>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供应商名称</w:t>
            </w:r>
          </w:p>
        </w:tc>
        <w:tc>
          <w:tcPr>
            <w:tcW w:w="4821" w:type="dxa"/>
            <w:tcBorders>
              <w:top w:val="single" w:color="auto" w:sz="4" w:space="0"/>
              <w:left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供应商名称与营业执照、资质证书名称一致；</w:t>
            </w:r>
          </w:p>
        </w:tc>
      </w:tr>
      <w:tr>
        <w:tblPrEx>
          <w:tblCellMar>
            <w:top w:w="0" w:type="dxa"/>
            <w:left w:w="0" w:type="dxa"/>
            <w:bottom w:w="0" w:type="dxa"/>
            <w:right w:w="0" w:type="dxa"/>
          </w:tblCellMar>
        </w:tblPrEx>
        <w:trPr>
          <w:trHeight w:val="552"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2325" w:type="dxa"/>
            <w:gridSpan w:val="2"/>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lang w:eastAsia="zh-CN"/>
              </w:rPr>
              <w:t>响应</w:t>
            </w:r>
            <w:r>
              <w:rPr>
                <w:rFonts w:ascii="宋体" w:hAnsi="宋体" w:cs="宋体"/>
                <w:sz w:val="24"/>
                <w:szCs w:val="24"/>
              </w:rPr>
              <w:t>文件格式</w:t>
            </w:r>
          </w:p>
        </w:tc>
        <w:tc>
          <w:tcPr>
            <w:tcW w:w="4821" w:type="dxa"/>
            <w:tcBorders>
              <w:top w:val="single" w:color="auto" w:sz="4" w:space="0"/>
              <w:left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tblPrEx>
          <w:tblCellMar>
            <w:top w:w="0" w:type="dxa"/>
            <w:left w:w="0" w:type="dxa"/>
            <w:bottom w:w="0" w:type="dxa"/>
            <w:right w:w="0" w:type="dxa"/>
          </w:tblCellMar>
        </w:tblPrEx>
        <w:trPr>
          <w:trHeight w:val="63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签章</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符合第二章供应商须知中签字和盖章要求；</w:t>
            </w:r>
          </w:p>
        </w:tc>
      </w:tr>
      <w:tr>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只能有一个有效报价且不超过采购预算，否则按废标处理；</w:t>
            </w:r>
          </w:p>
        </w:tc>
      </w:tr>
      <w:tr>
        <w:tblPrEx>
          <w:tblCellMar>
            <w:top w:w="0" w:type="dxa"/>
            <w:left w:w="0" w:type="dxa"/>
            <w:bottom w:w="0" w:type="dxa"/>
            <w:right w:w="0" w:type="dxa"/>
          </w:tblCellMar>
        </w:tblPrEx>
        <w:trPr>
          <w:trHeight w:val="711"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服务内容</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20"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质量</w:t>
            </w:r>
          </w:p>
        </w:tc>
        <w:tc>
          <w:tcPr>
            <w:tcW w:w="4821" w:type="dxa"/>
            <w:tcBorders>
              <w:top w:val="single" w:color="auto" w:sz="4" w:space="0"/>
              <w:left w:val="single" w:color="000000"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01"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eastAsia="宋体" w:cs="宋体"/>
                <w:sz w:val="24"/>
                <w:szCs w:val="24"/>
                <w:lang w:eastAsia="zh-CN"/>
              </w:rPr>
            </w:pPr>
            <w:r>
              <w:rPr>
                <w:rFonts w:hint="eastAsia" w:ascii="宋体" w:hAnsi="宋体" w:cs="宋体"/>
                <w:sz w:val="24"/>
                <w:szCs w:val="24"/>
              </w:rPr>
              <w:t>服务期</w:t>
            </w:r>
            <w:r>
              <w:rPr>
                <w:rFonts w:hint="eastAsia" w:ascii="宋体" w:hAnsi="宋体" w:cs="宋体"/>
                <w:sz w:val="24"/>
                <w:szCs w:val="24"/>
                <w:lang w:eastAsia="zh-CN"/>
              </w:rPr>
              <w:t>限</w:t>
            </w:r>
          </w:p>
        </w:tc>
        <w:tc>
          <w:tcPr>
            <w:tcW w:w="4821" w:type="dxa"/>
            <w:tcBorders>
              <w:top w:val="single" w:color="auto"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757"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服务地点</w:t>
            </w:r>
          </w:p>
        </w:tc>
        <w:tc>
          <w:tcPr>
            <w:tcW w:w="4821"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575"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投标承诺函</w:t>
            </w:r>
          </w:p>
        </w:tc>
        <w:tc>
          <w:tcPr>
            <w:tcW w:w="4821"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符合第六章“响应文件格式”的要求；</w:t>
            </w:r>
          </w:p>
        </w:tc>
      </w:tr>
      <w:tr>
        <w:tblPrEx>
          <w:tblCellMar>
            <w:top w:w="0" w:type="dxa"/>
            <w:left w:w="0" w:type="dxa"/>
            <w:bottom w:w="0" w:type="dxa"/>
            <w:right w:w="0" w:type="dxa"/>
          </w:tblCellMar>
        </w:tblPrEx>
        <w:trPr>
          <w:trHeight w:val="503" w:hRule="atLeas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1359"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ascii="宋体" w:hAnsi="宋体"/>
                <w:spacing w:val="1"/>
                <w:kern w:val="0"/>
                <w:sz w:val="24"/>
                <w:szCs w:val="24"/>
              </w:rPr>
            </w:pPr>
          </w:p>
        </w:tc>
        <w:tc>
          <w:tcPr>
            <w:tcW w:w="232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磋商有效期</w:t>
            </w:r>
          </w:p>
        </w:tc>
        <w:tc>
          <w:tcPr>
            <w:tcW w:w="4821" w:type="dxa"/>
            <w:tcBorders>
              <w:top w:val="single" w:color="auto"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符合第二章“投标供应商须知”规定；</w:t>
            </w:r>
          </w:p>
        </w:tc>
      </w:tr>
      <w:tr>
        <w:tblPrEx>
          <w:tblCellMar>
            <w:top w:w="0" w:type="dxa"/>
            <w:left w:w="0" w:type="dxa"/>
            <w:bottom w:w="0" w:type="dxa"/>
            <w:right w:w="0" w:type="dxa"/>
          </w:tblCellMar>
        </w:tblPrEx>
        <w:trPr>
          <w:trHeight w:val="598" w:hRule="atLeast"/>
          <w:jc w:val="center"/>
        </w:trPr>
        <w:tc>
          <w:tcPr>
            <w:tcW w:w="102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条款号</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hint="eastAsia" w:ascii="宋体" w:hAnsi="宋体"/>
                <w:b/>
                <w:spacing w:val="1"/>
                <w:kern w:val="0"/>
                <w:sz w:val="24"/>
                <w:szCs w:val="24"/>
              </w:rPr>
            </w:pPr>
            <w:r>
              <w:rPr>
                <w:rFonts w:hint="eastAsia" w:ascii="宋体" w:hAnsi="宋体"/>
                <w:b/>
                <w:spacing w:val="1"/>
                <w:kern w:val="0"/>
                <w:sz w:val="24"/>
                <w:szCs w:val="24"/>
              </w:rPr>
              <w:t>条款</w:t>
            </w:r>
          </w:p>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内容</w:t>
            </w:r>
          </w:p>
        </w:tc>
        <w:tc>
          <w:tcPr>
            <w:tcW w:w="714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ind w:right="97" w:firstLine="68" w:firstLineChars="28"/>
              <w:jc w:val="center"/>
              <w:rPr>
                <w:rFonts w:ascii="宋体" w:hAnsi="宋体"/>
                <w:b/>
                <w:spacing w:val="1"/>
                <w:kern w:val="0"/>
                <w:sz w:val="24"/>
                <w:szCs w:val="24"/>
              </w:rPr>
            </w:pPr>
            <w:r>
              <w:rPr>
                <w:rFonts w:hint="eastAsia" w:ascii="宋体" w:hAnsi="宋体"/>
                <w:b/>
                <w:spacing w:val="1"/>
                <w:kern w:val="0"/>
                <w:sz w:val="24"/>
                <w:szCs w:val="24"/>
              </w:rPr>
              <w:t>编列内容</w:t>
            </w:r>
          </w:p>
        </w:tc>
      </w:tr>
      <w:tr>
        <w:tblPrEx>
          <w:tblCellMar>
            <w:top w:w="0" w:type="dxa"/>
            <w:left w:w="0" w:type="dxa"/>
            <w:bottom w:w="0" w:type="dxa"/>
            <w:right w:w="0" w:type="dxa"/>
          </w:tblCellMar>
        </w:tblPrEx>
        <w:trPr>
          <w:trHeight w:val="1051" w:hRule="atLeast"/>
          <w:jc w:val="center"/>
        </w:trPr>
        <w:tc>
          <w:tcPr>
            <w:tcW w:w="1027" w:type="dxa"/>
            <w:tcBorders>
              <w:top w:val="single" w:color="000000" w:sz="4" w:space="0"/>
              <w:left w:val="single" w:color="000000" w:sz="4" w:space="0"/>
              <w:bottom w:val="single" w:color="auto" w:sz="4" w:space="0"/>
              <w:right w:val="single" w:color="000000"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2.2.1</w:t>
            </w:r>
          </w:p>
        </w:tc>
        <w:tc>
          <w:tcPr>
            <w:tcW w:w="135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57" w:leftChars="27" w:right="84" w:rightChars="40"/>
              <w:jc w:val="both"/>
              <w:rPr>
                <w:rFonts w:ascii="宋体" w:hAnsi="宋体" w:cs="宋体"/>
                <w:sz w:val="24"/>
                <w:szCs w:val="24"/>
              </w:rPr>
            </w:pPr>
            <w:r>
              <w:rPr>
                <w:rFonts w:hint="eastAsia" w:ascii="宋体" w:hAnsi="宋体" w:cs="宋体"/>
                <w:sz w:val="24"/>
                <w:szCs w:val="24"/>
              </w:rPr>
              <w:t>分值构成</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(总分100分)</w:t>
            </w:r>
          </w:p>
        </w:tc>
        <w:tc>
          <w:tcPr>
            <w:tcW w:w="714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 xml:space="preserve">报价部分：  </w:t>
            </w:r>
            <w:r>
              <w:rPr>
                <w:rFonts w:hint="eastAsia" w:ascii="宋体" w:hAnsi="宋体" w:cs="宋体"/>
                <w:sz w:val="24"/>
                <w:szCs w:val="24"/>
                <w:lang w:val="en-US" w:eastAsia="zh-CN"/>
              </w:rPr>
              <w:t>10</w:t>
            </w:r>
            <w:r>
              <w:rPr>
                <w:rFonts w:hint="eastAsia" w:ascii="宋体" w:hAnsi="宋体" w:cs="宋体"/>
                <w:sz w:val="24"/>
                <w:szCs w:val="24"/>
              </w:rPr>
              <w:t xml:space="preserve">  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技术部分：  40  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 xml:space="preserve">商务部分：  </w:t>
            </w:r>
            <w:r>
              <w:rPr>
                <w:rFonts w:hint="eastAsia" w:ascii="宋体" w:hAnsi="宋体" w:cs="宋体"/>
                <w:sz w:val="24"/>
                <w:szCs w:val="24"/>
                <w:lang w:val="en-US" w:eastAsia="zh-CN"/>
              </w:rPr>
              <w:t>50</w:t>
            </w:r>
            <w:r>
              <w:rPr>
                <w:rFonts w:hint="eastAsia" w:ascii="宋体" w:hAnsi="宋体" w:cs="宋体"/>
                <w:sz w:val="24"/>
                <w:szCs w:val="24"/>
              </w:rPr>
              <w:t xml:space="preserve">  分</w:t>
            </w:r>
          </w:p>
        </w:tc>
      </w:tr>
      <w:tr>
        <w:tblPrEx>
          <w:tblCellMar>
            <w:top w:w="0" w:type="dxa"/>
            <w:left w:w="0" w:type="dxa"/>
            <w:bottom w:w="0" w:type="dxa"/>
            <w:right w:w="0" w:type="dxa"/>
          </w:tblCellMar>
        </w:tblPrEx>
        <w:trPr>
          <w:trHeight w:val="32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2.2.2</w:t>
            </w:r>
          </w:p>
        </w:tc>
        <w:tc>
          <w:tcPr>
            <w:tcW w:w="1359" w:type="dxa"/>
            <w:tcBorders>
              <w:top w:val="single" w:color="000000" w:sz="4" w:space="0"/>
              <w:left w:val="single" w:color="auto" w:sz="4" w:space="0"/>
              <w:bottom w:val="single" w:color="auto" w:sz="4" w:space="0"/>
              <w:right w:val="single" w:color="000000"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报价部分（</w:t>
            </w:r>
            <w:r>
              <w:rPr>
                <w:rFonts w:hint="eastAsia" w:ascii="宋体" w:hAnsi="宋体" w:cs="宋体"/>
                <w:sz w:val="24"/>
                <w:szCs w:val="24"/>
                <w:lang w:val="en-US" w:eastAsia="zh-CN"/>
              </w:rPr>
              <w:t>10</w:t>
            </w:r>
            <w:r>
              <w:rPr>
                <w:rFonts w:hint="eastAsia" w:ascii="宋体" w:hAnsi="宋体" w:cs="宋体"/>
                <w:sz w:val="24"/>
                <w:szCs w:val="24"/>
              </w:rPr>
              <w:t>分）</w:t>
            </w:r>
          </w:p>
        </w:tc>
        <w:tc>
          <w:tcPr>
            <w:tcW w:w="7146"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1、超出采购人预算价的报价为无效报价，按废标处理。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2、价格分统一采用低价优先法计算，即满足磋商文件要求且最后报价最低的供应商的价格为磋商基准价，其价格分为满分</w:t>
            </w:r>
            <w:r>
              <w:rPr>
                <w:rFonts w:hint="eastAsia" w:ascii="宋体" w:hAnsi="宋体" w:cs="宋体"/>
                <w:sz w:val="24"/>
                <w:szCs w:val="24"/>
                <w:lang w:val="en-US" w:eastAsia="zh-CN"/>
              </w:rPr>
              <w:t>1</w:t>
            </w:r>
            <w:r>
              <w:rPr>
                <w:rFonts w:hint="eastAsia" w:ascii="宋体" w:hAnsi="宋体" w:cs="宋体"/>
                <w:sz w:val="24"/>
                <w:szCs w:val="24"/>
              </w:rPr>
              <w:t>0分。其他供应商的价格分统一按照下列公式计算：</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sz w:val="24"/>
                <w:szCs w:val="24"/>
              </w:rPr>
              <w:t>磋商报价得分=（磋商基准价/最后磋商报价）×</w:t>
            </w:r>
            <w:r>
              <w:rPr>
                <w:rFonts w:hint="eastAsia" w:ascii="宋体" w:hAnsi="宋体" w:cs="宋体"/>
                <w:sz w:val="24"/>
                <w:szCs w:val="24"/>
                <w:lang w:val="en-US" w:eastAsia="zh-CN"/>
              </w:rPr>
              <w:t>1</w:t>
            </w:r>
            <w:r>
              <w:rPr>
                <w:rFonts w:hint="eastAsia" w:ascii="宋体" w:hAnsi="宋体" w:cs="宋体"/>
                <w:sz w:val="24"/>
                <w:szCs w:val="24"/>
              </w:rPr>
              <w:t>0，按四舍五入法则，保留小数点后两位。</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价格扣除：</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投标供应商为大型企业的不适用本款规定。</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、参加政府采购活动的残疾人福利性单位应当提供《残疾人福利性单位声明函》，未填写残疾人福利性单位声明函的在开标过程中不予认可。</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、同一投标供应商，中小微企业产品和监狱企业产品价格扣除优惠只享受一次，不得重复享受</w:t>
            </w:r>
          </w:p>
          <w:p>
            <w:pPr>
              <w:spacing w:line="360" w:lineRule="exact"/>
              <w:ind w:left="139" w:leftChars="66" w:right="143" w:rightChars="68" w:firstLine="1"/>
              <w:jc w:val="left"/>
              <w:rPr>
                <w:rFonts w:hint="eastAsia" w:ascii="宋体" w:hAnsi="宋体" w:eastAsia="宋体" w:cs="宋体"/>
                <w:sz w:val="24"/>
                <w:szCs w:val="24"/>
              </w:rPr>
            </w:pPr>
            <w:r>
              <w:rPr>
                <w:rFonts w:hint="eastAsia" w:ascii="宋体" w:hAnsi="宋体" w:eastAsia="宋体" w:cs="宋体"/>
                <w:sz w:val="24"/>
                <w:szCs w:val="24"/>
              </w:rPr>
              <w:t>例：所投中小微企业报价=所投中小微企业报价合计×【1-20%】</w:t>
            </w:r>
          </w:p>
          <w:p>
            <w:pPr>
              <w:spacing w:line="360" w:lineRule="exact"/>
              <w:ind w:left="139" w:leftChars="66" w:right="143" w:rightChars="68" w:firstLine="1"/>
              <w:jc w:val="left"/>
              <w:rPr>
                <w:rFonts w:hint="eastAsia" w:ascii="宋体" w:hAnsi="宋体" w:eastAsia="宋体" w:cs="宋体"/>
                <w:sz w:val="24"/>
                <w:szCs w:val="24"/>
                <w:lang w:eastAsia="zh-CN"/>
              </w:rPr>
            </w:pPr>
            <w:r>
              <w:rPr>
                <w:rFonts w:hint="eastAsia" w:ascii="宋体" w:hAnsi="宋体" w:eastAsia="宋体" w:cs="宋体"/>
                <w:sz w:val="24"/>
                <w:szCs w:val="24"/>
              </w:rPr>
              <w:t>注：价格分计算保留小数点后二位。在评标过程中，评标小组发现投标人的报价明显低于成本价时或明显低于其他通过初步审查投标人的报价，有可能影响产品质量或者不能诚信履约的，评标小组可向该投标人提出询问</w:t>
            </w:r>
            <w:r>
              <w:rPr>
                <w:rFonts w:hint="eastAsia" w:ascii="宋体" w:hAnsi="宋体" w:eastAsia="宋体" w:cs="宋体"/>
                <w:sz w:val="24"/>
                <w:szCs w:val="24"/>
                <w:lang w:eastAsia="zh-CN"/>
              </w:rPr>
              <w:t>，</w:t>
            </w:r>
            <w:r>
              <w:rPr>
                <w:rFonts w:hint="eastAsia" w:ascii="宋体" w:hAnsi="宋体" w:eastAsia="宋体" w:cs="宋体"/>
                <w:sz w:val="24"/>
                <w:szCs w:val="24"/>
              </w:rPr>
              <w:t>要求该投标人作出书面说明并提供相关证明材料。投标人不能合理说明及不能提供相关证明材料的，评标委员会认定该投标人以低于成本价恶意竞标，其投标作废标处理</w:t>
            </w:r>
            <w:r>
              <w:rPr>
                <w:rFonts w:hint="eastAsia" w:ascii="宋体" w:hAnsi="宋体" w:eastAsia="宋体" w:cs="宋体"/>
                <w:sz w:val="24"/>
                <w:szCs w:val="24"/>
                <w:lang w:eastAsia="zh-CN"/>
              </w:rPr>
              <w:t>。</w:t>
            </w:r>
          </w:p>
        </w:tc>
      </w:tr>
      <w:tr>
        <w:tblPrEx>
          <w:tblCellMar>
            <w:top w:w="0" w:type="dxa"/>
            <w:left w:w="0" w:type="dxa"/>
            <w:bottom w:w="0" w:type="dxa"/>
            <w:right w:w="0" w:type="dxa"/>
          </w:tblCellMar>
        </w:tblPrEx>
        <w:trPr>
          <w:trHeight w:val="4219"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2.2.3</w:t>
            </w:r>
          </w:p>
        </w:tc>
        <w:tc>
          <w:tcPr>
            <w:tcW w:w="13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技术部分（40分）</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设备情况</w:t>
            </w:r>
          </w:p>
          <w:p>
            <w:pPr>
              <w:snapToGrid w:val="0"/>
              <w:spacing w:line="360" w:lineRule="exact"/>
              <w:ind w:left="57" w:leftChars="27" w:right="84" w:rightChars="40"/>
              <w:jc w:val="center"/>
              <w:rPr>
                <w:rFonts w:ascii="宋体" w:hAnsi="宋体" w:cs="宋体"/>
                <w:sz w:val="24"/>
                <w:szCs w:val="24"/>
              </w:rPr>
            </w:pPr>
            <w:r>
              <w:rPr>
                <w:rFonts w:hint="eastAsia" w:ascii="宋体" w:hAnsi="宋体" w:cs="宋体"/>
                <w:sz w:val="24"/>
                <w:szCs w:val="24"/>
              </w:rPr>
              <w:t>（20分）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1.</w:t>
            </w:r>
            <w:r>
              <w:rPr>
                <w:rFonts w:hint="eastAsia" w:ascii="宋体" w:hAnsi="宋体" w:eastAsia="宋体" w:cs="Times New Roman"/>
                <w:sz w:val="24"/>
                <w:szCs w:val="24"/>
                <w:lang w:val="en-US" w:eastAsia="zh-CN"/>
              </w:rPr>
              <w:t>供应商具备相关的检测设备：HPLC(液相色谱仪)、GC(气相色谱仪)、AFS（原子荧光分光光度计）、AAS（原子吸收光谱仪）、离子色谱仪、紫外-可见分光光度计、微波消解仪、旋转蒸发仪、GC/MS（气相色谱/质谱联用仪）、LC-MS（液相色谱/质谱联用仪）、ICP-MS（电感耦合等离子体质谱仪）。以上设备全部具备时得14分，每缺少1种设备扣2分，扣完为止。（以上检测设备，须将发票及仪器检定证书原件扫描件附在电子投标响应文件中，否则不得分）</w:t>
            </w:r>
          </w:p>
        </w:tc>
      </w:tr>
      <w:tr>
        <w:tblPrEx>
          <w:tblCellMar>
            <w:top w:w="0" w:type="dxa"/>
            <w:left w:w="0" w:type="dxa"/>
            <w:bottom w:w="0" w:type="dxa"/>
            <w:right w:w="0" w:type="dxa"/>
          </w:tblCellMar>
        </w:tblPrEx>
        <w:trPr>
          <w:trHeight w:val="5445" w:hRule="atLeast"/>
          <w:jc w:val="center"/>
        </w:trPr>
        <w:tc>
          <w:tcPr>
            <w:tcW w:w="1027" w:type="dxa"/>
            <w:vMerge w:val="continue"/>
            <w:tcBorders>
              <w:top w:val="single" w:color="auto" w:sz="4" w:space="0"/>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top w:val="single" w:color="auto" w:sz="4" w:space="0"/>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continue"/>
            <w:tcBorders>
              <w:top w:val="single" w:color="auto" w:sz="4" w:space="0"/>
              <w:left w:val="single" w:color="000000" w:sz="4" w:space="0"/>
              <w:right w:val="single" w:color="auto" w:sz="4" w:space="0"/>
            </w:tcBorders>
            <w:noWrap w:val="0"/>
            <w:vAlign w:val="center"/>
          </w:tcPr>
          <w:p>
            <w:pPr>
              <w:spacing w:before="83" w:line="360" w:lineRule="exact"/>
              <w:ind w:left="57" w:leftChars="27" w:right="84" w:rightChars="40"/>
              <w:jc w:val="center"/>
              <w:rPr>
                <w:rFonts w:hint="eastAsia" w:ascii="宋体" w:hAnsi="宋体" w:cs="宋体"/>
                <w:sz w:val="24"/>
                <w:szCs w:val="24"/>
              </w:rPr>
            </w:pPr>
          </w:p>
        </w:tc>
        <w:tc>
          <w:tcPr>
            <w:tcW w:w="5587" w:type="dxa"/>
            <w:gridSpan w:val="2"/>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2.</w:t>
            </w:r>
            <w:r>
              <w:rPr>
                <w:rFonts w:hint="eastAsia" w:ascii="宋体" w:hAnsi="宋体" w:eastAsia="宋体" w:cs="Times New Roman"/>
                <w:sz w:val="24"/>
                <w:szCs w:val="24"/>
                <w:lang w:val="en-US" w:eastAsia="zh-CN"/>
              </w:rPr>
              <w:t>供应商具有专职抽检用车5辆以上（含5辆）的，得3分；供应商具有专职抽检用车3辆以上（含3辆）的，得1.5分；供应商具有专职抽检用车3辆以下或没有的，得0分；（注：以电子投标文件所附购车发票或租车合同原件扫描件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供应商具有具备满足速冻及冷饮类储运条件的车载冰箱5台以上（含5台）的，得3分；供应商具有具备满足速冻及冷饮类储运条件的车载冰箱3台以上（含3台）的，得1.5分；供应商具有具备满足速冻及冷饮类储运条件的车载冰箱3台以下或没有的，得0分；（注：以电子投标文件所附储运设备发票原件扫描件为准。）</w:t>
            </w:r>
          </w:p>
        </w:tc>
      </w:tr>
      <w:tr>
        <w:tblPrEx>
          <w:tblCellMar>
            <w:top w:w="0" w:type="dxa"/>
            <w:left w:w="0" w:type="dxa"/>
            <w:bottom w:w="0" w:type="dxa"/>
            <w:right w:w="0" w:type="dxa"/>
          </w:tblCellMar>
        </w:tblPrEx>
        <w:trPr>
          <w:trHeight w:val="1841" w:hRule="atLeast"/>
          <w:jc w:val="center"/>
        </w:trPr>
        <w:tc>
          <w:tcPr>
            <w:tcW w:w="1027" w:type="dxa"/>
            <w:vMerge w:val="continue"/>
            <w:tcBorders>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tcBorders>
              <w:top w:val="single" w:color="000000" w:sz="4" w:space="0"/>
              <w:left w:val="single" w:color="000000"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人员情况</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（10分）</w:t>
            </w:r>
          </w:p>
        </w:tc>
        <w:tc>
          <w:tcPr>
            <w:tcW w:w="5587" w:type="dxa"/>
            <w:gridSpan w:val="2"/>
            <w:tcBorders>
              <w:top w:val="single" w:color="000000" w:sz="4" w:space="0"/>
              <w:left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1、检验人员中具有副高或高级职称的人员，每人1.6分，最高得8分；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2、检验人员中具有中级职称的人员，每人1分，最高得2分（注：以电子投标文件所附职称证及缴纳社保证明材料原件扫描件为准。）</w:t>
            </w:r>
          </w:p>
        </w:tc>
      </w:tr>
      <w:tr>
        <w:tblPrEx>
          <w:tblCellMar>
            <w:top w:w="0" w:type="dxa"/>
            <w:left w:w="0" w:type="dxa"/>
            <w:bottom w:w="0" w:type="dxa"/>
            <w:right w:w="0" w:type="dxa"/>
          </w:tblCellMar>
        </w:tblPrEx>
        <w:trPr>
          <w:trHeight w:val="1099" w:hRule="atLeast"/>
          <w:jc w:val="center"/>
        </w:trPr>
        <w:tc>
          <w:tcPr>
            <w:tcW w:w="1027" w:type="dxa"/>
            <w:vMerge w:val="continue"/>
            <w:tcBorders>
              <w:left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restart"/>
            <w:tcBorders>
              <w:top w:val="single" w:color="auto" w:sz="4" w:space="0"/>
              <w:left w:val="single" w:color="000000"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r>
              <w:rPr>
                <w:rFonts w:hint="eastAsia" w:ascii="宋体" w:hAnsi="宋体" w:cs="宋体"/>
                <w:sz w:val="24"/>
                <w:szCs w:val="24"/>
              </w:rPr>
              <w:t>场地情况</w:t>
            </w:r>
          </w:p>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（10分）</w:t>
            </w:r>
          </w:p>
        </w:tc>
        <w:tc>
          <w:tcPr>
            <w:tcW w:w="5587"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有独立的、固定的场地，食品检测面积在3000平方米以上得5分；2000-3000（含）平方米的得3分；1000-2000（含）平方米的得2分；1000平方米以下的不得分（注：以电子投标文件所附房屋租赁合同或产权证明原件扫描件为准。）</w:t>
            </w:r>
          </w:p>
        </w:tc>
      </w:tr>
      <w:tr>
        <w:tblPrEx>
          <w:tblCellMar>
            <w:top w:w="0" w:type="dxa"/>
            <w:left w:w="0" w:type="dxa"/>
            <w:bottom w:w="0" w:type="dxa"/>
            <w:right w:w="0" w:type="dxa"/>
          </w:tblCellMar>
        </w:tblPrEx>
        <w:trPr>
          <w:trHeight w:val="410" w:hRule="atLeast"/>
          <w:jc w:val="center"/>
        </w:trPr>
        <w:tc>
          <w:tcPr>
            <w:tcW w:w="1027" w:type="dxa"/>
            <w:vMerge w:val="continue"/>
            <w:tcBorders>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359" w:type="dxa"/>
            <w:vMerge w:val="continue"/>
            <w:tcBorders>
              <w:left w:val="single" w:color="auto" w:sz="4" w:space="0"/>
              <w:bottom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1559" w:type="dxa"/>
            <w:vMerge w:val="continue"/>
            <w:tcBorders>
              <w:top w:val="single" w:color="auto" w:sz="4" w:space="0"/>
              <w:left w:val="single" w:color="000000"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sz w:val="24"/>
                <w:szCs w:val="24"/>
              </w:rPr>
            </w:pPr>
          </w:p>
        </w:tc>
        <w:tc>
          <w:tcPr>
            <w:tcW w:w="5587"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具有足够的样品存储，冷库体积在100m³以上（含100m³）得5分，50m³（含50m³）-100m³（不含100m³）得3分，0-50m³（不含50m³）得0分；（注：电子投标文件所附实验室结构分布图或照片和冷库施工合同&lt;冷库体积以施工合同所示体积为准&gt;原件扫描件为准。）</w:t>
            </w:r>
          </w:p>
        </w:tc>
      </w:tr>
      <w:tr>
        <w:tblPrEx>
          <w:tblCellMar>
            <w:top w:w="0" w:type="dxa"/>
            <w:left w:w="0" w:type="dxa"/>
            <w:bottom w:w="0" w:type="dxa"/>
            <w:right w:w="0" w:type="dxa"/>
          </w:tblCellMar>
        </w:tblPrEx>
        <w:trPr>
          <w:trHeight w:val="2017" w:hRule="exac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cs="宋体"/>
                <w:sz w:val="24"/>
                <w:szCs w:val="24"/>
              </w:rPr>
            </w:pPr>
            <w:r>
              <w:rPr>
                <w:rFonts w:hint="eastAsia" w:ascii="宋体" w:hAnsi="宋体" w:cs="宋体"/>
                <w:sz w:val="24"/>
                <w:szCs w:val="24"/>
              </w:rPr>
              <w:t>2.2.4</w:t>
            </w:r>
          </w:p>
        </w:tc>
        <w:tc>
          <w:tcPr>
            <w:tcW w:w="13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商务部分</w:t>
            </w:r>
          </w:p>
          <w:p>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50</w:t>
            </w:r>
            <w:r>
              <w:rPr>
                <w:rFonts w:hint="eastAsia" w:ascii="宋体" w:hAnsi="宋体" w:cs="宋体"/>
                <w:color w:val="auto"/>
                <w:sz w:val="24"/>
                <w:szCs w:val="24"/>
              </w:rPr>
              <w:t>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业绩</w:t>
            </w:r>
          </w:p>
          <w:p>
            <w:pPr>
              <w:spacing w:line="360" w:lineRule="exact"/>
              <w:ind w:left="57" w:leftChars="27" w:right="84" w:rightChars="40"/>
              <w:jc w:val="center"/>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p>
            <w:pPr>
              <w:spacing w:line="360" w:lineRule="exact"/>
              <w:ind w:left="57" w:leftChars="27" w:right="84" w:rightChars="40"/>
              <w:jc w:val="center"/>
              <w:rPr>
                <w:rFonts w:ascii="宋体" w:hAnsi="宋体" w:cs="宋体"/>
                <w:color w:val="auto"/>
                <w:sz w:val="24"/>
                <w:szCs w:val="24"/>
              </w:rPr>
            </w:pP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供应商自2021年01月01日以来承担过政府部门组织的食品监督抽检或风险监测工作的，每份业绩得2分，最高得4分（注：电子响应文件所附服务合同及中标通知书原件扫描件为准）</w:t>
            </w:r>
          </w:p>
        </w:tc>
      </w:tr>
      <w:tr>
        <w:tblPrEx>
          <w:tblCellMar>
            <w:top w:w="0" w:type="dxa"/>
            <w:left w:w="0" w:type="dxa"/>
            <w:bottom w:w="0" w:type="dxa"/>
            <w:right w:w="0" w:type="dxa"/>
          </w:tblCellMar>
        </w:tblPrEx>
        <w:trPr>
          <w:trHeight w:val="5476"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项目整体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方案</w:t>
            </w:r>
            <w:r>
              <w:rPr>
                <w:rFonts w:hint="eastAsia" w:ascii="宋体" w:hAnsi="宋体" w:cs="宋体"/>
                <w:color w:val="auto"/>
                <w:sz w:val="24"/>
                <w:szCs w:val="24"/>
              </w:rPr>
              <w:t>（</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供应商</w:t>
            </w:r>
            <w:r>
              <w:rPr>
                <w:rFonts w:ascii="宋体" w:hAnsi="宋体" w:eastAsia="宋体" w:cs="宋体"/>
                <w:color w:val="auto"/>
                <w:sz w:val="24"/>
                <w:szCs w:val="24"/>
              </w:rPr>
              <w:t xml:space="preserve">针对本项目提供的项目整体方案，包括但不限于项目背景及现状分析、实施方案等。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整体方案完整、全面、具有针对性、科学有效，得 20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整体方案大部分完备、大部分内容具有针对性，得 15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整体方案部分完备、部分内容具有针对性，得 10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 xml:space="preserve">整体方案小部分完备、小部分内容具有针对性，得 5 分； </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szCs w:val="24"/>
                <w:lang w:val="en-US" w:eastAsia="zh-CN"/>
              </w:rPr>
            </w:pPr>
            <w:r>
              <w:rPr>
                <w:rFonts w:ascii="宋体" w:hAnsi="宋体" w:eastAsia="宋体" w:cs="宋体"/>
                <w:color w:val="auto"/>
                <w:sz w:val="24"/>
                <w:szCs w:val="24"/>
              </w:rPr>
              <w:t>整体方案缺失严重、无针对性或未提供得 0 分</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4454" w:hRule="exac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项目实施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计划</w:t>
            </w:r>
            <w:r>
              <w:rPr>
                <w:rFonts w:hint="eastAsia" w:ascii="宋体" w:hAnsi="宋体" w:cs="宋体"/>
                <w:color w:val="auto"/>
                <w:sz w:val="24"/>
                <w:szCs w:val="24"/>
              </w:rPr>
              <w:t>（</w:t>
            </w:r>
            <w:r>
              <w:rPr>
                <w:rFonts w:hint="eastAsia" w:ascii="宋体" w:hAnsi="宋体" w:cs="宋体"/>
                <w:color w:val="auto"/>
                <w:sz w:val="24"/>
                <w:szCs w:val="24"/>
                <w:lang w:val="en-US" w:eastAsia="zh-CN"/>
              </w:rPr>
              <w:t>15</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Times New Roman"/>
                <w:color w:val="auto"/>
                <w:sz w:val="24"/>
                <w:szCs w:val="24"/>
                <w:lang w:val="en-US" w:eastAsia="zh-CN"/>
              </w:rPr>
              <w:t>供应商</w:t>
            </w:r>
            <w:r>
              <w:rPr>
                <w:rFonts w:ascii="宋体" w:hAnsi="宋体" w:eastAsia="宋体" w:cs="宋体"/>
                <w:color w:val="auto"/>
                <w:sz w:val="24"/>
                <w:szCs w:val="24"/>
              </w:rPr>
              <w:t xml:space="preserve">提供的项目实施计划安排，包括进度计划、质量保障、项目文档管理等。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实施计划安排完整、合理清晰、针对性、可行性强，得 15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实施计划安排完整性、合理清晰性、针对性、可行性较一般，得 10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实施计划安排完整性、合理清晰性、针对性、可行性较差，得 5 分；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实施计划缺失严重、无针对性或未提供得 0 分</w:t>
            </w:r>
            <w:r>
              <w:rPr>
                <w:rFonts w:hint="eastAsia" w:ascii="宋体" w:hAnsi="宋体" w:eastAsia="宋体" w:cs="宋体"/>
                <w:color w:val="auto"/>
                <w:sz w:val="24"/>
                <w:szCs w:val="24"/>
                <w:lang w:eastAsia="zh-CN"/>
              </w:rPr>
              <w:t>。</w:t>
            </w:r>
          </w:p>
        </w:tc>
      </w:tr>
      <w:tr>
        <w:tblPrEx>
          <w:tblCellMar>
            <w:top w:w="0" w:type="dxa"/>
            <w:left w:w="0" w:type="dxa"/>
            <w:bottom w:w="0" w:type="dxa"/>
            <w:right w:w="0" w:type="dxa"/>
          </w:tblCellMar>
        </w:tblPrEx>
        <w:trPr>
          <w:trHeight w:val="3480" w:hRule="exact"/>
          <w:jc w:val="center"/>
        </w:trPr>
        <w:tc>
          <w:tcPr>
            <w:tcW w:w="1027" w:type="dxa"/>
            <w:vMerge w:val="continue"/>
            <w:tcBorders>
              <w:top w:val="single" w:color="auto" w:sz="4" w:space="0"/>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top w:val="single" w:color="auto" w:sz="4" w:space="0"/>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auto" w:sz="4" w:space="0"/>
              <w:left w:val="single" w:color="000000"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检验人员 </w:t>
            </w:r>
          </w:p>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培训方案</w:t>
            </w:r>
          </w:p>
          <w:p>
            <w:pPr>
              <w:spacing w:line="360" w:lineRule="exact"/>
              <w:ind w:left="57" w:leftChars="27" w:right="84" w:rightChars="40"/>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tc>
        <w:tc>
          <w:tcPr>
            <w:tcW w:w="5587"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检验人员培训方案合理详尽，且与本项目紧密结合，有针对性，得 6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检验人员培训方案合理，但缺乏针对性，得 4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制定检验人员培训方案描述简单且缺乏针对性，得 2 分；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无检验人员培训方案得 0 分</w:t>
            </w:r>
          </w:p>
        </w:tc>
      </w:tr>
      <w:tr>
        <w:tblPrEx>
          <w:tblCellMar>
            <w:top w:w="0" w:type="dxa"/>
            <w:left w:w="0" w:type="dxa"/>
            <w:bottom w:w="0" w:type="dxa"/>
            <w:right w:w="0" w:type="dxa"/>
          </w:tblCellMar>
        </w:tblPrEx>
        <w:trPr>
          <w:trHeight w:val="4610" w:hRule="exact"/>
          <w:jc w:val="center"/>
        </w:trPr>
        <w:tc>
          <w:tcPr>
            <w:tcW w:w="1027" w:type="dxa"/>
            <w:vMerge w:val="continue"/>
            <w:tcBorders>
              <w:left w:val="single" w:color="auto" w:sz="4" w:space="0"/>
              <w:right w:val="single" w:color="auto" w:sz="4" w:space="0"/>
            </w:tcBorders>
            <w:noWrap w:val="0"/>
            <w:vAlign w:val="center"/>
          </w:tcPr>
          <w:p>
            <w:pPr>
              <w:autoSpaceDE w:val="0"/>
              <w:autoSpaceDN w:val="0"/>
              <w:adjustRightInd w:val="0"/>
              <w:spacing w:before="50"/>
              <w:ind w:right="97" w:firstLine="67" w:firstLineChars="28"/>
              <w:jc w:val="center"/>
              <w:rPr>
                <w:rFonts w:hint="eastAsia" w:ascii="宋体" w:hAnsi="宋体"/>
                <w:spacing w:val="1"/>
                <w:kern w:val="0"/>
                <w:sz w:val="24"/>
                <w:szCs w:val="24"/>
              </w:rPr>
            </w:pPr>
          </w:p>
        </w:tc>
        <w:tc>
          <w:tcPr>
            <w:tcW w:w="1359" w:type="dxa"/>
            <w:vMerge w:val="continue"/>
            <w:tcBorders>
              <w:left w:val="single" w:color="auto" w:sz="4" w:space="0"/>
              <w:right w:val="single" w:color="000000" w:sz="4" w:space="0"/>
            </w:tcBorders>
            <w:noWrap w:val="0"/>
            <w:vAlign w:val="center"/>
          </w:tcPr>
          <w:p>
            <w:pPr>
              <w:spacing w:line="360" w:lineRule="exact"/>
              <w:ind w:left="57" w:leftChars="27" w:right="84" w:rightChars="40"/>
              <w:jc w:val="center"/>
              <w:rPr>
                <w:rFonts w:hint="eastAsia" w:ascii="宋体" w:hAnsi="宋体" w:cs="宋体"/>
                <w:color w:val="auto"/>
                <w:sz w:val="24"/>
                <w:szCs w:val="24"/>
              </w:rPr>
            </w:pPr>
          </w:p>
        </w:tc>
        <w:tc>
          <w:tcPr>
            <w:tcW w:w="1559" w:type="dxa"/>
            <w:tcBorders>
              <w:top w:val="single" w:color="000000" w:sz="4" w:space="0"/>
              <w:left w:val="single" w:color="000000" w:sz="4" w:space="0"/>
              <w:right w:val="single" w:color="auto" w:sz="4" w:space="0"/>
            </w:tcBorders>
            <w:noWrap w:val="0"/>
            <w:vAlign w:val="center"/>
          </w:tcPr>
          <w:p>
            <w:pPr>
              <w:spacing w:line="360" w:lineRule="exact"/>
              <w:ind w:left="57" w:leftChars="27" w:right="84" w:rightChars="40"/>
              <w:jc w:val="center"/>
              <w:rPr>
                <w:rFonts w:ascii="宋体" w:hAnsi="宋体" w:eastAsia="宋体" w:cs="宋体"/>
                <w:color w:val="auto"/>
                <w:sz w:val="24"/>
                <w:szCs w:val="24"/>
              </w:rPr>
            </w:pPr>
            <w:r>
              <w:rPr>
                <w:rFonts w:ascii="宋体" w:hAnsi="宋体" w:eastAsia="宋体" w:cs="宋体"/>
                <w:color w:val="auto"/>
                <w:sz w:val="24"/>
                <w:szCs w:val="24"/>
              </w:rPr>
              <w:t xml:space="preserve">应急处理 </w:t>
            </w:r>
          </w:p>
          <w:p>
            <w:pPr>
              <w:spacing w:line="360" w:lineRule="exact"/>
              <w:ind w:left="57" w:leftChars="27" w:right="84" w:rightChars="40"/>
              <w:jc w:val="center"/>
              <w:rPr>
                <w:rFonts w:hint="eastAsia" w:ascii="宋体" w:hAnsi="宋体" w:cs="宋体"/>
                <w:color w:val="auto"/>
                <w:sz w:val="24"/>
                <w:szCs w:val="24"/>
              </w:rPr>
            </w:pPr>
            <w:r>
              <w:rPr>
                <w:rFonts w:ascii="宋体" w:hAnsi="宋体" w:eastAsia="宋体" w:cs="宋体"/>
                <w:color w:val="auto"/>
                <w:sz w:val="24"/>
                <w:szCs w:val="24"/>
              </w:rPr>
              <w:t>方案</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5587" w:type="dxa"/>
            <w:gridSpan w:val="2"/>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根据项目特征以及以往工作的经验，制定各类应急处理方案。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应急处理方案具有针对性，处理步骤及内容科学完善，得 </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 xml:space="preserve"> 分；</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应急处理方案大部分内容有针对性，处理步骤及内容大部分内容可行，得 </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 xml:space="preserve"> 分；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 xml:space="preserve">应急处理方案小部分内容有针对性，处理步骤及内容小部分内容可行，得 </w:t>
            </w:r>
            <w:r>
              <w:rPr>
                <w:rFonts w:hint="eastAsia" w:ascii="宋体" w:hAnsi="宋体" w:eastAsia="宋体" w:cs="宋体"/>
                <w:color w:val="auto"/>
                <w:sz w:val="24"/>
                <w:szCs w:val="24"/>
                <w:lang w:val="en-US" w:eastAsia="zh-CN"/>
              </w:rPr>
              <w:t>1</w:t>
            </w:r>
            <w:r>
              <w:rPr>
                <w:rFonts w:ascii="宋体" w:hAnsi="宋体" w:eastAsia="宋体" w:cs="宋体"/>
                <w:color w:val="auto"/>
                <w:sz w:val="24"/>
                <w:szCs w:val="24"/>
              </w:rPr>
              <w:t xml:space="preserve"> 分； </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ascii="宋体" w:hAnsi="宋体" w:eastAsia="宋体" w:cs="宋体"/>
                <w:color w:val="auto"/>
                <w:sz w:val="24"/>
                <w:szCs w:val="24"/>
              </w:rPr>
              <w:t>应急处理方案无针对性，处理步骤及内容不可行，得 0 分。</w:t>
            </w:r>
          </w:p>
        </w:tc>
      </w:tr>
      <w:tr>
        <w:tblPrEx>
          <w:tblCellMar>
            <w:top w:w="0" w:type="dxa"/>
            <w:left w:w="0" w:type="dxa"/>
            <w:bottom w:w="0" w:type="dxa"/>
            <w:right w:w="0" w:type="dxa"/>
          </w:tblCellMar>
        </w:tblPrEx>
        <w:trPr>
          <w:trHeight w:val="4397" w:hRule="atLeast"/>
          <w:jc w:val="center"/>
        </w:trPr>
        <w:tc>
          <w:tcPr>
            <w:tcW w:w="953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投标供应商综合得分=投标报价得分＋技术标得分＋商务标得分。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磋商小组完成对投标报价、技术标和商务标的汇总后取平均值作为该投标人的最终得分。</w:t>
            </w:r>
          </w:p>
          <w:p>
            <w:pPr>
              <w:spacing w:line="360" w:lineRule="exact"/>
              <w:ind w:left="139" w:leftChars="66" w:right="143" w:rightChars="68" w:firstLine="1"/>
              <w:jc w:val="left"/>
              <w:rPr>
                <w:rFonts w:ascii="宋体" w:hAnsi="宋体" w:cs="宋体"/>
                <w:sz w:val="24"/>
                <w:szCs w:val="24"/>
              </w:rPr>
            </w:pPr>
            <w:r>
              <w:rPr>
                <w:rFonts w:hint="eastAsia" w:ascii="宋体" w:hAnsi="宋体" w:cs="宋体"/>
                <w:sz w:val="24"/>
                <w:szCs w:val="24"/>
              </w:rPr>
              <w:t>本办法计算过程中分值按四舍五入保留两位小数，结果按四舍五入保留两位小数。投标人的报价应包含投标供应商所承诺的应达到的本项目质量标准及其他承诺应达到的标准所包含的所有费用。</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注：1、</w:t>
            </w:r>
            <w:r>
              <w:rPr>
                <w:rFonts w:hint="eastAsia" w:ascii="宋体" w:hAnsi="宋体" w:cs="宋体"/>
                <w:b/>
                <w:sz w:val="24"/>
                <w:szCs w:val="24"/>
                <w:lang w:eastAsia="zh-CN"/>
              </w:rPr>
              <w:t>以上业绩、证书等文件</w:t>
            </w:r>
            <w:r>
              <w:rPr>
                <w:rFonts w:hint="eastAsia" w:ascii="宋体" w:hAnsi="宋体" w:cs="宋体"/>
                <w:b/>
                <w:sz w:val="24"/>
                <w:szCs w:val="24"/>
                <w:lang w:val="en-US" w:eastAsia="zh-CN"/>
              </w:rPr>
              <w:t>证明</w:t>
            </w:r>
            <w:r>
              <w:rPr>
                <w:rFonts w:hint="eastAsia" w:ascii="宋体" w:hAnsi="宋体" w:cs="宋体"/>
                <w:b/>
                <w:sz w:val="24"/>
                <w:szCs w:val="24"/>
                <w:lang w:eastAsia="zh-CN"/>
              </w:rPr>
              <w:t>材料应将</w:t>
            </w:r>
            <w:r>
              <w:rPr>
                <w:rFonts w:hint="eastAsia" w:ascii="宋体" w:hAnsi="宋体" w:cs="宋体"/>
                <w:b/>
                <w:sz w:val="24"/>
                <w:szCs w:val="24"/>
              </w:rPr>
              <w:t>原件扫描件</w:t>
            </w:r>
            <w:r>
              <w:rPr>
                <w:rFonts w:hint="eastAsia" w:ascii="宋体" w:hAnsi="宋体" w:cs="宋体"/>
                <w:b/>
                <w:sz w:val="24"/>
                <w:szCs w:val="24"/>
                <w:lang w:eastAsia="zh-CN"/>
              </w:rPr>
              <w:t>制作在电子响应文件中，评标时以供应商上传的电子响应文件为准，否则由此</w:t>
            </w:r>
            <w:r>
              <w:rPr>
                <w:rFonts w:hint="eastAsia" w:ascii="宋体" w:hAnsi="宋体" w:cs="宋体"/>
                <w:b/>
                <w:sz w:val="24"/>
                <w:szCs w:val="24"/>
                <w:lang w:val="en-US" w:eastAsia="zh-CN"/>
              </w:rPr>
              <w:t>造成应得分而未得分等情况的，由供应商承担责任</w:t>
            </w:r>
            <w:r>
              <w:rPr>
                <w:rFonts w:hint="eastAsia" w:ascii="宋体" w:hAnsi="宋体" w:cs="宋体"/>
                <w:b/>
                <w:sz w:val="24"/>
                <w:szCs w:val="24"/>
              </w:rPr>
              <w:t>。</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2、评标开始后，不再接受任何补充材料。</w:t>
            </w:r>
          </w:p>
          <w:p>
            <w:pPr>
              <w:spacing w:line="360" w:lineRule="exact"/>
              <w:ind w:left="139" w:leftChars="66" w:right="143" w:rightChars="68" w:firstLine="1"/>
              <w:jc w:val="left"/>
              <w:rPr>
                <w:rFonts w:hint="eastAsia" w:ascii="宋体" w:hAnsi="宋体" w:cs="宋体"/>
                <w:b/>
                <w:sz w:val="24"/>
                <w:szCs w:val="24"/>
              </w:rPr>
            </w:pPr>
            <w:r>
              <w:rPr>
                <w:rFonts w:hint="eastAsia" w:ascii="宋体" w:hAnsi="宋体" w:cs="宋体"/>
                <w:b/>
                <w:sz w:val="24"/>
                <w:szCs w:val="24"/>
              </w:rPr>
              <w:t>3、投标人对投标文件信息的真实性、有效性、清晰可辩性负责。</w:t>
            </w:r>
          </w:p>
          <w:p>
            <w:pPr>
              <w:spacing w:line="360" w:lineRule="exact"/>
              <w:ind w:left="139" w:leftChars="66" w:right="143" w:rightChars="68" w:firstLine="1"/>
              <w:jc w:val="left"/>
              <w:rPr>
                <w:rFonts w:ascii="宋体" w:hAnsi="宋体" w:cs="宋体"/>
                <w:b/>
                <w:sz w:val="24"/>
                <w:szCs w:val="24"/>
              </w:rPr>
            </w:pPr>
            <w:r>
              <w:rPr>
                <w:rFonts w:hint="eastAsia" w:ascii="宋体" w:hAnsi="宋体" w:cs="宋体"/>
                <w:b/>
                <w:sz w:val="24"/>
                <w:szCs w:val="24"/>
              </w:rPr>
              <w:t>4、评审标准中涉及的网页查询的查询时间、供应商自行出具的承诺函时间均不得早于本项目招标公告发布时间，否则，该项按无效处理。</w:t>
            </w:r>
          </w:p>
          <w:p>
            <w:pPr>
              <w:spacing w:line="360" w:lineRule="exact"/>
              <w:ind w:left="139" w:leftChars="66" w:right="143" w:rightChars="68" w:firstLine="1"/>
              <w:jc w:val="left"/>
              <w:rPr>
                <w:rFonts w:hint="eastAsia" w:ascii="宋体" w:hAnsi="宋体" w:cs="宋体"/>
                <w:sz w:val="24"/>
                <w:szCs w:val="24"/>
              </w:rPr>
            </w:pPr>
            <w:r>
              <w:rPr>
                <w:rFonts w:hint="eastAsia" w:ascii="宋体" w:hAnsi="宋体" w:cs="宋体"/>
                <w:b/>
                <w:sz w:val="24"/>
                <w:szCs w:val="24"/>
              </w:rPr>
              <w:t>5、以上项目若缺项的，该项为</w:t>
            </w:r>
            <w:r>
              <w:rPr>
                <w:rFonts w:ascii="宋体" w:hAnsi="宋体" w:cs="宋体"/>
                <w:b/>
                <w:sz w:val="24"/>
                <w:szCs w:val="24"/>
              </w:rPr>
              <w:t>0</w:t>
            </w:r>
            <w:r>
              <w:rPr>
                <w:rFonts w:hint="eastAsia" w:ascii="宋体" w:hAnsi="宋体" w:cs="宋体"/>
                <w:b/>
                <w:sz w:val="24"/>
                <w:szCs w:val="24"/>
              </w:rPr>
              <w:t>分。</w:t>
            </w:r>
          </w:p>
        </w:tc>
      </w:tr>
    </w:tbl>
    <w:p>
      <w:pPr>
        <w:widowControl/>
        <w:spacing w:line="360" w:lineRule="auto"/>
        <w:ind w:firstLine="360" w:firstLineChars="150"/>
        <w:jc w:val="left"/>
        <w:rPr>
          <w:rFonts w:hint="eastAsia" w:ascii="宋体"/>
          <w:kern w:val="0"/>
          <w:sz w:val="24"/>
        </w:rPr>
      </w:pPr>
    </w:p>
    <w:p>
      <w:pPr>
        <w:pStyle w:val="2"/>
        <w:spacing w:line="240" w:lineRule="auto"/>
        <w:ind w:left="360"/>
        <w:jc w:val="center"/>
        <w:rPr>
          <w:rFonts w:hint="eastAsia" w:ascii="宋体" w:hAnsi="宋体"/>
          <w:sz w:val="36"/>
          <w:szCs w:val="36"/>
        </w:rPr>
      </w:pPr>
      <w:bookmarkStart w:id="219" w:name="_Toc24049"/>
      <w:r>
        <w:rPr>
          <w:rFonts w:ascii="宋体" w:hAnsi="宋体"/>
          <w:sz w:val="36"/>
          <w:szCs w:val="36"/>
        </w:rPr>
        <w:br w:type="page"/>
      </w:r>
      <w:bookmarkStart w:id="220" w:name="_Toc364"/>
      <w:bookmarkStart w:id="221" w:name="_Toc43652640"/>
      <w:bookmarkStart w:id="222" w:name="_Toc101344074"/>
      <w:r>
        <w:rPr>
          <w:rFonts w:hint="eastAsia" w:ascii="宋体" w:hAnsi="宋体"/>
          <w:sz w:val="36"/>
          <w:szCs w:val="36"/>
        </w:rPr>
        <w:t>第五章</w:t>
      </w:r>
      <w:bookmarkStart w:id="223" w:name="_Toc26505"/>
      <w:r>
        <w:rPr>
          <w:rFonts w:hint="eastAsia" w:ascii="宋体" w:hAnsi="宋体"/>
          <w:sz w:val="36"/>
          <w:szCs w:val="36"/>
        </w:rPr>
        <w:t xml:space="preserve"> 合同主要条款及格式</w:t>
      </w:r>
      <w:bookmarkEnd w:id="219"/>
      <w:bookmarkEnd w:id="220"/>
      <w:bookmarkEnd w:id="221"/>
      <w:bookmarkEnd w:id="222"/>
    </w:p>
    <w:bookmarkEnd w:id="73"/>
    <w:bookmarkEnd w:id="74"/>
    <w:bookmarkEnd w:id="75"/>
    <w:bookmarkEnd w:id="76"/>
    <w:bookmarkEnd w:id="77"/>
    <w:bookmarkEnd w:id="78"/>
    <w:bookmarkEnd w:id="79"/>
    <w:bookmarkEnd w:id="223"/>
    <w:p>
      <w:pPr>
        <w:shd w:val="clear" w:color="auto" w:fill="FFFFFF"/>
        <w:spacing w:line="360" w:lineRule="auto"/>
        <w:jc w:val="center"/>
        <w:rPr>
          <w:rFonts w:ascii="宋体" w:hAnsi="宋体" w:cs="宋体"/>
          <w:b/>
          <w:bCs/>
          <w:kern w:val="0"/>
          <w:sz w:val="24"/>
          <w:szCs w:val="24"/>
        </w:rPr>
      </w:pPr>
      <w:bookmarkStart w:id="224" w:name="_Toc29122"/>
      <w:r>
        <w:rPr>
          <w:rFonts w:hint="eastAsia" w:ascii="宋体" w:hAnsi="宋体" w:cs="宋体"/>
          <w:b/>
          <w:bCs/>
          <w:kern w:val="0"/>
          <w:sz w:val="24"/>
          <w:szCs w:val="24"/>
        </w:rPr>
        <w:t xml:space="preserve">（此内容格式仅供参考，以最终签订协议为准） </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甲方：（采购人）</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ascii="宋体" w:hAnsi="宋体"/>
          <w:sz w:val="24"/>
          <w:szCs w:val="24"/>
        </w:rPr>
        <w:t>（以下简称甲方）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乙方：（中标</w:t>
      </w:r>
      <w:r>
        <w:rPr>
          <w:rFonts w:hint="eastAsia" w:ascii="宋体" w:hAnsi="宋体"/>
          <w:sz w:val="24"/>
          <w:szCs w:val="24"/>
          <w:lang w:eastAsia="zh-CN"/>
        </w:rPr>
        <w:t>供应商</w:t>
      </w:r>
      <w:r>
        <w:rPr>
          <w:rFonts w:ascii="宋体" w:hAnsi="宋体"/>
          <w:sz w:val="24"/>
          <w:szCs w:val="24"/>
        </w:rPr>
        <w:t>）</w:t>
      </w:r>
      <w:r>
        <w:rPr>
          <w:rFonts w:hint="eastAsia" w:ascii="宋体" w:hAnsi="宋体" w:eastAsia="宋体" w:cs="Times New Roman"/>
          <w:sz w:val="24"/>
          <w:szCs w:val="24"/>
          <w:u w:val="single"/>
          <w:lang w:val="en-US" w:eastAsia="zh-CN"/>
        </w:rPr>
        <w:t xml:space="preserve">                     </w:t>
      </w:r>
      <w:r>
        <w:rPr>
          <w:rFonts w:ascii="宋体" w:hAnsi="宋体"/>
          <w:sz w:val="24"/>
          <w:szCs w:val="24"/>
        </w:rPr>
        <w:t>（以下简称乙方）</w:t>
      </w:r>
    </w:p>
    <w:p>
      <w:pPr>
        <w:widowControl/>
        <w:tabs>
          <w:tab w:val="left" w:pos="5655"/>
        </w:tabs>
        <w:spacing w:line="440" w:lineRule="exact"/>
        <w:ind w:firstLine="480" w:firstLineChars="200"/>
        <w:jc w:val="left"/>
        <w:textAlignment w:val="baseline"/>
        <w:rPr>
          <w:rFonts w:ascii="宋体" w:hAnsi="宋体"/>
          <w:sz w:val="24"/>
          <w:szCs w:val="24"/>
        </w:rPr>
      </w:pPr>
      <w:r>
        <w:rPr>
          <w:rFonts w:ascii="宋体" w:hAnsi="宋体"/>
          <w:sz w:val="24"/>
          <w:szCs w:val="24"/>
        </w:rPr>
        <w:t>经过竞争性磋商招标，甲方将乙方作为</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项目名称及标段         </w:t>
      </w:r>
      <w:r>
        <w:rPr>
          <w:rFonts w:ascii="宋体" w:hAnsi="宋体"/>
          <w:sz w:val="24"/>
          <w:szCs w:val="24"/>
        </w:rPr>
        <w:t>定点委托检验机构。依照《中华人民共和国政府采购法》，遵循平等、自愿、公平和诚信的原则，甲方将</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项目名称及标段         </w:t>
      </w:r>
      <w:r>
        <w:rPr>
          <w:rFonts w:hint="eastAsia" w:ascii="宋体" w:hAnsi="宋体" w:eastAsia="宋体" w:cs="Times New Roman"/>
          <w:sz w:val="24"/>
          <w:szCs w:val="24"/>
          <w:lang w:val="en-US" w:eastAsia="zh-CN"/>
        </w:rPr>
        <w:t>相关工作</w:t>
      </w:r>
      <w:r>
        <w:rPr>
          <w:rFonts w:ascii="宋体" w:hAnsi="宋体" w:eastAsia="宋体" w:cs="Times New Roman"/>
          <w:sz w:val="24"/>
          <w:szCs w:val="24"/>
        </w:rPr>
        <w:t>委</w:t>
      </w:r>
      <w:r>
        <w:rPr>
          <w:rFonts w:ascii="宋体" w:hAnsi="宋体"/>
          <w:sz w:val="24"/>
          <w:szCs w:val="24"/>
        </w:rPr>
        <w:t>托乙方实施。乙方接受甲方委托，按照食品质量安全检验有关规定，在甲方委托事宜范围内依法组织开展食品抽检业务工作。经甲乙双方协商一致，签订如下协议</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一、基本情况</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合同事项：</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食品抽检种类：</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ascii="宋体" w:hAnsi="宋体"/>
          <w:sz w:val="24"/>
          <w:szCs w:val="24"/>
        </w:rPr>
        <w:t>。</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3. 抽检经费及结算方式：</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（一）成交价为：</w:t>
      </w:r>
      <w:r>
        <w:rPr>
          <w:rFonts w:hint="eastAsia" w:ascii="宋体" w:hAnsi="宋体"/>
          <w:sz w:val="24"/>
          <w:szCs w:val="24"/>
          <w:u w:val="single"/>
        </w:rPr>
        <w:t xml:space="preserve">      </w:t>
      </w:r>
      <w:r>
        <w:rPr>
          <w:rFonts w:ascii="宋体" w:hAnsi="宋体"/>
          <w:sz w:val="24"/>
          <w:szCs w:val="24"/>
        </w:rPr>
        <w:t>元（大写：</w:t>
      </w:r>
      <w:r>
        <w:rPr>
          <w:rFonts w:hint="eastAsia" w:ascii="宋体" w:hAnsi="宋体"/>
          <w:sz w:val="24"/>
          <w:szCs w:val="24"/>
          <w:u w:val="single"/>
        </w:rPr>
        <w:t xml:space="preserve">                   </w:t>
      </w:r>
      <w:r>
        <w:rPr>
          <w:rFonts w:ascii="宋体" w:hAnsi="宋体"/>
          <w:sz w:val="24"/>
          <w:szCs w:val="24"/>
        </w:rPr>
        <w:t>），抽样检验费根据所检项目及数量而定。</w:t>
      </w:r>
    </w:p>
    <w:p>
      <w:pPr>
        <w:widowControl/>
        <w:snapToGrid w:val="0"/>
        <w:spacing w:line="440" w:lineRule="exact"/>
        <w:ind w:firstLine="480" w:firstLineChars="200"/>
        <w:jc w:val="left"/>
        <w:textAlignment w:val="baseline"/>
        <w:rPr>
          <w:rFonts w:ascii="宋体" w:hAnsi="宋体"/>
          <w:sz w:val="24"/>
          <w:szCs w:val="24"/>
        </w:rPr>
      </w:pPr>
      <w:r>
        <w:rPr>
          <w:rFonts w:ascii="宋体" w:hAnsi="宋体"/>
          <w:sz w:val="24"/>
          <w:szCs w:val="24"/>
        </w:rPr>
        <w:t>（二）结算方式：</w:t>
      </w:r>
      <w:r>
        <w:rPr>
          <w:rFonts w:hint="eastAsia" w:ascii="宋体" w:hAnsi="宋体"/>
          <w:sz w:val="24"/>
          <w:szCs w:val="24"/>
        </w:rPr>
        <w:t>抽样检测费用按实际批次和检验项目结算，购买样品费用和抽检产生费用包含在项目检测费用里，费用由乙方先行垫付，待检验和复检工作全部完成后，乙方按照实际抽检批次和成交项目单价（详见附件）合计抽样检测费用，经甲方认可后，向甲方提供合法、真实、有效的检测费用发票、样品清单等资料，每季度结算一次。</w:t>
      </w:r>
    </w:p>
    <w:p>
      <w:pPr>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4. 资金来源：财政资金。</w:t>
      </w:r>
    </w:p>
    <w:p>
      <w:pPr>
        <w:widowControl/>
        <w:spacing w:line="440" w:lineRule="exact"/>
        <w:ind w:firstLine="480" w:firstLineChars="200"/>
        <w:jc w:val="left"/>
        <w:textAlignment w:val="baseline"/>
        <w:rPr>
          <w:rFonts w:ascii="宋体" w:hAnsi="宋体"/>
          <w:sz w:val="24"/>
          <w:szCs w:val="24"/>
          <w:u w:val="single"/>
        </w:rPr>
      </w:pPr>
      <w:r>
        <w:rPr>
          <w:rFonts w:ascii="宋体" w:hAnsi="宋体"/>
          <w:sz w:val="24"/>
          <w:szCs w:val="24"/>
        </w:rPr>
        <w:t>5. 服务期限：自合同签订之日起一年。</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二、甲方委托乙方的具体事项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按照《中华人民共和国食品安全法》、《食品安全抽样检验管理办法》、《食品安全监督抽检和风险监测工作规范》等有关法律法规和技术规范，委托乙方承担</w:t>
      </w:r>
      <w:r>
        <w:rPr>
          <w:rFonts w:hint="eastAsia" w:ascii="宋体" w:hAnsi="宋体"/>
          <w:sz w:val="24"/>
          <w:szCs w:val="24"/>
          <w:u w:val="single"/>
          <w:lang w:val="en-US" w:eastAsia="zh-CN"/>
        </w:rPr>
        <w:t xml:space="preserve">                               </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乙方按照甲方委托的食品抽检品种、项目、批次和采样区域等技术要求，制订详细的抽检工作实施方案，并商请甲方同意。</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日常抽检检验周期为20个工作日。突发食品安全事件的食品抽检、其他涉及食品安全违法案件的食品抽检应在检验技术许可的情况下最短时间内出具检验报告书。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乙方根据甲方认可的抽检计划采集样品。在组织抽样检验过程中，检验产品的种类、品种、项目、抽样地点不得随意调整；如因客观情况必须进行调整的，需征得甲方同意。</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乙方应按照有关法律法规和技术规范要求开展抽样、检验、留样保存与处理，各种原始记录制作、归档与保存等各项工作。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 食品抽检发现的不合格食品信息，乙方应在第一时间报告甲方。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 xml:space="preserve">7. </w:t>
      </w:r>
      <w:r>
        <w:rPr>
          <w:rFonts w:hint="eastAsia" w:ascii="宋体" w:hAnsi="宋体"/>
          <w:sz w:val="24"/>
          <w:szCs w:val="24"/>
        </w:rPr>
        <w:t>甲方因食品安全突发事件需委托乙方开展相关抽检工作时，乙方必须在接到甲方通知抽样后六个小时内赶到抽样地点开展抽样工作</w:t>
      </w:r>
      <w:r>
        <w:rPr>
          <w:rFonts w:ascii="宋体" w:hAnsi="宋体"/>
          <w:sz w:val="24"/>
          <w:szCs w:val="24"/>
        </w:rPr>
        <w:t>。</w:t>
      </w:r>
    </w:p>
    <w:p>
      <w:pPr>
        <w:widowControl/>
        <w:spacing w:line="440" w:lineRule="exact"/>
        <w:ind w:firstLine="480" w:firstLineChars="200"/>
        <w:jc w:val="left"/>
        <w:textAlignment w:val="baseline"/>
        <w:rPr>
          <w:rFonts w:ascii="宋体" w:hAnsi="宋体"/>
          <w:sz w:val="24"/>
          <w:szCs w:val="24"/>
        </w:rPr>
      </w:pPr>
      <w:r>
        <w:rPr>
          <w:rFonts w:hint="eastAsia" w:ascii="宋体" w:hAnsi="宋体"/>
          <w:sz w:val="24"/>
          <w:szCs w:val="24"/>
        </w:rPr>
        <w:t>8</w:t>
      </w:r>
      <w:r>
        <w:rPr>
          <w:rFonts w:ascii="宋体" w:hAnsi="宋体"/>
          <w:sz w:val="24"/>
          <w:szCs w:val="24"/>
        </w:rPr>
        <w:t>. 每个抽检周期结束前报送食品检验结果，乙方对检验报告的可靠性和准确性负责。</w:t>
      </w:r>
    </w:p>
    <w:p>
      <w:pPr>
        <w:widowControl/>
        <w:spacing w:line="440" w:lineRule="exact"/>
        <w:ind w:firstLine="480" w:firstLineChars="200"/>
        <w:jc w:val="left"/>
        <w:textAlignment w:val="baseline"/>
        <w:rPr>
          <w:rFonts w:ascii="宋体" w:hAnsi="宋体"/>
          <w:sz w:val="24"/>
          <w:szCs w:val="24"/>
        </w:rPr>
      </w:pPr>
      <w:r>
        <w:rPr>
          <w:rFonts w:hint="eastAsia" w:ascii="宋体" w:hAnsi="宋体"/>
          <w:sz w:val="24"/>
          <w:szCs w:val="24"/>
        </w:rPr>
        <w:t>9</w:t>
      </w:r>
      <w:r>
        <w:rPr>
          <w:rFonts w:ascii="宋体" w:hAnsi="宋体"/>
          <w:sz w:val="24"/>
          <w:szCs w:val="24"/>
        </w:rPr>
        <w:t>. 参加由甲方组织的与食品抽检工作的宣传、培训、检验结果分析等有关活动。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三、甲方的权利和义务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指定一名抽检工作联系人，确保通讯畅通，代表甲方处理食品抽检工作中的有关事宜。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向乙方提供食品抽检计划和服务内容等书面材料和要求。检验产品的种类、品种、项目、抽样地点及样品处理由甲方提前3日通知乙方。涉及食品安全突发事件的食品抽检甲方可随时通知乙方开展抽检工作，乙方不得以任何理由推拖和拒绝。</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对乙方食品抽检计划完成情况予以审核确认，如期向乙方支付抽检费用。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有权利就委托的事项提出合法、合理的要求。</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有权利派专家和工作人员监督抽检工作，但不得非法干预、影响检验过程和结果。</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6．有义务保守抽检工作的相关秘密。</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7. 应遵守法律法规和各项食品检验规范和制度。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四、乙方的权利和义务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 指派专人负责项目联络工作，确保通讯畅通，每日24小时开机，及时响应，如有变化应及时告知甲方。</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 按照有关法律法规和技术规范要求，加强质量控制和规范管理，确保检验结果客观、准确，并按照委托时限提交检验报告和汇总分析报告。</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 根据甲方要求制订食品抽检工作实施方案，同时可以根据甲方需求提出合理化建议。</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 根据甲方要求开展食品抽检工作，每个周期抽检工作结束后可向甲方出具书面确认材料。</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5. 满足甲方的合法、合理要求，但对违法违规以及无理的要求应予拒绝。</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6. 可根据需要，就食品抽检工作征询专家意见。</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7. 在委托事项范围内应及时答复甲方的询问和质疑。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8. 有义务保守抽检工作的相关秘密。</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9. 在采样过程中不得收取食品生产经营单位任何费用。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10. 应及时向甲方举报抽样过程中发现的或应该发现的食品生产经营单位的违法行为。</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11. 及时配合被抽检对象（申请人）提出的复检申请。企业提出复检时，复检结论与初检</w:t>
      </w:r>
      <w:r>
        <w:rPr>
          <w:rFonts w:ascii="宋体" w:hAnsi="宋体" w:eastAsia="宋体" w:cs="Times New Roman"/>
          <w:sz w:val="24"/>
          <w:szCs w:val="24"/>
        </w:rPr>
        <w:t>结论一致的，复</w:t>
      </w:r>
      <w:r>
        <w:rPr>
          <w:rFonts w:ascii="宋体" w:hAnsi="宋体"/>
          <w:sz w:val="24"/>
          <w:szCs w:val="24"/>
        </w:rPr>
        <w:t>检费用由申请人承担；复检结论与初检结论不一致的，复检费用由初检机构（乙方）承担。</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12.应遵守法律法规、食品检验技术规范和相关制度。</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w:t>
      </w:r>
      <w:r>
        <w:rPr>
          <w:rFonts w:hint="eastAsia" w:ascii="宋体" w:hAnsi="宋体"/>
          <w:sz w:val="24"/>
          <w:szCs w:val="24"/>
        </w:rPr>
        <w:t>为规范食品抽检工作，形成抽检大数据，为日常监管提供技术支撑，乙方抽检过程中统一使用“国家食品安全抽检监测信息系统”检测结果及时上传抽检信息系统。抽样单格式、编号规则和检验报告格式等相关规范按照总局和省局要求执行。</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配合甲方按照规定上报和公布抽检信息</w:t>
      </w:r>
      <w:r>
        <w:rPr>
          <w:rFonts w:ascii="宋体" w:hAnsi="宋体"/>
          <w:sz w:val="24"/>
          <w:szCs w:val="24"/>
        </w:rPr>
        <w:t>。</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15.食品安全监督抽检的检验结论合格的，承检机构应当自检验结论作出之日起3个月内妥善保存复检备份样品。复检备份样品剩余保质期不足3个月的，应当保存至保质期结束。</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检验结论不合格的，承检机构应当自检验结论作出之日起6个月内妥善保存复检备份样品。复检备份样品剩余保质期不足6个月的，应当保存至保质期结束。</w:t>
      </w:r>
    </w:p>
    <w:p>
      <w:pPr>
        <w:keepNext/>
        <w:keepLines/>
        <w:widowControl/>
        <w:spacing w:line="440" w:lineRule="exact"/>
        <w:ind w:firstLine="480" w:firstLineChars="200"/>
        <w:jc w:val="left"/>
        <w:textAlignment w:val="baseline"/>
        <w:rPr>
          <w:rFonts w:hint="eastAsia" w:ascii="宋体" w:hAnsi="宋体"/>
          <w:sz w:val="24"/>
          <w:szCs w:val="24"/>
        </w:rPr>
      </w:pPr>
      <w:r>
        <w:rPr>
          <w:rFonts w:hint="eastAsia" w:ascii="宋体" w:hAnsi="宋体"/>
          <w:sz w:val="24"/>
          <w:szCs w:val="24"/>
        </w:rPr>
        <w:t>16.食品安全监督抽检的检验结论合格的，本着节能原则，乙方向甲方提供检验报告电子版。特殊情况需纸质版，由甲方有关人员联系乙方提供。食品安全监督抽检的检验结论不合格的，乙方应当向甲方提供检验报告纸质版6份及电子版。</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五、费用结算、违约责任处理办法</w:t>
      </w:r>
    </w:p>
    <w:p>
      <w:pPr>
        <w:widowControl/>
        <w:snapToGrid w:val="0"/>
        <w:spacing w:line="440" w:lineRule="exact"/>
        <w:ind w:firstLine="480" w:firstLineChars="200"/>
        <w:jc w:val="left"/>
        <w:textAlignment w:val="baseline"/>
        <w:rPr>
          <w:rFonts w:ascii="宋体" w:hAnsi="宋体"/>
          <w:sz w:val="24"/>
          <w:szCs w:val="24"/>
        </w:rPr>
      </w:pPr>
      <w:r>
        <w:rPr>
          <w:rFonts w:hint="eastAsia" w:ascii="宋体" w:hAnsi="宋体"/>
          <w:sz w:val="24"/>
          <w:szCs w:val="24"/>
        </w:rPr>
        <w:t>抽样检测费用按实际批次和检验项目结算，购买样品费用和抽检产生费用包含在项目检测费用里，费用由乙方先行垫付，待检验和复检工作全部完成后，乙方按照实际抽检批次和成交项目单价（详见附件）合计抽样检测费用，经甲方认可后，向甲方提供合法、真实、有效的检测费用发票、样品清单等资料，每季度结算一次。</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甲方在验收中发现下列问题时，甲方有权拒付相应的抽检费用和样品购买费用，并有权解除合同、向乙方收取违约金：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1、乙方未按照甲方明确的采样地域、环节、品种等以及未按照规定要求组织抽样的，甲方有权拒付相应的抽检费用和样品购买费用，乙方并向甲方支付相应抽检费用50%的违约金。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2、乙方出具虚假或伪造检验报告的，甲方有权拒付相应的抽检费用，每发现1份虚假或伪造检验报告，乙方向甲方支付成交价5%的违约金。</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3、乙方擅自委托其它检验机构抽检的，甲方有权拒付相应的抽检费用。</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4、发生其它违约情形时，因违约造成经济损失的，由违约方承担。</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六、合同的解除与终止</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1.在整个抽样检验过程中，如发现乙方有出具虚假或伪造检验报告及与检验相关任何文件的情况下，甲方有权随时解除合同，要求乙方赔偿损失，并由乙方承担由此产生的一切后果和不良影响。</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2.乙方未按照甲方要求的抽样、检验标准进行抽样检验的，甲方有权随时中止合同，并要求乙方限期改正，限期内未按要求改正的，甲方有权解除合同，要求乙方赔偿损失，并由乙方承担由此产生的一切后果和不良影响。</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3.本合同因期限届满、履行完毕、一方解除或者其他法定事由而终止。</w:t>
      </w:r>
    </w:p>
    <w:p>
      <w:pPr>
        <w:widowControl/>
        <w:spacing w:line="440" w:lineRule="exact"/>
        <w:ind w:firstLine="480" w:firstLineChars="200"/>
        <w:jc w:val="left"/>
        <w:textAlignment w:val="baseline"/>
        <w:rPr>
          <w:rFonts w:ascii="宋体" w:hAnsi="宋体"/>
          <w:sz w:val="24"/>
          <w:szCs w:val="24"/>
        </w:rPr>
      </w:pPr>
      <w:r>
        <w:rPr>
          <w:rFonts w:ascii="宋体" w:hAnsi="宋体"/>
          <w:sz w:val="24"/>
          <w:szCs w:val="24"/>
        </w:rPr>
        <w:t>七、本协议自甲乙双方签字盖章之日起生效。协议一式五份，甲乙双方各执二份，报政府采购主管部门备案一份。</w:t>
      </w:r>
    </w:p>
    <w:p>
      <w:pPr>
        <w:keepNext/>
        <w:keepLines/>
        <w:widowControl/>
        <w:spacing w:line="440" w:lineRule="exact"/>
        <w:ind w:firstLine="480" w:firstLineChars="200"/>
        <w:jc w:val="left"/>
        <w:textAlignment w:val="baseline"/>
        <w:rPr>
          <w:rFonts w:ascii="宋体" w:hAnsi="宋体"/>
          <w:color w:val="000000"/>
          <w:sz w:val="24"/>
          <w:szCs w:val="24"/>
        </w:rPr>
      </w:pPr>
      <w:r>
        <w:rPr>
          <w:rFonts w:ascii="宋体" w:hAnsi="宋体"/>
          <w:color w:val="000000"/>
          <w:sz w:val="24"/>
          <w:szCs w:val="24"/>
        </w:rPr>
        <w:t>附件：卢氏县市场监督管理局202</w:t>
      </w:r>
      <w:r>
        <w:rPr>
          <w:rFonts w:hint="eastAsia" w:ascii="宋体" w:hAnsi="宋体"/>
          <w:color w:val="000000"/>
          <w:sz w:val="24"/>
          <w:szCs w:val="24"/>
          <w:lang w:val="en-US" w:eastAsia="zh-CN"/>
        </w:rPr>
        <w:t>4</w:t>
      </w:r>
      <w:r>
        <w:rPr>
          <w:rFonts w:ascii="宋体" w:hAnsi="宋体"/>
          <w:color w:val="000000"/>
          <w:sz w:val="24"/>
          <w:szCs w:val="24"/>
        </w:rPr>
        <w:t>年食品安全监督抽检明细表</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甲方：（盖章 ）                 乙方：（盖章）</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地址：                         地址：</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负责人签字：                   负责人签字：</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联系人：                       联系人：</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联系电话：                     联系电话：</w:t>
      </w:r>
    </w:p>
    <w:p>
      <w:pPr>
        <w:keepNext/>
        <w:keepLines/>
        <w:widowControl/>
        <w:spacing w:line="440" w:lineRule="exact"/>
        <w:ind w:firstLine="480" w:firstLineChars="200"/>
        <w:jc w:val="left"/>
        <w:textAlignment w:val="baseline"/>
        <w:rPr>
          <w:rFonts w:hint="eastAsia" w:ascii="宋体" w:hAnsi="宋体"/>
          <w:color w:val="000000"/>
          <w:sz w:val="24"/>
          <w:szCs w:val="24"/>
        </w:rPr>
      </w:pPr>
      <w:r>
        <w:rPr>
          <w:rFonts w:hint="eastAsia" w:ascii="宋体" w:hAnsi="宋体"/>
          <w:color w:val="000000"/>
          <w:sz w:val="24"/>
          <w:szCs w:val="24"/>
        </w:rPr>
        <w:t>开户行：                       开户行：</w:t>
      </w:r>
    </w:p>
    <w:p>
      <w:pPr>
        <w:keepNext/>
        <w:keepLines/>
        <w:widowControl/>
        <w:spacing w:line="440" w:lineRule="exact"/>
        <w:ind w:firstLine="480" w:firstLineChars="200"/>
        <w:jc w:val="left"/>
        <w:textAlignment w:val="baseline"/>
        <w:rPr>
          <w:rFonts w:hint="eastAsia" w:ascii="新宋体" w:hAnsi="新宋体" w:eastAsia="新宋体"/>
          <w:color w:val="000000"/>
          <w:sz w:val="24"/>
        </w:rPr>
      </w:pPr>
      <w:r>
        <w:rPr>
          <w:rFonts w:hint="eastAsia" w:ascii="宋体" w:hAnsi="宋体"/>
          <w:color w:val="000000"/>
          <w:sz w:val="24"/>
          <w:szCs w:val="24"/>
        </w:rPr>
        <w:t>账号：                         账号：</w:t>
      </w:r>
      <w:r>
        <w:rPr>
          <w:rFonts w:hint="eastAsia" w:ascii="宋体" w:hAnsi="宋体"/>
          <w:color w:val="000000"/>
          <w:sz w:val="24"/>
          <w:szCs w:val="24"/>
        </w:rPr>
        <w:cr/>
      </w:r>
      <w:r>
        <w:rPr>
          <w:rFonts w:hint="eastAsia" w:ascii="宋体" w:hAnsi="宋体"/>
          <w:color w:val="000000"/>
          <w:sz w:val="24"/>
          <w:szCs w:val="24"/>
        </w:rPr>
        <w:t xml:space="preserve">        年   月   日                    年   月   日</w:t>
      </w:r>
      <w:r>
        <w:rPr>
          <w:rFonts w:ascii="宋体" w:hAnsi="宋体"/>
          <w:color w:val="000000"/>
          <w:sz w:val="24"/>
          <w:szCs w:val="24"/>
        </w:rPr>
        <w:cr/>
      </w:r>
    </w:p>
    <w:p>
      <w:pPr>
        <w:pStyle w:val="2"/>
        <w:spacing w:line="240" w:lineRule="auto"/>
        <w:ind w:left="360"/>
        <w:jc w:val="center"/>
        <w:rPr>
          <w:rFonts w:hint="eastAsia" w:ascii="宋体" w:hAnsi="宋体"/>
          <w:sz w:val="36"/>
          <w:szCs w:val="36"/>
        </w:rPr>
      </w:pPr>
      <w:r>
        <w:rPr>
          <w:rFonts w:ascii="宋体" w:hAnsi="宋体"/>
          <w:sz w:val="36"/>
          <w:szCs w:val="36"/>
        </w:rPr>
        <w:br w:type="page"/>
      </w:r>
      <w:bookmarkEnd w:id="224"/>
      <w:bookmarkStart w:id="225" w:name="_Toc101344075"/>
      <w:bookmarkStart w:id="226" w:name="_Toc48158325"/>
      <w:bookmarkStart w:id="227" w:name="_Toc29187"/>
      <w:r>
        <w:rPr>
          <w:rFonts w:hint="eastAsia" w:ascii="宋体" w:hAnsi="宋体"/>
          <w:sz w:val="36"/>
          <w:szCs w:val="36"/>
        </w:rPr>
        <w:t>第六章 磋商响应文件格式</w:t>
      </w:r>
      <w:bookmarkEnd w:id="225"/>
      <w:bookmarkEnd w:id="226"/>
      <w:bookmarkEnd w:id="227"/>
    </w:p>
    <w:p>
      <w:pPr>
        <w:jc w:val="center"/>
        <w:rPr>
          <w:rFonts w:hint="eastAsia" w:ascii="宋体" w:hAnsi="宋体" w:eastAsia="宋体" w:cs="Times New Roman"/>
          <w:b/>
          <w:bCs/>
          <w:kern w:val="44"/>
          <w:sz w:val="36"/>
          <w:szCs w:val="36"/>
          <w:lang w:val="en-US" w:eastAsia="zh-CN" w:bidi="ar-SA"/>
        </w:rPr>
      </w:pPr>
      <w:r>
        <w:rPr>
          <w:rFonts w:hint="eastAsia" w:ascii="宋体" w:hAnsi="宋体" w:eastAsia="宋体" w:cs="Times New Roman"/>
          <w:b/>
          <w:bCs/>
          <w:kern w:val="44"/>
          <w:sz w:val="36"/>
          <w:szCs w:val="36"/>
          <w:lang w:val="en-US" w:eastAsia="zh-CN" w:bidi="ar-SA"/>
        </w:rPr>
        <w:t>项目名称（第</w:t>
      </w:r>
      <w:r>
        <w:rPr>
          <w:rFonts w:hint="eastAsia" w:ascii="宋体" w:hAnsi="宋体" w:eastAsia="宋体" w:cs="Times New Roman"/>
          <w:b/>
          <w:bCs/>
          <w:kern w:val="44"/>
          <w:sz w:val="36"/>
          <w:szCs w:val="36"/>
          <w:u w:val="single"/>
          <w:lang w:val="en-US" w:eastAsia="zh-CN" w:bidi="ar-SA"/>
        </w:rPr>
        <w:t xml:space="preserve">    </w:t>
      </w:r>
      <w:r>
        <w:rPr>
          <w:rFonts w:hint="eastAsia" w:ascii="宋体" w:hAnsi="宋体" w:eastAsia="宋体" w:cs="Times New Roman"/>
          <w:b/>
          <w:bCs/>
          <w:kern w:val="44"/>
          <w:sz w:val="36"/>
          <w:szCs w:val="36"/>
          <w:lang w:val="en-US" w:eastAsia="zh-CN" w:bidi="ar-SA"/>
        </w:rPr>
        <w:t>标段）</w:t>
      </w:r>
    </w:p>
    <w:p>
      <w:pPr>
        <w:spacing w:line="360" w:lineRule="auto"/>
        <w:ind w:firstLine="1065" w:firstLineChars="296"/>
        <w:rPr>
          <w:rFonts w:ascii="宋体" w:hAnsi="宋体"/>
          <w:sz w:val="36"/>
          <w:szCs w:val="36"/>
        </w:rPr>
      </w:pPr>
    </w:p>
    <w:p>
      <w:pPr>
        <w:spacing w:line="360" w:lineRule="auto"/>
        <w:rPr>
          <w:rFonts w:ascii="宋体" w:hAnsi="宋体"/>
          <w:b/>
          <w:sz w:val="44"/>
        </w:rPr>
      </w:pPr>
    </w:p>
    <w:p>
      <w:pPr>
        <w:spacing w:line="360" w:lineRule="auto"/>
        <w:rPr>
          <w:rFonts w:ascii="宋体" w:hAnsi="宋体"/>
          <w:b/>
          <w:sz w:val="44"/>
        </w:rPr>
      </w:pPr>
    </w:p>
    <w:p>
      <w:pPr>
        <w:spacing w:line="276" w:lineRule="auto"/>
        <w:jc w:val="center"/>
        <w:rPr>
          <w:rFonts w:ascii="宋体" w:hAnsi="宋体"/>
          <w:sz w:val="72"/>
          <w:szCs w:val="72"/>
        </w:rPr>
      </w:pPr>
      <w:r>
        <w:rPr>
          <w:rFonts w:hint="eastAsia" w:ascii="宋体" w:hAnsi="宋体"/>
          <w:sz w:val="72"/>
          <w:szCs w:val="72"/>
        </w:rPr>
        <w:t>磋商响应文件</w:t>
      </w:r>
    </w:p>
    <w:p>
      <w:pPr>
        <w:spacing w:line="276" w:lineRule="auto"/>
        <w:ind w:firstLine="2233" w:firstLineChars="695"/>
        <w:rPr>
          <w:rFonts w:ascii="宋体" w:hAnsi="宋体"/>
          <w:b/>
          <w:sz w:val="32"/>
          <w:szCs w:val="32"/>
        </w:rPr>
      </w:pPr>
      <w:r>
        <w:rPr>
          <w:rFonts w:hint="eastAsia" w:ascii="宋体" w:hAnsi="宋体"/>
          <w:b/>
          <w:sz w:val="32"/>
          <w:szCs w:val="32"/>
        </w:rPr>
        <w:t>项目编号：</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1571" w:firstLineChars="450"/>
        <w:rPr>
          <w:rFonts w:ascii="宋体"/>
          <w:b/>
          <w:spacing w:val="24"/>
          <w:sz w:val="30"/>
          <w:szCs w:val="30"/>
        </w:rPr>
      </w:pPr>
      <w:r>
        <w:rPr>
          <w:rFonts w:hint="eastAsia" w:ascii="宋体" w:hAnsi="宋体"/>
          <w:b/>
          <w:spacing w:val="24"/>
          <w:sz w:val="30"/>
          <w:szCs w:val="30"/>
        </w:rPr>
        <w:t>磋商供应商：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pPr>
        <w:spacing w:line="360" w:lineRule="auto"/>
        <w:ind w:firstLine="1571" w:firstLineChars="450"/>
        <w:rPr>
          <w:rFonts w:ascii="宋体"/>
          <w:b/>
          <w:spacing w:val="24"/>
          <w:sz w:val="30"/>
          <w:szCs w:val="30"/>
        </w:rPr>
      </w:pPr>
      <w:r>
        <w:rPr>
          <w:rFonts w:hint="eastAsia" w:ascii="宋体" w:hAnsi="宋体"/>
          <w:b/>
          <w:spacing w:val="24"/>
          <w:sz w:val="30"/>
          <w:szCs w:val="30"/>
        </w:rPr>
        <w:t>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pPr>
        <w:spacing w:line="360" w:lineRule="auto"/>
        <w:ind w:right="452" w:firstLine="1571" w:firstLineChars="450"/>
        <w:rPr>
          <w:rFonts w:hint="eastAsia" w:ascii="宋体" w:hAnsi="宋体"/>
          <w:b/>
          <w:spacing w:val="24"/>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pPr>
        <w:spacing w:line="360" w:lineRule="auto"/>
        <w:ind w:right="452" w:firstLine="1427" w:firstLineChars="450"/>
        <w:rPr>
          <w:rFonts w:hint="eastAsia" w:ascii="宋体" w:hAnsi="宋体" w:cs="宋体"/>
          <w:b/>
          <w:spacing w:val="8"/>
          <w:sz w:val="30"/>
          <w:szCs w:val="30"/>
        </w:rPr>
      </w:pPr>
    </w:p>
    <w:p>
      <w:pPr>
        <w:autoSpaceDE w:val="0"/>
        <w:autoSpaceDN w:val="0"/>
        <w:adjustRightInd w:val="0"/>
        <w:spacing w:line="420" w:lineRule="exact"/>
        <w:jc w:val="center"/>
        <w:rPr>
          <w:rFonts w:ascii="宋体" w:hAnsi="宋体" w:cs="宋体"/>
          <w:b/>
          <w:kern w:val="0"/>
          <w:sz w:val="36"/>
          <w:szCs w:val="36"/>
        </w:rPr>
      </w:pPr>
      <w:r>
        <w:rPr>
          <w:rFonts w:ascii="宋体" w:hAnsi="宋体" w:cs="宋体"/>
          <w:b/>
          <w:kern w:val="0"/>
          <w:sz w:val="36"/>
          <w:szCs w:val="36"/>
        </w:rPr>
        <w:br w:type="page"/>
      </w:r>
      <w:r>
        <w:rPr>
          <w:rFonts w:hint="eastAsia" w:ascii="宋体" w:hAnsi="宋体" w:cs="宋体"/>
          <w:b/>
          <w:kern w:val="0"/>
          <w:sz w:val="36"/>
          <w:szCs w:val="36"/>
        </w:rPr>
        <w:t>目    录</w:t>
      </w:r>
    </w:p>
    <w:p>
      <w:pPr>
        <w:autoSpaceDE w:val="0"/>
        <w:autoSpaceDN w:val="0"/>
        <w:adjustRightInd w:val="0"/>
        <w:spacing w:line="420" w:lineRule="exact"/>
        <w:jc w:val="center"/>
        <w:rPr>
          <w:rFonts w:ascii="宋体" w:hAnsi="宋体" w:cs="宋体"/>
          <w:kern w:val="0"/>
          <w:sz w:val="28"/>
          <w:szCs w:val="28"/>
        </w:rPr>
      </w:pPr>
    </w:p>
    <w:p>
      <w:pPr>
        <w:keepNext/>
        <w:keepLines/>
        <w:spacing w:before="260" w:after="260" w:line="600" w:lineRule="exact"/>
        <w:jc w:val="left"/>
        <w:outlineLvl w:val="1"/>
        <w:rPr>
          <w:rFonts w:hint="eastAsia" w:ascii="宋体" w:hAnsi="宋体" w:cs="宋体-PUA"/>
          <w:bCs/>
          <w:sz w:val="32"/>
        </w:rPr>
      </w:pPr>
      <w:bookmarkStart w:id="228" w:name="_Toc2137"/>
      <w:bookmarkStart w:id="229" w:name="_Toc246997099"/>
      <w:bookmarkStart w:id="230" w:name="_Toc6295"/>
      <w:bookmarkStart w:id="231" w:name="_Toc179632808"/>
      <w:bookmarkStart w:id="232" w:name="_Toc247085874"/>
      <w:bookmarkStart w:id="233" w:name="_Toc296602602"/>
      <w:bookmarkStart w:id="234" w:name="_Toc152045788"/>
      <w:bookmarkStart w:id="235" w:name="_Toc144974857"/>
      <w:bookmarkStart w:id="236" w:name="_Toc152042577"/>
      <w:bookmarkStart w:id="237" w:name="_Toc246996356"/>
      <w:bookmarkStart w:id="238" w:name="_Toc68710942"/>
      <w:bookmarkStart w:id="239" w:name="_Toc101344076"/>
      <w:r>
        <w:rPr>
          <w:rFonts w:hint="eastAsia" w:ascii="宋体" w:hAnsi="宋体" w:cs="宋体-PUA"/>
          <w:bCs/>
          <w:sz w:val="32"/>
        </w:rPr>
        <w:t>一、报价函及报价函附表</w:t>
      </w:r>
      <w:bookmarkEnd w:id="228"/>
    </w:p>
    <w:p>
      <w:pPr>
        <w:keepNext/>
        <w:keepLines/>
        <w:spacing w:before="260" w:after="260" w:line="600" w:lineRule="exact"/>
        <w:jc w:val="left"/>
        <w:outlineLvl w:val="1"/>
        <w:rPr>
          <w:rFonts w:hint="eastAsia" w:ascii="宋体" w:hAnsi="宋体" w:cs="宋体-PUA"/>
          <w:bCs/>
          <w:sz w:val="32"/>
        </w:rPr>
      </w:pPr>
      <w:bookmarkStart w:id="240" w:name="_Toc11899"/>
      <w:r>
        <w:rPr>
          <w:rFonts w:hint="eastAsia" w:ascii="宋体" w:hAnsi="宋体" w:cs="宋体-PUA"/>
          <w:bCs/>
          <w:sz w:val="32"/>
        </w:rPr>
        <w:t>二、法定代表人身份证明及授权委托书</w:t>
      </w:r>
      <w:bookmarkEnd w:id="240"/>
    </w:p>
    <w:p>
      <w:pPr>
        <w:keepNext/>
        <w:keepLines/>
        <w:spacing w:before="260" w:after="260" w:line="600" w:lineRule="exact"/>
        <w:jc w:val="left"/>
        <w:outlineLvl w:val="1"/>
        <w:rPr>
          <w:rFonts w:hint="eastAsia" w:ascii="宋体" w:hAnsi="宋体" w:cs="宋体-PUA"/>
          <w:bCs/>
          <w:sz w:val="32"/>
        </w:rPr>
      </w:pPr>
      <w:bookmarkStart w:id="241" w:name="_Toc23643"/>
      <w:r>
        <w:rPr>
          <w:rFonts w:hint="eastAsia" w:ascii="宋体" w:hAnsi="宋体" w:cs="宋体-PUA"/>
          <w:bCs/>
          <w:sz w:val="32"/>
        </w:rPr>
        <w:t>三、磋商承诺函</w:t>
      </w:r>
      <w:bookmarkEnd w:id="241"/>
    </w:p>
    <w:p>
      <w:pPr>
        <w:keepNext/>
        <w:keepLines/>
        <w:spacing w:before="260" w:after="260" w:line="600" w:lineRule="exact"/>
        <w:jc w:val="left"/>
        <w:outlineLvl w:val="1"/>
        <w:rPr>
          <w:rFonts w:hint="eastAsia" w:ascii="宋体" w:hAnsi="宋体" w:cs="宋体-PUA"/>
          <w:bCs/>
          <w:sz w:val="32"/>
        </w:rPr>
      </w:pPr>
      <w:bookmarkStart w:id="242" w:name="_Toc7894"/>
      <w:r>
        <w:rPr>
          <w:rFonts w:hint="eastAsia" w:ascii="宋体" w:hAnsi="宋体" w:cs="宋体-PUA"/>
          <w:bCs/>
          <w:sz w:val="32"/>
        </w:rPr>
        <w:t>四、分项报价表</w:t>
      </w:r>
      <w:bookmarkEnd w:id="242"/>
    </w:p>
    <w:p>
      <w:pPr>
        <w:keepNext/>
        <w:keepLines/>
        <w:spacing w:before="260" w:after="260" w:line="600" w:lineRule="exact"/>
        <w:jc w:val="left"/>
        <w:outlineLvl w:val="1"/>
        <w:rPr>
          <w:rFonts w:ascii="宋体" w:hAnsi="宋体" w:cs="宋体-PUA"/>
          <w:bCs/>
          <w:sz w:val="32"/>
        </w:rPr>
      </w:pPr>
      <w:bookmarkStart w:id="243" w:name="_Toc11327"/>
      <w:r>
        <w:rPr>
          <w:rFonts w:hint="eastAsia" w:ascii="宋体" w:hAnsi="宋体" w:cs="宋体-PUA"/>
          <w:bCs/>
          <w:sz w:val="32"/>
        </w:rPr>
        <w:t>五、技术标</w:t>
      </w:r>
      <w:bookmarkEnd w:id="243"/>
    </w:p>
    <w:p>
      <w:pPr>
        <w:keepNext/>
        <w:keepLines/>
        <w:spacing w:before="260" w:after="260" w:line="600" w:lineRule="exact"/>
        <w:jc w:val="left"/>
        <w:outlineLvl w:val="1"/>
        <w:rPr>
          <w:rFonts w:hint="eastAsia" w:ascii="宋体" w:hAnsi="宋体" w:cs="宋体-PUA"/>
          <w:bCs/>
          <w:sz w:val="32"/>
        </w:rPr>
      </w:pPr>
      <w:bookmarkStart w:id="244" w:name="_Toc6631"/>
      <w:r>
        <w:rPr>
          <w:rFonts w:hint="eastAsia" w:ascii="宋体" w:hAnsi="宋体" w:cs="宋体-PUA"/>
          <w:bCs/>
          <w:sz w:val="32"/>
        </w:rPr>
        <w:t>六、商务标</w:t>
      </w:r>
      <w:bookmarkEnd w:id="244"/>
    </w:p>
    <w:p>
      <w:pPr>
        <w:keepNext/>
        <w:keepLines/>
        <w:spacing w:before="260" w:after="260" w:line="600" w:lineRule="exact"/>
        <w:jc w:val="left"/>
        <w:outlineLvl w:val="1"/>
        <w:rPr>
          <w:rFonts w:hint="eastAsia" w:ascii="宋体" w:hAnsi="宋体" w:cs="宋体-PUA"/>
          <w:bCs/>
          <w:sz w:val="32"/>
        </w:rPr>
      </w:pPr>
      <w:bookmarkStart w:id="245" w:name="_Toc4604"/>
      <w:r>
        <w:rPr>
          <w:rFonts w:hint="eastAsia" w:ascii="宋体" w:hAnsi="宋体" w:cs="宋体-PUA"/>
          <w:bCs/>
          <w:sz w:val="32"/>
        </w:rPr>
        <w:t>七、供应商资格证明资料</w:t>
      </w:r>
      <w:bookmarkEnd w:id="245"/>
    </w:p>
    <w:p>
      <w:pPr>
        <w:keepNext/>
        <w:keepLines/>
        <w:spacing w:before="260" w:after="260" w:line="600" w:lineRule="exact"/>
        <w:jc w:val="left"/>
        <w:outlineLvl w:val="1"/>
        <w:rPr>
          <w:rFonts w:ascii="宋体" w:hAnsi="宋体" w:cs="宋体-PUA"/>
          <w:bCs/>
          <w:sz w:val="32"/>
        </w:rPr>
      </w:pPr>
      <w:bookmarkStart w:id="246" w:name="_Toc7813"/>
      <w:r>
        <w:rPr>
          <w:rFonts w:hint="eastAsia" w:ascii="宋体" w:hAnsi="宋体" w:cs="宋体-PUA"/>
          <w:bCs/>
          <w:sz w:val="32"/>
        </w:rPr>
        <w:t>八、供应商认为需要提供的其他材料</w:t>
      </w:r>
      <w:bookmarkEnd w:id="246"/>
    </w:p>
    <w:p>
      <w:pPr>
        <w:pStyle w:val="3"/>
        <w:spacing w:line="600" w:lineRule="exact"/>
        <w:jc w:val="center"/>
        <w:rPr>
          <w:rFonts w:hint="eastAsia" w:ascii="宋体" w:hAnsi="宋体" w:eastAsia="宋体" w:cs="宋体-PUA"/>
          <w:sz w:val="24"/>
          <w:szCs w:val="24"/>
        </w:rPr>
      </w:pPr>
      <w:r>
        <w:rPr>
          <w:rFonts w:ascii="宋体" w:hAnsi="宋体" w:eastAsia="宋体" w:cs="宋体-PUA"/>
          <w:sz w:val="24"/>
          <w:szCs w:val="24"/>
        </w:rPr>
        <w:br w:type="page"/>
      </w:r>
      <w:bookmarkStart w:id="247" w:name="_Toc23536"/>
      <w:bookmarkStart w:id="248" w:name="_Toc12993"/>
      <w:r>
        <w:rPr>
          <w:rFonts w:hint="eastAsia" w:ascii="宋体" w:hAnsi="宋体" w:eastAsia="宋体" w:cs="宋体-PUA"/>
          <w:szCs w:val="24"/>
        </w:rPr>
        <w:t>一、报价函</w:t>
      </w:r>
      <w:bookmarkEnd w:id="229"/>
      <w:bookmarkEnd w:id="230"/>
      <w:bookmarkEnd w:id="231"/>
      <w:bookmarkEnd w:id="232"/>
      <w:bookmarkEnd w:id="233"/>
      <w:bookmarkEnd w:id="234"/>
      <w:bookmarkEnd w:id="235"/>
      <w:bookmarkEnd w:id="236"/>
      <w:bookmarkEnd w:id="237"/>
      <w:r>
        <w:rPr>
          <w:rFonts w:hint="eastAsia" w:ascii="宋体" w:hAnsi="宋体" w:eastAsia="宋体" w:cs="宋体-PUA"/>
          <w:szCs w:val="24"/>
        </w:rPr>
        <w:t>及报价函附表</w:t>
      </w:r>
      <w:bookmarkEnd w:id="238"/>
      <w:bookmarkEnd w:id="239"/>
      <w:bookmarkEnd w:id="247"/>
      <w:bookmarkEnd w:id="248"/>
    </w:p>
    <w:p>
      <w:pPr>
        <w:jc w:val="center"/>
        <w:rPr>
          <w:rFonts w:hint="eastAsia"/>
          <w:b/>
          <w:sz w:val="28"/>
          <w:szCs w:val="28"/>
        </w:rPr>
      </w:pPr>
      <w:r>
        <w:rPr>
          <w:rFonts w:hint="eastAsia"/>
          <w:b/>
          <w:sz w:val="28"/>
          <w:szCs w:val="28"/>
        </w:rPr>
        <w:t>（一）报价函</w:t>
      </w:r>
    </w:p>
    <w:p>
      <w:pPr>
        <w:spacing w:line="400" w:lineRule="exact"/>
        <w:rPr>
          <w:rFonts w:ascii="宋体" w:hAnsi="宋体"/>
          <w:sz w:val="28"/>
          <w:szCs w:val="28"/>
        </w:rPr>
      </w:pPr>
      <w:bookmarkStart w:id="249" w:name="_Toc246997101"/>
      <w:bookmarkStart w:id="250" w:name="_Toc144974859"/>
      <w:bookmarkStart w:id="251" w:name="_Toc179632810"/>
      <w:bookmarkStart w:id="252" w:name="_Toc296602604"/>
      <w:bookmarkStart w:id="253" w:name="_Toc152042579"/>
      <w:bookmarkStart w:id="254" w:name="_Toc247085876"/>
      <w:bookmarkStart w:id="255" w:name="_Toc246996358"/>
      <w:bookmarkStart w:id="256" w:name="_Toc152045790"/>
      <w:r>
        <w:rPr>
          <w:rFonts w:hint="eastAsia" w:ascii="宋体" w:hAnsi="宋体"/>
          <w:sz w:val="28"/>
          <w:szCs w:val="28"/>
        </w:rPr>
        <w:t xml:space="preserve">致： </w:t>
      </w:r>
      <w:r>
        <w:rPr>
          <w:rFonts w:hint="eastAsia" w:ascii="宋体" w:hAnsi="宋体"/>
          <w:sz w:val="28"/>
          <w:szCs w:val="28"/>
          <w:u w:val="single"/>
        </w:rPr>
        <w:t xml:space="preserve">               </w:t>
      </w:r>
      <w:r>
        <w:rPr>
          <w:rFonts w:hint="eastAsia" w:ascii="宋体" w:hAnsi="宋体"/>
          <w:sz w:val="28"/>
          <w:szCs w:val="28"/>
        </w:rPr>
        <w:t xml:space="preserve"> （采购人名称）</w:t>
      </w:r>
    </w:p>
    <w:p>
      <w:pPr>
        <w:spacing w:line="400" w:lineRule="exact"/>
        <w:ind w:firstLine="420" w:firstLineChars="150"/>
        <w:rPr>
          <w:rFonts w:hint="eastAsia" w:ascii="宋体" w:hAnsi="宋体"/>
          <w:sz w:val="28"/>
          <w:szCs w:val="28"/>
        </w:rPr>
      </w:pPr>
      <w:r>
        <w:rPr>
          <w:rFonts w:hint="eastAsia" w:ascii="宋体" w:hAnsi="宋体"/>
          <w:sz w:val="28"/>
          <w:szCs w:val="28"/>
        </w:rPr>
        <w:t>1．我方已仔细研究了</w:t>
      </w:r>
      <w:r>
        <w:rPr>
          <w:rFonts w:hint="eastAsia" w:ascii="宋体" w:hAnsi="宋体"/>
          <w:sz w:val="28"/>
          <w:szCs w:val="28"/>
          <w:u w:val="single"/>
        </w:rPr>
        <w:t xml:space="preserve">           </w:t>
      </w:r>
      <w:r>
        <w:rPr>
          <w:rFonts w:hint="eastAsia" w:ascii="宋体" w:hAnsi="宋体"/>
          <w:sz w:val="28"/>
          <w:szCs w:val="28"/>
        </w:rPr>
        <w:t>（项目名称）</w:t>
      </w:r>
      <w:r>
        <w:rPr>
          <w:rFonts w:hint="eastAsia" w:ascii="宋体" w:hAnsi="宋体"/>
          <w:sz w:val="28"/>
          <w:szCs w:val="28"/>
          <w:u w:val="single"/>
        </w:rPr>
        <w:t xml:space="preserve">          </w:t>
      </w:r>
      <w:r>
        <w:rPr>
          <w:rFonts w:hint="eastAsia" w:ascii="宋体" w:hAnsi="宋体"/>
          <w:sz w:val="28"/>
          <w:szCs w:val="28"/>
        </w:rPr>
        <w:t>（项目编号）第</w:t>
      </w:r>
      <w:r>
        <w:rPr>
          <w:rFonts w:hint="eastAsia" w:ascii="宋体" w:hAnsi="宋体"/>
          <w:sz w:val="28"/>
          <w:szCs w:val="28"/>
          <w:u w:val="single"/>
        </w:rPr>
        <w:t xml:space="preserve">     </w:t>
      </w:r>
      <w:r>
        <w:rPr>
          <w:rFonts w:hint="eastAsia" w:ascii="宋体" w:hAnsi="宋体"/>
          <w:sz w:val="28"/>
          <w:szCs w:val="28"/>
        </w:rPr>
        <w:t>标段竞争性磋商文件的全部内容，我方对该项目首次报价为人民币（大写）</w:t>
      </w:r>
      <w:r>
        <w:rPr>
          <w:rFonts w:hint="eastAsia" w:ascii="宋体" w:hAnsi="宋体"/>
          <w:sz w:val="28"/>
          <w:szCs w:val="28"/>
          <w:u w:val="single"/>
        </w:rPr>
        <w:t xml:space="preserve">             </w:t>
      </w:r>
      <w:r>
        <w:rPr>
          <w:rFonts w:hint="eastAsia" w:ascii="宋体" w:hAnsi="宋体"/>
          <w:sz w:val="28"/>
          <w:szCs w:val="28"/>
        </w:rPr>
        <w:t xml:space="preserve">（小写： </w:t>
      </w:r>
      <w:r>
        <w:rPr>
          <w:rFonts w:hint="eastAsia" w:ascii="宋体" w:hAnsi="宋体"/>
          <w:sz w:val="28"/>
          <w:szCs w:val="28"/>
          <w:u w:val="single"/>
        </w:rPr>
        <w:t xml:space="preserve">        </w:t>
      </w:r>
      <w:r>
        <w:rPr>
          <w:rFonts w:hint="eastAsia" w:ascii="宋体" w:hAnsi="宋体"/>
          <w:sz w:val="28"/>
          <w:szCs w:val="28"/>
        </w:rPr>
        <w:t>元），</w:t>
      </w:r>
      <w:r>
        <w:rPr>
          <w:rFonts w:hint="eastAsia" w:ascii="宋体" w:hAnsi="宋体"/>
          <w:kern w:val="0"/>
          <w:sz w:val="28"/>
          <w:szCs w:val="28"/>
        </w:rPr>
        <w:t>服务</w:t>
      </w:r>
      <w:r>
        <w:rPr>
          <w:rFonts w:hint="eastAsia" w:ascii="宋体" w:hAnsi="宋体"/>
          <w:kern w:val="0"/>
          <w:sz w:val="28"/>
          <w:szCs w:val="28"/>
          <w:lang w:eastAsia="zh-CN"/>
        </w:rPr>
        <w:t>期限</w:t>
      </w:r>
      <w:r>
        <w:rPr>
          <w:rFonts w:hint="eastAsia" w:ascii="宋体" w:hAnsi="宋体"/>
          <w:sz w:val="28"/>
          <w:szCs w:val="28"/>
        </w:rPr>
        <w:t>:</w:t>
      </w:r>
      <w:r>
        <w:rPr>
          <w:rFonts w:hint="eastAsia" w:ascii="宋体" w:hAnsi="宋体"/>
          <w:sz w:val="28"/>
          <w:szCs w:val="28"/>
          <w:u w:val="single"/>
        </w:rPr>
        <w:t xml:space="preserve">      </w:t>
      </w:r>
      <w:r>
        <w:rPr>
          <w:rFonts w:ascii="宋体" w:hAnsi="宋体"/>
          <w:sz w:val="28"/>
          <w:szCs w:val="28"/>
        </w:rPr>
        <w:t>,</w:t>
      </w:r>
      <w:r>
        <w:rPr>
          <w:rFonts w:hint="eastAsia" w:ascii="宋体" w:hAnsi="宋体"/>
          <w:sz w:val="28"/>
          <w:szCs w:val="28"/>
        </w:rPr>
        <w:t>质量</w:t>
      </w:r>
      <w:r>
        <w:rPr>
          <w:rFonts w:hint="eastAsia" w:ascii="宋体" w:hAnsi="宋体"/>
          <w:sz w:val="28"/>
          <w:szCs w:val="28"/>
          <w:lang w:eastAsia="zh-CN"/>
        </w:rPr>
        <w:t>要求</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cs="宋体"/>
          <w:color w:val="FF0000"/>
          <w:sz w:val="28"/>
          <w:szCs w:val="28"/>
        </w:rPr>
        <w:t xml:space="preserve"> </w:t>
      </w:r>
      <w:r>
        <w:rPr>
          <w:rFonts w:hint="eastAsia" w:ascii="宋体" w:hAnsi="宋体" w:cs="宋体"/>
          <w:sz w:val="28"/>
          <w:szCs w:val="28"/>
        </w:rPr>
        <w:t>依据采购人制定的食品安全抽样检验计划，承担采购人委托区域、服务范围内的食品抽样、检验，按时、如实出具报送检测报告及相关伴随服务</w:t>
      </w:r>
      <w:r>
        <w:rPr>
          <w:rFonts w:hint="eastAsia" w:ascii="宋体" w:hAnsi="宋体"/>
          <w:sz w:val="28"/>
          <w:szCs w:val="28"/>
        </w:rPr>
        <w:t>。</w:t>
      </w:r>
    </w:p>
    <w:p>
      <w:pPr>
        <w:spacing w:line="400" w:lineRule="exact"/>
        <w:ind w:firstLine="280" w:firstLineChars="100"/>
        <w:rPr>
          <w:rFonts w:ascii="宋体" w:hAnsi="宋体"/>
          <w:sz w:val="28"/>
          <w:szCs w:val="28"/>
        </w:rPr>
      </w:pPr>
      <w:r>
        <w:rPr>
          <w:rFonts w:hint="eastAsia" w:ascii="宋体" w:hAnsi="宋体"/>
          <w:sz w:val="28"/>
          <w:szCs w:val="28"/>
        </w:rPr>
        <w:t>2．我方承诺在磋商响应文件有效期(</w:t>
      </w:r>
      <w:r>
        <w:rPr>
          <w:rFonts w:hint="eastAsia" w:ascii="宋体" w:hAnsi="宋体" w:cs="宋体"/>
          <w:sz w:val="28"/>
          <w:szCs w:val="28"/>
        </w:rPr>
        <w:t>自磋商截止之日起</w:t>
      </w:r>
      <w:r>
        <w:rPr>
          <w:rFonts w:ascii="宋体" w:hAnsi="宋体" w:cs="宋体"/>
          <w:sz w:val="28"/>
          <w:szCs w:val="28"/>
        </w:rPr>
        <w:t>60</w:t>
      </w:r>
      <w:r>
        <w:rPr>
          <w:rFonts w:hint="eastAsia" w:ascii="宋体" w:hAnsi="宋体" w:cs="宋体"/>
          <w:sz w:val="28"/>
          <w:szCs w:val="28"/>
        </w:rPr>
        <w:t>日历天</w:t>
      </w:r>
      <w:r>
        <w:rPr>
          <w:rFonts w:hint="eastAsia" w:ascii="宋体" w:hAnsi="宋体"/>
          <w:sz w:val="28"/>
          <w:szCs w:val="28"/>
        </w:rPr>
        <w:t>)内不修改、撤销磋商响应文件。</w:t>
      </w:r>
    </w:p>
    <w:p>
      <w:pPr>
        <w:spacing w:line="400" w:lineRule="exact"/>
        <w:ind w:firstLine="280" w:firstLineChars="100"/>
        <w:rPr>
          <w:rFonts w:ascii="宋体" w:hAnsi="宋体"/>
          <w:sz w:val="28"/>
          <w:szCs w:val="28"/>
        </w:rPr>
      </w:pPr>
      <w:r>
        <w:rPr>
          <w:rFonts w:hint="eastAsia" w:ascii="宋体" w:hAnsi="宋体"/>
          <w:sz w:val="28"/>
          <w:szCs w:val="28"/>
        </w:rPr>
        <w:t>3．我方完全理解贵方不一定接受报价最低的供应商为成交供应商的行为。</w:t>
      </w:r>
    </w:p>
    <w:p>
      <w:pPr>
        <w:spacing w:line="400" w:lineRule="exact"/>
        <w:ind w:firstLine="280" w:firstLineChars="100"/>
        <w:rPr>
          <w:rFonts w:hint="eastAsia" w:ascii="宋体" w:hAnsi="宋体"/>
          <w:sz w:val="28"/>
          <w:szCs w:val="28"/>
        </w:rPr>
      </w:pPr>
      <w:r>
        <w:rPr>
          <w:rFonts w:hint="eastAsia" w:ascii="宋体" w:hAnsi="宋体"/>
          <w:sz w:val="28"/>
          <w:szCs w:val="28"/>
        </w:rPr>
        <w:t>4.我们同意本</w:t>
      </w:r>
      <w:r>
        <w:rPr>
          <w:rFonts w:hint="eastAsia" w:ascii="宋体" w:hAnsi="宋体"/>
          <w:sz w:val="28"/>
          <w:szCs w:val="28"/>
          <w:lang w:eastAsia="zh-CN"/>
        </w:rPr>
        <w:t>磋商</w:t>
      </w:r>
      <w:r>
        <w:rPr>
          <w:rFonts w:hint="eastAsia" w:ascii="宋体" w:hAnsi="宋体"/>
          <w:sz w:val="28"/>
          <w:szCs w:val="28"/>
        </w:rPr>
        <w:t>文件中有关有效期的规定。如果成交，有效期延长至合同终止日止。</w:t>
      </w:r>
    </w:p>
    <w:p>
      <w:pPr>
        <w:spacing w:line="400" w:lineRule="exact"/>
        <w:ind w:firstLine="280" w:firstLineChars="1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 我们愿按《中华人民共和国合同法》履行自己的全部责任。</w:t>
      </w:r>
    </w:p>
    <w:p>
      <w:pPr>
        <w:spacing w:line="400" w:lineRule="exact"/>
        <w:ind w:firstLine="280" w:firstLineChars="1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 如我方成交：</w:t>
      </w:r>
    </w:p>
    <w:p>
      <w:pPr>
        <w:spacing w:line="400" w:lineRule="exact"/>
        <w:ind w:firstLine="280" w:firstLineChars="100"/>
        <w:rPr>
          <w:rFonts w:ascii="宋体" w:hAnsi="宋体"/>
          <w:sz w:val="28"/>
          <w:szCs w:val="28"/>
        </w:rPr>
      </w:pPr>
      <w:r>
        <w:rPr>
          <w:rFonts w:hint="eastAsia" w:ascii="宋体" w:hAnsi="宋体"/>
          <w:sz w:val="28"/>
          <w:szCs w:val="28"/>
        </w:rPr>
        <w:t>（1）我方承诺在收到成交通知书后，在成交通知书规定的期限内与你方签订合同。</w:t>
      </w:r>
    </w:p>
    <w:p>
      <w:pPr>
        <w:spacing w:line="400" w:lineRule="exact"/>
        <w:ind w:firstLine="280" w:firstLineChars="100"/>
        <w:rPr>
          <w:rFonts w:ascii="宋体" w:hAnsi="宋体"/>
          <w:sz w:val="28"/>
          <w:szCs w:val="28"/>
        </w:rPr>
      </w:pPr>
      <w:r>
        <w:rPr>
          <w:rFonts w:hint="eastAsia" w:ascii="宋体" w:hAnsi="宋体"/>
          <w:sz w:val="28"/>
          <w:szCs w:val="28"/>
        </w:rPr>
        <w:t>（2）除非另外达成协议并生效，成交通知书和本竞争性磋商文件、磋商响应文件将成为约束双方的合同文件的组成部分。</w:t>
      </w:r>
    </w:p>
    <w:p>
      <w:pPr>
        <w:spacing w:line="400" w:lineRule="exact"/>
        <w:ind w:firstLine="280" w:firstLineChars="1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 投标总报价包含履行本项目合同范围内的检测费、人工费、测试费及有关部门规定必须缴纳的强制性费用、管理费、税金、各种风险等本磋商文件虽未提及但在完成本项目过程中必须支付的与本项目相关的其他一切费用。</w:t>
      </w:r>
    </w:p>
    <w:p>
      <w:pPr>
        <w:spacing w:line="400" w:lineRule="exact"/>
        <w:ind w:firstLine="280" w:firstLineChars="100"/>
        <w:rPr>
          <w:rFonts w:ascii="宋体" w:hAnsi="宋体"/>
          <w:sz w:val="28"/>
          <w:szCs w:val="28"/>
        </w:rPr>
      </w:pPr>
      <w:r>
        <w:rPr>
          <w:rFonts w:hint="eastAsia" w:ascii="宋体" w:hAnsi="宋体"/>
          <w:sz w:val="28"/>
          <w:szCs w:val="28"/>
          <w:lang w:val="en-US" w:eastAsia="zh-CN"/>
        </w:rPr>
        <w:t>8</w:t>
      </w:r>
      <w:r>
        <w:rPr>
          <w:rFonts w:hint="eastAsia" w:ascii="宋体" w:hAnsi="宋体"/>
          <w:sz w:val="28"/>
          <w:szCs w:val="28"/>
        </w:rPr>
        <w:t>. 我方在此声明，所递交的磋商响应文件及有关资料内容完整、真实和准确。</w:t>
      </w:r>
    </w:p>
    <w:p>
      <w:pPr>
        <w:spacing w:line="400" w:lineRule="exact"/>
        <w:ind w:firstLine="2974" w:firstLineChars="907"/>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400" w:lineRule="exact"/>
        <w:ind w:firstLine="2974" w:firstLineChars="907"/>
        <w:rPr>
          <w:rFonts w:hint="eastAsia" w:ascii="宋体" w:hAnsi="宋体" w:eastAsia="宋体" w:cs="Times New Roman"/>
          <w:spacing w:val="24"/>
          <w:sz w:val="28"/>
          <w:szCs w:val="28"/>
        </w:rPr>
      </w:pPr>
      <w:r>
        <w:rPr>
          <w:rFonts w:hint="eastAsia" w:ascii="宋体" w:hAnsi="宋体" w:eastAsia="宋体" w:cs="Times New Roman"/>
          <w:spacing w:val="24"/>
          <w:sz w:val="28"/>
          <w:szCs w:val="28"/>
        </w:rPr>
        <w:t xml:space="preserve">法定代表人： </w:t>
      </w:r>
      <w:r>
        <w:rPr>
          <w:rFonts w:hint="eastAsia" w:ascii="宋体" w:hAnsi="宋体" w:eastAsia="宋体" w:cs="Times New Roman"/>
          <w:spacing w:val="24"/>
          <w:sz w:val="28"/>
          <w:szCs w:val="28"/>
          <w:u w:val="single"/>
        </w:rPr>
        <w:t xml:space="preserve">        </w:t>
      </w:r>
      <w:r>
        <w:rPr>
          <w:rFonts w:hint="eastAsia" w:ascii="宋体" w:hAnsi="宋体" w:eastAsia="宋体" w:cs="Times New Roman"/>
          <w:spacing w:val="24"/>
          <w:sz w:val="28"/>
          <w:szCs w:val="28"/>
        </w:rPr>
        <w:t>（</w:t>
      </w:r>
      <w:r>
        <w:rPr>
          <w:rFonts w:hint="eastAsia" w:ascii="宋体" w:hAnsi="宋体" w:eastAsia="宋体" w:cs="Times New Roman"/>
          <w:spacing w:val="24"/>
          <w:sz w:val="28"/>
          <w:szCs w:val="28"/>
          <w:lang w:val="zh-CN"/>
        </w:rPr>
        <w:t>法人电子签章</w:t>
      </w:r>
      <w:r>
        <w:rPr>
          <w:rFonts w:hint="eastAsia" w:ascii="宋体" w:hAnsi="宋体" w:eastAsia="宋体" w:cs="Times New Roman"/>
          <w:spacing w:val="24"/>
          <w:sz w:val="28"/>
          <w:szCs w:val="28"/>
        </w:rPr>
        <w:t>）</w:t>
      </w:r>
    </w:p>
    <w:p>
      <w:pPr>
        <w:spacing w:line="400" w:lineRule="exact"/>
        <w:ind w:firstLine="2974" w:firstLineChars="907"/>
        <w:rPr>
          <w:rFonts w:hint="default" w:ascii="宋体" w:hAnsi="宋体" w:eastAsia="宋体" w:cs="Times New Roman"/>
          <w:spacing w:val="24"/>
          <w:sz w:val="28"/>
          <w:szCs w:val="28"/>
          <w:lang w:val="en-US" w:eastAsia="zh-CN"/>
        </w:rPr>
      </w:pPr>
      <w:r>
        <w:rPr>
          <w:rFonts w:hint="eastAsia" w:ascii="宋体" w:hAnsi="宋体" w:eastAsia="宋体" w:cs="Times New Roman"/>
          <w:spacing w:val="24"/>
          <w:sz w:val="28"/>
          <w:szCs w:val="28"/>
          <w:lang w:val="en-US" w:eastAsia="zh-CN"/>
        </w:rPr>
        <w:t>地     址</w:t>
      </w:r>
      <w:r>
        <w:rPr>
          <w:rFonts w:hint="eastAsia" w:ascii="宋体" w:hAnsi="宋体" w:eastAsia="宋体" w:cs="Times New Roman"/>
          <w:spacing w:val="24"/>
          <w:sz w:val="28"/>
          <w:szCs w:val="28"/>
          <w:lang w:eastAsia="zh-CN"/>
        </w:rPr>
        <w:t>：</w:t>
      </w:r>
      <w:r>
        <w:rPr>
          <w:rFonts w:hint="eastAsia" w:ascii="宋体" w:hAnsi="宋体" w:eastAsia="宋体" w:cs="Times New Roman"/>
          <w:spacing w:val="24"/>
          <w:sz w:val="28"/>
          <w:szCs w:val="28"/>
          <w:lang w:val="en-US" w:eastAsia="zh-CN"/>
        </w:rPr>
        <w:t xml:space="preserve"> </w:t>
      </w:r>
      <w:r>
        <w:rPr>
          <w:rFonts w:hint="eastAsia" w:ascii="宋体" w:hAnsi="宋体" w:eastAsia="宋体" w:cs="Times New Roman"/>
          <w:spacing w:val="24"/>
          <w:sz w:val="28"/>
          <w:szCs w:val="28"/>
          <w:u w:val="single"/>
          <w:lang w:val="en-US" w:eastAsia="zh-CN"/>
        </w:rPr>
        <w:t xml:space="preserve">                  </w:t>
      </w:r>
      <w:r>
        <w:rPr>
          <w:rFonts w:hint="eastAsia" w:ascii="宋体" w:hAnsi="宋体" w:eastAsia="宋体" w:cs="Times New Roman"/>
          <w:spacing w:val="24"/>
          <w:sz w:val="28"/>
          <w:szCs w:val="28"/>
          <w:lang w:val="en-US" w:eastAsia="zh-CN"/>
        </w:rPr>
        <w:t xml:space="preserve">      </w:t>
      </w:r>
    </w:p>
    <w:p>
      <w:pPr>
        <w:spacing w:line="400" w:lineRule="exact"/>
        <w:ind w:firstLine="2974" w:firstLineChars="907"/>
        <w:rPr>
          <w:rFonts w:hint="eastAsia" w:ascii="宋体" w:hAnsi="宋体" w:eastAsia="宋体" w:cs="Times New Roman"/>
          <w:spacing w:val="24"/>
          <w:sz w:val="28"/>
          <w:szCs w:val="28"/>
        </w:rPr>
      </w:pPr>
      <w:r>
        <w:rPr>
          <w:rFonts w:hint="eastAsia" w:ascii="宋体" w:hAnsi="宋体" w:eastAsia="宋体" w:cs="Times New Roman"/>
          <w:spacing w:val="24"/>
          <w:sz w:val="28"/>
          <w:szCs w:val="28"/>
        </w:rPr>
        <w:t>日    期：    年   月   日</w:t>
      </w:r>
    </w:p>
    <w:p>
      <w:pPr>
        <w:jc w:val="center"/>
        <w:rPr>
          <w:rFonts w:hint="eastAsia"/>
          <w:b/>
          <w:sz w:val="30"/>
          <w:szCs w:val="30"/>
        </w:rPr>
      </w:pPr>
      <w:bookmarkStart w:id="257" w:name="_Toc24879"/>
      <w:r>
        <w:rPr>
          <w:rFonts w:ascii="宋体" w:hAnsi="宋体"/>
          <w:sz w:val="24"/>
        </w:rPr>
        <w:br w:type="page"/>
      </w:r>
      <w:r>
        <w:rPr>
          <w:rFonts w:hint="eastAsia"/>
          <w:b/>
          <w:sz w:val="30"/>
          <w:szCs w:val="30"/>
        </w:rPr>
        <w:t>（二）</w:t>
      </w:r>
      <w:bookmarkEnd w:id="249"/>
      <w:bookmarkEnd w:id="250"/>
      <w:bookmarkEnd w:id="251"/>
      <w:bookmarkEnd w:id="252"/>
      <w:bookmarkEnd w:id="253"/>
      <w:bookmarkEnd w:id="254"/>
      <w:bookmarkEnd w:id="255"/>
      <w:bookmarkEnd w:id="256"/>
      <w:bookmarkEnd w:id="257"/>
      <w:r>
        <w:rPr>
          <w:rFonts w:hint="eastAsia"/>
          <w:b/>
          <w:sz w:val="30"/>
          <w:szCs w:val="30"/>
        </w:rPr>
        <w:t>报价</w:t>
      </w:r>
      <w:r>
        <w:rPr>
          <w:b/>
          <w:sz w:val="30"/>
          <w:szCs w:val="30"/>
        </w:rPr>
        <w:t>函附</w:t>
      </w:r>
      <w:r>
        <w:rPr>
          <w:rFonts w:hint="eastAsia"/>
          <w:b/>
          <w:sz w:val="30"/>
          <w:szCs w:val="30"/>
        </w:rPr>
        <w:t>表</w:t>
      </w:r>
      <w:r>
        <w:rPr>
          <w:rFonts w:hint="eastAsia" w:ascii="宋体" w:hAnsi="宋体" w:cs="宋体"/>
          <w:sz w:val="28"/>
          <w:szCs w:val="20"/>
          <w:lang w:val="en-US" w:bidi="zh-CN"/>
        </w:rPr>
        <w:t>（一次报价）</w:t>
      </w:r>
    </w:p>
    <w:p>
      <w:pPr>
        <w:jc w:val="center"/>
        <w:rPr>
          <w:rFonts w:hint="eastAsia"/>
          <w:b/>
          <w:sz w:val="30"/>
          <w:szCs w:val="30"/>
        </w:rPr>
      </w:pPr>
    </w:p>
    <w:tbl>
      <w:tblPr>
        <w:tblStyle w:val="15"/>
        <w:tblpPr w:leftFromText="180" w:rightFromText="180" w:vertAnchor="text" w:horzAnchor="margin" w:tblpXSpec="center" w:tblpY="18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1"/>
        <w:gridCol w:w="2282"/>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项目名称</w:t>
            </w:r>
          </w:p>
        </w:tc>
        <w:tc>
          <w:tcPr>
            <w:tcW w:w="6845" w:type="dxa"/>
            <w:gridSpan w:val="3"/>
            <w:tcBorders>
              <w:bottom w:val="single" w:color="auto" w:sz="4" w:space="0"/>
            </w:tcBorders>
            <w:noWrap w:val="0"/>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标段</w:t>
            </w:r>
          </w:p>
        </w:tc>
        <w:tc>
          <w:tcPr>
            <w:tcW w:w="6845" w:type="dxa"/>
            <w:gridSpan w:val="3"/>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供应商名称</w:t>
            </w:r>
          </w:p>
        </w:tc>
        <w:tc>
          <w:tcPr>
            <w:tcW w:w="6845" w:type="dxa"/>
            <w:gridSpan w:val="3"/>
            <w:tcBorders>
              <w:bottom w:val="single" w:color="auto" w:sz="4" w:space="0"/>
            </w:tcBorders>
            <w:noWrap w:val="0"/>
            <w:vAlign w:val="to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项目负责人</w:t>
            </w:r>
          </w:p>
        </w:tc>
        <w:tc>
          <w:tcPr>
            <w:tcW w:w="2281" w:type="dxa"/>
            <w:tcBorders>
              <w:bottom w:val="single" w:color="auto" w:sz="4" w:space="0"/>
            </w:tcBorders>
            <w:noWrap w:val="0"/>
            <w:vAlign w:val="center"/>
          </w:tcPr>
          <w:p>
            <w:pPr>
              <w:spacing w:line="360" w:lineRule="exact"/>
              <w:jc w:val="center"/>
              <w:rPr>
                <w:rFonts w:ascii="宋体" w:hAnsi="宋体" w:cs="宋体"/>
                <w:sz w:val="24"/>
              </w:rPr>
            </w:pPr>
          </w:p>
        </w:tc>
        <w:tc>
          <w:tcPr>
            <w:tcW w:w="2282"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联系电话（手机号）</w:t>
            </w:r>
          </w:p>
        </w:tc>
        <w:tc>
          <w:tcPr>
            <w:tcW w:w="2282" w:type="dxa"/>
            <w:tcBorders>
              <w:bottom w:val="single" w:color="auto" w:sz="4" w:space="0"/>
            </w:tcBorders>
            <w:noWrap w:val="0"/>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服务内容</w:t>
            </w:r>
          </w:p>
        </w:tc>
        <w:tc>
          <w:tcPr>
            <w:tcW w:w="6845" w:type="dxa"/>
            <w:gridSpan w:val="3"/>
            <w:tcBorders>
              <w:bottom w:val="single" w:color="auto" w:sz="4" w:space="0"/>
            </w:tcBorders>
            <w:noWrap w:val="0"/>
            <w:vAlign w:val="to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noWrap w:val="0"/>
            <w:vAlign w:val="center"/>
          </w:tcPr>
          <w:p>
            <w:pPr>
              <w:overflowPunct w:val="0"/>
              <w:topLinePunct/>
              <w:adjustRightInd w:val="0"/>
              <w:spacing w:line="360" w:lineRule="exact"/>
              <w:jc w:val="center"/>
              <w:textAlignment w:val="top"/>
              <w:rPr>
                <w:rFonts w:ascii="宋体" w:hAnsi="宋体" w:cs="宋体"/>
                <w:kern w:val="24"/>
                <w:sz w:val="24"/>
              </w:rPr>
            </w:pPr>
            <w:r>
              <w:rPr>
                <w:rFonts w:hint="eastAsia" w:ascii="宋体" w:hAnsi="宋体" w:cs="宋体"/>
                <w:kern w:val="24"/>
                <w:sz w:val="24"/>
                <w:lang w:val="en-US" w:eastAsia="zh-CN"/>
              </w:rPr>
              <w:t>一</w:t>
            </w:r>
            <w:r>
              <w:rPr>
                <w:rFonts w:hint="eastAsia" w:ascii="宋体" w:hAnsi="宋体" w:cs="宋体"/>
                <w:kern w:val="24"/>
                <w:sz w:val="24"/>
              </w:rPr>
              <w:t>次报价（元）</w:t>
            </w:r>
          </w:p>
        </w:tc>
        <w:tc>
          <w:tcPr>
            <w:tcW w:w="6845" w:type="dxa"/>
            <w:gridSpan w:val="3"/>
            <w:tcBorders>
              <w:bottom w:val="single" w:color="auto" w:sz="4" w:space="0"/>
            </w:tcBorders>
            <w:noWrap w:val="0"/>
            <w:vAlign w:val="center"/>
          </w:tcPr>
          <w:p>
            <w:pPr>
              <w:spacing w:line="360" w:lineRule="exact"/>
              <w:rPr>
                <w:rFonts w:ascii="宋体" w:hAnsi="宋体" w:cs="宋体"/>
                <w:sz w:val="24"/>
              </w:rPr>
            </w:pPr>
            <w:r>
              <w:rPr>
                <w:rFonts w:ascii="宋体" w:hAnsi="宋体"/>
                <w:sz w:val="24"/>
              </w:rPr>
              <w:t xml:space="preserve">大写：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小写：</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noWrap w:val="0"/>
            <w:vAlign w:val="center"/>
          </w:tcPr>
          <w:p>
            <w:pPr>
              <w:snapToGrid w:val="0"/>
              <w:spacing w:line="360" w:lineRule="exact"/>
              <w:jc w:val="center"/>
              <w:rPr>
                <w:rFonts w:hint="eastAsia" w:ascii="宋体" w:hAnsi="宋体" w:eastAsia="宋体" w:cs="宋体"/>
                <w:sz w:val="24"/>
                <w:lang w:eastAsia="zh-CN"/>
              </w:rPr>
            </w:pPr>
            <w:r>
              <w:rPr>
                <w:rFonts w:hint="eastAsia" w:ascii="宋体" w:hAnsi="宋体"/>
                <w:sz w:val="24"/>
              </w:rPr>
              <w:t>服务期</w:t>
            </w:r>
            <w:r>
              <w:rPr>
                <w:rFonts w:hint="eastAsia" w:ascii="宋体" w:hAnsi="宋体"/>
                <w:sz w:val="24"/>
                <w:lang w:eastAsia="zh-CN"/>
              </w:rPr>
              <w:t>限</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pPr>
              <w:spacing w:line="360" w:lineRule="exact"/>
              <w:jc w:val="center"/>
              <w:rPr>
                <w:rFonts w:hint="eastAsia" w:ascii="宋体" w:hAnsi="宋体" w:cs="宋体"/>
                <w:sz w:val="24"/>
              </w:rPr>
            </w:pPr>
            <w:r>
              <w:rPr>
                <w:rFonts w:hint="eastAsia" w:ascii="宋体" w:hAnsi="宋体" w:cs="宋体"/>
                <w:sz w:val="24"/>
              </w:rPr>
              <w:t>服务地点</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eastAsia="宋体" w:cs="宋体"/>
                <w:sz w:val="24"/>
                <w:lang w:eastAsia="zh-CN"/>
              </w:rPr>
              <w:t>服务标准</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磋商有效期</w:t>
            </w:r>
          </w:p>
        </w:tc>
        <w:tc>
          <w:tcPr>
            <w:tcW w:w="6845" w:type="dxa"/>
            <w:gridSpan w:val="3"/>
            <w:tcBorders>
              <w:bottom w:val="single" w:color="auto" w:sz="4" w:space="0"/>
            </w:tcBorders>
            <w:noWrap w:val="0"/>
            <w:vAlign w:val="center"/>
          </w:tcPr>
          <w:p>
            <w:pPr>
              <w:spacing w:line="360" w:lineRule="exact"/>
              <w:rPr>
                <w:rFonts w:ascii="宋体" w:hAnsi="宋体" w:cs="宋体"/>
                <w:sz w:val="24"/>
              </w:rPr>
            </w:pPr>
            <w:r>
              <w:rPr>
                <w:rFonts w:hint="eastAsia" w:ascii="宋体" w:hAnsi="宋体" w:cs="宋体"/>
                <w:sz w:val="28"/>
                <w:szCs w:val="28"/>
              </w:rPr>
              <w:t>自磋商截止之日起</w:t>
            </w:r>
            <w:r>
              <w:rPr>
                <w:rFonts w:hint="eastAsia" w:ascii="宋体" w:hAnsi="宋体" w:cs="宋体"/>
                <w:sz w:val="28"/>
                <w:szCs w:val="28"/>
                <w:u w:val="single"/>
              </w:rPr>
              <w:t xml:space="preserve">     </w:t>
            </w:r>
            <w:r>
              <w:rPr>
                <w:rFonts w:hint="eastAsia" w:ascii="宋体" w:hAnsi="宋体" w:cs="宋体"/>
                <w:sz w:val="28"/>
                <w:szCs w:val="28"/>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noWrap w:val="0"/>
            <w:vAlign w:val="center"/>
          </w:tcPr>
          <w:p>
            <w:pPr>
              <w:spacing w:line="360" w:lineRule="exact"/>
              <w:jc w:val="center"/>
              <w:rPr>
                <w:rFonts w:ascii="宋体" w:hAnsi="宋体" w:cs="宋体"/>
                <w:sz w:val="24"/>
              </w:rPr>
            </w:pPr>
            <w:r>
              <w:rPr>
                <w:rFonts w:hint="eastAsia" w:ascii="宋体" w:hAnsi="宋体" w:cs="宋体"/>
                <w:sz w:val="24"/>
              </w:rPr>
              <w:t>备注</w:t>
            </w:r>
          </w:p>
        </w:tc>
        <w:tc>
          <w:tcPr>
            <w:tcW w:w="6845" w:type="dxa"/>
            <w:gridSpan w:val="3"/>
            <w:tcBorders>
              <w:bottom w:val="single" w:color="auto" w:sz="4" w:space="0"/>
            </w:tcBorders>
            <w:noWrap w:val="0"/>
            <w:vAlign w:val="center"/>
          </w:tcPr>
          <w:p>
            <w:pPr>
              <w:spacing w:line="360" w:lineRule="exact"/>
              <w:rPr>
                <w:rFonts w:ascii="宋体" w:hAnsi="宋体" w:cs="宋体"/>
                <w:sz w:val="24"/>
              </w:rPr>
            </w:pPr>
          </w:p>
        </w:tc>
      </w:tr>
    </w:tbl>
    <w:p>
      <w:pPr>
        <w:ind w:firstLine="480" w:firstLineChars="200"/>
        <w:rPr>
          <w:rFonts w:hint="eastAsia" w:eastAsia="宋体"/>
          <w:sz w:val="24"/>
          <w:szCs w:val="24"/>
          <w:lang w:eastAsia="zh-CN"/>
        </w:rPr>
      </w:pPr>
      <w:r>
        <w:rPr>
          <w:rFonts w:hint="eastAsia"/>
          <w:sz w:val="24"/>
          <w:szCs w:val="24"/>
        </w:rPr>
        <w:t>注：1、投标报价仅且只有一个有效报价，不得出现两个及以上报价，否则作废标处理</w:t>
      </w:r>
      <w:r>
        <w:rPr>
          <w:rFonts w:hint="eastAsia"/>
          <w:sz w:val="24"/>
          <w:szCs w:val="24"/>
          <w:lang w:eastAsia="zh-CN"/>
        </w:rPr>
        <w:t>；</w:t>
      </w:r>
    </w:p>
    <w:p>
      <w:pPr>
        <w:ind w:firstLine="480" w:firstLineChars="200"/>
        <w:rPr>
          <w:rFonts w:hint="eastAsia"/>
          <w:sz w:val="24"/>
          <w:szCs w:val="24"/>
        </w:rPr>
      </w:pPr>
      <w:r>
        <w:rPr>
          <w:rFonts w:hint="eastAsia"/>
          <w:sz w:val="24"/>
          <w:szCs w:val="24"/>
        </w:rPr>
        <w:t>2、此处为第一轮报价供</w:t>
      </w:r>
      <w:r>
        <w:rPr>
          <w:rFonts w:hint="eastAsia"/>
          <w:sz w:val="24"/>
          <w:szCs w:val="24"/>
          <w:lang w:eastAsia="zh-CN"/>
        </w:rPr>
        <w:t>磋商</w:t>
      </w:r>
      <w:r>
        <w:rPr>
          <w:rFonts w:hint="eastAsia"/>
          <w:sz w:val="24"/>
          <w:szCs w:val="24"/>
        </w:rPr>
        <w:t>小组在评审时参考比较，此时的最低报价并不是成交的条件。</w:t>
      </w:r>
    </w:p>
    <w:p>
      <w:pPr>
        <w:pStyle w:val="4"/>
        <w:widowControl/>
        <w:spacing w:line="360" w:lineRule="auto"/>
        <w:ind w:firstLine="0"/>
        <w:rPr>
          <w:rFonts w:hint="eastAsia" w:ascii="Calibri" w:hAnsi="Calibri"/>
          <w:sz w:val="24"/>
        </w:rPr>
      </w:pPr>
    </w:p>
    <w:p>
      <w:pPr>
        <w:spacing w:line="360" w:lineRule="auto"/>
        <w:jc w:val="center"/>
        <w:rPr>
          <w:rFonts w:hint="eastAsia" w:ascii="宋体" w:hAnsi="宋体"/>
          <w:b/>
          <w:sz w:val="24"/>
        </w:rPr>
      </w:pPr>
    </w:p>
    <w:p>
      <w:pPr>
        <w:spacing w:line="360" w:lineRule="auto"/>
        <w:ind w:firstLine="2267" w:firstLineChars="941"/>
        <w:jc w:val="center"/>
        <w:rPr>
          <w:rFonts w:hint="eastAsia" w:ascii="宋体" w:hAnsi="宋体"/>
          <w:b/>
          <w:sz w:val="24"/>
        </w:rPr>
      </w:pPr>
    </w:p>
    <w:p>
      <w:pPr>
        <w:spacing w:line="360" w:lineRule="auto"/>
        <w:ind w:firstLine="3086" w:firstLineChars="941"/>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360" w:lineRule="auto"/>
        <w:ind w:firstLine="3086" w:firstLineChars="941"/>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360" w:lineRule="auto"/>
        <w:ind w:left="-199" w:leftChars="-95" w:right="452" w:firstLine="3086" w:firstLineChars="941"/>
        <w:jc w:val="center"/>
        <w:rPr>
          <w:rFonts w:hint="eastAsia" w:ascii="宋体" w:hAnsi="宋体" w:cs="宋体"/>
          <w:spacing w:val="8"/>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p>
    <w:p>
      <w:pPr>
        <w:pStyle w:val="3"/>
        <w:spacing w:line="600" w:lineRule="exact"/>
        <w:jc w:val="center"/>
        <w:rPr>
          <w:rFonts w:ascii="宋体" w:hAnsi="宋体" w:eastAsia="宋体" w:cs="宋体-PUA"/>
          <w:sz w:val="24"/>
          <w:szCs w:val="24"/>
        </w:rPr>
      </w:pPr>
      <w:bookmarkStart w:id="258" w:name="_Toc25680"/>
      <w:bookmarkStart w:id="259" w:name="_Toc68710943"/>
      <w:bookmarkStart w:id="260" w:name="_Toc101344077"/>
      <w:bookmarkStart w:id="261" w:name="_Toc16375"/>
      <w:bookmarkStart w:id="262" w:name="_Toc19526"/>
      <w:r>
        <w:rPr>
          <w:rFonts w:hint="eastAsia" w:ascii="宋体" w:hAnsi="宋体" w:eastAsia="宋体" w:cs="宋体-PUA"/>
          <w:szCs w:val="24"/>
        </w:rPr>
        <w:t>二、</w:t>
      </w:r>
      <w:bookmarkEnd w:id="258"/>
      <w:bookmarkEnd w:id="259"/>
      <w:r>
        <w:rPr>
          <w:rFonts w:hint="eastAsia" w:ascii="宋体" w:hAnsi="宋体" w:eastAsia="宋体" w:cs="宋体-PUA"/>
          <w:szCs w:val="24"/>
        </w:rPr>
        <w:t>法定代表人身份证明及授权委托书</w:t>
      </w:r>
      <w:bookmarkEnd w:id="260"/>
      <w:bookmarkEnd w:id="261"/>
      <w:bookmarkEnd w:id="262"/>
    </w:p>
    <w:p>
      <w:pPr>
        <w:spacing w:line="360" w:lineRule="auto"/>
        <w:jc w:val="center"/>
        <w:rPr>
          <w:rFonts w:hint="eastAsia" w:ascii="宋体" w:hAnsi="宋体" w:cs="宋体-PUA"/>
          <w:b/>
          <w:sz w:val="28"/>
          <w:szCs w:val="28"/>
        </w:rPr>
      </w:pPr>
    </w:p>
    <w:p>
      <w:pPr>
        <w:spacing w:line="360" w:lineRule="auto"/>
        <w:jc w:val="center"/>
        <w:rPr>
          <w:rFonts w:hint="eastAsia" w:ascii="宋体" w:hAnsi="宋体" w:cs="宋体"/>
          <w:b/>
          <w:sz w:val="28"/>
          <w:szCs w:val="28"/>
        </w:rPr>
      </w:pPr>
      <w:r>
        <w:rPr>
          <w:rFonts w:hint="eastAsia" w:ascii="宋体" w:hAnsi="宋体" w:cs="宋体-PUA"/>
          <w:b/>
          <w:sz w:val="28"/>
          <w:szCs w:val="28"/>
        </w:rPr>
        <w:t>法定代表人身份证明</w:t>
      </w:r>
    </w:p>
    <w:p>
      <w:pPr>
        <w:spacing w:line="360" w:lineRule="auto"/>
        <w:rPr>
          <w:rFonts w:hint="eastAsia" w:ascii="宋体" w:hAnsi="宋体" w:cs="宋体"/>
          <w:sz w:val="24"/>
        </w:rPr>
      </w:pPr>
    </w:p>
    <w:p>
      <w:pPr>
        <w:spacing w:line="360" w:lineRule="auto"/>
        <w:rPr>
          <w:rFonts w:hint="eastAsia"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hint="eastAsia"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rPr>
          <w:rFonts w:hint="eastAsia"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rPr>
          <w:rFonts w:hint="eastAsia"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360" w:lineRule="auto"/>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 xml:space="preserve"> （供应商名称）的法定代表人。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特此证明。</w:t>
      </w: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360" w:lineRule="auto"/>
        <w:ind w:firstLine="2634" w:firstLineChars="941"/>
        <w:rPr>
          <w:rFonts w:ascii="宋体"/>
          <w:spacing w:val="24"/>
          <w:sz w:val="28"/>
          <w:szCs w:val="28"/>
        </w:rPr>
      </w:pPr>
      <w:r>
        <w:rPr>
          <w:rFonts w:hint="eastAsia" w:ascii="宋体" w:hAnsi="宋体" w:cs="宋体"/>
          <w:sz w:val="28"/>
          <w:szCs w:val="28"/>
        </w:rPr>
        <w:t xml:space="preserve">   </w:t>
      </w:r>
      <w:r>
        <w:rPr>
          <w:rFonts w:hint="eastAsia" w:ascii="宋体" w:hAnsi="宋体" w:eastAsia="宋体" w:cs="Times New Roman"/>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360" w:lineRule="auto"/>
        <w:ind w:firstLine="3086" w:firstLineChars="941"/>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360" w:lineRule="auto"/>
        <w:ind w:left="-199" w:leftChars="-95" w:right="452" w:firstLine="3411" w:firstLineChars="1040"/>
        <w:jc w:val="both"/>
        <w:rPr>
          <w:rFonts w:hint="eastAsia" w:ascii="宋体" w:hAnsi="宋体" w:cs="宋体"/>
          <w:spacing w:val="8"/>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p>
    <w:p>
      <w:pPr>
        <w:spacing w:line="480" w:lineRule="auto"/>
        <w:rPr>
          <w:rFonts w:hint="eastAsia" w:ascii="宋体" w:hAnsi="宋体" w:cs="宋体"/>
          <w:sz w:val="28"/>
          <w:szCs w:val="28"/>
        </w:rPr>
      </w:pPr>
    </w:p>
    <w:p>
      <w:pPr>
        <w:spacing w:line="480" w:lineRule="auto"/>
        <w:rPr>
          <w:rFonts w:ascii="宋体" w:hAnsi="宋体"/>
          <w:sz w:val="24"/>
        </w:rPr>
      </w:pPr>
    </w:p>
    <w:p>
      <w:pPr>
        <w:spacing w:line="360" w:lineRule="auto"/>
        <w:rPr>
          <w:rFonts w:hint="eastAsia" w:ascii="宋体" w:hAnsi="宋体"/>
          <w:sz w:val="24"/>
        </w:rPr>
      </w:pPr>
    </w:p>
    <w:p>
      <w:pPr>
        <w:spacing w:line="360" w:lineRule="auto"/>
        <w:rPr>
          <w:rFonts w:hint="eastAsia" w:ascii="Calibri" w:hAnsi="Calibri"/>
          <w:b/>
          <w:bCs/>
          <w:sz w:val="28"/>
          <w:szCs w:val="28"/>
        </w:rPr>
      </w:pPr>
    </w:p>
    <w:p>
      <w:pPr>
        <w:spacing w:line="440" w:lineRule="exact"/>
        <w:ind w:firstLine="482"/>
        <w:jc w:val="center"/>
        <w:rPr>
          <w:rFonts w:hint="eastAsia" w:ascii="宋体" w:hAnsi="宋体" w:cs="宋体"/>
          <w:b/>
          <w:sz w:val="28"/>
          <w:szCs w:val="28"/>
        </w:rPr>
      </w:pPr>
      <w:r>
        <w:rPr>
          <w:rFonts w:ascii="宋体" w:hAnsi="宋体" w:cs="宋体"/>
          <w:b/>
          <w:sz w:val="28"/>
          <w:szCs w:val="28"/>
        </w:rPr>
        <w:br w:type="page"/>
      </w:r>
      <w:r>
        <w:rPr>
          <w:rFonts w:hint="eastAsia" w:ascii="宋体" w:hAnsi="宋体" w:cs="宋体"/>
          <w:b/>
          <w:sz w:val="28"/>
          <w:szCs w:val="28"/>
        </w:rPr>
        <w:t>授权委托书</w:t>
      </w:r>
    </w:p>
    <w:p>
      <w:pPr>
        <w:spacing w:line="360" w:lineRule="auto"/>
        <w:rPr>
          <w:rFonts w:hint="eastAsia" w:ascii="Calibri" w:hAnsi="Calibri"/>
          <w:b/>
          <w:bCs/>
          <w:sz w:val="28"/>
          <w:szCs w:val="28"/>
        </w:rPr>
      </w:pPr>
    </w:p>
    <w:p>
      <w:pPr>
        <w:spacing w:line="360" w:lineRule="auto"/>
        <w:ind w:firstLine="700" w:firstLineChars="250"/>
        <w:jc w:val="left"/>
        <w:rPr>
          <w:rFonts w:hint="eastAsia" w:ascii="Calibri" w:hAnsi="Calibri"/>
          <w:bCs/>
          <w:sz w:val="28"/>
        </w:rPr>
      </w:pPr>
      <w:r>
        <w:rPr>
          <w:rFonts w:hint="eastAsia" w:ascii="Calibri" w:hAnsi="Calibri"/>
          <w:bCs/>
          <w:sz w:val="28"/>
        </w:rPr>
        <w:t>本人</w:t>
      </w:r>
      <w:r>
        <w:rPr>
          <w:rFonts w:hint="eastAsia" w:ascii="Calibri" w:hAnsi="Calibri"/>
          <w:bCs/>
          <w:sz w:val="28"/>
          <w:u w:val="single"/>
        </w:rPr>
        <w:t xml:space="preserve">           </w:t>
      </w:r>
      <w:r>
        <w:rPr>
          <w:rFonts w:hint="eastAsia" w:ascii="Calibri" w:hAnsi="Calibri"/>
          <w:bCs/>
          <w:sz w:val="28"/>
        </w:rPr>
        <w:t>（姓名）系</w:t>
      </w:r>
      <w:r>
        <w:rPr>
          <w:rFonts w:hint="eastAsia" w:ascii="Calibri" w:hAnsi="Calibri"/>
          <w:bCs/>
          <w:sz w:val="28"/>
          <w:u w:val="single"/>
        </w:rPr>
        <w:t xml:space="preserve">             </w:t>
      </w:r>
      <w:r>
        <w:rPr>
          <w:rFonts w:hint="eastAsia" w:ascii="Calibri" w:hAnsi="Calibri"/>
          <w:bCs/>
          <w:sz w:val="28"/>
        </w:rPr>
        <w:t xml:space="preserve">（投标人名称）的法定代表人，现委托 </w:t>
      </w:r>
      <w:r>
        <w:rPr>
          <w:rFonts w:hint="eastAsia" w:ascii="Calibri" w:hAnsi="Calibri"/>
          <w:bCs/>
          <w:sz w:val="28"/>
          <w:u w:val="single"/>
        </w:rPr>
        <w:t xml:space="preserve">        </w:t>
      </w:r>
      <w:r>
        <w:rPr>
          <w:rFonts w:hint="eastAsia" w:ascii="Calibri" w:hAnsi="Calibri"/>
          <w:bCs/>
          <w:sz w:val="28"/>
        </w:rPr>
        <w:t>（姓名）为我方代理人。代理人根据授权，以我方名义签署、澄清、说明、补正、提交、撤回、修改</w:t>
      </w:r>
      <w:r>
        <w:rPr>
          <w:rFonts w:hint="eastAsia" w:ascii="Calibri" w:hAnsi="Calibri"/>
          <w:bCs/>
          <w:sz w:val="28"/>
          <w:u w:val="single"/>
        </w:rPr>
        <w:t xml:space="preserve">          </w:t>
      </w:r>
      <w:r>
        <w:rPr>
          <w:rFonts w:hint="eastAsia" w:ascii="Calibri" w:hAnsi="Calibri"/>
          <w:bCs/>
          <w:sz w:val="28"/>
        </w:rPr>
        <w:t>（项目名称）第</w:t>
      </w:r>
      <w:r>
        <w:rPr>
          <w:rFonts w:hint="eastAsia" w:ascii="Calibri" w:hAnsi="Calibri"/>
          <w:bCs/>
          <w:sz w:val="28"/>
          <w:u w:val="single"/>
        </w:rPr>
        <w:t xml:space="preserve">    </w:t>
      </w:r>
      <w:r>
        <w:rPr>
          <w:rFonts w:hint="eastAsia" w:ascii="Calibri" w:hAnsi="Calibri"/>
          <w:bCs/>
          <w:sz w:val="28"/>
        </w:rPr>
        <w:t>标段投标响应文件、签订合同和处理有关事宜，其法律后果由我方承担。</w:t>
      </w:r>
    </w:p>
    <w:p>
      <w:pPr>
        <w:spacing w:line="360" w:lineRule="auto"/>
        <w:jc w:val="left"/>
        <w:rPr>
          <w:rFonts w:hint="eastAsia" w:ascii="Calibri" w:hAnsi="Calibri"/>
          <w:bCs/>
          <w:sz w:val="28"/>
        </w:rPr>
      </w:pPr>
      <w:r>
        <w:rPr>
          <w:rFonts w:hint="eastAsia" w:ascii="Calibri" w:hAnsi="Calibri"/>
          <w:bCs/>
          <w:sz w:val="28"/>
        </w:rPr>
        <w:t xml:space="preserve">委托期限： </w:t>
      </w:r>
      <w:r>
        <w:rPr>
          <w:rFonts w:hint="eastAsia" w:ascii="Calibri" w:hAnsi="Calibri"/>
          <w:bCs/>
          <w:sz w:val="28"/>
          <w:u w:val="single"/>
        </w:rPr>
        <w:t xml:space="preserve">                  </w:t>
      </w:r>
      <w:r>
        <w:rPr>
          <w:rFonts w:hint="eastAsia" w:ascii="Calibri" w:hAnsi="Calibri"/>
          <w:bCs/>
          <w:sz w:val="28"/>
        </w:rPr>
        <w:t>。</w:t>
      </w:r>
    </w:p>
    <w:p>
      <w:pPr>
        <w:spacing w:line="360" w:lineRule="auto"/>
        <w:jc w:val="left"/>
        <w:rPr>
          <w:rFonts w:hint="eastAsia" w:ascii="Calibri" w:hAnsi="Calibri"/>
          <w:bCs/>
          <w:sz w:val="28"/>
        </w:rPr>
      </w:pPr>
      <w:r>
        <w:rPr>
          <w:rFonts w:hint="eastAsia" w:ascii="Calibri" w:hAnsi="Calibri"/>
          <w:bCs/>
          <w:sz w:val="28"/>
        </w:rPr>
        <w:t>代理人无转委托权</w:t>
      </w:r>
      <w:r>
        <w:rPr>
          <w:rFonts w:hint="eastAsia" w:ascii="宋体" w:hAnsi="宋体"/>
          <w:sz w:val="28"/>
        </w:rPr>
        <w:t>，特此委托。</w:t>
      </w:r>
    </w:p>
    <w:p>
      <w:pPr>
        <w:spacing w:line="360" w:lineRule="auto"/>
        <w:jc w:val="left"/>
        <w:rPr>
          <w:rFonts w:hint="eastAsia" w:ascii="Calibri" w:hAnsi="Calibri"/>
          <w:bCs/>
          <w:sz w:val="28"/>
        </w:rPr>
      </w:pPr>
      <w:r>
        <w:rPr>
          <w:rFonts w:hint="eastAsia" w:ascii="Calibri" w:hAnsi="Calibri"/>
          <w:bCs/>
          <w:sz w:val="28"/>
        </w:rPr>
        <w:t>附：法定代表人、被授权人身份证</w:t>
      </w:r>
      <w:r>
        <w:rPr>
          <w:rFonts w:hint="eastAsia" w:ascii="宋体" w:hAnsi="宋体" w:cs="宋体"/>
          <w:sz w:val="28"/>
        </w:rPr>
        <w:t>正反面</w:t>
      </w:r>
      <w:r>
        <w:rPr>
          <w:rFonts w:hint="eastAsia" w:ascii="Calibri" w:hAnsi="Calibri"/>
          <w:bCs/>
          <w:sz w:val="28"/>
        </w:rPr>
        <w:t>扫描件。</w:t>
      </w:r>
    </w:p>
    <w:p>
      <w:pPr>
        <w:spacing w:line="360" w:lineRule="auto"/>
        <w:rPr>
          <w:rFonts w:hint="eastAsia" w:ascii="Calibri" w:hAnsi="Calibri"/>
          <w:b/>
          <w:bCs/>
          <w:sz w:val="32"/>
          <w:szCs w:val="28"/>
        </w:rPr>
      </w:pPr>
    </w:p>
    <w:p>
      <w:pPr>
        <w:spacing w:line="360" w:lineRule="auto"/>
        <w:rPr>
          <w:rFonts w:hint="eastAsia" w:ascii="Calibri" w:hAnsi="Calibri"/>
          <w:b/>
          <w:bCs/>
          <w:sz w:val="32"/>
          <w:szCs w:val="28"/>
        </w:rPr>
      </w:pPr>
    </w:p>
    <w:p>
      <w:pPr>
        <w:autoSpaceDE w:val="0"/>
        <w:autoSpaceDN w:val="0"/>
        <w:adjustRightInd w:val="0"/>
        <w:spacing w:line="480" w:lineRule="auto"/>
        <w:ind w:firstLine="2833" w:firstLineChars="1012"/>
        <w:jc w:val="left"/>
        <w:rPr>
          <w:rFonts w:ascii="宋体" w:hAnsi="宋体" w:cs="宋体"/>
          <w:kern w:val="0"/>
          <w:sz w:val="28"/>
        </w:rPr>
      </w:pPr>
      <w:r>
        <w:rPr>
          <w:rFonts w:hint="eastAsia" w:ascii="宋体" w:hAnsi="宋体" w:cs="宋体"/>
          <w:kern w:val="0"/>
          <w:sz w:val="28"/>
        </w:rPr>
        <w:t xml:space="preserve">磋商供应商： </w:t>
      </w:r>
      <w:r>
        <w:rPr>
          <w:rFonts w:hint="eastAsia" w:ascii="宋体" w:hAnsi="宋体" w:cs="宋体"/>
          <w:kern w:val="0"/>
          <w:sz w:val="28"/>
          <w:u w:val="single"/>
        </w:rPr>
        <w:t xml:space="preserve">               </w:t>
      </w:r>
      <w:r>
        <w:rPr>
          <w:rFonts w:hint="eastAsia" w:ascii="宋体" w:hAnsi="宋体" w:cs="宋体"/>
          <w:kern w:val="0"/>
          <w:sz w:val="28"/>
        </w:rPr>
        <w:t>（</w:t>
      </w:r>
      <w:r>
        <w:rPr>
          <w:rFonts w:hint="eastAsia" w:ascii="宋体" w:hAnsi="宋体" w:cs="宋体"/>
          <w:color w:val="000000"/>
          <w:sz w:val="28"/>
          <w:lang w:val="zh-CN" w:bidi="zh-CN"/>
        </w:rPr>
        <w:t>单位电子签章</w:t>
      </w:r>
      <w:r>
        <w:rPr>
          <w:rFonts w:hint="eastAsia" w:ascii="宋体" w:hAnsi="宋体" w:cs="宋体"/>
          <w:kern w:val="0"/>
          <w:sz w:val="28"/>
        </w:rPr>
        <w:t>）</w:t>
      </w:r>
    </w:p>
    <w:p>
      <w:pPr>
        <w:autoSpaceDE w:val="0"/>
        <w:autoSpaceDN w:val="0"/>
        <w:adjustRightInd w:val="0"/>
        <w:spacing w:line="480" w:lineRule="auto"/>
        <w:ind w:firstLine="2833" w:firstLineChars="1012"/>
        <w:jc w:val="left"/>
        <w:rPr>
          <w:rFonts w:hint="eastAsia" w:ascii="宋体" w:hAnsi="宋体" w:cs="宋体"/>
          <w:kern w:val="0"/>
          <w:sz w:val="28"/>
        </w:rPr>
      </w:pPr>
      <w:r>
        <w:rPr>
          <w:rFonts w:hint="eastAsia" w:ascii="宋体" w:hAnsi="宋体" w:cs="宋体"/>
          <w:kern w:val="0"/>
          <w:sz w:val="28"/>
        </w:rPr>
        <w:t>法定代表人：</w:t>
      </w:r>
      <w:r>
        <w:rPr>
          <w:rFonts w:hint="eastAsia" w:ascii="宋体" w:hAnsi="宋体" w:cs="宋体"/>
          <w:kern w:val="0"/>
          <w:sz w:val="28"/>
          <w:u w:val="single"/>
        </w:rPr>
        <w:t xml:space="preserve">                </w:t>
      </w:r>
      <w:r>
        <w:rPr>
          <w:rFonts w:hint="eastAsia" w:ascii="宋体" w:hAnsi="宋体" w:cs="宋体"/>
          <w:kern w:val="0"/>
          <w:sz w:val="28"/>
        </w:rPr>
        <w:t>（</w:t>
      </w:r>
      <w:r>
        <w:rPr>
          <w:rFonts w:hint="eastAsia" w:ascii="宋体" w:hAnsi="宋体" w:cs="宋体"/>
          <w:color w:val="000000"/>
          <w:sz w:val="28"/>
          <w:lang w:val="zh-CN" w:bidi="zh-CN"/>
        </w:rPr>
        <w:t>法人电子签章</w:t>
      </w:r>
      <w:r>
        <w:rPr>
          <w:rFonts w:hint="eastAsia" w:ascii="宋体" w:hAnsi="宋体" w:cs="宋体"/>
          <w:kern w:val="0"/>
          <w:sz w:val="28"/>
        </w:rPr>
        <w:t>）</w:t>
      </w:r>
    </w:p>
    <w:p>
      <w:pPr>
        <w:autoSpaceDE w:val="0"/>
        <w:autoSpaceDN w:val="0"/>
        <w:adjustRightInd w:val="0"/>
        <w:spacing w:line="480" w:lineRule="auto"/>
        <w:ind w:firstLine="2833" w:firstLineChars="1012"/>
        <w:jc w:val="left"/>
        <w:rPr>
          <w:rFonts w:hint="eastAsia" w:ascii="宋体" w:hAnsi="宋体" w:cs="宋体"/>
          <w:kern w:val="0"/>
          <w:sz w:val="28"/>
          <w:u w:val="single"/>
        </w:rPr>
      </w:pPr>
      <w:r>
        <w:rPr>
          <w:rFonts w:hint="eastAsia" w:ascii="宋体" w:hAnsi="宋体" w:cs="宋体"/>
          <w:kern w:val="0"/>
          <w:sz w:val="28"/>
        </w:rPr>
        <w:t xml:space="preserve">身份证号码： </w:t>
      </w:r>
      <w:r>
        <w:rPr>
          <w:rFonts w:hint="eastAsia" w:ascii="宋体" w:hAnsi="宋体" w:cs="宋体"/>
          <w:kern w:val="0"/>
          <w:sz w:val="28"/>
          <w:u w:val="single"/>
        </w:rPr>
        <w:t xml:space="preserve">                        </w:t>
      </w:r>
    </w:p>
    <w:p>
      <w:pPr>
        <w:autoSpaceDE w:val="0"/>
        <w:autoSpaceDN w:val="0"/>
        <w:adjustRightInd w:val="0"/>
        <w:spacing w:line="480" w:lineRule="auto"/>
        <w:ind w:firstLine="2833" w:firstLineChars="1012"/>
        <w:jc w:val="left"/>
        <w:rPr>
          <w:rFonts w:hint="eastAsia" w:ascii="宋体" w:hAnsi="宋体" w:cs="宋体"/>
          <w:kern w:val="0"/>
          <w:sz w:val="28"/>
          <w:u w:val="single"/>
        </w:rPr>
      </w:pPr>
      <w:r>
        <w:rPr>
          <w:rFonts w:hint="eastAsia" w:ascii="宋体" w:hAnsi="宋体" w:cs="宋体"/>
          <w:kern w:val="0"/>
          <w:sz w:val="28"/>
        </w:rPr>
        <w:t xml:space="preserve">被授权人身份证号码： </w:t>
      </w:r>
      <w:r>
        <w:rPr>
          <w:rFonts w:hint="eastAsia" w:ascii="宋体" w:hAnsi="宋体" w:cs="宋体"/>
          <w:kern w:val="0"/>
          <w:sz w:val="28"/>
          <w:u w:val="single"/>
        </w:rPr>
        <w:t xml:space="preserve">                </w:t>
      </w:r>
    </w:p>
    <w:p>
      <w:pPr>
        <w:spacing w:line="480" w:lineRule="auto"/>
        <w:ind w:right="944" w:firstLine="3319" w:firstLineChars="1012"/>
        <w:rPr>
          <w:rFonts w:ascii="宋体"/>
          <w:spacing w:val="24"/>
          <w:sz w:val="28"/>
        </w:rPr>
      </w:pPr>
      <w:r>
        <w:rPr>
          <w:rFonts w:hint="eastAsia" w:ascii="宋体" w:hAnsi="宋体"/>
          <w:spacing w:val="24"/>
          <w:sz w:val="28"/>
        </w:rPr>
        <w:t>日    期：</w:t>
      </w:r>
      <w:r>
        <w:rPr>
          <w:rFonts w:hint="eastAsia" w:ascii="宋体" w:hAnsi="宋体"/>
          <w:spacing w:val="24"/>
          <w:sz w:val="28"/>
          <w:u w:val="single"/>
        </w:rPr>
        <w:t xml:space="preserve">    </w:t>
      </w:r>
      <w:r>
        <w:rPr>
          <w:rFonts w:hint="eastAsia" w:ascii="宋体" w:hAnsi="宋体"/>
          <w:spacing w:val="24"/>
          <w:sz w:val="28"/>
        </w:rPr>
        <w:t>年</w:t>
      </w:r>
      <w:r>
        <w:rPr>
          <w:rFonts w:hint="eastAsia" w:ascii="宋体" w:hAnsi="宋体"/>
          <w:spacing w:val="24"/>
          <w:sz w:val="28"/>
          <w:u w:val="single"/>
        </w:rPr>
        <w:t xml:space="preserve">   </w:t>
      </w:r>
      <w:r>
        <w:rPr>
          <w:rFonts w:hint="eastAsia" w:ascii="宋体" w:hAnsi="宋体"/>
          <w:spacing w:val="24"/>
          <w:sz w:val="28"/>
        </w:rPr>
        <w:t>月</w:t>
      </w:r>
      <w:r>
        <w:rPr>
          <w:rFonts w:hint="eastAsia" w:ascii="宋体" w:hAnsi="宋体"/>
          <w:spacing w:val="24"/>
          <w:sz w:val="28"/>
          <w:u w:val="single"/>
        </w:rPr>
        <w:t xml:space="preserve">   </w:t>
      </w:r>
      <w:r>
        <w:rPr>
          <w:rFonts w:hint="eastAsia" w:ascii="宋体" w:hAnsi="宋体"/>
          <w:spacing w:val="24"/>
          <w:sz w:val="28"/>
        </w:rPr>
        <w:t>日</w:t>
      </w:r>
    </w:p>
    <w:p>
      <w:pPr>
        <w:pStyle w:val="3"/>
        <w:spacing w:line="600" w:lineRule="exact"/>
        <w:jc w:val="center"/>
        <w:rPr>
          <w:rFonts w:hint="eastAsia" w:ascii="宋体" w:hAnsi="宋体" w:eastAsia="宋体" w:cs="宋体-PUA"/>
          <w:sz w:val="24"/>
          <w:szCs w:val="24"/>
        </w:rPr>
      </w:pPr>
      <w:r>
        <w:rPr>
          <w:rFonts w:ascii="Calibri" w:hAnsi="Calibri" w:eastAsia="宋体"/>
          <w:sz w:val="28"/>
          <w:szCs w:val="28"/>
        </w:rPr>
        <w:br w:type="page"/>
      </w:r>
      <w:bookmarkStart w:id="263" w:name="_Toc25249224"/>
      <w:bookmarkStart w:id="264" w:name="_Toc68710945"/>
      <w:bookmarkStart w:id="265" w:name="_Toc101344078"/>
      <w:bookmarkStart w:id="266" w:name="_Toc19716"/>
      <w:bookmarkStart w:id="267" w:name="_Toc5189"/>
      <w:r>
        <w:rPr>
          <w:rFonts w:hint="eastAsia" w:ascii="宋体" w:hAnsi="宋体" w:eastAsia="宋体" w:cs="宋体-PUA"/>
          <w:szCs w:val="24"/>
        </w:rPr>
        <w:t>三、磋商承诺函</w:t>
      </w:r>
      <w:bookmarkEnd w:id="263"/>
      <w:bookmarkEnd w:id="264"/>
      <w:bookmarkEnd w:id="265"/>
      <w:bookmarkEnd w:id="266"/>
      <w:bookmarkEnd w:id="267"/>
    </w:p>
    <w:p>
      <w:pPr>
        <w:spacing w:line="480" w:lineRule="exact"/>
        <w:jc w:val="left"/>
        <w:rPr>
          <w:rFonts w:ascii="宋体" w:hAnsi="宋体"/>
          <w:bCs/>
          <w:sz w:val="28"/>
        </w:rPr>
      </w:pPr>
      <w:r>
        <w:rPr>
          <w:rFonts w:hint="eastAsia" w:ascii="宋体" w:hAnsi="宋体"/>
          <w:bCs/>
          <w:sz w:val="28"/>
        </w:rPr>
        <w:t>致：（采购人）</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我方已充分了解了</w:t>
      </w:r>
      <w:r>
        <w:rPr>
          <w:rFonts w:hint="eastAsia" w:ascii="宋体" w:cs="宋体"/>
          <w:kern w:val="0"/>
          <w:sz w:val="28"/>
          <w:u w:val="single"/>
        </w:rPr>
        <w:tab/>
      </w:r>
      <w:r>
        <w:rPr>
          <w:rFonts w:hint="eastAsia" w:ascii="宋体" w:cs="宋体"/>
          <w:kern w:val="0"/>
          <w:sz w:val="28"/>
          <w:u w:val="single"/>
        </w:rPr>
        <w:tab/>
      </w:r>
      <w:r>
        <w:rPr>
          <w:rFonts w:hint="eastAsia" w:ascii="宋体" w:cs="宋体"/>
          <w:kern w:val="0"/>
          <w:sz w:val="28"/>
          <w:u w:val="single"/>
        </w:rPr>
        <w:t xml:space="preserve">    </w:t>
      </w:r>
      <w:r>
        <w:rPr>
          <w:rFonts w:hint="eastAsia" w:ascii="宋体" w:hAnsi="宋体" w:cs="宋体"/>
          <w:kern w:val="0"/>
          <w:sz w:val="28"/>
        </w:rPr>
        <w:t>（项目名称）第</w:t>
      </w:r>
      <w:r>
        <w:rPr>
          <w:rFonts w:hint="eastAsia" w:ascii="宋体" w:cs="宋体"/>
          <w:kern w:val="0"/>
          <w:sz w:val="28"/>
          <w:u w:val="single"/>
        </w:rPr>
        <w:tab/>
      </w:r>
      <w:r>
        <w:rPr>
          <w:rFonts w:hint="eastAsia" w:ascii="宋体" w:cs="宋体"/>
          <w:kern w:val="0"/>
          <w:sz w:val="28"/>
          <w:u w:val="single"/>
          <w:lang w:val="en-US" w:eastAsia="zh-CN"/>
        </w:rPr>
        <w:t xml:space="preserve">  </w:t>
      </w:r>
      <w:r>
        <w:rPr>
          <w:rFonts w:hint="eastAsia" w:ascii="宋体" w:cs="宋体"/>
          <w:kern w:val="0"/>
          <w:sz w:val="28"/>
        </w:rPr>
        <w:t>标段</w:t>
      </w:r>
      <w:r>
        <w:rPr>
          <w:rFonts w:hint="eastAsia" w:ascii="宋体" w:cs="宋体"/>
          <w:kern w:val="0"/>
          <w:sz w:val="28"/>
          <w:u w:val="single"/>
        </w:rPr>
        <w:tab/>
      </w:r>
      <w:r>
        <w:rPr>
          <w:rFonts w:hint="eastAsia" w:ascii="宋体" w:cs="宋体"/>
          <w:kern w:val="0"/>
          <w:sz w:val="28"/>
          <w:u w:val="single"/>
        </w:rPr>
        <w:t xml:space="preserve">    </w:t>
      </w:r>
      <w:r>
        <w:rPr>
          <w:rFonts w:hint="eastAsia" w:ascii="宋体" w:hAnsi="宋体" w:cs="宋体"/>
          <w:kern w:val="0"/>
          <w:sz w:val="28"/>
        </w:rPr>
        <w:t>（项目编号）的竞争性磋商文件，愿意遵照本项目《竞争性磋商文件》、《中华人民共和国政府采购法》等有关规定参与竞标，并承诺如下：</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1、我方承诺将严格按照“公开、公平、公正和诚实信用原则”参与本项目竞标活动。</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2、我方承诺在投标有效期内不撤销响应性文件；</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3、我方承诺在响应性文件及对三门峡市公共资源交易供应商主体信息库中提供的材料真实有效；</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4、我方承诺绝不与采购人、其他投标供应商或者代理机构恶意串通的投标；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5、我方承诺绝不以他人的名义投标、串通投标、以行贿手段谋取中标或者以其他弄虚作假方式投标；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6、我方承诺绝不采取不正当手段谋取中标；</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7、如我方中标，我方承诺在收到成交通知书后，在成交通知书规定的期限内，根据</w:t>
      </w:r>
      <w:r>
        <w:rPr>
          <w:rFonts w:hint="eastAsia" w:ascii="宋体" w:hAnsi="宋体" w:cs="宋体"/>
          <w:kern w:val="0"/>
          <w:sz w:val="28"/>
          <w:lang w:eastAsia="zh-CN"/>
        </w:rPr>
        <w:t>磋商</w:t>
      </w:r>
      <w:r>
        <w:rPr>
          <w:rFonts w:hint="eastAsia" w:ascii="宋体" w:hAnsi="宋体" w:cs="宋体"/>
          <w:kern w:val="0"/>
          <w:sz w:val="28"/>
        </w:rPr>
        <w:t>文件、我方的</w:t>
      </w:r>
      <w:r>
        <w:rPr>
          <w:rFonts w:hint="eastAsia" w:ascii="宋体" w:hAnsi="宋体" w:cs="宋体"/>
          <w:kern w:val="0"/>
          <w:sz w:val="28"/>
          <w:lang w:eastAsia="zh-CN"/>
        </w:rPr>
        <w:t>磋商</w:t>
      </w:r>
      <w:r>
        <w:rPr>
          <w:rFonts w:hint="eastAsia" w:ascii="宋体" w:hAnsi="宋体" w:cs="宋体"/>
          <w:kern w:val="0"/>
          <w:sz w:val="28"/>
        </w:rPr>
        <w:t>响应文件及有关澄清承诺书的要求，与采购人订立书面合同，并按照合同约定承担完成合同的责任和义务；</w:t>
      </w:r>
    </w:p>
    <w:p>
      <w:pPr>
        <w:autoSpaceDE w:val="0"/>
        <w:autoSpaceDN w:val="0"/>
        <w:adjustRightInd w:val="0"/>
        <w:spacing w:line="480" w:lineRule="exact"/>
        <w:ind w:firstLine="658" w:firstLineChars="235"/>
        <w:jc w:val="left"/>
        <w:rPr>
          <w:rFonts w:ascii="宋体" w:hAnsi="宋体" w:cs="宋体"/>
          <w:kern w:val="0"/>
          <w:sz w:val="28"/>
        </w:rPr>
      </w:pPr>
      <w:r>
        <w:rPr>
          <w:rFonts w:hint="eastAsia" w:ascii="宋体" w:hAnsi="宋体" w:cs="宋体"/>
          <w:kern w:val="0"/>
          <w:sz w:val="28"/>
        </w:rPr>
        <w:t>8、如我方违反此约定，愿意承担对本项目造成的一切经济损失，并同时依法承担相应法律责任。</w:t>
      </w:r>
    </w:p>
    <w:p>
      <w:pPr>
        <w:topLinePunct/>
        <w:spacing w:line="480" w:lineRule="exact"/>
        <w:ind w:firstLine="480"/>
        <w:rPr>
          <w:rFonts w:hint="eastAsia" w:ascii="宋体" w:hAnsi="宋体"/>
          <w:bCs/>
          <w:sz w:val="28"/>
        </w:rPr>
      </w:pPr>
    </w:p>
    <w:p>
      <w:pPr>
        <w:spacing w:line="480" w:lineRule="exact"/>
        <w:ind w:firstLine="2974" w:firstLineChars="907"/>
        <w:rPr>
          <w:rFonts w:ascii="宋体"/>
          <w:spacing w:val="24"/>
          <w:sz w:val="28"/>
        </w:rPr>
      </w:pPr>
      <w:r>
        <w:rPr>
          <w:rFonts w:hint="eastAsia" w:ascii="宋体" w:hAnsi="宋体"/>
          <w:spacing w:val="24"/>
          <w:sz w:val="28"/>
        </w:rPr>
        <w:t>磋商供应商：</w:t>
      </w:r>
      <w:r>
        <w:rPr>
          <w:rFonts w:hint="eastAsia" w:ascii="宋体" w:hAnsi="宋体"/>
          <w:spacing w:val="24"/>
          <w:sz w:val="28"/>
          <w:u w:val="single"/>
        </w:rPr>
        <w:t xml:space="preserve">         </w:t>
      </w:r>
      <w:r>
        <w:rPr>
          <w:rFonts w:hint="eastAsia" w:ascii="宋体" w:hAnsi="宋体"/>
          <w:spacing w:val="24"/>
          <w:sz w:val="28"/>
        </w:rPr>
        <w:t>（</w:t>
      </w:r>
      <w:r>
        <w:rPr>
          <w:rFonts w:hint="eastAsia" w:ascii="宋体" w:hAnsi="宋体" w:cs="宋体"/>
          <w:color w:val="000000"/>
          <w:sz w:val="28"/>
          <w:lang w:val="zh-CN" w:bidi="zh-CN"/>
        </w:rPr>
        <w:t>单位电子签章</w:t>
      </w:r>
      <w:r>
        <w:rPr>
          <w:rFonts w:hint="eastAsia" w:ascii="宋体" w:hAnsi="宋体"/>
          <w:spacing w:val="24"/>
          <w:sz w:val="28"/>
        </w:rPr>
        <w:t>）</w:t>
      </w:r>
    </w:p>
    <w:p>
      <w:pPr>
        <w:spacing w:line="480" w:lineRule="exact"/>
        <w:ind w:firstLine="2974" w:firstLineChars="907"/>
        <w:rPr>
          <w:rFonts w:ascii="宋体"/>
          <w:spacing w:val="24"/>
          <w:sz w:val="28"/>
        </w:rPr>
      </w:pPr>
      <w:r>
        <w:rPr>
          <w:rFonts w:hint="eastAsia" w:ascii="宋体" w:hAnsi="宋体"/>
          <w:spacing w:val="24"/>
          <w:sz w:val="28"/>
        </w:rPr>
        <w:t>法定代表人：</w:t>
      </w:r>
      <w:r>
        <w:rPr>
          <w:rFonts w:hint="eastAsia" w:ascii="宋体" w:hAnsi="宋体"/>
          <w:spacing w:val="24"/>
          <w:sz w:val="28"/>
          <w:u w:val="single"/>
        </w:rPr>
        <w:t xml:space="preserve">         </w:t>
      </w:r>
      <w:r>
        <w:rPr>
          <w:rFonts w:hint="eastAsia" w:ascii="宋体" w:hAnsi="宋体"/>
          <w:spacing w:val="24"/>
          <w:sz w:val="28"/>
        </w:rPr>
        <w:t>（</w:t>
      </w:r>
      <w:r>
        <w:rPr>
          <w:rFonts w:hint="eastAsia" w:ascii="宋体" w:hAnsi="宋体" w:cs="宋体"/>
          <w:color w:val="000000"/>
          <w:sz w:val="28"/>
          <w:lang w:val="zh-CN" w:bidi="zh-CN"/>
        </w:rPr>
        <w:t>法人电子签章</w:t>
      </w:r>
      <w:r>
        <w:rPr>
          <w:rFonts w:hint="eastAsia" w:ascii="宋体" w:hAnsi="宋体"/>
          <w:spacing w:val="24"/>
          <w:sz w:val="28"/>
        </w:rPr>
        <w:t>）</w:t>
      </w:r>
    </w:p>
    <w:p>
      <w:pPr>
        <w:spacing w:line="480" w:lineRule="exact"/>
        <w:ind w:left="-199" w:leftChars="-95" w:right="452" w:firstLine="2974" w:firstLineChars="907"/>
        <w:jc w:val="center"/>
        <w:rPr>
          <w:rFonts w:hint="eastAsia" w:ascii="宋体" w:hAnsi="宋体" w:cs="宋体"/>
          <w:spacing w:val="8"/>
          <w:sz w:val="28"/>
        </w:rPr>
      </w:pPr>
      <w:r>
        <w:rPr>
          <w:rFonts w:hint="eastAsia" w:ascii="宋体" w:hAnsi="宋体"/>
          <w:spacing w:val="24"/>
          <w:sz w:val="28"/>
        </w:rPr>
        <w:t>日    期：</w:t>
      </w:r>
      <w:r>
        <w:rPr>
          <w:rFonts w:hint="eastAsia" w:ascii="宋体" w:hAnsi="宋体"/>
          <w:spacing w:val="24"/>
          <w:sz w:val="28"/>
          <w:u w:val="single"/>
        </w:rPr>
        <w:t xml:space="preserve">    </w:t>
      </w:r>
      <w:r>
        <w:rPr>
          <w:rFonts w:hint="eastAsia" w:ascii="宋体" w:hAnsi="宋体"/>
          <w:spacing w:val="24"/>
          <w:sz w:val="28"/>
        </w:rPr>
        <w:t>年</w:t>
      </w:r>
      <w:r>
        <w:rPr>
          <w:rFonts w:hint="eastAsia" w:ascii="宋体" w:hAnsi="宋体"/>
          <w:spacing w:val="24"/>
          <w:sz w:val="28"/>
          <w:u w:val="single"/>
        </w:rPr>
        <w:t xml:space="preserve">   </w:t>
      </w:r>
      <w:r>
        <w:rPr>
          <w:rFonts w:hint="eastAsia" w:ascii="宋体" w:hAnsi="宋体"/>
          <w:spacing w:val="24"/>
          <w:sz w:val="28"/>
        </w:rPr>
        <w:t>月</w:t>
      </w:r>
      <w:r>
        <w:rPr>
          <w:rFonts w:hint="eastAsia" w:ascii="宋体" w:hAnsi="宋体"/>
          <w:spacing w:val="24"/>
          <w:sz w:val="28"/>
          <w:u w:val="single"/>
        </w:rPr>
        <w:t xml:space="preserve">   </w:t>
      </w:r>
      <w:r>
        <w:rPr>
          <w:rFonts w:hint="eastAsia" w:ascii="宋体" w:hAnsi="宋体"/>
          <w:spacing w:val="24"/>
          <w:sz w:val="28"/>
        </w:rPr>
        <w:t>日</w:t>
      </w:r>
    </w:p>
    <w:p>
      <w:pPr>
        <w:pStyle w:val="3"/>
        <w:spacing w:line="240" w:lineRule="exact"/>
        <w:jc w:val="center"/>
        <w:rPr>
          <w:rFonts w:ascii="宋体" w:hAnsi="宋体" w:eastAsia="宋体" w:cs="宋体-PUA"/>
          <w:sz w:val="24"/>
          <w:szCs w:val="24"/>
        </w:rPr>
        <w:sectPr>
          <w:headerReference r:id="rId6" w:type="default"/>
          <w:pgSz w:w="11906" w:h="16838"/>
          <w:pgMar w:top="1418" w:right="1588" w:bottom="1418" w:left="1418" w:header="851" w:footer="771" w:gutter="0"/>
          <w:pgNumType w:fmt="decimal"/>
          <w:cols w:space="720" w:num="1"/>
          <w:docGrid w:linePitch="326" w:charSpace="0"/>
        </w:sectPr>
      </w:pPr>
      <w:bookmarkStart w:id="268" w:name="_Toc25249225"/>
      <w:bookmarkStart w:id="269" w:name="_Toc68710946"/>
      <w:bookmarkStart w:id="270" w:name="_Toc101344079"/>
      <w:bookmarkStart w:id="271" w:name="_Toc3182"/>
      <w:bookmarkStart w:id="272" w:name="_Toc246997115"/>
      <w:bookmarkStart w:id="273" w:name="_Toc152045807"/>
      <w:bookmarkStart w:id="274" w:name="_Toc152042596"/>
      <w:bookmarkStart w:id="275" w:name="_Toc247085890"/>
      <w:bookmarkStart w:id="276" w:name="_Toc179632827"/>
      <w:bookmarkStart w:id="277" w:name="_Toc296602617"/>
      <w:bookmarkStart w:id="278" w:name="_Toc246996372"/>
      <w:bookmarkStart w:id="279" w:name="_Toc144974875"/>
    </w:p>
    <w:p>
      <w:pPr>
        <w:pStyle w:val="3"/>
        <w:spacing w:line="600" w:lineRule="exact"/>
        <w:jc w:val="center"/>
        <w:rPr>
          <w:rFonts w:hint="eastAsia" w:ascii="宋体" w:hAnsi="宋体" w:eastAsia="宋体" w:cs="宋体-PUA"/>
          <w:szCs w:val="24"/>
        </w:rPr>
      </w:pPr>
      <w:bookmarkStart w:id="280" w:name="_Toc13181"/>
      <w:bookmarkStart w:id="281" w:name="_Toc22138"/>
      <w:r>
        <w:rPr>
          <w:rFonts w:hint="eastAsia" w:ascii="宋体" w:hAnsi="宋体" w:eastAsia="宋体" w:cs="宋体-PUA"/>
          <w:szCs w:val="24"/>
        </w:rPr>
        <w:t>四、</w:t>
      </w:r>
      <w:bookmarkEnd w:id="268"/>
      <w:r>
        <w:rPr>
          <w:rFonts w:hint="eastAsia" w:ascii="宋体" w:hAnsi="宋体" w:eastAsia="宋体" w:cs="宋体-PUA"/>
          <w:szCs w:val="24"/>
        </w:rPr>
        <w:t>分项报价表</w:t>
      </w:r>
      <w:bookmarkEnd w:id="269"/>
      <w:bookmarkEnd w:id="270"/>
      <w:bookmarkEnd w:id="280"/>
      <w:bookmarkEnd w:id="281"/>
    </w:p>
    <w:p>
      <w:pPr>
        <w:spacing w:line="400" w:lineRule="exact"/>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项目名称及标段：</w:t>
      </w:r>
    </w:p>
    <w:p>
      <w:pPr>
        <w:spacing w:line="400" w:lineRule="exact"/>
        <w:jc w:val="left"/>
        <w:rPr>
          <w:rFonts w:hint="eastAsia" w:ascii="Times New Roman" w:hAnsi="Times New Roman" w:eastAsia="宋体" w:cs="Times New Roman"/>
          <w:sz w:val="24"/>
        </w:rPr>
      </w:pPr>
      <w:r>
        <w:rPr>
          <w:rFonts w:hint="eastAsia" w:ascii="Times New Roman" w:hAnsi="Times New Roman" w:eastAsia="宋体" w:cs="Times New Roman"/>
          <w:sz w:val="24"/>
          <w:lang w:eastAsia="zh-CN"/>
        </w:rPr>
        <w:t>项目编号</w:t>
      </w:r>
      <w:r>
        <w:rPr>
          <w:rFonts w:hint="eastAsia" w:ascii="Times New Roman" w:hAnsi="Times New Roman" w:eastAsia="宋体" w:cs="Times New Roman"/>
          <w:sz w:val="24"/>
        </w:rPr>
        <w:t>：</w:t>
      </w:r>
    </w:p>
    <w:tbl>
      <w:tblPr>
        <w:tblStyle w:val="15"/>
        <w:tblpPr w:leftFromText="180" w:rightFromText="180" w:vertAnchor="text" w:horzAnchor="page" w:tblpXSpec="center" w:tblpY="1129"/>
        <w:tblOverlap w:val="never"/>
        <w:tblW w:w="1405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7" w:type="dxa"/>
          <w:left w:w="17" w:type="dxa"/>
          <w:bottom w:w="17" w:type="dxa"/>
          <w:right w:w="17" w:type="dxa"/>
        </w:tblCellMar>
      </w:tblPr>
      <w:tblGrid>
        <w:gridCol w:w="850"/>
        <w:gridCol w:w="1418"/>
        <w:gridCol w:w="1984"/>
        <w:gridCol w:w="5830"/>
        <w:gridCol w:w="992"/>
        <w:gridCol w:w="992"/>
        <w:gridCol w:w="992"/>
        <w:gridCol w:w="9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9" w:hRule="atLeast"/>
        </w:trPr>
        <w:tc>
          <w:tcPr>
            <w:tcW w:w="850"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序号</w:t>
            </w:r>
          </w:p>
        </w:tc>
        <w:tc>
          <w:tcPr>
            <w:tcW w:w="1418"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食品大类</w:t>
            </w:r>
          </w:p>
        </w:tc>
        <w:tc>
          <w:tcPr>
            <w:tcW w:w="1984"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食品小类</w:t>
            </w:r>
          </w:p>
        </w:tc>
        <w:tc>
          <w:tcPr>
            <w:tcW w:w="5830"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检验项目</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抽检</w:t>
            </w:r>
          </w:p>
          <w:p>
            <w:pPr>
              <w:widowControl/>
              <w:spacing w:line="360" w:lineRule="exact"/>
              <w:jc w:val="center"/>
              <w:textAlignment w:val="center"/>
              <w:rPr>
                <w:rFonts w:ascii="宋体" w:hAnsi="宋体" w:cs="宋体"/>
                <w:sz w:val="24"/>
              </w:rPr>
            </w:pPr>
            <w:r>
              <w:rPr>
                <w:rFonts w:hint="eastAsia" w:ascii="宋体" w:hAnsi="宋体" w:cs="宋体"/>
                <w:sz w:val="24"/>
              </w:rPr>
              <w:t>批次</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单价（元）</w:t>
            </w:r>
          </w:p>
        </w:tc>
        <w:tc>
          <w:tcPr>
            <w:tcW w:w="992" w:type="dxa"/>
            <w:noWrap w:val="0"/>
            <w:vAlign w:val="top"/>
          </w:tcPr>
          <w:p>
            <w:pPr>
              <w:widowControl/>
              <w:spacing w:line="360" w:lineRule="exact"/>
              <w:jc w:val="center"/>
              <w:textAlignment w:val="center"/>
              <w:rPr>
                <w:rFonts w:ascii="宋体" w:hAnsi="宋体" w:cs="宋体"/>
                <w:sz w:val="24"/>
              </w:rPr>
            </w:pPr>
            <w:r>
              <w:rPr>
                <w:rFonts w:hint="eastAsia" w:ascii="宋体" w:hAnsi="宋体" w:cs="宋体"/>
                <w:sz w:val="24"/>
              </w:rPr>
              <w:t>小计（元）</w:t>
            </w:r>
          </w:p>
        </w:tc>
        <w:tc>
          <w:tcPr>
            <w:tcW w:w="992" w:type="dxa"/>
            <w:noWrap w:val="0"/>
            <w:vAlign w:val="center"/>
          </w:tcPr>
          <w:p>
            <w:pPr>
              <w:widowControl/>
              <w:spacing w:line="360" w:lineRule="exact"/>
              <w:jc w:val="center"/>
              <w:textAlignment w:val="center"/>
              <w:rPr>
                <w:rFonts w:ascii="宋体" w:hAnsi="宋体" w:cs="宋体"/>
                <w:sz w:val="24"/>
              </w:rPr>
            </w:pPr>
            <w:r>
              <w:rPr>
                <w:rFonts w:hint="eastAsia" w:ascii="宋体" w:hAnsi="宋体" w:cs="宋体"/>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9" w:hRule="atLeast"/>
        </w:trPr>
        <w:tc>
          <w:tcPr>
            <w:tcW w:w="850" w:type="dxa"/>
            <w:vMerge w:val="restart"/>
            <w:noWrap w:val="0"/>
            <w:vAlign w:val="center"/>
          </w:tcPr>
          <w:p>
            <w:pPr>
              <w:widowControl/>
              <w:spacing w:line="360" w:lineRule="exact"/>
              <w:jc w:val="center"/>
              <w:textAlignment w:val="center"/>
              <w:rPr>
                <w:rFonts w:ascii="宋体" w:hAnsi="宋体" w:cs="文星仿宋"/>
                <w:sz w:val="24"/>
              </w:rPr>
            </w:pPr>
            <w:r>
              <w:rPr>
                <w:rFonts w:hint="eastAsia" w:ascii="宋体" w:hAnsi="宋体" w:cs="文星仿宋"/>
                <w:sz w:val="24"/>
              </w:rPr>
              <w:t>1</w:t>
            </w:r>
          </w:p>
        </w:tc>
        <w:tc>
          <w:tcPr>
            <w:tcW w:w="1418" w:type="dxa"/>
            <w:vMerge w:val="restart"/>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13"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5830" w:type="dxa"/>
            <w:noWrap w:val="0"/>
            <w:vAlign w:val="center"/>
          </w:tcPr>
          <w:p>
            <w:pPr>
              <w:widowControl/>
              <w:spacing w:line="360" w:lineRule="exact"/>
              <w:jc w:val="center"/>
              <w:textAlignment w:val="center"/>
              <w:rPr>
                <w:rFonts w:hint="eastAsia" w:ascii="宋体" w:hAnsi="宋体" w:eastAsia="宋体" w:cs="宋体"/>
                <w:sz w:val="24"/>
                <w:lang w:val="zh-CN"/>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783" w:hRule="atLeast"/>
        </w:trPr>
        <w:tc>
          <w:tcPr>
            <w:tcW w:w="850" w:type="dxa"/>
            <w:vMerge w:val="restart"/>
            <w:noWrap w:val="0"/>
            <w:vAlign w:val="center"/>
          </w:tcPr>
          <w:p>
            <w:pPr>
              <w:widowControl/>
              <w:spacing w:line="360" w:lineRule="exact"/>
              <w:jc w:val="center"/>
              <w:textAlignment w:val="center"/>
              <w:rPr>
                <w:rFonts w:ascii="宋体" w:hAnsi="宋体" w:cs="文星仿宋"/>
                <w:sz w:val="24"/>
              </w:rPr>
            </w:pPr>
            <w:r>
              <w:rPr>
                <w:rFonts w:hint="eastAsia" w:ascii="宋体" w:hAnsi="宋体" w:cs="文星仿宋"/>
                <w:sz w:val="24"/>
              </w:rPr>
              <w:t>2</w:t>
            </w:r>
          </w:p>
        </w:tc>
        <w:tc>
          <w:tcPr>
            <w:tcW w:w="1418" w:type="dxa"/>
            <w:vMerge w:val="restart"/>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5" w:hRule="atLeast"/>
        </w:trPr>
        <w:tc>
          <w:tcPr>
            <w:tcW w:w="850" w:type="dxa"/>
            <w:vMerge w:val="continue"/>
            <w:noWrap w:val="0"/>
            <w:vAlign w:val="center"/>
          </w:tcPr>
          <w:p>
            <w:pPr>
              <w:widowControl/>
              <w:spacing w:line="360" w:lineRule="exact"/>
              <w:jc w:val="center"/>
              <w:textAlignment w:val="center"/>
              <w:rPr>
                <w:rFonts w:hint="eastAsia"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both"/>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5" w:hRule="atLeast"/>
        </w:trPr>
        <w:tc>
          <w:tcPr>
            <w:tcW w:w="850" w:type="dxa"/>
            <w:vMerge w:val="continue"/>
            <w:noWrap w:val="0"/>
            <w:vAlign w:val="center"/>
          </w:tcPr>
          <w:p>
            <w:pPr>
              <w:widowControl/>
              <w:spacing w:line="360" w:lineRule="exact"/>
              <w:jc w:val="center"/>
              <w:rPr>
                <w:rFonts w:ascii="宋体" w:hAnsi="宋体" w:cs="文星仿宋"/>
                <w:sz w:val="24"/>
              </w:rPr>
            </w:pPr>
          </w:p>
        </w:tc>
        <w:tc>
          <w:tcPr>
            <w:tcW w:w="1418" w:type="dxa"/>
            <w:vMerge w:val="continue"/>
            <w:noWrap w:val="0"/>
            <w:vAlign w:val="center"/>
          </w:tcPr>
          <w:p>
            <w:pPr>
              <w:widowControl/>
              <w:spacing w:line="360" w:lineRule="exact"/>
              <w:jc w:val="center"/>
              <w:textAlignment w:val="center"/>
              <w:rPr>
                <w:rFonts w:hint="eastAsia" w:ascii="宋体" w:hAnsi="宋体" w:eastAsia="宋体" w:cs="宋体"/>
                <w:sz w:val="24"/>
              </w:rPr>
            </w:pPr>
          </w:p>
        </w:tc>
        <w:tc>
          <w:tcPr>
            <w:tcW w:w="1984" w:type="dxa"/>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850" w:type="dxa"/>
            <w:vMerge w:val="continue"/>
            <w:tcBorders>
              <w:bottom w:val="single" w:color="auto" w:sz="4" w:space="0"/>
            </w:tcBorders>
            <w:noWrap w:val="0"/>
            <w:vAlign w:val="center"/>
          </w:tcPr>
          <w:p>
            <w:pPr>
              <w:widowControl/>
              <w:spacing w:line="360" w:lineRule="exact"/>
              <w:jc w:val="center"/>
              <w:rPr>
                <w:rFonts w:ascii="宋体" w:hAnsi="宋体" w:cs="文星仿宋"/>
                <w:sz w:val="24"/>
              </w:rPr>
            </w:pPr>
          </w:p>
        </w:tc>
        <w:tc>
          <w:tcPr>
            <w:tcW w:w="1418" w:type="dxa"/>
            <w:vMerge w:val="continue"/>
            <w:tcBorders>
              <w:bottom w:val="single" w:color="auto" w:sz="4" w:space="0"/>
            </w:tcBorders>
            <w:noWrap w:val="0"/>
            <w:vAlign w:val="center"/>
          </w:tcPr>
          <w:p>
            <w:pPr>
              <w:widowControl/>
              <w:spacing w:line="360" w:lineRule="exact"/>
              <w:jc w:val="center"/>
              <w:textAlignment w:val="center"/>
              <w:rPr>
                <w:rFonts w:hint="eastAsia" w:ascii="宋体" w:hAnsi="宋体" w:eastAsia="宋体" w:cs="宋体"/>
                <w:sz w:val="24"/>
              </w:rPr>
            </w:pPr>
          </w:p>
        </w:tc>
        <w:tc>
          <w:tcPr>
            <w:tcW w:w="1984" w:type="dxa"/>
            <w:tcBorders>
              <w:bottom w:val="single" w:color="auto" w:sz="4" w:space="0"/>
            </w:tcBorders>
            <w:noWrap w:val="0"/>
            <w:vAlign w:val="center"/>
          </w:tcPr>
          <w:p>
            <w:pPr>
              <w:widowControl/>
              <w:spacing w:line="360" w:lineRule="exact"/>
              <w:jc w:val="center"/>
              <w:textAlignment w:val="center"/>
              <w:rPr>
                <w:rFonts w:hint="eastAsia" w:ascii="宋体" w:hAnsi="宋体" w:eastAsia="宋体" w:cs="宋体"/>
                <w:sz w:val="24"/>
              </w:rPr>
            </w:pPr>
          </w:p>
        </w:tc>
        <w:tc>
          <w:tcPr>
            <w:tcW w:w="5830"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center"/>
          </w:tcPr>
          <w:p>
            <w:pPr>
              <w:widowControl/>
              <w:spacing w:line="360" w:lineRule="exact"/>
              <w:jc w:val="center"/>
              <w:textAlignment w:val="center"/>
              <w:rPr>
                <w:rFonts w:hint="eastAsia" w:ascii="宋体" w:hAnsi="宋体" w:eastAsia="宋体" w:cs="宋体"/>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top"/>
          </w:tcPr>
          <w:p>
            <w:pPr>
              <w:widowControl/>
              <w:spacing w:line="360" w:lineRule="exact"/>
              <w:jc w:val="center"/>
              <w:rPr>
                <w:rFonts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850" w:type="dxa"/>
            <w:tcBorders>
              <w:top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default" w:ascii="宋体" w:hAnsi="宋体" w:eastAsia="宋体" w:cs="文星仿宋"/>
                <w:sz w:val="24"/>
                <w:lang w:val="en-US" w:eastAsia="zh-CN"/>
              </w:rPr>
            </w:pPr>
            <w:r>
              <w:rPr>
                <w:rFonts w:hint="eastAsia" w:ascii="宋体" w:hAnsi="宋体" w:cs="文星仿宋"/>
                <w:sz w:val="24"/>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文星仿宋"/>
                <w:sz w:val="24"/>
              </w:rPr>
            </w:pPr>
          </w:p>
        </w:tc>
        <w:tc>
          <w:tcPr>
            <w:tcW w:w="1984" w:type="dxa"/>
            <w:tcBorders>
              <w:top w:val="single" w:color="auto" w:sz="4" w:space="0"/>
              <w:left w:val="single" w:color="auto" w:sz="4" w:space="0"/>
              <w:bottom w:val="single" w:color="auto" w:sz="4" w:space="0"/>
            </w:tcBorders>
            <w:noWrap w:val="0"/>
            <w:vAlign w:val="center"/>
          </w:tcPr>
          <w:p>
            <w:pPr>
              <w:widowControl/>
              <w:spacing w:line="360" w:lineRule="exact"/>
              <w:jc w:val="center"/>
              <w:textAlignment w:val="center"/>
              <w:rPr>
                <w:rFonts w:hint="eastAsia" w:ascii="宋体" w:hAnsi="宋体" w:cs="文星仿宋"/>
                <w:sz w:val="24"/>
              </w:rPr>
            </w:pPr>
          </w:p>
        </w:tc>
        <w:tc>
          <w:tcPr>
            <w:tcW w:w="5830" w:type="dxa"/>
            <w:tcBorders>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righ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tcBorders>
              <w:left w:val="single" w:color="auto" w:sz="4" w:space="0"/>
            </w:tcBorders>
            <w:noWrap w:val="0"/>
            <w:vAlign w:val="center"/>
          </w:tcPr>
          <w:p>
            <w:pPr>
              <w:widowControl/>
              <w:spacing w:line="360" w:lineRule="exact"/>
              <w:jc w:val="left"/>
              <w:rPr>
                <w:rFonts w:hint="eastAsia" w:ascii="宋体" w:hAnsi="宋体" w:cs="文星仿宋"/>
                <w:sz w:val="24"/>
              </w:rPr>
            </w:pPr>
          </w:p>
        </w:tc>
        <w:tc>
          <w:tcPr>
            <w:tcW w:w="992" w:type="dxa"/>
            <w:noWrap w:val="0"/>
            <w:vAlign w:val="center"/>
          </w:tcPr>
          <w:p>
            <w:pPr>
              <w:widowControl/>
              <w:spacing w:line="360" w:lineRule="exact"/>
              <w:jc w:val="center"/>
              <w:rPr>
                <w:rFonts w:ascii="宋体" w:hAnsi="宋体" w:cs="文星仿宋"/>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4252" w:type="dxa"/>
            <w:gridSpan w:val="3"/>
            <w:tcBorders>
              <w:top w:val="single" w:color="auto" w:sz="4" w:space="0"/>
            </w:tcBorders>
            <w:noWrap w:val="0"/>
            <w:vAlign w:val="center"/>
          </w:tcPr>
          <w:p>
            <w:pPr>
              <w:widowControl/>
              <w:spacing w:line="360" w:lineRule="exact"/>
              <w:jc w:val="center"/>
              <w:textAlignment w:val="center"/>
              <w:rPr>
                <w:rFonts w:hint="eastAsia" w:ascii="宋体" w:hAnsi="宋体" w:cs="文星仿宋"/>
                <w:sz w:val="24"/>
              </w:rPr>
            </w:pPr>
            <w:r>
              <w:rPr>
                <w:rFonts w:hint="eastAsia" w:ascii="宋体" w:hAnsi="宋体" w:cs="文星仿宋"/>
                <w:sz w:val="24"/>
              </w:rPr>
              <w:t>合计</w:t>
            </w:r>
          </w:p>
        </w:tc>
        <w:tc>
          <w:tcPr>
            <w:tcW w:w="9798" w:type="dxa"/>
            <w:gridSpan w:val="5"/>
            <w:noWrap w:val="0"/>
            <w:vAlign w:val="center"/>
          </w:tcPr>
          <w:p>
            <w:pPr>
              <w:widowControl/>
              <w:spacing w:line="360" w:lineRule="exact"/>
              <w:jc w:val="left"/>
              <w:rPr>
                <w:rFonts w:hint="eastAsia" w:ascii="宋体" w:hAnsi="宋体" w:cs="文星仿宋"/>
                <w:sz w:val="24"/>
              </w:rPr>
            </w:pPr>
            <w:r>
              <w:rPr>
                <w:rFonts w:hint="eastAsia" w:ascii="宋体" w:hAnsi="宋体" w:cs="文星仿宋"/>
                <w:sz w:val="24"/>
              </w:rPr>
              <w:t>大写：</w:t>
            </w:r>
          </w:p>
          <w:p>
            <w:pPr>
              <w:widowControl/>
              <w:spacing w:line="360" w:lineRule="exact"/>
              <w:jc w:val="left"/>
              <w:rPr>
                <w:rFonts w:ascii="宋体" w:hAnsi="宋体" w:cs="文星仿宋"/>
                <w:sz w:val="24"/>
              </w:rPr>
            </w:pPr>
            <w:r>
              <w:rPr>
                <w:rFonts w:hint="eastAsia" w:ascii="宋体" w:hAnsi="宋体" w:cs="文星仿宋"/>
                <w:sz w:val="24"/>
              </w:rPr>
              <w:t>小写：</w:t>
            </w:r>
          </w:p>
        </w:tc>
      </w:tr>
    </w:tbl>
    <w:p>
      <w:pPr>
        <w:wordWrap w:val="0"/>
        <w:spacing w:before="38"/>
        <w:ind w:right="909"/>
        <w:jc w:val="left"/>
        <w:rPr>
          <w:rFonts w:hint="eastAsia" w:ascii="宋体" w:eastAsia="宋体"/>
          <w:sz w:val="28"/>
          <w:szCs w:val="28"/>
        </w:rPr>
      </w:pPr>
      <w:r>
        <w:rPr>
          <w:rFonts w:hint="eastAsia" w:ascii="宋体" w:eastAsia="宋体"/>
          <w:sz w:val="28"/>
          <w:szCs w:val="28"/>
        </w:rPr>
        <w:t>注：</w:t>
      </w:r>
      <w:r>
        <w:rPr>
          <w:rFonts w:hint="eastAsia" w:ascii="宋体" w:eastAsia="宋体"/>
          <w:sz w:val="28"/>
          <w:szCs w:val="28"/>
          <w:lang w:val="en-US" w:eastAsia="zh-CN"/>
        </w:rPr>
        <w:t>1.</w:t>
      </w:r>
      <w:r>
        <w:rPr>
          <w:rFonts w:hint="eastAsia" w:ascii="宋体" w:eastAsia="宋体"/>
          <w:sz w:val="28"/>
          <w:szCs w:val="28"/>
        </w:rPr>
        <w:t>投标人应按本表“列”的内容要求逐项认真填报，因填报不完整而引起的投标风险,由投标</w:t>
      </w:r>
      <w:r>
        <w:rPr>
          <w:rFonts w:hint="eastAsia" w:ascii="宋体" w:eastAsia="宋体"/>
          <w:sz w:val="28"/>
          <w:szCs w:val="28"/>
          <w:lang w:eastAsia="zh-CN"/>
        </w:rPr>
        <w:t>供应商自行</w:t>
      </w:r>
      <w:r>
        <w:rPr>
          <w:rFonts w:hint="eastAsia" w:ascii="宋体" w:eastAsia="宋体"/>
          <w:sz w:val="28"/>
          <w:szCs w:val="28"/>
        </w:rPr>
        <w:t>承担。可根据需要自行增减表格行数。</w:t>
      </w:r>
    </w:p>
    <w:p>
      <w:pPr>
        <w:spacing w:line="360" w:lineRule="auto"/>
        <w:ind w:firstLine="560" w:firstLineChars="200"/>
        <w:jc w:val="left"/>
        <w:rPr>
          <w:rFonts w:hint="eastAsia" w:ascii="宋体" w:hAnsi="宋体" w:cs="宋体"/>
          <w:spacing w:val="8"/>
          <w:sz w:val="24"/>
        </w:rPr>
      </w:pPr>
      <w:r>
        <w:rPr>
          <w:rFonts w:hint="eastAsia" w:ascii="宋体" w:hAnsi="宋体"/>
          <w:kern w:val="0"/>
          <w:sz w:val="28"/>
          <w:lang w:val="en-US" w:eastAsia="zh-CN"/>
        </w:rPr>
        <w:t>2.</w:t>
      </w:r>
      <w:r>
        <w:rPr>
          <w:rFonts w:hint="eastAsia" w:ascii="宋体" w:hAnsi="宋体"/>
          <w:kern w:val="0"/>
          <w:sz w:val="28"/>
        </w:rPr>
        <w:t>各单品种合计费用实行包干，包含购买样品产生的费用、检测费用等。</w:t>
      </w:r>
    </w:p>
    <w:p>
      <w:pPr>
        <w:spacing w:line="360" w:lineRule="auto"/>
        <w:jc w:val="left"/>
        <w:rPr>
          <w:rFonts w:hint="eastAsia" w:ascii="宋体" w:hAnsi="宋体" w:cs="宋体"/>
          <w:spacing w:val="8"/>
          <w:sz w:val="24"/>
        </w:rPr>
      </w:pPr>
    </w:p>
    <w:p>
      <w:pPr>
        <w:spacing w:line="360" w:lineRule="auto"/>
        <w:jc w:val="left"/>
        <w:rPr>
          <w:rFonts w:hint="eastAsia" w:ascii="宋体" w:hAnsi="宋体" w:cs="宋体"/>
          <w:spacing w:val="8"/>
          <w:sz w:val="24"/>
        </w:rPr>
      </w:pPr>
    </w:p>
    <w:p>
      <w:pPr>
        <w:spacing w:line="480" w:lineRule="exact"/>
        <w:ind w:firstLine="4677" w:firstLineChars="1426"/>
        <w:jc w:val="left"/>
        <w:rPr>
          <w:rFonts w:ascii="宋体"/>
          <w:spacing w:val="24"/>
          <w:sz w:val="28"/>
          <w:szCs w:val="28"/>
        </w:rPr>
      </w:pPr>
      <w:r>
        <w:rPr>
          <w:rFonts w:hint="eastAsia" w:ascii="宋体" w:hAnsi="宋体"/>
          <w:spacing w:val="24"/>
          <w:sz w:val="28"/>
          <w:szCs w:val="28"/>
        </w:rPr>
        <w:t>磋商供应商：</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单位电子签章</w:t>
      </w:r>
      <w:r>
        <w:rPr>
          <w:rFonts w:hint="eastAsia" w:ascii="宋体" w:hAnsi="宋体"/>
          <w:spacing w:val="24"/>
          <w:sz w:val="28"/>
          <w:szCs w:val="28"/>
        </w:rPr>
        <w:t>）</w:t>
      </w:r>
    </w:p>
    <w:p>
      <w:pPr>
        <w:spacing w:line="480" w:lineRule="exact"/>
        <w:ind w:firstLine="4677" w:firstLineChars="1426"/>
        <w:rPr>
          <w:rFonts w:ascii="宋体"/>
          <w:spacing w:val="24"/>
          <w:sz w:val="28"/>
          <w:szCs w:val="28"/>
        </w:rPr>
      </w:pPr>
      <w:r>
        <w:rPr>
          <w:rFonts w:hint="eastAsia" w:ascii="宋体" w:hAnsi="宋体"/>
          <w:spacing w:val="24"/>
          <w:sz w:val="28"/>
          <w:szCs w:val="28"/>
        </w:rPr>
        <w:t>法定代表人：</w:t>
      </w:r>
      <w:r>
        <w:rPr>
          <w:rFonts w:hint="eastAsia" w:ascii="宋体" w:hAnsi="宋体"/>
          <w:spacing w:val="24"/>
          <w:sz w:val="28"/>
          <w:szCs w:val="28"/>
          <w:u w:val="single"/>
        </w:rPr>
        <w:t xml:space="preserve">         </w:t>
      </w:r>
      <w:r>
        <w:rPr>
          <w:rFonts w:hint="eastAsia" w:ascii="宋体" w:hAnsi="宋体"/>
          <w:spacing w:val="24"/>
          <w:sz w:val="28"/>
          <w:szCs w:val="28"/>
        </w:rPr>
        <w:t>（</w:t>
      </w:r>
      <w:r>
        <w:rPr>
          <w:rFonts w:hint="eastAsia" w:ascii="宋体" w:hAnsi="宋体" w:cs="宋体"/>
          <w:color w:val="000000"/>
          <w:sz w:val="28"/>
          <w:szCs w:val="28"/>
          <w:lang w:val="zh-CN" w:bidi="zh-CN"/>
        </w:rPr>
        <w:t>法人电子签章</w:t>
      </w:r>
      <w:r>
        <w:rPr>
          <w:rFonts w:hint="eastAsia" w:ascii="宋体" w:hAnsi="宋体"/>
          <w:spacing w:val="24"/>
          <w:sz w:val="28"/>
          <w:szCs w:val="28"/>
        </w:rPr>
        <w:t>）</w:t>
      </w:r>
    </w:p>
    <w:p>
      <w:pPr>
        <w:spacing w:line="480" w:lineRule="exact"/>
        <w:ind w:firstLine="4677" w:firstLineChars="1426"/>
        <w:rPr>
          <w:rFonts w:hint="eastAsia" w:ascii="宋体" w:hAnsi="宋体" w:cs="宋体-PUA"/>
          <w:sz w:val="28"/>
          <w:szCs w:val="28"/>
        </w:rPr>
      </w:pPr>
      <w:r>
        <w:rPr>
          <w:rFonts w:hint="eastAsia" w:ascii="宋体" w:hAnsi="宋体"/>
          <w:spacing w:val="24"/>
          <w:sz w:val="28"/>
          <w:szCs w:val="28"/>
        </w:rPr>
        <w:t>日     期：</w:t>
      </w:r>
      <w:r>
        <w:rPr>
          <w:rFonts w:hint="eastAsia" w:ascii="宋体" w:hAnsi="宋体"/>
          <w:spacing w:val="24"/>
          <w:sz w:val="28"/>
          <w:szCs w:val="28"/>
          <w:u w:val="single"/>
        </w:rPr>
        <w:t xml:space="preserve">    </w:t>
      </w:r>
      <w:r>
        <w:rPr>
          <w:rFonts w:hint="eastAsia" w:ascii="宋体" w:hAnsi="宋体"/>
          <w:spacing w:val="24"/>
          <w:sz w:val="28"/>
          <w:szCs w:val="28"/>
        </w:rPr>
        <w:t>年</w:t>
      </w:r>
      <w:r>
        <w:rPr>
          <w:rFonts w:hint="eastAsia" w:ascii="宋体" w:hAnsi="宋体"/>
          <w:spacing w:val="24"/>
          <w:sz w:val="28"/>
          <w:szCs w:val="28"/>
          <w:u w:val="single"/>
        </w:rPr>
        <w:t xml:space="preserve">   </w:t>
      </w:r>
      <w:r>
        <w:rPr>
          <w:rFonts w:hint="eastAsia" w:ascii="宋体" w:hAnsi="宋体"/>
          <w:spacing w:val="24"/>
          <w:sz w:val="28"/>
          <w:szCs w:val="28"/>
        </w:rPr>
        <w:t>月</w:t>
      </w:r>
      <w:r>
        <w:rPr>
          <w:rFonts w:hint="eastAsia" w:ascii="宋体" w:hAnsi="宋体"/>
          <w:spacing w:val="24"/>
          <w:sz w:val="28"/>
          <w:szCs w:val="28"/>
          <w:u w:val="single"/>
        </w:rPr>
        <w:t xml:space="preserve">   </w:t>
      </w:r>
      <w:r>
        <w:rPr>
          <w:rFonts w:hint="eastAsia" w:ascii="宋体" w:hAnsi="宋体"/>
          <w:spacing w:val="24"/>
          <w:sz w:val="28"/>
          <w:szCs w:val="28"/>
        </w:rPr>
        <w:t>日</w:t>
      </w:r>
      <w:bookmarkStart w:id="282" w:name="_Toc68710947"/>
    </w:p>
    <w:p>
      <w:pPr>
        <w:pStyle w:val="3"/>
        <w:spacing w:line="240" w:lineRule="exact"/>
        <w:jc w:val="left"/>
        <w:rPr>
          <w:rFonts w:ascii="宋体" w:hAnsi="宋体" w:eastAsia="宋体" w:cs="宋体-PUA"/>
          <w:sz w:val="24"/>
          <w:szCs w:val="24"/>
        </w:rPr>
        <w:sectPr>
          <w:pgSz w:w="16838" w:h="11906" w:orient="landscape"/>
          <w:pgMar w:top="1418" w:right="1418" w:bottom="1588" w:left="1418" w:header="851" w:footer="771" w:gutter="0"/>
          <w:pgNumType w:fmt="decimal"/>
          <w:cols w:space="720" w:num="1"/>
          <w:docGrid w:linePitch="326" w:charSpace="0"/>
        </w:sectPr>
      </w:pPr>
    </w:p>
    <w:bookmarkEnd w:id="271"/>
    <w:bookmarkEnd w:id="282"/>
    <w:p>
      <w:pPr>
        <w:pStyle w:val="3"/>
        <w:spacing w:line="600" w:lineRule="exact"/>
        <w:jc w:val="center"/>
        <w:rPr>
          <w:rFonts w:ascii="宋体" w:hAnsi="宋体" w:eastAsia="宋体" w:cs="宋体-PUA"/>
          <w:szCs w:val="24"/>
        </w:rPr>
      </w:pPr>
      <w:bookmarkStart w:id="283" w:name="_Toc461977434"/>
      <w:bookmarkStart w:id="284" w:name="_Toc101344080"/>
      <w:bookmarkStart w:id="285" w:name="_Toc31147"/>
      <w:bookmarkStart w:id="286" w:name="_Toc27686"/>
      <w:bookmarkStart w:id="287" w:name="_Toc3714"/>
      <w:bookmarkStart w:id="288" w:name="_Toc68710948"/>
      <w:r>
        <w:rPr>
          <w:rFonts w:hint="eastAsia" w:ascii="宋体" w:hAnsi="宋体" w:eastAsia="宋体" w:cs="宋体-PUA"/>
          <w:szCs w:val="24"/>
        </w:rPr>
        <w:t>五、</w:t>
      </w:r>
      <w:bookmarkEnd w:id="283"/>
      <w:r>
        <w:rPr>
          <w:rFonts w:hint="eastAsia" w:ascii="宋体" w:hAnsi="宋体" w:eastAsia="宋体" w:cs="宋体-PUA"/>
          <w:szCs w:val="24"/>
        </w:rPr>
        <w:t>技术</w:t>
      </w:r>
      <w:bookmarkEnd w:id="284"/>
      <w:r>
        <w:rPr>
          <w:rFonts w:hint="eastAsia" w:ascii="宋体" w:hAnsi="宋体" w:eastAsia="宋体" w:cs="宋体-PUA"/>
          <w:szCs w:val="24"/>
        </w:rPr>
        <w:t>标</w:t>
      </w:r>
      <w:bookmarkEnd w:id="285"/>
      <w:bookmarkEnd w:id="286"/>
    </w:p>
    <w:p>
      <w:pPr>
        <w:pStyle w:val="13"/>
        <w:ind w:firstLine="0" w:firstLineChars="0"/>
        <w:rPr>
          <w:rFonts w:ascii="宋体" w:hAnsi="宋体"/>
          <w:sz w:val="24"/>
          <w:szCs w:val="36"/>
        </w:rPr>
      </w:pPr>
      <w:r>
        <w:rPr>
          <w:rFonts w:hint="eastAsia" w:ascii="宋体" w:hAnsi="宋体" w:cs="宋体"/>
          <w:b/>
          <w:sz w:val="24"/>
        </w:rPr>
        <w:t>1.供应商基本情况表</w:t>
      </w:r>
    </w:p>
    <w:p>
      <w:pPr>
        <w:spacing w:line="300" w:lineRule="auto"/>
        <w:jc w:val="right"/>
        <w:rPr>
          <w:rFonts w:ascii="新宋体" w:hAnsi="新宋体" w:eastAsia="新宋体" w:cs="新宋体"/>
          <w:sz w:val="24"/>
        </w:rPr>
      </w:pPr>
      <w:r>
        <w:rPr>
          <w:rFonts w:hint="eastAsia" w:ascii="新宋体" w:hAnsi="新宋体" w:eastAsia="新宋体" w:cs="新宋体"/>
          <w:sz w:val="24"/>
        </w:rPr>
        <w:t>金额单位：人民币（万元）</w:t>
      </w:r>
    </w:p>
    <w:tbl>
      <w:tblPr>
        <w:tblStyle w:val="15"/>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75"/>
        <w:gridCol w:w="426"/>
        <w:gridCol w:w="425"/>
        <w:gridCol w:w="1701"/>
        <w:gridCol w:w="127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单位名称</w:t>
            </w:r>
          </w:p>
        </w:tc>
        <w:tc>
          <w:tcPr>
            <w:tcW w:w="6513" w:type="dxa"/>
            <w:gridSpan w:val="6"/>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单位地址</w:t>
            </w:r>
          </w:p>
        </w:tc>
        <w:tc>
          <w:tcPr>
            <w:tcW w:w="6513" w:type="dxa"/>
            <w:gridSpan w:val="6"/>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成立时间</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注册资本</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批准部门</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批准文号</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jc w:val="center"/>
              <w:rPr>
                <w:rFonts w:ascii="宋体" w:hAnsi="宋体" w:cs="新宋体"/>
                <w:sz w:val="24"/>
              </w:rPr>
            </w:pPr>
            <w:r>
              <w:rPr>
                <w:rFonts w:hint="eastAsia" w:ascii="宋体" w:hAnsi="宋体" w:cs="新宋体"/>
                <w:sz w:val="24"/>
              </w:rPr>
              <w:t>执业资格</w:t>
            </w:r>
          </w:p>
          <w:p>
            <w:pPr>
              <w:spacing w:line="300" w:lineRule="auto"/>
              <w:jc w:val="center"/>
              <w:rPr>
                <w:rFonts w:ascii="宋体" w:hAnsi="宋体" w:cs="新宋体"/>
                <w:bCs/>
                <w:sz w:val="24"/>
              </w:rPr>
            </w:pPr>
            <w:r>
              <w:rPr>
                <w:rFonts w:hint="eastAsia" w:ascii="宋体" w:hAnsi="宋体" w:cs="新宋体"/>
                <w:sz w:val="24"/>
              </w:rPr>
              <w:t>证书号码</w:t>
            </w:r>
          </w:p>
        </w:tc>
        <w:tc>
          <w:tcPr>
            <w:tcW w:w="2126" w:type="dxa"/>
            <w:gridSpan w:val="3"/>
            <w:noWrap w:val="0"/>
            <w:vAlign w:val="center"/>
          </w:tcPr>
          <w:p>
            <w:pPr>
              <w:spacing w:line="300" w:lineRule="auto"/>
              <w:jc w:val="center"/>
              <w:rPr>
                <w:rFonts w:ascii="宋体" w:hAnsi="宋体" w:cs="新宋体"/>
                <w:bCs/>
                <w:sz w:val="24"/>
              </w:rPr>
            </w:pP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sz w:val="24"/>
              </w:rPr>
              <w:t>营业执照号码</w:t>
            </w:r>
          </w:p>
        </w:tc>
        <w:tc>
          <w:tcPr>
            <w:tcW w:w="2686" w:type="dxa"/>
            <w:gridSpan w:val="2"/>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noWrap w:val="0"/>
            <w:vAlign w:val="center"/>
          </w:tcPr>
          <w:p>
            <w:pPr>
              <w:spacing w:line="300" w:lineRule="auto"/>
              <w:jc w:val="center"/>
              <w:rPr>
                <w:rFonts w:ascii="宋体" w:hAnsi="宋体" w:cs="新宋体"/>
                <w:bCs/>
                <w:sz w:val="24"/>
              </w:rPr>
            </w:pPr>
            <w:r>
              <w:rPr>
                <w:rFonts w:hint="eastAsia" w:ascii="宋体" w:hAnsi="宋体" w:cs="新宋体"/>
                <w:sz w:val="24"/>
              </w:rPr>
              <w:t>联系人</w:t>
            </w:r>
          </w:p>
        </w:tc>
        <w:tc>
          <w:tcPr>
            <w:tcW w:w="1275" w:type="dxa"/>
            <w:noWrap w:val="0"/>
            <w:vAlign w:val="center"/>
          </w:tcPr>
          <w:p>
            <w:pPr>
              <w:spacing w:line="300" w:lineRule="auto"/>
              <w:jc w:val="center"/>
              <w:rPr>
                <w:rFonts w:ascii="宋体" w:hAnsi="宋体" w:cs="新宋体"/>
                <w:bCs/>
                <w:sz w:val="24"/>
              </w:rPr>
            </w:pPr>
          </w:p>
        </w:tc>
        <w:tc>
          <w:tcPr>
            <w:tcW w:w="851" w:type="dxa"/>
            <w:gridSpan w:val="2"/>
            <w:noWrap w:val="0"/>
            <w:vAlign w:val="center"/>
          </w:tcPr>
          <w:p>
            <w:pPr>
              <w:spacing w:line="300" w:lineRule="auto"/>
              <w:jc w:val="center"/>
              <w:rPr>
                <w:rFonts w:ascii="宋体" w:hAnsi="宋体" w:cs="新宋体"/>
                <w:bCs/>
                <w:sz w:val="24"/>
              </w:rPr>
            </w:pPr>
            <w:r>
              <w:rPr>
                <w:rFonts w:hint="eastAsia" w:ascii="宋体" w:hAnsi="宋体" w:cs="新宋体"/>
                <w:sz w:val="24"/>
              </w:rPr>
              <w:t>电话</w:t>
            </w:r>
          </w:p>
        </w:tc>
        <w:tc>
          <w:tcPr>
            <w:tcW w:w="1701" w:type="dxa"/>
            <w:noWrap w:val="0"/>
            <w:vAlign w:val="center"/>
          </w:tcPr>
          <w:p>
            <w:pPr>
              <w:spacing w:line="300" w:lineRule="auto"/>
              <w:jc w:val="center"/>
              <w:rPr>
                <w:rFonts w:ascii="宋体" w:hAnsi="宋体" w:cs="新宋体"/>
                <w:bCs/>
                <w:sz w:val="24"/>
              </w:rPr>
            </w:pPr>
          </w:p>
        </w:tc>
        <w:tc>
          <w:tcPr>
            <w:tcW w:w="1276" w:type="dxa"/>
            <w:noWrap w:val="0"/>
            <w:vAlign w:val="center"/>
          </w:tcPr>
          <w:p>
            <w:pPr>
              <w:spacing w:line="300" w:lineRule="auto"/>
              <w:jc w:val="center"/>
              <w:rPr>
                <w:rFonts w:ascii="宋体" w:hAnsi="宋体" w:cs="新宋体"/>
                <w:bCs/>
                <w:sz w:val="24"/>
              </w:rPr>
            </w:pPr>
            <w:r>
              <w:rPr>
                <w:rFonts w:hint="eastAsia" w:ascii="宋体" w:hAnsi="宋体" w:cs="新宋体"/>
                <w:sz w:val="24"/>
              </w:rPr>
              <w:t>电子邮箱</w:t>
            </w: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27" w:type="dxa"/>
            <w:vMerge w:val="restart"/>
            <w:noWrap w:val="0"/>
            <w:vAlign w:val="center"/>
          </w:tcPr>
          <w:p>
            <w:pPr>
              <w:spacing w:line="300" w:lineRule="auto"/>
              <w:jc w:val="center"/>
              <w:rPr>
                <w:rFonts w:ascii="宋体" w:hAnsi="宋体" w:cs="新宋体"/>
                <w:sz w:val="24"/>
              </w:rPr>
            </w:pPr>
            <w:r>
              <w:rPr>
                <w:rFonts w:hint="eastAsia" w:ascii="宋体" w:hAnsi="宋体" w:cs="新宋体"/>
                <w:sz w:val="24"/>
              </w:rPr>
              <w:t>单位人员</w:t>
            </w:r>
          </w:p>
          <w:p>
            <w:pPr>
              <w:spacing w:line="300" w:lineRule="auto"/>
              <w:jc w:val="center"/>
              <w:rPr>
                <w:rFonts w:ascii="宋体" w:hAnsi="宋体" w:cs="新宋体"/>
                <w:bCs/>
                <w:sz w:val="24"/>
              </w:rPr>
            </w:pPr>
            <w:r>
              <w:rPr>
                <w:rFonts w:hint="eastAsia" w:ascii="宋体" w:hAnsi="宋体" w:cs="新宋体"/>
                <w:sz w:val="24"/>
              </w:rPr>
              <w:t>组成情况</w:t>
            </w:r>
          </w:p>
        </w:tc>
        <w:tc>
          <w:tcPr>
            <w:tcW w:w="1275" w:type="dxa"/>
            <w:vMerge w:val="restart"/>
            <w:noWrap w:val="0"/>
            <w:vAlign w:val="center"/>
          </w:tcPr>
          <w:p>
            <w:pPr>
              <w:spacing w:line="300" w:lineRule="auto"/>
              <w:jc w:val="center"/>
              <w:rPr>
                <w:rFonts w:ascii="宋体" w:hAnsi="宋体" w:cs="新宋体"/>
                <w:bCs/>
                <w:sz w:val="24"/>
              </w:rPr>
            </w:pPr>
            <w:r>
              <w:rPr>
                <w:rFonts w:hint="eastAsia" w:ascii="宋体" w:hAnsi="宋体" w:cs="新宋体"/>
                <w:sz w:val="24"/>
              </w:rPr>
              <w:t>职工总数</w:t>
            </w:r>
          </w:p>
        </w:tc>
        <w:tc>
          <w:tcPr>
            <w:tcW w:w="426" w:type="dxa"/>
            <w:vMerge w:val="restart"/>
            <w:noWrap w:val="0"/>
            <w:vAlign w:val="center"/>
          </w:tcPr>
          <w:p>
            <w:pPr>
              <w:spacing w:line="300" w:lineRule="auto"/>
              <w:jc w:val="center"/>
              <w:rPr>
                <w:rFonts w:ascii="宋体" w:hAnsi="宋体" w:cs="新宋体"/>
                <w:bCs/>
                <w:sz w:val="24"/>
              </w:rPr>
            </w:pPr>
          </w:p>
        </w:tc>
        <w:tc>
          <w:tcPr>
            <w:tcW w:w="425" w:type="dxa"/>
            <w:vMerge w:val="restart"/>
            <w:noWrap w:val="0"/>
            <w:vAlign w:val="center"/>
          </w:tcPr>
          <w:p>
            <w:pPr>
              <w:spacing w:line="300" w:lineRule="auto"/>
              <w:jc w:val="center"/>
              <w:rPr>
                <w:rFonts w:ascii="宋体" w:hAnsi="宋体" w:cs="新宋体"/>
                <w:bCs/>
                <w:sz w:val="24"/>
              </w:rPr>
            </w:pPr>
            <w:r>
              <w:rPr>
                <w:rFonts w:hint="eastAsia" w:ascii="宋体" w:hAnsi="宋体" w:cs="新宋体"/>
                <w:bCs/>
                <w:sz w:val="24"/>
              </w:rPr>
              <w:t>其中</w:t>
            </w:r>
          </w:p>
        </w:tc>
        <w:tc>
          <w:tcPr>
            <w:tcW w:w="1701" w:type="dxa"/>
            <w:noWrap w:val="0"/>
            <w:vAlign w:val="center"/>
          </w:tcPr>
          <w:p>
            <w:pPr>
              <w:spacing w:line="300" w:lineRule="auto"/>
              <w:jc w:val="center"/>
              <w:rPr>
                <w:rFonts w:ascii="宋体" w:hAnsi="宋体" w:cs="新宋体"/>
                <w:bCs/>
                <w:sz w:val="24"/>
              </w:rPr>
            </w:pPr>
            <w:r>
              <w:rPr>
                <w:rFonts w:hint="eastAsia" w:ascii="宋体" w:hAnsi="宋体" w:cs="新宋体"/>
                <w:bCs/>
                <w:sz w:val="24"/>
              </w:rPr>
              <w:t>类别</w:t>
            </w:r>
          </w:p>
        </w:tc>
        <w:tc>
          <w:tcPr>
            <w:tcW w:w="1276" w:type="dxa"/>
            <w:noWrap w:val="0"/>
            <w:vAlign w:val="center"/>
          </w:tcPr>
          <w:p>
            <w:pPr>
              <w:spacing w:line="300" w:lineRule="auto"/>
              <w:jc w:val="center"/>
              <w:rPr>
                <w:rFonts w:ascii="宋体" w:hAnsi="宋体" w:cs="新宋体"/>
                <w:bCs/>
                <w:sz w:val="24"/>
              </w:rPr>
            </w:pPr>
            <w:r>
              <w:rPr>
                <w:rFonts w:hint="eastAsia" w:ascii="宋体" w:hAnsi="宋体" w:cs="新宋体"/>
                <w:sz w:val="24"/>
              </w:rPr>
              <w:t>数量</w:t>
            </w:r>
          </w:p>
        </w:tc>
        <w:tc>
          <w:tcPr>
            <w:tcW w:w="1410" w:type="dxa"/>
            <w:noWrap w:val="0"/>
            <w:vAlign w:val="center"/>
          </w:tcPr>
          <w:p>
            <w:pPr>
              <w:spacing w:line="300" w:lineRule="auto"/>
              <w:jc w:val="center"/>
              <w:rPr>
                <w:rFonts w:ascii="宋体" w:hAnsi="宋体" w:cs="新宋体"/>
                <w:bCs/>
                <w:sz w:val="24"/>
              </w:rPr>
            </w:pPr>
            <w:r>
              <w:rPr>
                <w:rFonts w:hint="eastAsia" w:ascii="宋体" w:hAnsi="宋体" w:cs="新宋体"/>
                <w:bCs/>
                <w:sz w:val="24"/>
              </w:rPr>
              <w:t>占职工总数的</w:t>
            </w:r>
            <w:r>
              <w:rPr>
                <w:rFonts w:ascii="宋体" w:hAnsi="宋体" w:cs="新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食品检验</w:t>
            </w:r>
          </w:p>
          <w:p>
            <w:pPr>
              <w:spacing w:line="276" w:lineRule="auto"/>
              <w:jc w:val="center"/>
              <w:rPr>
                <w:rFonts w:ascii="宋体" w:hAnsi="宋体" w:cs="新宋体"/>
                <w:sz w:val="24"/>
              </w:rPr>
            </w:pPr>
            <w:r>
              <w:rPr>
                <w:rFonts w:hint="eastAsia" w:ascii="宋体" w:hAnsi="宋体" w:cs="新宋体"/>
                <w:sz w:val="24"/>
              </w:rPr>
              <w:t>专业人员</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高级职称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中级职称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127" w:type="dxa"/>
            <w:vMerge w:val="continue"/>
            <w:noWrap w:val="0"/>
            <w:vAlign w:val="center"/>
          </w:tcPr>
          <w:p>
            <w:pPr>
              <w:spacing w:line="300" w:lineRule="auto"/>
              <w:jc w:val="center"/>
              <w:rPr>
                <w:rFonts w:ascii="宋体" w:hAnsi="宋体" w:cs="新宋体"/>
                <w:sz w:val="24"/>
              </w:rPr>
            </w:pPr>
          </w:p>
        </w:tc>
        <w:tc>
          <w:tcPr>
            <w:tcW w:w="1275" w:type="dxa"/>
            <w:vMerge w:val="continue"/>
            <w:noWrap w:val="0"/>
            <w:vAlign w:val="center"/>
          </w:tcPr>
          <w:p>
            <w:pPr>
              <w:spacing w:line="300" w:lineRule="auto"/>
              <w:jc w:val="center"/>
              <w:rPr>
                <w:rFonts w:ascii="宋体" w:hAnsi="宋体" w:cs="新宋体"/>
                <w:sz w:val="24"/>
              </w:rPr>
            </w:pPr>
          </w:p>
        </w:tc>
        <w:tc>
          <w:tcPr>
            <w:tcW w:w="426" w:type="dxa"/>
            <w:vMerge w:val="continue"/>
            <w:noWrap w:val="0"/>
            <w:vAlign w:val="center"/>
          </w:tcPr>
          <w:p>
            <w:pPr>
              <w:spacing w:line="300" w:lineRule="auto"/>
              <w:jc w:val="center"/>
              <w:rPr>
                <w:rFonts w:ascii="宋体" w:hAnsi="宋体" w:cs="新宋体"/>
                <w:bCs/>
                <w:sz w:val="24"/>
              </w:rPr>
            </w:pPr>
          </w:p>
        </w:tc>
        <w:tc>
          <w:tcPr>
            <w:tcW w:w="425" w:type="dxa"/>
            <w:vMerge w:val="continue"/>
            <w:noWrap w:val="0"/>
            <w:vAlign w:val="center"/>
          </w:tcPr>
          <w:p>
            <w:pPr>
              <w:spacing w:line="300" w:lineRule="auto"/>
              <w:jc w:val="center"/>
              <w:rPr>
                <w:rFonts w:ascii="宋体" w:hAnsi="宋体" w:cs="新宋体"/>
                <w:bCs/>
                <w:sz w:val="24"/>
              </w:rPr>
            </w:pPr>
          </w:p>
        </w:tc>
        <w:tc>
          <w:tcPr>
            <w:tcW w:w="1701" w:type="dxa"/>
            <w:noWrap w:val="0"/>
            <w:vAlign w:val="center"/>
          </w:tcPr>
          <w:p>
            <w:pPr>
              <w:spacing w:line="276" w:lineRule="auto"/>
              <w:jc w:val="center"/>
              <w:rPr>
                <w:rFonts w:ascii="宋体" w:hAnsi="宋体" w:cs="新宋体"/>
                <w:sz w:val="24"/>
              </w:rPr>
            </w:pPr>
            <w:r>
              <w:rPr>
                <w:rFonts w:hint="eastAsia" w:ascii="宋体" w:hAnsi="宋体" w:cs="新宋体"/>
                <w:sz w:val="24"/>
              </w:rPr>
              <w:t>初级职称</w:t>
            </w:r>
          </w:p>
          <w:p>
            <w:pPr>
              <w:spacing w:line="276" w:lineRule="auto"/>
              <w:jc w:val="center"/>
              <w:rPr>
                <w:rFonts w:ascii="宋体" w:hAnsi="宋体" w:cs="新宋体"/>
                <w:sz w:val="24"/>
              </w:rPr>
            </w:pPr>
            <w:r>
              <w:rPr>
                <w:rFonts w:hint="eastAsia" w:ascii="宋体" w:hAnsi="宋体" w:cs="新宋体"/>
                <w:sz w:val="24"/>
              </w:rPr>
              <w:t>专业人员数量</w:t>
            </w:r>
          </w:p>
        </w:tc>
        <w:tc>
          <w:tcPr>
            <w:tcW w:w="1276" w:type="dxa"/>
            <w:noWrap w:val="0"/>
            <w:vAlign w:val="center"/>
          </w:tcPr>
          <w:p>
            <w:pPr>
              <w:spacing w:line="300" w:lineRule="auto"/>
              <w:jc w:val="center"/>
              <w:rPr>
                <w:rFonts w:ascii="宋体" w:hAnsi="宋体" w:cs="新宋体"/>
                <w:bCs/>
                <w:sz w:val="24"/>
              </w:rPr>
            </w:pPr>
          </w:p>
        </w:tc>
        <w:tc>
          <w:tcPr>
            <w:tcW w:w="1410" w:type="dxa"/>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2127" w:type="dxa"/>
            <w:vMerge w:val="restart"/>
            <w:noWrap w:val="0"/>
            <w:vAlign w:val="center"/>
          </w:tcPr>
          <w:p>
            <w:pPr>
              <w:spacing w:line="300" w:lineRule="auto"/>
              <w:jc w:val="center"/>
              <w:rPr>
                <w:rFonts w:ascii="宋体" w:hAnsi="宋体" w:cs="新宋体"/>
                <w:sz w:val="24"/>
              </w:rPr>
            </w:pPr>
            <w:r>
              <w:rPr>
                <w:rFonts w:hint="eastAsia" w:ascii="宋体" w:hAnsi="宋体" w:cs="新宋体"/>
                <w:sz w:val="24"/>
              </w:rPr>
              <w:t>与政府部门签订委托食品安全检验合同数量与</w:t>
            </w:r>
          </w:p>
          <w:p>
            <w:pPr>
              <w:spacing w:line="300" w:lineRule="auto"/>
              <w:jc w:val="center"/>
              <w:rPr>
                <w:rFonts w:ascii="宋体" w:hAnsi="宋体" w:cs="新宋体"/>
                <w:bCs/>
                <w:sz w:val="24"/>
              </w:rPr>
            </w:pPr>
            <w:r>
              <w:rPr>
                <w:rFonts w:hint="eastAsia" w:ascii="宋体" w:hAnsi="宋体" w:cs="新宋体"/>
                <w:sz w:val="24"/>
              </w:rPr>
              <w:t>合同金额总额</w:t>
            </w: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21</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22</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sz w:val="24"/>
              </w:rPr>
            </w:pPr>
            <w:r>
              <w:rPr>
                <w:rFonts w:ascii="宋体" w:hAnsi="宋体" w:cs="新宋体"/>
                <w:sz w:val="24"/>
              </w:rPr>
              <w:t>20</w:t>
            </w:r>
            <w:r>
              <w:rPr>
                <w:rFonts w:hint="eastAsia" w:ascii="宋体" w:hAnsi="宋体" w:cs="新宋体"/>
                <w:sz w:val="24"/>
              </w:rPr>
              <w:t>2</w:t>
            </w:r>
            <w:r>
              <w:rPr>
                <w:rFonts w:hint="eastAsia" w:ascii="宋体" w:hAnsi="宋体" w:cs="新宋体"/>
                <w:sz w:val="24"/>
                <w:lang w:val="en-US" w:eastAsia="zh-CN"/>
              </w:rPr>
              <w:t>3</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2127" w:type="dxa"/>
            <w:vMerge w:val="restart"/>
            <w:noWrap w:val="0"/>
            <w:vAlign w:val="center"/>
          </w:tcPr>
          <w:p>
            <w:pPr>
              <w:spacing w:line="300" w:lineRule="auto"/>
              <w:jc w:val="center"/>
              <w:rPr>
                <w:rFonts w:ascii="宋体" w:hAnsi="宋体" w:cs="新宋体"/>
                <w:bCs/>
                <w:sz w:val="24"/>
              </w:rPr>
            </w:pPr>
            <w:r>
              <w:rPr>
                <w:rFonts w:hint="eastAsia" w:ascii="宋体" w:hAnsi="宋体" w:cs="新宋体"/>
                <w:sz w:val="24"/>
              </w:rPr>
              <w:t>完成政府部门委托食品安全检验的批次、项目数量</w:t>
            </w: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21</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bCs/>
                <w:sz w:val="24"/>
              </w:rPr>
            </w:pPr>
            <w:r>
              <w:rPr>
                <w:rFonts w:ascii="宋体" w:hAnsi="宋体" w:cs="新宋体"/>
                <w:sz w:val="24"/>
              </w:rPr>
              <w:t>20</w:t>
            </w:r>
            <w:r>
              <w:rPr>
                <w:rFonts w:hint="eastAsia" w:ascii="宋体" w:hAnsi="宋体" w:cs="新宋体"/>
                <w:sz w:val="24"/>
                <w:lang w:val="en-US" w:eastAsia="zh-CN"/>
              </w:rPr>
              <w:t>22</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2127" w:type="dxa"/>
            <w:vMerge w:val="continue"/>
            <w:noWrap w:val="0"/>
            <w:vAlign w:val="center"/>
          </w:tcPr>
          <w:p>
            <w:pPr>
              <w:spacing w:line="300" w:lineRule="auto"/>
              <w:jc w:val="center"/>
              <w:rPr>
                <w:rFonts w:ascii="宋体" w:hAnsi="宋体" w:cs="新宋体"/>
                <w:bCs/>
                <w:sz w:val="24"/>
              </w:rPr>
            </w:pPr>
          </w:p>
        </w:tc>
        <w:tc>
          <w:tcPr>
            <w:tcW w:w="1275" w:type="dxa"/>
            <w:noWrap w:val="0"/>
            <w:vAlign w:val="center"/>
          </w:tcPr>
          <w:p>
            <w:pPr>
              <w:spacing w:line="300" w:lineRule="auto"/>
              <w:jc w:val="center"/>
              <w:rPr>
                <w:rFonts w:ascii="宋体" w:hAnsi="宋体" w:cs="新宋体"/>
                <w:sz w:val="24"/>
              </w:rPr>
            </w:pPr>
            <w:r>
              <w:rPr>
                <w:rFonts w:ascii="宋体" w:hAnsi="宋体" w:cs="新宋体"/>
                <w:sz w:val="24"/>
              </w:rPr>
              <w:t>20</w:t>
            </w:r>
            <w:r>
              <w:rPr>
                <w:rFonts w:hint="eastAsia" w:ascii="宋体" w:hAnsi="宋体" w:cs="新宋体"/>
                <w:sz w:val="24"/>
              </w:rPr>
              <w:t>2</w:t>
            </w:r>
            <w:r>
              <w:rPr>
                <w:rFonts w:hint="eastAsia" w:ascii="宋体" w:hAnsi="宋体" w:cs="新宋体"/>
                <w:sz w:val="24"/>
                <w:lang w:val="en-US" w:eastAsia="zh-CN"/>
              </w:rPr>
              <w:t>3</w:t>
            </w:r>
            <w:r>
              <w:rPr>
                <w:rFonts w:hint="eastAsia" w:ascii="宋体" w:hAnsi="宋体" w:cs="新宋体"/>
                <w:sz w:val="24"/>
              </w:rPr>
              <w:t>年度</w:t>
            </w:r>
          </w:p>
        </w:tc>
        <w:tc>
          <w:tcPr>
            <w:tcW w:w="5238" w:type="dxa"/>
            <w:gridSpan w:val="5"/>
            <w:noWrap w:val="0"/>
            <w:vAlign w:val="center"/>
          </w:tcPr>
          <w:p>
            <w:pPr>
              <w:spacing w:line="300" w:lineRule="auto"/>
              <w:jc w:val="center"/>
              <w:rPr>
                <w:rFonts w:ascii="宋体" w:hAnsi="宋体" w:cs="新宋体"/>
                <w:bCs/>
                <w:sz w:val="24"/>
              </w:rPr>
            </w:pPr>
          </w:p>
        </w:tc>
      </w:tr>
    </w:tbl>
    <w:p>
      <w:pPr>
        <w:rPr>
          <w:rFonts w:ascii="新宋体" w:hAnsi="新宋体" w:eastAsia="新宋体" w:cs="新宋体"/>
          <w:szCs w:val="21"/>
        </w:rPr>
      </w:pPr>
    </w:p>
    <w:p>
      <w:pPr>
        <w:spacing w:line="360" w:lineRule="auto"/>
        <w:ind w:firstLine="3312" w:firstLineChars="11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312" w:firstLineChars="11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pStyle w:val="13"/>
        <w:spacing w:line="360" w:lineRule="auto"/>
        <w:ind w:firstLine="0" w:firstLineChars="0"/>
        <w:rPr>
          <w:rFonts w:ascii="宋体" w:hAnsi="宋体" w:cs="宋体"/>
          <w:b/>
          <w:sz w:val="24"/>
        </w:rPr>
      </w:pPr>
      <w:r>
        <w:rPr>
          <w:rFonts w:ascii="新宋体" w:hAnsi="新宋体" w:eastAsia="新宋体" w:cs="新宋体"/>
          <w:bCs/>
          <w:kern w:val="2"/>
          <w:sz w:val="32"/>
          <w:szCs w:val="32"/>
        </w:rPr>
        <w:br w:type="page"/>
      </w:r>
      <w:r>
        <w:rPr>
          <w:rFonts w:hint="eastAsia" w:ascii="宋体" w:hAnsi="宋体" w:cs="宋体"/>
          <w:b/>
          <w:sz w:val="24"/>
        </w:rPr>
        <w:t>2.仪器设备一览表</w:t>
      </w:r>
    </w:p>
    <w:tbl>
      <w:tblPr>
        <w:tblStyle w:val="1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1276"/>
        <w:gridCol w:w="1171"/>
        <w:gridCol w:w="955"/>
        <w:gridCol w:w="127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10"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1275"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设备名称</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品牌型号</w:t>
            </w:r>
          </w:p>
        </w:tc>
        <w:tc>
          <w:tcPr>
            <w:tcW w:w="1171"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功能及用途</w:t>
            </w:r>
          </w:p>
        </w:tc>
        <w:tc>
          <w:tcPr>
            <w:tcW w:w="955"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序列号</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购进票据</w:t>
            </w:r>
          </w:p>
        </w:tc>
        <w:tc>
          <w:tcPr>
            <w:tcW w:w="1276"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来源渠道</w:t>
            </w:r>
          </w:p>
        </w:tc>
        <w:tc>
          <w:tcPr>
            <w:tcW w:w="992" w:type="dxa"/>
            <w:noWrap w:val="0"/>
            <w:vAlign w:val="center"/>
          </w:tcPr>
          <w:p>
            <w:pPr>
              <w:jc w:val="center"/>
              <w:rPr>
                <w:rFonts w:ascii="新宋体" w:hAnsi="新宋体" w:eastAsia="新宋体" w:cs="新宋体"/>
                <w:b/>
                <w:bCs/>
                <w:sz w:val="32"/>
                <w:szCs w:val="32"/>
              </w:rPr>
            </w:pPr>
            <w:r>
              <w:rPr>
                <w:rFonts w:hint="eastAsia" w:ascii="新宋体" w:hAnsi="新宋体" w:eastAsia="新宋体" w:cs="新宋体"/>
                <w:sz w:val="24"/>
              </w:rPr>
              <w:t>投入使用日期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vAlign w:val="top"/>
          </w:tcPr>
          <w:p>
            <w:pPr>
              <w:jc w:val="center"/>
              <w:rPr>
                <w:rFonts w:ascii="新宋体" w:hAnsi="新宋体" w:eastAsia="新宋体" w:cs="新宋体"/>
                <w:b/>
                <w:bCs/>
                <w:sz w:val="32"/>
                <w:szCs w:val="32"/>
              </w:rPr>
            </w:pPr>
          </w:p>
        </w:tc>
        <w:tc>
          <w:tcPr>
            <w:tcW w:w="127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171" w:type="dxa"/>
            <w:noWrap w:val="0"/>
            <w:vAlign w:val="top"/>
          </w:tcPr>
          <w:p>
            <w:pPr>
              <w:jc w:val="center"/>
              <w:rPr>
                <w:rFonts w:ascii="新宋体" w:hAnsi="新宋体" w:eastAsia="新宋体" w:cs="新宋体"/>
                <w:b/>
                <w:bCs/>
                <w:sz w:val="32"/>
                <w:szCs w:val="32"/>
              </w:rPr>
            </w:pPr>
          </w:p>
        </w:tc>
        <w:tc>
          <w:tcPr>
            <w:tcW w:w="955"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1276" w:type="dxa"/>
            <w:noWrap w:val="0"/>
            <w:vAlign w:val="top"/>
          </w:tcPr>
          <w:p>
            <w:pPr>
              <w:jc w:val="center"/>
              <w:rPr>
                <w:rFonts w:ascii="新宋体" w:hAnsi="新宋体" w:eastAsia="新宋体" w:cs="新宋体"/>
                <w:b/>
                <w:bCs/>
                <w:sz w:val="32"/>
                <w:szCs w:val="32"/>
              </w:rPr>
            </w:pPr>
          </w:p>
        </w:tc>
        <w:tc>
          <w:tcPr>
            <w:tcW w:w="992" w:type="dxa"/>
            <w:noWrap w:val="0"/>
            <w:vAlign w:val="top"/>
          </w:tcPr>
          <w:p>
            <w:pPr>
              <w:jc w:val="center"/>
              <w:rPr>
                <w:rFonts w:ascii="新宋体" w:hAnsi="新宋体" w:eastAsia="新宋体" w:cs="新宋体"/>
                <w:b/>
                <w:bCs/>
                <w:sz w:val="32"/>
                <w:szCs w:val="32"/>
              </w:rPr>
            </w:pPr>
          </w:p>
        </w:tc>
      </w:tr>
    </w:tbl>
    <w:p>
      <w:pPr>
        <w:spacing w:line="360" w:lineRule="auto"/>
        <w:rPr>
          <w:rFonts w:ascii="新宋体" w:hAnsi="新宋体" w:eastAsia="新宋体" w:cs="新宋体"/>
          <w:bCs/>
          <w:sz w:val="24"/>
        </w:rPr>
      </w:pPr>
      <w:r>
        <w:rPr>
          <w:rFonts w:hint="eastAsia" w:ascii="新宋体" w:hAnsi="新宋体" w:eastAsia="新宋体" w:cs="新宋体"/>
          <w:bCs/>
          <w:sz w:val="24"/>
        </w:rPr>
        <w:t>注：</w:t>
      </w:r>
    </w:p>
    <w:p>
      <w:pPr>
        <w:spacing w:line="360" w:lineRule="auto"/>
        <w:rPr>
          <w:rFonts w:ascii="新宋体" w:hAnsi="新宋体" w:eastAsia="新宋体" w:cs="新宋体"/>
          <w:bCs/>
          <w:sz w:val="24"/>
        </w:rPr>
      </w:pPr>
      <w:r>
        <w:rPr>
          <w:rFonts w:ascii="新宋体" w:hAnsi="新宋体" w:eastAsia="新宋体" w:cs="新宋体"/>
          <w:bCs/>
          <w:sz w:val="24"/>
        </w:rPr>
        <w:t>1</w:t>
      </w:r>
      <w:r>
        <w:rPr>
          <w:rFonts w:hint="eastAsia" w:ascii="新宋体" w:hAnsi="新宋体" w:eastAsia="新宋体" w:cs="新宋体"/>
          <w:bCs/>
          <w:sz w:val="24"/>
        </w:rPr>
        <w:t>、上述设备有实物照片，且照片上应显示序列号和品牌型号，并与所提供的内容一致，如不一致，将导致磋商被拒绝。</w:t>
      </w:r>
    </w:p>
    <w:p>
      <w:pPr>
        <w:spacing w:line="360" w:lineRule="auto"/>
        <w:rPr>
          <w:rFonts w:ascii="新宋体" w:hAnsi="新宋体" w:eastAsia="新宋体" w:cs="新宋体"/>
          <w:bCs/>
          <w:sz w:val="24"/>
        </w:rPr>
      </w:pPr>
      <w:r>
        <w:rPr>
          <w:rFonts w:ascii="新宋体" w:hAnsi="新宋体" w:eastAsia="新宋体" w:cs="新宋体"/>
          <w:bCs/>
          <w:sz w:val="24"/>
        </w:rPr>
        <w:t>2</w:t>
      </w:r>
      <w:r>
        <w:rPr>
          <w:rFonts w:hint="eastAsia" w:ascii="新宋体" w:hAnsi="新宋体" w:eastAsia="新宋体" w:cs="新宋体"/>
          <w:bCs/>
          <w:sz w:val="24"/>
        </w:rPr>
        <w:t>、购进票据应按上表顺序提供。</w:t>
      </w:r>
    </w:p>
    <w:p>
      <w:pPr>
        <w:spacing w:line="360" w:lineRule="auto"/>
        <w:jc w:val="center"/>
        <w:rPr>
          <w:rFonts w:ascii="新宋体" w:hAnsi="新宋体" w:eastAsia="新宋体" w:cs="新宋体"/>
          <w:b/>
          <w:bCs/>
          <w:sz w:val="32"/>
          <w:szCs w:val="32"/>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pStyle w:val="13"/>
        <w:spacing w:line="360" w:lineRule="auto"/>
        <w:ind w:firstLine="0" w:firstLineChars="0"/>
        <w:rPr>
          <w:rFonts w:ascii="宋体" w:hAnsi="宋体" w:cs="宋体"/>
          <w:b/>
          <w:sz w:val="24"/>
        </w:rPr>
      </w:pPr>
      <w:r>
        <w:rPr>
          <w:rFonts w:ascii="新宋体" w:hAnsi="新宋体" w:eastAsia="新宋体" w:cs="新宋体"/>
          <w:kern w:val="2"/>
          <w:sz w:val="24"/>
          <w:szCs w:val="24"/>
        </w:rPr>
        <w:br w:type="page"/>
      </w:r>
      <w:r>
        <w:rPr>
          <w:rFonts w:hint="eastAsia" w:ascii="宋体" w:hAnsi="宋体" w:cs="宋体"/>
          <w:b/>
          <w:sz w:val="24"/>
        </w:rPr>
        <w:t>3.实验室情况一览表</w:t>
      </w:r>
    </w:p>
    <w:tbl>
      <w:tblPr>
        <w:tblStyle w:val="1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1985"/>
        <w:gridCol w:w="1866"/>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42"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1843"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实验室名称</w:t>
            </w:r>
          </w:p>
        </w:tc>
        <w:tc>
          <w:tcPr>
            <w:tcW w:w="1985"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186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负责人</w:t>
            </w:r>
          </w:p>
        </w:tc>
        <w:tc>
          <w:tcPr>
            <w:tcW w:w="1580"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noWrap w:val="0"/>
            <w:vAlign w:val="top"/>
          </w:tcPr>
          <w:p>
            <w:pPr>
              <w:jc w:val="center"/>
              <w:rPr>
                <w:rFonts w:ascii="新宋体" w:hAnsi="新宋体" w:eastAsia="新宋体" w:cs="新宋体"/>
                <w:b/>
                <w:bCs/>
                <w:sz w:val="32"/>
                <w:szCs w:val="32"/>
              </w:rPr>
            </w:pPr>
          </w:p>
        </w:tc>
        <w:tc>
          <w:tcPr>
            <w:tcW w:w="1843" w:type="dxa"/>
            <w:noWrap w:val="0"/>
            <w:vAlign w:val="top"/>
          </w:tcPr>
          <w:p>
            <w:pPr>
              <w:jc w:val="center"/>
              <w:rPr>
                <w:rFonts w:ascii="新宋体" w:hAnsi="新宋体" w:eastAsia="新宋体" w:cs="新宋体"/>
                <w:b/>
                <w:bCs/>
                <w:sz w:val="32"/>
                <w:szCs w:val="32"/>
              </w:rPr>
            </w:pPr>
          </w:p>
        </w:tc>
        <w:tc>
          <w:tcPr>
            <w:tcW w:w="1985" w:type="dxa"/>
            <w:noWrap w:val="0"/>
            <w:vAlign w:val="top"/>
          </w:tcPr>
          <w:p>
            <w:pPr>
              <w:jc w:val="center"/>
              <w:rPr>
                <w:rFonts w:ascii="新宋体" w:hAnsi="新宋体" w:eastAsia="新宋体" w:cs="新宋体"/>
                <w:b/>
                <w:bCs/>
                <w:sz w:val="32"/>
                <w:szCs w:val="32"/>
              </w:rPr>
            </w:pPr>
          </w:p>
        </w:tc>
        <w:tc>
          <w:tcPr>
            <w:tcW w:w="1866" w:type="dxa"/>
            <w:noWrap w:val="0"/>
            <w:vAlign w:val="top"/>
          </w:tcPr>
          <w:p>
            <w:pPr>
              <w:jc w:val="center"/>
              <w:rPr>
                <w:rFonts w:ascii="新宋体" w:hAnsi="新宋体" w:eastAsia="新宋体" w:cs="新宋体"/>
                <w:b/>
                <w:bCs/>
                <w:sz w:val="32"/>
                <w:szCs w:val="32"/>
              </w:rPr>
            </w:pPr>
          </w:p>
        </w:tc>
        <w:tc>
          <w:tcPr>
            <w:tcW w:w="1580" w:type="dxa"/>
            <w:noWrap w:val="0"/>
            <w:vAlign w:val="top"/>
          </w:tcPr>
          <w:p>
            <w:pPr>
              <w:jc w:val="center"/>
              <w:rPr>
                <w:rFonts w:ascii="新宋体" w:hAnsi="新宋体" w:eastAsia="新宋体" w:cs="新宋体"/>
                <w:b/>
                <w:bCs/>
                <w:sz w:val="32"/>
                <w:szCs w:val="32"/>
              </w:rPr>
            </w:pPr>
          </w:p>
        </w:tc>
      </w:tr>
    </w:tbl>
    <w:p>
      <w:pPr>
        <w:rPr>
          <w:rFonts w:ascii="新宋体" w:hAnsi="新宋体" w:eastAsia="新宋体" w:cs="新宋体"/>
          <w:bCs/>
          <w:sz w:val="24"/>
        </w:rPr>
      </w:pPr>
    </w:p>
    <w:p>
      <w:pPr>
        <w:rPr>
          <w:rFonts w:ascii="新宋体" w:hAnsi="新宋体" w:eastAsia="新宋体" w:cs="新宋体"/>
          <w:bCs/>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sz w:val="24"/>
        </w:rPr>
        <w:br w:type="page"/>
      </w:r>
      <w:r>
        <w:rPr>
          <w:rFonts w:hint="eastAsia" w:ascii="宋体" w:hAnsi="宋体" w:cs="宋体"/>
          <w:b/>
          <w:kern w:val="0"/>
          <w:sz w:val="24"/>
          <w:szCs w:val="20"/>
        </w:rPr>
        <w:t>4.样品存放主要设施设备情况一览表</w:t>
      </w:r>
    </w:p>
    <w:tbl>
      <w:tblPr>
        <w:tblStyle w:val="15"/>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05"/>
        <w:gridCol w:w="1703"/>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2305"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设施名称</w:t>
            </w:r>
          </w:p>
        </w:tc>
        <w:tc>
          <w:tcPr>
            <w:tcW w:w="1703"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3221"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可保存样品的种类、数量</w:t>
            </w:r>
          </w:p>
          <w:p>
            <w:pPr>
              <w:jc w:val="center"/>
              <w:rPr>
                <w:rFonts w:ascii="新宋体" w:hAnsi="新宋体" w:eastAsia="新宋体" w:cs="新宋体"/>
                <w:bCs/>
                <w:sz w:val="24"/>
              </w:rPr>
            </w:pPr>
            <w:r>
              <w:rPr>
                <w:rFonts w:hint="eastAsia" w:ascii="新宋体" w:hAnsi="新宋体" w:eastAsia="新宋体" w:cs="新宋体"/>
                <w:bCs/>
                <w:sz w:val="24"/>
              </w:rPr>
              <w:t>（以每立方米为计算单位）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tcBorders>
              <w:top w:val="single" w:color="auto" w:sz="4" w:space="0"/>
            </w:tcBorders>
            <w:noWrap w:val="0"/>
            <w:vAlign w:val="top"/>
          </w:tcPr>
          <w:p>
            <w:pPr>
              <w:jc w:val="center"/>
              <w:rPr>
                <w:rFonts w:ascii="新宋体" w:hAnsi="新宋体" w:eastAsia="新宋体" w:cs="新宋体"/>
                <w:b/>
                <w:bCs/>
                <w:sz w:val="32"/>
                <w:szCs w:val="32"/>
              </w:rPr>
            </w:pPr>
          </w:p>
        </w:tc>
        <w:tc>
          <w:tcPr>
            <w:tcW w:w="3221" w:type="dxa"/>
            <w:tcBorders>
              <w:top w:val="single" w:color="auto" w:sz="4" w:space="0"/>
            </w:tcBorders>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top"/>
          </w:tcPr>
          <w:p>
            <w:pPr>
              <w:jc w:val="center"/>
              <w:rPr>
                <w:rFonts w:ascii="新宋体" w:hAnsi="新宋体" w:eastAsia="新宋体" w:cs="新宋体"/>
                <w:b/>
                <w:bCs/>
                <w:sz w:val="32"/>
                <w:szCs w:val="32"/>
              </w:rPr>
            </w:pPr>
          </w:p>
        </w:tc>
        <w:tc>
          <w:tcPr>
            <w:tcW w:w="2305" w:type="dxa"/>
            <w:noWrap w:val="0"/>
            <w:vAlign w:val="top"/>
          </w:tcPr>
          <w:p>
            <w:pPr>
              <w:jc w:val="center"/>
              <w:rPr>
                <w:rFonts w:ascii="新宋体" w:hAnsi="新宋体" w:eastAsia="新宋体" w:cs="新宋体"/>
                <w:b/>
                <w:bCs/>
                <w:sz w:val="32"/>
                <w:szCs w:val="32"/>
              </w:rPr>
            </w:pPr>
          </w:p>
        </w:tc>
        <w:tc>
          <w:tcPr>
            <w:tcW w:w="1703" w:type="dxa"/>
            <w:noWrap w:val="0"/>
            <w:vAlign w:val="top"/>
          </w:tcPr>
          <w:p>
            <w:pPr>
              <w:jc w:val="center"/>
              <w:rPr>
                <w:rFonts w:ascii="新宋体" w:hAnsi="新宋体" w:eastAsia="新宋体" w:cs="新宋体"/>
                <w:b/>
                <w:bCs/>
                <w:sz w:val="32"/>
                <w:szCs w:val="32"/>
              </w:rPr>
            </w:pPr>
          </w:p>
        </w:tc>
        <w:tc>
          <w:tcPr>
            <w:tcW w:w="3221" w:type="dxa"/>
            <w:noWrap w:val="0"/>
            <w:vAlign w:val="top"/>
          </w:tcPr>
          <w:p>
            <w:pPr>
              <w:jc w:val="center"/>
              <w:rPr>
                <w:rFonts w:ascii="新宋体" w:hAnsi="新宋体" w:eastAsia="新宋体" w:cs="新宋体"/>
                <w:b/>
                <w:bCs/>
                <w:sz w:val="32"/>
                <w:szCs w:val="32"/>
              </w:rPr>
            </w:pPr>
          </w:p>
        </w:tc>
      </w:tr>
    </w:tbl>
    <w:p>
      <w:pPr>
        <w:jc w:val="center"/>
        <w:rPr>
          <w:rFonts w:ascii="新宋体" w:hAnsi="新宋体" w:eastAsia="新宋体" w:cs="新宋体"/>
          <w:b/>
          <w:bCs/>
          <w:sz w:val="32"/>
          <w:szCs w:val="32"/>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color w:val="FF0000"/>
          <w:sz w:val="24"/>
        </w:rPr>
        <w:br w:type="page"/>
      </w:r>
      <w:r>
        <w:rPr>
          <w:rFonts w:hint="eastAsia" w:ascii="宋体" w:hAnsi="宋体" w:cs="宋体"/>
          <w:b/>
          <w:kern w:val="0"/>
          <w:sz w:val="24"/>
          <w:szCs w:val="20"/>
        </w:rPr>
        <w:t>5.食品检验从业人员一览表</w:t>
      </w:r>
    </w:p>
    <w:p>
      <w:pPr>
        <w:jc w:val="center"/>
        <w:rPr>
          <w:rFonts w:ascii="新宋体" w:hAnsi="新宋体" w:eastAsia="新宋体" w:cs="新宋体"/>
          <w:bCs/>
          <w:sz w:val="28"/>
        </w:rPr>
      </w:pPr>
    </w:p>
    <w:tbl>
      <w:tblPr>
        <w:tblStyle w:val="1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52"/>
        <w:gridCol w:w="709"/>
        <w:gridCol w:w="567"/>
        <w:gridCol w:w="652"/>
        <w:gridCol w:w="907"/>
        <w:gridCol w:w="709"/>
        <w:gridCol w:w="1275"/>
        <w:gridCol w:w="143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5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序号</w:t>
            </w:r>
          </w:p>
        </w:tc>
        <w:tc>
          <w:tcPr>
            <w:tcW w:w="75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姓名</w:t>
            </w:r>
          </w:p>
        </w:tc>
        <w:tc>
          <w:tcPr>
            <w:tcW w:w="709"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性别</w:t>
            </w:r>
          </w:p>
        </w:tc>
        <w:tc>
          <w:tcPr>
            <w:tcW w:w="567"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年龄</w:t>
            </w:r>
          </w:p>
        </w:tc>
        <w:tc>
          <w:tcPr>
            <w:tcW w:w="65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学历</w:t>
            </w:r>
          </w:p>
        </w:tc>
        <w:tc>
          <w:tcPr>
            <w:tcW w:w="907"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所学专业</w:t>
            </w:r>
          </w:p>
        </w:tc>
        <w:tc>
          <w:tcPr>
            <w:tcW w:w="709"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职称</w:t>
            </w:r>
          </w:p>
        </w:tc>
        <w:tc>
          <w:tcPr>
            <w:tcW w:w="1275"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从事食品</w:t>
            </w:r>
          </w:p>
          <w:p>
            <w:pPr>
              <w:jc w:val="center"/>
              <w:rPr>
                <w:rFonts w:ascii="新宋体" w:hAnsi="新宋体" w:eastAsia="新宋体" w:cs="新宋体"/>
                <w:bCs/>
                <w:sz w:val="24"/>
              </w:rPr>
            </w:pPr>
            <w:r>
              <w:rPr>
                <w:rFonts w:hint="eastAsia" w:ascii="新宋体" w:hAnsi="新宋体" w:eastAsia="新宋体" w:cs="新宋体"/>
                <w:sz w:val="24"/>
              </w:rPr>
              <w:t>检验时间</w:t>
            </w:r>
          </w:p>
        </w:tc>
        <w:tc>
          <w:tcPr>
            <w:tcW w:w="1434"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接受培训情况</w:t>
            </w:r>
          </w:p>
        </w:tc>
        <w:tc>
          <w:tcPr>
            <w:tcW w:w="111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752"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567" w:type="dxa"/>
            <w:noWrap w:val="0"/>
            <w:vAlign w:val="top"/>
          </w:tcPr>
          <w:p>
            <w:pPr>
              <w:jc w:val="center"/>
              <w:rPr>
                <w:rFonts w:ascii="新宋体" w:hAnsi="新宋体" w:eastAsia="新宋体" w:cs="新宋体"/>
                <w:bCs/>
                <w:sz w:val="24"/>
              </w:rPr>
            </w:pPr>
          </w:p>
        </w:tc>
        <w:tc>
          <w:tcPr>
            <w:tcW w:w="652" w:type="dxa"/>
            <w:noWrap w:val="0"/>
            <w:vAlign w:val="top"/>
          </w:tcPr>
          <w:p>
            <w:pPr>
              <w:jc w:val="center"/>
              <w:rPr>
                <w:rFonts w:ascii="新宋体" w:hAnsi="新宋体" w:eastAsia="新宋体" w:cs="新宋体"/>
                <w:bCs/>
                <w:sz w:val="24"/>
              </w:rPr>
            </w:pPr>
          </w:p>
        </w:tc>
        <w:tc>
          <w:tcPr>
            <w:tcW w:w="907" w:type="dxa"/>
            <w:noWrap w:val="0"/>
            <w:vAlign w:val="top"/>
          </w:tcPr>
          <w:p>
            <w:pPr>
              <w:jc w:val="center"/>
              <w:rPr>
                <w:rFonts w:ascii="新宋体" w:hAnsi="新宋体" w:eastAsia="新宋体" w:cs="新宋体"/>
                <w:bCs/>
                <w:sz w:val="24"/>
              </w:rPr>
            </w:pPr>
          </w:p>
        </w:tc>
        <w:tc>
          <w:tcPr>
            <w:tcW w:w="709" w:type="dxa"/>
            <w:noWrap w:val="0"/>
            <w:vAlign w:val="top"/>
          </w:tcPr>
          <w:p>
            <w:pPr>
              <w:jc w:val="center"/>
              <w:rPr>
                <w:rFonts w:ascii="新宋体" w:hAnsi="新宋体" w:eastAsia="新宋体" w:cs="新宋体"/>
                <w:bCs/>
                <w:sz w:val="24"/>
              </w:rPr>
            </w:pPr>
          </w:p>
        </w:tc>
        <w:tc>
          <w:tcPr>
            <w:tcW w:w="1275" w:type="dxa"/>
            <w:noWrap w:val="0"/>
            <w:vAlign w:val="top"/>
          </w:tcPr>
          <w:p>
            <w:pPr>
              <w:jc w:val="center"/>
              <w:rPr>
                <w:rFonts w:ascii="新宋体" w:hAnsi="新宋体" w:eastAsia="新宋体" w:cs="新宋体"/>
                <w:bCs/>
                <w:sz w:val="24"/>
              </w:rPr>
            </w:pPr>
          </w:p>
        </w:tc>
        <w:tc>
          <w:tcPr>
            <w:tcW w:w="1434"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bl>
    <w:p>
      <w:pPr>
        <w:rPr>
          <w:rFonts w:ascii="新宋体" w:hAnsi="新宋体" w:eastAsia="新宋体" w:cs="新宋体"/>
          <w:sz w:val="24"/>
        </w:rPr>
      </w:pPr>
    </w:p>
    <w:p>
      <w:pPr>
        <w:spacing w:line="360" w:lineRule="auto"/>
        <w:rPr>
          <w:rFonts w:hint="eastAsia" w:ascii="新宋体" w:hAnsi="新宋体" w:eastAsia="新宋体" w:cs="新宋体"/>
          <w:sz w:val="24"/>
        </w:rPr>
      </w:pPr>
      <w:r>
        <w:rPr>
          <w:rFonts w:hint="eastAsia" w:ascii="新宋体" w:hAnsi="新宋体" w:eastAsia="新宋体" w:cs="新宋体"/>
          <w:sz w:val="24"/>
        </w:rPr>
        <w:t>后附：</w:t>
      </w:r>
      <w:r>
        <w:rPr>
          <w:rFonts w:hint="eastAsia" w:ascii="新宋体" w:hAnsi="新宋体" w:eastAsia="新宋体" w:cs="新宋体"/>
          <w:sz w:val="24"/>
          <w:szCs w:val="22"/>
        </w:rPr>
        <w:t>中级职称及中级以上人员提供职称</w:t>
      </w:r>
      <w:r>
        <w:rPr>
          <w:rFonts w:hint="eastAsia" w:ascii="新宋体" w:hAnsi="新宋体" w:eastAsia="新宋体" w:cs="新宋体"/>
          <w:sz w:val="24"/>
          <w:szCs w:val="22"/>
          <w:lang w:eastAsia="zh-CN"/>
        </w:rPr>
        <w:t>证及缴纳社保证明材料</w:t>
      </w:r>
      <w:r>
        <w:rPr>
          <w:rFonts w:hint="eastAsia" w:ascii="新宋体" w:hAnsi="新宋体" w:eastAsia="新宋体" w:cs="新宋体"/>
          <w:sz w:val="24"/>
          <w:szCs w:val="22"/>
        </w:rPr>
        <w:t>扫描件</w:t>
      </w:r>
      <w:r>
        <w:rPr>
          <w:rFonts w:hint="eastAsia" w:ascii="新宋体" w:hAnsi="新宋体" w:eastAsia="新宋体" w:cs="新宋体"/>
          <w:sz w:val="24"/>
        </w:rPr>
        <w:t>，全部人员均提供国家认可的学历认证证明扫描件及身份证扫描件。</w:t>
      </w:r>
    </w:p>
    <w:p>
      <w:pPr>
        <w:spacing w:line="360" w:lineRule="auto"/>
        <w:rPr>
          <w:rFonts w:hint="eastAsia" w:ascii="新宋体" w:hAnsi="新宋体" w:eastAsia="新宋体" w:cs="新宋体"/>
          <w:sz w:val="24"/>
        </w:rPr>
      </w:pPr>
    </w:p>
    <w:p>
      <w:pPr>
        <w:spacing w:line="360" w:lineRule="auto"/>
        <w:rPr>
          <w:rFonts w:ascii="新宋体" w:hAnsi="新宋体" w:eastAsia="新宋体" w:cs="新宋体"/>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b/>
          <w:sz w:val="24"/>
        </w:rPr>
        <w:br w:type="page"/>
      </w:r>
      <w:r>
        <w:rPr>
          <w:rFonts w:hint="eastAsia" w:ascii="宋体" w:hAnsi="宋体" w:cs="宋体"/>
          <w:b/>
          <w:kern w:val="0"/>
          <w:sz w:val="24"/>
          <w:szCs w:val="20"/>
        </w:rPr>
        <w:t>6.抽样人员情况一览表</w:t>
      </w:r>
    </w:p>
    <w:p>
      <w:pPr>
        <w:rPr>
          <w:rFonts w:ascii="新宋体" w:hAnsi="新宋体" w:eastAsia="新宋体" w:cs="新宋体"/>
          <w:sz w:val="24"/>
        </w:rPr>
      </w:pPr>
    </w:p>
    <w:tbl>
      <w:tblPr>
        <w:tblStyle w:val="1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85"/>
        <w:gridCol w:w="443"/>
        <w:gridCol w:w="442"/>
        <w:gridCol w:w="910"/>
        <w:gridCol w:w="561"/>
        <w:gridCol w:w="646"/>
        <w:gridCol w:w="1417"/>
        <w:gridCol w:w="1701"/>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5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序号</w:t>
            </w:r>
          </w:p>
        </w:tc>
        <w:tc>
          <w:tcPr>
            <w:tcW w:w="885"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姓名</w:t>
            </w:r>
          </w:p>
        </w:tc>
        <w:tc>
          <w:tcPr>
            <w:tcW w:w="443"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性别</w:t>
            </w:r>
          </w:p>
        </w:tc>
        <w:tc>
          <w:tcPr>
            <w:tcW w:w="442"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年龄</w:t>
            </w:r>
          </w:p>
        </w:tc>
        <w:tc>
          <w:tcPr>
            <w:tcW w:w="910"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学历</w:t>
            </w:r>
          </w:p>
        </w:tc>
        <w:tc>
          <w:tcPr>
            <w:tcW w:w="561"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所学专业</w:t>
            </w:r>
          </w:p>
        </w:tc>
        <w:tc>
          <w:tcPr>
            <w:tcW w:w="64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职称</w:t>
            </w:r>
          </w:p>
        </w:tc>
        <w:tc>
          <w:tcPr>
            <w:tcW w:w="1417"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从事食品抽样时间</w:t>
            </w:r>
          </w:p>
        </w:tc>
        <w:tc>
          <w:tcPr>
            <w:tcW w:w="1701" w:type="dxa"/>
            <w:noWrap w:val="0"/>
            <w:vAlign w:val="center"/>
          </w:tcPr>
          <w:p>
            <w:pPr>
              <w:jc w:val="center"/>
              <w:rPr>
                <w:rFonts w:ascii="新宋体" w:hAnsi="新宋体" w:eastAsia="新宋体" w:cs="新宋体"/>
                <w:bCs/>
                <w:sz w:val="24"/>
              </w:rPr>
            </w:pPr>
            <w:r>
              <w:rPr>
                <w:rFonts w:hint="eastAsia" w:ascii="新宋体" w:hAnsi="新宋体" w:eastAsia="新宋体" w:cs="新宋体"/>
                <w:sz w:val="24"/>
              </w:rPr>
              <w:t>接受培训情况</w:t>
            </w:r>
          </w:p>
        </w:tc>
        <w:tc>
          <w:tcPr>
            <w:tcW w:w="1116"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3" w:type="dxa"/>
            <w:noWrap w:val="0"/>
            <w:vAlign w:val="top"/>
          </w:tcPr>
          <w:p>
            <w:pPr>
              <w:jc w:val="center"/>
              <w:rPr>
                <w:rFonts w:ascii="新宋体" w:hAnsi="新宋体" w:eastAsia="新宋体" w:cs="新宋体"/>
                <w:bCs/>
                <w:sz w:val="24"/>
              </w:rPr>
            </w:pPr>
          </w:p>
        </w:tc>
        <w:tc>
          <w:tcPr>
            <w:tcW w:w="885" w:type="dxa"/>
            <w:noWrap w:val="0"/>
            <w:vAlign w:val="top"/>
          </w:tcPr>
          <w:p>
            <w:pPr>
              <w:jc w:val="center"/>
              <w:rPr>
                <w:rFonts w:ascii="新宋体" w:hAnsi="新宋体" w:eastAsia="新宋体" w:cs="新宋体"/>
                <w:bCs/>
                <w:sz w:val="24"/>
              </w:rPr>
            </w:pPr>
          </w:p>
        </w:tc>
        <w:tc>
          <w:tcPr>
            <w:tcW w:w="443" w:type="dxa"/>
            <w:noWrap w:val="0"/>
            <w:vAlign w:val="top"/>
          </w:tcPr>
          <w:p>
            <w:pPr>
              <w:jc w:val="center"/>
              <w:rPr>
                <w:rFonts w:ascii="新宋体" w:hAnsi="新宋体" w:eastAsia="新宋体" w:cs="新宋体"/>
                <w:bCs/>
                <w:sz w:val="24"/>
              </w:rPr>
            </w:pPr>
          </w:p>
        </w:tc>
        <w:tc>
          <w:tcPr>
            <w:tcW w:w="442" w:type="dxa"/>
            <w:noWrap w:val="0"/>
            <w:vAlign w:val="top"/>
          </w:tcPr>
          <w:p>
            <w:pPr>
              <w:jc w:val="center"/>
              <w:rPr>
                <w:rFonts w:ascii="新宋体" w:hAnsi="新宋体" w:eastAsia="新宋体" w:cs="新宋体"/>
                <w:bCs/>
                <w:sz w:val="24"/>
              </w:rPr>
            </w:pPr>
          </w:p>
        </w:tc>
        <w:tc>
          <w:tcPr>
            <w:tcW w:w="910" w:type="dxa"/>
            <w:noWrap w:val="0"/>
            <w:vAlign w:val="top"/>
          </w:tcPr>
          <w:p>
            <w:pPr>
              <w:jc w:val="center"/>
              <w:rPr>
                <w:rFonts w:ascii="新宋体" w:hAnsi="新宋体" w:eastAsia="新宋体" w:cs="新宋体"/>
                <w:bCs/>
                <w:sz w:val="24"/>
              </w:rPr>
            </w:pPr>
          </w:p>
        </w:tc>
        <w:tc>
          <w:tcPr>
            <w:tcW w:w="561" w:type="dxa"/>
            <w:noWrap w:val="0"/>
            <w:vAlign w:val="top"/>
          </w:tcPr>
          <w:p>
            <w:pPr>
              <w:jc w:val="center"/>
              <w:rPr>
                <w:rFonts w:ascii="新宋体" w:hAnsi="新宋体" w:eastAsia="新宋体" w:cs="新宋体"/>
                <w:bCs/>
                <w:sz w:val="24"/>
              </w:rPr>
            </w:pPr>
          </w:p>
        </w:tc>
        <w:tc>
          <w:tcPr>
            <w:tcW w:w="646" w:type="dxa"/>
            <w:noWrap w:val="0"/>
            <w:vAlign w:val="top"/>
          </w:tcPr>
          <w:p>
            <w:pPr>
              <w:jc w:val="center"/>
              <w:rPr>
                <w:rFonts w:ascii="新宋体" w:hAnsi="新宋体" w:eastAsia="新宋体" w:cs="新宋体"/>
                <w:bCs/>
                <w:sz w:val="24"/>
              </w:rPr>
            </w:pPr>
          </w:p>
        </w:tc>
        <w:tc>
          <w:tcPr>
            <w:tcW w:w="1417" w:type="dxa"/>
            <w:noWrap w:val="0"/>
            <w:vAlign w:val="top"/>
          </w:tcPr>
          <w:p>
            <w:pPr>
              <w:jc w:val="center"/>
              <w:rPr>
                <w:rFonts w:ascii="新宋体" w:hAnsi="新宋体" w:eastAsia="新宋体" w:cs="新宋体"/>
                <w:bCs/>
                <w:sz w:val="24"/>
              </w:rPr>
            </w:pPr>
          </w:p>
        </w:tc>
        <w:tc>
          <w:tcPr>
            <w:tcW w:w="1701" w:type="dxa"/>
            <w:noWrap w:val="0"/>
            <w:vAlign w:val="top"/>
          </w:tcPr>
          <w:p>
            <w:pPr>
              <w:jc w:val="center"/>
              <w:rPr>
                <w:rFonts w:ascii="新宋体" w:hAnsi="新宋体" w:eastAsia="新宋体" w:cs="新宋体"/>
                <w:bCs/>
                <w:sz w:val="24"/>
              </w:rPr>
            </w:pPr>
          </w:p>
        </w:tc>
        <w:tc>
          <w:tcPr>
            <w:tcW w:w="1116" w:type="dxa"/>
            <w:noWrap w:val="0"/>
            <w:vAlign w:val="top"/>
          </w:tcPr>
          <w:p>
            <w:pPr>
              <w:jc w:val="center"/>
              <w:rPr>
                <w:rFonts w:ascii="新宋体" w:hAnsi="新宋体" w:eastAsia="新宋体" w:cs="新宋体"/>
                <w:bCs/>
                <w:sz w:val="24"/>
              </w:rPr>
            </w:pPr>
          </w:p>
        </w:tc>
      </w:tr>
    </w:tbl>
    <w:p>
      <w:pPr>
        <w:rPr>
          <w:rFonts w:ascii="新宋体" w:hAnsi="新宋体" w:eastAsia="新宋体" w:cs="新宋体"/>
          <w:sz w:val="24"/>
        </w:rPr>
      </w:pPr>
    </w:p>
    <w:p>
      <w:pPr>
        <w:spacing w:line="360" w:lineRule="auto"/>
        <w:rPr>
          <w:rFonts w:ascii="新宋体" w:hAnsi="新宋体" w:eastAsia="新宋体" w:cs="新宋体"/>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rPr>
          <w:rFonts w:ascii="宋体" w:hAnsi="宋体" w:cs="宋体"/>
          <w:b/>
          <w:kern w:val="0"/>
          <w:sz w:val="24"/>
          <w:szCs w:val="20"/>
        </w:rPr>
      </w:pPr>
      <w:r>
        <w:rPr>
          <w:rFonts w:ascii="新宋体" w:hAnsi="新宋体" w:eastAsia="新宋体" w:cs="新宋体"/>
          <w:bCs/>
          <w:sz w:val="24"/>
        </w:rPr>
        <w:br w:type="page"/>
      </w:r>
    </w:p>
    <w:p>
      <w:pPr>
        <w:spacing w:line="360" w:lineRule="auto"/>
        <w:rPr>
          <w:rFonts w:ascii="宋体" w:hAnsi="宋体" w:cs="宋体"/>
          <w:b/>
          <w:kern w:val="0"/>
          <w:sz w:val="24"/>
          <w:szCs w:val="20"/>
        </w:rPr>
      </w:pPr>
      <w:r>
        <w:rPr>
          <w:rFonts w:hint="eastAsia" w:ascii="宋体" w:hAnsi="宋体" w:cs="宋体"/>
          <w:b/>
          <w:kern w:val="0"/>
          <w:sz w:val="24"/>
          <w:szCs w:val="20"/>
        </w:rPr>
        <w:t>7.抽样设备情况一览表</w:t>
      </w:r>
    </w:p>
    <w:p>
      <w:pPr>
        <w:rPr>
          <w:rFonts w:ascii="新宋体" w:hAnsi="新宋体" w:eastAsia="新宋体" w:cs="新宋体"/>
          <w:sz w:val="24"/>
        </w:rPr>
      </w:pPr>
    </w:p>
    <w:tbl>
      <w:tblPr>
        <w:tblStyle w:val="15"/>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64"/>
        <w:gridCol w:w="208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92"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序号</w:t>
            </w:r>
          </w:p>
        </w:tc>
        <w:tc>
          <w:tcPr>
            <w:tcW w:w="2164" w:type="dxa"/>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设施名称</w:t>
            </w:r>
          </w:p>
        </w:tc>
        <w:tc>
          <w:tcPr>
            <w:tcW w:w="2089"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主要功能</w:t>
            </w:r>
          </w:p>
        </w:tc>
        <w:tc>
          <w:tcPr>
            <w:tcW w:w="2835" w:type="dxa"/>
            <w:tcBorders>
              <w:bottom w:val="single" w:color="auto" w:sz="4" w:space="0"/>
            </w:tcBorders>
            <w:noWrap w:val="0"/>
            <w:vAlign w:val="center"/>
          </w:tcPr>
          <w:p>
            <w:pPr>
              <w:jc w:val="center"/>
              <w:rPr>
                <w:rFonts w:ascii="新宋体" w:hAnsi="新宋体" w:eastAsia="新宋体" w:cs="新宋体"/>
                <w:bCs/>
                <w:sz w:val="24"/>
              </w:rPr>
            </w:pPr>
            <w:r>
              <w:rPr>
                <w:rFonts w:hint="eastAsia" w:ascii="新宋体" w:hAnsi="新宋体" w:eastAsia="新宋体" w:cs="新宋体"/>
                <w:bCs/>
                <w:sz w:val="24"/>
              </w:rPr>
              <w:t>具体抽样项目与能力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tcBorders>
              <w:top w:val="single" w:color="auto" w:sz="4" w:space="0"/>
            </w:tcBorders>
            <w:noWrap w:val="0"/>
            <w:vAlign w:val="top"/>
          </w:tcPr>
          <w:p>
            <w:pPr>
              <w:jc w:val="center"/>
              <w:rPr>
                <w:rFonts w:ascii="新宋体" w:hAnsi="新宋体" w:eastAsia="新宋体" w:cs="新宋体"/>
                <w:b/>
                <w:bCs/>
                <w:sz w:val="32"/>
                <w:szCs w:val="32"/>
              </w:rPr>
            </w:pPr>
          </w:p>
        </w:tc>
        <w:tc>
          <w:tcPr>
            <w:tcW w:w="2835" w:type="dxa"/>
            <w:tcBorders>
              <w:top w:val="single" w:color="auto" w:sz="4" w:space="0"/>
            </w:tcBorders>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noWrap w:val="0"/>
            <w:vAlign w:val="top"/>
          </w:tcPr>
          <w:p>
            <w:pPr>
              <w:jc w:val="center"/>
              <w:rPr>
                <w:rFonts w:ascii="新宋体" w:hAnsi="新宋体" w:eastAsia="新宋体" w:cs="新宋体"/>
                <w:b/>
                <w:bCs/>
                <w:sz w:val="32"/>
                <w:szCs w:val="32"/>
              </w:rPr>
            </w:pPr>
          </w:p>
        </w:tc>
        <w:tc>
          <w:tcPr>
            <w:tcW w:w="2164" w:type="dxa"/>
            <w:noWrap w:val="0"/>
            <w:vAlign w:val="top"/>
          </w:tcPr>
          <w:p>
            <w:pPr>
              <w:jc w:val="center"/>
              <w:rPr>
                <w:rFonts w:ascii="新宋体" w:hAnsi="新宋体" w:eastAsia="新宋体" w:cs="新宋体"/>
                <w:b/>
                <w:bCs/>
                <w:sz w:val="32"/>
                <w:szCs w:val="32"/>
              </w:rPr>
            </w:pPr>
          </w:p>
        </w:tc>
        <w:tc>
          <w:tcPr>
            <w:tcW w:w="2089" w:type="dxa"/>
            <w:noWrap w:val="0"/>
            <w:vAlign w:val="top"/>
          </w:tcPr>
          <w:p>
            <w:pPr>
              <w:jc w:val="center"/>
              <w:rPr>
                <w:rFonts w:ascii="新宋体" w:hAnsi="新宋体" w:eastAsia="新宋体" w:cs="新宋体"/>
                <w:b/>
                <w:bCs/>
                <w:sz w:val="32"/>
                <w:szCs w:val="32"/>
              </w:rPr>
            </w:pPr>
          </w:p>
        </w:tc>
        <w:tc>
          <w:tcPr>
            <w:tcW w:w="2835" w:type="dxa"/>
            <w:noWrap w:val="0"/>
            <w:vAlign w:val="top"/>
          </w:tcPr>
          <w:p>
            <w:pPr>
              <w:jc w:val="center"/>
              <w:rPr>
                <w:rFonts w:ascii="新宋体" w:hAnsi="新宋体" w:eastAsia="新宋体" w:cs="新宋体"/>
                <w:b/>
                <w:bCs/>
                <w:sz w:val="32"/>
                <w:szCs w:val="32"/>
              </w:rPr>
            </w:pPr>
          </w:p>
        </w:tc>
      </w:tr>
    </w:tbl>
    <w:p>
      <w:pPr>
        <w:jc w:val="center"/>
        <w:rPr>
          <w:rFonts w:ascii="新宋体" w:hAnsi="新宋体" w:eastAsia="新宋体" w:cs="新宋体"/>
          <w:b/>
          <w:bCs/>
          <w:sz w:val="32"/>
          <w:szCs w:val="32"/>
        </w:rPr>
      </w:pPr>
    </w:p>
    <w:p>
      <w:pPr>
        <w:spacing w:line="360" w:lineRule="auto"/>
        <w:ind w:firstLine="3600" w:firstLineChars="1250"/>
        <w:rPr>
          <w:rFonts w:hint="eastAsia" w:ascii="宋体" w:hAnsi="宋体"/>
          <w:spacing w:val="24"/>
          <w:sz w:val="24"/>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rPr>
          <w:rFonts w:ascii="新宋体" w:hAnsi="新宋体" w:eastAsia="新宋体" w:cs="新宋体"/>
          <w:bCs/>
          <w:sz w:val="24"/>
        </w:rPr>
      </w:pPr>
    </w:p>
    <w:p>
      <w:pPr>
        <w:spacing w:line="360" w:lineRule="auto"/>
        <w:rPr>
          <w:rFonts w:ascii="宋体" w:hAnsi="宋体" w:cs="宋体"/>
          <w:b/>
          <w:kern w:val="0"/>
          <w:sz w:val="24"/>
          <w:szCs w:val="20"/>
        </w:rPr>
      </w:pPr>
      <w:r>
        <w:rPr>
          <w:rFonts w:ascii="新宋体" w:hAnsi="新宋体" w:eastAsia="新宋体" w:cs="新宋体"/>
          <w:bCs/>
          <w:sz w:val="24"/>
        </w:rPr>
        <w:br w:type="page"/>
      </w:r>
      <w:r>
        <w:rPr>
          <w:rFonts w:hint="eastAsia" w:ascii="宋体" w:hAnsi="宋体" w:cs="宋体"/>
          <w:b/>
          <w:kern w:val="0"/>
          <w:sz w:val="24"/>
          <w:szCs w:val="20"/>
        </w:rPr>
        <w:t>8.拟派项目负责人一览表</w:t>
      </w:r>
    </w:p>
    <w:p>
      <w:pPr>
        <w:rPr>
          <w:rFonts w:ascii="新宋体" w:hAnsi="新宋体" w:eastAsia="新宋体" w:cs="新宋体"/>
        </w:rPr>
      </w:pPr>
    </w:p>
    <w:tbl>
      <w:tblPr>
        <w:tblStyle w:val="1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31"/>
        <w:gridCol w:w="2124"/>
        <w:gridCol w:w="2140"/>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姓名</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年龄</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学历</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专业资质</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职务</w:t>
            </w:r>
          </w:p>
        </w:tc>
        <w:tc>
          <w:tcPr>
            <w:tcW w:w="2124" w:type="dxa"/>
            <w:noWrap w:val="0"/>
            <w:vAlign w:val="center"/>
          </w:tcPr>
          <w:p>
            <w:pPr>
              <w:rPr>
                <w:rFonts w:ascii="新宋体" w:hAnsi="新宋体" w:eastAsia="新宋体" w:cs="新宋体"/>
                <w:sz w:val="24"/>
              </w:rPr>
            </w:pPr>
          </w:p>
        </w:tc>
        <w:tc>
          <w:tcPr>
            <w:tcW w:w="2140"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职称</w:t>
            </w:r>
          </w:p>
        </w:tc>
        <w:tc>
          <w:tcPr>
            <w:tcW w:w="2124" w:type="dxa"/>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gridSpan w:val="3"/>
            <w:noWrap w:val="0"/>
            <w:vAlign w:val="center"/>
          </w:tcPr>
          <w:p>
            <w:pPr>
              <w:rPr>
                <w:rFonts w:ascii="新宋体" w:hAnsi="新宋体" w:eastAsia="新宋体" w:cs="新宋体"/>
                <w:sz w:val="24"/>
              </w:rPr>
            </w:pPr>
            <w:r>
              <w:rPr>
                <w:rFonts w:hint="eastAsia" w:ascii="新宋体" w:hAnsi="新宋体" w:eastAsia="新宋体" w:cs="新宋体"/>
                <w:sz w:val="24"/>
              </w:rPr>
              <w:t>从事食品检验工作年限</w:t>
            </w:r>
          </w:p>
        </w:tc>
        <w:tc>
          <w:tcPr>
            <w:tcW w:w="4264" w:type="dxa"/>
            <w:gridSpan w:val="2"/>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4" w:type="dxa"/>
            <w:gridSpan w:val="3"/>
            <w:noWrap w:val="0"/>
            <w:vAlign w:val="center"/>
          </w:tcPr>
          <w:p>
            <w:pPr>
              <w:rPr>
                <w:rFonts w:ascii="新宋体" w:hAnsi="新宋体" w:eastAsia="新宋体" w:cs="新宋体"/>
                <w:sz w:val="24"/>
              </w:rPr>
            </w:pPr>
            <w:r>
              <w:rPr>
                <w:rFonts w:hint="eastAsia" w:ascii="新宋体" w:hAnsi="新宋体" w:eastAsia="新宋体" w:cs="新宋体"/>
                <w:sz w:val="24"/>
              </w:rPr>
              <w:t>在本项目中拟担任的职务</w:t>
            </w:r>
          </w:p>
        </w:tc>
        <w:tc>
          <w:tcPr>
            <w:tcW w:w="4264" w:type="dxa"/>
            <w:gridSpan w:val="2"/>
            <w:noWrap w:val="0"/>
            <w:vAlign w:val="center"/>
          </w:tcPr>
          <w:p>
            <w:pPr>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0" w:type="dxa"/>
            <w:gridSpan w:val="2"/>
            <w:noWrap w:val="0"/>
            <w:vAlign w:val="center"/>
          </w:tcPr>
          <w:p>
            <w:pPr>
              <w:jc w:val="center"/>
              <w:rPr>
                <w:rFonts w:ascii="新宋体" w:hAnsi="新宋体" w:eastAsia="新宋体" w:cs="新宋体"/>
                <w:sz w:val="24"/>
              </w:rPr>
            </w:pPr>
            <w:r>
              <w:rPr>
                <w:rFonts w:hint="eastAsia" w:ascii="新宋体" w:hAnsi="新宋体" w:eastAsia="新宋体" w:cs="新宋体"/>
                <w:sz w:val="24"/>
              </w:rPr>
              <w:t>联系方式</w:t>
            </w:r>
          </w:p>
        </w:tc>
        <w:tc>
          <w:tcPr>
            <w:tcW w:w="6388" w:type="dxa"/>
            <w:gridSpan w:val="3"/>
            <w:noWrap w:val="0"/>
            <w:vAlign w:val="center"/>
          </w:tcPr>
          <w:p>
            <w:pP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528" w:type="dxa"/>
            <w:gridSpan w:val="5"/>
            <w:noWrap w:val="0"/>
            <w:vAlign w:val="center"/>
          </w:tcPr>
          <w:p>
            <w:pPr>
              <w:jc w:val="center"/>
              <w:rPr>
                <w:rFonts w:ascii="新宋体" w:hAnsi="新宋体" w:eastAsia="新宋体" w:cs="新宋体"/>
                <w:sz w:val="24"/>
              </w:rPr>
            </w:pPr>
            <w:r>
              <w:rPr>
                <w:rFonts w:hint="eastAsia" w:ascii="新宋体" w:hAnsi="新宋体" w:eastAsia="新宋体" w:cs="新宋体"/>
                <w:sz w:val="24"/>
              </w:rPr>
              <w:t>主要食品检验工作业绩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09"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时间</w:t>
            </w:r>
          </w:p>
        </w:tc>
        <w:tc>
          <w:tcPr>
            <w:tcW w:w="7419" w:type="dxa"/>
            <w:gridSpan w:val="4"/>
            <w:noWrap w:val="0"/>
            <w:vAlign w:val="center"/>
          </w:tcPr>
          <w:p>
            <w:pPr>
              <w:jc w:val="center"/>
              <w:rPr>
                <w:rFonts w:ascii="新宋体" w:hAnsi="新宋体" w:eastAsia="新宋体" w:cs="新宋体"/>
                <w:sz w:val="24"/>
              </w:rPr>
            </w:pPr>
            <w:r>
              <w:rPr>
                <w:rFonts w:hint="eastAsia" w:ascii="新宋体" w:hAnsi="新宋体" w:eastAsia="新宋体" w:cs="新宋体"/>
                <w:sz w:val="24"/>
              </w:rPr>
              <w:t>食品检验工作内容及本人承担工作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6" w:hRule="atLeast"/>
        </w:trPr>
        <w:tc>
          <w:tcPr>
            <w:tcW w:w="1109" w:type="dxa"/>
            <w:noWrap w:val="0"/>
            <w:vAlign w:val="center"/>
          </w:tcPr>
          <w:p>
            <w:pPr>
              <w:jc w:val="center"/>
              <w:rPr>
                <w:rFonts w:ascii="新宋体" w:hAnsi="新宋体" w:eastAsia="新宋体" w:cs="新宋体"/>
                <w:sz w:val="24"/>
              </w:rPr>
            </w:pPr>
            <w:r>
              <w:rPr>
                <w:rFonts w:hint="eastAsia" w:ascii="新宋体" w:hAnsi="新宋体" w:eastAsia="新宋体" w:cs="新宋体"/>
                <w:sz w:val="24"/>
              </w:rPr>
              <w:t>近</w:t>
            </w:r>
          </w:p>
          <w:p>
            <w:pPr>
              <w:jc w:val="center"/>
              <w:rPr>
                <w:rFonts w:ascii="新宋体" w:hAnsi="新宋体" w:eastAsia="新宋体" w:cs="新宋体"/>
                <w:sz w:val="24"/>
              </w:rPr>
            </w:pPr>
            <w:r>
              <w:rPr>
                <w:rFonts w:hint="eastAsia" w:ascii="新宋体" w:hAnsi="新宋体" w:eastAsia="新宋体" w:cs="新宋体"/>
                <w:sz w:val="24"/>
              </w:rPr>
              <w:t>两</w:t>
            </w:r>
          </w:p>
          <w:p>
            <w:pPr>
              <w:jc w:val="center"/>
              <w:rPr>
                <w:rFonts w:ascii="新宋体" w:hAnsi="新宋体" w:eastAsia="新宋体" w:cs="新宋体"/>
                <w:sz w:val="24"/>
              </w:rPr>
            </w:pPr>
            <w:r>
              <w:rPr>
                <w:rFonts w:hint="eastAsia" w:ascii="新宋体" w:hAnsi="新宋体" w:eastAsia="新宋体" w:cs="新宋体"/>
                <w:sz w:val="24"/>
              </w:rPr>
              <w:t>年</w:t>
            </w:r>
          </w:p>
          <w:p>
            <w:pPr>
              <w:jc w:val="center"/>
              <w:rPr>
                <w:rFonts w:ascii="新宋体" w:hAnsi="新宋体" w:eastAsia="新宋体" w:cs="新宋体"/>
                <w:sz w:val="24"/>
              </w:rPr>
            </w:pPr>
            <w:r>
              <w:rPr>
                <w:rFonts w:hint="eastAsia" w:ascii="新宋体" w:hAnsi="新宋体" w:eastAsia="新宋体" w:cs="新宋体"/>
                <w:sz w:val="24"/>
              </w:rPr>
              <w:t>情</w:t>
            </w:r>
          </w:p>
          <w:p>
            <w:pPr>
              <w:jc w:val="center"/>
              <w:rPr>
                <w:rFonts w:ascii="新宋体" w:hAnsi="新宋体" w:eastAsia="新宋体" w:cs="新宋体"/>
                <w:sz w:val="24"/>
              </w:rPr>
            </w:pPr>
            <w:r>
              <w:rPr>
                <w:rFonts w:hint="eastAsia" w:ascii="新宋体" w:hAnsi="新宋体" w:eastAsia="新宋体" w:cs="新宋体"/>
                <w:sz w:val="24"/>
              </w:rPr>
              <w:t>况</w:t>
            </w:r>
          </w:p>
        </w:tc>
        <w:tc>
          <w:tcPr>
            <w:tcW w:w="7419" w:type="dxa"/>
            <w:gridSpan w:val="4"/>
            <w:noWrap w:val="0"/>
            <w:vAlign w:val="top"/>
          </w:tcPr>
          <w:p>
            <w:pPr>
              <w:spacing w:line="500" w:lineRule="exact"/>
              <w:rPr>
                <w:rFonts w:ascii="新宋体" w:hAnsi="新宋体" w:eastAsia="新宋体" w:cs="新宋体"/>
                <w:sz w:val="24"/>
              </w:rPr>
            </w:pPr>
            <w:r>
              <w:rPr>
                <w:rFonts w:hint="eastAsia" w:ascii="新宋体" w:hAnsi="新宋体" w:eastAsia="新宋体" w:cs="新宋体"/>
                <w:sz w:val="24"/>
              </w:rPr>
              <w:t>（食品检验项目细目及证明材料，数量不限）</w:t>
            </w:r>
          </w:p>
        </w:tc>
      </w:tr>
    </w:tbl>
    <w:p>
      <w:pPr>
        <w:pStyle w:val="7"/>
        <w:ind w:left="0" w:leftChars="0"/>
        <w:rPr>
          <w:rFonts w:ascii="新宋体" w:hAnsi="新宋体" w:eastAsia="新宋体" w:cs="新宋体"/>
          <w:bCs/>
          <w:sz w:val="24"/>
        </w:rPr>
      </w:pPr>
      <w:r>
        <w:rPr>
          <w:rFonts w:hint="eastAsia" w:ascii="新宋体" w:hAnsi="新宋体" w:eastAsia="新宋体" w:cs="新宋体"/>
          <w:bCs/>
          <w:sz w:val="24"/>
        </w:rPr>
        <w:t>注：应后附项目负责人身份证、劳动合同、社保缴纳证明材料的原件扫描件。</w:t>
      </w:r>
    </w:p>
    <w:p>
      <w:pPr>
        <w:tabs>
          <w:tab w:val="left" w:pos="4950"/>
          <w:tab w:val="right" w:pos="8306"/>
        </w:tabs>
        <w:rPr>
          <w:rFonts w:ascii="新宋体" w:hAnsi="新宋体" w:eastAsia="新宋体" w:cs="新宋体"/>
          <w:sz w:val="28"/>
          <w:szCs w:val="28"/>
        </w:rPr>
      </w:pPr>
      <w:r>
        <w:rPr>
          <w:rFonts w:ascii="新宋体" w:hAnsi="新宋体" w:eastAsia="新宋体" w:cs="新宋体"/>
          <w:sz w:val="28"/>
          <w:szCs w:val="28"/>
        </w:rPr>
        <w:tab/>
      </w:r>
    </w:p>
    <w:p>
      <w:pPr>
        <w:tabs>
          <w:tab w:val="left" w:pos="4950"/>
          <w:tab w:val="right" w:pos="8306"/>
        </w:tabs>
        <w:rPr>
          <w:rFonts w:ascii="新宋体" w:hAnsi="新宋体" w:eastAsia="新宋体" w:cs="新宋体"/>
          <w:sz w:val="28"/>
          <w:szCs w:val="28"/>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rPr>
          <w:rFonts w:ascii="新宋体" w:hAnsi="新宋体" w:eastAsia="新宋体" w:cs="新宋体"/>
          <w:b/>
          <w:sz w:val="24"/>
        </w:rPr>
      </w:pPr>
    </w:p>
    <w:p>
      <w:pPr>
        <w:spacing w:line="360" w:lineRule="auto"/>
        <w:rPr>
          <w:rFonts w:ascii="宋体" w:hAnsi="宋体" w:cs="宋体"/>
          <w:b/>
          <w:kern w:val="0"/>
          <w:sz w:val="24"/>
          <w:szCs w:val="20"/>
        </w:rPr>
      </w:pPr>
      <w:r>
        <w:rPr>
          <w:rFonts w:ascii="新宋体" w:hAnsi="新宋体" w:eastAsia="新宋体" w:cs="新宋体"/>
          <w:b/>
          <w:sz w:val="24"/>
        </w:rPr>
        <w:br w:type="page"/>
      </w:r>
      <w:r>
        <w:rPr>
          <w:rFonts w:hint="eastAsia" w:ascii="宋体" w:hAnsi="宋体" w:cs="宋体"/>
          <w:b/>
          <w:kern w:val="0"/>
          <w:sz w:val="24"/>
          <w:szCs w:val="20"/>
        </w:rPr>
        <w:t>9.拟派项目专职负责人一览表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276"/>
        <w:gridCol w:w="1418"/>
        <w:gridCol w:w="1417"/>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Merge w:val="restart"/>
            <w:noWrap w:val="0"/>
            <w:vAlign w:val="center"/>
          </w:tcPr>
          <w:p>
            <w:pPr>
              <w:spacing w:line="276" w:lineRule="auto"/>
              <w:rPr>
                <w:rFonts w:ascii="宋体" w:hAnsi="宋体"/>
                <w:sz w:val="24"/>
              </w:rPr>
            </w:pPr>
            <w:r>
              <w:rPr>
                <w:rFonts w:hint="eastAsia" w:ascii="宋体" w:hAnsi="宋体"/>
                <w:sz w:val="24"/>
              </w:rPr>
              <w:t>姓名</w:t>
            </w:r>
          </w:p>
        </w:tc>
        <w:tc>
          <w:tcPr>
            <w:tcW w:w="992" w:type="dxa"/>
            <w:vMerge w:val="restart"/>
            <w:noWrap w:val="0"/>
            <w:vAlign w:val="center"/>
          </w:tcPr>
          <w:p>
            <w:pPr>
              <w:spacing w:line="276" w:lineRule="auto"/>
              <w:rPr>
                <w:rFonts w:ascii="宋体" w:hAnsi="宋体"/>
                <w:sz w:val="24"/>
              </w:rPr>
            </w:pPr>
            <w:r>
              <w:rPr>
                <w:rFonts w:hint="eastAsia" w:ascii="宋体" w:hAnsi="宋体"/>
                <w:sz w:val="24"/>
              </w:rPr>
              <w:t>职称</w:t>
            </w:r>
            <w:r>
              <w:rPr>
                <w:rFonts w:ascii="宋体" w:hAnsi="宋体"/>
                <w:sz w:val="24"/>
              </w:rPr>
              <w:t>/</w:t>
            </w:r>
            <w:r>
              <w:rPr>
                <w:rFonts w:hint="eastAsia" w:ascii="宋体" w:hAnsi="宋体"/>
                <w:sz w:val="24"/>
              </w:rPr>
              <w:t>学历</w:t>
            </w:r>
          </w:p>
        </w:tc>
        <w:tc>
          <w:tcPr>
            <w:tcW w:w="1276" w:type="dxa"/>
            <w:vMerge w:val="restart"/>
            <w:noWrap w:val="0"/>
            <w:vAlign w:val="center"/>
          </w:tcPr>
          <w:p>
            <w:pPr>
              <w:spacing w:line="276" w:lineRule="auto"/>
              <w:rPr>
                <w:rFonts w:ascii="宋体" w:hAnsi="宋体"/>
                <w:sz w:val="24"/>
              </w:rPr>
            </w:pPr>
            <w:r>
              <w:rPr>
                <w:rFonts w:hint="eastAsia" w:ascii="宋体" w:hAnsi="宋体"/>
                <w:sz w:val="24"/>
              </w:rPr>
              <w:t>建议职务</w:t>
            </w:r>
          </w:p>
        </w:tc>
        <w:tc>
          <w:tcPr>
            <w:tcW w:w="1418" w:type="dxa"/>
            <w:vMerge w:val="restart"/>
            <w:noWrap w:val="0"/>
            <w:vAlign w:val="center"/>
          </w:tcPr>
          <w:p>
            <w:pPr>
              <w:spacing w:line="276" w:lineRule="auto"/>
              <w:rPr>
                <w:rFonts w:ascii="宋体" w:hAnsi="宋体"/>
                <w:sz w:val="24"/>
              </w:rPr>
            </w:pPr>
            <w:r>
              <w:rPr>
                <w:rFonts w:hint="eastAsia" w:ascii="宋体" w:hAnsi="宋体"/>
                <w:sz w:val="24"/>
              </w:rPr>
              <w:t>从事食品检验工作年限</w:t>
            </w:r>
          </w:p>
        </w:tc>
        <w:tc>
          <w:tcPr>
            <w:tcW w:w="4110" w:type="dxa"/>
            <w:gridSpan w:val="3"/>
            <w:noWrap w:val="0"/>
            <w:vAlign w:val="center"/>
          </w:tcPr>
          <w:p>
            <w:pPr>
              <w:spacing w:line="276" w:lineRule="auto"/>
              <w:jc w:val="center"/>
              <w:rPr>
                <w:rFonts w:ascii="宋体" w:hAnsi="宋体"/>
                <w:sz w:val="24"/>
              </w:rPr>
            </w:pPr>
            <w:r>
              <w:rPr>
                <w:rFonts w:hint="eastAsia" w:ascii="宋体" w:hAnsi="宋体"/>
                <w:sz w:val="24"/>
              </w:rPr>
              <w:t>资格经历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Merge w:val="continue"/>
            <w:noWrap w:val="0"/>
            <w:vAlign w:val="center"/>
          </w:tcPr>
          <w:p>
            <w:pPr>
              <w:spacing w:line="276" w:lineRule="auto"/>
              <w:rPr>
                <w:rFonts w:ascii="宋体" w:hAnsi="宋体"/>
                <w:sz w:val="24"/>
              </w:rPr>
            </w:pPr>
          </w:p>
        </w:tc>
        <w:tc>
          <w:tcPr>
            <w:tcW w:w="992" w:type="dxa"/>
            <w:vMerge w:val="continue"/>
            <w:noWrap w:val="0"/>
            <w:vAlign w:val="center"/>
          </w:tcPr>
          <w:p>
            <w:pPr>
              <w:spacing w:line="276" w:lineRule="auto"/>
              <w:rPr>
                <w:rFonts w:ascii="宋体" w:hAnsi="宋体"/>
                <w:sz w:val="24"/>
              </w:rPr>
            </w:pPr>
          </w:p>
        </w:tc>
        <w:tc>
          <w:tcPr>
            <w:tcW w:w="1276" w:type="dxa"/>
            <w:vMerge w:val="continue"/>
            <w:noWrap w:val="0"/>
            <w:vAlign w:val="center"/>
          </w:tcPr>
          <w:p>
            <w:pPr>
              <w:spacing w:line="276" w:lineRule="auto"/>
              <w:rPr>
                <w:rFonts w:ascii="宋体" w:hAnsi="宋体"/>
                <w:sz w:val="24"/>
              </w:rPr>
            </w:pPr>
          </w:p>
        </w:tc>
        <w:tc>
          <w:tcPr>
            <w:tcW w:w="1418" w:type="dxa"/>
            <w:vMerge w:val="continue"/>
            <w:noWrap w:val="0"/>
            <w:vAlign w:val="center"/>
          </w:tcPr>
          <w:p>
            <w:pPr>
              <w:spacing w:line="276" w:lineRule="auto"/>
              <w:rPr>
                <w:rFonts w:ascii="宋体" w:hAnsi="宋体"/>
                <w:sz w:val="24"/>
              </w:rPr>
            </w:pPr>
          </w:p>
        </w:tc>
        <w:tc>
          <w:tcPr>
            <w:tcW w:w="1417" w:type="dxa"/>
            <w:noWrap w:val="0"/>
            <w:vAlign w:val="center"/>
          </w:tcPr>
          <w:p>
            <w:pPr>
              <w:spacing w:line="276" w:lineRule="auto"/>
              <w:jc w:val="center"/>
              <w:rPr>
                <w:rFonts w:hint="eastAsia" w:ascii="宋体" w:hAnsi="宋体"/>
                <w:sz w:val="24"/>
              </w:rPr>
            </w:pPr>
            <w:r>
              <w:rPr>
                <w:rFonts w:hint="eastAsia" w:ascii="宋体" w:hAnsi="宋体"/>
                <w:sz w:val="24"/>
              </w:rPr>
              <w:t>食品检验</w:t>
            </w:r>
          </w:p>
          <w:p>
            <w:pPr>
              <w:spacing w:line="276" w:lineRule="auto"/>
              <w:jc w:val="center"/>
              <w:rPr>
                <w:rFonts w:ascii="宋体" w:hAnsi="宋体"/>
                <w:sz w:val="24"/>
              </w:rPr>
            </w:pPr>
            <w:r>
              <w:rPr>
                <w:rFonts w:hint="eastAsia" w:ascii="宋体" w:hAnsi="宋体"/>
                <w:sz w:val="24"/>
              </w:rPr>
              <w:t>业务规模</w:t>
            </w:r>
          </w:p>
        </w:tc>
        <w:tc>
          <w:tcPr>
            <w:tcW w:w="1276" w:type="dxa"/>
            <w:noWrap w:val="0"/>
            <w:vAlign w:val="center"/>
          </w:tcPr>
          <w:p>
            <w:pPr>
              <w:spacing w:line="276" w:lineRule="auto"/>
              <w:jc w:val="center"/>
              <w:rPr>
                <w:rFonts w:ascii="宋体" w:hAnsi="宋体"/>
                <w:sz w:val="24"/>
              </w:rPr>
            </w:pPr>
            <w:r>
              <w:rPr>
                <w:rFonts w:hint="eastAsia" w:ascii="宋体" w:hAnsi="宋体"/>
                <w:sz w:val="24"/>
              </w:rPr>
              <w:t>检验批次</w:t>
            </w:r>
          </w:p>
        </w:tc>
        <w:tc>
          <w:tcPr>
            <w:tcW w:w="1417" w:type="dxa"/>
            <w:noWrap w:val="0"/>
            <w:vAlign w:val="center"/>
          </w:tcPr>
          <w:p>
            <w:pPr>
              <w:spacing w:line="276" w:lineRule="auto"/>
              <w:jc w:val="center"/>
              <w:rPr>
                <w:rFonts w:hint="eastAsia" w:ascii="宋体" w:hAnsi="宋体"/>
                <w:sz w:val="24"/>
              </w:rPr>
            </w:pPr>
            <w:r>
              <w:rPr>
                <w:rFonts w:hint="eastAsia" w:ascii="宋体" w:hAnsi="宋体"/>
                <w:sz w:val="24"/>
              </w:rPr>
              <w:t>个人工作</w:t>
            </w:r>
          </w:p>
          <w:p>
            <w:pPr>
              <w:spacing w:line="276" w:lineRule="auto"/>
              <w:jc w:val="center"/>
              <w:rPr>
                <w:rFonts w:ascii="宋体" w:hAnsi="宋体"/>
                <w:sz w:val="24"/>
              </w:rPr>
            </w:pPr>
            <w:r>
              <w:rPr>
                <w:rFonts w:hint="eastAsia" w:ascii="宋体" w:hAnsi="宋体"/>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pPr>
              <w:spacing w:line="360" w:lineRule="auto"/>
              <w:rPr>
                <w:rFonts w:ascii="宋体" w:hAnsi="宋体"/>
                <w:sz w:val="24"/>
              </w:rPr>
            </w:pPr>
          </w:p>
        </w:tc>
        <w:tc>
          <w:tcPr>
            <w:tcW w:w="992"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8"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c>
          <w:tcPr>
            <w:tcW w:w="1276" w:type="dxa"/>
            <w:noWrap w:val="0"/>
            <w:vAlign w:val="center"/>
          </w:tcPr>
          <w:p>
            <w:pPr>
              <w:spacing w:line="360" w:lineRule="auto"/>
              <w:rPr>
                <w:rFonts w:ascii="宋体" w:hAnsi="宋体"/>
                <w:sz w:val="24"/>
              </w:rPr>
            </w:pPr>
          </w:p>
        </w:tc>
        <w:tc>
          <w:tcPr>
            <w:tcW w:w="1417" w:type="dxa"/>
            <w:noWrap w:val="0"/>
            <w:vAlign w:val="center"/>
          </w:tcPr>
          <w:p>
            <w:pPr>
              <w:spacing w:line="360" w:lineRule="auto"/>
              <w:rPr>
                <w:rFonts w:ascii="宋体" w:hAnsi="宋体"/>
                <w:sz w:val="24"/>
              </w:rPr>
            </w:pPr>
          </w:p>
        </w:tc>
      </w:tr>
    </w:tbl>
    <w:p>
      <w:pPr>
        <w:pStyle w:val="7"/>
        <w:ind w:left="0" w:leftChars="0"/>
        <w:rPr>
          <w:rFonts w:ascii="新宋体" w:hAnsi="新宋体" w:eastAsia="新宋体" w:cs="新宋体"/>
          <w:bCs/>
          <w:sz w:val="24"/>
        </w:rPr>
      </w:pPr>
      <w:r>
        <w:rPr>
          <w:rFonts w:hint="eastAsia" w:ascii="新宋体" w:hAnsi="新宋体" w:eastAsia="新宋体" w:cs="新宋体"/>
          <w:bCs/>
          <w:sz w:val="24"/>
        </w:rPr>
        <w:t>（注：每人业绩应列出细目，数量不限）</w:t>
      </w:r>
    </w:p>
    <w:p>
      <w:pPr>
        <w:pStyle w:val="7"/>
        <w:spacing w:line="360" w:lineRule="auto"/>
        <w:ind w:left="1071" w:leftChars="510" w:firstLine="5726" w:firstLineChars="2727"/>
        <w:rPr>
          <w:rFonts w:ascii="新宋体" w:hAnsi="新宋体" w:eastAsia="新宋体" w:cs="新宋体"/>
          <w:bCs/>
          <w:szCs w:val="30"/>
        </w:rPr>
      </w:pPr>
    </w:p>
    <w:p>
      <w:pPr>
        <w:spacing w:line="360" w:lineRule="auto"/>
        <w:ind w:firstLine="3600" w:firstLineChars="125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600" w:firstLineChars="125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7" w:leftChars="-95" w:right="452" w:hanging="192" w:hangingChars="67"/>
        <w:jc w:val="center"/>
        <w:rPr>
          <w:rFonts w:hint="eastAsia" w:ascii="宋体" w:hAnsi="宋体"/>
          <w:spacing w:val="24"/>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480" w:lineRule="auto"/>
        <w:ind w:left="-7" w:leftChars="-95" w:right="452" w:hanging="192" w:hangingChars="67"/>
        <w:jc w:val="center"/>
        <w:rPr>
          <w:rFonts w:hint="eastAsia" w:ascii="宋体" w:hAnsi="宋体"/>
          <w:spacing w:val="24"/>
          <w:sz w:val="24"/>
        </w:rPr>
      </w:pPr>
    </w:p>
    <w:p>
      <w:pPr>
        <w:spacing w:line="480" w:lineRule="auto"/>
        <w:ind w:left="-7" w:leftChars="-95" w:right="452" w:hanging="192" w:hangingChars="67"/>
        <w:jc w:val="center"/>
        <w:rPr>
          <w:rFonts w:ascii="宋体" w:hAnsi="宋体"/>
          <w:spacing w:val="24"/>
          <w:sz w:val="24"/>
        </w:rPr>
      </w:pPr>
    </w:p>
    <w:p>
      <w:pPr>
        <w:numPr>
          <w:ilvl w:val="0"/>
          <w:numId w:val="0"/>
        </w:numPr>
        <w:spacing w:line="360" w:lineRule="auto"/>
        <w:jc w:val="center"/>
        <w:rPr>
          <w:rFonts w:hint="eastAsia" w:ascii="宋体" w:hAnsi="宋体" w:cs="宋体-PUA"/>
          <w:sz w:val="24"/>
        </w:rPr>
      </w:pPr>
      <w:r>
        <w:rPr>
          <w:rFonts w:ascii="宋体" w:hAnsi="宋体"/>
          <w:spacing w:val="24"/>
          <w:sz w:val="24"/>
        </w:rPr>
        <w:br w:type="page"/>
      </w:r>
      <w:bookmarkStart w:id="289" w:name="_Toc101344081"/>
      <w:r>
        <w:rPr>
          <w:rFonts w:hint="eastAsia" w:ascii="宋体" w:hAnsi="宋体" w:cs="宋体-PUA"/>
          <w:b/>
          <w:bCs/>
          <w:sz w:val="32"/>
        </w:rPr>
        <w:t>六、</w:t>
      </w:r>
      <w:bookmarkEnd w:id="289"/>
      <w:r>
        <w:rPr>
          <w:rFonts w:hint="eastAsia" w:ascii="宋体" w:hAnsi="宋体" w:cs="宋体-PUA"/>
          <w:b/>
          <w:bCs/>
          <w:sz w:val="32"/>
        </w:rPr>
        <w:t>商务标</w:t>
      </w:r>
    </w:p>
    <w:p>
      <w:pPr>
        <w:autoSpaceDE w:val="0"/>
        <w:autoSpaceDN w:val="0"/>
        <w:adjustRightInd w:val="0"/>
        <w:spacing w:line="420" w:lineRule="exact"/>
        <w:jc w:val="left"/>
        <w:rPr>
          <w:rFonts w:hint="eastAsia" w:ascii="宋体" w:hAnsi="宋体" w:cs="宋体"/>
          <w:sz w:val="32"/>
        </w:rPr>
      </w:pPr>
      <w:r>
        <w:rPr>
          <w:rFonts w:hint="eastAsia" w:ascii="宋体" w:hAnsi="宋体" w:cs="宋体"/>
          <w:sz w:val="28"/>
        </w:rPr>
        <w:t>1、业绩</w:t>
      </w:r>
    </w:p>
    <w:p>
      <w:pPr>
        <w:spacing w:line="360" w:lineRule="auto"/>
        <w:ind w:left="-3" w:leftChars="-95" w:right="452" w:hanging="196" w:hangingChars="67"/>
        <w:jc w:val="center"/>
        <w:rPr>
          <w:rFonts w:hint="eastAsia" w:ascii="宋体" w:hAnsi="宋体"/>
          <w:b/>
          <w:sz w:val="28"/>
          <w:szCs w:val="28"/>
        </w:rPr>
      </w:pPr>
      <w:r>
        <w:rPr>
          <w:rFonts w:hint="eastAsia" w:ascii="宋体" w:hAnsi="宋体"/>
          <w:b/>
          <w:spacing w:val="6"/>
          <w:sz w:val="28"/>
          <w:szCs w:val="28"/>
        </w:rPr>
        <w:t>供应商20</w:t>
      </w:r>
      <w:r>
        <w:rPr>
          <w:rFonts w:hint="eastAsia" w:ascii="宋体" w:hAnsi="宋体"/>
          <w:b/>
          <w:spacing w:val="6"/>
          <w:sz w:val="28"/>
          <w:szCs w:val="28"/>
          <w:lang w:val="en-US" w:eastAsia="zh-CN"/>
        </w:rPr>
        <w:t>21</w:t>
      </w:r>
      <w:r>
        <w:rPr>
          <w:rFonts w:hint="eastAsia" w:ascii="宋体" w:hAnsi="宋体"/>
          <w:b/>
          <w:spacing w:val="6"/>
          <w:sz w:val="28"/>
          <w:szCs w:val="28"/>
        </w:rPr>
        <w:t>年01月01日以来类似项目业绩一览表</w:t>
      </w:r>
    </w:p>
    <w:tbl>
      <w:tblPr>
        <w:tblStyle w:val="15"/>
        <w:tblW w:w="864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79"/>
        <w:gridCol w:w="1357"/>
        <w:gridCol w:w="1244"/>
        <w:gridCol w:w="1414"/>
        <w:gridCol w:w="1417"/>
        <w:gridCol w:w="1418"/>
        <w:gridCol w:w="11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679" w:type="dxa"/>
            <w:tcBorders>
              <w:top w:val="single" w:color="auto" w:sz="4" w:space="0"/>
              <w:left w:val="single" w:color="auto" w:sz="4" w:space="0"/>
              <w:bottom w:val="single" w:color="auto" w:sz="6" w:space="0"/>
              <w:right w:val="single" w:color="auto" w:sz="6" w:space="0"/>
            </w:tcBorders>
            <w:noWrap w:val="0"/>
            <w:vAlign w:val="center"/>
          </w:tcPr>
          <w:p>
            <w:pPr>
              <w:spacing w:line="400" w:lineRule="exact"/>
              <w:rPr>
                <w:rFonts w:ascii="宋体" w:cs="Arial"/>
                <w:sz w:val="24"/>
              </w:rPr>
            </w:pPr>
            <w:r>
              <w:rPr>
                <w:rFonts w:hint="eastAsia" w:ascii="宋体" w:hAnsi="宋体" w:cs="Arial"/>
                <w:sz w:val="24"/>
              </w:rPr>
              <w:t>序号</w:t>
            </w:r>
          </w:p>
        </w:tc>
        <w:tc>
          <w:tcPr>
            <w:tcW w:w="1357"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Arial"/>
                <w:sz w:val="24"/>
              </w:rPr>
              <w:t>项目名称</w:t>
            </w:r>
          </w:p>
        </w:tc>
        <w:tc>
          <w:tcPr>
            <w:tcW w:w="1244" w:type="dxa"/>
            <w:tcBorders>
              <w:top w:val="single" w:color="auto" w:sz="4"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Arial"/>
                <w:sz w:val="24"/>
              </w:rPr>
              <w:t>发包人名称</w:t>
            </w:r>
          </w:p>
        </w:tc>
        <w:tc>
          <w:tcPr>
            <w:tcW w:w="1414" w:type="dxa"/>
            <w:tcBorders>
              <w:top w:val="single" w:color="auto" w:sz="4" w:space="0"/>
              <w:left w:val="single" w:color="auto" w:sz="6" w:space="0"/>
              <w:bottom w:val="single" w:color="auto" w:sz="6" w:space="0"/>
              <w:right w:val="single" w:color="auto" w:sz="6" w:space="0"/>
            </w:tcBorders>
            <w:noWrap w:val="0"/>
            <w:vAlign w:val="center"/>
          </w:tcPr>
          <w:p>
            <w:pPr>
              <w:spacing w:line="400" w:lineRule="exact"/>
              <w:ind w:firstLine="120" w:firstLineChars="50"/>
              <w:rPr>
                <w:rFonts w:ascii="宋体" w:cs="Arial"/>
                <w:sz w:val="24"/>
              </w:rPr>
            </w:pPr>
            <w:r>
              <w:rPr>
                <w:rFonts w:hint="eastAsia" w:ascii="宋体" w:hAnsi="宋体" w:cs="Arial"/>
                <w:sz w:val="24"/>
              </w:rPr>
              <w:t>合同金额</w:t>
            </w:r>
          </w:p>
        </w:tc>
        <w:tc>
          <w:tcPr>
            <w:tcW w:w="1417" w:type="dxa"/>
            <w:tcBorders>
              <w:top w:val="single" w:color="auto" w:sz="4" w:space="0"/>
              <w:left w:val="single" w:color="auto" w:sz="6" w:space="0"/>
              <w:bottom w:val="single" w:color="auto" w:sz="6" w:space="0"/>
              <w:right w:val="single" w:color="auto" w:sz="4" w:space="0"/>
            </w:tcBorders>
            <w:noWrap w:val="0"/>
            <w:vAlign w:val="center"/>
          </w:tcPr>
          <w:p>
            <w:pPr>
              <w:spacing w:line="240" w:lineRule="atLeast"/>
              <w:jc w:val="center"/>
              <w:rPr>
                <w:rFonts w:ascii="宋体" w:cs="Arial"/>
                <w:sz w:val="24"/>
              </w:rPr>
            </w:pPr>
            <w:r>
              <w:rPr>
                <w:rFonts w:hint="eastAsia" w:ascii="宋体" w:hAnsi="宋体" w:cs="Arial"/>
                <w:sz w:val="24"/>
              </w:rPr>
              <w:t>完成</w:t>
            </w:r>
          </w:p>
          <w:p>
            <w:pPr>
              <w:spacing w:line="240" w:lineRule="atLeast"/>
              <w:jc w:val="center"/>
              <w:rPr>
                <w:rFonts w:ascii="宋体" w:cs="Arial"/>
                <w:sz w:val="24"/>
              </w:rPr>
            </w:pPr>
            <w:r>
              <w:rPr>
                <w:rFonts w:hint="eastAsia" w:ascii="宋体" w:hAnsi="宋体" w:cs="Arial"/>
                <w:sz w:val="24"/>
              </w:rPr>
              <w:t>项目质量</w:t>
            </w:r>
          </w:p>
        </w:tc>
        <w:tc>
          <w:tcPr>
            <w:tcW w:w="1418" w:type="dxa"/>
            <w:tcBorders>
              <w:top w:val="single" w:color="auto" w:sz="4"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r>
              <w:rPr>
                <w:rFonts w:hint="eastAsia" w:ascii="宋体" w:hAnsi="宋体" w:cs="宋体"/>
                <w:sz w:val="24"/>
              </w:rPr>
              <w:t>完成日期</w:t>
            </w:r>
          </w:p>
        </w:tc>
        <w:tc>
          <w:tcPr>
            <w:tcW w:w="1118" w:type="dxa"/>
            <w:tcBorders>
              <w:top w:val="single" w:color="auto" w:sz="4"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35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244"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417" w:type="dxa"/>
            <w:tcBorders>
              <w:top w:val="single" w:color="auto" w:sz="6" w:space="0"/>
              <w:left w:val="single" w:color="auto" w:sz="6" w:space="0"/>
              <w:bottom w:val="single" w:color="auto" w:sz="6" w:space="0"/>
              <w:right w:val="single" w:color="auto" w:sz="4" w:space="0"/>
            </w:tcBorders>
            <w:noWrap w:val="0"/>
            <w:vAlign w:val="center"/>
          </w:tcPr>
          <w:p>
            <w:pPr>
              <w:spacing w:line="400" w:lineRule="exact"/>
              <w:jc w:val="center"/>
              <w:rPr>
                <w:rFonts w:ascii="宋体" w:cs="Arial"/>
                <w:sz w:val="24"/>
              </w:rPr>
            </w:pPr>
          </w:p>
        </w:tc>
        <w:tc>
          <w:tcPr>
            <w:tcW w:w="1418" w:type="dxa"/>
            <w:tcBorders>
              <w:top w:val="single" w:color="auto" w:sz="6" w:space="0"/>
              <w:left w:val="single" w:color="auto" w:sz="4" w:space="0"/>
              <w:bottom w:val="single" w:color="auto" w:sz="6" w:space="0"/>
              <w:right w:val="single" w:color="auto" w:sz="6" w:space="0"/>
            </w:tcBorders>
            <w:noWrap w:val="0"/>
            <w:vAlign w:val="center"/>
          </w:tcPr>
          <w:p>
            <w:pPr>
              <w:spacing w:line="400" w:lineRule="exact"/>
              <w:jc w:val="center"/>
              <w:rPr>
                <w:rFonts w:ascii="宋体" w:cs="Arial"/>
                <w:sz w:val="24"/>
              </w:rPr>
            </w:pPr>
          </w:p>
        </w:tc>
        <w:tc>
          <w:tcPr>
            <w:tcW w:w="111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jc w:val="center"/>
              <w:rPr>
                <w:rFonts w:ascii="宋体" w:cs="Arial"/>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679"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357"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244"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4"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7"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c>
          <w:tcPr>
            <w:tcW w:w="1418" w:type="dxa"/>
            <w:tcBorders>
              <w:top w:val="single" w:color="auto" w:sz="6" w:space="0"/>
              <w:left w:val="single" w:color="auto" w:sz="4" w:space="0"/>
              <w:bottom w:val="single" w:color="auto" w:sz="4" w:space="0"/>
              <w:right w:val="single" w:color="auto" w:sz="6" w:space="0"/>
            </w:tcBorders>
            <w:noWrap w:val="0"/>
            <w:vAlign w:val="center"/>
          </w:tcPr>
          <w:p>
            <w:pPr>
              <w:spacing w:line="400" w:lineRule="exact"/>
              <w:rPr>
                <w:rFonts w:ascii="宋体" w:cs="Arial"/>
                <w:sz w:val="24"/>
              </w:rPr>
            </w:pPr>
          </w:p>
        </w:tc>
        <w:tc>
          <w:tcPr>
            <w:tcW w:w="1118" w:type="dxa"/>
            <w:tcBorders>
              <w:top w:val="single" w:color="auto" w:sz="6" w:space="0"/>
              <w:left w:val="single" w:color="auto" w:sz="4" w:space="0"/>
              <w:bottom w:val="single" w:color="auto" w:sz="4" w:space="0"/>
              <w:right w:val="single" w:color="auto" w:sz="4" w:space="0"/>
            </w:tcBorders>
            <w:noWrap w:val="0"/>
            <w:vAlign w:val="center"/>
          </w:tcPr>
          <w:p>
            <w:pPr>
              <w:spacing w:line="400" w:lineRule="exact"/>
              <w:rPr>
                <w:rFonts w:ascii="宋体" w:cs="Arial"/>
                <w:sz w:val="24"/>
              </w:rPr>
            </w:pPr>
          </w:p>
        </w:tc>
      </w:tr>
    </w:tbl>
    <w:p>
      <w:pPr>
        <w:tabs>
          <w:tab w:val="left" w:pos="8782"/>
        </w:tabs>
        <w:snapToGrid w:val="0"/>
        <w:ind w:left="503" w:leftChars="50" w:right="-38" w:hanging="398" w:hangingChars="166"/>
        <w:rPr>
          <w:rFonts w:ascii="仿宋_GB2312" w:hAnsi="宋体" w:eastAsia="仿宋_GB2312"/>
          <w:sz w:val="24"/>
        </w:rPr>
      </w:pPr>
      <w:r>
        <w:rPr>
          <w:rFonts w:hint="eastAsia" w:ascii="宋体" w:hAnsi="宋体" w:cs="宋体"/>
          <w:sz w:val="24"/>
        </w:rPr>
        <w:t>注：应后附表中所列项目的服务合同</w:t>
      </w:r>
      <w:r>
        <w:rPr>
          <w:rFonts w:hint="eastAsia" w:ascii="宋体" w:hAnsi="宋体" w:cs="宋体"/>
          <w:sz w:val="24"/>
          <w:lang w:eastAsia="zh-CN"/>
        </w:rPr>
        <w:t>及中标通知书</w:t>
      </w:r>
      <w:r>
        <w:rPr>
          <w:rFonts w:hint="eastAsia" w:ascii="宋体" w:hAnsi="宋体" w:cs="宋体"/>
          <w:sz w:val="24"/>
        </w:rPr>
        <w:t>原件扫描件，并逐页加盖电子签章。</w:t>
      </w:r>
    </w:p>
    <w:p>
      <w:pPr>
        <w:autoSpaceDE w:val="0"/>
        <w:autoSpaceDN w:val="0"/>
        <w:adjustRightInd w:val="0"/>
        <w:spacing w:line="420" w:lineRule="exact"/>
        <w:jc w:val="center"/>
        <w:rPr>
          <w:rFonts w:hint="eastAsia" w:ascii="宋体" w:hAnsi="宋体" w:cs="宋体"/>
          <w:sz w:val="24"/>
        </w:rPr>
      </w:pPr>
    </w:p>
    <w:p>
      <w:pPr>
        <w:autoSpaceDE w:val="0"/>
        <w:autoSpaceDN w:val="0"/>
        <w:adjustRightInd w:val="0"/>
        <w:spacing w:line="420" w:lineRule="exact"/>
        <w:jc w:val="left"/>
        <w:rPr>
          <w:rFonts w:hint="eastAsia"/>
          <w:b/>
          <w:bCs/>
        </w:rPr>
      </w:pPr>
      <w:r>
        <w:rPr>
          <w:b/>
          <w:bCs/>
        </w:rPr>
        <w:br w:type="page"/>
      </w:r>
      <w:r>
        <w:rPr>
          <w:rFonts w:hint="eastAsia" w:ascii="宋体" w:hAnsi="宋体" w:cs="宋体"/>
          <w:sz w:val="28"/>
        </w:rPr>
        <w:t>2、项目整体方案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199" w:leftChars="-95" w:right="452" w:firstLine="3772" w:firstLineChars="1310"/>
        <w:jc w:val="center"/>
        <w:rPr>
          <w:rFonts w:ascii="宋体" w:hAnsi="宋体"/>
          <w:spacing w:val="24"/>
          <w:sz w:val="24"/>
        </w:rPr>
      </w:pP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autoSpaceDE w:val="0"/>
        <w:autoSpaceDN w:val="0"/>
        <w:adjustRightInd w:val="0"/>
        <w:spacing w:line="420" w:lineRule="exact"/>
        <w:jc w:val="left"/>
        <w:rPr>
          <w:rFonts w:hint="eastAsia" w:ascii="宋体" w:hAnsi="宋体" w:cs="宋体-PUA"/>
          <w:sz w:val="24"/>
        </w:rPr>
      </w:pPr>
      <w:r>
        <w:rPr>
          <w:rFonts w:ascii="宋体" w:hAnsi="宋体" w:cs="宋体-PUA"/>
          <w:sz w:val="24"/>
        </w:rPr>
        <w:br w:type="page"/>
      </w:r>
      <w:bookmarkStart w:id="290" w:name="_Toc101344082"/>
      <w:r>
        <w:rPr>
          <w:rFonts w:hint="eastAsia" w:ascii="宋体" w:hAnsi="宋体" w:cs="宋体"/>
          <w:sz w:val="28"/>
        </w:rPr>
        <w:t>3、</w:t>
      </w:r>
      <w:bookmarkEnd w:id="290"/>
      <w:r>
        <w:rPr>
          <w:rFonts w:hint="eastAsia" w:ascii="宋体" w:hAnsi="宋体" w:cs="宋体"/>
          <w:sz w:val="28"/>
        </w:rPr>
        <w:t>项目实施计划</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480" w:lineRule="auto"/>
        <w:ind w:left="-199" w:leftChars="-95" w:right="452" w:firstLine="3772" w:firstLineChars="1310"/>
        <w:jc w:val="center"/>
        <w:rPr>
          <w:rFonts w:ascii="宋体" w:hAnsi="宋体"/>
          <w:spacing w:val="24"/>
          <w:sz w:val="24"/>
        </w:rPr>
      </w:pP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480" w:lineRule="auto"/>
        <w:ind w:left="-39" w:leftChars="-95" w:right="452" w:hanging="160" w:hangingChars="67"/>
        <w:jc w:val="center"/>
        <w:rPr>
          <w:rFonts w:hint="eastAsia" w:ascii="宋体" w:hAnsi="宋体" w:cs="宋体-PUA"/>
          <w:sz w:val="24"/>
        </w:rPr>
      </w:pPr>
    </w:p>
    <w:p>
      <w:pPr>
        <w:spacing w:line="360" w:lineRule="auto"/>
        <w:jc w:val="both"/>
        <w:rPr>
          <w:rFonts w:hint="eastAsia" w:ascii="宋体" w:hAnsi="宋体" w:eastAsia="宋体" w:cs="宋体"/>
          <w:sz w:val="28"/>
        </w:rPr>
      </w:pPr>
      <w:r>
        <w:rPr>
          <w:rFonts w:ascii="宋体" w:hAnsi="宋体" w:cs="宋体-PUA"/>
          <w:sz w:val="24"/>
        </w:rPr>
        <w:br w:type="page"/>
      </w:r>
      <w:bookmarkEnd w:id="272"/>
      <w:bookmarkEnd w:id="273"/>
      <w:bookmarkEnd w:id="274"/>
      <w:bookmarkEnd w:id="275"/>
      <w:bookmarkEnd w:id="276"/>
      <w:bookmarkEnd w:id="277"/>
      <w:bookmarkEnd w:id="278"/>
      <w:bookmarkEnd w:id="279"/>
      <w:bookmarkEnd w:id="287"/>
      <w:bookmarkEnd w:id="288"/>
      <w:bookmarkStart w:id="291" w:name="_Toc23393"/>
      <w:bookmarkStart w:id="292" w:name="_Toc68710949"/>
      <w:bookmarkStart w:id="293" w:name="_Toc101344084"/>
      <w:r>
        <w:rPr>
          <w:rFonts w:hint="eastAsia" w:ascii="宋体" w:hAnsi="宋体" w:eastAsia="宋体" w:cs="宋体"/>
          <w:sz w:val="28"/>
          <w:lang w:val="en-US" w:eastAsia="zh-CN"/>
        </w:rPr>
        <w:t>4、</w:t>
      </w:r>
      <w:r>
        <w:rPr>
          <w:rFonts w:hint="eastAsia" w:ascii="宋体" w:hAnsi="宋体" w:eastAsia="宋体" w:cs="宋体"/>
          <w:sz w:val="28"/>
        </w:rPr>
        <w:t>检验人员培训方案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360" w:lineRule="auto"/>
        <w:jc w:val="center"/>
        <w:rPr>
          <w:rFonts w:hint="eastAsia" w:ascii="宋体" w:hAnsi="宋体"/>
          <w:spacing w:val="24"/>
          <w:sz w:val="24"/>
        </w:rPr>
      </w:pPr>
      <w:r>
        <w:rPr>
          <w:rFonts w:hint="eastAsia" w:ascii="宋体" w:hAnsi="宋体"/>
          <w:spacing w:val="24"/>
          <w:sz w:val="24"/>
          <w:lang w:val="en-US" w:eastAsia="zh-CN"/>
        </w:rPr>
        <w:t xml:space="preserve">                </w:t>
      </w: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jc w:val="left"/>
        <w:rPr>
          <w:rFonts w:hint="eastAsia" w:ascii="宋体" w:hAnsi="宋体" w:eastAsia="宋体" w:cs="宋体"/>
          <w:sz w:val="28"/>
        </w:rPr>
      </w:pPr>
      <w:r>
        <w:rPr>
          <w:rFonts w:hint="eastAsia" w:ascii="宋体" w:hAnsi="宋体" w:eastAsia="宋体" w:cs="宋体"/>
          <w:sz w:val="28"/>
          <w:lang w:val="en-US" w:eastAsia="zh-CN"/>
        </w:rPr>
        <w:br w:type="page"/>
      </w:r>
      <w:r>
        <w:rPr>
          <w:rFonts w:hint="eastAsia" w:ascii="宋体" w:hAnsi="宋体" w:eastAsia="宋体" w:cs="宋体"/>
          <w:sz w:val="28"/>
          <w:lang w:val="en-US" w:eastAsia="zh-CN"/>
        </w:rPr>
        <w:t>5、</w:t>
      </w:r>
      <w:r>
        <w:rPr>
          <w:rFonts w:hint="eastAsia" w:ascii="宋体" w:hAnsi="宋体" w:eastAsia="宋体" w:cs="宋体"/>
          <w:sz w:val="28"/>
        </w:rPr>
        <w:t>应急处理方案</w:t>
      </w:r>
    </w:p>
    <w:p>
      <w:pPr>
        <w:autoSpaceDE w:val="0"/>
        <w:autoSpaceDN w:val="0"/>
        <w:adjustRightInd w:val="0"/>
        <w:spacing w:line="420" w:lineRule="exact"/>
        <w:jc w:val="center"/>
        <w:rPr>
          <w:rFonts w:ascii="宋体" w:hAnsi="宋体" w:cs="宋体"/>
          <w:kern w:val="0"/>
          <w:sz w:val="24"/>
        </w:rPr>
      </w:pPr>
      <w:r>
        <w:rPr>
          <w:rFonts w:hint="eastAsia" w:ascii="宋体" w:hAnsi="宋体" w:cs="宋体"/>
          <w:sz w:val="24"/>
        </w:rPr>
        <w:t>（</w:t>
      </w:r>
      <w:r>
        <w:rPr>
          <w:rFonts w:hint="eastAsia" w:ascii="宋体" w:hAnsi="宋体" w:cs="宋体"/>
          <w:kern w:val="0"/>
          <w:sz w:val="24"/>
          <w:szCs w:val="20"/>
        </w:rPr>
        <w:t>格式自拟，应逐页加盖企业及法人电子签章；</w:t>
      </w:r>
      <w:r>
        <w:rPr>
          <w:rFonts w:hint="eastAsia" w:ascii="宋体" w:hAnsi="宋体" w:cs="宋体"/>
          <w:sz w:val="24"/>
        </w:rPr>
        <w:t>）</w:t>
      </w:r>
    </w:p>
    <w:p>
      <w:pPr>
        <w:spacing w:line="360" w:lineRule="auto"/>
        <w:ind w:firstLine="535" w:firstLineChars="250"/>
        <w:rPr>
          <w:rFonts w:hint="eastAsia" w:ascii="宋体" w:hAnsi="宋体"/>
          <w:spacing w:val="2"/>
        </w:rPr>
      </w:pPr>
    </w:p>
    <w:p>
      <w:pPr>
        <w:spacing w:line="480" w:lineRule="auto"/>
        <w:ind w:left="-28" w:leftChars="-95" w:right="452" w:hanging="171" w:hangingChars="67"/>
        <w:jc w:val="center"/>
        <w:rPr>
          <w:rFonts w:hint="eastAsia" w:ascii="宋体" w:hAnsi="宋体" w:cs="宋体"/>
          <w:spacing w:val="8"/>
          <w:sz w:val="24"/>
        </w:rPr>
      </w:pPr>
      <w:r>
        <w:rPr>
          <w:rFonts w:hint="eastAsia" w:ascii="宋体" w:hAnsi="宋体" w:cs="宋体"/>
          <w:spacing w:val="8"/>
          <w:sz w:val="24"/>
        </w:rPr>
        <w:t xml:space="preserve">                     </w:t>
      </w: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480" w:lineRule="auto"/>
        <w:ind w:left="-28" w:leftChars="-95" w:right="452" w:hanging="171" w:hangingChars="67"/>
        <w:jc w:val="center"/>
        <w:rPr>
          <w:rFonts w:hint="eastAsia" w:ascii="宋体" w:hAnsi="宋体" w:cs="宋体"/>
          <w:spacing w:val="8"/>
          <w:sz w:val="24"/>
        </w:rPr>
      </w:pPr>
    </w:p>
    <w:p>
      <w:pPr>
        <w:spacing w:line="360" w:lineRule="auto"/>
        <w:ind w:firstLine="3772" w:firstLineChars="131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单位电子签章</w:t>
      </w:r>
      <w:r>
        <w:rPr>
          <w:rFonts w:hint="eastAsia" w:ascii="宋体" w:hAnsi="宋体"/>
          <w:spacing w:val="24"/>
          <w:sz w:val="24"/>
        </w:rPr>
        <w:t>）</w:t>
      </w:r>
    </w:p>
    <w:p>
      <w:pPr>
        <w:spacing w:line="360" w:lineRule="auto"/>
        <w:ind w:firstLine="3772" w:firstLineChars="131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color w:val="000000"/>
          <w:sz w:val="24"/>
          <w:lang w:val="zh-CN" w:bidi="zh-CN"/>
        </w:rPr>
        <w:t>法人电子签章</w:t>
      </w:r>
      <w:r>
        <w:rPr>
          <w:rFonts w:hint="eastAsia" w:ascii="宋体" w:hAnsi="宋体"/>
          <w:spacing w:val="24"/>
          <w:sz w:val="24"/>
        </w:rPr>
        <w:t>）</w:t>
      </w:r>
    </w:p>
    <w:p>
      <w:pPr>
        <w:spacing w:line="360" w:lineRule="auto"/>
        <w:jc w:val="center"/>
        <w:rPr>
          <w:rFonts w:hint="eastAsia" w:ascii="宋体" w:hAnsi="宋体"/>
          <w:spacing w:val="24"/>
          <w:sz w:val="24"/>
        </w:rPr>
      </w:pPr>
      <w:r>
        <w:rPr>
          <w:rFonts w:hint="eastAsia" w:ascii="宋体" w:hAnsi="宋体"/>
          <w:spacing w:val="24"/>
          <w:sz w:val="24"/>
          <w:lang w:val="en-US" w:eastAsia="zh-CN"/>
        </w:rPr>
        <w:t xml:space="preserve">                </w:t>
      </w:r>
      <w:r>
        <w:rPr>
          <w:rFonts w:hint="eastAsia" w:ascii="宋体" w:hAnsi="宋体"/>
          <w:spacing w:val="24"/>
          <w:sz w:val="24"/>
        </w:rPr>
        <w:t>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pPr>
        <w:spacing w:line="360" w:lineRule="auto"/>
        <w:jc w:val="center"/>
        <w:rPr>
          <w:rFonts w:hint="eastAsia" w:ascii="宋体" w:hAnsi="宋体" w:cs="宋体"/>
          <w:b/>
          <w:kern w:val="0"/>
          <w:sz w:val="24"/>
          <w:szCs w:val="20"/>
        </w:rPr>
      </w:pPr>
      <w:r>
        <w:rPr>
          <w:rFonts w:hint="eastAsia" w:ascii="宋体" w:hAnsi="宋体" w:eastAsia="宋体" w:cs="宋体"/>
          <w:sz w:val="28"/>
        </w:rPr>
        <w:br w:type="page"/>
      </w:r>
      <w:r>
        <w:rPr>
          <w:rFonts w:hint="eastAsia" w:ascii="宋体" w:hAnsi="宋体" w:cs="宋体-PUA"/>
          <w:b/>
          <w:bCs/>
          <w:sz w:val="32"/>
        </w:rPr>
        <w:t>七、供应商资格证明资料</w:t>
      </w:r>
    </w:p>
    <w:p>
      <w:pPr>
        <w:spacing w:line="360" w:lineRule="auto"/>
        <w:jc w:val="center"/>
        <w:rPr>
          <w:rFonts w:hint="eastAsia" w:ascii="宋体" w:hAnsi="宋体" w:cs="宋体"/>
          <w:kern w:val="0"/>
          <w:sz w:val="24"/>
          <w:szCs w:val="20"/>
        </w:rPr>
      </w:pPr>
      <w:r>
        <w:rPr>
          <w:rFonts w:hint="eastAsia" w:ascii="宋体" w:hAnsi="宋体" w:cs="宋体"/>
          <w:kern w:val="0"/>
          <w:sz w:val="24"/>
          <w:szCs w:val="20"/>
        </w:rPr>
        <w:t>（格式自拟，应逐页加盖企业及法人电子签章；）</w:t>
      </w:r>
    </w:p>
    <w:p>
      <w:pPr>
        <w:spacing w:line="360" w:lineRule="auto"/>
        <w:jc w:val="center"/>
        <w:rPr>
          <w:rFonts w:ascii="宋体" w:hAnsi="宋体" w:cs="宋体"/>
          <w:kern w:val="0"/>
          <w:sz w:val="24"/>
          <w:szCs w:val="20"/>
        </w:rPr>
      </w:pPr>
    </w:p>
    <w:p>
      <w:pPr>
        <w:pStyle w:val="3"/>
        <w:spacing w:line="600" w:lineRule="exact"/>
        <w:jc w:val="center"/>
        <w:rPr>
          <w:rFonts w:hint="eastAsia" w:ascii="宋体" w:hAnsi="宋体" w:eastAsia="宋体" w:cs="宋体-PUA"/>
          <w:sz w:val="24"/>
          <w:szCs w:val="24"/>
        </w:rPr>
      </w:pPr>
      <w:r>
        <w:rPr>
          <w:rFonts w:ascii="宋体" w:hAnsi="宋体" w:eastAsia="宋体" w:cs="宋体-PUA"/>
          <w:sz w:val="24"/>
          <w:szCs w:val="24"/>
        </w:rPr>
        <w:br w:type="page"/>
      </w:r>
      <w:bookmarkStart w:id="294" w:name="_Toc7450"/>
      <w:bookmarkStart w:id="295" w:name="_Toc19295"/>
      <w:r>
        <w:rPr>
          <w:rFonts w:hint="eastAsia" w:ascii="宋体" w:hAnsi="宋体" w:eastAsia="宋体" w:cs="宋体-PUA"/>
          <w:szCs w:val="24"/>
        </w:rPr>
        <w:t>八、供应商认为需要提供的其他材料</w:t>
      </w:r>
      <w:bookmarkEnd w:id="291"/>
      <w:bookmarkEnd w:id="292"/>
      <w:bookmarkEnd w:id="293"/>
      <w:bookmarkEnd w:id="294"/>
      <w:bookmarkEnd w:id="295"/>
    </w:p>
    <w:p>
      <w:pPr>
        <w:spacing w:line="360" w:lineRule="auto"/>
        <w:jc w:val="center"/>
        <w:rPr>
          <w:rFonts w:hint="eastAsia" w:ascii="Times New Roman" w:hAnsi="Times New Roman" w:eastAsia="宋体" w:cs="Times New Roman"/>
          <w:bCs/>
          <w:sz w:val="28"/>
          <w:szCs w:val="28"/>
        </w:rPr>
      </w:pPr>
      <w:r>
        <w:rPr>
          <w:rFonts w:hint="eastAsia"/>
          <w:bCs/>
          <w:sz w:val="28"/>
          <w:szCs w:val="28"/>
        </w:rPr>
        <w:t>（竞争性磋商文件、评分办法中提到的其他资料及供应商认为应附的其他资料；格式自拟</w:t>
      </w:r>
      <w:r>
        <w:rPr>
          <w:rFonts w:hint="eastAsia" w:ascii="Times New Roman" w:hAnsi="Times New Roman" w:eastAsia="宋体" w:cs="Times New Roman"/>
          <w:bCs/>
          <w:sz w:val="28"/>
          <w:szCs w:val="28"/>
        </w:rPr>
        <w:t>，应逐页加盖企业及法人电子签章。）</w:t>
      </w: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480" w:lineRule="auto"/>
        <w:ind w:left="-28" w:leftChars="-95" w:right="452" w:hanging="171" w:hangingChars="67"/>
        <w:jc w:val="center"/>
        <w:rPr>
          <w:rFonts w:hint="eastAsia" w:ascii="宋体" w:hAnsi="宋体" w:cs="宋体"/>
          <w:spacing w:val="8"/>
          <w:sz w:val="24"/>
        </w:rPr>
      </w:pPr>
    </w:p>
    <w:p/>
    <w:sectPr>
      <w:pgSz w:w="11906" w:h="16838"/>
      <w:pgMar w:top="1418" w:right="1418" w:bottom="1418" w:left="1588" w:header="851" w:footer="771"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00" w:usb3="00000000" w:csb0="00040001" w:csb1="00000000"/>
  </w:font>
  <w:font w:name="宋体-PUA">
    <w:altName w:val="宋体"/>
    <w:panose1 w:val="02010600030101010101"/>
    <w:charset w:val="86"/>
    <w:family w:val="auto"/>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62</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p>
  <w:p>
    <w:pPr>
      <w:pStyle w:val="5"/>
      <w:spacing w:line="14" w:lineRule="auto"/>
      <w:ind w:left="0"/>
      <w:rPr>
        <w:rFonts w:hint="default"/>
        <w:sz w:val="12"/>
        <w:lang w:val="en-US"/>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186.75pt;margin-top:0.75pt;height:144pt;width:144pt;mso-position-horizontal-relative:margin;mso-wrap-style:none;z-index:251659264;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E12154"/>
    <w:multiLevelType w:val="singleLevel"/>
    <w:tmpl w:val="F4E12154"/>
    <w:lvl w:ilvl="0" w:tentative="0">
      <w:start w:val="1"/>
      <w:numFmt w:val="decimal"/>
      <w:lvlText w:val="%1."/>
      <w:lvlJc w:val="left"/>
      <w:pPr>
        <w:tabs>
          <w:tab w:val="left" w:pos="312"/>
        </w:tabs>
      </w:pPr>
    </w:lvl>
  </w:abstractNum>
  <w:abstractNum w:abstractNumId="1">
    <w:nsid w:val="2743E1D0"/>
    <w:multiLevelType w:val="singleLevel"/>
    <w:tmpl w:val="2743E1D0"/>
    <w:lvl w:ilvl="0" w:tentative="0">
      <w:start w:val="1"/>
      <w:numFmt w:val="decimal"/>
      <w:lvlText w:val="%1."/>
      <w:lvlJc w:val="left"/>
      <w:pPr>
        <w:tabs>
          <w:tab w:val="left" w:pos="312"/>
        </w:tabs>
      </w:pPr>
    </w:lvl>
  </w:abstractNum>
  <w:abstractNum w:abstractNumId="2">
    <w:nsid w:val="37C0B371"/>
    <w:multiLevelType w:val="singleLevel"/>
    <w:tmpl w:val="37C0B371"/>
    <w:lvl w:ilvl="0" w:tentative="0">
      <w:start w:val="1"/>
      <w:numFmt w:val="decimal"/>
      <w:lvlText w:val="%1."/>
      <w:lvlJc w:val="left"/>
      <w:pPr>
        <w:tabs>
          <w:tab w:val="left" w:pos="312"/>
        </w:tabs>
      </w:pPr>
    </w:lvl>
  </w:abstractNum>
  <w:abstractNum w:abstractNumId="3">
    <w:nsid w:val="44BDA364"/>
    <w:multiLevelType w:val="singleLevel"/>
    <w:tmpl w:val="44BDA364"/>
    <w:lvl w:ilvl="0" w:tentative="0">
      <w:start w:val="1"/>
      <w:numFmt w:val="decimal"/>
      <w:lvlText w:val="%1."/>
      <w:lvlJc w:val="left"/>
      <w:pPr>
        <w:tabs>
          <w:tab w:val="left" w:pos="312"/>
        </w:tabs>
      </w:pPr>
    </w:lvl>
  </w:abstractNum>
  <w:abstractNum w:abstractNumId="4">
    <w:nsid w:val="5CCBDE13"/>
    <w:multiLevelType w:val="singleLevel"/>
    <w:tmpl w:val="5CCBDE13"/>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a/97g2qtNALy36jL6EAg4S6LGxw=" w:salt="F1E1Is1dT+THCQCIQWNmu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WI2OTMzMTRlZjlkOGJhMzc0YjliZjdmZWQ1MmQifQ=="/>
  </w:docVars>
  <w:rsids>
    <w:rsidRoot w:val="713A3198"/>
    <w:rsid w:val="07577FFE"/>
    <w:rsid w:val="0D2A6C41"/>
    <w:rsid w:val="0D437B8D"/>
    <w:rsid w:val="1BB43819"/>
    <w:rsid w:val="1D1327C1"/>
    <w:rsid w:val="1D46266F"/>
    <w:rsid w:val="1D5F1562"/>
    <w:rsid w:val="1FC23AE2"/>
    <w:rsid w:val="24BE74B6"/>
    <w:rsid w:val="27A504B9"/>
    <w:rsid w:val="38563836"/>
    <w:rsid w:val="49446858"/>
    <w:rsid w:val="4EC55B7A"/>
    <w:rsid w:val="5139389D"/>
    <w:rsid w:val="540957A8"/>
    <w:rsid w:val="564156CE"/>
    <w:rsid w:val="5D043D93"/>
    <w:rsid w:val="601C50C5"/>
    <w:rsid w:val="713A3198"/>
    <w:rsid w:val="74D86DA5"/>
    <w:rsid w:val="78E44522"/>
    <w:rsid w:val="7AA5772A"/>
    <w:rsid w:val="7D9C08A6"/>
    <w:rsid w:val="7F8C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5" w:lineRule="auto"/>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5">
    <w:name w:val="Body Text"/>
    <w:basedOn w:val="1"/>
    <w:next w:val="6"/>
    <w:unhideWhenUsed/>
    <w:qFormat/>
    <w:uiPriority w:val="0"/>
    <w:pPr>
      <w:spacing w:after="120"/>
    </w:pPr>
  </w:style>
  <w:style w:type="paragraph" w:customStyle="1" w:styleId="6">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next w:val="8"/>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cs="Arial"/>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spacing w:before="120" w:beforeLines="0" w:after="120" w:afterLines="0"/>
      <w:jc w:val="left"/>
    </w:pPr>
    <w:rPr>
      <w:b/>
      <w:bCs/>
      <w:caps/>
      <w:sz w:val="20"/>
      <w:szCs w:val="20"/>
    </w:rPr>
  </w:style>
  <w:style w:type="paragraph" w:styleId="12">
    <w:name w:val="toc 2"/>
    <w:basedOn w:val="1"/>
    <w:next w:val="1"/>
    <w:unhideWhenUsed/>
    <w:qFormat/>
    <w:uiPriority w:val="39"/>
    <w:pPr>
      <w:ind w:left="210"/>
      <w:jc w:val="left"/>
    </w:pPr>
    <w:rPr>
      <w:smallCaps/>
      <w:sz w:val="20"/>
      <w:szCs w:val="20"/>
    </w:rPr>
  </w:style>
  <w:style w:type="paragraph" w:styleId="13">
    <w:name w:val="Body Text First Indent"/>
    <w:basedOn w:val="5"/>
    <w:next w:val="14"/>
    <w:unhideWhenUsed/>
    <w:qFormat/>
    <w:uiPriority w:val="99"/>
    <w:pPr>
      <w:widowControl/>
      <w:ind w:firstLine="420" w:firstLineChars="100"/>
      <w:jc w:val="left"/>
    </w:pPr>
    <w:rPr>
      <w:kern w:val="0"/>
      <w:sz w:val="20"/>
      <w:szCs w:val="20"/>
    </w:rPr>
  </w:style>
  <w:style w:type="paragraph" w:styleId="14">
    <w:name w:val="Body Text First Indent 2"/>
    <w:basedOn w:val="7"/>
    <w:qFormat/>
    <w:uiPriority w:val="0"/>
    <w:pPr>
      <w:adjustRightInd w:val="0"/>
      <w:snapToGrid w:val="0"/>
      <w:spacing w:after="0" w:line="520" w:lineRule="exact"/>
      <w:ind w:left="0" w:leftChars="0" w:right="250" w:rightChars="78" w:firstLine="420" w:firstLineChars="200"/>
    </w:pPr>
    <w:rPr>
      <w:rFonts w:ascii="宋体" w:eastAsia="仿宋_GB2312" w:cs="宋体"/>
      <w:sz w:val="28"/>
    </w:rPr>
  </w:style>
  <w:style w:type="paragraph" w:styleId="1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Table Paragraph"/>
    <w:basedOn w:val="1"/>
    <w:qFormat/>
    <w:uiPriority w:val="0"/>
    <w:rPr>
      <w:rFonts w:ascii="宋体" w:hAnsi="宋体" w:cs="宋体"/>
      <w:lang w:val="zh-CN" w:bidi="zh-CN"/>
    </w:rPr>
  </w:style>
  <w:style w:type="character" w:customStyle="1" w:styleId="19">
    <w:name w:val="font31"/>
    <w:basedOn w:val="16"/>
    <w:qFormat/>
    <w:uiPriority w:val="0"/>
    <w:rPr>
      <w:rFonts w:hint="default" w:ascii="文星仿宋" w:hAnsi="文星仿宋" w:eastAsia="文星仿宋" w:cs="文星仿宋"/>
      <w:color w:val="000000"/>
      <w:sz w:val="18"/>
      <w:szCs w:val="18"/>
      <w:u w:val="none"/>
    </w:rPr>
  </w:style>
  <w:style w:type="character" w:customStyle="1" w:styleId="20">
    <w:name w:val="font81"/>
    <w:basedOn w:val="16"/>
    <w:qFormat/>
    <w:uiPriority w:val="0"/>
    <w:rPr>
      <w:rFonts w:hint="default" w:ascii="文星仿宋" w:hAnsi="文星仿宋" w:eastAsia="文星仿宋" w:cs="文星仿宋"/>
      <w:color w:val="000000"/>
      <w:sz w:val="18"/>
      <w:szCs w:val="18"/>
      <w:u w:val="none"/>
      <w:vertAlign w:val="subscript"/>
    </w:rPr>
  </w:style>
  <w:style w:type="character" w:customStyle="1" w:styleId="21">
    <w:name w:val="font21"/>
    <w:basedOn w:val="16"/>
    <w:qFormat/>
    <w:uiPriority w:val="0"/>
    <w:rPr>
      <w:rFonts w:hint="default" w:ascii="文星仿宋" w:hAnsi="文星仿宋" w:eastAsia="文星仿宋" w:cs="文星仿宋"/>
      <w:color w:val="000000"/>
      <w:sz w:val="18"/>
      <w:szCs w:val="18"/>
      <w:u w:val="none"/>
    </w:rPr>
  </w:style>
  <w:style w:type="character" w:customStyle="1" w:styleId="22">
    <w:name w:val="font61"/>
    <w:basedOn w:val="16"/>
    <w:qFormat/>
    <w:uiPriority w:val="0"/>
    <w:rPr>
      <w:rFonts w:hint="default" w:ascii="仿宋_GB2312" w:eastAsia="仿宋_GB2312" w:cs="仿宋_GB2312"/>
      <w:color w:val="000000"/>
      <w:sz w:val="18"/>
      <w:szCs w:val="18"/>
      <w:u w:val="none"/>
    </w:rPr>
  </w:style>
  <w:style w:type="character" w:customStyle="1" w:styleId="23">
    <w:name w:val="font91"/>
    <w:basedOn w:val="16"/>
    <w:qFormat/>
    <w:uiPriority w:val="0"/>
    <w:rPr>
      <w:rFonts w:hint="default" w:ascii="文星仿宋" w:hAnsi="文星仿宋" w:eastAsia="文星仿宋" w:cs="文星仿宋"/>
      <w:color w:val="000000"/>
      <w:sz w:val="18"/>
      <w:szCs w:val="18"/>
      <w:u w:val="none"/>
      <w:vertAlign w:val="superscript"/>
    </w:rPr>
  </w:style>
  <w:style w:type="character" w:customStyle="1" w:styleId="24">
    <w:name w:val="font101"/>
    <w:basedOn w:val="16"/>
    <w:qFormat/>
    <w:uiPriority w:val="0"/>
    <w:rPr>
      <w:rFonts w:hint="default" w:ascii="文星仿宋" w:hAnsi="文星仿宋" w:eastAsia="文星仿宋" w:cs="文星仿宋"/>
      <w:color w:val="000000"/>
      <w:sz w:val="18"/>
      <w:szCs w:val="18"/>
      <w:u w:val="none"/>
      <w:vertAlign w:val="subscript"/>
    </w:rPr>
  </w:style>
  <w:style w:type="character" w:customStyle="1" w:styleId="25">
    <w:name w:val="font51"/>
    <w:basedOn w:val="16"/>
    <w:qFormat/>
    <w:uiPriority w:val="0"/>
    <w:rPr>
      <w:rFonts w:hint="default" w:ascii="仿宋_GB2312" w:eastAsia="仿宋_GB2312" w:cs="仿宋_GB2312"/>
      <w:color w:val="000000"/>
      <w:sz w:val="18"/>
      <w:szCs w:val="18"/>
      <w:u w:val="none"/>
    </w:rPr>
  </w:style>
  <w:style w:type="character" w:customStyle="1" w:styleId="26">
    <w:name w:val="font112"/>
    <w:basedOn w:val="16"/>
    <w:qFormat/>
    <w:uiPriority w:val="0"/>
    <w:rPr>
      <w:rFonts w:hint="default" w:ascii="仿宋_GB2312" w:eastAsia="仿宋_GB2312" w:cs="仿宋_GB2312"/>
      <w:color w:val="000000"/>
      <w:sz w:val="18"/>
      <w:szCs w:val="18"/>
      <w:u w:val="none"/>
      <w:vertAlign w:val="subscript"/>
    </w:rPr>
  </w:style>
  <w:style w:type="character" w:customStyle="1" w:styleId="27">
    <w:name w:val="font71"/>
    <w:basedOn w:val="16"/>
    <w:qFormat/>
    <w:uiPriority w:val="0"/>
    <w:rPr>
      <w:rFonts w:hint="default" w:ascii="文星仿宋" w:hAnsi="文星仿宋" w:eastAsia="文星仿宋" w:cs="文星仿宋"/>
      <w:color w:val="000000"/>
      <w:sz w:val="18"/>
      <w:szCs w:val="18"/>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38430</Words>
  <Characters>40152</Characters>
  <Lines>0</Lines>
  <Paragraphs>0</Paragraphs>
  <TotalTime>26</TotalTime>
  <ScaleCrop>false</ScaleCrop>
  <LinksUpToDate>false</LinksUpToDate>
  <CharactersWithSpaces>42211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2024-06-11T01:52:00Z</dcterms:created>
  <dc:creator>PEO</dc:creator>
  <cp:lastModifiedBy>PEO</cp:lastModifiedBy>
  <cp:lastPrinted>2024-06-12T09:31:00Z</cp:lastPrinted>
  <dcterms:modified xsi:type="dcterms:W3CDTF">2024-06-14T08:34:44Z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D4A036F9668946298555280C74ADF7C6_13</vt:lpwstr>
  </property>
</Properties>
</file>