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717AD">
      <w:pPr>
        <w:keepNext w:val="0"/>
        <w:keepLines w:val="0"/>
        <w:widowControl/>
        <w:suppressLineNumbers w:val="0"/>
        <w:spacing w:line="360" w:lineRule="auto"/>
        <w:jc w:val="center"/>
        <w:rPr>
          <w:rFonts w:hint="eastAsia" w:ascii="宋体" w:hAnsi="宋体" w:cs="宋体"/>
          <w:b/>
          <w:bCs/>
          <w:color w:val="auto"/>
          <w:kern w:val="0"/>
          <w:sz w:val="44"/>
          <w:szCs w:val="44"/>
          <w:lang w:val="en-US" w:eastAsia="zh-CN" w:bidi="ar"/>
        </w:rPr>
      </w:pPr>
      <w:r>
        <w:rPr>
          <w:rFonts w:hint="eastAsia" w:ascii="宋体" w:hAnsi="宋体" w:cs="宋体"/>
          <w:b/>
          <w:bCs/>
          <w:color w:val="auto"/>
          <w:kern w:val="0"/>
          <w:sz w:val="44"/>
          <w:szCs w:val="44"/>
          <w:lang w:val="en-US" w:eastAsia="zh-CN" w:bidi="ar"/>
        </w:rPr>
        <w:t xml:space="preserve"> </w:t>
      </w:r>
    </w:p>
    <w:p w14:paraId="6FAD4A14">
      <w:pPr>
        <w:keepNext w:val="0"/>
        <w:keepLines w:val="0"/>
        <w:widowControl/>
        <w:suppressLineNumbers w:val="0"/>
        <w:spacing w:line="360" w:lineRule="auto"/>
        <w:jc w:val="center"/>
        <w:rPr>
          <w:rFonts w:hint="eastAsia" w:ascii="宋体" w:hAnsi="宋体" w:eastAsia="宋体" w:cs="宋体"/>
          <w:b/>
          <w:bCs/>
          <w:color w:val="auto"/>
          <w:kern w:val="0"/>
          <w:sz w:val="55"/>
          <w:szCs w:val="55"/>
          <w:lang w:val="en-US" w:eastAsia="zh-CN" w:bidi="ar"/>
        </w:rPr>
      </w:pPr>
      <w:r>
        <w:rPr>
          <w:rFonts w:hint="eastAsia" w:ascii="宋体" w:hAnsi="宋体" w:cs="宋体"/>
          <w:b/>
          <w:bCs/>
          <w:color w:val="auto"/>
          <w:kern w:val="0"/>
          <w:sz w:val="44"/>
          <w:szCs w:val="44"/>
          <w:lang w:val="en-US" w:eastAsia="zh-CN" w:bidi="ar"/>
        </w:rPr>
        <w:t>渑池县生活垃圾清运建设项目-采购项目（E包至H包）项目 E包</w:t>
      </w:r>
    </w:p>
    <w:p w14:paraId="05A265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96"/>
          <w:szCs w:val="96"/>
          <w:lang w:val="en-US" w:eastAsia="zh-CN" w:bidi="ar"/>
        </w:rPr>
        <w:t>招标文件</w:t>
      </w:r>
    </w:p>
    <w:p w14:paraId="39805B64">
      <w:pPr>
        <w:keepNext w:val="0"/>
        <w:keepLines w:val="0"/>
        <w:widowControl/>
        <w:suppressLineNumbers w:val="0"/>
        <w:spacing w:line="360" w:lineRule="auto"/>
        <w:jc w:val="center"/>
        <w:rPr>
          <w:rFonts w:hint="eastAsia" w:ascii="宋体" w:hAnsi="宋体" w:eastAsia="宋体" w:cs="宋体"/>
          <w:b/>
          <w:bCs/>
          <w:color w:val="auto"/>
          <w:kern w:val="0"/>
          <w:sz w:val="28"/>
          <w:szCs w:val="28"/>
          <w:highlight w:val="none"/>
          <w:lang w:val="en-US" w:eastAsia="zh-CN" w:bidi="ar"/>
        </w:rPr>
      </w:pPr>
    </w:p>
    <w:p w14:paraId="33E766FF">
      <w:pPr>
        <w:keepNext w:val="0"/>
        <w:keepLines w:val="0"/>
        <w:widowControl/>
        <w:suppressLineNumbers w:val="0"/>
        <w:spacing w:line="360" w:lineRule="auto"/>
        <w:jc w:val="center"/>
        <w:rPr>
          <w:rFonts w:hint="default" w:ascii="宋体" w:hAnsi="宋体" w:eastAsia="宋体" w:cs="宋体"/>
          <w:b/>
          <w:bCs/>
          <w:color w:val="auto"/>
          <w:kern w:val="0"/>
          <w:sz w:val="28"/>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t>项目编号：渑池公开采购-2024-67、MCGZ[2024]235-ZC170</w:t>
      </w:r>
    </w:p>
    <w:p w14:paraId="0BDD8D92">
      <w:pPr>
        <w:keepNext w:val="0"/>
        <w:keepLines w:val="0"/>
        <w:widowControl/>
        <w:suppressLineNumbers w:val="0"/>
        <w:spacing w:line="360" w:lineRule="auto"/>
        <w:jc w:val="center"/>
        <w:rPr>
          <w:rFonts w:hint="eastAsia" w:ascii="宋体" w:hAnsi="宋体" w:eastAsia="宋体" w:cs="宋体"/>
          <w:b/>
          <w:bCs/>
          <w:color w:val="auto"/>
          <w:kern w:val="0"/>
          <w:sz w:val="96"/>
          <w:szCs w:val="96"/>
          <w:lang w:val="en-US" w:eastAsia="zh-CN" w:bidi="ar"/>
        </w:rPr>
      </w:pPr>
      <w:r>
        <w:rPr>
          <w:rFonts w:hint="eastAsia" w:ascii="宋体" w:hAnsi="宋体" w:eastAsia="宋体" w:cs="宋体"/>
          <w:b/>
          <w:bCs/>
          <w:color w:val="auto"/>
          <w:kern w:val="0"/>
          <w:sz w:val="28"/>
          <w:szCs w:val="28"/>
          <w:highlight w:val="none"/>
          <w:lang w:val="en-US" w:eastAsia="zh-CN" w:bidi="ar"/>
        </w:rPr>
        <w:t xml:space="preserve">          </w:t>
      </w:r>
    </w:p>
    <w:p w14:paraId="1CC39E4E">
      <w:pPr>
        <w:keepNext w:val="0"/>
        <w:keepLines w:val="0"/>
        <w:widowControl/>
        <w:suppressLineNumbers w:val="0"/>
        <w:jc w:val="center"/>
        <w:rPr>
          <w:rFonts w:hint="eastAsia" w:ascii="宋体" w:hAnsi="宋体" w:eastAsia="宋体" w:cs="宋体"/>
          <w:b/>
          <w:bCs/>
          <w:color w:val="auto"/>
          <w:kern w:val="0"/>
          <w:sz w:val="28"/>
          <w:szCs w:val="28"/>
          <w:lang w:val="en-US" w:eastAsia="zh-CN" w:bidi="ar"/>
        </w:rPr>
      </w:pPr>
    </w:p>
    <w:p w14:paraId="0DE67F1E">
      <w:pPr>
        <w:keepNext w:val="0"/>
        <w:keepLines w:val="0"/>
        <w:widowControl/>
        <w:suppressLineNumbers w:val="0"/>
        <w:jc w:val="left"/>
        <w:rPr>
          <w:rFonts w:hint="eastAsia" w:ascii="宋体" w:hAnsi="宋体" w:eastAsia="宋体" w:cs="宋体"/>
          <w:b/>
          <w:bCs/>
          <w:color w:val="auto"/>
          <w:kern w:val="0"/>
          <w:sz w:val="28"/>
          <w:szCs w:val="28"/>
          <w:lang w:val="en-US" w:eastAsia="zh-CN" w:bidi="ar"/>
        </w:rPr>
      </w:pPr>
    </w:p>
    <w:p w14:paraId="4E6D32CD">
      <w:pPr>
        <w:keepNext w:val="0"/>
        <w:keepLines w:val="0"/>
        <w:widowControl/>
        <w:suppressLineNumbers w:val="0"/>
        <w:spacing w:line="360" w:lineRule="auto"/>
        <w:jc w:val="left"/>
        <w:rPr>
          <w:rFonts w:hint="eastAsia" w:ascii="宋体" w:hAnsi="宋体" w:eastAsia="宋体" w:cs="宋体"/>
          <w:b/>
          <w:bCs/>
          <w:color w:val="auto"/>
          <w:kern w:val="0"/>
          <w:sz w:val="28"/>
          <w:szCs w:val="28"/>
          <w:lang w:val="en-US" w:eastAsia="zh-CN" w:bidi="ar"/>
        </w:rPr>
      </w:pPr>
    </w:p>
    <w:p w14:paraId="1EDE642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461D91D0">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AC26532">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717F41BD">
      <w:pPr>
        <w:keepNext w:val="0"/>
        <w:keepLines w:val="0"/>
        <w:widowControl/>
        <w:suppressLineNumbers w:val="0"/>
        <w:spacing w:line="360" w:lineRule="auto"/>
        <w:ind w:firstLine="2490" w:firstLineChars="800"/>
        <w:jc w:val="both"/>
        <w:rPr>
          <w:rFonts w:hint="eastAsia" w:ascii="宋体" w:hAnsi="宋体" w:cs="宋体"/>
          <w:b/>
          <w:bCs/>
          <w:color w:val="auto"/>
          <w:kern w:val="0"/>
          <w:sz w:val="31"/>
          <w:szCs w:val="31"/>
          <w:lang w:val="en-US" w:eastAsia="zh-CN" w:bidi="ar"/>
        </w:rPr>
      </w:pPr>
    </w:p>
    <w:p w14:paraId="0BFE52C2">
      <w:pPr>
        <w:keepNext w:val="0"/>
        <w:keepLines w:val="0"/>
        <w:widowControl/>
        <w:suppressLineNumbers w:val="0"/>
        <w:spacing w:line="360" w:lineRule="auto"/>
        <w:ind w:firstLine="2490" w:firstLineChars="800"/>
        <w:jc w:val="both"/>
        <w:rPr>
          <w:color w:val="auto"/>
        </w:rPr>
      </w:pPr>
      <w:r>
        <w:rPr>
          <w:rFonts w:hint="eastAsia" w:ascii="宋体" w:hAnsi="宋体" w:cs="宋体"/>
          <w:b/>
          <w:bCs/>
          <w:color w:val="auto"/>
          <w:kern w:val="0"/>
          <w:sz w:val="31"/>
          <w:szCs w:val="31"/>
          <w:lang w:val="en-US" w:eastAsia="zh-CN" w:bidi="ar"/>
        </w:rPr>
        <w:t>采购人</w:t>
      </w:r>
      <w:r>
        <w:rPr>
          <w:rFonts w:hint="eastAsia" w:ascii="宋体" w:hAnsi="宋体" w:eastAsia="宋体" w:cs="宋体"/>
          <w:b/>
          <w:bCs/>
          <w:color w:val="auto"/>
          <w:kern w:val="0"/>
          <w:sz w:val="31"/>
          <w:szCs w:val="31"/>
          <w:lang w:val="en-US" w:eastAsia="zh-CN" w:bidi="ar"/>
        </w:rPr>
        <w:t>：</w:t>
      </w:r>
      <w:r>
        <w:rPr>
          <w:rFonts w:hint="eastAsia" w:ascii="宋体" w:hAnsi="宋体" w:cs="宋体"/>
          <w:b/>
          <w:bCs/>
          <w:color w:val="auto"/>
          <w:kern w:val="0"/>
          <w:sz w:val="31"/>
          <w:szCs w:val="31"/>
          <w:lang w:val="en-US" w:eastAsia="zh-CN" w:bidi="ar"/>
        </w:rPr>
        <w:t>渑池县农业农村局</w:t>
      </w:r>
    </w:p>
    <w:p w14:paraId="3776B8CA">
      <w:pPr>
        <w:keepNext w:val="0"/>
        <w:keepLines w:val="0"/>
        <w:widowControl/>
        <w:suppressLineNumbers w:val="0"/>
        <w:spacing w:line="360" w:lineRule="auto"/>
        <w:ind w:firstLine="2490" w:firstLineChars="800"/>
        <w:jc w:val="both"/>
        <w:rPr>
          <w:rFonts w:hint="default"/>
          <w:color w:val="auto"/>
          <w:lang w:val="en-US"/>
        </w:rPr>
      </w:pPr>
      <w:bookmarkStart w:id="0" w:name="_Toc19428"/>
      <w:bookmarkStart w:id="1" w:name="_Toc3327"/>
      <w:bookmarkStart w:id="2" w:name="_Toc25743"/>
      <w:r>
        <w:rPr>
          <w:rFonts w:hint="eastAsia" w:ascii="宋体" w:hAnsi="宋体" w:eastAsia="宋体" w:cs="宋体"/>
          <w:b/>
          <w:bCs/>
          <w:color w:val="auto"/>
          <w:kern w:val="0"/>
          <w:sz w:val="31"/>
          <w:szCs w:val="31"/>
          <w:lang w:val="en-US" w:eastAsia="zh-CN" w:bidi="ar"/>
        </w:rPr>
        <w:t>代理机构：</w:t>
      </w:r>
      <w:bookmarkEnd w:id="0"/>
      <w:bookmarkEnd w:id="1"/>
      <w:bookmarkEnd w:id="2"/>
      <w:r>
        <w:rPr>
          <w:rFonts w:hint="eastAsia" w:ascii="宋体" w:hAnsi="宋体" w:eastAsia="宋体" w:cs="宋体"/>
          <w:b/>
          <w:bCs/>
          <w:color w:val="auto"/>
          <w:kern w:val="0"/>
          <w:sz w:val="31"/>
          <w:szCs w:val="31"/>
          <w:lang w:val="en-US" w:eastAsia="zh-CN" w:bidi="ar"/>
        </w:rPr>
        <w:t>河南方兴工程咨询有限公司</w:t>
      </w:r>
    </w:p>
    <w:p w14:paraId="20CFD793">
      <w:pPr>
        <w:keepNext w:val="0"/>
        <w:keepLines w:val="0"/>
        <w:widowControl/>
        <w:suppressLineNumbers w:val="0"/>
        <w:spacing w:line="360" w:lineRule="auto"/>
        <w:ind w:firstLine="2490" w:firstLineChars="800"/>
        <w:jc w:val="both"/>
        <w:rPr>
          <w:rFonts w:hint="eastAsia" w:ascii="宋体" w:hAnsi="宋体" w:eastAsia="宋体" w:cs="宋体"/>
          <w:b/>
          <w:bCs/>
          <w:color w:val="auto"/>
          <w:kern w:val="0"/>
          <w:sz w:val="31"/>
          <w:szCs w:val="31"/>
          <w:lang w:val="en-US" w:eastAsia="zh-CN" w:bidi="ar"/>
        </w:rPr>
      </w:pPr>
      <w:r>
        <w:rPr>
          <w:rFonts w:hint="eastAsia" w:ascii="宋体" w:hAnsi="宋体" w:eastAsia="宋体" w:cs="宋体"/>
          <w:b/>
          <w:bCs/>
          <w:color w:val="auto"/>
          <w:kern w:val="0"/>
          <w:sz w:val="31"/>
          <w:szCs w:val="31"/>
          <w:lang w:val="en-US" w:eastAsia="zh-CN" w:bidi="ar"/>
        </w:rPr>
        <w:t>时间：二〇二四年</w:t>
      </w:r>
      <w:r>
        <w:rPr>
          <w:rFonts w:hint="eastAsia" w:ascii="宋体" w:hAnsi="宋体" w:cs="宋体"/>
          <w:b/>
          <w:bCs/>
          <w:color w:val="auto"/>
          <w:kern w:val="0"/>
          <w:sz w:val="31"/>
          <w:szCs w:val="31"/>
          <w:lang w:val="en-US" w:eastAsia="zh-CN" w:bidi="ar"/>
        </w:rPr>
        <w:t>八</w:t>
      </w:r>
      <w:r>
        <w:rPr>
          <w:rFonts w:hint="eastAsia" w:ascii="宋体" w:hAnsi="宋体" w:eastAsia="宋体" w:cs="宋体"/>
          <w:b/>
          <w:bCs/>
          <w:color w:val="auto"/>
          <w:kern w:val="0"/>
          <w:sz w:val="31"/>
          <w:szCs w:val="31"/>
          <w:lang w:val="en-US" w:eastAsia="zh-CN" w:bidi="ar"/>
        </w:rPr>
        <w:t>月</w:t>
      </w:r>
    </w:p>
    <w:p w14:paraId="34A64193">
      <w:pPr>
        <w:tabs>
          <w:tab w:val="left" w:pos="719"/>
        </w:tabs>
        <w:spacing w:before="49"/>
        <w:ind w:left="0" w:right="45" w:firstLine="0"/>
        <w:jc w:val="center"/>
        <w:rPr>
          <w:b/>
          <w:color w:val="auto"/>
          <w:sz w:val="40"/>
          <w:szCs w:val="28"/>
        </w:rPr>
        <w:sectPr>
          <w:headerReference r:id="rId5" w:type="default"/>
          <w:pgSz w:w="11910" w:h="16840"/>
          <w:pgMar w:top="1440" w:right="1080" w:bottom="1440" w:left="1080" w:header="720" w:footer="720" w:gutter="0"/>
          <w:pgNumType w:fmt="decimal" w:start="1"/>
          <w:cols w:space="720" w:num="1"/>
        </w:sectPr>
      </w:pPr>
    </w:p>
    <w:p w14:paraId="34BCBDD5">
      <w:pPr>
        <w:tabs>
          <w:tab w:val="left" w:pos="719"/>
        </w:tabs>
        <w:spacing w:before="49"/>
        <w:ind w:left="0" w:right="45" w:firstLine="0"/>
        <w:jc w:val="center"/>
        <w:rPr>
          <w:b/>
          <w:color w:val="auto"/>
          <w:sz w:val="40"/>
          <w:szCs w:val="28"/>
        </w:rPr>
      </w:pPr>
      <w:r>
        <w:rPr>
          <w:b/>
          <w:color w:val="auto"/>
          <w:sz w:val="40"/>
          <w:szCs w:val="28"/>
        </w:rPr>
        <w:t>目</w:t>
      </w:r>
      <w:r>
        <w:rPr>
          <w:b/>
          <w:color w:val="auto"/>
          <w:sz w:val="40"/>
          <w:szCs w:val="28"/>
        </w:rPr>
        <w:tab/>
      </w:r>
      <w:r>
        <w:rPr>
          <w:b/>
          <w:color w:val="auto"/>
          <w:sz w:val="40"/>
          <w:szCs w:val="28"/>
        </w:rPr>
        <w:t>录</w:t>
      </w:r>
    </w:p>
    <w:p w14:paraId="7503F46C">
      <w:pPr>
        <w:pStyle w:val="14"/>
        <w:tabs>
          <w:tab w:val="right" w:leader="dot" w:pos="9750"/>
        </w:tabs>
      </w:pPr>
      <w:r>
        <w:rPr>
          <w:color w:val="auto"/>
        </w:rPr>
        <w:fldChar w:fldCharType="begin"/>
      </w:r>
      <w:r>
        <w:rPr>
          <w:color w:val="auto"/>
        </w:rPr>
        <w:instrText xml:space="preserve">TOC \o "1-1" \h \u </w:instrText>
      </w:r>
      <w:r>
        <w:rPr>
          <w:color w:val="auto"/>
        </w:rPr>
        <w:fldChar w:fldCharType="separate"/>
      </w:r>
      <w:r>
        <w:rPr>
          <w:color w:val="auto"/>
        </w:rPr>
        <w:fldChar w:fldCharType="begin"/>
      </w:r>
      <w:r>
        <w:instrText xml:space="preserve"> HYPERLINK \l _Toc26619 </w:instrText>
      </w:r>
      <w:r>
        <w:fldChar w:fldCharType="separate"/>
      </w:r>
      <w:r>
        <w:rPr>
          <w:rFonts w:hint="eastAsia" w:ascii="宋体" w:hAnsi="宋体" w:eastAsia="宋体" w:cs="宋体"/>
          <w:szCs w:val="32"/>
        </w:rPr>
        <w:t>第一章 招标公告</w:t>
      </w:r>
      <w:r>
        <w:tab/>
      </w:r>
      <w:r>
        <w:fldChar w:fldCharType="begin"/>
      </w:r>
      <w:r>
        <w:instrText xml:space="preserve"> PAGEREF _Toc26619 \h </w:instrText>
      </w:r>
      <w:r>
        <w:fldChar w:fldCharType="separate"/>
      </w:r>
      <w:r>
        <w:t>1</w:t>
      </w:r>
      <w:r>
        <w:fldChar w:fldCharType="end"/>
      </w:r>
      <w:r>
        <w:rPr>
          <w:color w:val="auto"/>
        </w:rPr>
        <w:fldChar w:fldCharType="end"/>
      </w:r>
    </w:p>
    <w:p w14:paraId="296889D2">
      <w:pPr>
        <w:pStyle w:val="14"/>
        <w:tabs>
          <w:tab w:val="right" w:leader="dot" w:pos="9750"/>
        </w:tabs>
      </w:pPr>
      <w:r>
        <w:rPr>
          <w:color w:val="auto"/>
        </w:rPr>
        <w:fldChar w:fldCharType="begin"/>
      </w:r>
      <w:r>
        <w:instrText xml:space="preserve"> HYPERLINK \l _Toc30172 </w:instrText>
      </w:r>
      <w:r>
        <w:fldChar w:fldCharType="separate"/>
      </w:r>
      <w:r>
        <w:rPr>
          <w:rFonts w:hint="eastAsia"/>
          <w:bCs/>
        </w:rPr>
        <w:t xml:space="preserve">第二章  </w:t>
      </w:r>
      <w:r>
        <w:rPr>
          <w:rFonts w:hint="eastAsia"/>
          <w:bCs/>
          <w:lang w:val="en-US" w:eastAsia="zh-CN"/>
        </w:rPr>
        <w:t>供应商</w:t>
      </w:r>
      <w:r>
        <w:rPr>
          <w:rFonts w:hint="eastAsia"/>
          <w:bCs/>
        </w:rPr>
        <w:t>须知</w:t>
      </w:r>
      <w:r>
        <w:tab/>
      </w:r>
      <w:r>
        <w:fldChar w:fldCharType="begin"/>
      </w:r>
      <w:r>
        <w:instrText xml:space="preserve"> PAGEREF _Toc30172 \h </w:instrText>
      </w:r>
      <w:r>
        <w:fldChar w:fldCharType="separate"/>
      </w:r>
      <w:r>
        <w:t>7</w:t>
      </w:r>
      <w:r>
        <w:fldChar w:fldCharType="end"/>
      </w:r>
      <w:r>
        <w:rPr>
          <w:color w:val="auto"/>
        </w:rPr>
        <w:fldChar w:fldCharType="end"/>
      </w:r>
    </w:p>
    <w:p w14:paraId="57DC08B2">
      <w:pPr>
        <w:pStyle w:val="14"/>
        <w:tabs>
          <w:tab w:val="right" w:leader="dot" w:pos="9750"/>
        </w:tabs>
      </w:pPr>
      <w:r>
        <w:rPr>
          <w:color w:val="auto"/>
        </w:rPr>
        <w:fldChar w:fldCharType="begin"/>
      </w:r>
      <w:r>
        <w:instrText xml:space="preserve"> HYPERLINK \l _Toc14157 </w:instrText>
      </w:r>
      <w:r>
        <w:fldChar w:fldCharType="separate"/>
      </w:r>
      <w:r>
        <w:rPr>
          <w:rFonts w:hint="eastAsia"/>
        </w:rPr>
        <w:t>第三章 评标办法</w:t>
      </w:r>
      <w:r>
        <w:tab/>
      </w:r>
      <w:r>
        <w:fldChar w:fldCharType="begin"/>
      </w:r>
      <w:r>
        <w:instrText xml:space="preserve"> PAGEREF _Toc14157 \h </w:instrText>
      </w:r>
      <w:r>
        <w:fldChar w:fldCharType="separate"/>
      </w:r>
      <w:r>
        <w:t>23</w:t>
      </w:r>
      <w:r>
        <w:fldChar w:fldCharType="end"/>
      </w:r>
      <w:r>
        <w:rPr>
          <w:color w:val="auto"/>
        </w:rPr>
        <w:fldChar w:fldCharType="end"/>
      </w:r>
    </w:p>
    <w:p w14:paraId="0E86DDCF">
      <w:pPr>
        <w:pStyle w:val="14"/>
        <w:tabs>
          <w:tab w:val="right" w:leader="dot" w:pos="9750"/>
        </w:tabs>
      </w:pPr>
      <w:r>
        <w:rPr>
          <w:color w:val="auto"/>
        </w:rPr>
        <w:fldChar w:fldCharType="begin"/>
      </w:r>
      <w:r>
        <w:instrText xml:space="preserve"> HYPERLINK \l _Toc3820 </w:instrText>
      </w:r>
      <w:r>
        <w:fldChar w:fldCharType="separate"/>
      </w:r>
      <w:r>
        <w:rPr>
          <w:rFonts w:hint="eastAsia"/>
        </w:rPr>
        <w:t>第四章 采购清单及要求</w:t>
      </w:r>
      <w:r>
        <w:tab/>
      </w:r>
      <w:r>
        <w:fldChar w:fldCharType="begin"/>
      </w:r>
      <w:r>
        <w:instrText xml:space="preserve"> PAGEREF _Toc3820 \h </w:instrText>
      </w:r>
      <w:r>
        <w:fldChar w:fldCharType="separate"/>
      </w:r>
      <w:r>
        <w:t>29</w:t>
      </w:r>
      <w:r>
        <w:fldChar w:fldCharType="end"/>
      </w:r>
      <w:r>
        <w:rPr>
          <w:color w:val="auto"/>
        </w:rPr>
        <w:fldChar w:fldCharType="end"/>
      </w:r>
    </w:p>
    <w:p w14:paraId="106B632C">
      <w:pPr>
        <w:pStyle w:val="14"/>
        <w:tabs>
          <w:tab w:val="right" w:leader="dot" w:pos="9750"/>
        </w:tabs>
      </w:pPr>
      <w:r>
        <w:rPr>
          <w:color w:val="auto"/>
        </w:rPr>
        <w:fldChar w:fldCharType="begin"/>
      </w:r>
      <w:r>
        <w:instrText xml:space="preserve"> HYPERLINK \l _Toc23728 </w:instrText>
      </w:r>
      <w:r>
        <w:fldChar w:fldCharType="separate"/>
      </w:r>
      <w:r>
        <w:rPr>
          <w:rFonts w:hint="eastAsia"/>
          <w:lang w:val="en-US" w:eastAsia="zh-CN"/>
        </w:rPr>
        <w:t xml:space="preserve">第五章 </w:t>
      </w:r>
      <w:r>
        <w:rPr>
          <w:rFonts w:hint="eastAsia"/>
        </w:rPr>
        <w:t xml:space="preserve">  合同条款及格式</w:t>
      </w:r>
      <w:r>
        <w:tab/>
      </w:r>
      <w:r>
        <w:fldChar w:fldCharType="begin"/>
      </w:r>
      <w:r>
        <w:instrText xml:space="preserve"> PAGEREF _Toc23728 \h </w:instrText>
      </w:r>
      <w:r>
        <w:fldChar w:fldCharType="separate"/>
      </w:r>
      <w:r>
        <w:t>31</w:t>
      </w:r>
      <w:r>
        <w:fldChar w:fldCharType="end"/>
      </w:r>
      <w:r>
        <w:rPr>
          <w:color w:val="auto"/>
        </w:rPr>
        <w:fldChar w:fldCharType="end"/>
      </w:r>
    </w:p>
    <w:p w14:paraId="38DC9596">
      <w:pPr>
        <w:pStyle w:val="14"/>
        <w:tabs>
          <w:tab w:val="right" w:leader="dot" w:pos="9750"/>
        </w:tabs>
      </w:pPr>
      <w:r>
        <w:rPr>
          <w:color w:val="auto"/>
        </w:rPr>
        <w:fldChar w:fldCharType="begin"/>
      </w:r>
      <w:r>
        <w:instrText xml:space="preserve"> HYPERLINK \l _Toc15404 </w:instrText>
      </w:r>
      <w:r>
        <w:fldChar w:fldCharType="separate"/>
      </w:r>
      <w:r>
        <w:rPr>
          <w:rFonts w:hint="eastAsia" w:ascii="宋体" w:hAnsi="宋体" w:eastAsia="宋体" w:cs="宋体"/>
        </w:rPr>
        <w:t xml:space="preserve">第六章 </w:t>
      </w:r>
      <w:r>
        <w:rPr>
          <w:rFonts w:hint="eastAsia" w:ascii="宋体" w:hAnsi="宋体" w:eastAsia="宋体" w:cs="宋体"/>
          <w:lang w:val="en-US" w:eastAsia="zh-CN"/>
        </w:rPr>
        <w:t>投标</w:t>
      </w:r>
      <w:r>
        <w:rPr>
          <w:rFonts w:hint="eastAsia" w:ascii="宋体" w:hAnsi="宋体" w:eastAsia="宋体" w:cs="宋体"/>
        </w:rPr>
        <w:t>文件格式</w:t>
      </w:r>
      <w:r>
        <w:tab/>
      </w:r>
      <w:r>
        <w:fldChar w:fldCharType="begin"/>
      </w:r>
      <w:r>
        <w:instrText xml:space="preserve"> PAGEREF _Toc15404 \h </w:instrText>
      </w:r>
      <w:r>
        <w:fldChar w:fldCharType="separate"/>
      </w:r>
      <w:r>
        <w:t>37</w:t>
      </w:r>
      <w:r>
        <w:fldChar w:fldCharType="end"/>
      </w:r>
      <w:r>
        <w:rPr>
          <w:color w:val="auto"/>
        </w:rPr>
        <w:fldChar w:fldCharType="end"/>
      </w:r>
    </w:p>
    <w:p w14:paraId="0FBF00B1">
      <w:pPr>
        <w:rPr>
          <w:color w:val="auto"/>
        </w:rPr>
      </w:pPr>
      <w:r>
        <w:rPr>
          <w:color w:val="auto"/>
        </w:rPr>
        <w:fldChar w:fldCharType="end"/>
      </w:r>
    </w:p>
    <w:p w14:paraId="140DF3A2">
      <w:pPr>
        <w:spacing w:after="0"/>
        <w:rPr>
          <w:color w:val="auto"/>
          <w:sz w:val="32"/>
          <w:szCs w:val="32"/>
        </w:rPr>
      </w:pPr>
      <w:r>
        <w:rPr>
          <w:rFonts w:hint="eastAsia"/>
          <w:color w:val="auto"/>
          <w:sz w:val="32"/>
          <w:szCs w:val="32"/>
        </w:rPr>
        <w:t xml:space="preserve"> </w:t>
      </w:r>
    </w:p>
    <w:p w14:paraId="0B2948B5">
      <w:pPr>
        <w:tabs>
          <w:tab w:val="left" w:pos="7005"/>
        </w:tabs>
        <w:spacing w:after="0"/>
        <w:rPr>
          <w:rFonts w:hint="eastAsia" w:eastAsiaTheme="minorEastAsia"/>
          <w:color w:val="auto"/>
          <w:lang w:eastAsia="zh-CN"/>
        </w:rPr>
        <w:sectPr>
          <w:footerReference r:id="rId6" w:type="default"/>
          <w:pgSz w:w="11910" w:h="16840"/>
          <w:pgMar w:top="1440" w:right="1080" w:bottom="1440" w:left="1080" w:header="720" w:footer="720" w:gutter="0"/>
          <w:pgNumType w:fmt="decimal" w:start="1"/>
          <w:cols w:space="720" w:num="1"/>
        </w:sectPr>
      </w:pPr>
      <w:r>
        <w:rPr>
          <w:rFonts w:hint="eastAsia"/>
          <w:color w:val="auto"/>
          <w:lang w:eastAsia="zh-CN"/>
        </w:rPr>
        <w:tab/>
      </w:r>
    </w:p>
    <w:p w14:paraId="43345C4B">
      <w:pPr>
        <w:pStyle w:val="2"/>
        <w:jc w:val="center"/>
        <w:rPr>
          <w:rFonts w:hint="eastAsia" w:ascii="宋体" w:hAnsi="宋体" w:eastAsia="宋体" w:cs="宋体"/>
          <w:b w:val="0"/>
          <w:bCs w:val="0"/>
          <w:color w:val="auto"/>
          <w:kern w:val="36"/>
          <w:szCs w:val="32"/>
        </w:rPr>
      </w:pPr>
      <w:bookmarkStart w:id="3" w:name="_Toc26619"/>
      <w:r>
        <w:rPr>
          <w:rFonts w:hint="eastAsia" w:ascii="宋体" w:hAnsi="宋体" w:eastAsia="宋体" w:cs="宋体"/>
          <w:color w:val="auto"/>
          <w:szCs w:val="32"/>
        </w:rPr>
        <w:t>第一章 招标公告</w:t>
      </w:r>
      <w:bookmarkEnd w:id="3"/>
    </w:p>
    <w:p w14:paraId="0F8DE34D">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sz w:val="24"/>
          <w:szCs w:val="32"/>
          <w:lang w:eastAsia="zh-CN"/>
        </w:rPr>
        <w:t xml:space="preserve"> </w:t>
      </w:r>
      <w:r>
        <w:rPr>
          <w:rFonts w:hint="eastAsia" w:ascii="宋体" w:hAnsi="宋体" w:eastAsia="宋体" w:cs="宋体"/>
          <w:color w:val="auto"/>
          <w:sz w:val="24"/>
          <w:szCs w:val="32"/>
        </w:rPr>
        <w:t>渑池县生活垃圾清运建设项目-采购项目的潜在</w:t>
      </w:r>
      <w:r>
        <w:rPr>
          <w:rFonts w:hint="eastAsia"/>
          <w:bCs/>
          <w:color w:val="auto"/>
          <w:lang w:eastAsia="zh-CN"/>
        </w:rPr>
        <w:t>供应商</w:t>
      </w:r>
      <w:r>
        <w:rPr>
          <w:rFonts w:hint="eastAsia" w:ascii="宋体" w:hAnsi="宋体" w:eastAsia="宋体" w:cs="宋体"/>
          <w:color w:val="auto"/>
          <w:sz w:val="24"/>
          <w:szCs w:val="32"/>
        </w:rPr>
        <w:t>应在三门峡市公共资源交易中心网（网址：http://gzjy.smx.gov.cn/）获取</w:t>
      </w:r>
      <w:r>
        <w:rPr>
          <w:rFonts w:hint="eastAsia" w:ascii="宋体" w:hAnsi="宋体" w:eastAsia="宋体" w:cs="宋体"/>
          <w:color w:val="auto"/>
          <w:sz w:val="24"/>
          <w:szCs w:val="32"/>
          <w:lang w:val="en-US" w:eastAsia="zh-CN"/>
        </w:rPr>
        <w:t>招标</w:t>
      </w:r>
      <w:r>
        <w:rPr>
          <w:rFonts w:hint="eastAsia" w:ascii="宋体" w:hAnsi="宋体" w:eastAsia="宋体" w:cs="宋体"/>
          <w:color w:val="auto"/>
          <w:sz w:val="24"/>
          <w:szCs w:val="32"/>
        </w:rPr>
        <w:t>文件</w:t>
      </w:r>
      <w:r>
        <w:rPr>
          <w:rFonts w:hint="eastAsia" w:ascii="宋体" w:hAnsi="宋体" w:eastAsia="宋体" w:cs="宋体"/>
          <w:color w:val="auto"/>
          <w:sz w:val="24"/>
          <w:szCs w:val="32"/>
          <w:highlight w:val="none"/>
        </w:rPr>
        <w:t>，并于</w:t>
      </w:r>
      <w:r>
        <w:rPr>
          <w:rFonts w:hint="eastAsia" w:ascii="宋体" w:hAnsi="宋体" w:eastAsia="宋体" w:cs="宋体"/>
          <w:color w:val="auto"/>
          <w:sz w:val="24"/>
          <w:szCs w:val="32"/>
          <w:lang w:eastAsia="zh-CN"/>
        </w:rPr>
        <w:t>2024年</w:t>
      </w:r>
      <w:r>
        <w:rPr>
          <w:rFonts w:hint="eastAsia" w:ascii="宋体" w:hAnsi="宋体" w:eastAsia="宋体" w:cs="宋体"/>
          <w:color w:val="auto"/>
          <w:sz w:val="24"/>
          <w:szCs w:val="32"/>
          <w:lang w:val="en-US" w:eastAsia="zh-CN"/>
        </w:rPr>
        <w:t>9</w:t>
      </w:r>
      <w:r>
        <w:rPr>
          <w:rFonts w:hint="eastAsia" w:ascii="宋体" w:hAnsi="宋体" w:eastAsia="宋体" w:cs="宋体"/>
          <w:color w:val="auto"/>
          <w:sz w:val="24"/>
          <w:szCs w:val="32"/>
          <w:lang w:eastAsia="zh-CN"/>
        </w:rPr>
        <w:t>月</w:t>
      </w:r>
      <w:r>
        <w:rPr>
          <w:rFonts w:hint="eastAsia" w:ascii="宋体" w:hAnsi="宋体" w:eastAsia="宋体" w:cs="宋体"/>
          <w:color w:val="auto"/>
          <w:sz w:val="24"/>
          <w:szCs w:val="32"/>
          <w:lang w:val="en-US" w:eastAsia="zh-CN"/>
        </w:rPr>
        <w:t>20</w:t>
      </w:r>
      <w:r>
        <w:rPr>
          <w:rFonts w:hint="eastAsia" w:ascii="宋体" w:hAnsi="宋体" w:eastAsia="宋体" w:cs="宋体"/>
          <w:color w:val="auto"/>
          <w:sz w:val="24"/>
          <w:szCs w:val="32"/>
          <w:lang w:eastAsia="zh-CN"/>
        </w:rPr>
        <w:t>日08时20分</w:t>
      </w:r>
      <w:r>
        <w:rPr>
          <w:rFonts w:hint="eastAsia" w:ascii="宋体" w:hAnsi="宋体" w:eastAsia="宋体" w:cs="宋体"/>
          <w:color w:val="auto"/>
          <w:sz w:val="24"/>
          <w:szCs w:val="32"/>
          <w:highlight w:val="none"/>
        </w:rPr>
        <w:t>（</w:t>
      </w:r>
      <w:r>
        <w:rPr>
          <w:rFonts w:hint="eastAsia" w:ascii="宋体" w:hAnsi="宋体" w:eastAsia="宋体" w:cs="宋体"/>
          <w:color w:val="auto"/>
          <w:kern w:val="0"/>
          <w:sz w:val="24"/>
          <w:highlight w:val="none"/>
          <w:lang w:eastAsia="zh-CN"/>
        </w:rPr>
        <w:t>北京时间）前递交投标文件。</w:t>
      </w:r>
    </w:p>
    <w:p w14:paraId="626FDFCA">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highlight w:val="none"/>
          <w:lang w:eastAsia="zh-CN"/>
        </w:rPr>
        <w:t xml:space="preserve">一、项目基本情况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rPr>
        <w:t xml:space="preserve">                                                                                                                                                             </w:t>
      </w:r>
    </w:p>
    <w:p w14:paraId="68567E99">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1、采购项目编号：渑池公开采购-2024-67、MCGZ[2024]235-ZC170</w:t>
      </w:r>
    </w:p>
    <w:p w14:paraId="2CF9FCE3">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2、采购项目名称：渑池县生活垃圾清运建设项目-采购项目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kern w:val="0"/>
          <w:sz w:val="24"/>
          <w:highlight w:val="none"/>
          <w:lang w:eastAsia="zh-CN"/>
        </w:rPr>
        <w:t xml:space="preserve"> </w:t>
      </w:r>
    </w:p>
    <w:p w14:paraId="2AB585B1">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3、采购方式：</w:t>
      </w:r>
      <w:r>
        <w:rPr>
          <w:rFonts w:hint="eastAsia" w:ascii="宋体" w:hAnsi="宋体" w:eastAsia="宋体" w:cs="宋体"/>
          <w:color w:val="auto"/>
          <w:kern w:val="0"/>
          <w:sz w:val="24"/>
          <w:highlight w:val="none"/>
          <w:lang w:eastAsia="zh-CN"/>
        </w:rPr>
        <w:t>公开招标</w:t>
      </w:r>
    </w:p>
    <w:p w14:paraId="566DBB5E">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4、预算金额：14674545.50元</w:t>
      </w:r>
    </w:p>
    <w:p w14:paraId="079C9F7C">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rPr>
      </w:pPr>
      <w:r>
        <w:rPr>
          <w:rFonts w:hint="eastAsia" w:ascii="宋体" w:hAnsi="宋体" w:eastAsia="宋体" w:cs="宋体"/>
          <w:color w:val="auto"/>
          <w:kern w:val="0"/>
          <w:sz w:val="24"/>
          <w:highlight w:val="none"/>
        </w:rPr>
        <w:t>最高限价：14674545.50元</w:t>
      </w:r>
    </w:p>
    <w:tbl>
      <w:tblPr>
        <w:tblStyle w:val="18"/>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22"/>
        <w:gridCol w:w="3528"/>
        <w:gridCol w:w="1229"/>
        <w:gridCol w:w="1555"/>
      </w:tblGrid>
      <w:tr w14:paraId="40367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dxa"/>
            <w:noWrap w:val="0"/>
            <w:vAlign w:val="top"/>
          </w:tcPr>
          <w:p w14:paraId="653E2989">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22" w:type="dxa"/>
            <w:noWrap w:val="0"/>
            <w:vAlign w:val="top"/>
          </w:tcPr>
          <w:p w14:paraId="33F779A4">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包号</w:t>
            </w:r>
          </w:p>
        </w:tc>
        <w:tc>
          <w:tcPr>
            <w:tcW w:w="3528" w:type="dxa"/>
            <w:noWrap w:val="0"/>
            <w:vAlign w:val="top"/>
          </w:tcPr>
          <w:p w14:paraId="31528D04">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包名称</w:t>
            </w:r>
          </w:p>
        </w:tc>
        <w:tc>
          <w:tcPr>
            <w:tcW w:w="1229" w:type="dxa"/>
            <w:noWrap w:val="0"/>
            <w:vAlign w:val="top"/>
          </w:tcPr>
          <w:p w14:paraId="2BBE98F2">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包预算（元）</w:t>
            </w:r>
          </w:p>
        </w:tc>
        <w:tc>
          <w:tcPr>
            <w:tcW w:w="1555" w:type="dxa"/>
            <w:noWrap w:val="0"/>
            <w:vAlign w:val="top"/>
          </w:tcPr>
          <w:p w14:paraId="2D10352A">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包最高限价(元）</w:t>
            </w:r>
          </w:p>
        </w:tc>
      </w:tr>
      <w:tr w14:paraId="156F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CEA5D86">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highlight w:val="none"/>
                <w:lang w:val="en-US" w:eastAsia="zh-CN"/>
              </w:rPr>
            </w:pPr>
            <w:r>
              <w:rPr>
                <w:rFonts w:hint="eastAsia" w:hAnsi="宋体" w:cs="宋体"/>
                <w:color w:val="auto"/>
                <w:highlight w:val="none"/>
                <w:lang w:val="en-US" w:eastAsia="zh-CN"/>
              </w:rPr>
              <w:t>1</w:t>
            </w:r>
          </w:p>
        </w:tc>
        <w:tc>
          <w:tcPr>
            <w:tcW w:w="1722" w:type="dxa"/>
            <w:noWrap w:val="0"/>
            <w:vAlign w:val="center"/>
          </w:tcPr>
          <w:p w14:paraId="68B2D16C">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MCGZ[2024]235-ZC170-1</w:t>
            </w:r>
          </w:p>
        </w:tc>
        <w:tc>
          <w:tcPr>
            <w:tcW w:w="3528" w:type="dxa"/>
            <w:noWrap w:val="0"/>
            <w:vAlign w:val="center"/>
          </w:tcPr>
          <w:p w14:paraId="7BA7B772">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E包</w:t>
            </w:r>
          </w:p>
        </w:tc>
        <w:tc>
          <w:tcPr>
            <w:tcW w:w="1229" w:type="dxa"/>
            <w:noWrap w:val="0"/>
            <w:vAlign w:val="center"/>
          </w:tcPr>
          <w:p w14:paraId="7F6C81BB">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c>
          <w:tcPr>
            <w:tcW w:w="1555" w:type="dxa"/>
            <w:noWrap w:val="0"/>
            <w:vAlign w:val="center"/>
          </w:tcPr>
          <w:p w14:paraId="08889DC8">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3670000</w:t>
            </w:r>
          </w:p>
        </w:tc>
      </w:tr>
      <w:tr w14:paraId="2152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6346D6BD">
            <w:pPr>
              <w:pStyle w:val="33"/>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2</w:t>
            </w:r>
          </w:p>
        </w:tc>
        <w:tc>
          <w:tcPr>
            <w:tcW w:w="1722" w:type="dxa"/>
            <w:noWrap w:val="0"/>
            <w:vAlign w:val="center"/>
          </w:tcPr>
          <w:p w14:paraId="76651D59">
            <w:pPr>
              <w:keepNext w:val="0"/>
              <w:keepLines w:val="0"/>
              <w:widowControl/>
              <w:suppressLineNumbers w:val="0"/>
              <w:spacing w:line="360" w:lineRule="auto"/>
              <w:jc w:val="center"/>
              <w:rPr>
                <w:rFonts w:hint="eastAsia"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MCGZ[2024]235-ZC170-2</w:t>
            </w:r>
          </w:p>
        </w:tc>
        <w:tc>
          <w:tcPr>
            <w:tcW w:w="3528" w:type="dxa"/>
            <w:noWrap w:val="0"/>
            <w:vAlign w:val="center"/>
          </w:tcPr>
          <w:p w14:paraId="18ABCEB3">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F包</w:t>
            </w:r>
          </w:p>
        </w:tc>
        <w:tc>
          <w:tcPr>
            <w:tcW w:w="1229" w:type="dxa"/>
            <w:noWrap w:val="0"/>
            <w:vAlign w:val="center"/>
          </w:tcPr>
          <w:p w14:paraId="48E57A6F">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c>
          <w:tcPr>
            <w:tcW w:w="1555" w:type="dxa"/>
            <w:noWrap w:val="0"/>
            <w:vAlign w:val="center"/>
          </w:tcPr>
          <w:p w14:paraId="1541CB6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5800000</w:t>
            </w:r>
          </w:p>
        </w:tc>
      </w:tr>
      <w:tr w14:paraId="67EA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3652ECD8">
            <w:pPr>
              <w:pStyle w:val="33"/>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3</w:t>
            </w:r>
          </w:p>
        </w:tc>
        <w:tc>
          <w:tcPr>
            <w:tcW w:w="1722" w:type="dxa"/>
            <w:noWrap w:val="0"/>
            <w:vAlign w:val="center"/>
          </w:tcPr>
          <w:p w14:paraId="5FD0E0F9">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MCGZ[2024]235-ZC170-3</w:t>
            </w:r>
          </w:p>
        </w:tc>
        <w:tc>
          <w:tcPr>
            <w:tcW w:w="3528" w:type="dxa"/>
            <w:noWrap w:val="0"/>
            <w:vAlign w:val="center"/>
          </w:tcPr>
          <w:p w14:paraId="6F161CA4">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G包</w:t>
            </w:r>
          </w:p>
        </w:tc>
        <w:tc>
          <w:tcPr>
            <w:tcW w:w="1229" w:type="dxa"/>
            <w:noWrap w:val="0"/>
            <w:vAlign w:val="center"/>
          </w:tcPr>
          <w:p w14:paraId="6A858A9C">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c>
          <w:tcPr>
            <w:tcW w:w="1555" w:type="dxa"/>
            <w:noWrap w:val="0"/>
            <w:vAlign w:val="center"/>
          </w:tcPr>
          <w:p w14:paraId="1D89437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4800000</w:t>
            </w:r>
          </w:p>
        </w:tc>
      </w:tr>
      <w:tr w14:paraId="668E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3" w:type="dxa"/>
            <w:noWrap w:val="0"/>
            <w:vAlign w:val="center"/>
          </w:tcPr>
          <w:p w14:paraId="74056BE1">
            <w:pPr>
              <w:pStyle w:val="33"/>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eastAsia="宋体" w:cs="宋体"/>
                <w:color w:val="auto"/>
                <w:highlight w:val="none"/>
                <w:lang w:val="en-US" w:eastAsia="zh-CN"/>
              </w:rPr>
            </w:pPr>
            <w:r>
              <w:rPr>
                <w:rFonts w:hint="eastAsia" w:hAnsi="宋体" w:cs="宋体"/>
                <w:color w:val="auto"/>
                <w:highlight w:val="none"/>
                <w:lang w:val="en-US" w:eastAsia="zh-CN"/>
              </w:rPr>
              <w:t>4</w:t>
            </w:r>
          </w:p>
        </w:tc>
        <w:tc>
          <w:tcPr>
            <w:tcW w:w="1722" w:type="dxa"/>
            <w:noWrap w:val="0"/>
            <w:vAlign w:val="center"/>
          </w:tcPr>
          <w:p w14:paraId="3D8CC29C">
            <w:pPr>
              <w:keepNext w:val="0"/>
              <w:keepLines w:val="0"/>
              <w:widowControl/>
              <w:suppressLineNumbers w:val="0"/>
              <w:spacing w:line="360" w:lineRule="auto"/>
              <w:jc w:val="center"/>
              <w:rPr>
                <w:rFonts w:hint="default" w:ascii="宋体" w:hAnsi="宋体" w:eastAsia="宋体" w:cs="宋体"/>
                <w:color w:val="auto"/>
                <w:kern w:val="0"/>
                <w:sz w:val="24"/>
                <w:szCs w:val="32"/>
                <w:lang w:val="en-US" w:eastAsia="zh-CN" w:bidi="ar-SA"/>
              </w:rPr>
            </w:pPr>
            <w:r>
              <w:rPr>
                <w:rFonts w:hint="eastAsia" w:ascii="宋体" w:hAnsi="宋体" w:eastAsia="宋体" w:cs="宋体"/>
                <w:color w:val="auto"/>
                <w:kern w:val="0"/>
                <w:sz w:val="24"/>
                <w:highlight w:val="none"/>
                <w:lang w:val="en-US" w:eastAsia="zh-CN"/>
              </w:rPr>
              <w:t>MCGZ[2024]235-ZC170-4</w:t>
            </w:r>
          </w:p>
        </w:tc>
        <w:tc>
          <w:tcPr>
            <w:tcW w:w="3528" w:type="dxa"/>
            <w:noWrap w:val="0"/>
            <w:vAlign w:val="center"/>
          </w:tcPr>
          <w:p w14:paraId="159F5BA1">
            <w:pPr>
              <w:pStyle w:val="33"/>
              <w:keepNext w:val="0"/>
              <w:keepLines w:val="0"/>
              <w:pageBreakBefore w:val="0"/>
              <w:kinsoku/>
              <w:wordWrap/>
              <w:overflowPunct/>
              <w:topLinePunct w:val="0"/>
              <w:bidi w:val="0"/>
              <w:adjustRightInd w:val="0"/>
              <w:snapToGrid w:val="0"/>
              <w:spacing w:line="360" w:lineRule="auto"/>
              <w:jc w:val="center"/>
              <w:textAlignment w:val="auto"/>
              <w:rPr>
                <w:rFonts w:hint="eastAsia" w:hAnsi="宋体" w:cs="宋体"/>
                <w:color w:val="auto"/>
                <w:highlight w:val="none"/>
                <w:lang w:eastAsia="zh-CN"/>
              </w:rPr>
            </w:pPr>
            <w:r>
              <w:rPr>
                <w:rFonts w:hint="eastAsia" w:ascii="宋体" w:hAnsi="宋体" w:eastAsia="宋体" w:cs="宋体"/>
                <w:color w:val="auto"/>
                <w:highlight w:val="none"/>
                <w:lang w:eastAsia="zh-CN"/>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highlight w:val="none"/>
                <w:lang w:val="en-US" w:eastAsia="zh-CN"/>
              </w:rPr>
              <w:t>H包</w:t>
            </w:r>
          </w:p>
        </w:tc>
        <w:tc>
          <w:tcPr>
            <w:tcW w:w="1229" w:type="dxa"/>
            <w:noWrap w:val="0"/>
            <w:vAlign w:val="center"/>
          </w:tcPr>
          <w:p w14:paraId="22BC35C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c>
          <w:tcPr>
            <w:tcW w:w="1555" w:type="dxa"/>
            <w:noWrap w:val="0"/>
            <w:vAlign w:val="center"/>
          </w:tcPr>
          <w:p w14:paraId="0C7EA1D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404545.5</w:t>
            </w:r>
          </w:p>
        </w:tc>
      </w:tr>
    </w:tbl>
    <w:p w14:paraId="580AA79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5、采购需求：（包括但不限于标的的名称、数量、简要技术需求或服务要求等）</w:t>
      </w:r>
    </w:p>
    <w:p w14:paraId="6E74F6AD">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5.1</w:t>
      </w:r>
      <w:r>
        <w:rPr>
          <w:rFonts w:hint="eastAsia" w:ascii="宋体" w:hAnsi="宋体" w:eastAsia="宋体" w:cs="宋体"/>
          <w:color w:val="auto"/>
          <w:kern w:val="0"/>
          <w:sz w:val="24"/>
          <w:highlight w:val="none"/>
          <w:lang w:eastAsia="zh-CN"/>
        </w:rPr>
        <w:t>采购内容</w:t>
      </w: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r>
        <w:rPr>
          <w:rFonts w:hint="eastAsia" w:ascii="宋体" w:hAnsi="宋体" w:eastAsia="宋体" w:cs="宋体"/>
          <w:color w:val="auto"/>
          <w:sz w:val="24"/>
          <w:szCs w:val="32"/>
          <w:lang w:eastAsia="zh-CN"/>
        </w:rPr>
        <w:t>。E包：50吨电子磅、负压除尘除臭系统、空间渗滤除臭系统；F包：简易分拣设备、热解设备（段村乡）；G包：分拣设备（英豪镇）；H包：</w:t>
      </w:r>
      <w:r>
        <w:rPr>
          <w:rFonts w:ascii="宋体" w:hAnsi="宋体" w:eastAsia="宋体" w:cs="宋体"/>
          <w:sz w:val="24"/>
          <w:szCs w:val="24"/>
        </w:rPr>
        <w:t>施工及验收全过程监理（含缺陷责任期）</w:t>
      </w:r>
      <w:r>
        <w:rPr>
          <w:rFonts w:hint="eastAsia" w:ascii="宋体" w:hAnsi="宋体" w:eastAsia="宋体" w:cs="宋体"/>
          <w:color w:val="auto"/>
          <w:sz w:val="24"/>
          <w:szCs w:val="32"/>
          <w:lang w:eastAsia="zh-CN"/>
        </w:rPr>
        <w:t>。具体采购需求详见招标文件。</w:t>
      </w:r>
    </w:p>
    <w:p w14:paraId="0E6280C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s="宋体"/>
          <w:bCs/>
          <w:color w:val="auto"/>
          <w:kern w:val="0"/>
          <w:sz w:val="24"/>
          <w:highlight w:val="none"/>
          <w:lang w:val="en-US" w:eastAsia="zh-CN"/>
        </w:rPr>
      </w:pPr>
      <w:r>
        <w:rPr>
          <w:rFonts w:hint="eastAsia" w:ascii="宋体" w:hAnsi="宋体" w:eastAsia="宋体" w:cs="宋体"/>
          <w:bCs/>
          <w:color w:val="auto"/>
          <w:kern w:val="0"/>
          <w:sz w:val="24"/>
          <w:highlight w:val="none"/>
        </w:rPr>
        <w:t>5.2</w:t>
      </w:r>
      <w:r>
        <w:rPr>
          <w:rFonts w:hint="eastAsia" w:ascii="宋体" w:hAnsi="宋体" w:eastAsia="宋体" w:cs="宋体"/>
          <w:bCs/>
          <w:color w:val="auto"/>
          <w:kern w:val="0"/>
          <w:sz w:val="24"/>
          <w:highlight w:val="none"/>
          <w:lang w:val="en-US" w:eastAsia="zh-CN"/>
        </w:rPr>
        <w:t xml:space="preserve"> </w:t>
      </w:r>
      <w:r>
        <w:rPr>
          <w:rFonts w:hint="eastAsia" w:ascii="宋体" w:hAnsi="宋体" w:eastAsia="宋体" w:cs="宋体"/>
          <w:bCs/>
          <w:color w:val="auto"/>
          <w:kern w:val="0"/>
          <w:sz w:val="24"/>
          <w:highlight w:val="none"/>
        </w:rPr>
        <w:t>资金来源：</w:t>
      </w:r>
      <w:r>
        <w:rPr>
          <w:rFonts w:hint="eastAsia" w:ascii="宋体" w:hAnsi="宋体" w:eastAsia="宋体" w:cs="宋体"/>
          <w:bCs/>
          <w:color w:val="auto"/>
          <w:kern w:val="0"/>
          <w:sz w:val="24"/>
          <w:highlight w:val="none"/>
          <w:lang w:val="en-US" w:eastAsia="zh-CN"/>
        </w:rPr>
        <w:t>财政</w:t>
      </w:r>
      <w:r>
        <w:rPr>
          <w:rFonts w:hint="eastAsia" w:ascii="宋体" w:hAnsi="宋体" w:eastAsia="宋体" w:cs="宋体"/>
          <w:bCs/>
          <w:color w:val="auto"/>
          <w:kern w:val="0"/>
          <w:sz w:val="24"/>
          <w:highlight w:val="none"/>
        </w:rPr>
        <w:t>资金</w:t>
      </w:r>
    </w:p>
    <w:p w14:paraId="423738C0">
      <w:pPr>
        <w:keepNext w:val="0"/>
        <w:keepLines w:val="0"/>
        <w:pageBreakBefore w:val="0"/>
        <w:widowControl/>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rPr>
      </w:pPr>
      <w:r>
        <w:rPr>
          <w:rFonts w:hint="eastAsia" w:ascii="宋体" w:hAnsi="宋体" w:eastAsia="宋体" w:cs="宋体"/>
          <w:color w:val="auto"/>
          <w:kern w:val="0"/>
          <w:sz w:val="24"/>
          <w:highlight w:val="none"/>
          <w:lang w:eastAsia="zh-CN"/>
        </w:rPr>
        <w:t>5.</w:t>
      </w:r>
      <w:r>
        <w:rPr>
          <w:rFonts w:hint="eastAsia" w:ascii="宋体" w:hAnsi="宋体" w:eastAsia="宋体" w:cs="宋体"/>
          <w:color w:val="auto"/>
          <w:kern w:val="0"/>
          <w:sz w:val="24"/>
          <w:highlight w:val="none"/>
          <w:lang w:val="en-US" w:eastAsia="zh-CN"/>
        </w:rPr>
        <w:t xml:space="preserve">3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eastAsia="zh-CN"/>
        </w:rPr>
        <w:t>质量要求：</w:t>
      </w:r>
      <w:r>
        <w:rPr>
          <w:rFonts w:hint="eastAsia" w:ascii="宋体" w:hAnsi="宋体" w:eastAsia="宋体"/>
          <w:color w:val="auto"/>
          <w:sz w:val="24"/>
          <w:szCs w:val="28"/>
        </w:rPr>
        <w:t>符合国家规定，达到正常运行条件</w:t>
      </w:r>
    </w:p>
    <w:p w14:paraId="303BB8C5">
      <w:pPr>
        <w:keepNext w:val="0"/>
        <w:keepLines w:val="0"/>
        <w:pageBreakBefore w:val="0"/>
        <w:widowControl/>
        <w:kinsoku/>
        <w:wordWrap/>
        <w:overflowPunct/>
        <w:topLinePunct w:val="0"/>
        <w:bidi w:val="0"/>
        <w:adjustRightInd w:val="0"/>
        <w:snapToGrid w:val="0"/>
        <w:spacing w:line="360" w:lineRule="auto"/>
        <w:ind w:firstLine="960" w:firstLineChars="400"/>
        <w:jc w:val="left"/>
        <w:textAlignment w:val="auto"/>
        <w:rPr>
          <w:rFonts w:hint="eastAsia" w:ascii="宋体" w:hAnsi="宋体" w:eastAsia="宋体"/>
          <w:color w:val="auto"/>
          <w:sz w:val="24"/>
          <w:szCs w:val="28"/>
          <w:lang w:eastAsia="zh-CN"/>
        </w:rPr>
      </w:pPr>
      <w:r>
        <w:rPr>
          <w:rFonts w:hint="eastAsia" w:ascii="宋体" w:hAnsi="宋体" w:eastAsia="宋体" w:cs="宋体"/>
          <w:color w:val="auto"/>
          <w:sz w:val="24"/>
          <w:szCs w:val="32"/>
          <w:lang w:eastAsia="zh-CN"/>
        </w:rPr>
        <w:t>H包：</w:t>
      </w:r>
      <w:r>
        <w:rPr>
          <w:rFonts w:hint="eastAsia" w:ascii="宋体" w:hAnsi="宋体" w:cs="宋体"/>
          <w:color w:val="auto"/>
          <w:sz w:val="24"/>
          <w:highlight w:val="none"/>
          <w:lang w:val="en-US" w:eastAsia="zh-CN"/>
        </w:rPr>
        <w:t>质量要求：达到国家现行建设工程施工质量验收规范合格标准</w:t>
      </w:r>
    </w:p>
    <w:p w14:paraId="5E5C90D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kern w:val="0"/>
          <w:sz w:val="24"/>
          <w:highlight w:val="none"/>
        </w:rPr>
        <w:t>5.</w:t>
      </w:r>
      <w:r>
        <w:rPr>
          <w:rFonts w:hint="eastAsia" w:ascii="宋体" w:hAnsi="宋体" w:eastAsia="宋体" w:cs="宋体"/>
          <w:color w:val="auto"/>
          <w:kern w:val="0"/>
          <w:sz w:val="24"/>
          <w:highlight w:val="none"/>
          <w:lang w:val="en-US" w:eastAsia="zh-CN"/>
        </w:rPr>
        <w:t xml:space="preserve">4 </w:t>
      </w:r>
      <w:r>
        <w:rPr>
          <w:rFonts w:hint="eastAsia" w:ascii="宋体" w:hAnsi="宋体" w:eastAsia="宋体"/>
          <w:color w:val="auto"/>
          <w:sz w:val="24"/>
          <w:szCs w:val="28"/>
          <w:lang w:val="en-US" w:eastAsia="zh-CN"/>
        </w:rPr>
        <w:t>E包-G包：</w:t>
      </w:r>
      <w:r>
        <w:rPr>
          <w:rFonts w:hint="eastAsia" w:ascii="宋体" w:hAnsi="宋体" w:eastAsia="宋体" w:cs="宋体"/>
          <w:color w:val="auto"/>
          <w:kern w:val="0"/>
          <w:sz w:val="24"/>
          <w:highlight w:val="none"/>
          <w:lang w:val="en-US" w:eastAsia="zh-CN"/>
        </w:rPr>
        <w:t>交货期：</w:t>
      </w: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p w14:paraId="463C3804">
      <w:pPr>
        <w:keepNext w:val="0"/>
        <w:keepLines w:val="0"/>
        <w:pageBreakBefore w:val="0"/>
        <w:widowControl/>
        <w:kinsoku/>
        <w:wordWrap/>
        <w:overflowPunct/>
        <w:topLinePunct w:val="0"/>
        <w:autoSpaceDE/>
        <w:autoSpaceDN/>
        <w:bidi w:val="0"/>
        <w:adjustRightInd w:val="0"/>
        <w:snapToGrid w:val="0"/>
        <w:spacing w:line="360" w:lineRule="auto"/>
        <w:ind w:left="0" w:leftChars="0" w:firstLine="960" w:firstLineChars="400"/>
        <w:jc w:val="left"/>
        <w:textAlignment w:val="auto"/>
        <w:rPr>
          <w:rFonts w:hint="eastAsia" w:ascii="宋体" w:hAnsi="宋体" w:eastAsia="宋体"/>
          <w:color w:val="auto"/>
          <w:sz w:val="24"/>
          <w:szCs w:val="28"/>
          <w:highlight w:val="none"/>
          <w:lang w:eastAsia="zh-CN"/>
        </w:rPr>
      </w:pPr>
      <w:r>
        <w:rPr>
          <w:rFonts w:hint="eastAsia" w:ascii="宋体" w:hAnsi="宋体" w:eastAsia="宋体" w:cs="宋体"/>
          <w:color w:val="auto"/>
          <w:sz w:val="24"/>
          <w:szCs w:val="32"/>
          <w:lang w:eastAsia="zh-CN"/>
        </w:rPr>
        <w:t>H包</w:t>
      </w:r>
      <w:bookmarkStart w:id="176" w:name="_GoBack"/>
      <w:bookmarkEnd w:id="176"/>
      <w:r>
        <w:rPr>
          <w:rFonts w:hint="eastAsia" w:ascii="宋体" w:hAnsi="宋体" w:eastAsia="宋体" w:cs="宋体"/>
          <w:color w:val="auto"/>
          <w:sz w:val="24"/>
          <w:szCs w:val="32"/>
          <w:lang w:eastAsia="zh-CN"/>
        </w:rPr>
        <w:t>：</w:t>
      </w:r>
      <w:r>
        <w:rPr>
          <w:rFonts w:hint="eastAsia" w:ascii="宋体" w:hAnsi="宋体" w:cs="宋体"/>
          <w:color w:val="auto"/>
          <w:sz w:val="24"/>
          <w:highlight w:val="none"/>
          <w:lang w:val="en-US" w:eastAsia="zh-CN"/>
        </w:rPr>
        <w:t>监理服务期：</w:t>
      </w:r>
      <w:r>
        <w:rPr>
          <w:rFonts w:ascii="宋体" w:hAnsi="宋体" w:eastAsia="宋体" w:cs="宋体"/>
          <w:sz w:val="24"/>
          <w:szCs w:val="24"/>
        </w:rPr>
        <w:t>施工及验收全过程监理（含缺陷责任期）</w:t>
      </w:r>
    </w:p>
    <w:p w14:paraId="2AC175D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olor w:val="auto"/>
          <w:sz w:val="24"/>
          <w:szCs w:val="28"/>
          <w:highlight w:val="none"/>
          <w:lang w:val="en-US" w:eastAsia="zh-CN"/>
        </w:rPr>
        <w:t>5.5</w:t>
      </w:r>
      <w:r>
        <w:rPr>
          <w:rFonts w:hint="eastAsia" w:ascii="宋体" w:hAnsi="宋体"/>
          <w:color w:val="auto"/>
          <w:sz w:val="24"/>
          <w:szCs w:val="28"/>
          <w:highlight w:val="none"/>
          <w:lang w:val="en-US" w:eastAsia="zh-CN"/>
        </w:rPr>
        <w:t>项目</w:t>
      </w:r>
      <w:r>
        <w:rPr>
          <w:rFonts w:hint="eastAsia" w:ascii="宋体" w:hAnsi="宋体" w:eastAsia="宋体"/>
          <w:color w:val="auto"/>
          <w:sz w:val="24"/>
          <w:szCs w:val="28"/>
          <w:highlight w:val="none"/>
          <w:lang w:val="en-US" w:eastAsia="zh-CN"/>
        </w:rPr>
        <w:t>地点：采购人指点地点</w:t>
      </w:r>
    </w:p>
    <w:p w14:paraId="09BAC801">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5.6</w:t>
      </w:r>
      <w:r>
        <w:rPr>
          <w:rFonts w:hint="eastAsia" w:ascii="宋体" w:hAnsi="宋体" w:eastAsia="宋体" w:cs="宋体"/>
          <w:color w:val="auto"/>
          <w:kern w:val="0"/>
          <w:sz w:val="24"/>
          <w:highlight w:val="none"/>
          <w:lang w:eastAsia="zh-CN"/>
        </w:rPr>
        <w:t>采购</w:t>
      </w:r>
      <w:r>
        <w:rPr>
          <w:rFonts w:hint="eastAsia" w:ascii="宋体" w:hAnsi="宋体" w:eastAsia="宋体" w:cs="宋体"/>
          <w:color w:val="auto"/>
          <w:kern w:val="0"/>
          <w:sz w:val="24"/>
          <w:highlight w:val="none"/>
        </w:rPr>
        <w:t>范围：</w:t>
      </w:r>
      <w:r>
        <w:rPr>
          <w:rFonts w:hint="eastAsia" w:ascii="宋体" w:hAnsi="宋体" w:eastAsia="宋体" w:cs="宋体"/>
          <w:color w:val="auto"/>
          <w:kern w:val="0"/>
          <w:sz w:val="24"/>
          <w:highlight w:val="none"/>
          <w:lang w:val="en-US" w:eastAsia="zh-CN"/>
        </w:rPr>
        <w:t>招标文件所包含</w:t>
      </w:r>
      <w:r>
        <w:rPr>
          <w:rFonts w:hint="eastAsia" w:ascii="宋体" w:hAnsi="宋体" w:eastAsia="宋体" w:cs="宋体"/>
          <w:color w:val="auto"/>
          <w:kern w:val="0"/>
          <w:sz w:val="24"/>
          <w:highlight w:val="none"/>
        </w:rPr>
        <w:t>的全部内容</w:t>
      </w:r>
    </w:p>
    <w:p w14:paraId="2C347F9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5.7</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段划分：本项目共划分为</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个</w:t>
      </w:r>
      <w:r>
        <w:rPr>
          <w:rFonts w:hint="eastAsia" w:ascii="宋体" w:hAnsi="宋体" w:eastAsia="宋体" w:cs="宋体"/>
          <w:color w:val="auto"/>
          <w:kern w:val="0"/>
          <w:sz w:val="24"/>
          <w:highlight w:val="none"/>
          <w:lang w:val="en-US" w:eastAsia="zh-CN"/>
        </w:rPr>
        <w:t>包</w:t>
      </w:r>
      <w:r>
        <w:rPr>
          <w:rFonts w:hint="eastAsia" w:ascii="宋体" w:hAnsi="宋体" w:eastAsia="宋体" w:cs="宋体"/>
          <w:color w:val="auto"/>
          <w:kern w:val="0"/>
          <w:sz w:val="24"/>
          <w:highlight w:val="none"/>
        </w:rPr>
        <w:t>段</w:t>
      </w:r>
    </w:p>
    <w:p w14:paraId="72EF428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ascii="宋体" w:hAnsi="宋体" w:eastAsia="宋体"/>
          <w:color w:val="auto"/>
          <w:sz w:val="24"/>
          <w:szCs w:val="28"/>
          <w:highlight w:val="none"/>
          <w:lang w:val="en-US" w:eastAsia="zh-CN"/>
        </w:rPr>
      </w:pPr>
      <w:r>
        <w:rPr>
          <w:rFonts w:hint="eastAsia" w:ascii="宋体" w:hAnsi="宋体" w:eastAsia="宋体" w:cs="宋体"/>
          <w:color w:val="auto"/>
          <w:kern w:val="0"/>
          <w:sz w:val="24"/>
          <w:highlight w:val="none"/>
        </w:rPr>
        <w:t>6、合同履行期限：</w:t>
      </w:r>
      <w:r>
        <w:rPr>
          <w:rFonts w:hint="eastAsia" w:ascii="宋体" w:hAnsi="宋体" w:eastAsia="宋体"/>
          <w:color w:val="auto"/>
          <w:sz w:val="24"/>
          <w:szCs w:val="28"/>
          <w:highlight w:val="none"/>
          <w:lang w:val="en-US" w:eastAsia="zh-CN"/>
        </w:rPr>
        <w:t>按合同执行</w:t>
      </w:r>
    </w:p>
    <w:p w14:paraId="16D13623">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7、本项目是否接受联合体</w:t>
      </w:r>
      <w:r>
        <w:rPr>
          <w:rFonts w:hint="eastAsia" w:ascii="宋体" w:hAnsi="宋体" w:eastAsia="宋体" w:cs="宋体"/>
          <w:color w:val="auto"/>
          <w:kern w:val="0"/>
          <w:sz w:val="24"/>
          <w:highlight w:val="none"/>
          <w:lang w:eastAsia="zh-CN"/>
        </w:rPr>
        <w:t>投标</w:t>
      </w:r>
      <w:r>
        <w:rPr>
          <w:rFonts w:hint="eastAsia" w:ascii="宋体" w:hAnsi="宋体" w:eastAsia="宋体" w:cs="宋体"/>
          <w:color w:val="auto"/>
          <w:kern w:val="0"/>
          <w:sz w:val="24"/>
          <w:highlight w:val="none"/>
        </w:rPr>
        <w:t>：否</w:t>
      </w:r>
    </w:p>
    <w:p w14:paraId="2D82E9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8、是否接受进口产品：否</w:t>
      </w:r>
    </w:p>
    <w:p w14:paraId="17BA9A1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9.是否专门面向中小企业：否</w:t>
      </w:r>
    </w:p>
    <w:p w14:paraId="6F18740B">
      <w:pPr>
        <w:pStyle w:val="34"/>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二、申请人资格要求</w:t>
      </w:r>
    </w:p>
    <w:p w14:paraId="7F4E13A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39089C4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00F45AF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2FC103B7">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17A3EBD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55E2D47C">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06813F3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18BA815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8F0C61E">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3554D47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1BA7878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olor w:val="auto"/>
          <w:sz w:val="24"/>
          <w:szCs w:val="28"/>
          <w:lang w:val="en-US" w:eastAsia="zh-CN"/>
        </w:rPr>
        <w:t>E包-G包：</w:t>
      </w:r>
    </w:p>
    <w:p w14:paraId="4EE467F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w:t>
      </w:r>
      <w:r>
        <w:rPr>
          <w:rFonts w:hint="eastAsia" w:ascii="宋体" w:hAnsi="宋体" w:eastAsia="宋体" w:cs="Times New Roman"/>
          <w:color w:val="auto"/>
          <w:sz w:val="24"/>
          <w:szCs w:val="24"/>
        </w:rPr>
        <w:t>有效的营业执照；</w:t>
      </w:r>
    </w:p>
    <w:p w14:paraId="2595A5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22614F57">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40BF0C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78D022A4">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5C8D7EF5">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547B493A">
      <w:pPr>
        <w:pStyle w:val="8"/>
        <w:keepNext w:val="0"/>
        <w:keepLines w:val="0"/>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p w14:paraId="420855F3">
      <w:pPr>
        <w:rPr>
          <w:rFonts w:hint="eastAsia" w:ascii="宋体" w:hAnsi="宋体" w:eastAsia="宋体" w:cs="宋体"/>
          <w:color w:val="auto"/>
          <w:sz w:val="24"/>
          <w:szCs w:val="32"/>
          <w:lang w:eastAsia="zh-CN"/>
        </w:rPr>
      </w:pPr>
      <w:r>
        <w:rPr>
          <w:rFonts w:hint="eastAsia" w:ascii="宋体" w:hAnsi="宋体" w:eastAsia="宋体" w:cs="宋体"/>
          <w:color w:val="auto"/>
          <w:sz w:val="24"/>
          <w:szCs w:val="32"/>
          <w:lang w:eastAsia="zh-CN"/>
        </w:rPr>
        <w:t>H包：</w:t>
      </w:r>
    </w:p>
    <w:p w14:paraId="29587CC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3.1 供应商具有房屋建筑工程监理乙级及以上资质或工程监理综合资质；</w:t>
      </w:r>
    </w:p>
    <w:p w14:paraId="170D55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eastAsia="zh-CN"/>
        </w:rPr>
      </w:pPr>
      <w:r>
        <w:rPr>
          <w:rFonts w:hint="eastAsia" w:ascii="宋体" w:hAnsi="宋体" w:eastAsia="宋体" w:cs="Times New Roman"/>
          <w:color w:val="auto"/>
          <w:sz w:val="24"/>
          <w:szCs w:val="24"/>
          <w:lang w:val="en-US" w:eastAsia="zh-CN"/>
        </w:rPr>
        <w:t>3.2 拟派项目总监须具有相关专业国家注册监理工程师资格，应提供有效的劳动合同并提供单位为其缴纳 2024 年以来任</w:t>
      </w:r>
      <w:r>
        <w:rPr>
          <w:rFonts w:hint="eastAsia" w:ascii="宋体" w:hAnsi="宋体" w:eastAsia="宋体" w:cs="宋体"/>
          <w:color w:val="auto"/>
          <w:sz w:val="24"/>
          <w:szCs w:val="32"/>
          <w:lang w:eastAsia="zh-CN"/>
        </w:rPr>
        <w:t>意一个月的社保证明材料；</w:t>
      </w:r>
    </w:p>
    <w:p w14:paraId="4D041D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3.3 信用查询：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的供应商；（查询渠道：“中国执行信息公开网”、“信用中国”和“中国政府采购网”；提供网站的查询信息截图；(注：査询时间必须是公告发布以后开标时间以前并提供网站查询网页截图，查询结果清晰可见)；</w:t>
      </w:r>
    </w:p>
    <w:p w14:paraId="45B8D1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3.4供应商自行出具本企业的无商业贿赂及无不正当竞争行为的承诺书（格式自拟）；</w:t>
      </w:r>
    </w:p>
    <w:p w14:paraId="505D36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3.5本项目不接受联合体投标，提供非联合体承诺，格式自拟。</w:t>
      </w:r>
    </w:p>
    <w:p w14:paraId="6B5EE7A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三、获取</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文件</w:t>
      </w:r>
    </w:p>
    <w:p w14:paraId="180AD56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时间：</w:t>
      </w:r>
      <w:r>
        <w:rPr>
          <w:rFonts w:hint="eastAsia" w:ascii="宋体" w:hAnsi="宋体" w:eastAsia="宋体" w:cs="宋体"/>
          <w:color w:val="auto"/>
          <w:kern w:val="0"/>
          <w:sz w:val="24"/>
          <w:highlight w:val="none"/>
          <w:lang w:eastAsia="zh-CN"/>
        </w:rPr>
        <w:t>2024年</w:t>
      </w: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29</w:t>
      </w:r>
      <w:r>
        <w:rPr>
          <w:rFonts w:hint="eastAsia" w:ascii="宋体" w:hAnsi="宋体" w:eastAsia="宋体" w:cs="宋体"/>
          <w:color w:val="auto"/>
          <w:kern w:val="0"/>
          <w:sz w:val="24"/>
          <w:highlight w:val="none"/>
          <w:lang w:eastAsia="zh-CN"/>
        </w:rPr>
        <w:t>日至2024年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lang w:val="en-US" w:eastAsia="zh-CN"/>
        </w:rPr>
        <w:t>20</w:t>
      </w:r>
      <w:r>
        <w:rPr>
          <w:rFonts w:hint="eastAsia" w:ascii="宋体" w:hAnsi="宋体" w:eastAsia="宋体" w:cs="宋体"/>
          <w:color w:val="auto"/>
          <w:kern w:val="0"/>
          <w:sz w:val="24"/>
          <w:highlight w:val="none"/>
          <w:lang w:eastAsia="zh-CN"/>
        </w:rPr>
        <w:t>日08时20分</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45D525E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rPr>
        <w:t>地点：</w:t>
      </w:r>
      <w:r>
        <w:rPr>
          <w:rFonts w:hint="eastAsia" w:ascii="宋体" w:hAnsi="宋体" w:eastAsia="宋体" w:cs="宋体"/>
          <w:color w:val="auto"/>
          <w:kern w:val="0"/>
          <w:sz w:val="24"/>
          <w:highlight w:val="none"/>
          <w:lang w:eastAsia="zh-CN"/>
        </w:rPr>
        <w:t>三门峡市公共资源交易中心网（网址：</w:t>
      </w:r>
      <w:r>
        <w:rPr>
          <w:rFonts w:hint="eastAsia" w:ascii="宋体" w:hAnsi="宋体" w:eastAsia="宋体" w:cs="宋体"/>
          <w:color w:val="auto"/>
          <w:kern w:val="0"/>
          <w:sz w:val="24"/>
          <w:highlight w:val="none"/>
          <w:lang w:eastAsia="zh-CN"/>
        </w:rPr>
        <w:fldChar w:fldCharType="begin"/>
      </w:r>
      <w:r>
        <w:rPr>
          <w:rFonts w:hint="eastAsia" w:ascii="宋体" w:hAnsi="宋体" w:eastAsia="宋体" w:cs="宋体"/>
          <w:color w:val="auto"/>
          <w:kern w:val="0"/>
          <w:sz w:val="24"/>
          <w:highlight w:val="none"/>
          <w:lang w:eastAsia="zh-CN"/>
        </w:rPr>
        <w:instrText xml:space="preserve"> HYPERLINK "http://gzjy.smx.gov.cn/" </w:instrText>
      </w:r>
      <w:r>
        <w:rPr>
          <w:rFonts w:hint="eastAsia" w:ascii="宋体" w:hAnsi="宋体" w:eastAsia="宋体" w:cs="宋体"/>
          <w:color w:val="auto"/>
          <w:kern w:val="0"/>
          <w:sz w:val="24"/>
          <w:highlight w:val="none"/>
          <w:lang w:eastAsia="zh-CN"/>
        </w:rPr>
        <w:fldChar w:fldCharType="separate"/>
      </w:r>
      <w:r>
        <w:rPr>
          <w:rStyle w:val="28"/>
          <w:rFonts w:hint="eastAsia" w:ascii="宋体" w:hAnsi="宋体" w:eastAsia="宋体" w:cs="宋体"/>
          <w:color w:val="auto"/>
          <w:kern w:val="0"/>
          <w:sz w:val="24"/>
          <w:highlight w:val="none"/>
          <w:lang w:eastAsia="zh-CN"/>
        </w:rPr>
        <w:t>http://gzjy.smx.gov.cn/</w:t>
      </w:r>
      <w:r>
        <w:rPr>
          <w:rFonts w:hint="eastAsia" w:ascii="宋体" w:hAnsi="宋体" w:eastAsia="宋体" w:cs="宋体"/>
          <w:color w:val="auto"/>
          <w:kern w:val="0"/>
          <w:sz w:val="24"/>
          <w:highlight w:val="none"/>
          <w:lang w:eastAsia="zh-CN"/>
        </w:rPr>
        <w:fldChar w:fldCharType="end"/>
      </w:r>
      <w:r>
        <w:rPr>
          <w:rFonts w:hint="eastAsia" w:ascii="宋体" w:hAnsi="宋体" w:eastAsia="宋体" w:cs="宋体"/>
          <w:color w:val="auto"/>
          <w:kern w:val="0"/>
          <w:sz w:val="24"/>
          <w:highlight w:val="none"/>
          <w:lang w:eastAsia="zh-CN"/>
        </w:rPr>
        <w:t>）</w:t>
      </w:r>
    </w:p>
    <w:p w14:paraId="3537EF7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eastAsia="宋体" w:cs="宋体"/>
          <w:color w:val="auto"/>
          <w:sz w:val="24"/>
          <w:highlight w:val="none"/>
        </w:rPr>
        <w:t>3.方式：</w:t>
      </w:r>
      <w:r>
        <w:rPr>
          <w:rFonts w:hint="eastAsia" w:ascii="宋体" w:hAnsi="宋体" w:cs="宋体"/>
          <w:color w:val="auto"/>
          <w:kern w:val="0"/>
          <w:sz w:val="24"/>
          <w:szCs w:val="24"/>
          <w:highlight w:val="none"/>
        </w:rPr>
        <w:t>本项目没有报名环节，投标</w:t>
      </w:r>
      <w:r>
        <w:rPr>
          <w:rFonts w:hint="eastAsia" w:ascii="宋体" w:hAnsi="宋体" w:cs="宋体"/>
          <w:color w:val="auto"/>
          <w:kern w:val="0"/>
          <w:sz w:val="24"/>
          <w:szCs w:val="24"/>
          <w:lang w:val="en-US" w:eastAsia="zh-CN"/>
        </w:rPr>
        <w:t>供应商</w:t>
      </w:r>
      <w:r>
        <w:rPr>
          <w:rFonts w:hint="eastAsia" w:ascii="宋体" w:hAnsi="宋体" w:cs="宋体"/>
          <w:color w:val="auto"/>
          <w:kern w:val="0"/>
          <w:sz w:val="24"/>
          <w:szCs w:val="24"/>
          <w:highlight w:val="none"/>
        </w:rPr>
        <w:t>凭CA数字证书通过三门</w:t>
      </w:r>
      <w:r>
        <w:rPr>
          <w:rFonts w:hint="eastAsia" w:ascii="宋体" w:hAnsi="宋体" w:cs="宋体"/>
          <w:color w:val="auto"/>
          <w:kern w:val="0"/>
          <w:sz w:val="24"/>
          <w:szCs w:val="24"/>
        </w:rPr>
        <w:t>峡市公共资源交易中心网（网址：http://gzjy.smx.gov.cn/），点击公共资源交易平台选择“交易主体登录”，在所参与项目右侧点击参与投标，即可直接下载本项目</w:t>
      </w:r>
      <w:r>
        <w:rPr>
          <w:rFonts w:hint="eastAsia" w:ascii="宋体" w:hAnsi="宋体" w:cs="宋体"/>
          <w:color w:val="auto"/>
          <w:kern w:val="0"/>
          <w:sz w:val="24"/>
          <w:szCs w:val="24"/>
          <w:lang w:val="en-US" w:eastAsia="zh-CN"/>
        </w:rPr>
        <w:t>招标</w:t>
      </w:r>
      <w:r>
        <w:rPr>
          <w:rFonts w:hint="eastAsia" w:ascii="宋体" w:hAnsi="宋体" w:cs="宋体"/>
          <w:color w:val="auto"/>
          <w:kern w:val="0"/>
          <w:sz w:val="24"/>
          <w:szCs w:val="24"/>
        </w:rPr>
        <w:t>文件。</w:t>
      </w:r>
    </w:p>
    <w:p w14:paraId="76F7E25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注：根据《关于进一步加强公共资源交易管理持续优化营商环境的通知》（三公管办〔2020〕2号）文件的要求,招标文件费用不再收取。</w:t>
      </w:r>
    </w:p>
    <w:p w14:paraId="4F51298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4、售价：0元。</w:t>
      </w:r>
    </w:p>
    <w:p w14:paraId="08B73F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rPr>
        <w:t>四、</w:t>
      </w:r>
      <w:r>
        <w:rPr>
          <w:rFonts w:hint="eastAsia" w:ascii="宋体" w:hAnsi="宋体" w:eastAsia="宋体" w:cs="宋体"/>
          <w:color w:val="auto"/>
          <w:kern w:val="0"/>
          <w:sz w:val="24"/>
          <w:lang w:eastAsia="zh-CN"/>
        </w:rPr>
        <w:t>投标</w:t>
      </w:r>
      <w:r>
        <w:rPr>
          <w:rFonts w:hint="eastAsia" w:ascii="宋体" w:hAnsi="宋体" w:eastAsia="宋体" w:cs="宋体"/>
          <w:color w:val="auto"/>
          <w:kern w:val="0"/>
          <w:sz w:val="24"/>
        </w:rPr>
        <w:t>文件</w:t>
      </w:r>
      <w:r>
        <w:rPr>
          <w:rFonts w:hint="eastAsia" w:ascii="宋体" w:hAnsi="宋体" w:eastAsia="宋体" w:cs="宋体"/>
          <w:color w:val="auto"/>
          <w:kern w:val="0"/>
          <w:sz w:val="24"/>
          <w:highlight w:val="none"/>
        </w:rPr>
        <w:t>提交</w:t>
      </w:r>
    </w:p>
    <w:p w14:paraId="1F0928F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bookmarkStart w:id="4" w:name="_Toc22397"/>
      <w:bookmarkStart w:id="5" w:name="_Toc6253"/>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截止</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5BCE8BE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2、地点：三门峡市公共资源交易中心网（网址：http://gzjy.smx.gov.cn/</w:t>
      </w:r>
      <w:r>
        <w:rPr>
          <w:rFonts w:hint="eastAsia" w:ascii="宋体" w:hAnsi="宋体" w:cs="宋体"/>
          <w:color w:val="auto"/>
          <w:kern w:val="0"/>
          <w:sz w:val="24"/>
          <w:szCs w:val="24"/>
          <w:highlight w:val="none"/>
          <w:lang w:val="en-US" w:eastAsia="zh-CN"/>
        </w:rPr>
        <w:t>）</w:t>
      </w:r>
    </w:p>
    <w:p w14:paraId="3A382A2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五、</w:t>
      </w:r>
      <w:r>
        <w:rPr>
          <w:rFonts w:hint="eastAsia" w:ascii="宋体" w:hAnsi="宋体" w:eastAsia="宋体" w:cs="宋体"/>
          <w:color w:val="auto"/>
          <w:kern w:val="0"/>
          <w:sz w:val="24"/>
          <w:highlight w:val="none"/>
          <w:lang w:eastAsia="zh-CN"/>
        </w:rPr>
        <w:t>开标时间及地点</w:t>
      </w:r>
    </w:p>
    <w:p w14:paraId="46026DF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时间</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2024年</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lang w:eastAsia="zh-CN"/>
        </w:rPr>
        <w:t>月</w:t>
      </w:r>
      <w:r>
        <w:rPr>
          <w:rFonts w:hint="eastAsia" w:ascii="宋体" w:hAnsi="宋体" w:cs="宋体"/>
          <w:color w:val="auto"/>
          <w:kern w:val="0"/>
          <w:sz w:val="24"/>
          <w:szCs w:val="24"/>
          <w:highlight w:val="none"/>
          <w:lang w:val="en-US" w:eastAsia="zh-CN"/>
        </w:rPr>
        <w:t>20</w:t>
      </w:r>
      <w:r>
        <w:rPr>
          <w:rFonts w:hint="eastAsia" w:ascii="宋体" w:hAnsi="宋体" w:cs="宋体"/>
          <w:color w:val="auto"/>
          <w:kern w:val="0"/>
          <w:sz w:val="24"/>
          <w:szCs w:val="24"/>
          <w:highlight w:val="none"/>
          <w:lang w:eastAsia="zh-CN"/>
        </w:rPr>
        <w:t>日08时20分（</w:t>
      </w:r>
      <w:r>
        <w:rPr>
          <w:rFonts w:hint="eastAsia" w:ascii="宋体" w:hAnsi="宋体" w:cs="宋体"/>
          <w:color w:val="auto"/>
          <w:kern w:val="0"/>
          <w:sz w:val="24"/>
          <w:szCs w:val="24"/>
          <w:highlight w:val="none"/>
          <w:lang w:val="en-US" w:eastAsia="zh-CN"/>
        </w:rPr>
        <w:t>北京时间</w:t>
      </w:r>
      <w:r>
        <w:rPr>
          <w:rFonts w:hint="eastAsia" w:ascii="宋体" w:hAnsi="宋体" w:cs="宋体"/>
          <w:color w:val="auto"/>
          <w:kern w:val="0"/>
          <w:sz w:val="24"/>
          <w:szCs w:val="24"/>
          <w:highlight w:val="none"/>
          <w:lang w:eastAsia="zh-CN"/>
        </w:rPr>
        <w:t>）</w:t>
      </w:r>
    </w:p>
    <w:p w14:paraId="5FE3046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highlight w:val="none"/>
        </w:rPr>
        <w:t>2、地点：</w:t>
      </w:r>
      <w:r>
        <w:rPr>
          <w:rFonts w:hint="eastAsia" w:ascii="宋体" w:hAnsi="宋体" w:eastAsia="宋体" w:cs="宋体"/>
          <w:color w:val="auto"/>
          <w:kern w:val="0"/>
          <w:sz w:val="24"/>
          <w:szCs w:val="24"/>
          <w:lang w:val="en-US" w:eastAsia="zh-CN" w:bidi="ar"/>
        </w:rPr>
        <w:t>渑池县公共资源交易中心六楼开标区</w:t>
      </w:r>
    </w:p>
    <w:p w14:paraId="094B574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六、发布</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公告的媒介及</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公告期限</w:t>
      </w:r>
      <w:bookmarkEnd w:id="4"/>
      <w:bookmarkEnd w:id="5"/>
    </w:p>
    <w:p w14:paraId="04C4F5A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本次</w:t>
      </w:r>
      <w:r>
        <w:rPr>
          <w:rFonts w:hint="eastAsia" w:ascii="宋体" w:hAnsi="宋体" w:eastAsia="宋体" w:cs="宋体"/>
          <w:color w:val="auto"/>
          <w:kern w:val="0"/>
          <w:sz w:val="24"/>
          <w:lang w:eastAsia="zh-CN"/>
        </w:rPr>
        <w:t>招标</w:t>
      </w:r>
      <w:r>
        <w:rPr>
          <w:rFonts w:hint="eastAsia" w:ascii="宋体" w:hAnsi="宋体" w:eastAsia="宋体" w:cs="宋体"/>
          <w:color w:val="auto"/>
          <w:kern w:val="0"/>
          <w:sz w:val="24"/>
        </w:rPr>
        <w:t>公告在</w:t>
      </w:r>
      <w:r>
        <w:rPr>
          <w:rFonts w:hint="eastAsia" w:ascii="宋体" w:hAnsi="宋体" w:cs="宋体"/>
          <w:color w:val="auto"/>
          <w:kern w:val="0"/>
          <w:sz w:val="24"/>
          <w:szCs w:val="24"/>
        </w:rPr>
        <w:t>在《河南省政府采购网》</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中国招标投标公共服务平台</w:t>
      </w:r>
      <w:r>
        <w:rPr>
          <w:rFonts w:hint="eastAsia" w:ascii="宋体" w:hAnsi="宋体" w:cs="宋体"/>
          <w:color w:val="auto"/>
          <w:kern w:val="0"/>
          <w:sz w:val="24"/>
          <w:szCs w:val="24"/>
        </w:rPr>
        <w:t>》、《三门峡市公共资源交易中心网》</w:t>
      </w:r>
      <w:r>
        <w:rPr>
          <w:rFonts w:hint="eastAsia" w:ascii="宋体" w:hAnsi="宋体" w:cs="宋体"/>
          <w:color w:val="auto"/>
          <w:kern w:val="0"/>
          <w:sz w:val="24"/>
          <w:szCs w:val="24"/>
          <w:lang w:val="en-US" w:eastAsia="zh-CN"/>
        </w:rPr>
        <w:t>上</w:t>
      </w:r>
      <w:r>
        <w:rPr>
          <w:rFonts w:hint="eastAsia" w:ascii="宋体" w:hAnsi="宋体" w:cs="宋体"/>
          <w:color w:val="auto"/>
          <w:kern w:val="0"/>
          <w:sz w:val="24"/>
          <w:szCs w:val="24"/>
        </w:rPr>
        <w:t>发布</w:t>
      </w:r>
      <w:r>
        <w:rPr>
          <w:rFonts w:hint="eastAsia" w:ascii="宋体" w:hAnsi="宋体" w:eastAsia="宋体" w:cs="宋体"/>
          <w:color w:val="auto"/>
          <w:kern w:val="0"/>
          <w:sz w:val="24"/>
        </w:rPr>
        <w:t>。</w:t>
      </w:r>
    </w:p>
    <w:p w14:paraId="603DA625">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其他补充事宜</w:t>
      </w:r>
    </w:p>
    <w:p w14:paraId="5C65728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本项目为不见面开标项目，开标当日，供应商无需到开标现场参加开标会议，供应商应当在投标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因供应商原因未能解密、解密失败或解密超时的将被拒绝。</w:t>
      </w:r>
    </w:p>
    <w:p w14:paraId="200BE32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2.本项目为电子化、无纸化交易项目，开标时不再接受任何纸质资料，为保证您能投标成功，请需仔细阅读招标文件和三门峡市公共资源交易中心官网业务办理指南。</w:t>
      </w:r>
    </w:p>
    <w:p w14:paraId="248A754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3.根据《河南省财政厅关于优化政府采购营商环境有关问题的通知》（豫财购【2019】4号）第6条的规定，投标保证金不再收取。</w:t>
      </w:r>
    </w:p>
    <w:p w14:paraId="49E48DC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 资格评（预）审部分：资格评（预）以投标文件为准，其上传资料真实性由供应商自行承担。同时，供应商应在开标前自行完善主体库信息。</w:t>
      </w:r>
    </w:p>
    <w:p w14:paraId="7B9C867B">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5.评标打分部分：评标打分部分仍按照100分制原则进行，涉及到资格审查、企业荣誉、企业业绩等计分部分时，以投标单位自行上传到投标文件中的相应内容为准。</w:t>
      </w:r>
    </w:p>
    <w:p w14:paraId="7D05CC0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6.在招标文件中要求供应商按照投标文件格式进行投标文件编制，在投标文件编制时，应明确将供应商企业基本情况、人员情况、财务情况、业绩情况编入投标文件，便于进行资格审查及评标打分。</w:t>
      </w:r>
    </w:p>
    <w:p w14:paraId="618CBB2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7.我单位（采购人）严格按三财购【2021】9号文要求的时限发布中标结果公告，发出中标通知书，签订采购合同，上传采购合同。</w:t>
      </w:r>
    </w:p>
    <w:p w14:paraId="34D9A2B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八、对本次项目提出询问，请按以下方式联系</w:t>
      </w:r>
    </w:p>
    <w:p w14:paraId="6692E15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采购人</w:t>
      </w:r>
      <w:r>
        <w:rPr>
          <w:rFonts w:hint="eastAsia" w:ascii="宋体" w:hAnsi="宋体" w:cs="宋体"/>
          <w:color w:val="auto"/>
          <w:kern w:val="0"/>
          <w:sz w:val="24"/>
          <w:szCs w:val="24"/>
        </w:rPr>
        <w:t>信息：</w:t>
      </w:r>
    </w:p>
    <w:p w14:paraId="7023F976">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715D7C8A">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eastAsia="zh-CN"/>
        </w:rPr>
        <w:t>会盟路</w:t>
      </w:r>
      <w:r>
        <w:rPr>
          <w:rFonts w:hint="eastAsia" w:ascii="宋体" w:hAnsi="宋体" w:cs="宋体"/>
          <w:color w:val="auto"/>
          <w:kern w:val="0"/>
          <w:sz w:val="24"/>
          <w:szCs w:val="24"/>
          <w:highlight w:val="none"/>
          <w:lang w:val="en-US" w:eastAsia="zh-CN"/>
        </w:rPr>
        <w:t>西</w:t>
      </w:r>
      <w:r>
        <w:rPr>
          <w:rFonts w:hint="eastAsia" w:ascii="宋体" w:hAnsi="宋体" w:cs="宋体"/>
          <w:color w:val="auto"/>
          <w:kern w:val="0"/>
          <w:sz w:val="24"/>
          <w:szCs w:val="24"/>
          <w:highlight w:val="none"/>
          <w:lang w:eastAsia="zh-CN"/>
        </w:rPr>
        <w:t>段</w:t>
      </w:r>
    </w:p>
    <w:p w14:paraId="2607836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63A0C171">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电话：0398-4831779</w:t>
      </w:r>
    </w:p>
    <w:p w14:paraId="60DA631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rPr>
        <w:t>2、采购代理机构信息：</w:t>
      </w:r>
    </w:p>
    <w:p w14:paraId="0870EB37">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w:t>
      </w:r>
      <w:r>
        <w:rPr>
          <w:rFonts w:hint="eastAsia" w:ascii="宋体" w:hAnsi="宋体" w:cs="宋体"/>
          <w:bCs/>
          <w:kern w:val="0"/>
          <w:sz w:val="24"/>
        </w:rPr>
        <w:t>河南方兴工程咨询有限公司</w:t>
      </w:r>
      <w:r>
        <w:rPr>
          <w:rFonts w:hint="eastAsia" w:ascii="宋体" w:hAnsi="宋体" w:cs="宋体"/>
          <w:bCs/>
          <w:color w:val="auto"/>
          <w:sz w:val="24"/>
          <w:szCs w:val="24"/>
          <w:lang w:eastAsia="zh-CN"/>
        </w:rPr>
        <w:t xml:space="preserve"> </w:t>
      </w:r>
    </w:p>
    <w:p w14:paraId="7389633E">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07B07EF2">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71C6A12D">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42971BA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3、</w:t>
      </w:r>
      <w:r>
        <w:rPr>
          <w:rFonts w:hint="eastAsia" w:ascii="宋体" w:hAnsi="宋体" w:cs="宋体"/>
          <w:color w:val="auto"/>
          <w:kern w:val="0"/>
          <w:sz w:val="24"/>
          <w:szCs w:val="24"/>
          <w:lang w:val="en-US" w:eastAsia="zh-CN"/>
        </w:rPr>
        <w:t>项目联系人：牛先生</w:t>
      </w:r>
    </w:p>
    <w:p w14:paraId="01C8A6C8">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p w14:paraId="0BF9C17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、监督单位信息：</w:t>
      </w:r>
    </w:p>
    <w:p w14:paraId="16171055">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名称：渑池县政府采购办公室</w:t>
      </w:r>
    </w:p>
    <w:p w14:paraId="6EE334F3">
      <w:pPr>
        <w:keepNext w:val="0"/>
        <w:keepLines w:val="0"/>
        <w:pageBreakBefore w:val="0"/>
        <w:kinsoku/>
        <w:wordWrap/>
        <w:overflowPunct/>
        <w:topLinePunct w:val="0"/>
        <w:bidi w:val="0"/>
        <w:adjustRightInd w:val="0"/>
        <w:snapToGrid w:val="0"/>
        <w:spacing w:line="360" w:lineRule="auto"/>
        <w:ind w:left="0" w:leftChars="0" w:firstLine="480" w:firstLineChars="200"/>
        <w:jc w:val="left"/>
        <w:textAlignment w:val="auto"/>
        <w:rPr>
          <w:rFonts w:hint="eastAsia" w:ascii="仿宋" w:hAnsi="仿宋" w:eastAsia="仿宋" w:cs="仿宋"/>
          <w:color w:val="auto"/>
        </w:rPr>
      </w:pPr>
      <w:r>
        <w:rPr>
          <w:rFonts w:hint="eastAsia" w:ascii="宋体" w:hAnsi="宋体" w:cs="宋体"/>
          <w:color w:val="auto"/>
          <w:kern w:val="0"/>
          <w:sz w:val="24"/>
          <w:szCs w:val="24"/>
        </w:rPr>
        <w:t>联系方式：0398-4818677</w:t>
      </w:r>
    </w:p>
    <w:p w14:paraId="1CC1735E">
      <w:pPr>
        <w:pStyle w:val="5"/>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0"/>
        <w:rPr>
          <w:rFonts w:hint="eastAsia"/>
          <w:color w:val="auto"/>
          <w:sz w:val="32"/>
          <w:szCs w:val="32"/>
        </w:rPr>
      </w:pPr>
      <w:r>
        <w:rPr>
          <w:rFonts w:hint="eastAsia"/>
          <w:color w:val="auto"/>
          <w:sz w:val="32"/>
          <w:szCs w:val="32"/>
        </w:rPr>
        <w:br w:type="page"/>
      </w:r>
      <w:bookmarkStart w:id="6" w:name="_Toc30172"/>
      <w:r>
        <w:rPr>
          <w:rStyle w:val="35"/>
          <w:rFonts w:hint="eastAsia"/>
          <w:b/>
          <w:bCs/>
          <w:color w:val="auto"/>
        </w:rPr>
        <w:t xml:space="preserve">第二章  </w:t>
      </w:r>
      <w:r>
        <w:rPr>
          <w:rStyle w:val="35"/>
          <w:rFonts w:hint="eastAsia"/>
          <w:b/>
          <w:bCs/>
          <w:color w:val="auto"/>
          <w:lang w:val="en-US" w:eastAsia="zh-CN"/>
        </w:rPr>
        <w:t>供应商</w:t>
      </w:r>
      <w:r>
        <w:rPr>
          <w:rStyle w:val="35"/>
          <w:rFonts w:hint="eastAsia"/>
          <w:b/>
          <w:bCs/>
          <w:color w:val="auto"/>
        </w:rPr>
        <w:t>须知</w:t>
      </w:r>
      <w:bookmarkEnd w:id="6"/>
    </w:p>
    <w:p w14:paraId="6F394ED3">
      <w:pPr>
        <w:jc w:val="center"/>
        <w:rPr>
          <w:rFonts w:hint="eastAsia" w:ascii="宋体" w:hAnsi="宋体" w:eastAsia="宋体" w:cs="宋体"/>
          <w:color w:val="auto"/>
        </w:rPr>
      </w:pP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须知前附表</w:t>
      </w:r>
    </w:p>
    <w:tbl>
      <w:tblPr>
        <w:tblStyle w:val="18"/>
        <w:tblpPr w:leftFromText="180" w:rightFromText="180" w:vertAnchor="text" w:horzAnchor="page" w:tblpX="1079" w:tblpY="528"/>
        <w:tblOverlap w:val="never"/>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4"/>
        <w:gridCol w:w="6924"/>
      </w:tblGrid>
      <w:tr w14:paraId="3E40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2240DCB8">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条款号</w:t>
            </w:r>
          </w:p>
        </w:tc>
        <w:tc>
          <w:tcPr>
            <w:tcW w:w="1864" w:type="dxa"/>
            <w:noWrap w:val="0"/>
            <w:vAlign w:val="center"/>
          </w:tcPr>
          <w:p w14:paraId="40B746BE">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 xml:space="preserve">条 款 </w:t>
            </w:r>
          </w:p>
          <w:p w14:paraId="143EB9C2">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名 称</w:t>
            </w:r>
          </w:p>
        </w:tc>
        <w:tc>
          <w:tcPr>
            <w:tcW w:w="6924" w:type="dxa"/>
            <w:noWrap w:val="0"/>
            <w:vAlign w:val="center"/>
          </w:tcPr>
          <w:p w14:paraId="19AED984">
            <w:pPr>
              <w:spacing w:line="400" w:lineRule="exact"/>
              <w:jc w:val="center"/>
              <w:rPr>
                <w:rFonts w:hint="eastAsia" w:ascii="宋体" w:hAnsi="宋体" w:eastAsia="宋体" w:cs="宋体"/>
                <w:b/>
                <w:color w:val="auto"/>
                <w:sz w:val="24"/>
              </w:rPr>
            </w:pPr>
            <w:r>
              <w:rPr>
                <w:rFonts w:hint="eastAsia" w:ascii="宋体" w:hAnsi="宋体" w:eastAsia="宋体" w:cs="宋体"/>
                <w:b/>
                <w:color w:val="auto"/>
                <w:sz w:val="24"/>
              </w:rPr>
              <w:t>编 列 内 容</w:t>
            </w:r>
          </w:p>
        </w:tc>
      </w:tr>
      <w:tr w14:paraId="411B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5" w:type="dxa"/>
            <w:noWrap w:val="0"/>
            <w:vAlign w:val="center"/>
          </w:tcPr>
          <w:p w14:paraId="4706CD9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w:t>
            </w:r>
          </w:p>
        </w:tc>
        <w:tc>
          <w:tcPr>
            <w:tcW w:w="1864" w:type="dxa"/>
            <w:noWrap w:val="0"/>
            <w:vAlign w:val="center"/>
          </w:tcPr>
          <w:p w14:paraId="626DC7A0">
            <w:pPr>
              <w:spacing w:line="400" w:lineRule="exact"/>
              <w:jc w:val="center"/>
              <w:rPr>
                <w:rFonts w:hint="eastAsia" w:ascii="宋体" w:hAnsi="宋体" w:eastAsia="宋体" w:cs="宋体"/>
                <w:color w:val="auto"/>
                <w:sz w:val="24"/>
                <w:lang w:eastAsia="zh-CN" w:bidi="ar"/>
              </w:rPr>
            </w:pPr>
            <w:r>
              <w:rPr>
                <w:rFonts w:hint="eastAsia" w:ascii="宋体" w:hAnsi="宋体" w:cs="宋体"/>
                <w:color w:val="auto"/>
                <w:kern w:val="0"/>
                <w:sz w:val="24"/>
                <w:szCs w:val="24"/>
                <w:lang w:val="en-US" w:eastAsia="zh-CN"/>
              </w:rPr>
              <w:t>采购人</w:t>
            </w:r>
          </w:p>
        </w:tc>
        <w:tc>
          <w:tcPr>
            <w:tcW w:w="6924" w:type="dxa"/>
            <w:noWrap w:val="0"/>
            <w:vAlign w:val="center"/>
          </w:tcPr>
          <w:p w14:paraId="20E2ABFC">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rPr>
              <w:t>名称：</w:t>
            </w:r>
            <w:r>
              <w:rPr>
                <w:rFonts w:hint="eastAsia" w:ascii="宋体" w:hAnsi="宋体" w:cs="宋体"/>
                <w:color w:val="auto"/>
                <w:kern w:val="0"/>
                <w:sz w:val="24"/>
                <w:szCs w:val="24"/>
                <w:lang w:eastAsia="zh-CN"/>
              </w:rPr>
              <w:t>渑池县农业农村局</w:t>
            </w:r>
            <w:r>
              <w:rPr>
                <w:rFonts w:hint="eastAsia" w:ascii="宋体" w:hAnsi="宋体" w:cs="宋体"/>
                <w:color w:val="auto"/>
                <w:kern w:val="0"/>
                <w:sz w:val="24"/>
                <w:szCs w:val="24"/>
              </w:rPr>
              <w:t> </w:t>
            </w:r>
          </w:p>
          <w:p w14:paraId="237FADEB">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rPr>
              <w:t>地址：</w:t>
            </w:r>
            <w:r>
              <w:rPr>
                <w:rFonts w:hint="eastAsia" w:ascii="宋体" w:hAnsi="宋体" w:cs="宋体"/>
                <w:color w:val="auto"/>
                <w:kern w:val="0"/>
                <w:sz w:val="24"/>
                <w:szCs w:val="24"/>
                <w:highlight w:val="none"/>
              </w:rPr>
              <w:t>渑池县</w:t>
            </w:r>
            <w:r>
              <w:rPr>
                <w:rFonts w:hint="eastAsia" w:ascii="宋体" w:hAnsi="宋体" w:cs="宋体"/>
                <w:color w:val="auto"/>
                <w:kern w:val="0"/>
                <w:sz w:val="24"/>
                <w:szCs w:val="24"/>
                <w:highlight w:val="none"/>
                <w:lang w:val="en-US" w:eastAsia="zh-CN"/>
              </w:rPr>
              <w:t>会盟路西段</w:t>
            </w:r>
          </w:p>
          <w:p w14:paraId="38EEBE38">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联系人：彭女士</w:t>
            </w:r>
          </w:p>
          <w:p w14:paraId="43C38FD7">
            <w:pPr>
              <w:keepNext w:val="0"/>
              <w:keepLines w:val="0"/>
              <w:pageBreakBefore w:val="0"/>
              <w:kinsoku/>
              <w:wordWrap/>
              <w:overflowPunct/>
              <w:topLinePunct w:val="0"/>
              <w:bidi w:val="0"/>
              <w:adjustRightInd w:val="0"/>
              <w:snapToGrid w:val="0"/>
              <w:spacing w:line="360" w:lineRule="auto"/>
              <w:jc w:val="left"/>
              <w:textAlignment w:val="auto"/>
              <w:rPr>
                <w:rFonts w:hint="default" w:ascii="宋体" w:hAnsi="宋体" w:eastAsia="宋体" w:cs="宋体"/>
                <w:color w:val="auto"/>
                <w:sz w:val="24"/>
                <w:lang w:val="en-US" w:bidi="ar"/>
              </w:rPr>
            </w:pPr>
            <w:r>
              <w:rPr>
                <w:rFonts w:hint="eastAsia" w:ascii="宋体" w:hAnsi="宋体" w:cs="宋体"/>
                <w:color w:val="auto"/>
                <w:kern w:val="0"/>
                <w:sz w:val="24"/>
                <w:szCs w:val="24"/>
                <w:highlight w:val="none"/>
                <w:lang w:val="en-US" w:eastAsia="zh-CN"/>
              </w:rPr>
              <w:t>电话：0398-4831779</w:t>
            </w:r>
          </w:p>
        </w:tc>
      </w:tr>
      <w:tr w14:paraId="26E3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1095" w:type="dxa"/>
            <w:noWrap w:val="0"/>
            <w:vAlign w:val="center"/>
          </w:tcPr>
          <w:p w14:paraId="286BEE8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w:t>
            </w:r>
          </w:p>
        </w:tc>
        <w:tc>
          <w:tcPr>
            <w:tcW w:w="1864" w:type="dxa"/>
            <w:noWrap w:val="0"/>
            <w:vAlign w:val="center"/>
          </w:tcPr>
          <w:p w14:paraId="07C5BA2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代理机构</w:t>
            </w:r>
          </w:p>
        </w:tc>
        <w:tc>
          <w:tcPr>
            <w:tcW w:w="6924" w:type="dxa"/>
            <w:noWrap w:val="0"/>
            <w:vAlign w:val="center"/>
          </w:tcPr>
          <w:p w14:paraId="6221131B">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名称：河南方兴工程咨询有限公司</w:t>
            </w:r>
            <w:r>
              <w:rPr>
                <w:rFonts w:hint="eastAsia" w:ascii="宋体" w:hAnsi="宋体" w:cs="宋体"/>
                <w:bCs/>
                <w:color w:val="auto"/>
                <w:sz w:val="24"/>
                <w:szCs w:val="24"/>
                <w:lang w:eastAsia="zh-CN"/>
              </w:rPr>
              <w:t xml:space="preserve"> </w:t>
            </w:r>
          </w:p>
          <w:p w14:paraId="2F696236">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地址：河南省郑州市高新区西城科技大厦B座1308</w:t>
            </w:r>
          </w:p>
          <w:p w14:paraId="2C23B8A8">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联系人：</w:t>
            </w:r>
            <w:r>
              <w:rPr>
                <w:rFonts w:hint="eastAsia" w:ascii="宋体" w:hAnsi="宋体" w:cs="宋体"/>
                <w:color w:val="auto"/>
                <w:kern w:val="0"/>
                <w:sz w:val="24"/>
                <w:szCs w:val="24"/>
                <w:lang w:val="en-US" w:eastAsia="zh-CN"/>
              </w:rPr>
              <w:t>牛先生</w:t>
            </w:r>
            <w:r>
              <w:rPr>
                <w:rFonts w:hint="eastAsia" w:ascii="宋体" w:hAnsi="宋体" w:cs="宋体"/>
                <w:bCs/>
                <w:color w:val="auto"/>
                <w:sz w:val="24"/>
                <w:szCs w:val="24"/>
                <w:lang w:eastAsia="zh-CN"/>
              </w:rPr>
              <w:t xml:space="preserve"> </w:t>
            </w:r>
          </w:p>
          <w:p w14:paraId="71D7D82A">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Cs/>
                <w:color w:val="auto"/>
                <w:sz w:val="24"/>
                <w:lang w:bidi="ar"/>
              </w:rPr>
            </w:pPr>
            <w:r>
              <w:rPr>
                <w:rFonts w:hint="eastAsia" w:ascii="宋体" w:hAnsi="宋体" w:cs="宋体"/>
                <w:color w:val="auto"/>
                <w:kern w:val="0"/>
                <w:sz w:val="24"/>
                <w:szCs w:val="24"/>
              </w:rPr>
              <w:t>联系方式：</w:t>
            </w:r>
            <w:r>
              <w:rPr>
                <w:rFonts w:hint="eastAsia" w:ascii="宋体" w:hAnsi="宋体" w:cs="宋体"/>
                <w:color w:val="auto"/>
                <w:kern w:val="0"/>
                <w:sz w:val="24"/>
                <w:szCs w:val="24"/>
                <w:lang w:val="en-US" w:eastAsia="zh-CN"/>
              </w:rPr>
              <w:t>18839836588</w:t>
            </w:r>
          </w:p>
        </w:tc>
      </w:tr>
      <w:tr w14:paraId="29D4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95" w:type="dxa"/>
            <w:noWrap w:val="0"/>
            <w:vAlign w:val="center"/>
          </w:tcPr>
          <w:p w14:paraId="49C43BA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3</w:t>
            </w:r>
          </w:p>
        </w:tc>
        <w:tc>
          <w:tcPr>
            <w:tcW w:w="1864" w:type="dxa"/>
            <w:noWrap w:val="0"/>
            <w:vAlign w:val="center"/>
          </w:tcPr>
          <w:p w14:paraId="544014B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项目名称</w:t>
            </w:r>
          </w:p>
        </w:tc>
        <w:tc>
          <w:tcPr>
            <w:tcW w:w="6924" w:type="dxa"/>
            <w:noWrap w:val="0"/>
            <w:vAlign w:val="center"/>
          </w:tcPr>
          <w:p w14:paraId="55B4B47D">
            <w:pPr>
              <w:spacing w:line="400" w:lineRule="exact"/>
              <w:jc w:val="both"/>
              <w:rPr>
                <w:rFonts w:hint="eastAsia" w:ascii="宋体" w:hAnsi="宋体" w:eastAsia="宋体" w:cs="宋体"/>
                <w:color w:val="auto"/>
                <w:sz w:val="24"/>
                <w:lang w:eastAsia="zh-CN" w:bidi="ar"/>
              </w:rPr>
            </w:pPr>
            <w:r>
              <w:rPr>
                <w:rFonts w:hint="eastAsia" w:ascii="宋体" w:hAnsi="宋体" w:eastAsia="宋体" w:cs="宋体"/>
                <w:color w:val="auto"/>
                <w:kern w:val="0"/>
                <w:sz w:val="24"/>
                <w:highlight w:val="none"/>
              </w:rPr>
              <w:t>渑池县生活垃圾清运建设项目-采购项目</w:t>
            </w:r>
            <w:r>
              <w:rPr>
                <w:rFonts w:hint="eastAsia" w:hAnsi="宋体" w:cs="宋体"/>
                <w:color w:val="auto"/>
                <w:highlight w:val="none"/>
                <w:lang w:eastAsia="zh-CN"/>
              </w:rPr>
              <w:t>（</w:t>
            </w:r>
            <w:r>
              <w:rPr>
                <w:rFonts w:hint="eastAsia" w:hAnsi="宋体" w:cs="宋体"/>
                <w:color w:val="auto"/>
                <w:highlight w:val="none"/>
                <w:lang w:val="en-US" w:eastAsia="zh-CN"/>
              </w:rPr>
              <w:t>E包至H包）项目</w:t>
            </w:r>
          </w:p>
        </w:tc>
      </w:tr>
      <w:tr w14:paraId="62C2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53EEF20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4</w:t>
            </w:r>
          </w:p>
        </w:tc>
        <w:tc>
          <w:tcPr>
            <w:tcW w:w="1864" w:type="dxa"/>
            <w:noWrap w:val="0"/>
            <w:vAlign w:val="center"/>
          </w:tcPr>
          <w:p w14:paraId="66C2FF4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交货期</w:t>
            </w:r>
          </w:p>
        </w:tc>
        <w:tc>
          <w:tcPr>
            <w:tcW w:w="6924" w:type="dxa"/>
            <w:noWrap w:val="0"/>
            <w:vAlign w:val="center"/>
          </w:tcPr>
          <w:p w14:paraId="0452E260">
            <w:pPr>
              <w:spacing w:line="400" w:lineRule="exact"/>
              <w:jc w:val="left"/>
              <w:rPr>
                <w:rFonts w:hint="eastAsia" w:ascii="宋体" w:hAnsi="宋体" w:eastAsia="宋体" w:cs="宋体"/>
                <w:color w:val="auto"/>
                <w:sz w:val="24"/>
                <w:highlight w:val="none"/>
                <w:lang w:eastAsia="zh-CN" w:bidi="ar"/>
              </w:rPr>
            </w:pPr>
            <w:r>
              <w:rPr>
                <w:rFonts w:hint="eastAsia" w:ascii="宋体" w:hAnsi="宋体" w:eastAsia="宋体"/>
                <w:color w:val="auto"/>
                <w:sz w:val="24"/>
                <w:szCs w:val="28"/>
                <w:highlight w:val="none"/>
                <w:lang w:eastAsia="zh-CN"/>
              </w:rPr>
              <w:t>合同签订后</w:t>
            </w:r>
            <w:r>
              <w:rPr>
                <w:rFonts w:hint="eastAsia" w:ascii="宋体" w:hAnsi="宋体"/>
                <w:color w:val="auto"/>
                <w:sz w:val="24"/>
                <w:szCs w:val="28"/>
                <w:highlight w:val="none"/>
                <w:lang w:val="en-US" w:eastAsia="zh-CN"/>
              </w:rPr>
              <w:t>45</w:t>
            </w:r>
            <w:r>
              <w:rPr>
                <w:rFonts w:hint="eastAsia" w:ascii="宋体" w:hAnsi="宋体" w:eastAsia="宋体"/>
                <w:color w:val="auto"/>
                <w:sz w:val="24"/>
                <w:szCs w:val="28"/>
                <w:highlight w:val="none"/>
                <w:lang w:eastAsia="zh-CN"/>
              </w:rPr>
              <w:t>日历天安装调试完毕</w:t>
            </w:r>
          </w:p>
        </w:tc>
      </w:tr>
      <w:tr w14:paraId="47D6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95" w:type="dxa"/>
            <w:noWrap w:val="0"/>
            <w:vAlign w:val="center"/>
          </w:tcPr>
          <w:p w14:paraId="580E2725">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5</w:t>
            </w:r>
          </w:p>
        </w:tc>
        <w:tc>
          <w:tcPr>
            <w:tcW w:w="1864" w:type="dxa"/>
            <w:noWrap w:val="0"/>
            <w:vAlign w:val="center"/>
          </w:tcPr>
          <w:p w14:paraId="1E20917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eastAsia="zh-CN"/>
              </w:rPr>
              <w:t>采购</w:t>
            </w:r>
            <w:r>
              <w:rPr>
                <w:rFonts w:hint="eastAsia" w:ascii="宋体" w:hAnsi="宋体" w:eastAsia="宋体" w:cs="宋体"/>
                <w:color w:val="auto"/>
                <w:sz w:val="24"/>
              </w:rPr>
              <w:t>范围</w:t>
            </w:r>
          </w:p>
        </w:tc>
        <w:tc>
          <w:tcPr>
            <w:tcW w:w="6924" w:type="dxa"/>
            <w:noWrap w:val="0"/>
            <w:vAlign w:val="center"/>
          </w:tcPr>
          <w:p w14:paraId="229AADC9">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采购清单所包含的全部内容（详见招标文件）</w:t>
            </w:r>
          </w:p>
        </w:tc>
      </w:tr>
      <w:tr w14:paraId="323F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A3882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6</w:t>
            </w:r>
          </w:p>
        </w:tc>
        <w:tc>
          <w:tcPr>
            <w:tcW w:w="1864" w:type="dxa"/>
            <w:noWrap w:val="0"/>
            <w:vAlign w:val="center"/>
          </w:tcPr>
          <w:p w14:paraId="55BE9F95">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资金来源</w:t>
            </w:r>
          </w:p>
        </w:tc>
        <w:tc>
          <w:tcPr>
            <w:tcW w:w="6924" w:type="dxa"/>
            <w:noWrap w:val="0"/>
            <w:vAlign w:val="center"/>
          </w:tcPr>
          <w:p w14:paraId="537BD900">
            <w:pPr>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p>
        </w:tc>
      </w:tr>
      <w:tr w14:paraId="45B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95" w:type="dxa"/>
            <w:noWrap w:val="0"/>
            <w:vAlign w:val="center"/>
          </w:tcPr>
          <w:p w14:paraId="1498A7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7</w:t>
            </w:r>
          </w:p>
        </w:tc>
        <w:tc>
          <w:tcPr>
            <w:tcW w:w="1864" w:type="dxa"/>
            <w:noWrap w:val="0"/>
            <w:vAlign w:val="center"/>
          </w:tcPr>
          <w:p w14:paraId="7DC74C9D">
            <w:pPr>
              <w:spacing w:line="360" w:lineRule="auto"/>
              <w:jc w:val="center"/>
              <w:rPr>
                <w:rFonts w:hint="eastAsia" w:ascii="宋体" w:hAnsi="宋体" w:eastAsia="宋体" w:cs="宋体"/>
                <w:color w:val="auto"/>
                <w:sz w:val="24"/>
                <w:lang w:bidi="ar"/>
              </w:rPr>
            </w:pPr>
            <w:r>
              <w:rPr>
                <w:rFonts w:hint="eastAsia" w:ascii="宋体" w:hAnsi="宋体" w:eastAsia="宋体" w:cs="宋体"/>
                <w:color w:val="auto"/>
                <w:sz w:val="24"/>
                <w:lang w:bidi="ar"/>
              </w:rPr>
              <w:t>出资比例</w:t>
            </w:r>
          </w:p>
        </w:tc>
        <w:tc>
          <w:tcPr>
            <w:tcW w:w="6924" w:type="dxa"/>
            <w:noWrap w:val="0"/>
            <w:vAlign w:val="center"/>
          </w:tcPr>
          <w:p w14:paraId="27499426">
            <w:pPr>
              <w:tabs>
                <w:tab w:val="center" w:pos="3354"/>
              </w:tabs>
              <w:spacing w:line="360" w:lineRule="auto"/>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财政</w:t>
            </w:r>
            <w:r>
              <w:rPr>
                <w:rFonts w:hint="eastAsia" w:ascii="宋体" w:hAnsi="宋体" w:eastAsia="宋体" w:cs="宋体"/>
                <w:color w:val="auto"/>
                <w:sz w:val="24"/>
                <w:lang w:bidi="ar"/>
              </w:rPr>
              <w:t>资金</w:t>
            </w:r>
            <w:r>
              <w:rPr>
                <w:rFonts w:hint="eastAsia" w:ascii="宋体" w:hAnsi="宋体" w:eastAsia="宋体" w:cs="宋体"/>
                <w:color w:val="auto"/>
                <w:sz w:val="24"/>
                <w:lang w:val="en-US" w:eastAsia="zh-CN" w:bidi="ar"/>
              </w:rPr>
              <w:t>100%</w:t>
            </w:r>
            <w:r>
              <w:rPr>
                <w:rFonts w:hint="eastAsia" w:ascii="宋体" w:hAnsi="宋体" w:eastAsia="宋体" w:cs="宋体"/>
                <w:color w:val="auto"/>
                <w:sz w:val="24"/>
                <w:lang w:val="en-US" w:eastAsia="zh-CN" w:bidi="ar"/>
              </w:rPr>
              <w:tab/>
            </w:r>
          </w:p>
        </w:tc>
      </w:tr>
      <w:tr w14:paraId="6206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95" w:type="dxa"/>
            <w:noWrap w:val="0"/>
            <w:vAlign w:val="center"/>
          </w:tcPr>
          <w:p w14:paraId="0E702A3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8</w:t>
            </w:r>
          </w:p>
        </w:tc>
        <w:tc>
          <w:tcPr>
            <w:tcW w:w="1864" w:type="dxa"/>
            <w:noWrap w:val="0"/>
            <w:vAlign w:val="center"/>
          </w:tcPr>
          <w:p w14:paraId="7B20E65E">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资金</w:t>
            </w:r>
          </w:p>
          <w:p w14:paraId="2B2852F1">
            <w:pPr>
              <w:spacing w:line="400" w:lineRule="exact"/>
              <w:jc w:val="center"/>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落实情况</w:t>
            </w:r>
          </w:p>
        </w:tc>
        <w:tc>
          <w:tcPr>
            <w:tcW w:w="6924" w:type="dxa"/>
            <w:noWrap w:val="0"/>
            <w:vAlign w:val="center"/>
          </w:tcPr>
          <w:p w14:paraId="6DD958F9">
            <w:pPr>
              <w:spacing w:line="400" w:lineRule="exact"/>
              <w:jc w:val="left"/>
              <w:rPr>
                <w:rFonts w:hint="eastAsia" w:ascii="宋体" w:hAnsi="宋体" w:eastAsia="宋体" w:cs="宋体"/>
                <w:bCs/>
                <w:color w:val="auto"/>
                <w:kern w:val="0"/>
                <w:sz w:val="24"/>
                <w:lang w:bidi="en-US"/>
              </w:rPr>
            </w:pPr>
            <w:r>
              <w:rPr>
                <w:rFonts w:hint="eastAsia" w:ascii="宋体" w:hAnsi="宋体" w:eastAsia="宋体" w:cs="宋体"/>
                <w:bCs/>
                <w:color w:val="auto"/>
                <w:kern w:val="0"/>
                <w:sz w:val="24"/>
                <w:lang w:bidi="en-US"/>
              </w:rPr>
              <w:t>已落实</w:t>
            </w:r>
          </w:p>
        </w:tc>
      </w:tr>
      <w:tr w14:paraId="6930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95" w:type="dxa"/>
            <w:noWrap w:val="0"/>
            <w:vAlign w:val="center"/>
          </w:tcPr>
          <w:p w14:paraId="00B7E4E1">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9</w:t>
            </w:r>
          </w:p>
        </w:tc>
        <w:tc>
          <w:tcPr>
            <w:tcW w:w="1864" w:type="dxa"/>
            <w:noWrap w:val="0"/>
            <w:vAlign w:val="center"/>
          </w:tcPr>
          <w:p w14:paraId="5228055F">
            <w:pPr>
              <w:spacing w:line="400" w:lineRule="exact"/>
              <w:jc w:val="center"/>
              <w:rPr>
                <w:rFonts w:hint="eastAsia" w:ascii="宋体" w:hAnsi="宋体" w:eastAsia="宋体" w:cs="宋体"/>
                <w:bCs/>
                <w:color w:val="auto"/>
                <w:kern w:val="0"/>
                <w:sz w:val="24"/>
                <w:highlight w:val="none"/>
                <w:lang w:eastAsia="zh-CN" w:bidi="en-US"/>
              </w:rPr>
            </w:pPr>
            <w:r>
              <w:rPr>
                <w:rFonts w:hint="eastAsia" w:ascii="宋体" w:hAnsi="宋体" w:eastAsia="宋体" w:cs="宋体"/>
                <w:bCs/>
                <w:color w:val="auto"/>
                <w:kern w:val="0"/>
                <w:sz w:val="24"/>
                <w:highlight w:val="none"/>
                <w:lang w:eastAsia="zh-CN" w:bidi="en-US"/>
              </w:rPr>
              <w:t>采购内容</w:t>
            </w:r>
          </w:p>
        </w:tc>
        <w:tc>
          <w:tcPr>
            <w:tcW w:w="6924" w:type="dxa"/>
            <w:noWrap w:val="0"/>
            <w:vAlign w:val="center"/>
          </w:tcPr>
          <w:p w14:paraId="61D59D0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bCs/>
                <w:color w:val="auto"/>
                <w:kern w:val="0"/>
                <w:sz w:val="24"/>
                <w:highlight w:val="none"/>
                <w:lang w:val="en-US" w:bidi="en-US"/>
              </w:rPr>
            </w:pPr>
            <w:r>
              <w:rPr>
                <w:rFonts w:hint="default" w:ascii="宋体" w:hAnsi="宋体" w:eastAsia="宋体" w:cs="宋体"/>
                <w:bCs/>
                <w:color w:val="auto"/>
                <w:kern w:val="0"/>
                <w:sz w:val="24"/>
                <w:highlight w:val="none"/>
                <w:lang w:val="en-US" w:bidi="en-US"/>
              </w:rPr>
              <w:t>50吨电子磅、负压除尘除臭系统、空间渗滤除臭系统。具体采购需求详见招标文件。</w:t>
            </w:r>
          </w:p>
        </w:tc>
      </w:tr>
      <w:tr w14:paraId="7C34E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095" w:type="dxa"/>
            <w:noWrap w:val="0"/>
            <w:vAlign w:val="center"/>
          </w:tcPr>
          <w:p w14:paraId="795574B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10</w:t>
            </w:r>
          </w:p>
        </w:tc>
        <w:tc>
          <w:tcPr>
            <w:tcW w:w="1864" w:type="dxa"/>
            <w:noWrap w:val="0"/>
            <w:vAlign w:val="center"/>
          </w:tcPr>
          <w:p w14:paraId="4E47F36C">
            <w:pPr>
              <w:spacing w:line="400" w:lineRule="exact"/>
              <w:jc w:val="center"/>
              <w:rPr>
                <w:rFonts w:hint="eastAsia" w:ascii="宋体" w:hAnsi="宋体" w:eastAsia="宋体" w:cs="宋体"/>
                <w:color w:val="auto"/>
                <w:sz w:val="24"/>
                <w:lang w:bidi="ar"/>
              </w:rPr>
            </w:pPr>
            <w:r>
              <w:rPr>
                <w:rFonts w:hint="eastAsia" w:ascii="宋体" w:hAnsi="宋体" w:eastAsia="宋体"/>
                <w:color w:val="auto"/>
                <w:sz w:val="24"/>
                <w:szCs w:val="28"/>
              </w:rPr>
              <w:t>质保期</w:t>
            </w:r>
          </w:p>
        </w:tc>
        <w:tc>
          <w:tcPr>
            <w:tcW w:w="6924" w:type="dxa"/>
            <w:noWrap w:val="0"/>
            <w:vAlign w:val="center"/>
          </w:tcPr>
          <w:p w14:paraId="7B8A8E8A">
            <w:pPr>
              <w:widowControl/>
              <w:spacing w:line="400" w:lineRule="exact"/>
              <w:jc w:val="left"/>
              <w:rPr>
                <w:rFonts w:hint="eastAsia" w:ascii="宋体" w:hAnsi="宋体" w:eastAsia="宋体" w:cs="宋体"/>
                <w:color w:val="auto"/>
                <w:kern w:val="0"/>
                <w:sz w:val="24"/>
                <w:u w:val="single"/>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年</w:t>
            </w:r>
          </w:p>
        </w:tc>
      </w:tr>
      <w:tr w14:paraId="612B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95" w:type="dxa"/>
            <w:noWrap w:val="0"/>
            <w:vAlign w:val="center"/>
          </w:tcPr>
          <w:p w14:paraId="6090062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11</w:t>
            </w:r>
          </w:p>
        </w:tc>
        <w:tc>
          <w:tcPr>
            <w:tcW w:w="1864" w:type="dxa"/>
            <w:noWrap w:val="0"/>
            <w:vAlign w:val="center"/>
          </w:tcPr>
          <w:p w14:paraId="5BAB273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质量要求</w:t>
            </w:r>
          </w:p>
        </w:tc>
        <w:tc>
          <w:tcPr>
            <w:tcW w:w="6924" w:type="dxa"/>
            <w:noWrap w:val="0"/>
            <w:vAlign w:val="center"/>
          </w:tcPr>
          <w:p w14:paraId="6BF4A3E9">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color w:val="auto"/>
                <w:sz w:val="24"/>
                <w:lang w:eastAsia="zh-CN" w:bidi="ar"/>
              </w:rPr>
            </w:pPr>
            <w:r>
              <w:rPr>
                <w:rFonts w:hint="eastAsia" w:ascii="宋体" w:hAnsi="宋体" w:eastAsia="宋体"/>
                <w:color w:val="auto"/>
                <w:sz w:val="24"/>
                <w:szCs w:val="28"/>
              </w:rPr>
              <w:t>符合国家规定，达到正常运行条件</w:t>
            </w:r>
          </w:p>
        </w:tc>
      </w:tr>
      <w:tr w14:paraId="73B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1095" w:type="dxa"/>
            <w:noWrap w:val="0"/>
            <w:vAlign w:val="center"/>
          </w:tcPr>
          <w:p w14:paraId="0551F7EF">
            <w:pPr>
              <w:spacing w:line="400" w:lineRule="exact"/>
              <w:jc w:val="center"/>
              <w:rPr>
                <w:rFonts w:hint="eastAsia" w:ascii="宋体" w:hAnsi="宋体" w:eastAsia="宋体" w:cs="宋体"/>
                <w:color w:val="auto"/>
                <w:sz w:val="24"/>
              </w:rPr>
            </w:pPr>
            <w:r>
              <w:rPr>
                <w:rFonts w:hint="eastAsia" w:ascii="宋体" w:hAnsi="宋体" w:eastAsia="宋体" w:cs="宋体"/>
                <w:bCs/>
                <w:color w:val="auto"/>
                <w:sz w:val="24"/>
              </w:rPr>
              <w:t>12</w:t>
            </w:r>
          </w:p>
        </w:tc>
        <w:tc>
          <w:tcPr>
            <w:tcW w:w="1864" w:type="dxa"/>
            <w:noWrap w:val="0"/>
            <w:vAlign w:val="center"/>
          </w:tcPr>
          <w:p w14:paraId="326B6EA8">
            <w:pPr>
              <w:spacing w:line="400" w:lineRule="exact"/>
              <w:jc w:val="center"/>
              <w:rPr>
                <w:rFonts w:hint="eastAsia" w:ascii="宋体" w:hAnsi="宋体" w:eastAsia="宋体" w:cs="宋体"/>
                <w:color w:val="auto"/>
                <w:sz w:val="24"/>
                <w:highlight w:val="yellow"/>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资格要求</w:t>
            </w:r>
          </w:p>
        </w:tc>
        <w:tc>
          <w:tcPr>
            <w:tcW w:w="6924" w:type="dxa"/>
            <w:noWrap w:val="0"/>
            <w:vAlign w:val="center"/>
          </w:tcPr>
          <w:p w14:paraId="7AB921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1.满足《中华人民共和国政府采购法》第二十二条的规定：</w:t>
            </w:r>
          </w:p>
          <w:p w14:paraId="192A7FE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（一）具有独立承担民事责任的能力；</w:t>
            </w:r>
          </w:p>
          <w:p w14:paraId="461646A5">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（二）具有良好的商业信誉和健全的财务会计制度；</w:t>
            </w:r>
          </w:p>
          <w:p w14:paraId="7DBA7454">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（三）具有履行合同所必需的设备和专业技术能力；</w:t>
            </w:r>
          </w:p>
          <w:p w14:paraId="38FBD5B6">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（四）有依法缴纳税收和社会保障资金的良好记录；</w:t>
            </w:r>
          </w:p>
          <w:p w14:paraId="6CA93C72">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（五）参加政府采购活动前三年内，在经营活动中没有重大违法记录；</w:t>
            </w:r>
          </w:p>
          <w:p w14:paraId="452F3C18">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（六）法律、行政法规规定的其他条件。</w:t>
            </w:r>
          </w:p>
          <w:p w14:paraId="31B35059">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注：供应商在投标（响应）时，提供相关承诺函，无需提供上述证明材料；采购人有权在签订合同前要求成交供应商提供相关证明材料以核实成交供应商承诺事项的真实性。 </w:t>
            </w:r>
          </w:p>
          <w:p w14:paraId="1220A760">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kern w:val="0"/>
                <w:sz w:val="24"/>
                <w:szCs w:val="24"/>
                <w:lang w:eastAsia="zh-CN"/>
              </w:rPr>
            </w:pPr>
            <w:r>
              <w:rPr>
                <w:rFonts w:hint="eastAsia" w:ascii="宋体" w:hAnsi="宋体" w:eastAsia="宋体" w:cs="宋体"/>
                <w:color w:val="auto"/>
                <w:kern w:val="0"/>
                <w:sz w:val="24"/>
                <w:szCs w:val="24"/>
              </w:rPr>
              <w:t>2、落实政府采购政策需满足的资格要求：</w:t>
            </w:r>
            <w:r>
              <w:rPr>
                <w:rFonts w:hint="eastAsia" w:ascii="宋体" w:hAnsi="宋体" w:cs="宋体"/>
                <w:color w:val="auto"/>
                <w:sz w:val="24"/>
                <w:highlight w:val="none"/>
                <w:lang w:val="en-US" w:eastAsia="zh-CN"/>
              </w:rPr>
              <w:t>本项目执行促进中小型企业发展政策（监狱企业、残疾人福利性企业视同小微企业）、优先采购节能环保产品等政府采购政策</w:t>
            </w:r>
            <w:r>
              <w:rPr>
                <w:rFonts w:hint="eastAsia" w:ascii="宋体" w:hAnsi="宋体" w:cs="宋体"/>
                <w:color w:val="auto"/>
                <w:kern w:val="0"/>
                <w:sz w:val="24"/>
                <w:szCs w:val="24"/>
                <w:lang w:eastAsia="zh-CN"/>
              </w:rPr>
              <w:t>。</w:t>
            </w:r>
          </w:p>
          <w:p w14:paraId="07B68AFA">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sz w:val="24"/>
                <w:szCs w:val="24"/>
              </w:rPr>
              <w:t>本项目的特定资格要求：</w:t>
            </w:r>
          </w:p>
          <w:p w14:paraId="08A0913F">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Times New Roman"/>
                <w:color w:val="auto"/>
                <w:sz w:val="24"/>
                <w:szCs w:val="24"/>
              </w:rPr>
            </w:pPr>
            <w:r>
              <w:rPr>
                <w:rFonts w:hint="eastAsia" w:ascii="宋体" w:hAnsi="宋体" w:eastAsia="宋体" w:cs="宋体"/>
                <w:color w:val="auto"/>
                <w:kern w:val="0"/>
                <w:sz w:val="24"/>
                <w:szCs w:val="24"/>
              </w:rPr>
              <w:t>3.1供应商须具有</w:t>
            </w:r>
            <w:r>
              <w:rPr>
                <w:rFonts w:hint="eastAsia" w:ascii="宋体" w:hAnsi="宋体" w:eastAsia="宋体" w:cs="Times New Roman"/>
                <w:color w:val="auto"/>
                <w:sz w:val="24"/>
                <w:szCs w:val="24"/>
              </w:rPr>
              <w:t>有效的营业执照；</w:t>
            </w:r>
          </w:p>
          <w:p w14:paraId="50CB3D2D">
            <w:pPr>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Times New Roman"/>
                <w:color w:val="auto"/>
                <w:sz w:val="24"/>
                <w:szCs w:val="24"/>
              </w:rPr>
              <w:t>3.</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lang w:eastAsia="zh-CN"/>
              </w:rPr>
              <w:t>供应商</w:t>
            </w:r>
            <w:r>
              <w:rPr>
                <w:rFonts w:hint="eastAsia" w:ascii="宋体" w:hAnsi="宋体" w:eastAsia="宋体" w:cs="Times New Roman"/>
                <w:color w:val="auto"/>
                <w:sz w:val="24"/>
                <w:szCs w:val="24"/>
              </w:rPr>
              <w:t>无行</w:t>
            </w:r>
            <w:r>
              <w:rPr>
                <w:rFonts w:hint="eastAsia" w:ascii="宋体" w:hAnsi="宋体" w:eastAsia="宋体"/>
                <w:color w:val="auto"/>
                <w:sz w:val="24"/>
                <w:szCs w:val="24"/>
              </w:rPr>
              <w:t>贿犯罪记录，（提供《中国裁判文书网》查询结果网页截图（查询时间应在招标公告发布后）或企业自行承诺的无行贿犯罪承诺书，查询&lt;承诺&gt;对象为“企业，法定代表人”）；</w:t>
            </w:r>
          </w:p>
          <w:p w14:paraId="1F4B0E8F">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szCs w:val="24"/>
              </w:rPr>
            </w:pPr>
            <w:r>
              <w:rPr>
                <w:rFonts w:hint="eastAsia" w:ascii="宋体" w:hAnsi="宋体" w:eastAsia="宋体" w:cs="宋体"/>
                <w:color w:val="auto"/>
                <w:kern w:val="0"/>
                <w:sz w:val="24"/>
                <w:szCs w:val="24"/>
                <w:lang w:val="en-US" w:eastAsia="zh-CN"/>
              </w:rPr>
              <w:t>3.</w:t>
            </w:r>
            <w:r>
              <w:rPr>
                <w:rFonts w:hint="eastAsia" w:ascii="宋体" w:hAnsi="宋体" w:cs="宋体"/>
                <w:color w:val="auto"/>
                <w:kern w:val="0"/>
                <w:sz w:val="24"/>
                <w:szCs w:val="24"/>
                <w:lang w:val="en-US" w:eastAsia="zh-CN"/>
              </w:rPr>
              <w:t>3供应商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4"/>
              </w:rPr>
              <w:t>；</w:t>
            </w:r>
          </w:p>
          <w:p w14:paraId="44F895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olor w:val="auto"/>
                <w:sz w:val="24"/>
                <w:szCs w:val="24"/>
                <w:lang w:eastAsia="zh-CN"/>
              </w:rPr>
            </w:pPr>
            <w:r>
              <w:rPr>
                <w:rFonts w:hint="eastAsia" w:ascii="宋体" w:hAnsi="宋体" w:eastAsia="宋体"/>
                <w:color w:val="auto"/>
                <w:sz w:val="24"/>
                <w:szCs w:val="24"/>
                <w:lang w:val="en-US" w:eastAsia="zh-CN"/>
              </w:rPr>
              <w:t>3.4</w:t>
            </w:r>
            <w:r>
              <w:rPr>
                <w:rFonts w:ascii="宋体" w:hAnsi="宋体" w:eastAsia="宋体"/>
                <w:color w:val="auto"/>
                <w:sz w:val="24"/>
                <w:szCs w:val="24"/>
              </w:rPr>
              <w:t>信用查询</w:t>
            </w:r>
            <w:r>
              <w:rPr>
                <w:rFonts w:hint="eastAsia" w:ascii="宋体" w:hAnsi="宋体" w:eastAsia="宋体"/>
                <w:color w:val="auto"/>
                <w:sz w:val="24"/>
                <w:szCs w:val="24"/>
                <w:lang w:eastAsia="zh-CN"/>
              </w:rPr>
              <w:t>：</w:t>
            </w: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p>
          <w:p w14:paraId="556EF5CB">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3.5控股、管理关系：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p>
          <w:p w14:paraId="2848EA19">
            <w:pPr>
              <w:pStyle w:val="8"/>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3.6本项目不接受联合体投标，提供非联合体承诺，格式自拟。</w:t>
            </w:r>
          </w:p>
          <w:p w14:paraId="2F71638A">
            <w:pPr>
              <w:keepNext w:val="0"/>
              <w:keepLines w:val="0"/>
              <w:pageBreakBefore w:val="0"/>
              <w:kinsoku/>
              <w:wordWrap/>
              <w:overflowPunct/>
              <w:topLinePunct w:val="0"/>
              <w:bidi w:val="0"/>
              <w:adjustRightInd w:val="0"/>
              <w:snapToGrid w:val="0"/>
              <w:spacing w:line="360" w:lineRule="auto"/>
              <w:jc w:val="left"/>
              <w:textAlignment w:val="auto"/>
              <w:rPr>
                <w:rFonts w:hint="eastAsia"/>
                <w:color w:val="auto"/>
              </w:rPr>
            </w:pPr>
            <w:r>
              <w:rPr>
                <w:rFonts w:hint="eastAsia" w:ascii="宋体" w:hAnsi="宋体" w:eastAsia="宋体" w:cs="Times New Roman"/>
                <w:b/>
                <w:bCs/>
                <w:color w:val="auto"/>
                <w:kern w:val="2"/>
                <w:sz w:val="24"/>
                <w:szCs w:val="24"/>
                <w:lang w:val="en-US" w:eastAsia="zh-CN" w:bidi="ar-SA"/>
              </w:rPr>
              <w:t>注：供应商可同时报名多个包段，但最多只能中一个包段。在投标时如果某一中标候选人在多个包段均排名第一，取金额最大的一个包段为该投标人的中标包段，其他的包段的中标候选人按排名次序递补。</w:t>
            </w:r>
          </w:p>
        </w:tc>
      </w:tr>
      <w:tr w14:paraId="2AA5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95" w:type="dxa"/>
            <w:noWrap w:val="0"/>
            <w:vAlign w:val="center"/>
          </w:tcPr>
          <w:p w14:paraId="14656E9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13</w:t>
            </w:r>
          </w:p>
        </w:tc>
        <w:tc>
          <w:tcPr>
            <w:tcW w:w="1864" w:type="dxa"/>
            <w:noWrap w:val="0"/>
            <w:vAlign w:val="center"/>
          </w:tcPr>
          <w:p w14:paraId="01B5A84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踏勘现场</w:t>
            </w:r>
          </w:p>
        </w:tc>
        <w:tc>
          <w:tcPr>
            <w:tcW w:w="6924" w:type="dxa"/>
            <w:noWrap w:val="0"/>
            <w:vAlign w:val="center"/>
          </w:tcPr>
          <w:p w14:paraId="1BFF4EB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不组织</w:t>
            </w:r>
          </w:p>
        </w:tc>
      </w:tr>
      <w:tr w14:paraId="7427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095" w:type="dxa"/>
            <w:noWrap w:val="0"/>
            <w:vAlign w:val="center"/>
          </w:tcPr>
          <w:p w14:paraId="3C114F9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14</w:t>
            </w:r>
          </w:p>
        </w:tc>
        <w:tc>
          <w:tcPr>
            <w:tcW w:w="1864" w:type="dxa"/>
            <w:noWrap w:val="0"/>
            <w:vAlign w:val="center"/>
          </w:tcPr>
          <w:p w14:paraId="1651E485">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提出问题的截止时间</w:t>
            </w:r>
          </w:p>
        </w:tc>
        <w:tc>
          <w:tcPr>
            <w:tcW w:w="6924" w:type="dxa"/>
            <w:noWrap w:val="0"/>
            <w:vAlign w:val="center"/>
          </w:tcPr>
          <w:p w14:paraId="6CCC4F9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递交投标文件截止之日10天前</w:t>
            </w:r>
          </w:p>
        </w:tc>
      </w:tr>
      <w:tr w14:paraId="1135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95" w:type="dxa"/>
            <w:noWrap w:val="0"/>
            <w:vAlign w:val="center"/>
          </w:tcPr>
          <w:p w14:paraId="24ADA7B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15</w:t>
            </w:r>
          </w:p>
        </w:tc>
        <w:tc>
          <w:tcPr>
            <w:tcW w:w="1864" w:type="dxa"/>
            <w:noWrap w:val="0"/>
            <w:vAlign w:val="center"/>
          </w:tcPr>
          <w:p w14:paraId="702D238C">
            <w:pPr>
              <w:spacing w:line="400" w:lineRule="exact"/>
              <w:jc w:val="center"/>
              <w:rPr>
                <w:rFonts w:hint="eastAsia" w:ascii="宋体" w:hAnsi="宋体" w:eastAsia="宋体" w:cs="宋体"/>
                <w:color w:val="auto"/>
                <w:sz w:val="24"/>
                <w:lang w:bidi="ar"/>
              </w:rPr>
            </w:pPr>
            <w:r>
              <w:rPr>
                <w:rFonts w:hint="eastAsia" w:ascii="宋体" w:hAnsi="宋体" w:cs="宋体"/>
                <w:color w:val="auto"/>
                <w:kern w:val="0"/>
                <w:sz w:val="24"/>
                <w:szCs w:val="24"/>
                <w:lang w:val="en-US" w:eastAsia="zh-CN"/>
              </w:rPr>
              <w:t>采购人</w:t>
            </w:r>
            <w:r>
              <w:rPr>
                <w:rFonts w:hint="eastAsia" w:ascii="宋体" w:hAnsi="宋体" w:eastAsia="宋体" w:cs="宋体"/>
                <w:color w:val="auto"/>
                <w:sz w:val="24"/>
                <w:lang w:bidi="ar"/>
              </w:rPr>
              <w:t>澄清的时间</w:t>
            </w:r>
          </w:p>
        </w:tc>
        <w:tc>
          <w:tcPr>
            <w:tcW w:w="6924" w:type="dxa"/>
            <w:noWrap w:val="0"/>
            <w:vAlign w:val="center"/>
          </w:tcPr>
          <w:p w14:paraId="2CE33BFE">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递交投标文件截止之日15天前</w:t>
            </w:r>
          </w:p>
        </w:tc>
      </w:tr>
      <w:tr w14:paraId="3306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95" w:type="dxa"/>
            <w:noWrap w:val="0"/>
            <w:vAlign w:val="center"/>
          </w:tcPr>
          <w:p w14:paraId="50609CB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16</w:t>
            </w:r>
          </w:p>
        </w:tc>
        <w:tc>
          <w:tcPr>
            <w:tcW w:w="1864" w:type="dxa"/>
            <w:noWrap w:val="0"/>
            <w:vAlign w:val="center"/>
          </w:tcPr>
          <w:p w14:paraId="2E79767D">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分包</w:t>
            </w:r>
          </w:p>
        </w:tc>
        <w:tc>
          <w:tcPr>
            <w:tcW w:w="6924" w:type="dxa"/>
            <w:noWrap w:val="0"/>
            <w:vAlign w:val="center"/>
          </w:tcPr>
          <w:p w14:paraId="57B6376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不允许</w:t>
            </w:r>
          </w:p>
        </w:tc>
      </w:tr>
      <w:tr w14:paraId="1404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095" w:type="dxa"/>
            <w:noWrap w:val="0"/>
            <w:vAlign w:val="center"/>
          </w:tcPr>
          <w:p w14:paraId="0EFEADD4">
            <w:pPr>
              <w:spacing w:line="400" w:lineRule="exact"/>
              <w:jc w:val="center"/>
              <w:rPr>
                <w:rFonts w:hint="eastAsia"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17</w:t>
            </w:r>
          </w:p>
        </w:tc>
        <w:tc>
          <w:tcPr>
            <w:tcW w:w="1864" w:type="dxa"/>
            <w:noWrap w:val="0"/>
            <w:vAlign w:val="center"/>
          </w:tcPr>
          <w:p w14:paraId="2748D61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构成招标文件的其他材料</w:t>
            </w:r>
          </w:p>
        </w:tc>
        <w:tc>
          <w:tcPr>
            <w:tcW w:w="6924" w:type="dxa"/>
            <w:noWrap w:val="0"/>
            <w:vAlign w:val="center"/>
          </w:tcPr>
          <w:p w14:paraId="1B45FBBF">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招标文件的补充文件（如有）、澄清、招标答疑纪要、修改文件（如有）；</w:t>
            </w:r>
          </w:p>
        </w:tc>
      </w:tr>
      <w:tr w14:paraId="4BCC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95" w:type="dxa"/>
            <w:noWrap w:val="0"/>
            <w:vAlign w:val="center"/>
          </w:tcPr>
          <w:p w14:paraId="167975BF">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18</w:t>
            </w:r>
          </w:p>
        </w:tc>
        <w:tc>
          <w:tcPr>
            <w:tcW w:w="1864" w:type="dxa"/>
            <w:noWrap w:val="0"/>
            <w:vAlign w:val="center"/>
          </w:tcPr>
          <w:p w14:paraId="389C777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投标有效期</w:t>
            </w:r>
          </w:p>
        </w:tc>
        <w:tc>
          <w:tcPr>
            <w:tcW w:w="6924" w:type="dxa"/>
            <w:noWrap w:val="0"/>
            <w:vAlign w:val="center"/>
          </w:tcPr>
          <w:p w14:paraId="1812C1BF">
            <w:pPr>
              <w:spacing w:line="400" w:lineRule="exact"/>
              <w:rPr>
                <w:rFonts w:hint="eastAsia" w:ascii="宋体" w:hAnsi="宋体" w:eastAsia="宋体" w:cs="宋体"/>
                <w:color w:val="auto"/>
                <w:sz w:val="24"/>
                <w:highlight w:val="none"/>
                <w:lang w:bidi="ar"/>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547A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95" w:type="dxa"/>
            <w:noWrap w:val="0"/>
            <w:vAlign w:val="center"/>
          </w:tcPr>
          <w:p w14:paraId="5D0CE68A">
            <w:pPr>
              <w:spacing w:line="400" w:lineRule="exact"/>
              <w:jc w:val="center"/>
              <w:rPr>
                <w:rFonts w:hint="eastAsia" w:ascii="宋体" w:hAnsi="宋体" w:eastAsia="宋体" w:cs="宋体"/>
                <w:color w:val="auto"/>
                <w:sz w:val="24"/>
                <w:highlight w:val="none"/>
                <w:lang w:bidi="ar"/>
              </w:rPr>
            </w:pPr>
            <w:r>
              <w:rPr>
                <w:rFonts w:hint="eastAsia" w:ascii="宋体" w:hAnsi="宋体" w:eastAsia="宋体" w:cs="宋体"/>
                <w:color w:val="auto"/>
                <w:sz w:val="24"/>
                <w:highlight w:val="none"/>
                <w:lang w:bidi="ar"/>
              </w:rPr>
              <w:t>19</w:t>
            </w:r>
          </w:p>
        </w:tc>
        <w:tc>
          <w:tcPr>
            <w:tcW w:w="1864" w:type="dxa"/>
            <w:noWrap w:val="0"/>
            <w:vAlign w:val="center"/>
          </w:tcPr>
          <w:p w14:paraId="391778DE">
            <w:pPr>
              <w:spacing w:line="400" w:lineRule="exact"/>
              <w:jc w:val="center"/>
              <w:rPr>
                <w:rFonts w:hint="eastAsia" w:ascii="宋体" w:hAnsi="宋体" w:eastAsia="宋体" w:cs="宋体"/>
                <w:color w:val="auto"/>
                <w:sz w:val="24"/>
                <w:highlight w:val="none"/>
                <w:lang w:eastAsia="zh-CN" w:bidi="ar"/>
              </w:rPr>
            </w:pPr>
            <w:r>
              <w:rPr>
                <w:rFonts w:hint="eastAsia" w:ascii="宋体" w:hAnsi="宋体" w:eastAsia="宋体" w:cs="宋体"/>
                <w:color w:val="auto"/>
                <w:sz w:val="24"/>
                <w:highlight w:val="none"/>
                <w:lang w:bidi="ar"/>
              </w:rPr>
              <w:t>投标保证金</w:t>
            </w:r>
            <w:r>
              <w:rPr>
                <w:rFonts w:hint="eastAsia" w:ascii="宋体" w:hAnsi="宋体" w:eastAsia="宋体" w:cs="宋体"/>
                <w:color w:val="auto"/>
                <w:sz w:val="24"/>
                <w:highlight w:val="none"/>
                <w:lang w:eastAsia="zh-CN" w:bidi="ar"/>
              </w:rPr>
              <w:t>及履约保证金</w:t>
            </w:r>
          </w:p>
        </w:tc>
        <w:tc>
          <w:tcPr>
            <w:tcW w:w="6924" w:type="dxa"/>
            <w:noWrap w:val="0"/>
            <w:vAlign w:val="center"/>
          </w:tcPr>
          <w:p w14:paraId="563039CA">
            <w:pPr>
              <w:spacing w:line="400" w:lineRule="exact"/>
              <w:rPr>
                <w:rFonts w:hint="eastAsia" w:ascii="宋体" w:hAnsi="宋体" w:eastAsia="宋体" w:cs="宋体"/>
                <w:color w:val="auto"/>
                <w:sz w:val="24"/>
                <w:highlight w:val="none"/>
                <w:lang w:bidi="ar"/>
              </w:rPr>
            </w:pPr>
            <w:r>
              <w:rPr>
                <w:rFonts w:hint="eastAsia" w:ascii="宋体" w:hAnsi="宋体" w:eastAsia="宋体" w:cs="宋体"/>
                <w:color w:val="auto"/>
                <w:kern w:val="0"/>
                <w:sz w:val="24"/>
                <w:highlight w:val="none"/>
              </w:rPr>
              <w:t>不收取</w:t>
            </w:r>
          </w:p>
        </w:tc>
      </w:tr>
      <w:tr w14:paraId="4849C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95" w:type="dxa"/>
            <w:noWrap w:val="0"/>
            <w:vAlign w:val="center"/>
          </w:tcPr>
          <w:p w14:paraId="2F65637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20</w:t>
            </w:r>
          </w:p>
        </w:tc>
        <w:tc>
          <w:tcPr>
            <w:tcW w:w="1864" w:type="dxa"/>
            <w:noWrap w:val="0"/>
            <w:vAlign w:val="center"/>
          </w:tcPr>
          <w:p w14:paraId="0CBB2D2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签字或盖章要求</w:t>
            </w:r>
          </w:p>
        </w:tc>
        <w:tc>
          <w:tcPr>
            <w:tcW w:w="6924" w:type="dxa"/>
            <w:noWrap w:val="0"/>
            <w:vAlign w:val="center"/>
          </w:tcPr>
          <w:p w14:paraId="0ADCCED6">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招标文件规定的投标文件格式中所有签字盖章的地方必须按招标文件明示的方式签字或盖章</w:t>
            </w:r>
          </w:p>
        </w:tc>
      </w:tr>
      <w:tr w14:paraId="5B6D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95" w:type="dxa"/>
            <w:noWrap w:val="0"/>
            <w:vAlign w:val="center"/>
          </w:tcPr>
          <w:p w14:paraId="44B9B9E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21</w:t>
            </w:r>
          </w:p>
        </w:tc>
        <w:tc>
          <w:tcPr>
            <w:tcW w:w="1864" w:type="dxa"/>
            <w:noWrap w:val="0"/>
            <w:vAlign w:val="center"/>
          </w:tcPr>
          <w:p w14:paraId="4C78528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投标文件份数</w:t>
            </w:r>
          </w:p>
        </w:tc>
        <w:tc>
          <w:tcPr>
            <w:tcW w:w="6924" w:type="dxa"/>
            <w:noWrap w:val="0"/>
            <w:vAlign w:val="center"/>
          </w:tcPr>
          <w:p w14:paraId="7BD3DE03">
            <w:pPr>
              <w:spacing w:line="400" w:lineRule="exact"/>
              <w:jc w:val="left"/>
              <w:rPr>
                <w:rFonts w:hint="eastAsia" w:ascii="宋体" w:hAnsi="宋体" w:eastAsia="宋体" w:cs="宋体"/>
                <w:color w:val="auto"/>
                <w:sz w:val="24"/>
                <w:lang w:bidi="ar"/>
              </w:rPr>
            </w:pPr>
            <w:r>
              <w:rPr>
                <w:rFonts w:hint="eastAsia" w:ascii="宋体" w:hAnsi="宋体" w:eastAsia="宋体" w:cs="宋体"/>
                <w:color w:val="auto"/>
                <w:sz w:val="24"/>
                <w:lang w:bidi="ar"/>
              </w:rPr>
              <w:t>本项目为全流程电子化交易项目，</w:t>
            </w:r>
            <w:r>
              <w:rPr>
                <w:rFonts w:hint="eastAsia" w:ascii="宋体" w:hAnsi="宋体" w:cs="宋体"/>
                <w:color w:val="auto"/>
                <w:kern w:val="0"/>
                <w:sz w:val="24"/>
                <w:szCs w:val="24"/>
                <w:lang w:val="en-US" w:eastAsia="zh-CN"/>
              </w:rPr>
              <w:t>供应商</w:t>
            </w:r>
            <w:r>
              <w:rPr>
                <w:rFonts w:hint="eastAsia" w:ascii="宋体" w:hAnsi="宋体" w:eastAsia="宋体" w:cs="宋体"/>
                <w:color w:val="auto"/>
                <w:sz w:val="24"/>
                <w:lang w:bidi="ar"/>
              </w:rPr>
              <w:t>只需要递交电子投标标文件，不用再提供纸质投标文件；</w:t>
            </w:r>
          </w:p>
        </w:tc>
      </w:tr>
      <w:tr w14:paraId="4FAC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95" w:type="dxa"/>
            <w:noWrap w:val="0"/>
            <w:vAlign w:val="center"/>
          </w:tcPr>
          <w:p w14:paraId="376A71DE">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22</w:t>
            </w:r>
          </w:p>
        </w:tc>
        <w:tc>
          <w:tcPr>
            <w:tcW w:w="1864" w:type="dxa"/>
            <w:noWrap w:val="0"/>
            <w:vAlign w:val="center"/>
          </w:tcPr>
          <w:p w14:paraId="72CE092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投标截止时间</w:t>
            </w:r>
          </w:p>
        </w:tc>
        <w:tc>
          <w:tcPr>
            <w:tcW w:w="6924" w:type="dxa"/>
            <w:noWrap w:val="0"/>
            <w:vAlign w:val="center"/>
          </w:tcPr>
          <w:p w14:paraId="02EA3A19">
            <w:pPr>
              <w:spacing w:line="400" w:lineRule="exact"/>
              <w:jc w:val="both"/>
              <w:rPr>
                <w:rFonts w:hint="eastAsia" w:ascii="宋体" w:hAnsi="宋体" w:eastAsia="宋体" w:cs="宋体"/>
                <w:color w:val="auto"/>
                <w:sz w:val="24"/>
                <w:lang w:bidi="ar"/>
              </w:rPr>
            </w:pP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tc>
      </w:tr>
      <w:tr w14:paraId="4B1F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95" w:type="dxa"/>
            <w:noWrap w:val="0"/>
            <w:vAlign w:val="center"/>
          </w:tcPr>
          <w:p w14:paraId="748FF2F9">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23</w:t>
            </w:r>
          </w:p>
        </w:tc>
        <w:tc>
          <w:tcPr>
            <w:tcW w:w="1864" w:type="dxa"/>
            <w:noWrap w:val="0"/>
            <w:vAlign w:val="center"/>
          </w:tcPr>
          <w:p w14:paraId="619CBEB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开标时间和地点</w:t>
            </w:r>
          </w:p>
        </w:tc>
        <w:tc>
          <w:tcPr>
            <w:tcW w:w="6924" w:type="dxa"/>
            <w:noWrap w:val="0"/>
            <w:vAlign w:val="center"/>
          </w:tcPr>
          <w:p w14:paraId="520DBFA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开标时间：</w:t>
            </w:r>
            <w:r>
              <w:rPr>
                <w:rFonts w:hint="eastAsia" w:ascii="宋体" w:hAnsi="宋体" w:eastAsia="宋体" w:cs="宋体"/>
                <w:color w:val="auto"/>
                <w:sz w:val="24"/>
                <w:lang w:eastAsia="zh-CN" w:bidi="ar"/>
              </w:rPr>
              <w:t>2024年</w:t>
            </w:r>
            <w:r>
              <w:rPr>
                <w:rFonts w:hint="eastAsia" w:ascii="宋体" w:hAnsi="宋体" w:eastAsia="宋体" w:cs="宋体"/>
                <w:color w:val="auto"/>
                <w:sz w:val="24"/>
                <w:lang w:val="en-US" w:eastAsia="zh-CN" w:bidi="ar"/>
              </w:rPr>
              <w:t>9</w:t>
            </w:r>
            <w:r>
              <w:rPr>
                <w:rFonts w:hint="eastAsia" w:ascii="宋体" w:hAnsi="宋体" w:eastAsia="宋体" w:cs="宋体"/>
                <w:color w:val="auto"/>
                <w:sz w:val="24"/>
                <w:lang w:eastAsia="zh-CN" w:bidi="ar"/>
              </w:rPr>
              <w:t>月</w:t>
            </w:r>
            <w:r>
              <w:rPr>
                <w:rFonts w:hint="eastAsia" w:ascii="宋体" w:hAnsi="宋体" w:eastAsia="宋体" w:cs="宋体"/>
                <w:color w:val="auto"/>
                <w:sz w:val="24"/>
                <w:lang w:val="en-US" w:eastAsia="zh-CN" w:bidi="ar"/>
              </w:rPr>
              <w:t>20</w:t>
            </w:r>
            <w:r>
              <w:rPr>
                <w:rFonts w:hint="eastAsia" w:ascii="宋体" w:hAnsi="宋体" w:eastAsia="宋体" w:cs="宋体"/>
                <w:color w:val="auto"/>
                <w:sz w:val="24"/>
                <w:lang w:eastAsia="zh-CN" w:bidi="ar"/>
              </w:rPr>
              <w:t>日08时20分</w:t>
            </w:r>
            <w:r>
              <w:rPr>
                <w:rFonts w:hint="eastAsia" w:ascii="宋体" w:hAnsi="宋体" w:eastAsia="宋体" w:cs="宋体"/>
                <w:color w:val="auto"/>
                <w:sz w:val="24"/>
                <w:lang w:bidi="ar"/>
              </w:rPr>
              <w:t>（北京时间）。</w:t>
            </w:r>
          </w:p>
          <w:p w14:paraId="29D8530A">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开标地点：</w:t>
            </w:r>
            <w:r>
              <w:rPr>
                <w:rFonts w:hint="eastAsia" w:ascii="宋体" w:hAnsi="宋体" w:eastAsia="宋体" w:cs="宋体"/>
                <w:color w:val="auto"/>
                <w:sz w:val="24"/>
                <w:lang w:val="en-US" w:eastAsia="zh-CN" w:bidi="ar"/>
              </w:rPr>
              <w:t>渑池县公共资源交易中心六楼开标区</w:t>
            </w:r>
          </w:p>
        </w:tc>
      </w:tr>
      <w:tr w14:paraId="68DBA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95" w:type="dxa"/>
            <w:noWrap w:val="0"/>
            <w:vAlign w:val="center"/>
          </w:tcPr>
          <w:p w14:paraId="109D803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24</w:t>
            </w:r>
          </w:p>
        </w:tc>
        <w:tc>
          <w:tcPr>
            <w:tcW w:w="1864" w:type="dxa"/>
            <w:noWrap w:val="0"/>
            <w:vAlign w:val="center"/>
          </w:tcPr>
          <w:p w14:paraId="7D99D6FF">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是否退还投标文件</w:t>
            </w:r>
          </w:p>
        </w:tc>
        <w:tc>
          <w:tcPr>
            <w:tcW w:w="6924" w:type="dxa"/>
            <w:noWrap w:val="0"/>
            <w:vAlign w:val="center"/>
          </w:tcPr>
          <w:p w14:paraId="0DEAF07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w:t>
            </w:r>
          </w:p>
        </w:tc>
      </w:tr>
      <w:tr w14:paraId="2705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3E7C748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25</w:t>
            </w:r>
          </w:p>
        </w:tc>
        <w:tc>
          <w:tcPr>
            <w:tcW w:w="1864" w:type="dxa"/>
            <w:noWrap w:val="0"/>
            <w:vAlign w:val="center"/>
          </w:tcPr>
          <w:p w14:paraId="7631503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评标委员会的组建</w:t>
            </w:r>
          </w:p>
        </w:tc>
        <w:tc>
          <w:tcPr>
            <w:tcW w:w="6924" w:type="dxa"/>
            <w:noWrap w:val="0"/>
            <w:vAlign w:val="center"/>
          </w:tcPr>
          <w:p w14:paraId="7D3E7038">
            <w:pPr>
              <w:spacing w:line="480" w:lineRule="auto"/>
              <w:jc w:val="left"/>
              <w:rPr>
                <w:rFonts w:hint="eastAsia" w:ascii="宋体" w:hAnsi="宋体" w:eastAsia="宋体" w:cs="宋体"/>
                <w:color w:val="auto"/>
                <w:kern w:val="0"/>
              </w:rPr>
            </w:pPr>
            <w:r>
              <w:rPr>
                <w:rFonts w:hint="eastAsia" w:ascii="宋体" w:hAnsi="宋体" w:eastAsia="宋体" w:cs="宋体"/>
                <w:color w:val="auto"/>
                <w:sz w:val="24"/>
                <w:lang w:bidi="ar"/>
              </w:rPr>
              <w:t>从相关评标专家库随机抽取经济、技术方面专家</w:t>
            </w:r>
            <w:r>
              <w:rPr>
                <w:rFonts w:hint="eastAsia" w:ascii="宋体" w:hAnsi="宋体" w:eastAsia="宋体" w:cs="宋体"/>
                <w:color w:val="auto"/>
                <w:sz w:val="24"/>
                <w:lang w:val="en-US" w:eastAsia="zh-CN" w:bidi="ar"/>
              </w:rPr>
              <w:t>5</w:t>
            </w:r>
            <w:r>
              <w:rPr>
                <w:rFonts w:hint="eastAsia" w:ascii="宋体" w:hAnsi="宋体" w:eastAsia="宋体" w:cs="宋体"/>
                <w:color w:val="auto"/>
                <w:sz w:val="24"/>
                <w:lang w:bidi="ar"/>
              </w:rPr>
              <w:t>人，业主代表</w:t>
            </w:r>
            <w:r>
              <w:rPr>
                <w:rFonts w:hint="eastAsia" w:ascii="宋体" w:hAnsi="宋体" w:eastAsia="宋体" w:cs="宋体"/>
                <w:color w:val="auto"/>
                <w:sz w:val="24"/>
                <w:lang w:val="en-US" w:eastAsia="zh-CN" w:bidi="ar"/>
              </w:rPr>
              <w:t>2</w:t>
            </w:r>
            <w:r>
              <w:rPr>
                <w:rFonts w:hint="eastAsia" w:ascii="宋体" w:hAnsi="宋体" w:eastAsia="宋体" w:cs="宋体"/>
                <w:color w:val="auto"/>
                <w:sz w:val="24"/>
                <w:lang w:bidi="ar"/>
              </w:rPr>
              <w:t>人，共</w:t>
            </w:r>
            <w:r>
              <w:rPr>
                <w:rFonts w:hint="eastAsia" w:ascii="宋体" w:hAnsi="宋体" w:eastAsia="宋体" w:cs="宋体"/>
                <w:color w:val="auto"/>
                <w:sz w:val="24"/>
                <w:lang w:val="en-US" w:eastAsia="zh-CN" w:bidi="ar"/>
              </w:rPr>
              <w:t>7</w:t>
            </w:r>
            <w:r>
              <w:rPr>
                <w:rFonts w:hint="eastAsia" w:ascii="宋体" w:hAnsi="宋体" w:eastAsia="宋体" w:cs="宋体"/>
                <w:color w:val="auto"/>
                <w:sz w:val="24"/>
                <w:lang w:bidi="ar"/>
              </w:rPr>
              <w:t>人组成。</w:t>
            </w:r>
          </w:p>
        </w:tc>
      </w:tr>
      <w:tr w14:paraId="36D1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095" w:type="dxa"/>
            <w:noWrap w:val="0"/>
            <w:vAlign w:val="center"/>
          </w:tcPr>
          <w:p w14:paraId="3CA86BE7">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26</w:t>
            </w:r>
          </w:p>
        </w:tc>
        <w:tc>
          <w:tcPr>
            <w:tcW w:w="1864" w:type="dxa"/>
            <w:noWrap w:val="0"/>
            <w:vAlign w:val="center"/>
          </w:tcPr>
          <w:p w14:paraId="006F2F72">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是否授权评标委员会确定中标人</w:t>
            </w:r>
          </w:p>
        </w:tc>
        <w:tc>
          <w:tcPr>
            <w:tcW w:w="6924" w:type="dxa"/>
            <w:noWrap w:val="0"/>
            <w:vAlign w:val="center"/>
          </w:tcPr>
          <w:p w14:paraId="281AFDFB">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否，推荐的中标候选人数：</w:t>
            </w:r>
            <w:r>
              <w:rPr>
                <w:rFonts w:hint="eastAsia" w:ascii="宋体" w:hAnsi="宋体" w:eastAsia="宋体" w:cs="宋体"/>
                <w:color w:val="auto"/>
                <w:sz w:val="24"/>
                <w:lang w:val="en-US" w:eastAsia="zh-CN" w:bidi="ar"/>
              </w:rPr>
              <w:t>1-</w:t>
            </w:r>
            <w:r>
              <w:rPr>
                <w:rFonts w:hint="eastAsia" w:ascii="宋体" w:hAnsi="宋体" w:eastAsia="宋体" w:cs="宋体"/>
                <w:color w:val="auto"/>
                <w:sz w:val="24"/>
                <w:lang w:bidi="ar"/>
              </w:rPr>
              <w:t>3名</w:t>
            </w:r>
          </w:p>
        </w:tc>
      </w:tr>
      <w:tr w14:paraId="58C2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noWrap w:val="0"/>
            <w:vAlign w:val="center"/>
          </w:tcPr>
          <w:p w14:paraId="7BD66728">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7</w:t>
            </w:r>
          </w:p>
        </w:tc>
        <w:tc>
          <w:tcPr>
            <w:tcW w:w="8788" w:type="dxa"/>
            <w:gridSpan w:val="2"/>
            <w:noWrap w:val="0"/>
            <w:vAlign w:val="center"/>
          </w:tcPr>
          <w:p w14:paraId="29C70988">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r>
      <w:tr w14:paraId="5A80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95" w:type="dxa"/>
            <w:noWrap w:val="0"/>
            <w:vAlign w:val="center"/>
          </w:tcPr>
          <w:p w14:paraId="2995EE77">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2</w:t>
            </w:r>
            <w:r>
              <w:rPr>
                <w:rFonts w:hint="eastAsia" w:ascii="宋体" w:hAnsi="宋体" w:eastAsia="宋体" w:cs="宋体"/>
                <w:color w:val="auto"/>
                <w:sz w:val="24"/>
                <w:lang w:val="en-US" w:eastAsia="zh-CN" w:bidi="ar"/>
              </w:rPr>
              <w:t>8</w:t>
            </w:r>
          </w:p>
        </w:tc>
        <w:tc>
          <w:tcPr>
            <w:tcW w:w="1864" w:type="dxa"/>
            <w:noWrap w:val="0"/>
            <w:vAlign w:val="center"/>
          </w:tcPr>
          <w:p w14:paraId="10695E30">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采购代理服务费</w:t>
            </w:r>
          </w:p>
        </w:tc>
        <w:tc>
          <w:tcPr>
            <w:tcW w:w="6924" w:type="dxa"/>
            <w:noWrap w:val="0"/>
            <w:vAlign w:val="center"/>
          </w:tcPr>
          <w:p w14:paraId="10194788">
            <w:pPr>
              <w:spacing w:line="400" w:lineRule="exact"/>
              <w:rPr>
                <w:rFonts w:hint="eastAsia" w:ascii="宋体" w:hAnsi="宋体" w:eastAsia="宋体" w:cs="宋体"/>
                <w:color w:val="auto"/>
                <w:sz w:val="24"/>
                <w:lang w:bidi="ar"/>
              </w:rPr>
            </w:pPr>
            <w:r>
              <w:rPr>
                <w:rFonts w:hint="eastAsia" w:ascii="宋体" w:hAnsi="宋体" w:eastAsia="宋体" w:cs="Times New Roman"/>
                <w:color w:val="auto"/>
                <w:sz w:val="24"/>
                <w:szCs w:val="24"/>
              </w:rPr>
              <w:t>招标代理服务收费参照豫招协[2023]002号河南省招标投标协会关于印发《河南</w:t>
            </w:r>
            <w:r>
              <w:rPr>
                <w:rFonts w:hint="eastAsia" w:ascii="宋体" w:hAnsi="宋体" w:eastAsia="宋体" w:cs="Times New Roman"/>
                <w:color w:val="auto"/>
                <w:sz w:val="24"/>
                <w:szCs w:val="24"/>
                <w:highlight w:val="none"/>
              </w:rPr>
              <w:t>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lang w:val="en-US" w:eastAsia="zh-CN"/>
              </w:rPr>
              <w:t>由中标人支付。</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p>
        </w:tc>
      </w:tr>
      <w:tr w14:paraId="2C65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1095" w:type="dxa"/>
            <w:noWrap w:val="0"/>
            <w:vAlign w:val="center"/>
          </w:tcPr>
          <w:p w14:paraId="51E09F38">
            <w:pPr>
              <w:spacing w:line="400" w:lineRule="exact"/>
              <w:jc w:val="center"/>
              <w:rPr>
                <w:rFonts w:hint="default" w:ascii="宋体" w:hAnsi="宋体" w:eastAsia="宋体" w:cs="宋体"/>
                <w:color w:val="auto"/>
                <w:sz w:val="24"/>
                <w:lang w:val="en-US" w:eastAsia="zh-CN" w:bidi="ar"/>
              </w:rPr>
            </w:pPr>
            <w:r>
              <w:rPr>
                <w:rFonts w:hint="eastAsia" w:ascii="宋体" w:hAnsi="宋体" w:eastAsia="宋体" w:cs="宋体"/>
                <w:color w:val="auto"/>
                <w:sz w:val="24"/>
                <w:lang w:val="en-US" w:eastAsia="zh-CN" w:bidi="ar"/>
              </w:rPr>
              <w:t>29</w:t>
            </w:r>
          </w:p>
        </w:tc>
        <w:tc>
          <w:tcPr>
            <w:tcW w:w="1864" w:type="dxa"/>
            <w:noWrap w:val="0"/>
            <w:vAlign w:val="center"/>
          </w:tcPr>
          <w:p w14:paraId="07D87EE8">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w:t>
            </w:r>
          </w:p>
        </w:tc>
        <w:tc>
          <w:tcPr>
            <w:tcW w:w="6924" w:type="dxa"/>
            <w:noWrap w:val="0"/>
            <w:vAlign w:val="center"/>
          </w:tcPr>
          <w:p w14:paraId="22E05AF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val="en-US" w:eastAsia="zh-CN" w:bidi="ar"/>
              </w:rPr>
              <w:t>中标</w:t>
            </w:r>
            <w:r>
              <w:rPr>
                <w:rFonts w:hint="eastAsia" w:ascii="宋体" w:hAnsi="宋体" w:eastAsia="宋体" w:cs="宋体"/>
                <w:color w:val="auto"/>
                <w:sz w:val="24"/>
                <w:lang w:bidi="ar"/>
              </w:rPr>
              <w:t>公告将在招标公告发布的同一媒介发布</w:t>
            </w:r>
          </w:p>
        </w:tc>
      </w:tr>
      <w:tr w14:paraId="718F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95" w:type="dxa"/>
            <w:noWrap w:val="0"/>
            <w:vAlign w:val="center"/>
          </w:tcPr>
          <w:p w14:paraId="1F3C8053">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0</w:t>
            </w:r>
          </w:p>
        </w:tc>
        <w:tc>
          <w:tcPr>
            <w:tcW w:w="1864" w:type="dxa"/>
            <w:noWrap w:val="0"/>
            <w:vAlign w:val="center"/>
          </w:tcPr>
          <w:p w14:paraId="6EAE37F6">
            <w:pPr>
              <w:spacing w:line="400" w:lineRule="exact"/>
              <w:jc w:val="center"/>
              <w:rPr>
                <w:rFonts w:hint="eastAsia" w:ascii="宋体" w:hAnsi="宋体" w:eastAsia="宋体" w:cs="宋体"/>
                <w:color w:val="auto"/>
                <w:sz w:val="24"/>
                <w:lang w:bidi="ar"/>
              </w:rPr>
            </w:pPr>
            <w:r>
              <w:rPr>
                <w:rFonts w:hint="eastAsia" w:ascii="宋体" w:hAnsi="宋体" w:eastAsia="宋体" w:cs="宋体"/>
                <w:color w:val="auto"/>
                <w:sz w:val="24"/>
                <w:lang w:bidi="ar"/>
              </w:rPr>
              <w:t>资料存档</w:t>
            </w:r>
          </w:p>
        </w:tc>
        <w:tc>
          <w:tcPr>
            <w:tcW w:w="6924" w:type="dxa"/>
            <w:noWrap w:val="0"/>
            <w:vAlign w:val="center"/>
          </w:tcPr>
          <w:p w14:paraId="4EAE83B2">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为便于资料存档，中</w:t>
            </w:r>
            <w:r>
              <w:rPr>
                <w:rFonts w:hint="eastAsia" w:ascii="宋体" w:hAnsi="宋体" w:eastAsia="宋体" w:cs="宋体"/>
                <w:color w:val="auto"/>
                <w:sz w:val="24"/>
                <w:lang w:eastAsia="zh-CN" w:bidi="ar"/>
              </w:rPr>
              <w:t>标人</w:t>
            </w:r>
            <w:r>
              <w:rPr>
                <w:rFonts w:hint="eastAsia" w:ascii="宋体" w:hAnsi="宋体" w:eastAsia="宋体" w:cs="宋体"/>
                <w:color w:val="auto"/>
                <w:sz w:val="24"/>
                <w:lang w:bidi="ar"/>
              </w:rPr>
              <w:t>在领取</w:t>
            </w:r>
            <w:r>
              <w:rPr>
                <w:rFonts w:hint="eastAsia" w:ascii="宋体" w:hAnsi="宋体" w:eastAsia="宋体" w:cs="宋体"/>
                <w:color w:val="auto"/>
                <w:sz w:val="24"/>
                <w:lang w:eastAsia="zh-CN" w:bidi="ar"/>
              </w:rPr>
              <w:t>中标</w:t>
            </w:r>
            <w:r>
              <w:rPr>
                <w:rFonts w:hint="eastAsia" w:ascii="宋体" w:hAnsi="宋体" w:eastAsia="宋体" w:cs="宋体"/>
                <w:color w:val="auto"/>
                <w:sz w:val="24"/>
                <w:lang w:bidi="ar"/>
              </w:rPr>
              <w:t>通知书时，需提供投标文件纸质版一正，未加密的电子投标文件 1 份（U 盘介质），纸质版内容及未加密电子投标文件内容必须与</w:t>
            </w:r>
            <w:r>
              <w:rPr>
                <w:rFonts w:hint="eastAsia" w:ascii="宋体" w:hAnsi="宋体" w:eastAsia="宋体" w:cs="宋体"/>
                <w:color w:val="auto"/>
                <w:sz w:val="24"/>
                <w:lang w:eastAsia="zh-CN" w:bidi="ar"/>
              </w:rPr>
              <w:t>三门峡市</w:t>
            </w:r>
            <w:r>
              <w:rPr>
                <w:rFonts w:hint="eastAsia" w:ascii="宋体" w:hAnsi="宋体" w:eastAsia="宋体" w:cs="宋体"/>
                <w:color w:val="auto"/>
                <w:sz w:val="24"/>
                <w:lang w:bidi="ar"/>
              </w:rPr>
              <w:t>公共资源交易中心系统上传内容一致。</w:t>
            </w:r>
          </w:p>
        </w:tc>
      </w:tr>
      <w:tr w14:paraId="3B5D1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10D2BB9E">
            <w:pPr>
              <w:spacing w:line="400" w:lineRule="exact"/>
              <w:jc w:val="center"/>
              <w:rPr>
                <w:rFonts w:hint="eastAsia" w:ascii="宋体" w:hAnsi="宋体" w:eastAsia="宋体" w:cs="宋体"/>
                <w:color w:val="auto"/>
                <w:sz w:val="24"/>
                <w:lang w:eastAsia="zh-CN" w:bidi="ar"/>
              </w:rPr>
            </w:pPr>
            <w:r>
              <w:rPr>
                <w:rFonts w:hint="eastAsia" w:ascii="宋体" w:hAnsi="宋体" w:eastAsia="宋体" w:cs="宋体"/>
                <w:color w:val="auto"/>
                <w:sz w:val="24"/>
                <w:lang w:bidi="ar"/>
              </w:rPr>
              <w:t>3</w:t>
            </w:r>
            <w:r>
              <w:rPr>
                <w:rFonts w:hint="eastAsia" w:ascii="宋体" w:hAnsi="宋体" w:eastAsia="宋体" w:cs="宋体"/>
                <w:color w:val="auto"/>
                <w:sz w:val="24"/>
                <w:lang w:val="en-US" w:eastAsia="zh-CN" w:bidi="ar"/>
              </w:rPr>
              <w:t>1</w:t>
            </w:r>
          </w:p>
        </w:tc>
        <w:tc>
          <w:tcPr>
            <w:tcW w:w="1864" w:type="dxa"/>
            <w:noWrap w:val="0"/>
            <w:vAlign w:val="center"/>
          </w:tcPr>
          <w:p w14:paraId="54140600">
            <w:pPr>
              <w:spacing w:line="400" w:lineRule="exact"/>
              <w:rPr>
                <w:rFonts w:hint="eastAsia" w:ascii="宋体" w:hAnsi="宋体" w:eastAsia="宋体" w:cs="宋体"/>
                <w:color w:val="auto"/>
                <w:sz w:val="24"/>
                <w:lang w:bidi="ar"/>
              </w:rPr>
            </w:pPr>
            <w:r>
              <w:rPr>
                <w:rFonts w:hint="eastAsia" w:ascii="宋体" w:hAnsi="宋体" w:eastAsia="宋体" w:cs="宋体"/>
                <w:color w:val="auto"/>
                <w:sz w:val="24"/>
                <w:lang w:bidi="ar"/>
              </w:rPr>
              <w:t>需要补充的其他内容</w:t>
            </w:r>
          </w:p>
        </w:tc>
        <w:tc>
          <w:tcPr>
            <w:tcW w:w="6924" w:type="dxa"/>
            <w:noWrap w:val="0"/>
            <w:vAlign w:val="center"/>
          </w:tcPr>
          <w:p w14:paraId="68112A3A">
            <w:pPr>
              <w:spacing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rPr>
              <w:t>本项目招</w:t>
            </w:r>
            <w:r>
              <w:rPr>
                <w:rFonts w:hint="eastAsia" w:ascii="宋体" w:hAnsi="宋体" w:eastAsia="宋体" w:cs="宋体"/>
                <w:color w:val="auto"/>
                <w:sz w:val="24"/>
                <w:highlight w:val="none"/>
              </w:rPr>
              <w:t>标控制价：</w:t>
            </w:r>
            <w:r>
              <w:rPr>
                <w:rFonts w:hint="eastAsia" w:ascii="宋体" w:hAnsi="宋体" w:eastAsia="宋体" w:cs="宋体"/>
                <w:color w:val="auto"/>
                <w:sz w:val="24"/>
                <w:highlight w:val="none"/>
                <w:lang w:val="en-US" w:eastAsia="zh-CN"/>
              </w:rPr>
              <w:t>大写：叁佰陆拾柒万元整</w:t>
            </w:r>
          </w:p>
          <w:p w14:paraId="54CA18CE">
            <w:pPr>
              <w:spacing w:line="400" w:lineRule="exact"/>
              <w:ind w:firstLine="2160" w:firstLineChars="9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小写：</w:t>
            </w:r>
            <w:r>
              <w:rPr>
                <w:rFonts w:hint="eastAsia" w:ascii="宋体" w:hAnsi="宋体" w:eastAsia="宋体" w:cs="宋体"/>
                <w:color w:val="auto"/>
                <w:sz w:val="24"/>
                <w:highlight w:val="none"/>
              </w:rPr>
              <w:t>367</w:t>
            </w:r>
            <w:r>
              <w:rPr>
                <w:rFonts w:hint="eastAsia" w:ascii="宋体" w:hAnsi="宋体" w:eastAsia="宋体" w:cs="宋体"/>
                <w:color w:val="auto"/>
                <w:sz w:val="24"/>
                <w:highlight w:val="none"/>
                <w:lang w:val="en-US" w:eastAsia="zh-CN"/>
              </w:rPr>
              <w:t>0000</w:t>
            </w:r>
            <w:r>
              <w:rPr>
                <w:rFonts w:hint="eastAsia" w:ascii="宋体" w:hAnsi="宋体" w:eastAsia="宋体" w:cs="宋体"/>
                <w:color w:val="auto"/>
                <w:sz w:val="24"/>
                <w:highlight w:val="none"/>
              </w:rPr>
              <w:t>元</w:t>
            </w:r>
          </w:p>
          <w:p w14:paraId="2576CB36">
            <w:pPr>
              <w:pStyle w:val="17"/>
              <w:ind w:left="0" w:leftChars="0" w:firstLine="0" w:firstLineChars="0"/>
              <w:rPr>
                <w:rFonts w:hint="eastAsia" w:ascii="宋体" w:hAnsi="宋体" w:eastAsia="宋体" w:cs="宋体"/>
                <w:color w:val="auto"/>
                <w:lang w:val="en-US" w:eastAsia="zh-CN"/>
              </w:rPr>
            </w:pPr>
            <w:r>
              <w:rPr>
                <w:rFonts w:hint="eastAsia" w:ascii="宋体" w:hAnsi="宋体" w:eastAsia="宋体" w:cs="宋体"/>
                <w:color w:val="auto"/>
                <w:sz w:val="24"/>
                <w:highlight w:val="none"/>
                <w:lang w:val="en-US" w:eastAsia="zh-CN"/>
              </w:rPr>
              <w:t>投标报价高于最高限价的，投标将被否决。</w:t>
            </w:r>
          </w:p>
        </w:tc>
      </w:tr>
      <w:tr w14:paraId="29015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0A5943B4">
            <w:pPr>
              <w:spacing w:line="400" w:lineRule="exact"/>
              <w:jc w:val="center"/>
              <w:rPr>
                <w:rFonts w:hint="default" w:eastAsia="宋体"/>
                <w:color w:val="auto"/>
                <w:lang w:val="en-US" w:eastAsia="zh-CN"/>
              </w:rPr>
            </w:pPr>
            <w:bookmarkStart w:id="7" w:name="_Toc324426325"/>
            <w:bookmarkStart w:id="8" w:name="_Toc404096914"/>
            <w:bookmarkStart w:id="9" w:name="_Toc322792288"/>
            <w:bookmarkStart w:id="10" w:name="_Toc322791368"/>
            <w:bookmarkStart w:id="11" w:name="_Toc322792546"/>
            <w:bookmarkStart w:id="12" w:name="_Toc358045599"/>
            <w:r>
              <w:rPr>
                <w:rFonts w:hint="eastAsia" w:ascii="宋体" w:hAnsi="宋体" w:eastAsia="宋体" w:cs="宋体"/>
                <w:color w:val="auto"/>
                <w:sz w:val="24"/>
                <w:lang w:val="en-US" w:eastAsia="zh-CN" w:bidi="ar"/>
              </w:rPr>
              <w:t>33</w:t>
            </w:r>
          </w:p>
        </w:tc>
        <w:tc>
          <w:tcPr>
            <w:tcW w:w="1864" w:type="dxa"/>
            <w:noWrap w:val="0"/>
            <w:vAlign w:val="center"/>
          </w:tcPr>
          <w:p w14:paraId="6A0054D1">
            <w:pPr>
              <w:widowControl/>
              <w:spacing w:line="460" w:lineRule="exact"/>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其他</w:t>
            </w:r>
          </w:p>
        </w:tc>
        <w:tc>
          <w:tcPr>
            <w:tcW w:w="6924" w:type="dxa"/>
            <w:noWrap w:val="0"/>
            <w:vAlign w:val="center"/>
          </w:tcPr>
          <w:p w14:paraId="63EBC509">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1.我单位（</w:t>
            </w:r>
            <w:r>
              <w:rPr>
                <w:rFonts w:hint="eastAsia" w:ascii="宋体" w:hAnsi="宋体" w:cs="宋体"/>
                <w:color w:val="auto"/>
                <w:kern w:val="0"/>
                <w:sz w:val="24"/>
                <w:szCs w:val="24"/>
                <w:lang w:val="en-US" w:eastAsia="zh-CN"/>
              </w:rPr>
              <w:t>采购</w:t>
            </w:r>
            <w:r>
              <w:rPr>
                <w:rFonts w:hint="eastAsia" w:ascii="宋体" w:hAnsi="宋体" w:eastAsia="宋体" w:cs="Times New Roman"/>
                <w:color w:val="auto"/>
                <w:sz w:val="24"/>
                <w:szCs w:val="24"/>
                <w:highlight w:val="none"/>
                <w:lang w:eastAsia="zh-CN"/>
              </w:rPr>
              <w:t>人</w:t>
            </w:r>
            <w:r>
              <w:rPr>
                <w:rFonts w:hint="eastAsia" w:ascii="宋体" w:hAnsi="宋体" w:eastAsia="宋体" w:cs="Times New Roman"/>
                <w:color w:val="auto"/>
                <w:sz w:val="24"/>
                <w:szCs w:val="24"/>
                <w:highlight w:val="none"/>
              </w:rPr>
              <w:t>）严格按三财购【2021】9号文要求的时限发布中标结果公告，发出中标（成交）通知书，签订采购合同，上传采购合同。</w:t>
            </w:r>
          </w:p>
          <w:p w14:paraId="207B7B36">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rPr>
              <w:t>.本项目实行资格后审，根据优化营商环境的要求，评标时审查内容以投标（响应）文件为准：</w:t>
            </w:r>
          </w:p>
          <w:p w14:paraId="62C2C35B">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资格评（预）审部分：资格评（预）以投标（响应）文件为准，其上传资料真实性由</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自行承担，同时，</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要完善主体库。</w:t>
            </w:r>
          </w:p>
          <w:p w14:paraId="3FA493A5">
            <w:pPr>
              <w:widowControl/>
              <w:spacing w:line="460" w:lineRule="exact"/>
              <w:jc w:val="left"/>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评标打分部分：评标打分部分仍按照100分制原则进行，涉及到计分部分时，以</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自行上传到投标（响应）文件中的相应内容为准。</w:t>
            </w:r>
          </w:p>
          <w:p w14:paraId="7C4B9969">
            <w:pPr>
              <w:widowControl/>
              <w:spacing w:line="460" w:lineRule="exact"/>
              <w:jc w:val="left"/>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5.投标（</w:t>
            </w:r>
            <w:r>
              <w:rPr>
                <w:rFonts w:hint="eastAsia" w:ascii="宋体" w:hAnsi="宋体" w:eastAsia="宋体" w:cs="Times New Roman"/>
                <w:color w:val="auto"/>
                <w:sz w:val="24"/>
                <w:szCs w:val="24"/>
                <w:highlight w:val="none"/>
              </w:rPr>
              <w:t>响应</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文件编制部分：在招标文件中要求</w:t>
            </w:r>
            <w:r>
              <w:rPr>
                <w:rFonts w:hint="eastAsia" w:ascii="宋体" w:hAnsi="宋体" w:cs="宋体"/>
                <w:color w:val="auto"/>
                <w:kern w:val="0"/>
                <w:sz w:val="24"/>
                <w:szCs w:val="24"/>
                <w:lang w:val="en-US" w:eastAsia="zh-CN"/>
              </w:rPr>
              <w:t>供应商</w:t>
            </w:r>
            <w:r>
              <w:rPr>
                <w:rFonts w:hint="eastAsia" w:ascii="宋体" w:hAnsi="宋体" w:eastAsia="宋体" w:cs="Times New Roman"/>
                <w:color w:val="auto"/>
                <w:sz w:val="24"/>
                <w:szCs w:val="24"/>
                <w:highlight w:val="none"/>
              </w:rPr>
              <w:t>按照投标（响应）文件格式进行投标文件编制，在投标文件编制时，应明确将投标单位企业基本情况编入投标文件，便于进行资格审查及评标打分。</w:t>
            </w:r>
          </w:p>
        </w:tc>
      </w:tr>
      <w:tr w14:paraId="053A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095" w:type="dxa"/>
            <w:noWrap w:val="0"/>
            <w:vAlign w:val="center"/>
          </w:tcPr>
          <w:p w14:paraId="3792603F">
            <w:pPr>
              <w:pStyle w:val="16"/>
              <w:ind w:left="0" w:leftChars="0" w:firstLine="0" w:firstLineChars="0"/>
              <w:jc w:val="center"/>
              <w:rPr>
                <w:rFonts w:hint="default"/>
                <w:color w:val="auto"/>
                <w:lang w:val="en-US" w:eastAsia="zh-CN"/>
              </w:rPr>
            </w:pPr>
            <w:r>
              <w:rPr>
                <w:rFonts w:hint="eastAsia" w:ascii="宋体" w:hAnsi="宋体" w:eastAsia="宋体" w:cs="宋体"/>
                <w:color w:val="auto"/>
                <w:kern w:val="2"/>
                <w:sz w:val="24"/>
                <w:szCs w:val="24"/>
                <w:lang w:val="en-US" w:eastAsia="zh-CN" w:bidi="ar"/>
              </w:rPr>
              <w:t>34</w:t>
            </w:r>
          </w:p>
        </w:tc>
        <w:tc>
          <w:tcPr>
            <w:tcW w:w="1864" w:type="dxa"/>
            <w:noWrap w:val="0"/>
            <w:vAlign w:val="center"/>
          </w:tcPr>
          <w:p w14:paraId="75492ACF">
            <w:pPr>
              <w:widowControl/>
              <w:spacing w:line="460" w:lineRule="exact"/>
              <w:jc w:val="center"/>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rPr>
              <w:t>电子化交易</w:t>
            </w:r>
          </w:p>
          <w:p w14:paraId="3BB44E27">
            <w:pPr>
              <w:spacing w:line="400" w:lineRule="exact"/>
              <w:rPr>
                <w:rFonts w:hint="eastAsia" w:ascii="宋体" w:hAnsi="宋体" w:eastAsia="宋体" w:cs="Times New Roman"/>
                <w:color w:val="auto"/>
                <w:sz w:val="24"/>
                <w:szCs w:val="24"/>
              </w:rPr>
            </w:pPr>
            <w:r>
              <w:rPr>
                <w:rFonts w:hint="eastAsia" w:ascii="宋体" w:hAnsi="宋体" w:eastAsia="宋体" w:cs="Times New Roman"/>
                <w:color w:val="auto"/>
                <w:kern w:val="0"/>
                <w:sz w:val="24"/>
                <w:szCs w:val="24"/>
              </w:rPr>
              <w:t>注意事项</w:t>
            </w:r>
          </w:p>
        </w:tc>
        <w:tc>
          <w:tcPr>
            <w:tcW w:w="6924" w:type="dxa"/>
            <w:noWrap w:val="0"/>
            <w:vAlign w:val="center"/>
          </w:tcPr>
          <w:p w14:paraId="2527364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具体要求：本项目为电子化、无纸化交易项目，</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制作系统制作，并经过签章和加密后生成的电子版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w:t>
            </w:r>
          </w:p>
          <w:p w14:paraId="346B47B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具体制作文件请点击http://gzjy.smx.gov.cn/fwzn/004003/20200330/0de4b849-7eb7-4f4e-9a30-ae8b6a961d7f.html进行下载。</w:t>
            </w:r>
          </w:p>
          <w:p w14:paraId="6EFC2B0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温馨提示：本项目为电子化、无纸化交易项目，为保证您能投标成功，请需仔细阅读以下条款。</w:t>
            </w:r>
          </w:p>
          <w:p w14:paraId="42E4BB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b/>
                <w:color w:val="auto"/>
                <w:sz w:val="24"/>
                <w:szCs w:val="21"/>
              </w:rPr>
              <w:t>一、电子化投标</w:t>
            </w:r>
          </w:p>
          <w:p w14:paraId="3F65E3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（一）网上</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保证金的缴纳</w:t>
            </w:r>
          </w:p>
          <w:p w14:paraId="129371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Times New Roman"/>
                <w:color w:val="auto"/>
                <w:sz w:val="24"/>
                <w:szCs w:val="24"/>
              </w:rPr>
              <w:t>根据《河南省财政厅关于优化政府采购营商环境有关问题的通知》（豫财购【2019】4号）第6条的规定，</w:t>
            </w:r>
            <w:r>
              <w:rPr>
                <w:rFonts w:hint="eastAsia" w:ascii="宋体" w:hAnsi="宋体" w:cs="Times New Roman"/>
                <w:color w:val="auto"/>
                <w:sz w:val="24"/>
                <w:szCs w:val="24"/>
                <w:lang w:val="en-US" w:eastAsia="zh-CN"/>
              </w:rPr>
              <w:t>投标</w:t>
            </w:r>
            <w:r>
              <w:rPr>
                <w:rFonts w:hint="eastAsia" w:ascii="宋体" w:hAnsi="宋体" w:eastAsia="宋体" w:cs="Times New Roman"/>
                <w:color w:val="auto"/>
                <w:sz w:val="24"/>
                <w:szCs w:val="24"/>
              </w:rPr>
              <w:t>保证金不再收取</w:t>
            </w:r>
            <w:r>
              <w:rPr>
                <w:rFonts w:hint="eastAsia" w:ascii="宋体" w:hAnsi="宋体" w:eastAsia="宋体" w:cs="宋体"/>
                <w:color w:val="auto"/>
                <w:sz w:val="24"/>
                <w:szCs w:val="21"/>
              </w:rPr>
              <w:t>。</w:t>
            </w:r>
          </w:p>
          <w:p w14:paraId="39F6F4A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（二）电子化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的签章</w:t>
            </w:r>
          </w:p>
          <w:p w14:paraId="73FA16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在生成电子化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后，应对电子化</w:t>
            </w:r>
            <w:r>
              <w:rPr>
                <w:rFonts w:hint="eastAsia" w:ascii="宋体" w:hAnsi="宋体" w:cs="宋体"/>
                <w:color w:val="auto"/>
                <w:sz w:val="24"/>
                <w:szCs w:val="21"/>
                <w:lang w:val="en-US" w:eastAsia="zh-CN"/>
              </w:rPr>
              <w:t>投标（</w:t>
            </w:r>
            <w:r>
              <w:rPr>
                <w:rFonts w:hint="eastAsia" w:ascii="宋体" w:hAnsi="宋体" w:eastAsia="宋体" w:cs="宋体"/>
                <w:color w:val="auto"/>
                <w:sz w:val="24"/>
                <w:szCs w:val="21"/>
              </w:rPr>
              <w:t>响应</w:t>
            </w:r>
            <w:r>
              <w:rPr>
                <w:rFonts w:hint="eastAsia" w:ascii="宋体" w:hAnsi="宋体" w:cs="宋体"/>
                <w:color w:val="auto"/>
                <w:sz w:val="24"/>
                <w:szCs w:val="21"/>
                <w:lang w:val="en-US" w:eastAsia="zh-CN"/>
              </w:rPr>
              <w:t>）</w:t>
            </w:r>
            <w:r>
              <w:rPr>
                <w:rFonts w:hint="eastAsia" w:ascii="宋体" w:hAnsi="宋体" w:eastAsia="宋体" w:cs="宋体"/>
                <w:color w:val="auto"/>
                <w:sz w:val="24"/>
                <w:szCs w:val="21"/>
              </w:rPr>
              <w:t>文件进行签章，未进行签章的视为无效投标。</w:t>
            </w:r>
          </w:p>
          <w:p w14:paraId="701DA2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cs="宋体"/>
                <w:b/>
                <w:color w:val="auto"/>
                <w:sz w:val="24"/>
                <w:szCs w:val="21"/>
                <w:lang w:eastAsia="zh-CN"/>
              </w:rPr>
              <w:t>招标文件</w:t>
            </w:r>
            <w:r>
              <w:rPr>
                <w:rFonts w:hint="eastAsia" w:ascii="宋体" w:hAnsi="宋体" w:eastAsia="宋体" w:cs="宋体"/>
                <w:b/>
                <w:color w:val="auto"/>
                <w:sz w:val="24"/>
                <w:szCs w:val="21"/>
              </w:rPr>
              <w:t>中要求</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盖章的，以签盖单位章为准；要求法定代表人或授权代理人签章的，以签盖法定代表人签章为准</w:t>
            </w:r>
            <w:r>
              <w:rPr>
                <w:rFonts w:hint="eastAsia" w:ascii="宋体" w:hAnsi="宋体" w:eastAsia="宋体" w:cs="宋体"/>
                <w:color w:val="auto"/>
                <w:sz w:val="24"/>
                <w:szCs w:val="21"/>
              </w:rPr>
              <w:t>。</w:t>
            </w:r>
          </w:p>
          <w:p w14:paraId="7D9D3BE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（三）电子化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的格式及上传投标</w:t>
            </w:r>
          </w:p>
          <w:p w14:paraId="21C134C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所上传的电子化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，应是通过中心</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制作系统制作的，经过签章和加密后生成的电子版</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。其中包含用于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上传的主文件（后缀为.smxtf）和用于应急补救的</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备份文件（后缀为.nsmxtf）。</w:t>
            </w:r>
          </w:p>
          <w:p w14:paraId="7D8502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应在投标截止时间前成功上传至三门峡市公共资源电子化交易系统。至投标截止时间止，仍未上传成功的电子化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w:t>
            </w:r>
          </w:p>
          <w:p w14:paraId="48EBEDF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b/>
                <w:color w:val="auto"/>
                <w:sz w:val="24"/>
                <w:szCs w:val="21"/>
              </w:rPr>
              <w:t>注：</w:t>
            </w:r>
            <w:r>
              <w:rPr>
                <w:rFonts w:hint="eastAsia" w:ascii="宋体" w:hAnsi="宋体" w:eastAsia="宋体" w:cs="宋体"/>
                <w:color w:val="auto"/>
                <w:sz w:val="24"/>
                <w:szCs w:val="21"/>
              </w:rPr>
              <w:t>如按照电子化投标操作教材制作完成的电子化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无法上传的，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应在</w:t>
            </w:r>
            <w:r>
              <w:rPr>
                <w:rFonts w:hint="eastAsia" w:ascii="宋体" w:hAnsi="宋体" w:eastAsia="宋体" w:cs="宋体"/>
                <w:b/>
                <w:color w:val="auto"/>
                <w:sz w:val="24"/>
                <w:szCs w:val="21"/>
              </w:rPr>
              <w:t>投标截止时间前尽早的</w:t>
            </w:r>
            <w:r>
              <w:rPr>
                <w:rFonts w:hint="eastAsia" w:ascii="宋体" w:hAnsi="宋体" w:eastAsia="宋体" w:cs="宋体"/>
                <w:color w:val="auto"/>
                <w:sz w:val="24"/>
                <w:szCs w:val="21"/>
              </w:rPr>
              <w:t>联系中心技术人员，以便有充分的时间进行处理。</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应充分考虑到处理技术问题和上传数据等工作所需的时间问题，</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未在投标截止时间前成功上传的，其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w:t>
            </w:r>
          </w:p>
          <w:p w14:paraId="7729BD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（四）电子化项目开标、解密、唱标、评标</w:t>
            </w:r>
          </w:p>
          <w:p w14:paraId="7BFC14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1、本项目采用</w:t>
            </w:r>
            <w:r>
              <w:rPr>
                <w:rFonts w:hint="eastAsia" w:ascii="宋体" w:hAnsi="宋体" w:eastAsia="宋体" w:cs="宋体"/>
                <w:b/>
                <w:color w:val="auto"/>
                <w:sz w:val="24"/>
                <w:szCs w:val="21"/>
              </w:rPr>
              <w:t>电子化、无纸化</w:t>
            </w:r>
            <w:r>
              <w:rPr>
                <w:rFonts w:hint="eastAsia" w:ascii="宋体" w:hAnsi="宋体" w:eastAsia="宋体" w:cs="宋体"/>
                <w:color w:val="auto"/>
                <w:sz w:val="24"/>
                <w:szCs w:val="21"/>
              </w:rPr>
              <w:t>进行招标，开标当日，</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无需到开标现场参加开标会议，</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应当在投标截止时间前，登陆不见面开标大厅选择登陆三门峡市公共资源电子招投标系统进行登陆,在线准时参加开标活动并进行</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解密等</w:t>
            </w:r>
          </w:p>
          <w:p w14:paraId="042810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采用一次加密方式。开标时，由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使用CA 证书，在规定时间内对其电子化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进行解密。每位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的解密时间为开标时间起30 分钟内，如在规定时间内未完成解密的，其</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不予开标、唱标。</w:t>
            </w:r>
          </w:p>
          <w:p w14:paraId="41CBF6F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color w:val="auto"/>
                <w:sz w:val="24"/>
                <w:szCs w:val="21"/>
              </w:rPr>
            </w:pPr>
            <w:r>
              <w:rPr>
                <w:rFonts w:hint="eastAsia" w:ascii="宋体" w:hAnsi="宋体" w:eastAsia="宋体" w:cs="宋体"/>
                <w:color w:val="auto"/>
                <w:sz w:val="24"/>
                <w:szCs w:val="21"/>
              </w:rPr>
              <w:t>3、电子化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解密异常的处理</w:t>
            </w:r>
          </w:p>
          <w:p w14:paraId="78AB790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如出现</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的电子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无法解密等异常情况，</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应及时致电中介服务机构说明。</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异常，按以下步骤进行处理：</w:t>
            </w:r>
          </w:p>
          <w:p w14:paraId="352D248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（1）首先由技术人员进行问题排查。</w:t>
            </w:r>
          </w:p>
          <w:p w14:paraId="70C00E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（2）经技术人员排查后，是</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文件自身问题导致</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无法解密的，该</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将不予接收、解密和唱标。开标会议继续进行。</w:t>
            </w:r>
          </w:p>
          <w:p w14:paraId="5CA47D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（3）经技术人员排查后，如果是电子化交易系统问题造成</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无法解密的，将由技术人员对问题进行处理。如短时间内问题无法解决的，将由中介服务机构向监督部门申请，经监督部门同意后，暂停开标会议，待问题解决后继续开标。</w:t>
            </w:r>
          </w:p>
          <w:p w14:paraId="5904D25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4、待所有</w:t>
            </w:r>
            <w:r>
              <w:rPr>
                <w:rFonts w:hint="eastAsia" w:ascii="宋体" w:hAnsi="宋体" w:cs="宋体"/>
                <w:color w:val="auto"/>
                <w:sz w:val="24"/>
                <w:szCs w:val="21"/>
                <w:lang w:eastAsia="zh-CN"/>
              </w:rPr>
              <w:t>投标人（供应商）投标文件</w:t>
            </w:r>
            <w:r>
              <w:rPr>
                <w:rFonts w:hint="eastAsia" w:ascii="宋体" w:hAnsi="宋体" w:eastAsia="宋体" w:cs="宋体"/>
                <w:color w:val="auto"/>
                <w:sz w:val="24"/>
                <w:szCs w:val="21"/>
              </w:rPr>
              <w:t>解密完成后，由中介服务机构操作，对所有已解密</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进行唱标。</w:t>
            </w:r>
          </w:p>
          <w:p w14:paraId="1882468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应保证在开标期间电话、电脑、网络能够正常工作，</w:t>
            </w:r>
            <w:r>
              <w:rPr>
                <w:rFonts w:hint="eastAsia" w:ascii="宋体" w:hAnsi="宋体" w:cs="宋体"/>
                <w:b/>
                <w:color w:val="auto"/>
                <w:sz w:val="24"/>
                <w:szCs w:val="21"/>
                <w:lang w:eastAsia="zh-CN"/>
              </w:rPr>
              <w:t>投标人（供应商）</w:t>
            </w:r>
            <w:r>
              <w:rPr>
                <w:rFonts w:hint="eastAsia" w:ascii="宋体" w:hAnsi="宋体" w:eastAsia="宋体" w:cs="宋体"/>
                <w:b/>
                <w:color w:val="auto"/>
                <w:sz w:val="24"/>
                <w:szCs w:val="21"/>
              </w:rPr>
              <w:t>因停电、电脑病毒、网络堵塞等原因，未在规定的解密时间内对</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进行解密的，其</w:t>
            </w:r>
            <w:r>
              <w:rPr>
                <w:rFonts w:hint="eastAsia" w:ascii="宋体" w:hAnsi="宋体" w:cs="宋体"/>
                <w:b/>
                <w:color w:val="auto"/>
                <w:sz w:val="24"/>
                <w:szCs w:val="21"/>
                <w:lang w:eastAsia="zh-CN"/>
              </w:rPr>
              <w:t>投标文件</w:t>
            </w:r>
            <w:r>
              <w:rPr>
                <w:rFonts w:hint="eastAsia" w:ascii="宋体" w:hAnsi="宋体" w:eastAsia="宋体" w:cs="宋体"/>
                <w:b/>
                <w:color w:val="auto"/>
                <w:sz w:val="24"/>
                <w:szCs w:val="21"/>
              </w:rPr>
              <w:t>不予接收、唱标。</w:t>
            </w:r>
          </w:p>
          <w:p w14:paraId="1DBAE37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5</w:t>
            </w:r>
            <w:r>
              <w:rPr>
                <w:rFonts w:hint="eastAsia" w:ascii="宋体" w:hAnsi="宋体" w:eastAsia="宋体" w:cs="宋体"/>
                <w:color w:val="auto"/>
                <w:sz w:val="24"/>
                <w:szCs w:val="21"/>
              </w:rPr>
              <w:t>、评标时，评标委员会对电子化</w:t>
            </w:r>
            <w:r>
              <w:rPr>
                <w:rFonts w:hint="eastAsia" w:ascii="宋体" w:hAnsi="宋体" w:cs="宋体"/>
                <w:color w:val="auto"/>
                <w:sz w:val="24"/>
                <w:szCs w:val="21"/>
                <w:lang w:eastAsia="zh-CN"/>
              </w:rPr>
              <w:t>投标文件</w:t>
            </w:r>
            <w:r>
              <w:rPr>
                <w:rFonts w:hint="eastAsia" w:ascii="宋体" w:hAnsi="宋体" w:eastAsia="宋体" w:cs="宋体"/>
                <w:color w:val="auto"/>
                <w:sz w:val="24"/>
                <w:szCs w:val="21"/>
              </w:rPr>
              <w:t>有质疑的，将通过电子化交易系统对</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发起质疑，并在监督人员的监督下，用免提模式致电需要答复的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对质疑进行回复。</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的回复文件必须以经过</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和其法定代表人签章的PDF格式文件为准，并通过电子化交易系统提交至评标委员会。</w:t>
            </w:r>
          </w:p>
          <w:p w14:paraId="2A34352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ascii="宋体" w:hAnsi="宋体" w:eastAsia="宋体" w:cs="宋体"/>
                <w:color w:val="auto"/>
                <w:sz w:val="24"/>
                <w:szCs w:val="21"/>
              </w:rPr>
              <w:t>6</w:t>
            </w:r>
            <w:r>
              <w:rPr>
                <w:rFonts w:hint="eastAsia" w:ascii="宋体" w:hAnsi="宋体" w:eastAsia="宋体" w:cs="宋体"/>
                <w:color w:val="auto"/>
                <w:sz w:val="24"/>
                <w:szCs w:val="21"/>
              </w:rPr>
              <w:t>、如评标委员会对需要回复的</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连续三次致电未接通的，视为</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放弃回复，评标委员会将自行对需要回复的内容进行认定。</w:t>
            </w:r>
          </w:p>
          <w:p w14:paraId="3B1BC75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b/>
                <w:bCs/>
                <w:color w:val="auto"/>
                <w:sz w:val="24"/>
                <w:szCs w:val="21"/>
              </w:rPr>
            </w:pPr>
            <w:r>
              <w:rPr>
                <w:rFonts w:hint="eastAsia" w:ascii="宋体" w:hAnsi="宋体" w:eastAsia="宋体" w:cs="宋体"/>
                <w:b/>
                <w:bCs/>
                <w:color w:val="auto"/>
                <w:sz w:val="24"/>
                <w:szCs w:val="21"/>
              </w:rPr>
              <w:t>二、相关证书原件的提交</w:t>
            </w:r>
          </w:p>
          <w:p w14:paraId="3E67ED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ascii="宋体" w:hAnsi="宋体" w:eastAsia="宋体" w:cs="宋体"/>
                <w:color w:val="auto"/>
                <w:sz w:val="24"/>
                <w:szCs w:val="21"/>
              </w:rPr>
            </w:pPr>
            <w:r>
              <w:rPr>
                <w:rFonts w:hint="eastAsia" w:ascii="宋体" w:hAnsi="宋体" w:eastAsia="宋体" w:cs="宋体"/>
                <w:color w:val="auto"/>
                <w:sz w:val="24"/>
                <w:szCs w:val="21"/>
              </w:rPr>
              <w:t>本项目实行资格后审，以投标文件为准，其上传资料真实性由</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自行承担，同时，</w:t>
            </w:r>
            <w:r>
              <w:rPr>
                <w:rFonts w:hint="eastAsia" w:ascii="宋体" w:hAnsi="宋体" w:cs="宋体"/>
                <w:color w:val="auto"/>
                <w:sz w:val="24"/>
                <w:szCs w:val="21"/>
                <w:lang w:eastAsia="zh-CN"/>
              </w:rPr>
              <w:t>投标人（供应商）</w:t>
            </w:r>
            <w:r>
              <w:rPr>
                <w:rFonts w:hint="eastAsia" w:ascii="宋体" w:hAnsi="宋体" w:eastAsia="宋体" w:cs="宋体"/>
                <w:color w:val="auto"/>
                <w:sz w:val="24"/>
                <w:szCs w:val="21"/>
              </w:rPr>
              <w:t>要完善主体库。</w:t>
            </w:r>
          </w:p>
          <w:p w14:paraId="3094D6AD">
            <w:pPr>
              <w:pStyle w:val="17"/>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Times New Roman"/>
                <w:b/>
                <w:color w:val="auto"/>
                <w:kern w:val="1"/>
                <w:sz w:val="24"/>
                <w:szCs w:val="24"/>
              </w:rPr>
            </w:pPr>
            <w:r>
              <w:rPr>
                <w:rFonts w:hint="eastAsia" w:ascii="宋体" w:hAnsi="宋体" w:eastAsia="宋体" w:cs="宋体"/>
                <w:b/>
                <w:color w:val="auto"/>
                <w:sz w:val="24"/>
                <w:szCs w:val="21"/>
              </w:rPr>
              <w:t>提示：本项目为电子化、无纸化交易项目，为保证您能投标成功，请需仔细阅读以上条款。</w:t>
            </w:r>
          </w:p>
        </w:tc>
      </w:tr>
      <w:tr w14:paraId="1067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0E79519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34</w:t>
            </w:r>
          </w:p>
        </w:tc>
        <w:tc>
          <w:tcPr>
            <w:tcW w:w="1864" w:type="dxa"/>
            <w:noWrap w:val="0"/>
            <w:vAlign w:val="center"/>
          </w:tcPr>
          <w:p w14:paraId="284F386D">
            <w:pPr>
              <w:autoSpaceDE w:val="0"/>
              <w:autoSpaceDN w:val="0"/>
              <w:adjustRightInd w:val="0"/>
              <w:spacing w:before="48" w:line="360" w:lineRule="auto"/>
              <w:ind w:right="-20" w:right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实质</w:t>
            </w:r>
            <w:r>
              <w:rPr>
                <w:rFonts w:hint="eastAsia" w:ascii="宋体" w:hAnsi="宋体" w:cs="宋体"/>
                <w:color w:val="auto"/>
                <w:spacing w:val="-2"/>
                <w:kern w:val="0"/>
                <w:sz w:val="24"/>
                <w:szCs w:val="24"/>
                <w:highlight w:val="none"/>
              </w:rPr>
              <w:t>性</w:t>
            </w:r>
            <w:r>
              <w:rPr>
                <w:rFonts w:hint="eastAsia" w:ascii="宋体" w:hAnsi="宋体" w:cs="宋体"/>
                <w:color w:val="auto"/>
                <w:kern w:val="0"/>
                <w:sz w:val="24"/>
                <w:szCs w:val="24"/>
                <w:highlight w:val="none"/>
              </w:rPr>
              <w:t>要</w:t>
            </w:r>
            <w:r>
              <w:rPr>
                <w:rFonts w:hint="eastAsia" w:ascii="宋体" w:hAnsi="宋体" w:cs="宋体"/>
                <w:color w:val="auto"/>
                <w:spacing w:val="-2"/>
                <w:kern w:val="0"/>
                <w:sz w:val="24"/>
                <w:szCs w:val="24"/>
                <w:highlight w:val="none"/>
              </w:rPr>
              <w:t>求</w:t>
            </w:r>
            <w:r>
              <w:rPr>
                <w:rFonts w:hint="eastAsia" w:ascii="宋体" w:hAnsi="宋体" w:cs="宋体"/>
                <w:color w:val="auto"/>
                <w:kern w:val="0"/>
                <w:sz w:val="24"/>
                <w:szCs w:val="24"/>
                <w:highlight w:val="none"/>
              </w:rPr>
              <w:t>和</w:t>
            </w:r>
            <w:r>
              <w:rPr>
                <w:rFonts w:hint="eastAsia" w:ascii="宋体" w:hAnsi="宋体" w:cs="宋体"/>
                <w:color w:val="auto"/>
                <w:spacing w:val="-2"/>
                <w:kern w:val="0"/>
                <w:sz w:val="24"/>
                <w:szCs w:val="24"/>
                <w:highlight w:val="none"/>
              </w:rPr>
              <w:t>条</w:t>
            </w:r>
            <w:r>
              <w:rPr>
                <w:rFonts w:hint="eastAsia" w:ascii="宋体" w:hAnsi="宋体" w:cs="宋体"/>
                <w:color w:val="auto"/>
                <w:kern w:val="0"/>
                <w:sz w:val="24"/>
                <w:szCs w:val="24"/>
                <w:highlight w:val="none"/>
              </w:rPr>
              <w:t>件</w:t>
            </w:r>
          </w:p>
        </w:tc>
        <w:tc>
          <w:tcPr>
            <w:tcW w:w="6924" w:type="dxa"/>
            <w:noWrap w:val="0"/>
            <w:vAlign w:val="top"/>
          </w:tcPr>
          <w:p w14:paraId="623F573F">
            <w:pPr>
              <w:tabs>
                <w:tab w:val="left" w:pos="0"/>
              </w:tabs>
              <w:adjustRightInd w:val="0"/>
              <w:snapToGrid w:val="0"/>
              <w:spacing w:line="360" w:lineRule="auto"/>
              <w:rPr>
                <w:rFonts w:hint="eastAsia" w:ascii="宋体" w:hAnsi="宋体" w:eastAsia="宋体" w:cs="宋体"/>
                <w:color w:val="auto"/>
                <w:kern w:val="0"/>
                <w:sz w:val="24"/>
                <w:szCs w:val="24"/>
                <w:highlight w:val="none"/>
                <w:lang w:val="en-US" w:eastAsia="zh-CN"/>
              </w:rPr>
            </w:pPr>
            <w:r>
              <w:rPr>
                <w:rFonts w:hint="eastAsia" w:ascii="宋体" w:hAnsi="宋体" w:cs="宋体"/>
                <w:b/>
                <w:color w:val="auto"/>
                <w:kern w:val="0"/>
                <w:sz w:val="24"/>
                <w:szCs w:val="24"/>
                <w:highlight w:val="none"/>
              </w:rPr>
              <w:t>投标无效条款；招标文件中用“拒绝”、“不（予）接受”、“不得”、“不允许偏离”、“否决”等文字规定的条款</w:t>
            </w:r>
            <w:r>
              <w:rPr>
                <w:rFonts w:hint="eastAsia" w:ascii="宋体" w:hAnsi="宋体" w:cs="宋体"/>
                <w:color w:val="auto"/>
                <w:sz w:val="24"/>
                <w:szCs w:val="24"/>
                <w:highlight w:val="none"/>
              </w:rPr>
              <w:t>；</w:t>
            </w:r>
            <w:r>
              <w:rPr>
                <w:rFonts w:hint="eastAsia" w:ascii="宋体" w:hAnsi="宋体" w:cs="宋体"/>
                <w:b/>
                <w:color w:val="auto"/>
                <w:kern w:val="0"/>
                <w:sz w:val="24"/>
                <w:szCs w:val="24"/>
                <w:highlight w:val="none"/>
              </w:rPr>
              <w:t>法律、法规、规章的相关规定。</w:t>
            </w:r>
          </w:p>
        </w:tc>
      </w:tr>
      <w:tr w14:paraId="7DA6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0D9624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35</w:t>
            </w:r>
          </w:p>
        </w:tc>
        <w:tc>
          <w:tcPr>
            <w:tcW w:w="1864" w:type="dxa"/>
            <w:noWrap w:val="0"/>
            <w:vAlign w:val="center"/>
          </w:tcPr>
          <w:p w14:paraId="07BDE276">
            <w:pPr>
              <w:pStyle w:val="10"/>
              <w:spacing w:line="360" w:lineRule="auto"/>
              <w:jc w:val="center"/>
              <w:rPr>
                <w:rFonts w:hint="eastAsia" w:ascii="宋体" w:hAnsi="宋体" w:cs="宋体"/>
                <w:color w:val="auto"/>
                <w:kern w:val="0"/>
                <w:sz w:val="24"/>
                <w:szCs w:val="24"/>
                <w:highlight w:val="none"/>
              </w:rPr>
            </w:pPr>
            <w:r>
              <w:rPr>
                <w:rFonts w:hint="eastAsia" w:hAnsi="宋体" w:cs="宋体"/>
                <w:color w:val="auto"/>
                <w:kern w:val="0"/>
                <w:sz w:val="24"/>
                <w:szCs w:val="24"/>
                <w:highlight w:val="none"/>
                <w:lang w:val="en-US" w:eastAsia="zh-CN"/>
              </w:rPr>
              <w:t>偏差</w:t>
            </w:r>
          </w:p>
        </w:tc>
        <w:tc>
          <w:tcPr>
            <w:tcW w:w="6924" w:type="dxa"/>
            <w:noWrap w:val="0"/>
            <w:vAlign w:val="top"/>
          </w:tcPr>
          <w:p w14:paraId="58FB0307">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不允许。不允许偏离的情形，如有一项偏离，视为无效投标文件：（1）未按照投标文件格式要求进行电子签章或签字的；</w:t>
            </w:r>
          </w:p>
          <w:p w14:paraId="2B47C273">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（2）不符合招标文件中“供应商资格要求”的；</w:t>
            </w:r>
          </w:p>
          <w:p w14:paraId="5EB12DAD">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（3）投标报价超过采购预算金额或超过最高限价的；</w:t>
            </w:r>
          </w:p>
          <w:p w14:paraId="562E57AC">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（4）投标有效期低于招标文件规定的期限；</w:t>
            </w:r>
          </w:p>
          <w:p w14:paraId="5F1BD19A">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（5）交货期超过招标文件规定的期限；</w:t>
            </w:r>
          </w:p>
          <w:p w14:paraId="7927A897">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（6）投标文件中有采购人明显不能接受的不合理条件或损害采购人权利的；</w:t>
            </w:r>
          </w:p>
          <w:p w14:paraId="4EA829A5">
            <w:pPr>
              <w:pStyle w:val="10"/>
              <w:spacing w:line="360" w:lineRule="auto"/>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（7）法律、法规和采购文件规定的其他无效情形。</w:t>
            </w:r>
          </w:p>
        </w:tc>
      </w:tr>
      <w:tr w14:paraId="42380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49CDE4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36</w:t>
            </w:r>
          </w:p>
        </w:tc>
        <w:tc>
          <w:tcPr>
            <w:tcW w:w="1864" w:type="dxa"/>
            <w:noWrap w:val="0"/>
            <w:vAlign w:val="center"/>
          </w:tcPr>
          <w:p w14:paraId="29F038C3">
            <w:pPr>
              <w:pStyle w:val="10"/>
              <w:spacing w:line="360" w:lineRule="auto"/>
              <w:jc w:val="center"/>
              <w:rPr>
                <w:rFonts w:hint="eastAsia" w:hAnsi="宋体" w:cs="宋体"/>
                <w:color w:val="auto"/>
                <w:kern w:val="0"/>
                <w:sz w:val="24"/>
                <w:szCs w:val="24"/>
                <w:highlight w:val="none"/>
                <w:lang w:val="en-US" w:eastAsia="zh-CN"/>
              </w:rPr>
            </w:pPr>
            <w:r>
              <w:rPr>
                <w:rFonts w:hint="eastAsia" w:ascii="宋体" w:hAnsi="宋体" w:eastAsia="宋体" w:cs="宋体"/>
                <w:color w:val="auto"/>
                <w:kern w:val="0"/>
                <w:sz w:val="24"/>
                <w:szCs w:val="24"/>
              </w:rPr>
              <w:t>重新采购</w:t>
            </w:r>
          </w:p>
        </w:tc>
        <w:tc>
          <w:tcPr>
            <w:tcW w:w="6924" w:type="dxa"/>
            <w:noWrap w:val="0"/>
            <w:vAlign w:val="top"/>
          </w:tcPr>
          <w:p w14:paraId="403DAA36">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有下列情形之一的，采购人将重新采购：</w:t>
            </w:r>
          </w:p>
          <w:p w14:paraId="727EECBA">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（1）投标截止时间止，供应商少于3个的；</w:t>
            </w:r>
          </w:p>
          <w:p w14:paraId="34CFE337">
            <w:pPr>
              <w:wordWrap w:val="0"/>
              <w:autoSpaceDE w:val="0"/>
              <w:autoSpaceDN w:val="0"/>
              <w:adjustRightInd w:val="0"/>
              <w:spacing w:line="360" w:lineRule="auto"/>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（2）经评标委员会评审后否决所有投标的；</w:t>
            </w:r>
          </w:p>
          <w:p w14:paraId="10B65BFD">
            <w:pPr>
              <w:pStyle w:val="10"/>
              <w:spacing w:line="360" w:lineRule="auto"/>
              <w:rPr>
                <w:rFonts w:hint="eastAsia" w:hAnsi="宋体" w:cs="宋体"/>
                <w:b/>
                <w:color w:val="auto"/>
                <w:kern w:val="0"/>
                <w:sz w:val="24"/>
                <w:szCs w:val="24"/>
                <w:highlight w:val="none"/>
                <w:lang w:val="en-US" w:eastAsia="zh-CN"/>
              </w:rPr>
            </w:pPr>
            <w:r>
              <w:rPr>
                <w:rFonts w:hint="eastAsia" w:ascii="宋体" w:hAnsi="宋体" w:eastAsia="宋体" w:cs="宋体"/>
                <w:color w:val="auto"/>
                <w:kern w:val="0"/>
                <w:sz w:val="24"/>
                <w:szCs w:val="24"/>
              </w:rPr>
              <w:t>（3）中标或者成交供应商拒绝与采购人签订合同的，采购人可以按照评审报告推荐的中标或者成交候选人名单排序，确定下一候选人为中标或者成交供应商，也可以重新开展政府采购活动。</w:t>
            </w:r>
          </w:p>
        </w:tc>
      </w:tr>
      <w:tr w14:paraId="6A52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95" w:type="dxa"/>
            <w:noWrap w:val="0"/>
            <w:vAlign w:val="center"/>
          </w:tcPr>
          <w:p w14:paraId="250CAB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37</w:t>
            </w:r>
          </w:p>
        </w:tc>
        <w:tc>
          <w:tcPr>
            <w:tcW w:w="1864" w:type="dxa"/>
            <w:noWrap w:val="0"/>
            <w:vAlign w:val="center"/>
          </w:tcPr>
          <w:p w14:paraId="436317F9">
            <w:pPr>
              <w:pStyle w:val="10"/>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解释</w:t>
            </w:r>
          </w:p>
        </w:tc>
        <w:tc>
          <w:tcPr>
            <w:tcW w:w="6924" w:type="dxa"/>
            <w:noWrap w:val="0"/>
            <w:vAlign w:val="top"/>
          </w:tcPr>
          <w:p w14:paraId="2621432B">
            <w:pPr>
              <w:pStyle w:val="1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构成本招标文件的各个组成文件应互为解释，互为说明；如有不明确或不一致，构成合同文件组成内容的，以合同文件约定内容为准；除招标文件中有特殊规定外，仅适用于招标投标阶段的规定，按招标公告、供应商须知、评标办法、投标文件格式的先后顺序解释；同一组成文件中就同一事项的规定或约定不一致的，以编排顺序在后者为准；当招标文件与招标文件的澄清、修改或补充通知就同一内容的表述不一致时，以最后发出的书面文件为准。合同文件约定或后者明显错误的除外。</w:t>
            </w:r>
          </w:p>
          <w:p w14:paraId="4EBC83FC">
            <w:pPr>
              <w:pStyle w:val="1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按本款前述规定仍不能形成结论的，由采购人（或采购代理机构）负责解释。</w:t>
            </w:r>
          </w:p>
        </w:tc>
      </w:tr>
    </w:tbl>
    <w:p w14:paraId="0D814A61">
      <w:pPr>
        <w:pStyle w:val="4"/>
        <w:snapToGrid w:val="0"/>
        <w:spacing w:before="156" w:beforeLines="50" w:after="156" w:afterLines="50" w:line="240" w:lineRule="auto"/>
        <w:ind w:firstLine="482"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总则</w:t>
      </w:r>
      <w:bookmarkEnd w:id="7"/>
      <w:bookmarkEnd w:id="8"/>
      <w:bookmarkEnd w:id="9"/>
      <w:bookmarkEnd w:id="10"/>
      <w:bookmarkEnd w:id="11"/>
      <w:bookmarkEnd w:id="12"/>
    </w:p>
    <w:p w14:paraId="18A6B42A">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3" w:name="_Toc307905036"/>
      <w:r>
        <w:rPr>
          <w:rFonts w:hint="eastAsia" w:ascii="宋体" w:hAnsi="宋体" w:eastAsia="宋体" w:cs="宋体"/>
          <w:color w:val="auto"/>
          <w:sz w:val="24"/>
          <w:szCs w:val="24"/>
        </w:rPr>
        <w:t>1.1 项目概况</w:t>
      </w:r>
      <w:bookmarkEnd w:id="13"/>
    </w:p>
    <w:p w14:paraId="6700CD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 根据《中华人民共和国政府采购法》 等有关法律、法规和规章的规定，本招标项目己具备招标条件，现对本项目进行招标。</w:t>
      </w:r>
    </w:p>
    <w:p w14:paraId="473F1E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 本招标项目</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105E3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 本招标项目代理机构：见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8FBC6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 本招标项目名称：见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0A89BD0B">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4" w:name="_Toc307905037"/>
      <w:r>
        <w:rPr>
          <w:rFonts w:hint="eastAsia" w:ascii="宋体" w:hAnsi="宋体" w:eastAsia="宋体" w:cs="宋体"/>
          <w:color w:val="auto"/>
          <w:sz w:val="24"/>
          <w:szCs w:val="24"/>
        </w:rPr>
        <w:t>1.2 资金来源和落实情况</w:t>
      </w:r>
      <w:bookmarkEnd w:id="14"/>
    </w:p>
    <w:p w14:paraId="204A2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 本招标项目的资金来源：见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4949C4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 本招标项目的资金落实情况：见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82B46CF">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5" w:name="_Toc307905038"/>
      <w:r>
        <w:rPr>
          <w:rFonts w:hint="eastAsia" w:ascii="宋体" w:hAnsi="宋体" w:eastAsia="宋体" w:cs="宋体"/>
          <w:color w:val="auto"/>
          <w:sz w:val="24"/>
          <w:szCs w:val="24"/>
        </w:rPr>
        <w:t xml:space="preserve">1.3 </w:t>
      </w:r>
      <w:r>
        <w:rPr>
          <w:rFonts w:hint="eastAsia" w:ascii="宋体" w:hAnsi="宋体" w:cs="宋体"/>
          <w:color w:val="auto"/>
          <w:sz w:val="24"/>
          <w:szCs w:val="24"/>
          <w:lang w:eastAsia="zh-CN"/>
        </w:rPr>
        <w:t>采购</w:t>
      </w:r>
      <w:r>
        <w:rPr>
          <w:rFonts w:hint="eastAsia" w:ascii="宋体" w:hAnsi="宋体" w:eastAsia="宋体" w:cs="宋体"/>
          <w:color w:val="auto"/>
          <w:sz w:val="24"/>
          <w:szCs w:val="24"/>
          <w:lang w:eastAsia="zh-CN"/>
        </w:rPr>
        <w:t>内容</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和质量要求</w:t>
      </w:r>
      <w:bookmarkEnd w:id="15"/>
    </w:p>
    <w:p w14:paraId="747CF9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 本次</w:t>
      </w:r>
      <w:r>
        <w:rPr>
          <w:rFonts w:hint="eastAsia" w:ascii="宋体" w:hAnsi="宋体" w:eastAsia="宋体" w:cs="宋体"/>
          <w:color w:val="auto"/>
          <w:sz w:val="24"/>
          <w:szCs w:val="24"/>
          <w:lang w:eastAsia="zh-CN"/>
        </w:rPr>
        <w:t>采购内容</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B86863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 本招标项目的</w:t>
      </w:r>
      <w:r>
        <w:rPr>
          <w:rFonts w:hint="eastAsia" w:ascii="宋体" w:hAnsi="宋体" w:eastAsia="宋体" w:cs="宋体"/>
          <w:color w:val="auto"/>
          <w:sz w:val="24"/>
          <w:szCs w:val="24"/>
          <w:lang w:eastAsia="zh-CN"/>
        </w:rPr>
        <w:t>交货期</w:t>
      </w:r>
      <w:r>
        <w:rPr>
          <w:rFonts w:hint="eastAsia" w:ascii="宋体" w:hAnsi="宋体" w:eastAsia="宋体" w:cs="宋体"/>
          <w:color w:val="auto"/>
          <w:sz w:val="24"/>
          <w:szCs w:val="24"/>
        </w:rPr>
        <w:t>：见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1BA3FAE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 本招标项目的质量要求：见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5995F7AA">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6" w:name="_Toc307905040"/>
      <w:r>
        <w:rPr>
          <w:rFonts w:hint="eastAsia" w:ascii="宋体" w:hAnsi="宋体" w:eastAsia="宋体" w:cs="宋体"/>
          <w:color w:val="auto"/>
          <w:sz w:val="24"/>
          <w:szCs w:val="24"/>
        </w:rPr>
        <w:t xml:space="preserve">1.4 </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资格要求</w:t>
      </w:r>
      <w:bookmarkEnd w:id="16"/>
    </w:p>
    <w:p w14:paraId="2F997AE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1.4.1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资格要求：见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610B465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1.4.2是否组织联合体投标：见</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须知前附表。</w:t>
      </w:r>
    </w:p>
    <w:p w14:paraId="7B9112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1.4.3 </w:t>
      </w:r>
      <w:r>
        <w:rPr>
          <w:rFonts w:hint="eastAsia" w:ascii="宋体" w:hAnsi="宋体" w:cs="宋体"/>
          <w:color w:val="auto"/>
          <w:sz w:val="24"/>
          <w:szCs w:val="21"/>
          <w:lang w:eastAsia="zh-CN"/>
        </w:rPr>
        <w:t>供应商</w:t>
      </w:r>
      <w:r>
        <w:rPr>
          <w:rFonts w:hint="eastAsia" w:ascii="宋体" w:hAnsi="宋体" w:eastAsia="宋体" w:cs="宋体"/>
          <w:color w:val="auto"/>
          <w:sz w:val="24"/>
          <w:szCs w:val="24"/>
        </w:rPr>
        <w:t>不得存在下列情形之一：</w:t>
      </w:r>
    </w:p>
    <w:p w14:paraId="24C1E28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）为本项目前期准备提供咨询服务的；</w:t>
      </w:r>
    </w:p>
    <w:p w14:paraId="1C6BF3C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）为本项目提供招标代理服务的；</w:t>
      </w:r>
    </w:p>
    <w:p w14:paraId="20CF0E8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）与本项目的招标代理机构同为一个法定代表人的；</w:t>
      </w:r>
    </w:p>
    <w:p w14:paraId="7A3E73B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）与本项目的招标代理机构相互控股或参股的；</w:t>
      </w:r>
    </w:p>
    <w:p w14:paraId="43C3205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）与本项目的招标代理机构相互任职或工作的；</w:t>
      </w:r>
    </w:p>
    <w:p w14:paraId="758A3EE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）被责令停业的；</w:t>
      </w:r>
    </w:p>
    <w:p w14:paraId="2BD508F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）被暂停或取消投标资格的；</w:t>
      </w:r>
    </w:p>
    <w:p w14:paraId="1EA51D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）财产被接管或冻结的；</w:t>
      </w:r>
    </w:p>
    <w:p w14:paraId="0388388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）在最近三年内有骗取中标或严重违约情况的。</w:t>
      </w:r>
    </w:p>
    <w:p w14:paraId="5CA1C815">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7" w:name="_Toc307905041"/>
      <w:r>
        <w:rPr>
          <w:rFonts w:hint="eastAsia" w:ascii="宋体" w:hAnsi="宋体" w:eastAsia="宋体" w:cs="宋体"/>
          <w:color w:val="auto"/>
          <w:sz w:val="24"/>
          <w:szCs w:val="24"/>
          <w:highlight w:val="none"/>
        </w:rPr>
        <w:t>1.5 费用承担</w:t>
      </w:r>
      <w:bookmarkEnd w:id="17"/>
    </w:p>
    <w:p w14:paraId="2CEBBD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r>
        <w:rPr>
          <w:rFonts w:hint="eastAsia" w:ascii="宋体" w:hAnsi="宋体" w:cs="宋体"/>
          <w:color w:val="auto"/>
          <w:sz w:val="24"/>
          <w:szCs w:val="21"/>
          <w:lang w:eastAsia="zh-CN"/>
        </w:rPr>
        <w:t>供应商</w:t>
      </w:r>
      <w:r>
        <w:rPr>
          <w:rFonts w:hint="eastAsia" w:ascii="宋体" w:hAnsi="宋体" w:eastAsia="宋体" w:cs="宋体"/>
          <w:color w:val="auto"/>
          <w:sz w:val="24"/>
          <w:szCs w:val="24"/>
          <w:highlight w:val="none"/>
        </w:rPr>
        <w:t>准备和参加投标活动发生的费用自理。</w:t>
      </w:r>
    </w:p>
    <w:p w14:paraId="4B438E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1.5.2本次代理服务费参照《</w:t>
      </w:r>
      <w:r>
        <w:rPr>
          <w:rFonts w:hint="eastAsia" w:ascii="宋体" w:hAnsi="宋体" w:eastAsia="宋体" w:cs="Times New Roman"/>
          <w:color w:val="auto"/>
          <w:sz w:val="24"/>
          <w:szCs w:val="24"/>
          <w:highlight w:val="none"/>
        </w:rPr>
        <w:t>招标代理服务收费参照豫招协[2023]002号河南省招标投标协会关于印发《河南省招标代理服务收费指导意见》规定的收费标准收取中标服务费</w:t>
      </w:r>
      <w:r>
        <w:rPr>
          <w:rFonts w:hint="eastAsia" w:ascii="宋体" w:hAnsi="宋体" w:cs="Times New Roman"/>
          <w:color w:val="auto"/>
          <w:sz w:val="24"/>
          <w:szCs w:val="24"/>
          <w:highlight w:val="none"/>
          <w:lang w:eastAsia="zh-CN"/>
        </w:rPr>
        <w:t>，</w:t>
      </w:r>
      <w:r>
        <w:rPr>
          <w:rFonts w:hint="eastAsia" w:ascii="宋体" w:hAnsi="宋体" w:eastAsia="宋体" w:cs="Times New Roman"/>
          <w:color w:val="auto"/>
          <w:sz w:val="24"/>
          <w:szCs w:val="24"/>
          <w:highlight w:val="none"/>
        </w:rPr>
        <w:t>招标代理服务收费按差额定率累进法计算</w:t>
      </w: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按</w:t>
      </w:r>
      <w:r>
        <w:rPr>
          <w:rFonts w:hint="eastAsia" w:ascii="宋体" w:hAnsi="宋体" w:eastAsia="宋体" w:cs="宋体"/>
          <w:color w:val="auto"/>
          <w:sz w:val="24"/>
          <w:szCs w:val="24"/>
          <w:highlight w:val="none"/>
        </w:rPr>
        <w:t>文件的规定由中标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领取中标通知书前，向代理公司一次性付清。</w:t>
      </w:r>
    </w:p>
    <w:p w14:paraId="232003AC">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highlight w:val="none"/>
        </w:rPr>
      </w:pPr>
      <w:bookmarkStart w:id="18" w:name="_Toc307905042"/>
      <w:r>
        <w:rPr>
          <w:rFonts w:hint="eastAsia" w:ascii="宋体" w:hAnsi="宋体" w:eastAsia="宋体" w:cs="宋体"/>
          <w:color w:val="auto"/>
          <w:sz w:val="24"/>
          <w:szCs w:val="24"/>
          <w:highlight w:val="none"/>
        </w:rPr>
        <w:t>1.6 保密</w:t>
      </w:r>
      <w:bookmarkEnd w:id="18"/>
    </w:p>
    <w:p w14:paraId="5B82DDF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参与招标投标活动的各方应对招标文件和投标文件中的商业和技术等秘密保密，违者应对由此造成的后果承担法律责任。</w:t>
      </w:r>
    </w:p>
    <w:p w14:paraId="70B3DED6">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9" w:name="_Toc307905043"/>
      <w:r>
        <w:rPr>
          <w:rFonts w:hint="eastAsia" w:ascii="宋体" w:hAnsi="宋体" w:eastAsia="宋体" w:cs="宋体"/>
          <w:color w:val="auto"/>
          <w:sz w:val="24"/>
          <w:szCs w:val="24"/>
        </w:rPr>
        <w:t>1.7 语言文字</w:t>
      </w:r>
      <w:bookmarkEnd w:id="19"/>
    </w:p>
    <w:p w14:paraId="7781A4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除专用术语外，与招标投标有关的语言均使用中文。必要时专用术语应附有中文注释。</w:t>
      </w:r>
    </w:p>
    <w:p w14:paraId="2F9E4D94">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20" w:name="_Toc307905044"/>
      <w:r>
        <w:rPr>
          <w:rFonts w:hint="eastAsia" w:ascii="宋体" w:hAnsi="宋体" w:eastAsia="宋体" w:cs="宋体"/>
          <w:color w:val="auto"/>
          <w:sz w:val="24"/>
          <w:szCs w:val="24"/>
        </w:rPr>
        <w:t>1.8 计量单位</w:t>
      </w:r>
      <w:bookmarkEnd w:id="20"/>
    </w:p>
    <w:p w14:paraId="08B936D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所有计量均采用中华人民共和国法定计量单位。</w:t>
      </w:r>
      <w:bookmarkStart w:id="21" w:name="_Toc307905046"/>
    </w:p>
    <w:p w14:paraId="5166328D">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 投标预备会</w:t>
      </w:r>
      <w:bookmarkEnd w:id="21"/>
      <w:bookmarkStart w:id="22" w:name="_Toc307905047"/>
    </w:p>
    <w:p w14:paraId="0AFD842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不召开。</w:t>
      </w:r>
    </w:p>
    <w:p w14:paraId="26DA43C0">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1.10 分包</w:t>
      </w:r>
      <w:bookmarkEnd w:id="22"/>
    </w:p>
    <w:p w14:paraId="5641F68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不允许分包。</w:t>
      </w:r>
      <w:bookmarkStart w:id="23" w:name="_Toc307905048"/>
    </w:p>
    <w:p w14:paraId="5A140B2F">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1.11 偏离</w:t>
      </w:r>
      <w:bookmarkEnd w:id="23"/>
    </w:p>
    <w:p w14:paraId="6B1733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实质性内容不允许负偏离。</w:t>
      </w:r>
    </w:p>
    <w:p w14:paraId="263D7563">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highlight w:val="none"/>
        </w:rPr>
      </w:pPr>
      <w:bookmarkStart w:id="24" w:name="_Toc307905271"/>
      <w:bookmarkStart w:id="25" w:name="_Toc322792289"/>
      <w:bookmarkStart w:id="26" w:name="_Toc404096915"/>
      <w:bookmarkStart w:id="27" w:name="_Toc322791369"/>
      <w:bookmarkStart w:id="28" w:name="_Toc184635072"/>
      <w:bookmarkStart w:id="29" w:name="_Toc322792547"/>
      <w:bookmarkStart w:id="30" w:name="_Toc307905049"/>
      <w:bookmarkStart w:id="31" w:name="_Toc324426326"/>
      <w:bookmarkStart w:id="32" w:name="_Toc358045600"/>
      <w:r>
        <w:rPr>
          <w:rFonts w:hint="eastAsia" w:ascii="宋体" w:hAnsi="宋体" w:eastAsia="宋体" w:cs="宋体"/>
          <w:color w:val="auto"/>
          <w:szCs w:val="24"/>
          <w:highlight w:val="none"/>
        </w:rPr>
        <w:t>2.招标文件</w:t>
      </w:r>
      <w:bookmarkEnd w:id="24"/>
      <w:bookmarkEnd w:id="25"/>
      <w:bookmarkEnd w:id="26"/>
      <w:bookmarkEnd w:id="27"/>
      <w:bookmarkEnd w:id="28"/>
      <w:bookmarkEnd w:id="29"/>
      <w:bookmarkEnd w:id="30"/>
      <w:bookmarkEnd w:id="31"/>
      <w:bookmarkEnd w:id="32"/>
    </w:p>
    <w:p w14:paraId="3E71D7EA">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33" w:name="_Toc307905050"/>
      <w:r>
        <w:rPr>
          <w:rFonts w:hint="eastAsia" w:ascii="宋体" w:hAnsi="宋体" w:eastAsia="宋体" w:cs="宋体"/>
          <w:color w:val="auto"/>
          <w:sz w:val="24"/>
          <w:szCs w:val="24"/>
        </w:rPr>
        <w:t>2.1 招标文件的组成</w:t>
      </w:r>
      <w:bookmarkEnd w:id="33"/>
    </w:p>
    <w:p w14:paraId="1A6E27D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本招标文件包括：</w:t>
      </w:r>
    </w:p>
    <w:p w14:paraId="057DEEC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(1）招标公告</w:t>
      </w:r>
    </w:p>
    <w:p w14:paraId="55437F9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cs="宋体"/>
          <w:color w:val="auto"/>
          <w:sz w:val="24"/>
          <w:szCs w:val="21"/>
          <w:lang w:eastAsia="zh-CN"/>
        </w:rPr>
        <w:t>供应商</w:t>
      </w:r>
      <w:r>
        <w:rPr>
          <w:rFonts w:hint="eastAsia" w:ascii="宋体" w:hAnsi="宋体" w:eastAsia="宋体" w:cs="宋体"/>
          <w:color w:val="auto"/>
          <w:sz w:val="24"/>
        </w:rPr>
        <w:t>须知</w:t>
      </w:r>
    </w:p>
    <w:p w14:paraId="381B8B0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(3）评标办法</w:t>
      </w:r>
    </w:p>
    <w:p w14:paraId="31976E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(4）采购清单及要求</w:t>
      </w:r>
    </w:p>
    <w:p w14:paraId="18762C9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(5）合同条款及格式</w:t>
      </w:r>
    </w:p>
    <w:p w14:paraId="3F68B01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(6）投标文件格式</w:t>
      </w:r>
    </w:p>
    <w:p w14:paraId="3F52C6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根据本章第2.2 款和第2.3 款对招标文件所作的澄清、修改，构成招标文件的组成部分。</w:t>
      </w:r>
    </w:p>
    <w:p w14:paraId="2040C1CF">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34" w:name="_Toc307905051"/>
      <w:r>
        <w:rPr>
          <w:rFonts w:hint="eastAsia" w:ascii="宋体" w:hAnsi="宋体" w:eastAsia="宋体" w:cs="宋体"/>
          <w:color w:val="auto"/>
          <w:sz w:val="24"/>
          <w:szCs w:val="24"/>
        </w:rPr>
        <w:t>2.2 招标文件的澄清</w:t>
      </w:r>
      <w:bookmarkEnd w:id="34"/>
    </w:p>
    <w:p w14:paraId="0B1A28B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35" w:name="_Toc404096916"/>
      <w:bookmarkStart w:id="36" w:name="_Toc307905272"/>
      <w:bookmarkStart w:id="37" w:name="_Toc322792290"/>
      <w:bookmarkStart w:id="38" w:name="_Toc322792548"/>
      <w:bookmarkStart w:id="39" w:name="_Toc324426327"/>
      <w:bookmarkStart w:id="40" w:name="_Toc307905053"/>
      <w:bookmarkStart w:id="41" w:name="_Toc184635073"/>
      <w:bookmarkStart w:id="42" w:name="_Toc322791370"/>
      <w:bookmarkStart w:id="43" w:name="_Toc358045601"/>
      <w:r>
        <w:rPr>
          <w:rFonts w:hint="eastAsia" w:ascii="宋体" w:hAnsi="宋体" w:eastAsia="宋体" w:cs="宋体"/>
          <w:color w:val="auto"/>
          <w:sz w:val="24"/>
        </w:rPr>
        <w:t xml:space="preserve">2.2.1 </w:t>
      </w:r>
      <w:r>
        <w:rPr>
          <w:rFonts w:hint="eastAsia" w:ascii="宋体" w:hAnsi="宋体" w:cs="宋体"/>
          <w:color w:val="auto"/>
          <w:sz w:val="24"/>
          <w:szCs w:val="21"/>
          <w:lang w:eastAsia="zh-CN"/>
        </w:rPr>
        <w:t>供应商</w:t>
      </w:r>
      <w:r>
        <w:rPr>
          <w:rFonts w:hint="eastAsia" w:ascii="宋体" w:hAnsi="宋体" w:eastAsia="宋体" w:cs="宋体"/>
          <w:color w:val="auto"/>
          <w:sz w:val="24"/>
        </w:rPr>
        <w:t>应仔细阅读和检查招标文件的全部内容。如发现缺页或附件不全，应及时向</w:t>
      </w:r>
      <w:r>
        <w:rPr>
          <w:rFonts w:hint="eastAsia" w:ascii="宋体" w:hAnsi="宋体" w:eastAsia="宋体" w:cs="宋体"/>
          <w:color w:val="auto"/>
          <w:sz w:val="24"/>
          <w:lang w:eastAsia="zh-CN"/>
        </w:rPr>
        <w:t>采购人</w:t>
      </w:r>
      <w:r>
        <w:rPr>
          <w:rFonts w:hint="eastAsia" w:ascii="宋体" w:hAnsi="宋体" w:eastAsia="宋体" w:cs="宋体"/>
          <w:color w:val="auto"/>
          <w:sz w:val="24"/>
        </w:rPr>
        <w:t>提出，以便补齐。如有疑问，应在质疑期限内要求</w:t>
      </w:r>
      <w:r>
        <w:rPr>
          <w:rFonts w:hint="eastAsia" w:ascii="宋体" w:hAnsi="宋体" w:eastAsia="宋体" w:cs="宋体"/>
          <w:color w:val="auto"/>
          <w:sz w:val="24"/>
          <w:lang w:eastAsia="zh-CN"/>
        </w:rPr>
        <w:t>采购人</w:t>
      </w:r>
      <w:r>
        <w:rPr>
          <w:rFonts w:hint="eastAsia" w:ascii="宋体" w:hAnsi="宋体" w:eastAsia="宋体" w:cs="宋体"/>
          <w:color w:val="auto"/>
          <w:sz w:val="24"/>
        </w:rPr>
        <w:t>对招标文件予以澄清。</w:t>
      </w:r>
    </w:p>
    <w:p w14:paraId="2D591EA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2.2.2 招标文件的澄清将在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须知前附表规定的投标截止时间15天前以网上答疑形式发给所有</w:t>
      </w:r>
      <w:r>
        <w:rPr>
          <w:rFonts w:hint="eastAsia" w:ascii="宋体" w:hAnsi="宋体" w:cs="宋体"/>
          <w:color w:val="auto"/>
          <w:sz w:val="24"/>
          <w:szCs w:val="21"/>
          <w:lang w:eastAsia="zh-CN"/>
        </w:rPr>
        <w:t>供应商</w:t>
      </w:r>
      <w:r>
        <w:rPr>
          <w:rFonts w:hint="eastAsia" w:ascii="宋体" w:hAnsi="宋体" w:eastAsia="宋体" w:cs="宋体"/>
          <w:color w:val="auto"/>
          <w:sz w:val="24"/>
        </w:rPr>
        <w:t>，但不指明澄清问题的来源。如果澄清发出的时间距投标截止时间不足15天且影响投标文件的编制的，相应延长投标截止时间。</w:t>
      </w:r>
    </w:p>
    <w:p w14:paraId="4DFDAC07">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bookmarkStart w:id="44" w:name="_Toc307905052"/>
      <w:r>
        <w:rPr>
          <w:rFonts w:hint="eastAsia" w:ascii="宋体" w:hAnsi="宋体" w:eastAsia="宋体" w:cs="宋体"/>
          <w:color w:val="auto"/>
          <w:szCs w:val="24"/>
        </w:rPr>
        <w:t>2.3 招标文件的修改</w:t>
      </w:r>
      <w:bookmarkEnd w:id="44"/>
    </w:p>
    <w:p w14:paraId="08F8340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在投标截止时间15天前，</w:t>
      </w:r>
      <w:r>
        <w:rPr>
          <w:rFonts w:hint="eastAsia" w:ascii="宋体" w:hAnsi="宋体" w:eastAsia="宋体" w:cs="宋体"/>
          <w:color w:val="auto"/>
          <w:sz w:val="24"/>
          <w:lang w:eastAsia="zh-CN"/>
        </w:rPr>
        <w:t>采购人</w:t>
      </w:r>
      <w:r>
        <w:rPr>
          <w:rFonts w:hint="eastAsia" w:ascii="宋体" w:hAnsi="宋体" w:eastAsia="宋体" w:cs="宋体"/>
          <w:color w:val="auto"/>
          <w:sz w:val="24"/>
        </w:rPr>
        <w:t>可以以网上发布信息更正公告形式修改招标文件。如果修改招标文件的时间距投标截止时间不足15天且影响投标文件的编制的，相应延长投标截止时间。</w:t>
      </w:r>
    </w:p>
    <w:p w14:paraId="4914B60F">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3.投标文件</w:t>
      </w:r>
      <w:bookmarkEnd w:id="35"/>
      <w:bookmarkEnd w:id="36"/>
      <w:bookmarkEnd w:id="37"/>
      <w:bookmarkEnd w:id="38"/>
      <w:bookmarkEnd w:id="39"/>
      <w:bookmarkEnd w:id="40"/>
      <w:bookmarkEnd w:id="41"/>
      <w:bookmarkEnd w:id="42"/>
      <w:bookmarkEnd w:id="43"/>
    </w:p>
    <w:p w14:paraId="2EE173BD">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45" w:name="_Toc307905054"/>
      <w:r>
        <w:rPr>
          <w:rFonts w:hint="eastAsia" w:ascii="宋体" w:hAnsi="宋体" w:eastAsia="宋体" w:cs="宋体"/>
          <w:color w:val="auto"/>
          <w:sz w:val="24"/>
          <w:szCs w:val="24"/>
        </w:rPr>
        <w:t>3.1 投标文件的组成</w:t>
      </w:r>
      <w:bookmarkEnd w:id="45"/>
    </w:p>
    <w:p w14:paraId="12E8F3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3.1.1 投标文件应包括下列内容：</w:t>
      </w:r>
    </w:p>
    <w:p w14:paraId="1229E8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bookmarkStart w:id="46" w:name="_Toc307905055"/>
      <w:r>
        <w:rPr>
          <w:rFonts w:hint="eastAsia" w:ascii="宋体" w:hAnsi="宋体" w:eastAsia="宋体" w:cs="宋体"/>
          <w:color w:val="auto"/>
          <w:sz w:val="24"/>
        </w:rPr>
        <w:t>一、投标函及投标函附录</w:t>
      </w:r>
    </w:p>
    <w:p w14:paraId="1BD4C03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lang w:eastAsia="zh-CN"/>
        </w:rPr>
      </w:pPr>
      <w:r>
        <w:rPr>
          <w:rFonts w:hint="eastAsia" w:ascii="宋体" w:hAnsi="宋体" w:eastAsia="宋体" w:cs="宋体"/>
          <w:color w:val="auto"/>
          <w:sz w:val="24"/>
        </w:rPr>
        <w:t>二、法定代表人身份证明</w:t>
      </w:r>
    </w:p>
    <w:p w14:paraId="6F883C9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三、</w:t>
      </w:r>
      <w:r>
        <w:rPr>
          <w:rFonts w:hint="eastAsia" w:ascii="宋体" w:hAnsi="宋体" w:eastAsia="宋体" w:cs="宋体"/>
          <w:color w:val="auto"/>
          <w:sz w:val="24"/>
        </w:rPr>
        <w:fldChar w:fldCharType="begin"/>
      </w:r>
      <w:r>
        <w:rPr>
          <w:rFonts w:hint="eastAsia" w:ascii="宋体" w:hAnsi="宋体" w:eastAsia="宋体" w:cs="宋体"/>
          <w:color w:val="auto"/>
          <w:sz w:val="24"/>
        </w:rPr>
        <w:instrText xml:space="preserve">HYPERLINK \l "_Toc14910"</w:instrText>
      </w:r>
      <w:r>
        <w:rPr>
          <w:rFonts w:hint="eastAsia" w:ascii="宋体" w:hAnsi="宋体" w:eastAsia="宋体" w:cs="宋体"/>
          <w:color w:val="auto"/>
          <w:sz w:val="24"/>
        </w:rPr>
        <w:fldChar w:fldCharType="separate"/>
      </w:r>
      <w:r>
        <w:rPr>
          <w:rFonts w:hint="eastAsia" w:ascii="宋体" w:hAnsi="宋体" w:eastAsia="宋体" w:cs="宋体"/>
          <w:color w:val="auto"/>
          <w:sz w:val="24"/>
        </w:rPr>
        <w:t>授权</w:t>
      </w:r>
      <w:r>
        <w:rPr>
          <w:rFonts w:hint="eastAsia" w:ascii="宋体" w:hAnsi="宋体" w:eastAsia="宋体" w:cs="宋体"/>
          <w:color w:val="auto"/>
          <w:sz w:val="24"/>
          <w:lang w:val="en-US" w:eastAsia="zh-CN"/>
        </w:rPr>
        <w:t>委托</w:t>
      </w:r>
      <w:r>
        <w:rPr>
          <w:rFonts w:hint="eastAsia" w:ascii="宋体" w:hAnsi="宋体" w:eastAsia="宋体" w:cs="宋体"/>
          <w:color w:val="auto"/>
          <w:sz w:val="24"/>
        </w:rPr>
        <w:t>书</w:t>
      </w:r>
      <w:r>
        <w:rPr>
          <w:rFonts w:hint="eastAsia" w:ascii="宋体" w:hAnsi="宋体" w:eastAsia="宋体" w:cs="宋体"/>
          <w:color w:val="auto"/>
          <w:sz w:val="24"/>
        </w:rPr>
        <w:fldChar w:fldCharType="end"/>
      </w:r>
    </w:p>
    <w:p w14:paraId="0A36229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四、</w:t>
      </w:r>
      <w:r>
        <w:rPr>
          <w:rFonts w:hint="eastAsia" w:ascii="宋体" w:hAnsi="宋体" w:eastAsia="宋体" w:cs="宋体"/>
          <w:color w:val="auto"/>
          <w:sz w:val="24"/>
        </w:rPr>
        <w:t>报价明细表</w:t>
      </w:r>
    </w:p>
    <w:p w14:paraId="3324677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五</w:t>
      </w:r>
      <w:r>
        <w:rPr>
          <w:rFonts w:hint="eastAsia" w:ascii="宋体" w:hAnsi="宋体" w:eastAsia="宋体" w:cs="宋体"/>
          <w:color w:val="auto"/>
          <w:sz w:val="24"/>
        </w:rPr>
        <w:t>、</w:t>
      </w:r>
      <w:r>
        <w:rPr>
          <w:rFonts w:hint="eastAsia" w:ascii="宋体" w:hAnsi="宋体" w:eastAsia="宋体" w:cs="宋体"/>
          <w:color w:val="auto"/>
          <w:sz w:val="24"/>
          <w:lang w:val="en-US" w:eastAsia="zh-CN"/>
        </w:rPr>
        <w:t>技术规格偏离表</w:t>
      </w:r>
    </w:p>
    <w:p w14:paraId="4210CCB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六、实施方案及服务承诺</w:t>
      </w:r>
    </w:p>
    <w:p w14:paraId="2A1EA9B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七</w:t>
      </w:r>
      <w:r>
        <w:rPr>
          <w:rFonts w:hint="eastAsia" w:ascii="宋体" w:hAnsi="宋体" w:eastAsia="宋体" w:cs="宋体"/>
          <w:color w:val="auto"/>
          <w:sz w:val="24"/>
        </w:rPr>
        <w:t>、资格审查材料</w:t>
      </w:r>
    </w:p>
    <w:p w14:paraId="00AEAC6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八</w:t>
      </w:r>
      <w:r>
        <w:rPr>
          <w:rFonts w:hint="eastAsia" w:ascii="宋体" w:hAnsi="宋体" w:eastAsia="宋体" w:cs="宋体"/>
          <w:color w:val="auto"/>
          <w:sz w:val="24"/>
        </w:rPr>
        <w:t>、其他材料</w:t>
      </w:r>
    </w:p>
    <w:p w14:paraId="51BC7E7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九、</w:t>
      </w:r>
      <w:r>
        <w:rPr>
          <w:rFonts w:hint="eastAsia" w:ascii="宋体" w:hAnsi="宋体" w:eastAsia="宋体" w:cs="宋体"/>
          <w:color w:val="auto"/>
          <w:sz w:val="24"/>
        </w:rPr>
        <w:t>中小企业声明函</w:t>
      </w:r>
    </w:p>
    <w:p w14:paraId="4E96266E">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投标报价</w:t>
      </w:r>
      <w:bookmarkEnd w:id="46"/>
    </w:p>
    <w:p w14:paraId="4B33D1D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3.2.1所有投标报价均以人民币元为计算单位。供应商的投标报价为完成本项目服务内容产生的所有费用。</w:t>
      </w:r>
    </w:p>
    <w:p w14:paraId="4561D7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3.2.2 供应商的投标报价应包含验收合格正式交付使用前所发生的一切费用，且供应商只能提出一个不变价格，采购人不接受任何选择价。 </w:t>
      </w:r>
    </w:p>
    <w:p w14:paraId="23F92AA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3.2.3 投标文件的投标报价，应是完成本文件所列招标范围的全部内容。 </w:t>
      </w:r>
    </w:p>
    <w:p w14:paraId="4986701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3.2.4 采购人对供应商提供的产品有权到制造商进行考察和交货前验货，供应商应提供便利条件。</w:t>
      </w:r>
    </w:p>
    <w:p w14:paraId="47114834">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47" w:name="_Toc307905056"/>
      <w:r>
        <w:rPr>
          <w:rFonts w:hint="eastAsia" w:ascii="宋体" w:hAnsi="宋体" w:eastAsia="宋体" w:cs="宋体"/>
          <w:color w:val="auto"/>
          <w:sz w:val="24"/>
          <w:szCs w:val="24"/>
        </w:rPr>
        <w:t>3.3 投标有效期</w:t>
      </w:r>
      <w:bookmarkEnd w:id="47"/>
    </w:p>
    <w:p w14:paraId="598505B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 在</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须知前附表规定的投标有效期内，</w:t>
      </w:r>
      <w:r>
        <w:rPr>
          <w:rFonts w:hint="eastAsia" w:ascii="宋体" w:hAnsi="宋体" w:cs="宋体"/>
          <w:color w:val="auto"/>
          <w:sz w:val="24"/>
          <w:szCs w:val="21"/>
          <w:lang w:eastAsia="zh-CN"/>
        </w:rPr>
        <w:t>供应商</w:t>
      </w:r>
      <w:r>
        <w:rPr>
          <w:rFonts w:hint="eastAsia" w:ascii="宋体" w:hAnsi="宋体" w:eastAsia="宋体" w:cs="宋体"/>
          <w:color w:val="auto"/>
          <w:sz w:val="24"/>
        </w:rPr>
        <w:t>不得要求撤销或修改其投标文件。</w:t>
      </w:r>
    </w:p>
    <w:p w14:paraId="62A751AD">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48" w:name="_Toc307905059"/>
      <w:r>
        <w:rPr>
          <w:rFonts w:hint="eastAsia" w:ascii="宋体" w:hAnsi="宋体" w:eastAsia="宋体" w:cs="宋体"/>
          <w:color w:val="auto"/>
          <w:sz w:val="24"/>
          <w:szCs w:val="24"/>
        </w:rPr>
        <w:t>3.4 资格审查资料</w:t>
      </w:r>
      <w:bookmarkEnd w:id="48"/>
    </w:p>
    <w:p w14:paraId="321B691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szCs w:val="21"/>
          <w:lang w:eastAsia="zh-CN"/>
        </w:rPr>
        <w:t>供应商</w:t>
      </w:r>
      <w:r>
        <w:rPr>
          <w:rFonts w:hint="eastAsia" w:ascii="宋体" w:hAnsi="宋体" w:eastAsia="宋体" w:cs="宋体"/>
          <w:color w:val="auto"/>
          <w:sz w:val="24"/>
        </w:rPr>
        <w:t>在编制投标文件时，应按照招标文件要求提供资格要求的资料，以证实其各项资格条件能继续满足投标资格要求，具备承担本项目的资质条件、能力和信誉。</w:t>
      </w:r>
    </w:p>
    <w:p w14:paraId="1204AC40">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49" w:name="_Toc307905060"/>
      <w:r>
        <w:rPr>
          <w:rFonts w:hint="eastAsia" w:ascii="宋体" w:hAnsi="宋体" w:eastAsia="宋体" w:cs="宋体"/>
          <w:color w:val="auto"/>
          <w:sz w:val="24"/>
          <w:szCs w:val="24"/>
        </w:rPr>
        <w:t>3.5备选投标方案</w:t>
      </w:r>
      <w:bookmarkEnd w:id="49"/>
    </w:p>
    <w:p w14:paraId="6195D3D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不接受</w:t>
      </w:r>
    </w:p>
    <w:p w14:paraId="6BD6C569">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50" w:name="_Toc307905061"/>
      <w:r>
        <w:rPr>
          <w:rFonts w:hint="eastAsia" w:ascii="宋体" w:hAnsi="宋体" w:eastAsia="宋体" w:cs="宋体"/>
          <w:color w:val="auto"/>
          <w:sz w:val="24"/>
          <w:szCs w:val="24"/>
        </w:rPr>
        <w:t>3.6 投标文件的编制</w:t>
      </w:r>
      <w:bookmarkEnd w:id="50"/>
    </w:p>
    <w:p w14:paraId="0CE3BC1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3.6.1 投标文件应按第六章“投标文件格式”进行编写，如有必要，可以增加附页，作为投标文件的组成部分。其中，投标函附录在满足招标文件实质性要求的基础上，可以提出比招标文件要求更有利于</w:t>
      </w:r>
      <w:r>
        <w:rPr>
          <w:rFonts w:hint="eastAsia" w:ascii="宋体" w:hAnsi="宋体" w:eastAsia="宋体" w:cs="宋体"/>
          <w:color w:val="auto"/>
          <w:sz w:val="24"/>
          <w:lang w:eastAsia="zh-CN"/>
        </w:rPr>
        <w:t>采购人</w:t>
      </w:r>
      <w:r>
        <w:rPr>
          <w:rFonts w:hint="eastAsia" w:ascii="宋体" w:hAnsi="宋体" w:eastAsia="宋体" w:cs="宋体"/>
          <w:color w:val="auto"/>
          <w:sz w:val="24"/>
        </w:rPr>
        <w:t>的承诺。</w:t>
      </w:r>
    </w:p>
    <w:p w14:paraId="6920178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3.6.2投标文件应当对招标文件有关</w:t>
      </w:r>
      <w:r>
        <w:rPr>
          <w:rFonts w:hint="eastAsia" w:ascii="宋体" w:hAnsi="宋体" w:eastAsia="宋体" w:cs="宋体"/>
          <w:color w:val="auto"/>
          <w:sz w:val="24"/>
          <w:lang w:eastAsia="zh-CN"/>
        </w:rPr>
        <w:t>交货期</w:t>
      </w:r>
      <w:r>
        <w:rPr>
          <w:rFonts w:hint="eastAsia" w:ascii="宋体" w:hAnsi="宋体" w:eastAsia="宋体" w:cs="宋体"/>
          <w:color w:val="auto"/>
          <w:sz w:val="24"/>
        </w:rPr>
        <w:t>、投标有效期、质量要求等实质性内容作出响应。</w:t>
      </w:r>
    </w:p>
    <w:p w14:paraId="308DCCF7">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 w:val="32"/>
          <w:szCs w:val="24"/>
        </w:rPr>
      </w:pPr>
      <w:bookmarkStart w:id="51" w:name="_Toc324426329"/>
      <w:bookmarkStart w:id="52" w:name="_Toc322792292"/>
      <w:bookmarkStart w:id="53" w:name="_Toc322791372"/>
      <w:bookmarkStart w:id="54" w:name="_Toc404096918"/>
      <w:bookmarkStart w:id="55" w:name="_Toc184635075"/>
      <w:bookmarkStart w:id="56" w:name="_Toc307905274"/>
      <w:bookmarkStart w:id="57" w:name="_Toc322792550"/>
      <w:bookmarkStart w:id="58" w:name="_Toc358045603"/>
      <w:bookmarkStart w:id="59" w:name="_Toc307905065"/>
      <w:r>
        <w:rPr>
          <w:rFonts w:hint="eastAsia" w:ascii="宋体" w:hAnsi="宋体" w:eastAsia="宋体" w:cs="宋体"/>
          <w:color w:val="auto"/>
          <w:sz w:val="32"/>
          <w:szCs w:val="24"/>
        </w:rPr>
        <w:t>4.</w:t>
      </w:r>
      <w:bookmarkEnd w:id="51"/>
      <w:bookmarkEnd w:id="52"/>
      <w:bookmarkEnd w:id="53"/>
      <w:bookmarkEnd w:id="54"/>
      <w:bookmarkEnd w:id="55"/>
      <w:bookmarkEnd w:id="56"/>
      <w:bookmarkEnd w:id="57"/>
      <w:bookmarkEnd w:id="58"/>
      <w:bookmarkEnd w:id="59"/>
      <w:r>
        <w:rPr>
          <w:rFonts w:hint="eastAsia" w:ascii="宋体" w:hAnsi="宋体" w:eastAsia="宋体" w:cs="宋体"/>
          <w:color w:val="auto"/>
          <w:sz w:val="32"/>
          <w:szCs w:val="24"/>
        </w:rPr>
        <w:t>投标</w:t>
      </w:r>
    </w:p>
    <w:p w14:paraId="62EBEEA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bookmarkStart w:id="60" w:name="_Toc322792293"/>
      <w:bookmarkStart w:id="61" w:name="_Toc307905068"/>
      <w:bookmarkStart w:id="62" w:name="_Toc404096919"/>
      <w:bookmarkStart w:id="63" w:name="_Toc322791373"/>
      <w:bookmarkStart w:id="64" w:name="_Toc322792551"/>
      <w:bookmarkStart w:id="65" w:name="_Toc358045604"/>
      <w:bookmarkStart w:id="66" w:name="_Toc324426330"/>
      <w:bookmarkStart w:id="67" w:name="_Toc184635076"/>
      <w:bookmarkStart w:id="68" w:name="_Toc307905275"/>
      <w:r>
        <w:rPr>
          <w:rFonts w:hint="eastAsia" w:ascii="宋体" w:hAnsi="宋体" w:eastAsia="宋体" w:cs="宋体"/>
          <w:color w:val="auto"/>
        </w:rPr>
        <w:t xml:space="preserve">4.1 电子投标文件的加密 </w:t>
      </w:r>
    </w:p>
    <w:p w14:paraId="02A862C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4.1.1 电子投标文件的加密：详见电子投标文件制作操作指南。 </w:t>
      </w:r>
    </w:p>
    <w:p w14:paraId="6CC7B72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4.2 投标文件的递交 </w:t>
      </w:r>
    </w:p>
    <w:p w14:paraId="4F7D458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4.2.1 供应商应在</w:t>
      </w:r>
      <w:r>
        <w:rPr>
          <w:rFonts w:hint="eastAsia" w:ascii="宋体" w:hAnsi="宋体" w:eastAsia="宋体" w:cs="宋体"/>
          <w:color w:val="auto"/>
          <w:lang w:val="en-US" w:eastAsia="zh-CN"/>
        </w:rPr>
        <w:t>投标供应商须知前附表</w:t>
      </w:r>
      <w:r>
        <w:rPr>
          <w:rFonts w:hint="eastAsia" w:ascii="宋体" w:hAnsi="宋体" w:eastAsia="宋体" w:cs="宋体"/>
          <w:color w:val="auto"/>
        </w:rPr>
        <w:t>第</w:t>
      </w:r>
      <w:r>
        <w:rPr>
          <w:rFonts w:hint="eastAsia" w:ascii="宋体" w:hAnsi="宋体" w:eastAsia="宋体" w:cs="宋体"/>
          <w:color w:val="auto"/>
          <w:sz w:val="24"/>
          <w:lang w:bidi="ar"/>
        </w:rPr>
        <w:t>22</w:t>
      </w:r>
      <w:r>
        <w:rPr>
          <w:rFonts w:hint="eastAsia" w:ascii="宋体" w:hAnsi="宋体" w:eastAsia="宋体" w:cs="宋体"/>
          <w:color w:val="auto"/>
        </w:rPr>
        <w:t>项规定的投标截止时间前递交投标文件。</w:t>
      </w:r>
    </w:p>
    <w:p w14:paraId="3E6084D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4.2.2 电子招标投标文件递交异常的处理方式</w:t>
      </w:r>
    </w:p>
    <w:p w14:paraId="1A58865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当电子投标（文件打包、上传、解密异常）操作出现异常时，应及时联系平台技术支持人员解决。</w:t>
      </w:r>
    </w:p>
    <w:p w14:paraId="41C6EBA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招标人有权对供应商提供的证明材料进行核实，如果发现供应商提供虚假信息，将追究提供虚假信息的责任。</w:t>
      </w:r>
    </w:p>
    <w:p w14:paraId="444449D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4.2.3评标委员会不向落标方解释落标原因，不退还投标文件。</w:t>
      </w:r>
    </w:p>
    <w:p w14:paraId="0FCA35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4.3.1 在规定的投标截止时间前，供应商可以修改或撤回已递交的投标文件。</w:t>
      </w:r>
    </w:p>
    <w:p w14:paraId="44795FF6">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 w:val="32"/>
          <w:szCs w:val="24"/>
        </w:rPr>
      </w:pPr>
      <w:r>
        <w:rPr>
          <w:rFonts w:hint="eastAsia" w:ascii="宋体" w:hAnsi="宋体" w:eastAsia="宋体" w:cs="宋体"/>
          <w:color w:val="auto"/>
          <w:sz w:val="32"/>
          <w:szCs w:val="24"/>
        </w:rPr>
        <w:t xml:space="preserve">5. 开标 </w:t>
      </w:r>
    </w:p>
    <w:p w14:paraId="0650B6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5.1 开标时间和地点 </w:t>
      </w:r>
    </w:p>
    <w:p w14:paraId="7C86DAE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 xml:space="preserve">采购人在供应商须知前附表规定的投标截止时间（开标时间）和规定的地点公开开标。 </w:t>
      </w:r>
    </w:p>
    <w:p w14:paraId="066CF85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 开标程序</w:t>
      </w:r>
    </w:p>
    <w:p w14:paraId="0E5E657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5.2.1开标由招标代理机构主持；</w:t>
      </w:r>
    </w:p>
    <w:p w14:paraId="01B330B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5.2.2宣布开标会议纪律；</w:t>
      </w:r>
    </w:p>
    <w:p w14:paraId="18548BC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5.2.3开标时，电子招标投标交易平台自动提取所有投标文件，按时在线解密。解密全部完成后，向所有投标供应商公布投标供应商名称、投标价格和招标文件规定的其他内容。</w:t>
      </w:r>
    </w:p>
    <w:p w14:paraId="4F6D071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5.2.4采购人在招标文件要求提交投标文件的截止时间前收到的投标文件，开标时都应当众予以解密、宣读。</w:t>
      </w:r>
    </w:p>
    <w:p w14:paraId="5694EE4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5.3采购人对开标过程进行记录，并存档备查。</w:t>
      </w:r>
    </w:p>
    <w:p w14:paraId="3412E365">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5.4投标文件的有效性</w:t>
      </w:r>
    </w:p>
    <w:p w14:paraId="708E8C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5.4.1投标文件有下列情形之一的为无效投标文件，采购人不予受理：</w:t>
      </w:r>
    </w:p>
    <w:p w14:paraId="1180080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1)逾期上传的；</w:t>
      </w:r>
    </w:p>
    <w:p w14:paraId="382DBB6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rPr>
        <w:t>2)因投标供应商原因造成投标文件未解密的，视为撤销其投标文件；因投标供应商之外的原因造成投标文件未解密的，视为撤回其投标文件，投标供应商有权要求责任方赔偿因此遭受的直接损失。部分投标文件未解密的，其他投标文件的开标可以继续进行。</w:t>
      </w:r>
    </w:p>
    <w:p w14:paraId="0F51233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rPr>
      </w:pPr>
      <w:r>
        <w:rPr>
          <w:rFonts w:hint="eastAsia" w:ascii="宋体" w:hAnsi="宋体" w:eastAsia="宋体" w:cs="宋体"/>
          <w:color w:val="auto"/>
          <w:lang w:val="en-US" w:eastAsia="zh-CN"/>
        </w:rPr>
        <w:t>5</w:t>
      </w:r>
      <w:r>
        <w:rPr>
          <w:rFonts w:hint="eastAsia" w:ascii="宋体" w:hAnsi="宋体" w:eastAsia="宋体" w:cs="宋体"/>
          <w:color w:val="auto"/>
        </w:rPr>
        <w:t>.4.2若投标文件解密后，有效电子投标文件不足三家的，本项目应予废标。</w:t>
      </w:r>
    </w:p>
    <w:p w14:paraId="48ED006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Cs w:val="24"/>
        </w:rPr>
      </w:pPr>
      <w:r>
        <w:rPr>
          <w:rFonts w:hint="eastAsia" w:ascii="宋体" w:hAnsi="宋体" w:eastAsia="宋体" w:cs="宋体"/>
          <w:color w:val="auto"/>
          <w:lang w:val="en-US" w:eastAsia="zh-CN"/>
        </w:rPr>
        <w:t>5</w:t>
      </w:r>
      <w:r>
        <w:rPr>
          <w:rFonts w:hint="eastAsia" w:ascii="宋体" w:hAnsi="宋体" w:eastAsia="宋体" w:cs="宋体"/>
          <w:color w:val="auto"/>
        </w:rPr>
        <w:t>.5由采购人对各投标人的投标文件进行资格审查,未通过资格审查的投标文件为无效投标文件，通过资格审查的投标文件可进入评标环节；有效投标文件由评标委员会进行评审、比较。</w:t>
      </w:r>
    </w:p>
    <w:p w14:paraId="4117650C">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r>
        <w:rPr>
          <w:rFonts w:hint="eastAsia" w:ascii="宋体" w:hAnsi="宋体" w:eastAsia="宋体" w:cs="宋体"/>
          <w:color w:val="auto"/>
          <w:szCs w:val="24"/>
          <w:lang w:val="en-US" w:eastAsia="zh-CN"/>
        </w:rPr>
        <w:t>6</w:t>
      </w:r>
      <w:r>
        <w:rPr>
          <w:rFonts w:hint="eastAsia" w:ascii="宋体" w:hAnsi="宋体" w:eastAsia="宋体" w:cs="宋体"/>
          <w:color w:val="auto"/>
          <w:szCs w:val="24"/>
        </w:rPr>
        <w:t>.评标</w:t>
      </w:r>
      <w:bookmarkEnd w:id="60"/>
      <w:bookmarkEnd w:id="61"/>
      <w:bookmarkEnd w:id="62"/>
      <w:bookmarkEnd w:id="63"/>
      <w:bookmarkEnd w:id="64"/>
      <w:bookmarkEnd w:id="65"/>
      <w:bookmarkEnd w:id="66"/>
      <w:bookmarkEnd w:id="67"/>
      <w:bookmarkEnd w:id="68"/>
    </w:p>
    <w:p w14:paraId="7BC2246A">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69" w:name="_Toc307905069"/>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 评标委员会</w:t>
      </w:r>
      <w:bookmarkEnd w:id="69"/>
    </w:p>
    <w:p w14:paraId="45730A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.1.1 评标由</w:t>
      </w:r>
      <w:r>
        <w:rPr>
          <w:rFonts w:hint="eastAsia" w:ascii="宋体" w:hAnsi="宋体" w:eastAsia="宋体" w:cs="宋体"/>
          <w:color w:val="auto"/>
          <w:sz w:val="24"/>
          <w:lang w:eastAsia="zh-CN"/>
        </w:rPr>
        <w:t>采购人</w:t>
      </w:r>
      <w:r>
        <w:rPr>
          <w:rFonts w:hint="eastAsia" w:ascii="宋体" w:hAnsi="宋体" w:eastAsia="宋体" w:cs="宋体"/>
          <w:color w:val="auto"/>
          <w:sz w:val="24"/>
        </w:rPr>
        <w:t>依法组建的评标委员会负责。评标委员会成员人数以及技术、经济等方面专家的确定方式见</w:t>
      </w:r>
      <w:r>
        <w:rPr>
          <w:rFonts w:hint="eastAsia" w:ascii="宋体" w:hAnsi="宋体" w:cs="宋体"/>
          <w:color w:val="auto"/>
          <w:sz w:val="24"/>
          <w:szCs w:val="21"/>
          <w:lang w:eastAsia="zh-CN"/>
        </w:rPr>
        <w:t>供应商</w:t>
      </w:r>
      <w:r>
        <w:rPr>
          <w:rFonts w:hint="eastAsia" w:ascii="宋体" w:hAnsi="宋体" w:eastAsia="宋体" w:cs="宋体"/>
          <w:color w:val="auto"/>
          <w:sz w:val="24"/>
        </w:rPr>
        <w:t>须知前附表。</w:t>
      </w:r>
    </w:p>
    <w:p w14:paraId="731A894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.1.2 评标委员会成员有下列情形之一的，应当回避：</w:t>
      </w:r>
    </w:p>
    <w:p w14:paraId="7FF5599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cs="宋体"/>
          <w:color w:val="auto"/>
          <w:sz w:val="24"/>
          <w:szCs w:val="21"/>
          <w:lang w:eastAsia="zh-CN"/>
        </w:rPr>
        <w:t>供应商</w:t>
      </w:r>
      <w:r>
        <w:rPr>
          <w:rFonts w:hint="eastAsia" w:ascii="宋体" w:hAnsi="宋体" w:eastAsia="宋体" w:cs="宋体"/>
          <w:color w:val="auto"/>
          <w:sz w:val="24"/>
        </w:rPr>
        <w:t>或</w:t>
      </w:r>
      <w:r>
        <w:rPr>
          <w:rFonts w:hint="eastAsia" w:ascii="宋体" w:hAnsi="宋体" w:cs="宋体"/>
          <w:color w:val="auto"/>
          <w:sz w:val="24"/>
          <w:szCs w:val="21"/>
          <w:lang w:eastAsia="zh-CN"/>
        </w:rPr>
        <w:t>供应商</w:t>
      </w:r>
      <w:r>
        <w:rPr>
          <w:rFonts w:hint="eastAsia" w:ascii="宋体" w:hAnsi="宋体" w:eastAsia="宋体" w:cs="宋体"/>
          <w:color w:val="auto"/>
          <w:sz w:val="24"/>
        </w:rPr>
        <w:t>的主要负责人的近亲属；</w:t>
      </w:r>
    </w:p>
    <w:p w14:paraId="56BAC20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(2）项目主管部门或者行政监督部门的人员：</w:t>
      </w:r>
    </w:p>
    <w:p w14:paraId="254CBF9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(3）与</w:t>
      </w:r>
      <w:r>
        <w:rPr>
          <w:rFonts w:hint="eastAsia" w:ascii="宋体" w:hAnsi="宋体" w:cs="宋体"/>
          <w:color w:val="auto"/>
          <w:sz w:val="24"/>
          <w:szCs w:val="21"/>
          <w:lang w:eastAsia="zh-CN"/>
        </w:rPr>
        <w:t>供应商</w:t>
      </w:r>
      <w:r>
        <w:rPr>
          <w:rFonts w:hint="eastAsia" w:ascii="宋体" w:hAnsi="宋体" w:eastAsia="宋体" w:cs="宋体"/>
          <w:color w:val="auto"/>
          <w:sz w:val="24"/>
        </w:rPr>
        <w:t>有经济利益关系，可能影响对投标公正评审的；</w:t>
      </w:r>
    </w:p>
    <w:p w14:paraId="5753D32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(4）曾因在招标、评标以及其他与招标投标有关活动中从事违法行为而受过行政处罚或刑事处罚的。</w:t>
      </w:r>
    </w:p>
    <w:p w14:paraId="4B9231A3">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70" w:name="_Toc307905070"/>
      <w:r>
        <w:rPr>
          <w:rFonts w:hint="eastAsia" w:ascii="宋体" w:hAnsi="宋体" w:cs="宋体"/>
          <w:color w:val="auto"/>
          <w:sz w:val="24"/>
          <w:szCs w:val="24"/>
          <w:lang w:val="en-US" w:eastAsia="zh-CN"/>
        </w:rPr>
        <w:t>6</w:t>
      </w:r>
      <w:r>
        <w:rPr>
          <w:rFonts w:hint="eastAsia" w:ascii="宋体" w:hAnsi="宋体" w:eastAsia="宋体" w:cs="宋体"/>
          <w:color w:val="auto"/>
          <w:sz w:val="24"/>
          <w:szCs w:val="24"/>
        </w:rPr>
        <w:t>.2 评标原则</w:t>
      </w:r>
      <w:bookmarkEnd w:id="70"/>
    </w:p>
    <w:p w14:paraId="039467A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评标活动遵循公平、公正、科学和择优的原则。</w:t>
      </w:r>
    </w:p>
    <w:p w14:paraId="2CD3C816">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71" w:name="_Toc307905071"/>
      <w:r>
        <w:rPr>
          <w:rFonts w:hint="eastAsia" w:ascii="宋体" w:hAnsi="宋体" w:cs="宋体"/>
          <w:color w:val="auto"/>
          <w:sz w:val="24"/>
          <w:szCs w:val="24"/>
          <w:lang w:val="en-US" w:eastAsia="zh-CN"/>
        </w:rPr>
        <w:t>6</w:t>
      </w:r>
      <w:r>
        <w:rPr>
          <w:rFonts w:hint="eastAsia" w:ascii="宋体" w:hAnsi="宋体" w:eastAsia="宋体" w:cs="宋体"/>
          <w:color w:val="auto"/>
          <w:sz w:val="24"/>
          <w:szCs w:val="24"/>
        </w:rPr>
        <w:t>.3 评标</w:t>
      </w:r>
      <w:bookmarkEnd w:id="71"/>
    </w:p>
    <w:p w14:paraId="68D0B46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评标委员会按照第三章“评标办法”规定的方法、评审因素、标准和程序对投标文件进行评审。第三章“评标办法”没有规定的方法、评审因素和标准，不作为评标依据。</w:t>
      </w:r>
    </w:p>
    <w:p w14:paraId="34B1F992">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bookmarkStart w:id="72" w:name="_Toc322792552"/>
      <w:bookmarkStart w:id="73" w:name="_Toc324426331"/>
      <w:bookmarkStart w:id="74" w:name="_Toc404096920"/>
      <w:bookmarkStart w:id="75" w:name="_Toc322792294"/>
      <w:bookmarkStart w:id="76" w:name="_Toc322791374"/>
      <w:bookmarkStart w:id="77" w:name="_Toc358045605"/>
      <w:bookmarkStart w:id="78" w:name="_Toc184635077"/>
      <w:bookmarkStart w:id="79" w:name="_Toc307905072"/>
      <w:bookmarkStart w:id="80" w:name="_Toc307905276"/>
      <w:r>
        <w:rPr>
          <w:rFonts w:hint="eastAsia" w:ascii="宋体" w:hAnsi="宋体" w:eastAsia="宋体" w:cs="宋体"/>
          <w:color w:val="auto"/>
          <w:szCs w:val="24"/>
          <w:lang w:val="en-US" w:eastAsia="zh-CN"/>
        </w:rPr>
        <w:t>7</w:t>
      </w:r>
      <w:r>
        <w:rPr>
          <w:rFonts w:hint="eastAsia" w:ascii="宋体" w:hAnsi="宋体" w:eastAsia="宋体" w:cs="宋体"/>
          <w:color w:val="auto"/>
          <w:szCs w:val="24"/>
        </w:rPr>
        <w:t>.合同授予</w:t>
      </w:r>
      <w:bookmarkEnd w:id="72"/>
      <w:bookmarkEnd w:id="73"/>
      <w:bookmarkEnd w:id="74"/>
      <w:bookmarkEnd w:id="75"/>
      <w:bookmarkEnd w:id="76"/>
      <w:bookmarkEnd w:id="77"/>
      <w:bookmarkEnd w:id="78"/>
      <w:bookmarkEnd w:id="79"/>
      <w:bookmarkEnd w:id="80"/>
    </w:p>
    <w:p w14:paraId="745DCBB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本招标项目的合同将授予按本评标办法确定的中标供应商。</w:t>
      </w:r>
    </w:p>
    <w:p w14:paraId="32CFA5C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中标或者成交供应商拒绝与采购人签订合同的，采购人可以按照评审报告推荐的中标或者成交候选人名单排序，确定下一候选人为中标或者成交供应商，也可以重新开展政府采购活动。</w:t>
      </w:r>
    </w:p>
    <w:p w14:paraId="2399E1D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采购人不承诺将合同授予报价最低的或最高的中标候选人。</w:t>
      </w:r>
    </w:p>
    <w:p w14:paraId="1BD6D530">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 xml:space="preserve">7.1 定标办法 </w:t>
      </w:r>
    </w:p>
    <w:p w14:paraId="0003B92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7.1.1响应单位的排名按得分顺序从高到低排列；得分相同的，按响应报价由低到高顺序排列；得分且响应报价相同的，按技术指标优劣顺序排列。</w:t>
      </w:r>
    </w:p>
    <w:p w14:paraId="36C1AE9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7.1.2采购人按评标小组写出评标报告确定排序第一的响应单位为成交人。</w:t>
      </w:r>
    </w:p>
    <w:p w14:paraId="18711BE0">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 xml:space="preserve">7.2 中标通知 </w:t>
      </w:r>
    </w:p>
    <w:p w14:paraId="7FE75A8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7.2.1 采购代理机构应当在评标结束后 2 个工作日内将评标报告送采购人。</w:t>
      </w:r>
    </w:p>
    <w:p w14:paraId="4F761A1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7.2.2 采购人应当自收到评标报告之日起 5 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70A251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3</w:t>
      </w:r>
      <w:r>
        <w:rPr>
          <w:rFonts w:hint="eastAsia" w:ascii="宋体" w:hAnsi="宋体" w:eastAsia="宋体" w:cs="宋体"/>
          <w:color w:val="auto"/>
          <w:sz w:val="24"/>
        </w:rPr>
        <w:t xml:space="preserve"> 采购人或者采购代理机构应当自中标人确定之日起 2 个工作日内，在省级以上财政部门指定的媒体上公告中标结果，招标文件应当随中标结果同时公告。 </w:t>
      </w:r>
    </w:p>
    <w:p w14:paraId="1DD9BF38">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4</w:t>
      </w:r>
      <w:r>
        <w:rPr>
          <w:rFonts w:hint="eastAsia" w:ascii="宋体" w:hAnsi="宋体" w:eastAsia="宋体" w:cs="宋体"/>
          <w:color w:val="auto"/>
          <w:sz w:val="24"/>
        </w:rPr>
        <w:t xml:space="preserve"> 中标结果公告内容应当包括采购人及其委托的采购代理机构的名称、地址、联系方式，项目名称和项目编号，中标人名称、地址和中标金额，主要中标标的的名称、规格型号、数量、单价，中标公告期限以及评审专家名单。 </w:t>
      </w:r>
    </w:p>
    <w:p w14:paraId="61522A2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中标公告期限为 1 个工作日。 </w:t>
      </w:r>
    </w:p>
    <w:p w14:paraId="15A15E3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6</w:t>
      </w:r>
      <w:r>
        <w:rPr>
          <w:rFonts w:hint="eastAsia" w:ascii="宋体" w:hAnsi="宋体" w:eastAsia="宋体" w:cs="宋体"/>
          <w:color w:val="auto"/>
          <w:sz w:val="24"/>
        </w:rPr>
        <w:t xml:space="preserve"> 在公告中标结果的同时，采购人或者采购代理机构应当向中标人发出中标通知书；对未通过资格审查的供应商，应当告知其未通过的原因。 </w:t>
      </w:r>
    </w:p>
    <w:p w14:paraId="16081876">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w:t>
      </w:r>
      <w:r>
        <w:rPr>
          <w:rFonts w:hint="eastAsia" w:ascii="宋体" w:hAnsi="宋体" w:eastAsia="宋体" w:cs="宋体"/>
          <w:color w:val="auto"/>
          <w:sz w:val="24"/>
          <w:lang w:val="en-US" w:eastAsia="zh-CN"/>
        </w:rPr>
        <w:t>7</w:t>
      </w:r>
      <w:r>
        <w:rPr>
          <w:rFonts w:hint="eastAsia" w:ascii="宋体" w:hAnsi="宋体" w:eastAsia="宋体" w:cs="宋体"/>
          <w:color w:val="auto"/>
          <w:sz w:val="24"/>
        </w:rPr>
        <w:t xml:space="preserve"> 中标通知书发出后，采购人不得违法改变中标结果，中标人无正当理由不得放弃中标。 </w:t>
      </w:r>
    </w:p>
    <w:p w14:paraId="7E32B3ED">
      <w:pPr>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rPr>
      </w:pPr>
      <w:r>
        <w:rPr>
          <w:rFonts w:hint="eastAsia" w:ascii="宋体" w:hAnsi="宋体" w:eastAsia="宋体" w:cs="宋体"/>
          <w:b/>
          <w:bCs/>
          <w:color w:val="auto"/>
          <w:sz w:val="24"/>
        </w:rPr>
        <w:t>7.3 签订合同</w:t>
      </w:r>
      <w:r>
        <w:rPr>
          <w:rFonts w:hint="eastAsia" w:ascii="宋体" w:hAnsi="宋体" w:eastAsia="宋体" w:cs="宋体"/>
          <w:color w:val="auto"/>
          <w:sz w:val="24"/>
        </w:rPr>
        <w:t xml:space="preserve"> </w:t>
      </w:r>
    </w:p>
    <w:p w14:paraId="76A462C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7.3.1 采购人应当自中标通知书发出之日起 30 日内，按照招标文件和中标人投标文件的规定，与中标人签订书面合同。所签订的合同不得对招标文件确定的事项和中标人投标文件作实质性修改。 </w:t>
      </w:r>
    </w:p>
    <w:p w14:paraId="46843444">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 xml:space="preserve">7.3.2 采购人不得向中标人提出任何不合理的要求作为签订合同的条件。 </w:t>
      </w:r>
    </w:p>
    <w:p w14:paraId="221BA25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7.3.3 发出中标通知书后，采购人无正当理由拒签合同的，给中标人造成损失的，还应当赔偿损失。</w:t>
      </w:r>
    </w:p>
    <w:p w14:paraId="5143AEDF">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bookmarkStart w:id="81" w:name="_Toc322792553"/>
      <w:bookmarkStart w:id="82" w:name="_Toc307905077"/>
      <w:bookmarkStart w:id="83" w:name="_Toc184635078"/>
      <w:bookmarkStart w:id="84" w:name="_Toc307905277"/>
      <w:bookmarkStart w:id="85" w:name="_Toc322791375"/>
      <w:bookmarkStart w:id="86" w:name="_Toc404096921"/>
      <w:bookmarkStart w:id="87" w:name="_Toc358045606"/>
      <w:bookmarkStart w:id="88" w:name="_Toc324426332"/>
      <w:bookmarkStart w:id="89" w:name="_Toc322792295"/>
      <w:r>
        <w:rPr>
          <w:rFonts w:hint="eastAsia" w:ascii="宋体" w:hAnsi="宋体" w:eastAsia="宋体" w:cs="宋体"/>
          <w:color w:val="auto"/>
          <w:szCs w:val="24"/>
          <w:lang w:val="en-US" w:eastAsia="zh-CN"/>
        </w:rPr>
        <w:t>8</w:t>
      </w:r>
      <w:r>
        <w:rPr>
          <w:rFonts w:hint="eastAsia" w:ascii="宋体" w:hAnsi="宋体" w:eastAsia="宋体" w:cs="宋体"/>
          <w:color w:val="auto"/>
          <w:szCs w:val="24"/>
        </w:rPr>
        <w:t>.重新招标和不再招标</w:t>
      </w:r>
      <w:bookmarkEnd w:id="81"/>
      <w:bookmarkEnd w:id="82"/>
      <w:bookmarkEnd w:id="83"/>
      <w:bookmarkEnd w:id="84"/>
      <w:bookmarkEnd w:id="85"/>
      <w:bookmarkEnd w:id="86"/>
      <w:bookmarkEnd w:id="87"/>
      <w:bookmarkEnd w:id="88"/>
      <w:bookmarkEnd w:id="89"/>
    </w:p>
    <w:p w14:paraId="2946EDB0">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90" w:name="_Toc307905078"/>
      <w:r>
        <w:rPr>
          <w:rFonts w:hint="eastAsia" w:ascii="宋体" w:hAnsi="宋体" w:cs="宋体"/>
          <w:color w:val="auto"/>
          <w:sz w:val="24"/>
          <w:szCs w:val="24"/>
          <w:lang w:val="en-US" w:eastAsia="zh-CN"/>
        </w:rPr>
        <w:t>8</w:t>
      </w:r>
      <w:r>
        <w:rPr>
          <w:rFonts w:hint="eastAsia" w:ascii="宋体" w:hAnsi="宋体" w:eastAsia="宋体" w:cs="宋体"/>
          <w:color w:val="auto"/>
          <w:sz w:val="24"/>
          <w:szCs w:val="24"/>
        </w:rPr>
        <w:t>.1 重新招标</w:t>
      </w:r>
      <w:bookmarkEnd w:id="90"/>
    </w:p>
    <w:p w14:paraId="0B9B5C1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有下列情形之一的，</w:t>
      </w:r>
      <w:r>
        <w:rPr>
          <w:rFonts w:hint="eastAsia" w:ascii="宋体" w:hAnsi="宋体" w:eastAsia="宋体" w:cs="宋体"/>
          <w:color w:val="auto"/>
          <w:sz w:val="24"/>
          <w:lang w:eastAsia="zh-CN"/>
        </w:rPr>
        <w:t>供应商</w:t>
      </w:r>
      <w:r>
        <w:rPr>
          <w:rFonts w:hint="eastAsia" w:ascii="宋体" w:hAnsi="宋体" w:eastAsia="宋体" w:cs="宋体"/>
          <w:color w:val="auto"/>
          <w:sz w:val="24"/>
        </w:rPr>
        <w:t>将重新招标：</w:t>
      </w:r>
    </w:p>
    <w:p w14:paraId="6C1838F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(l）投标截止时间止，</w:t>
      </w:r>
      <w:r>
        <w:rPr>
          <w:rFonts w:hint="eastAsia" w:ascii="宋体" w:hAnsi="宋体" w:eastAsia="宋体" w:cs="宋体"/>
          <w:color w:val="auto"/>
          <w:sz w:val="24"/>
          <w:lang w:eastAsia="zh-CN"/>
        </w:rPr>
        <w:t>供应商</w:t>
      </w:r>
      <w:r>
        <w:rPr>
          <w:rFonts w:hint="eastAsia" w:ascii="宋体" w:hAnsi="宋体" w:eastAsia="宋体" w:cs="宋体"/>
          <w:color w:val="auto"/>
          <w:sz w:val="24"/>
        </w:rPr>
        <w:t>少于3个的；</w:t>
      </w:r>
    </w:p>
    <w:p w14:paraId="0517863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通过资格性审查的</w:t>
      </w:r>
      <w:r>
        <w:rPr>
          <w:rFonts w:hint="eastAsia" w:ascii="宋体" w:hAnsi="宋体" w:eastAsia="宋体" w:cs="宋体"/>
          <w:color w:val="auto"/>
          <w:sz w:val="24"/>
          <w:lang w:eastAsia="zh-CN"/>
        </w:rPr>
        <w:t>供应商</w:t>
      </w:r>
      <w:r>
        <w:rPr>
          <w:rFonts w:hint="eastAsia" w:ascii="宋体" w:hAnsi="宋体" w:eastAsia="宋体" w:cs="宋体"/>
          <w:color w:val="auto"/>
          <w:sz w:val="24"/>
          <w:lang w:val="en-US" w:eastAsia="zh-CN"/>
        </w:rPr>
        <w:t>不足三家的</w:t>
      </w:r>
      <w:r>
        <w:rPr>
          <w:rFonts w:hint="eastAsia" w:ascii="宋体" w:hAnsi="宋体" w:eastAsia="宋体" w:cs="宋体"/>
          <w:color w:val="auto"/>
          <w:sz w:val="24"/>
        </w:rPr>
        <w:t>。</w:t>
      </w:r>
    </w:p>
    <w:p w14:paraId="7E1E259B">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91" w:name="_Toc307905079"/>
      <w:r>
        <w:rPr>
          <w:rFonts w:hint="eastAsia" w:ascii="宋体" w:hAnsi="宋体" w:cs="宋体"/>
          <w:color w:val="auto"/>
          <w:sz w:val="24"/>
          <w:szCs w:val="24"/>
          <w:lang w:val="en-US" w:eastAsia="zh-CN"/>
        </w:rPr>
        <w:t>8</w:t>
      </w:r>
      <w:r>
        <w:rPr>
          <w:rFonts w:hint="eastAsia" w:ascii="宋体" w:hAnsi="宋体" w:eastAsia="宋体" w:cs="宋体"/>
          <w:color w:val="auto"/>
          <w:sz w:val="24"/>
          <w:szCs w:val="24"/>
        </w:rPr>
        <w:t>.2 不再招标</w:t>
      </w:r>
      <w:bookmarkEnd w:id="91"/>
    </w:p>
    <w:p w14:paraId="679D025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重新招标后</w:t>
      </w:r>
      <w:r>
        <w:rPr>
          <w:rFonts w:hint="eastAsia" w:ascii="宋体" w:hAnsi="宋体" w:eastAsia="宋体" w:cs="宋体"/>
          <w:color w:val="auto"/>
          <w:sz w:val="24"/>
          <w:lang w:eastAsia="zh-CN"/>
        </w:rPr>
        <w:t>供应商</w:t>
      </w:r>
      <w:r>
        <w:rPr>
          <w:rFonts w:hint="eastAsia" w:ascii="宋体" w:hAnsi="宋体" w:eastAsia="宋体" w:cs="宋体"/>
          <w:color w:val="auto"/>
          <w:sz w:val="24"/>
        </w:rPr>
        <w:t>仍少于3个或者所有投标被否决的，</w:t>
      </w:r>
      <w:r>
        <w:rPr>
          <w:rFonts w:hint="eastAsia" w:ascii="宋体" w:hAnsi="宋体" w:eastAsia="宋体" w:cs="宋体"/>
          <w:color w:val="auto"/>
          <w:sz w:val="24"/>
          <w:lang w:eastAsia="zh-CN"/>
        </w:rPr>
        <w:t>供应商</w:t>
      </w:r>
      <w:r>
        <w:rPr>
          <w:rFonts w:hint="eastAsia" w:ascii="宋体" w:hAnsi="宋体" w:eastAsia="宋体" w:cs="宋体"/>
          <w:color w:val="auto"/>
          <w:sz w:val="24"/>
        </w:rPr>
        <w:t>可以不再进行招标。</w:t>
      </w:r>
    </w:p>
    <w:p w14:paraId="126F6619">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bookmarkStart w:id="92" w:name="_Toc307905278"/>
      <w:bookmarkStart w:id="93" w:name="_Toc322792554"/>
      <w:bookmarkStart w:id="94" w:name="_Toc322791376"/>
      <w:bookmarkStart w:id="95" w:name="_Toc322792296"/>
      <w:bookmarkStart w:id="96" w:name="_Toc404096922"/>
      <w:bookmarkStart w:id="97" w:name="_Toc358045607"/>
      <w:bookmarkStart w:id="98" w:name="_Toc307905080"/>
      <w:bookmarkStart w:id="99" w:name="_Toc184635079"/>
      <w:bookmarkStart w:id="100" w:name="_Toc324426333"/>
      <w:r>
        <w:rPr>
          <w:rFonts w:hint="eastAsia" w:ascii="宋体" w:hAnsi="宋体" w:eastAsia="宋体" w:cs="宋体"/>
          <w:color w:val="auto"/>
          <w:szCs w:val="24"/>
          <w:lang w:val="en-US" w:eastAsia="zh-CN"/>
        </w:rPr>
        <w:t>9</w:t>
      </w:r>
      <w:r>
        <w:rPr>
          <w:rFonts w:hint="eastAsia" w:ascii="宋体" w:hAnsi="宋体" w:eastAsia="宋体" w:cs="宋体"/>
          <w:color w:val="auto"/>
          <w:szCs w:val="24"/>
        </w:rPr>
        <w:t>.纪律和监督</w:t>
      </w:r>
      <w:bookmarkEnd w:id="92"/>
      <w:bookmarkEnd w:id="93"/>
      <w:bookmarkEnd w:id="94"/>
      <w:bookmarkEnd w:id="95"/>
      <w:bookmarkEnd w:id="96"/>
      <w:bookmarkEnd w:id="97"/>
      <w:bookmarkEnd w:id="98"/>
      <w:bookmarkEnd w:id="99"/>
      <w:bookmarkEnd w:id="100"/>
    </w:p>
    <w:p w14:paraId="2EFC80CC">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01" w:name="_Toc307905081"/>
      <w:r>
        <w:rPr>
          <w:rFonts w:hint="eastAsia" w:ascii="宋体" w:hAnsi="宋体" w:cs="宋体"/>
          <w:color w:val="auto"/>
          <w:sz w:val="24"/>
          <w:szCs w:val="24"/>
          <w:lang w:val="en-US" w:eastAsia="zh-CN"/>
        </w:rPr>
        <w:t>9</w:t>
      </w:r>
      <w:r>
        <w:rPr>
          <w:rFonts w:hint="eastAsia" w:ascii="宋体" w:hAnsi="宋体" w:eastAsia="宋体" w:cs="宋体"/>
          <w:color w:val="auto"/>
          <w:sz w:val="24"/>
          <w:szCs w:val="24"/>
        </w:rPr>
        <w:t>.1 对</w:t>
      </w:r>
      <w:r>
        <w:rPr>
          <w:rFonts w:hint="eastAsia" w:ascii="宋体" w:hAnsi="宋体" w:eastAsia="宋体" w:cs="宋体"/>
          <w:color w:val="auto"/>
          <w:sz w:val="24"/>
          <w:lang w:eastAsia="zh-CN"/>
        </w:rPr>
        <w:t>采购人</w:t>
      </w:r>
      <w:r>
        <w:rPr>
          <w:rFonts w:hint="eastAsia" w:ascii="宋体" w:hAnsi="宋体" w:eastAsia="宋体" w:cs="宋体"/>
          <w:color w:val="auto"/>
          <w:sz w:val="24"/>
          <w:szCs w:val="24"/>
        </w:rPr>
        <w:t>的纪律要求</w:t>
      </w:r>
      <w:bookmarkEnd w:id="101"/>
    </w:p>
    <w:p w14:paraId="4580180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采购人</w:t>
      </w:r>
      <w:r>
        <w:rPr>
          <w:rFonts w:hint="eastAsia" w:ascii="宋体" w:hAnsi="宋体" w:eastAsia="宋体" w:cs="宋体"/>
          <w:color w:val="auto"/>
          <w:sz w:val="24"/>
        </w:rPr>
        <w:t>不得泄漏招标投标活动中应当保密的情况和资料，不得与</w:t>
      </w:r>
      <w:r>
        <w:rPr>
          <w:rFonts w:hint="eastAsia" w:ascii="宋体" w:hAnsi="宋体" w:eastAsia="宋体" w:cs="宋体"/>
          <w:color w:val="auto"/>
          <w:sz w:val="24"/>
          <w:lang w:eastAsia="zh-CN"/>
        </w:rPr>
        <w:t>供应商</w:t>
      </w:r>
      <w:r>
        <w:rPr>
          <w:rFonts w:hint="eastAsia" w:ascii="宋体" w:hAnsi="宋体" w:eastAsia="宋体" w:cs="宋体"/>
          <w:color w:val="auto"/>
          <w:sz w:val="24"/>
        </w:rPr>
        <w:t>串通损害国家利益、社会公共利益或者他人合法权益。</w:t>
      </w:r>
    </w:p>
    <w:p w14:paraId="0CD73538">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02" w:name="_Toc307905082"/>
      <w:r>
        <w:rPr>
          <w:rFonts w:hint="eastAsia" w:ascii="宋体" w:hAnsi="宋体" w:cs="宋体"/>
          <w:color w:val="auto"/>
          <w:sz w:val="24"/>
          <w:szCs w:val="24"/>
          <w:lang w:val="en-US" w:eastAsia="zh-CN"/>
        </w:rPr>
        <w:t>9</w:t>
      </w:r>
      <w:r>
        <w:rPr>
          <w:rFonts w:hint="eastAsia" w:ascii="宋体" w:hAnsi="宋体" w:eastAsia="宋体" w:cs="宋体"/>
          <w:color w:val="auto"/>
          <w:sz w:val="24"/>
          <w:szCs w:val="24"/>
        </w:rPr>
        <w:t>.2 对</w:t>
      </w:r>
      <w:r>
        <w:rPr>
          <w:rFonts w:hint="eastAsia" w:ascii="宋体" w:hAnsi="宋体" w:eastAsia="宋体" w:cs="宋体"/>
          <w:color w:val="auto"/>
          <w:sz w:val="24"/>
          <w:lang w:eastAsia="zh-CN"/>
        </w:rPr>
        <w:t>供应商</w:t>
      </w:r>
      <w:r>
        <w:rPr>
          <w:rFonts w:hint="eastAsia" w:ascii="宋体" w:hAnsi="宋体" w:eastAsia="宋体" w:cs="宋体"/>
          <w:color w:val="auto"/>
          <w:sz w:val="24"/>
          <w:szCs w:val="24"/>
        </w:rPr>
        <w:t>的纪律要求</w:t>
      </w:r>
      <w:bookmarkEnd w:id="102"/>
    </w:p>
    <w:p w14:paraId="0D3E4C3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不得相互串通投标或者与</w:t>
      </w:r>
      <w:r>
        <w:rPr>
          <w:rFonts w:hint="eastAsia" w:ascii="宋体" w:hAnsi="宋体" w:eastAsia="宋体" w:cs="宋体"/>
          <w:color w:val="auto"/>
          <w:sz w:val="24"/>
          <w:lang w:eastAsia="zh-CN"/>
        </w:rPr>
        <w:t>采购人</w:t>
      </w:r>
      <w:r>
        <w:rPr>
          <w:rFonts w:hint="eastAsia" w:ascii="宋体" w:hAnsi="宋体" w:eastAsia="宋体" w:cs="宋体"/>
          <w:color w:val="auto"/>
          <w:sz w:val="24"/>
        </w:rPr>
        <w:t>串通投标，不得向</w:t>
      </w:r>
      <w:r>
        <w:rPr>
          <w:rFonts w:hint="eastAsia" w:ascii="宋体" w:hAnsi="宋体" w:eastAsia="宋体" w:cs="宋体"/>
          <w:color w:val="auto"/>
          <w:sz w:val="24"/>
          <w:lang w:eastAsia="zh-CN"/>
        </w:rPr>
        <w:t>采购人</w:t>
      </w:r>
      <w:r>
        <w:rPr>
          <w:rFonts w:hint="eastAsia" w:ascii="宋体" w:hAnsi="宋体" w:eastAsia="宋体" w:cs="宋体"/>
          <w:color w:val="auto"/>
          <w:sz w:val="24"/>
        </w:rPr>
        <w:t>或者评标委员会成员行贿谋取中标，不得以他人名义投标或者以其他方式弄虚作假骗取中标；</w:t>
      </w:r>
      <w:r>
        <w:rPr>
          <w:rFonts w:hint="eastAsia" w:ascii="宋体" w:hAnsi="宋体" w:eastAsia="宋体" w:cs="宋体"/>
          <w:color w:val="auto"/>
          <w:sz w:val="24"/>
          <w:lang w:eastAsia="zh-CN"/>
        </w:rPr>
        <w:t>供应商</w:t>
      </w:r>
      <w:r>
        <w:rPr>
          <w:rFonts w:hint="eastAsia" w:ascii="宋体" w:hAnsi="宋体" w:eastAsia="宋体" w:cs="宋体"/>
          <w:color w:val="auto"/>
          <w:sz w:val="24"/>
        </w:rPr>
        <w:t>不得以任何方式干扰、影响评标工作。</w:t>
      </w:r>
    </w:p>
    <w:p w14:paraId="1DFE3E1B">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03" w:name="_Toc307905083"/>
      <w:r>
        <w:rPr>
          <w:rFonts w:hint="eastAsia" w:ascii="宋体" w:hAnsi="宋体" w:cs="宋体"/>
          <w:color w:val="auto"/>
          <w:sz w:val="24"/>
          <w:szCs w:val="24"/>
          <w:lang w:val="en-US" w:eastAsia="zh-CN"/>
        </w:rPr>
        <w:t>9</w:t>
      </w:r>
      <w:r>
        <w:rPr>
          <w:rFonts w:hint="eastAsia" w:ascii="宋体" w:hAnsi="宋体" w:eastAsia="宋体" w:cs="宋体"/>
          <w:color w:val="auto"/>
          <w:sz w:val="24"/>
          <w:szCs w:val="24"/>
        </w:rPr>
        <w:t>.3 对评标委员会成员的纪律要求</w:t>
      </w:r>
      <w:bookmarkEnd w:id="103"/>
    </w:p>
    <w:p w14:paraId="30CBD957">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0C03B08D">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04" w:name="_Toc307905084"/>
      <w:r>
        <w:rPr>
          <w:rFonts w:hint="eastAsia" w:ascii="宋体" w:hAnsi="宋体" w:cs="宋体"/>
          <w:color w:val="auto"/>
          <w:sz w:val="24"/>
          <w:szCs w:val="24"/>
          <w:lang w:val="en-US" w:eastAsia="zh-CN"/>
        </w:rPr>
        <w:t>9</w:t>
      </w:r>
      <w:r>
        <w:rPr>
          <w:rFonts w:hint="eastAsia" w:ascii="宋体" w:hAnsi="宋体" w:eastAsia="宋体" w:cs="宋体"/>
          <w:color w:val="auto"/>
          <w:sz w:val="24"/>
          <w:szCs w:val="24"/>
        </w:rPr>
        <w:t>.4 对与评标活动有关的工作人员的纪律要求</w:t>
      </w:r>
      <w:bookmarkEnd w:id="104"/>
    </w:p>
    <w:p w14:paraId="45B61C6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636AAF5">
      <w:pPr>
        <w:pStyle w:val="5"/>
        <w:pageBreakBefore w:val="0"/>
        <w:widowControl w:val="0"/>
        <w:kinsoku/>
        <w:wordWrap/>
        <w:overflowPunct/>
        <w:topLinePunct w:val="0"/>
        <w:autoSpaceDE/>
        <w:autoSpaceDN/>
        <w:bidi w:val="0"/>
        <w:adjustRightInd w:val="0"/>
        <w:snapToGrid w:val="0"/>
        <w:spacing w:before="0" w:after="0" w:line="360" w:lineRule="auto"/>
        <w:ind w:firstLine="482" w:firstLineChars="200"/>
        <w:textAlignment w:val="auto"/>
        <w:rPr>
          <w:rFonts w:hint="eastAsia" w:ascii="宋体" w:hAnsi="宋体" w:eastAsia="宋体" w:cs="宋体"/>
          <w:color w:val="auto"/>
          <w:sz w:val="24"/>
          <w:szCs w:val="24"/>
        </w:rPr>
      </w:pPr>
      <w:bookmarkStart w:id="105" w:name="_Toc307905085"/>
      <w:r>
        <w:rPr>
          <w:rFonts w:hint="eastAsia" w:ascii="宋体" w:hAnsi="宋体" w:cs="宋体"/>
          <w:color w:val="auto"/>
          <w:sz w:val="24"/>
          <w:szCs w:val="24"/>
          <w:lang w:val="en-US" w:eastAsia="zh-CN"/>
        </w:rPr>
        <w:t>9</w:t>
      </w:r>
      <w:r>
        <w:rPr>
          <w:rFonts w:hint="eastAsia" w:ascii="宋体" w:hAnsi="宋体" w:eastAsia="宋体" w:cs="宋体"/>
          <w:color w:val="auto"/>
          <w:sz w:val="24"/>
          <w:szCs w:val="24"/>
        </w:rPr>
        <w:t>.5 投诉</w:t>
      </w:r>
      <w:bookmarkEnd w:id="105"/>
    </w:p>
    <w:p w14:paraId="702FC44B">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和其他利害关系人认为本次招标活动违反法律、法规和规章规定的，有权向有关行政监督部门投诉。</w:t>
      </w:r>
    </w:p>
    <w:p w14:paraId="432DC682">
      <w:pPr>
        <w:pStyle w:val="4"/>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eastAsia" w:ascii="宋体" w:hAnsi="宋体" w:eastAsia="宋体" w:cs="宋体"/>
          <w:color w:val="auto"/>
          <w:szCs w:val="24"/>
        </w:rPr>
      </w:pPr>
      <w:bookmarkStart w:id="106" w:name="_Toc324426334"/>
      <w:bookmarkStart w:id="107" w:name="_Toc322792297"/>
      <w:bookmarkStart w:id="108" w:name="_Toc307905086"/>
      <w:bookmarkStart w:id="109" w:name="_Toc358045608"/>
      <w:bookmarkStart w:id="110" w:name="_Toc322791377"/>
      <w:bookmarkStart w:id="111" w:name="_Toc184635080"/>
      <w:bookmarkStart w:id="112" w:name="_Toc322792555"/>
      <w:bookmarkStart w:id="113" w:name="_Toc404096923"/>
      <w:bookmarkStart w:id="114" w:name="_Toc307905279"/>
      <w:r>
        <w:rPr>
          <w:rFonts w:hint="eastAsia" w:ascii="宋体" w:hAnsi="宋体" w:eastAsia="宋体" w:cs="宋体"/>
          <w:color w:val="auto"/>
          <w:szCs w:val="24"/>
          <w:lang w:val="en-US" w:eastAsia="zh-CN"/>
        </w:rPr>
        <w:t>9</w:t>
      </w:r>
      <w:r>
        <w:rPr>
          <w:rFonts w:hint="eastAsia" w:ascii="宋体" w:hAnsi="宋体" w:eastAsia="宋体" w:cs="宋体"/>
          <w:color w:val="auto"/>
          <w:szCs w:val="24"/>
        </w:rPr>
        <w:t>.需要补充的其他内容</w:t>
      </w:r>
      <w:bookmarkEnd w:id="106"/>
      <w:bookmarkEnd w:id="107"/>
      <w:bookmarkEnd w:id="108"/>
      <w:bookmarkEnd w:id="109"/>
      <w:bookmarkEnd w:id="110"/>
      <w:bookmarkEnd w:id="111"/>
      <w:bookmarkEnd w:id="112"/>
      <w:bookmarkEnd w:id="113"/>
      <w:bookmarkEnd w:id="114"/>
    </w:p>
    <w:p w14:paraId="3EB5CFD0">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需要补充的其他内容：见</w:t>
      </w:r>
      <w:r>
        <w:rPr>
          <w:rFonts w:hint="eastAsia" w:ascii="宋体" w:hAnsi="宋体" w:eastAsia="宋体" w:cs="宋体"/>
          <w:color w:val="auto"/>
          <w:sz w:val="24"/>
          <w:lang w:eastAsia="zh-CN"/>
        </w:rPr>
        <w:t>供应商</w:t>
      </w:r>
      <w:r>
        <w:rPr>
          <w:rFonts w:hint="eastAsia" w:ascii="宋体" w:hAnsi="宋体" w:eastAsia="宋体" w:cs="宋体"/>
          <w:color w:val="auto"/>
          <w:sz w:val="24"/>
        </w:rPr>
        <w:t>须知前附表。</w:t>
      </w:r>
    </w:p>
    <w:p w14:paraId="7AD4B6BD">
      <w:pPr>
        <w:pStyle w:val="34"/>
        <w:spacing w:line="240" w:lineRule="auto"/>
        <w:rPr>
          <w:rFonts w:hint="eastAsia" w:ascii="宋体" w:hAnsi="宋体" w:eastAsia="宋体" w:cs="宋体"/>
          <w:color w:val="auto"/>
          <w:sz w:val="24"/>
          <w:szCs w:val="24"/>
        </w:rPr>
      </w:pPr>
    </w:p>
    <w:p w14:paraId="75AA11B6">
      <w:pPr>
        <w:pStyle w:val="34"/>
        <w:spacing w:line="240" w:lineRule="auto"/>
        <w:rPr>
          <w:rFonts w:hint="eastAsia" w:ascii="宋体" w:hAnsi="宋体" w:eastAsia="宋体" w:cs="宋体"/>
          <w:color w:val="auto"/>
          <w:sz w:val="24"/>
          <w:szCs w:val="24"/>
        </w:rPr>
      </w:pPr>
    </w:p>
    <w:p w14:paraId="5B944A69">
      <w:pPr>
        <w:pStyle w:val="34"/>
        <w:spacing w:line="240" w:lineRule="auto"/>
        <w:rPr>
          <w:rFonts w:hint="eastAsia" w:ascii="宋体" w:hAnsi="宋体" w:eastAsia="宋体" w:cs="宋体"/>
          <w:color w:val="auto"/>
          <w:sz w:val="24"/>
          <w:szCs w:val="24"/>
        </w:rPr>
      </w:pPr>
    </w:p>
    <w:p w14:paraId="54131EDE">
      <w:pPr>
        <w:pStyle w:val="34"/>
        <w:jc w:val="center"/>
        <w:outlineLvl w:val="0"/>
        <w:rPr>
          <w:rFonts w:hint="eastAsia" w:ascii="宋体" w:hAnsi="宋体" w:eastAsia="宋体" w:cs="宋体"/>
          <w:b/>
          <w:bCs/>
          <w:color w:val="auto"/>
          <w:sz w:val="32"/>
          <w:szCs w:val="36"/>
        </w:rPr>
      </w:pPr>
      <w:r>
        <w:rPr>
          <w:rFonts w:hint="eastAsia" w:ascii="宋体" w:hAnsi="宋体" w:eastAsia="宋体" w:cs="宋体"/>
          <w:b/>
          <w:color w:val="auto"/>
        </w:rPr>
        <w:br w:type="page"/>
      </w:r>
      <w:bookmarkStart w:id="115" w:name="_Toc259297787"/>
      <w:bookmarkStart w:id="116" w:name="_Toc12590"/>
      <w:bookmarkStart w:id="117" w:name="_Toc437348438"/>
      <w:bookmarkStart w:id="118" w:name="_Toc261074832"/>
      <w:bookmarkStart w:id="119" w:name="_Toc14157"/>
      <w:bookmarkStart w:id="120" w:name="_Toc16382"/>
      <w:bookmarkStart w:id="121" w:name="_Toc31777"/>
      <w:r>
        <w:rPr>
          <w:rStyle w:val="35"/>
          <w:rFonts w:hint="eastAsia"/>
          <w:color w:val="auto"/>
        </w:rPr>
        <w:t>第三章 评标办法</w:t>
      </w:r>
      <w:bookmarkEnd w:id="115"/>
      <w:bookmarkEnd w:id="116"/>
      <w:bookmarkEnd w:id="117"/>
      <w:bookmarkEnd w:id="118"/>
      <w:bookmarkEnd w:id="119"/>
      <w:bookmarkEnd w:id="120"/>
      <w:bookmarkEnd w:id="121"/>
    </w:p>
    <w:p w14:paraId="7801743D">
      <w:pPr>
        <w:bidi w:val="0"/>
        <w:rPr>
          <w:rFonts w:hint="eastAsia"/>
        </w:rPr>
      </w:pPr>
      <w:r>
        <w:rPr>
          <w:rFonts w:hint="eastAsia"/>
        </w:rPr>
        <w:t>1. 投标文件的评审、比较和否决</w:t>
      </w:r>
    </w:p>
    <w:p w14:paraId="47D4B2C1">
      <w:pPr>
        <w:bidi w:val="0"/>
        <w:rPr>
          <w:rFonts w:hint="eastAsia"/>
        </w:rPr>
      </w:pPr>
      <w:r>
        <w:rPr>
          <w:rFonts w:hint="eastAsia"/>
        </w:rPr>
        <w:t>1.1评标委员会将按照招标文件的规定，仅对在实质上响应招标文件要求的投标文件进行评估和比较。</w:t>
      </w:r>
    </w:p>
    <w:p w14:paraId="47194E1E">
      <w:pPr>
        <w:bidi w:val="0"/>
        <w:rPr>
          <w:rFonts w:hint="eastAsia"/>
        </w:rPr>
      </w:pPr>
      <w:r>
        <w:rPr>
          <w:rFonts w:hint="eastAsia"/>
        </w:rPr>
        <w:t>1.2根据相关法律法规及有关招投标文件规定，结合本项目具体情况，制定本次招标评标办法。并按照“公平、公正、科学、择优”的原则进行评标。采用综合评分法进行评比。</w:t>
      </w:r>
    </w:p>
    <w:p w14:paraId="57BF83BD">
      <w:pPr>
        <w:bidi w:val="0"/>
        <w:rPr>
          <w:rFonts w:hint="eastAsia"/>
        </w:rPr>
      </w:pPr>
      <w:r>
        <w:rPr>
          <w:rFonts w:hint="eastAsia"/>
        </w:rPr>
        <w:t>1.3在评审过程中，评标委员会要求投标供应商就投标文件中含义不明确的内容提供相关材料；凡遇到招标文件中无界定或界定不清、前后不一致使评委会成员意见有分歧且又难于协商一致的问题，均由评委会予以表决，获半数以上同意的即为通过，未获半数同意的即为否决。</w:t>
      </w:r>
    </w:p>
    <w:p w14:paraId="23CC6AD0">
      <w:pPr>
        <w:bidi w:val="0"/>
        <w:rPr>
          <w:rFonts w:hint="eastAsia"/>
        </w:rPr>
      </w:pPr>
      <w:r>
        <w:rPr>
          <w:rFonts w:hint="eastAsia"/>
        </w:rPr>
        <w:t>1.4评标时，投标报价是评标的重要依据，但不是唯一依据，采购人不承诺将合同授予报价最低或最高的投标供应商。</w:t>
      </w:r>
    </w:p>
    <w:p w14:paraId="0CD5FFAF">
      <w:pPr>
        <w:bidi w:val="0"/>
        <w:rPr>
          <w:rFonts w:hint="eastAsia"/>
        </w:rPr>
      </w:pPr>
      <w:r>
        <w:rPr>
          <w:rFonts w:hint="eastAsia"/>
        </w:rPr>
        <w:t>1.5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p>
    <w:p w14:paraId="6393BB05">
      <w:pPr>
        <w:bidi w:val="0"/>
        <w:rPr>
          <w:rFonts w:hint="eastAsia"/>
        </w:rPr>
      </w:pPr>
      <w:r>
        <w:rPr>
          <w:rFonts w:hint="eastAsia"/>
        </w:rPr>
        <w:t>1.6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A0D9CB1">
      <w:pPr>
        <w:bidi w:val="0"/>
        <w:rPr>
          <w:rFonts w:hint="eastAsia"/>
        </w:rPr>
      </w:pPr>
      <w:r>
        <w:rPr>
          <w:rFonts w:hint="eastAsia"/>
        </w:rPr>
        <w:t>1.7供应商提供相同品牌产品且通过资格审查、符合性审查的不同投标人参加同一合同项下投标的，按一家投标人计算，评审后得分最高的同品牌投标人获得中标人推荐资格；评审得分相同的，由采购人或采购人委托评标委员会按照招标文件规定的方式确定一个投标人获得中标人推荐资格，招标文件未规定的采取随机方式确定，其他同品牌投标人不作为中标候选人。</w:t>
      </w:r>
    </w:p>
    <w:p w14:paraId="40E9EC1C">
      <w:pPr>
        <w:pStyle w:val="6"/>
        <w:kinsoku w:val="0"/>
        <w:overflowPunct w:val="0"/>
        <w:spacing w:before="212" w:after="2" w:line="360" w:lineRule="auto"/>
        <w:ind w:left="22"/>
        <w:jc w:val="both"/>
        <w:rPr>
          <w:rFonts w:hint="eastAsia" w:ascii="宋体" w:hAnsi="宋体" w:eastAsia="宋体" w:cs="宋体"/>
          <w:color w:val="auto"/>
        </w:rPr>
      </w:pPr>
      <w:r>
        <w:rPr>
          <w:rFonts w:hint="eastAsia"/>
        </w:rPr>
        <w:t>2．评分标准</w:t>
      </w:r>
      <w:r>
        <w:rPr>
          <w:rFonts w:hint="eastAsia"/>
          <w:lang w:eastAsia="zh-CN"/>
        </w:rPr>
        <w:t>（</w:t>
      </w:r>
      <w:r>
        <w:rPr>
          <w:rFonts w:hint="eastAsia"/>
        </w:rPr>
        <w:t>采用综合评分法</w:t>
      </w:r>
      <w:r>
        <w:rPr>
          <w:rFonts w:hint="eastAsia"/>
          <w:lang w:eastAsia="zh-CN"/>
        </w:rPr>
        <w:t>）</w:t>
      </w:r>
    </w:p>
    <w:p w14:paraId="007B3C2B">
      <w:pPr>
        <w:pStyle w:val="6"/>
        <w:kinsoku w:val="0"/>
        <w:overflowPunct w:val="0"/>
        <w:spacing w:before="212" w:after="2" w:line="360" w:lineRule="auto"/>
        <w:ind w:left="22"/>
        <w:jc w:val="center"/>
        <w:rPr>
          <w:rFonts w:hint="eastAsia" w:ascii="宋体" w:hAnsi="宋体" w:eastAsia="宋体" w:cs="宋体"/>
          <w:color w:val="auto"/>
        </w:rPr>
      </w:pPr>
      <w:r>
        <w:rPr>
          <w:rFonts w:hint="eastAsia" w:ascii="宋体" w:hAnsi="宋体" w:eastAsia="宋体" w:cs="宋体"/>
          <w:color w:val="auto"/>
        </w:rPr>
        <w:t>评标办法前附表</w:t>
      </w:r>
    </w:p>
    <w:tbl>
      <w:tblPr>
        <w:tblStyle w:val="18"/>
        <w:tblW w:w="10070"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56"/>
        <w:gridCol w:w="570"/>
        <w:gridCol w:w="350"/>
        <w:gridCol w:w="997"/>
        <w:gridCol w:w="976"/>
        <w:gridCol w:w="6421"/>
      </w:tblGrid>
      <w:tr w14:paraId="009DF89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2" w:hRule="atLeast"/>
          <w:jc w:val="center"/>
        </w:trPr>
        <w:tc>
          <w:tcPr>
            <w:tcW w:w="1676" w:type="dxa"/>
            <w:gridSpan w:val="3"/>
            <w:tcBorders>
              <w:top w:val="single" w:color="auto" w:sz="4" w:space="0"/>
              <w:left w:val="single" w:color="auto" w:sz="4" w:space="0"/>
              <w:bottom w:val="single" w:color="000000" w:sz="4" w:space="0"/>
              <w:right w:val="single" w:color="000000" w:sz="4" w:space="0"/>
            </w:tcBorders>
            <w:noWrap w:val="0"/>
            <w:vAlign w:val="center"/>
          </w:tcPr>
          <w:p w14:paraId="05175458">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条款号</w:t>
            </w:r>
          </w:p>
        </w:tc>
        <w:tc>
          <w:tcPr>
            <w:tcW w:w="1973" w:type="dxa"/>
            <w:gridSpan w:val="2"/>
            <w:tcBorders>
              <w:top w:val="single" w:color="auto" w:sz="4" w:space="0"/>
              <w:left w:val="nil"/>
              <w:bottom w:val="single" w:color="000000" w:sz="4" w:space="0"/>
              <w:right w:val="single" w:color="000000" w:sz="4" w:space="0"/>
            </w:tcBorders>
            <w:noWrap w:val="0"/>
            <w:vAlign w:val="center"/>
          </w:tcPr>
          <w:p w14:paraId="4A1B9EAD">
            <w:pPr>
              <w:autoSpaceDE w:val="0"/>
              <w:autoSpaceDN w:val="0"/>
              <w:spacing w:line="320" w:lineRule="exact"/>
              <w:jc w:val="center"/>
              <w:rPr>
                <w:rFonts w:ascii="宋体" w:hAnsi="宋体" w:eastAsia="宋体"/>
                <w:color w:val="auto"/>
                <w:sz w:val="24"/>
                <w:szCs w:val="28"/>
              </w:rPr>
            </w:pPr>
            <w:r>
              <w:rPr>
                <w:rFonts w:hint="eastAsia" w:ascii="宋体" w:hAnsi="宋体" w:eastAsia="宋体"/>
                <w:color w:val="auto"/>
                <w:sz w:val="24"/>
                <w:szCs w:val="28"/>
              </w:rPr>
              <w:t>评审因素</w:t>
            </w:r>
          </w:p>
        </w:tc>
        <w:tc>
          <w:tcPr>
            <w:tcW w:w="6421" w:type="dxa"/>
            <w:tcBorders>
              <w:top w:val="single" w:color="auto" w:sz="4" w:space="0"/>
              <w:left w:val="nil"/>
              <w:bottom w:val="single" w:color="000000" w:sz="4" w:space="0"/>
              <w:right w:val="single" w:color="000000" w:sz="4" w:space="0"/>
            </w:tcBorders>
            <w:noWrap w:val="0"/>
            <w:vAlign w:val="center"/>
          </w:tcPr>
          <w:p w14:paraId="663A145F">
            <w:pPr>
              <w:autoSpaceDE w:val="0"/>
              <w:autoSpaceDN w:val="0"/>
              <w:spacing w:line="320" w:lineRule="exact"/>
              <w:jc w:val="center"/>
              <w:rPr>
                <w:rFonts w:ascii="宋体" w:hAnsi="宋体" w:eastAsia="宋体"/>
                <w:b/>
                <w:color w:val="auto"/>
                <w:kern w:val="0"/>
                <w:sz w:val="22"/>
                <w:szCs w:val="21"/>
              </w:rPr>
            </w:pPr>
            <w:r>
              <w:rPr>
                <w:rFonts w:hint="eastAsia" w:ascii="宋体" w:hAnsi="宋体" w:eastAsia="宋体"/>
                <w:b/>
                <w:color w:val="auto"/>
                <w:kern w:val="0"/>
                <w:sz w:val="22"/>
                <w:szCs w:val="21"/>
              </w:rPr>
              <w:t>评审标准</w:t>
            </w:r>
          </w:p>
        </w:tc>
      </w:tr>
      <w:tr w14:paraId="224073D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39" w:hRule="atLeast"/>
          <w:jc w:val="center"/>
        </w:trPr>
        <w:tc>
          <w:tcPr>
            <w:tcW w:w="756" w:type="dxa"/>
            <w:vMerge w:val="restart"/>
            <w:tcBorders>
              <w:top w:val="nil"/>
              <w:left w:val="single" w:color="auto" w:sz="4" w:space="0"/>
              <w:bottom w:val="single" w:color="000000" w:sz="4" w:space="0"/>
              <w:right w:val="single" w:color="000000" w:sz="4" w:space="0"/>
            </w:tcBorders>
            <w:noWrap w:val="0"/>
            <w:vAlign w:val="center"/>
          </w:tcPr>
          <w:p w14:paraId="62B33A19">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1.1</w:t>
            </w:r>
          </w:p>
        </w:tc>
        <w:tc>
          <w:tcPr>
            <w:tcW w:w="920" w:type="dxa"/>
            <w:gridSpan w:val="2"/>
            <w:vMerge w:val="restart"/>
            <w:tcBorders>
              <w:top w:val="nil"/>
              <w:left w:val="nil"/>
              <w:bottom w:val="single" w:color="000000" w:sz="4" w:space="0"/>
              <w:right w:val="single" w:color="000000" w:sz="4" w:space="0"/>
            </w:tcBorders>
            <w:noWrap w:val="0"/>
            <w:vAlign w:val="center"/>
          </w:tcPr>
          <w:p w14:paraId="27DA74CB">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符合性评审标准</w:t>
            </w:r>
          </w:p>
        </w:tc>
        <w:tc>
          <w:tcPr>
            <w:tcW w:w="1973" w:type="dxa"/>
            <w:gridSpan w:val="2"/>
            <w:tcBorders>
              <w:top w:val="nil"/>
              <w:left w:val="nil"/>
              <w:bottom w:val="single" w:color="000000" w:sz="4" w:space="0"/>
              <w:right w:val="single" w:color="000000" w:sz="4" w:space="0"/>
            </w:tcBorders>
            <w:noWrap w:val="0"/>
            <w:vAlign w:val="center"/>
          </w:tcPr>
          <w:p w14:paraId="760E76EA">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供应商名称</w:t>
            </w:r>
          </w:p>
        </w:tc>
        <w:tc>
          <w:tcPr>
            <w:tcW w:w="6421" w:type="dxa"/>
            <w:tcBorders>
              <w:top w:val="nil"/>
              <w:left w:val="nil"/>
              <w:bottom w:val="single" w:color="000000" w:sz="4" w:space="0"/>
              <w:right w:val="single" w:color="000000" w:sz="4" w:space="0"/>
            </w:tcBorders>
            <w:noWrap w:val="0"/>
            <w:vAlign w:val="center"/>
          </w:tcPr>
          <w:p w14:paraId="2071D8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与营业执照一致</w:t>
            </w:r>
          </w:p>
        </w:tc>
      </w:tr>
      <w:tr w14:paraId="70560897">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23C3A450">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09D40C78">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FE6D643">
            <w:pPr>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签字、盖章</w:t>
            </w:r>
          </w:p>
        </w:tc>
        <w:tc>
          <w:tcPr>
            <w:tcW w:w="6421" w:type="dxa"/>
            <w:tcBorders>
              <w:top w:val="nil"/>
              <w:left w:val="nil"/>
              <w:bottom w:val="single" w:color="000000" w:sz="4" w:space="0"/>
              <w:right w:val="single" w:color="000000" w:sz="4" w:space="0"/>
            </w:tcBorders>
            <w:noWrap w:val="0"/>
            <w:vAlign w:val="center"/>
          </w:tcPr>
          <w:p w14:paraId="4E94971F">
            <w:pPr>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有法定代表人或其委托代理人签字或盖章并加盖单位公章</w:t>
            </w:r>
          </w:p>
        </w:tc>
      </w:tr>
      <w:tr w14:paraId="3F6C627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11" w:hRule="atLeast"/>
          <w:jc w:val="center"/>
        </w:trPr>
        <w:tc>
          <w:tcPr>
            <w:tcW w:w="756" w:type="dxa"/>
            <w:vMerge w:val="continue"/>
            <w:tcBorders>
              <w:top w:val="nil"/>
              <w:left w:val="single" w:color="auto" w:sz="4" w:space="0"/>
              <w:bottom w:val="single" w:color="000000" w:sz="4" w:space="0"/>
              <w:right w:val="single" w:color="000000" w:sz="4" w:space="0"/>
            </w:tcBorders>
            <w:noWrap w:val="0"/>
            <w:vAlign w:val="center"/>
          </w:tcPr>
          <w:p w14:paraId="00B853AF">
            <w:pPr>
              <w:widowControl/>
              <w:jc w:val="left"/>
              <w:rPr>
                <w:rFonts w:ascii="宋体" w:hAnsi="宋体" w:eastAsia="宋体"/>
                <w:color w:val="auto"/>
                <w:kern w:val="0"/>
                <w:sz w:val="24"/>
                <w:szCs w:val="22"/>
              </w:rPr>
            </w:pPr>
          </w:p>
        </w:tc>
        <w:tc>
          <w:tcPr>
            <w:tcW w:w="920" w:type="dxa"/>
            <w:gridSpan w:val="2"/>
            <w:vMerge w:val="continue"/>
            <w:tcBorders>
              <w:top w:val="nil"/>
              <w:left w:val="nil"/>
              <w:bottom w:val="single" w:color="000000" w:sz="4" w:space="0"/>
              <w:right w:val="single" w:color="000000" w:sz="4" w:space="0"/>
            </w:tcBorders>
            <w:noWrap w:val="0"/>
            <w:vAlign w:val="center"/>
          </w:tcPr>
          <w:p w14:paraId="54748CE3">
            <w:pPr>
              <w:widowControl/>
              <w:jc w:val="lef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48FCB7F7">
            <w:pPr>
              <w:snapToGri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报价唯一</w:t>
            </w:r>
          </w:p>
        </w:tc>
        <w:tc>
          <w:tcPr>
            <w:tcW w:w="6421" w:type="dxa"/>
            <w:tcBorders>
              <w:top w:val="nil"/>
              <w:left w:val="nil"/>
              <w:bottom w:val="single" w:color="000000" w:sz="4" w:space="0"/>
              <w:right w:val="single" w:color="000000" w:sz="4" w:space="0"/>
            </w:tcBorders>
            <w:noWrap w:val="0"/>
            <w:vAlign w:val="center"/>
          </w:tcPr>
          <w:p w14:paraId="2FB72672">
            <w:pPr>
              <w:snapToGrid w:val="0"/>
              <w:spacing w:line="480" w:lineRule="exact"/>
              <w:jc w:val="left"/>
              <w:textAlignment w:val="baseline"/>
              <w:rPr>
                <w:rFonts w:ascii="宋体" w:hAnsi="宋体" w:eastAsia="宋体"/>
                <w:color w:val="auto"/>
                <w:sz w:val="24"/>
                <w:szCs w:val="28"/>
              </w:rPr>
            </w:pPr>
            <w:r>
              <w:rPr>
                <w:rFonts w:hint="eastAsia" w:ascii="宋体" w:hAnsi="宋体" w:eastAsia="宋体"/>
                <w:color w:val="auto"/>
                <w:sz w:val="24"/>
                <w:szCs w:val="28"/>
              </w:rPr>
              <w:t>只能有一个有效报价，且不超过控制价</w:t>
            </w:r>
          </w:p>
        </w:tc>
      </w:tr>
      <w:tr w14:paraId="79C6D1F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58" w:hRule="atLeast"/>
          <w:jc w:val="center"/>
        </w:trPr>
        <w:tc>
          <w:tcPr>
            <w:tcW w:w="756" w:type="dxa"/>
            <w:vMerge w:val="restart"/>
            <w:tcBorders>
              <w:top w:val="nil"/>
              <w:left w:val="single" w:color="auto" w:sz="4" w:space="0"/>
              <w:right w:val="single" w:color="000000" w:sz="4" w:space="0"/>
            </w:tcBorders>
            <w:noWrap w:val="0"/>
            <w:vAlign w:val="center"/>
          </w:tcPr>
          <w:p w14:paraId="4321DDBD">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1.2</w:t>
            </w:r>
          </w:p>
        </w:tc>
        <w:tc>
          <w:tcPr>
            <w:tcW w:w="920" w:type="dxa"/>
            <w:gridSpan w:val="2"/>
            <w:vMerge w:val="restart"/>
            <w:tcBorders>
              <w:top w:val="nil"/>
              <w:left w:val="nil"/>
              <w:right w:val="single" w:color="000000" w:sz="4" w:space="0"/>
            </w:tcBorders>
            <w:noWrap w:val="0"/>
            <w:vAlign w:val="center"/>
          </w:tcPr>
          <w:p w14:paraId="4446B18E">
            <w:pPr>
              <w:autoSpaceDE w:val="0"/>
              <w:autoSpaceDN w:val="0"/>
              <w:spacing w:line="320" w:lineRule="exact"/>
              <w:rPr>
                <w:rFonts w:ascii="宋体" w:hAnsi="宋体" w:eastAsia="宋体"/>
                <w:color w:val="auto"/>
                <w:kern w:val="0"/>
                <w:sz w:val="24"/>
                <w:szCs w:val="22"/>
              </w:rPr>
            </w:pPr>
            <w:r>
              <w:rPr>
                <w:rFonts w:hint="eastAsia" w:ascii="宋体" w:hAnsi="宋体" w:eastAsia="宋体"/>
                <w:color w:val="auto"/>
                <w:kern w:val="0"/>
                <w:sz w:val="24"/>
                <w:szCs w:val="22"/>
              </w:rPr>
              <w:t>资格评审标准</w:t>
            </w:r>
          </w:p>
        </w:tc>
        <w:tc>
          <w:tcPr>
            <w:tcW w:w="1973" w:type="dxa"/>
            <w:gridSpan w:val="2"/>
            <w:tcBorders>
              <w:top w:val="nil"/>
              <w:left w:val="nil"/>
              <w:bottom w:val="single" w:color="000000" w:sz="4" w:space="0"/>
              <w:right w:val="single" w:color="000000" w:sz="4" w:space="0"/>
            </w:tcBorders>
            <w:noWrap w:val="0"/>
            <w:vAlign w:val="center"/>
          </w:tcPr>
          <w:p w14:paraId="135F178F">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满足《中华人民共和国政府采购法》第二十二条的规定</w:t>
            </w:r>
          </w:p>
        </w:tc>
        <w:tc>
          <w:tcPr>
            <w:tcW w:w="6421" w:type="dxa"/>
            <w:tcBorders>
              <w:top w:val="nil"/>
              <w:left w:val="nil"/>
              <w:bottom w:val="single" w:color="000000" w:sz="4" w:space="0"/>
              <w:right w:val="single" w:color="000000" w:sz="4" w:space="0"/>
            </w:tcBorders>
            <w:noWrap w:val="0"/>
            <w:vAlign w:val="center"/>
          </w:tcPr>
          <w:p w14:paraId="5D8E279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（一）具有独立承担民事责任的能力；</w:t>
            </w:r>
          </w:p>
          <w:p w14:paraId="0A8B21D2">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（二）具有良好的商业信誉和健全的财务会计制度；</w:t>
            </w:r>
          </w:p>
          <w:p w14:paraId="679BBCE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（三）具有履行合同所必需的设备和专业技术能力；</w:t>
            </w:r>
          </w:p>
          <w:p w14:paraId="2192B14A">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（四）有依法缴纳税收和社会保障资金的良好记录；</w:t>
            </w:r>
          </w:p>
          <w:p w14:paraId="5D27EB7D">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（五）参加政府采购活动前三年内，在经营活动中没有重大违法记录；</w:t>
            </w:r>
          </w:p>
          <w:p w14:paraId="0C37B45F">
            <w:pPr>
              <w:spacing w:line="360" w:lineRule="auto"/>
              <w:ind w:left="0" w:leftChars="-51" w:hanging="122" w:hangingChars="51"/>
              <w:jc w:val="left"/>
              <w:rPr>
                <w:rFonts w:hint="eastAsia" w:ascii="宋体" w:hAnsi="宋体" w:eastAsia="宋体"/>
                <w:color w:val="auto"/>
                <w:sz w:val="24"/>
                <w:szCs w:val="28"/>
              </w:rPr>
            </w:pPr>
            <w:r>
              <w:rPr>
                <w:rFonts w:hint="eastAsia" w:ascii="宋体" w:hAnsi="宋体" w:eastAsia="宋体"/>
                <w:color w:val="auto"/>
                <w:sz w:val="24"/>
                <w:szCs w:val="28"/>
              </w:rPr>
              <w:t>（六）法律、行政法规规定的其他条件。</w:t>
            </w:r>
          </w:p>
          <w:p w14:paraId="49ECBA68">
            <w:pPr>
              <w:spacing w:line="360" w:lineRule="auto"/>
              <w:ind w:left="0" w:leftChars="-51" w:hanging="122" w:hangingChars="51"/>
              <w:jc w:val="left"/>
              <w:rPr>
                <w:rFonts w:ascii="宋体" w:hAnsi="宋体" w:eastAsia="宋体"/>
                <w:color w:val="auto"/>
                <w:sz w:val="24"/>
                <w:szCs w:val="28"/>
              </w:rPr>
            </w:pPr>
            <w:r>
              <w:rPr>
                <w:rFonts w:hint="eastAsia" w:ascii="宋体" w:hAnsi="宋体" w:eastAsia="宋体"/>
                <w:color w:val="auto"/>
                <w:sz w:val="24"/>
                <w:szCs w:val="28"/>
              </w:rPr>
              <w:t>注：供应商在投标（响应）时，提供相关承诺函，无需提供上述证明材料；采购人有权在签订合同前要求成交供应商提供相关证明材料以核实成交供应商承诺事项的真实性。</w:t>
            </w:r>
          </w:p>
        </w:tc>
      </w:tr>
      <w:tr w14:paraId="34650804">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92" w:hRule="atLeast"/>
          <w:jc w:val="center"/>
        </w:trPr>
        <w:tc>
          <w:tcPr>
            <w:tcW w:w="756" w:type="dxa"/>
            <w:vMerge w:val="continue"/>
            <w:tcBorders>
              <w:left w:val="single" w:color="auto" w:sz="4" w:space="0"/>
              <w:right w:val="single" w:color="000000" w:sz="4" w:space="0"/>
            </w:tcBorders>
            <w:noWrap w:val="0"/>
            <w:vAlign w:val="center"/>
          </w:tcPr>
          <w:p w14:paraId="72BE89C8">
            <w:pPr>
              <w:autoSpaceDE w:val="0"/>
              <w:autoSpaceDN w:val="0"/>
              <w:spacing w:line="320" w:lineRule="exact"/>
              <w:jc w:val="center"/>
              <w:rPr>
                <w:rFonts w:ascii="宋体" w:hAnsi="宋体" w:eastAsia="宋体"/>
                <w:color w:val="auto"/>
                <w:kern w:val="0"/>
                <w:sz w:val="24"/>
                <w:szCs w:val="22"/>
              </w:rPr>
            </w:pPr>
          </w:p>
        </w:tc>
        <w:tc>
          <w:tcPr>
            <w:tcW w:w="920" w:type="dxa"/>
            <w:gridSpan w:val="2"/>
            <w:vMerge w:val="continue"/>
            <w:tcBorders>
              <w:left w:val="nil"/>
              <w:right w:val="single" w:color="000000" w:sz="4" w:space="0"/>
            </w:tcBorders>
            <w:noWrap w:val="0"/>
            <w:vAlign w:val="center"/>
          </w:tcPr>
          <w:p w14:paraId="34BA6036">
            <w:pPr>
              <w:autoSpaceDE w:val="0"/>
              <w:autoSpaceDN w:val="0"/>
              <w:spacing w:line="320" w:lineRule="exact"/>
              <w:rPr>
                <w:rFonts w:ascii="宋体" w:hAnsi="宋体" w:eastAsia="宋体"/>
                <w:color w:val="auto"/>
                <w:kern w:val="0"/>
                <w:sz w:val="24"/>
                <w:szCs w:val="22"/>
              </w:rPr>
            </w:pPr>
          </w:p>
        </w:tc>
        <w:tc>
          <w:tcPr>
            <w:tcW w:w="1973" w:type="dxa"/>
            <w:gridSpan w:val="2"/>
            <w:tcBorders>
              <w:top w:val="nil"/>
              <w:left w:val="nil"/>
              <w:bottom w:val="single" w:color="000000" w:sz="4" w:space="0"/>
              <w:right w:val="single" w:color="000000" w:sz="4" w:space="0"/>
            </w:tcBorders>
            <w:noWrap w:val="0"/>
            <w:vAlign w:val="center"/>
          </w:tcPr>
          <w:p w14:paraId="042B6891">
            <w:pPr>
              <w:spacing w:line="360" w:lineRule="auto"/>
              <w:ind w:left="0" w:leftChars="-51" w:hanging="122" w:hangingChars="51"/>
              <w:jc w:val="center"/>
              <w:rPr>
                <w:rFonts w:ascii="宋体" w:hAnsi="宋体" w:eastAsia="宋体"/>
                <w:color w:val="auto"/>
                <w:sz w:val="24"/>
                <w:szCs w:val="28"/>
              </w:rPr>
            </w:pPr>
            <w:r>
              <w:rPr>
                <w:rFonts w:hint="eastAsia" w:ascii="宋体" w:hAnsi="宋体" w:eastAsia="宋体"/>
                <w:color w:val="auto"/>
                <w:sz w:val="24"/>
                <w:szCs w:val="28"/>
              </w:rPr>
              <w:t>营业执照</w:t>
            </w:r>
          </w:p>
        </w:tc>
        <w:tc>
          <w:tcPr>
            <w:tcW w:w="6421" w:type="dxa"/>
            <w:tcBorders>
              <w:top w:val="nil"/>
              <w:left w:val="nil"/>
              <w:bottom w:val="single" w:color="000000" w:sz="4" w:space="0"/>
              <w:right w:val="single" w:color="000000" w:sz="4" w:space="0"/>
            </w:tcBorders>
            <w:noWrap w:val="0"/>
            <w:vAlign w:val="center"/>
          </w:tcPr>
          <w:p w14:paraId="03F2AF49">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eastAsia="宋体"/>
                <w:color w:val="auto"/>
                <w:sz w:val="24"/>
                <w:szCs w:val="28"/>
              </w:rPr>
            </w:pPr>
            <w:r>
              <w:rPr>
                <w:rFonts w:hint="eastAsia" w:ascii="宋体" w:hAnsi="宋体" w:eastAsia="宋体"/>
                <w:color w:val="auto"/>
                <w:sz w:val="24"/>
                <w:szCs w:val="28"/>
              </w:rPr>
              <w:t>供应商须具有有效的营业执照</w:t>
            </w:r>
          </w:p>
        </w:tc>
      </w:tr>
      <w:tr w14:paraId="597E2A9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756" w:type="dxa"/>
            <w:vMerge w:val="continue"/>
            <w:tcBorders>
              <w:top w:val="single" w:color="auto" w:sz="4" w:space="0"/>
              <w:left w:val="single" w:color="auto" w:sz="4" w:space="0"/>
              <w:bottom w:val="single" w:color="auto" w:sz="4" w:space="0"/>
              <w:right w:val="single" w:color="000000" w:sz="4" w:space="0"/>
            </w:tcBorders>
            <w:noWrap w:val="0"/>
            <w:vAlign w:val="center"/>
          </w:tcPr>
          <w:p w14:paraId="71EE6CD0">
            <w:pPr>
              <w:widowControl/>
              <w:jc w:val="left"/>
              <w:rPr>
                <w:rFonts w:ascii="宋体" w:hAnsi="宋体" w:eastAsia="宋体"/>
                <w:color w:val="auto"/>
                <w:kern w:val="0"/>
                <w:sz w:val="24"/>
                <w:szCs w:val="22"/>
              </w:rPr>
            </w:pPr>
          </w:p>
        </w:tc>
        <w:tc>
          <w:tcPr>
            <w:tcW w:w="920" w:type="dxa"/>
            <w:gridSpan w:val="2"/>
            <w:vMerge w:val="continue"/>
            <w:tcBorders>
              <w:top w:val="single" w:color="auto" w:sz="4" w:space="0"/>
              <w:left w:val="nil"/>
              <w:bottom w:val="single" w:color="auto" w:sz="4" w:space="0"/>
              <w:right w:val="single" w:color="auto" w:sz="4" w:space="0"/>
            </w:tcBorders>
            <w:noWrap w:val="0"/>
            <w:vAlign w:val="center"/>
          </w:tcPr>
          <w:p w14:paraId="4739F680">
            <w:pPr>
              <w:widowControl/>
              <w:jc w:val="left"/>
              <w:rPr>
                <w:rFonts w:ascii="宋体" w:hAnsi="宋体" w:eastAsia="宋体"/>
                <w:color w:val="auto"/>
                <w:kern w:val="0"/>
                <w:sz w:val="24"/>
                <w:szCs w:val="22"/>
              </w:rPr>
            </w:pPr>
          </w:p>
        </w:tc>
        <w:tc>
          <w:tcPr>
            <w:tcW w:w="1973" w:type="dxa"/>
            <w:gridSpan w:val="2"/>
            <w:tcBorders>
              <w:top w:val="single" w:color="auto" w:sz="4" w:space="0"/>
              <w:left w:val="single" w:color="auto" w:sz="4" w:space="0"/>
              <w:bottom w:val="single" w:color="auto" w:sz="4" w:space="0"/>
              <w:right w:val="single" w:color="auto" w:sz="4" w:space="0"/>
            </w:tcBorders>
            <w:noWrap w:val="0"/>
            <w:vAlign w:val="center"/>
          </w:tcPr>
          <w:p w14:paraId="7FCA389A">
            <w:pPr>
              <w:widowControl/>
              <w:spacing w:line="480" w:lineRule="exact"/>
              <w:jc w:val="center"/>
              <w:textAlignment w:val="baseline"/>
              <w:rPr>
                <w:rFonts w:ascii="宋体" w:hAnsi="宋体" w:eastAsia="宋体"/>
                <w:color w:val="auto"/>
                <w:sz w:val="24"/>
                <w:szCs w:val="28"/>
              </w:rPr>
            </w:pPr>
            <w:r>
              <w:rPr>
                <w:rFonts w:hint="eastAsia" w:ascii="宋体" w:hAnsi="宋体" w:eastAsia="宋体" w:cs="宋体"/>
                <w:color w:val="auto"/>
                <w:sz w:val="24"/>
                <w:lang w:eastAsia="zh-CN"/>
              </w:rPr>
              <w:t>供应商</w:t>
            </w:r>
            <w:r>
              <w:rPr>
                <w:rFonts w:hint="eastAsia" w:ascii="宋体" w:hAnsi="宋体" w:eastAsia="宋体"/>
                <w:color w:val="auto"/>
                <w:sz w:val="24"/>
                <w:szCs w:val="24"/>
              </w:rPr>
              <w:t>无行贿犯罪记录</w:t>
            </w:r>
          </w:p>
        </w:tc>
        <w:tc>
          <w:tcPr>
            <w:tcW w:w="6421" w:type="dxa"/>
            <w:tcBorders>
              <w:top w:val="single" w:color="auto" w:sz="4" w:space="0"/>
              <w:left w:val="single" w:color="auto" w:sz="4" w:space="0"/>
              <w:bottom w:val="single" w:color="auto" w:sz="4" w:space="0"/>
              <w:right w:val="single" w:color="auto" w:sz="4" w:space="0"/>
            </w:tcBorders>
            <w:noWrap w:val="0"/>
            <w:vAlign w:val="center"/>
          </w:tcPr>
          <w:p w14:paraId="0FA64148">
            <w:pPr>
              <w:spacing w:line="480" w:lineRule="exact"/>
              <w:jc w:val="left"/>
              <w:rPr>
                <w:rFonts w:ascii="宋体" w:hAnsi="宋体" w:eastAsia="宋体"/>
                <w:color w:val="auto"/>
                <w:sz w:val="24"/>
                <w:szCs w:val="28"/>
              </w:rPr>
            </w:pPr>
            <w:r>
              <w:rPr>
                <w:rFonts w:hint="eastAsia" w:ascii="宋体" w:hAnsi="宋体" w:eastAsia="宋体"/>
                <w:color w:val="auto"/>
                <w:sz w:val="24"/>
                <w:szCs w:val="28"/>
              </w:rPr>
              <w:t>供应商无行贿犯罪记录，（提供《中国裁判文书网》查询结果网页截图（查询时间应在招标公告发布后）或企业自行承诺的无行贿犯罪承诺书，查询&lt;承诺&gt;对象为“企业，法定代表人”）；</w:t>
            </w:r>
          </w:p>
        </w:tc>
      </w:tr>
      <w:tr w14:paraId="778E4089">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506"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19845F13">
            <w:pPr>
              <w:autoSpaceDE w:val="0"/>
              <w:autoSpaceDN w:val="0"/>
              <w:spacing w:line="320" w:lineRule="exact"/>
              <w:jc w:val="center"/>
              <w:rPr>
                <w:rFonts w:ascii="宋体" w:hAnsi="宋体" w:eastAsia="宋体"/>
                <w:color w:val="auto"/>
                <w:kern w:val="0"/>
                <w:sz w:val="24"/>
                <w:szCs w:val="22"/>
              </w:rPr>
            </w:pPr>
          </w:p>
        </w:tc>
        <w:tc>
          <w:tcPr>
            <w:tcW w:w="920" w:type="dxa"/>
            <w:gridSpan w:val="2"/>
            <w:vMerge w:val="restart"/>
            <w:tcBorders>
              <w:top w:val="single" w:color="auto" w:sz="4" w:space="0"/>
              <w:left w:val="nil"/>
              <w:right w:val="single" w:color="000000" w:sz="4" w:space="0"/>
            </w:tcBorders>
            <w:noWrap w:val="0"/>
            <w:vAlign w:val="center"/>
          </w:tcPr>
          <w:p w14:paraId="71078430">
            <w:pPr>
              <w:autoSpaceDE w:val="0"/>
              <w:autoSpaceDN w:val="0"/>
              <w:spacing w:line="320" w:lineRule="exact"/>
              <w:rPr>
                <w:rFonts w:ascii="宋体" w:hAnsi="宋体" w:eastAsia="宋体"/>
                <w:color w:val="auto"/>
                <w:kern w:val="0"/>
                <w:sz w:val="24"/>
                <w:szCs w:val="22"/>
              </w:rPr>
            </w:pPr>
          </w:p>
        </w:tc>
        <w:tc>
          <w:tcPr>
            <w:tcW w:w="1973" w:type="dxa"/>
            <w:gridSpan w:val="2"/>
            <w:tcBorders>
              <w:top w:val="single" w:color="auto" w:sz="4" w:space="0"/>
              <w:left w:val="nil"/>
              <w:bottom w:val="single" w:color="auto" w:sz="4" w:space="0"/>
              <w:right w:val="single" w:color="000000" w:sz="4" w:space="0"/>
            </w:tcBorders>
            <w:noWrap w:val="0"/>
            <w:vAlign w:val="center"/>
          </w:tcPr>
          <w:p w14:paraId="57FAA93E">
            <w:pPr>
              <w:widowControl/>
              <w:spacing w:line="480" w:lineRule="exact"/>
              <w:jc w:val="center"/>
              <w:textAlignment w:val="baseline"/>
              <w:rPr>
                <w:rFonts w:ascii="宋体" w:hAnsi="宋体" w:eastAsia="宋体"/>
                <w:color w:val="auto"/>
                <w:sz w:val="24"/>
                <w:szCs w:val="28"/>
              </w:rPr>
            </w:pPr>
            <w:r>
              <w:rPr>
                <w:bCs/>
                <w:color w:val="auto"/>
                <w:sz w:val="24"/>
              </w:rPr>
              <w:t>无商业贿赂及无不正当竞争行为</w:t>
            </w:r>
          </w:p>
        </w:tc>
        <w:tc>
          <w:tcPr>
            <w:tcW w:w="6421" w:type="dxa"/>
            <w:tcBorders>
              <w:top w:val="single" w:color="auto" w:sz="4" w:space="0"/>
              <w:left w:val="nil"/>
              <w:bottom w:val="single" w:color="auto" w:sz="4" w:space="0"/>
              <w:right w:val="single" w:color="000000" w:sz="4" w:space="0"/>
            </w:tcBorders>
            <w:noWrap w:val="0"/>
            <w:vAlign w:val="center"/>
          </w:tcPr>
          <w:p w14:paraId="1AC6434B">
            <w:pPr>
              <w:spacing w:line="480" w:lineRule="exact"/>
              <w:jc w:val="left"/>
              <w:rPr>
                <w:rFonts w:ascii="宋体" w:hAnsi="宋体" w:eastAsia="宋体"/>
                <w:color w:val="auto"/>
                <w:sz w:val="24"/>
                <w:szCs w:val="28"/>
              </w:rPr>
            </w:pPr>
            <w:r>
              <w:rPr>
                <w:rFonts w:hint="eastAsia" w:ascii="宋体" w:hAnsi="宋体" w:eastAsia="宋体" w:cs="宋体"/>
                <w:color w:val="auto"/>
                <w:sz w:val="24"/>
                <w:lang w:eastAsia="zh-CN"/>
              </w:rPr>
              <w:t>供应商</w:t>
            </w:r>
            <w:r>
              <w:rPr>
                <w:bCs/>
                <w:color w:val="auto"/>
                <w:sz w:val="24"/>
              </w:rPr>
              <w:t>自行出具本企业的无商业贿赂及无不正当竞争行为的承诺书</w:t>
            </w:r>
            <w:r>
              <w:rPr>
                <w:rFonts w:hint="eastAsia"/>
                <w:bCs/>
                <w:color w:val="auto"/>
                <w:sz w:val="24"/>
                <w:lang w:eastAsia="zh-CN"/>
              </w:rPr>
              <w:t>（格式自拟）</w:t>
            </w:r>
            <w:r>
              <w:rPr>
                <w:rFonts w:hint="eastAsia" w:ascii="宋体" w:hAnsi="宋体" w:eastAsia="宋体"/>
                <w:color w:val="auto"/>
                <w:sz w:val="24"/>
                <w:szCs w:val="28"/>
              </w:rPr>
              <w:t>；</w:t>
            </w:r>
          </w:p>
        </w:tc>
      </w:tr>
      <w:tr w14:paraId="6A611563">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0FD158B9">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35F2CD54">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07069025">
            <w:pPr>
              <w:widowControl/>
              <w:spacing w:line="480" w:lineRule="exact"/>
              <w:jc w:val="center"/>
              <w:textAlignment w:val="baseline"/>
              <w:rPr>
                <w:rFonts w:ascii="宋体" w:hAnsi="宋体" w:eastAsia="宋体"/>
                <w:color w:val="auto"/>
                <w:sz w:val="24"/>
                <w:szCs w:val="28"/>
              </w:rPr>
            </w:pPr>
            <w:r>
              <w:rPr>
                <w:rFonts w:ascii="宋体" w:hAnsi="宋体" w:eastAsia="宋体"/>
                <w:color w:val="auto"/>
                <w:sz w:val="24"/>
                <w:szCs w:val="28"/>
              </w:rPr>
              <w:t>信用查询</w:t>
            </w:r>
          </w:p>
        </w:tc>
        <w:tc>
          <w:tcPr>
            <w:tcW w:w="6421" w:type="dxa"/>
            <w:tcBorders>
              <w:top w:val="nil"/>
              <w:left w:val="nil"/>
              <w:bottom w:val="single" w:color="auto" w:sz="4" w:space="0"/>
              <w:right w:val="single" w:color="000000" w:sz="4" w:space="0"/>
            </w:tcBorders>
            <w:noWrap w:val="0"/>
            <w:vAlign w:val="center"/>
          </w:tcPr>
          <w:p w14:paraId="37B778C1">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4"/>
              </w:rPr>
              <w:t>根据《关于在政府采购活动中查询及使用信用记录有关问题的通知》(财库[2016]125号)和豫财购【2016】15号的规定，企业未列入“中国执行信息公开网”http://zxgk.court.gov.cn/shixin网站的“失信被执行人”名单、“信用中国”www.creditchina.gov.cn网站的“重大税收违法失信主体”及“中国政府采购网”www.ccgp.gov.cn网站的“政府采购严重违法失信行为记录名单”</w:t>
            </w:r>
            <w:r>
              <w:rPr>
                <w:rFonts w:hint="eastAsia" w:ascii="宋体" w:hAnsi="宋体" w:eastAsia="宋体"/>
                <w:color w:val="auto"/>
                <w:sz w:val="24"/>
                <w:szCs w:val="24"/>
                <w:lang w:eastAsia="zh-CN"/>
              </w:rPr>
              <w:t>的供应商</w:t>
            </w:r>
            <w:r>
              <w:rPr>
                <w:rFonts w:hint="eastAsia" w:ascii="宋体" w:hAnsi="宋体" w:eastAsia="宋体"/>
                <w:color w:val="auto"/>
                <w:sz w:val="24"/>
                <w:szCs w:val="24"/>
              </w:rPr>
              <w:t>；（查询渠道：“中国执行信息公开网”、“信用中国”和“中国政府采购网”；提供网站的查询信息截图；(注：査询时间必须是公告发布以后开标时间以前并提供网站查询网页截图，查询结果清晰可见)</w:t>
            </w:r>
            <w:r>
              <w:rPr>
                <w:rFonts w:hint="eastAsia" w:ascii="宋体" w:hAnsi="宋体" w:eastAsia="宋体"/>
                <w:color w:val="auto"/>
                <w:sz w:val="24"/>
                <w:szCs w:val="28"/>
              </w:rPr>
              <w:t>；</w:t>
            </w:r>
          </w:p>
        </w:tc>
      </w:tr>
      <w:tr w14:paraId="180A5DFE">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3792B65B">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71CE1F1B">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2D2490A3">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控股、管理关系</w:t>
            </w:r>
          </w:p>
        </w:tc>
        <w:tc>
          <w:tcPr>
            <w:tcW w:w="6421" w:type="dxa"/>
            <w:tcBorders>
              <w:top w:val="nil"/>
              <w:left w:val="nil"/>
              <w:bottom w:val="single" w:color="auto" w:sz="4" w:space="0"/>
              <w:right w:val="single" w:color="000000" w:sz="4" w:space="0"/>
            </w:tcBorders>
            <w:noWrap w:val="0"/>
            <w:vAlign w:val="center"/>
          </w:tcPr>
          <w:p w14:paraId="7CD74632">
            <w:pPr>
              <w:snapToGrid w:val="0"/>
              <w:spacing w:line="480" w:lineRule="exact"/>
              <w:ind w:right="192" w:rightChars="80"/>
              <w:rPr>
                <w:rFonts w:ascii="宋体" w:hAnsi="宋体" w:eastAsia="宋体"/>
                <w:color w:val="auto"/>
                <w:sz w:val="24"/>
                <w:szCs w:val="28"/>
              </w:rPr>
            </w:pPr>
            <w:r>
              <w:rPr>
                <w:rFonts w:hint="eastAsia" w:ascii="宋体" w:hAnsi="宋体" w:eastAsia="宋体" w:cs="宋体"/>
                <w:color w:val="auto"/>
                <w:kern w:val="0"/>
                <w:sz w:val="24"/>
                <w:szCs w:val="24"/>
                <w:lang w:val="en-US" w:eastAsia="zh-CN"/>
              </w:rPr>
              <w:t>单位负责人为同一人或者存在直接控股、管理关系的不同供应商，不得参加同一合同项下的采购活动；（提供“国家企业信用信息公示系统”查询信息需包含公司基本信息、股东信息及股权变更信息等相关信息，查询时间为自公告发布之日起至投标截止时间前）</w:t>
            </w:r>
            <w:r>
              <w:rPr>
                <w:rFonts w:hint="eastAsia" w:ascii="宋体" w:hAnsi="宋体" w:eastAsia="宋体"/>
                <w:color w:val="auto"/>
                <w:sz w:val="24"/>
                <w:szCs w:val="28"/>
              </w:rPr>
              <w:t>；</w:t>
            </w:r>
          </w:p>
        </w:tc>
      </w:tr>
      <w:tr w14:paraId="33D84586">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14" w:hRule="atLeast"/>
          <w:jc w:val="center"/>
        </w:trPr>
        <w:tc>
          <w:tcPr>
            <w:tcW w:w="756" w:type="dxa"/>
            <w:vMerge w:val="continue"/>
            <w:tcBorders>
              <w:left w:val="single" w:color="auto" w:sz="4" w:space="0"/>
              <w:bottom w:val="single" w:color="auto" w:sz="4" w:space="0"/>
              <w:right w:val="single" w:color="000000" w:sz="4" w:space="0"/>
            </w:tcBorders>
            <w:noWrap w:val="0"/>
            <w:vAlign w:val="center"/>
          </w:tcPr>
          <w:p w14:paraId="42765A56">
            <w:pPr>
              <w:widowControl/>
              <w:jc w:val="left"/>
              <w:rPr>
                <w:rFonts w:ascii="宋体" w:hAnsi="宋体" w:eastAsia="宋体"/>
                <w:color w:val="auto"/>
                <w:kern w:val="0"/>
                <w:sz w:val="22"/>
                <w:szCs w:val="21"/>
              </w:rPr>
            </w:pPr>
          </w:p>
        </w:tc>
        <w:tc>
          <w:tcPr>
            <w:tcW w:w="920" w:type="dxa"/>
            <w:gridSpan w:val="2"/>
            <w:vMerge w:val="continue"/>
            <w:tcBorders>
              <w:left w:val="nil"/>
              <w:bottom w:val="single" w:color="auto" w:sz="4" w:space="0"/>
              <w:right w:val="single" w:color="000000" w:sz="4" w:space="0"/>
            </w:tcBorders>
            <w:noWrap w:val="0"/>
            <w:vAlign w:val="center"/>
          </w:tcPr>
          <w:p w14:paraId="6AC79001">
            <w:pPr>
              <w:widowControl/>
              <w:jc w:val="left"/>
              <w:rPr>
                <w:rFonts w:ascii="宋体" w:hAnsi="宋体" w:eastAsia="宋体"/>
                <w:color w:val="auto"/>
                <w:kern w:val="0"/>
                <w:sz w:val="22"/>
                <w:szCs w:val="21"/>
              </w:rPr>
            </w:pPr>
          </w:p>
        </w:tc>
        <w:tc>
          <w:tcPr>
            <w:tcW w:w="1973" w:type="dxa"/>
            <w:gridSpan w:val="2"/>
            <w:tcBorders>
              <w:top w:val="nil"/>
              <w:left w:val="nil"/>
              <w:bottom w:val="single" w:color="auto" w:sz="4" w:space="0"/>
              <w:right w:val="single" w:color="000000" w:sz="4" w:space="0"/>
            </w:tcBorders>
            <w:noWrap w:val="0"/>
            <w:vAlign w:val="center"/>
          </w:tcPr>
          <w:p w14:paraId="52C7309C">
            <w:pPr>
              <w:widowControl/>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非联合体承诺</w:t>
            </w:r>
          </w:p>
        </w:tc>
        <w:tc>
          <w:tcPr>
            <w:tcW w:w="6421" w:type="dxa"/>
            <w:tcBorders>
              <w:top w:val="nil"/>
              <w:left w:val="nil"/>
              <w:bottom w:val="single" w:color="auto" w:sz="4" w:space="0"/>
              <w:right w:val="single" w:color="000000" w:sz="4" w:space="0"/>
            </w:tcBorders>
            <w:noWrap w:val="0"/>
            <w:vAlign w:val="center"/>
          </w:tcPr>
          <w:p w14:paraId="47F07F82">
            <w:pPr>
              <w:snapToGrid w:val="0"/>
              <w:spacing w:line="480" w:lineRule="exact"/>
              <w:ind w:right="192" w:rightChars="80"/>
              <w:rPr>
                <w:rFonts w:ascii="宋体" w:hAnsi="宋体" w:eastAsia="宋体"/>
                <w:color w:val="auto"/>
                <w:sz w:val="24"/>
                <w:szCs w:val="28"/>
              </w:rPr>
            </w:pPr>
            <w:r>
              <w:rPr>
                <w:rFonts w:hint="eastAsia" w:ascii="宋体" w:hAnsi="宋体" w:eastAsia="宋体"/>
                <w:color w:val="auto"/>
                <w:sz w:val="24"/>
                <w:szCs w:val="28"/>
              </w:rPr>
              <w:t>本项目不接受联合体投标，提供非联合体承诺，格式自拟。</w:t>
            </w:r>
          </w:p>
        </w:tc>
      </w:tr>
      <w:tr w14:paraId="5059813D">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756" w:type="dxa"/>
            <w:vMerge w:val="restart"/>
            <w:tcBorders>
              <w:top w:val="single" w:color="auto" w:sz="4" w:space="0"/>
              <w:left w:val="single" w:color="auto" w:sz="4" w:space="0"/>
              <w:right w:val="single" w:color="000000" w:sz="4" w:space="0"/>
            </w:tcBorders>
            <w:noWrap w:val="0"/>
            <w:vAlign w:val="center"/>
          </w:tcPr>
          <w:p w14:paraId="428CF33A">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1.3</w:t>
            </w:r>
          </w:p>
        </w:tc>
        <w:tc>
          <w:tcPr>
            <w:tcW w:w="920" w:type="dxa"/>
            <w:gridSpan w:val="2"/>
            <w:vMerge w:val="restart"/>
            <w:tcBorders>
              <w:top w:val="single" w:color="auto" w:sz="4" w:space="0"/>
              <w:left w:val="nil"/>
              <w:right w:val="single" w:color="auto" w:sz="4" w:space="0"/>
            </w:tcBorders>
            <w:noWrap w:val="0"/>
            <w:vAlign w:val="center"/>
          </w:tcPr>
          <w:p w14:paraId="4235D691">
            <w:pPr>
              <w:autoSpaceDE w:val="0"/>
              <w:autoSpaceDN w:val="0"/>
              <w:spacing w:line="320" w:lineRule="exact"/>
              <w:jc w:val="center"/>
              <w:rPr>
                <w:rFonts w:ascii="宋体" w:hAnsi="宋体" w:eastAsia="宋体"/>
                <w:color w:val="auto"/>
                <w:kern w:val="0"/>
                <w:sz w:val="24"/>
                <w:szCs w:val="22"/>
              </w:rPr>
            </w:pPr>
            <w:r>
              <w:rPr>
                <w:rFonts w:hint="eastAsia" w:ascii="宋体" w:hAnsi="宋体" w:eastAsia="宋体"/>
                <w:color w:val="auto"/>
                <w:kern w:val="0"/>
                <w:sz w:val="24"/>
                <w:szCs w:val="22"/>
              </w:rPr>
              <w:t>实质性响应</w:t>
            </w:r>
          </w:p>
          <w:p w14:paraId="20EE9E3B">
            <w:pPr>
              <w:autoSpaceDE w:val="0"/>
              <w:autoSpaceDN w:val="0"/>
              <w:spacing w:line="320" w:lineRule="exact"/>
              <w:jc w:val="center"/>
              <w:rPr>
                <w:rFonts w:ascii="宋体" w:hAnsi="宋体" w:eastAsia="宋体"/>
                <w:color w:val="auto"/>
                <w:kern w:val="0"/>
                <w:sz w:val="22"/>
                <w:szCs w:val="21"/>
              </w:rPr>
            </w:pPr>
            <w:r>
              <w:rPr>
                <w:rFonts w:hint="eastAsia" w:ascii="宋体" w:hAnsi="宋体" w:eastAsia="宋体"/>
                <w:color w:val="auto"/>
                <w:kern w:val="0"/>
                <w:sz w:val="24"/>
                <w:szCs w:val="22"/>
              </w:rPr>
              <w:t>评审标准</w:t>
            </w:r>
          </w:p>
        </w:tc>
        <w:tc>
          <w:tcPr>
            <w:tcW w:w="1973" w:type="dxa"/>
            <w:gridSpan w:val="2"/>
            <w:tcBorders>
              <w:top w:val="single" w:color="auto" w:sz="4" w:space="0"/>
              <w:left w:val="single" w:color="auto" w:sz="4" w:space="0"/>
              <w:bottom w:val="single" w:color="000000" w:sz="4" w:space="0"/>
              <w:right w:val="single" w:color="000000" w:sz="4" w:space="0"/>
            </w:tcBorders>
            <w:noWrap w:val="0"/>
            <w:vAlign w:val="center"/>
          </w:tcPr>
          <w:p w14:paraId="71AD9B99">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投标有效期</w:t>
            </w:r>
          </w:p>
        </w:tc>
        <w:tc>
          <w:tcPr>
            <w:tcW w:w="6421" w:type="dxa"/>
            <w:tcBorders>
              <w:top w:val="single" w:color="auto" w:sz="4" w:space="0"/>
              <w:left w:val="nil"/>
              <w:bottom w:val="single" w:color="000000" w:sz="4" w:space="0"/>
              <w:right w:val="single" w:color="000000" w:sz="4" w:space="0"/>
            </w:tcBorders>
            <w:noWrap w:val="0"/>
            <w:vAlign w:val="center"/>
          </w:tcPr>
          <w:p w14:paraId="076AA81D">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投标截止之日起</w:t>
            </w:r>
            <w:r>
              <w:rPr>
                <w:rFonts w:hint="eastAsia" w:ascii="宋体" w:hAnsi="宋体" w:eastAsia="宋体"/>
                <w:color w:val="auto"/>
                <w:sz w:val="24"/>
                <w:szCs w:val="28"/>
                <w:lang w:val="en-US" w:eastAsia="zh-CN"/>
              </w:rPr>
              <w:t>6</w:t>
            </w:r>
            <w:r>
              <w:rPr>
                <w:rFonts w:hint="eastAsia" w:ascii="宋体" w:hAnsi="宋体" w:eastAsia="宋体"/>
                <w:color w:val="auto"/>
                <w:sz w:val="24"/>
                <w:szCs w:val="28"/>
              </w:rPr>
              <w:t>0日历天</w:t>
            </w:r>
          </w:p>
        </w:tc>
      </w:tr>
      <w:tr w14:paraId="78F1FACF">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3335FBEA">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2F4CE24C">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225F868C">
            <w:pPr>
              <w:widowControl/>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rPr>
              <w:t>交货期</w:t>
            </w:r>
          </w:p>
        </w:tc>
        <w:tc>
          <w:tcPr>
            <w:tcW w:w="6421" w:type="dxa"/>
            <w:tcBorders>
              <w:top w:val="nil"/>
              <w:left w:val="nil"/>
              <w:bottom w:val="single" w:color="000000" w:sz="4" w:space="0"/>
              <w:right w:val="single" w:color="000000" w:sz="4" w:space="0"/>
            </w:tcBorders>
            <w:noWrap w:val="0"/>
            <w:vAlign w:val="center"/>
          </w:tcPr>
          <w:p w14:paraId="50D34FA2">
            <w:pPr>
              <w:autoSpaceDE w:val="0"/>
              <w:autoSpaceDN w:val="0"/>
              <w:adjustRightInd w:val="0"/>
              <w:spacing w:line="480" w:lineRule="exact"/>
              <w:jc w:val="center"/>
              <w:rPr>
                <w:rFonts w:ascii="宋体" w:hAnsi="宋体" w:eastAsia="宋体"/>
                <w:color w:val="auto"/>
                <w:sz w:val="24"/>
                <w:szCs w:val="28"/>
              </w:rPr>
            </w:pPr>
            <w:r>
              <w:rPr>
                <w:rFonts w:hint="eastAsia" w:ascii="宋体" w:hAnsi="宋体" w:eastAsia="宋体"/>
                <w:color w:val="auto"/>
                <w:sz w:val="24"/>
                <w:szCs w:val="28"/>
                <w:lang w:eastAsia="zh-CN"/>
              </w:rPr>
              <w:t>合同签订后</w:t>
            </w:r>
            <w:r>
              <w:rPr>
                <w:rFonts w:hint="eastAsia" w:ascii="宋体" w:hAnsi="宋体" w:eastAsia="宋体"/>
                <w:color w:val="auto"/>
                <w:sz w:val="24"/>
                <w:szCs w:val="28"/>
                <w:lang w:val="en-US" w:eastAsia="zh-CN"/>
              </w:rPr>
              <w:t>45</w:t>
            </w:r>
            <w:r>
              <w:rPr>
                <w:rFonts w:hint="eastAsia" w:ascii="宋体" w:hAnsi="宋体" w:eastAsia="宋体"/>
                <w:color w:val="auto"/>
                <w:sz w:val="24"/>
                <w:szCs w:val="28"/>
                <w:lang w:eastAsia="zh-CN"/>
              </w:rPr>
              <w:t>日历天安装调试完毕</w:t>
            </w:r>
          </w:p>
        </w:tc>
      </w:tr>
      <w:tr w14:paraId="5F61F47A">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1229829B">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6ED5A102">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3535F0E2">
            <w:pPr>
              <w:widowControl/>
              <w:autoSpaceDE w:val="0"/>
              <w:autoSpaceDN w:val="0"/>
              <w:adjustRightInd w:val="0"/>
              <w:spacing w:line="480" w:lineRule="exact"/>
              <w:jc w:val="center"/>
              <w:rPr>
                <w:rFonts w:ascii="宋体" w:hAnsi="宋体" w:eastAsia="宋体"/>
                <w:color w:val="auto"/>
                <w:sz w:val="24"/>
                <w:szCs w:val="28"/>
              </w:rPr>
            </w:pPr>
            <w:r>
              <w:rPr>
                <w:rFonts w:ascii="宋体" w:hAnsi="宋体" w:eastAsia="宋体"/>
                <w:color w:val="auto"/>
                <w:sz w:val="24"/>
                <w:szCs w:val="28"/>
              </w:rPr>
              <w:t>质量要求</w:t>
            </w:r>
          </w:p>
        </w:tc>
        <w:tc>
          <w:tcPr>
            <w:tcW w:w="6421" w:type="dxa"/>
            <w:tcBorders>
              <w:top w:val="nil"/>
              <w:left w:val="nil"/>
              <w:bottom w:val="single" w:color="000000" w:sz="4" w:space="0"/>
              <w:right w:val="single" w:color="000000" w:sz="4" w:space="0"/>
            </w:tcBorders>
            <w:noWrap w:val="0"/>
            <w:vAlign w:val="center"/>
          </w:tcPr>
          <w:p w14:paraId="0F844424">
            <w:pPr>
              <w:widowControl/>
              <w:snapToGrid w:val="0"/>
              <w:spacing w:line="480" w:lineRule="exact"/>
              <w:jc w:val="center"/>
              <w:textAlignment w:val="baseline"/>
              <w:rPr>
                <w:rFonts w:ascii="宋体" w:hAnsi="宋体" w:eastAsia="宋体"/>
                <w:color w:val="auto"/>
                <w:sz w:val="24"/>
                <w:szCs w:val="28"/>
              </w:rPr>
            </w:pPr>
            <w:r>
              <w:rPr>
                <w:rFonts w:hint="eastAsia" w:ascii="宋体" w:hAnsi="宋体" w:eastAsia="宋体"/>
                <w:color w:val="auto"/>
                <w:sz w:val="24"/>
                <w:szCs w:val="28"/>
              </w:rPr>
              <w:t>符合国家规定，达到正常运行条件</w:t>
            </w:r>
          </w:p>
        </w:tc>
      </w:tr>
      <w:tr w14:paraId="3BFEEE61">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756" w:type="dxa"/>
            <w:vMerge w:val="continue"/>
            <w:tcBorders>
              <w:left w:val="single" w:color="auto" w:sz="4" w:space="0"/>
              <w:right w:val="single" w:color="000000" w:sz="4" w:space="0"/>
            </w:tcBorders>
            <w:noWrap w:val="0"/>
            <w:vAlign w:val="center"/>
          </w:tcPr>
          <w:p w14:paraId="3B8CE6BE">
            <w:pPr>
              <w:widowControl/>
              <w:jc w:val="left"/>
              <w:rPr>
                <w:rFonts w:ascii="宋体" w:hAnsi="宋体" w:eastAsia="宋体"/>
                <w:color w:val="auto"/>
                <w:kern w:val="0"/>
                <w:sz w:val="22"/>
                <w:szCs w:val="21"/>
              </w:rPr>
            </w:pPr>
          </w:p>
        </w:tc>
        <w:tc>
          <w:tcPr>
            <w:tcW w:w="920" w:type="dxa"/>
            <w:gridSpan w:val="2"/>
            <w:vMerge w:val="continue"/>
            <w:tcBorders>
              <w:left w:val="nil"/>
              <w:right w:val="single" w:color="auto" w:sz="4" w:space="0"/>
            </w:tcBorders>
            <w:noWrap w:val="0"/>
            <w:vAlign w:val="center"/>
          </w:tcPr>
          <w:p w14:paraId="0C901E3D">
            <w:pPr>
              <w:widowControl/>
              <w:jc w:val="left"/>
              <w:rPr>
                <w:rFonts w:ascii="宋体" w:hAnsi="宋体" w:eastAsia="宋体"/>
                <w:color w:val="auto"/>
                <w:kern w:val="0"/>
                <w:sz w:val="22"/>
                <w:szCs w:val="21"/>
              </w:rPr>
            </w:pPr>
          </w:p>
        </w:tc>
        <w:tc>
          <w:tcPr>
            <w:tcW w:w="1973" w:type="dxa"/>
            <w:gridSpan w:val="2"/>
            <w:tcBorders>
              <w:top w:val="nil"/>
              <w:left w:val="single" w:color="auto" w:sz="4" w:space="0"/>
              <w:bottom w:val="single" w:color="000000" w:sz="4" w:space="0"/>
              <w:right w:val="single" w:color="000000" w:sz="4" w:space="0"/>
            </w:tcBorders>
            <w:noWrap w:val="0"/>
            <w:vAlign w:val="center"/>
          </w:tcPr>
          <w:p w14:paraId="3A75B430">
            <w:pPr>
              <w:widowControl/>
              <w:autoSpaceDE w:val="0"/>
              <w:autoSpaceDN w:val="0"/>
              <w:adjustRightInd w:val="0"/>
              <w:spacing w:line="480" w:lineRule="exact"/>
              <w:jc w:val="center"/>
              <w:rPr>
                <w:rFonts w:hint="eastAsia" w:ascii="宋体" w:hAnsi="宋体" w:eastAsia="宋体"/>
                <w:color w:val="auto"/>
                <w:sz w:val="24"/>
                <w:szCs w:val="28"/>
              </w:rPr>
            </w:pPr>
            <w:r>
              <w:rPr>
                <w:rFonts w:hint="eastAsia" w:ascii="宋体" w:hAnsi="宋体" w:eastAsia="宋体"/>
                <w:color w:val="auto"/>
                <w:sz w:val="24"/>
                <w:szCs w:val="28"/>
                <w:lang w:val="en-US" w:eastAsia="zh-CN"/>
              </w:rPr>
              <w:t>其他实质性要求</w:t>
            </w:r>
          </w:p>
        </w:tc>
        <w:tc>
          <w:tcPr>
            <w:tcW w:w="6421" w:type="dxa"/>
            <w:tcBorders>
              <w:top w:val="nil"/>
              <w:left w:val="nil"/>
              <w:bottom w:val="single" w:color="000000" w:sz="4" w:space="0"/>
              <w:right w:val="single" w:color="000000" w:sz="4" w:space="0"/>
            </w:tcBorders>
            <w:noWrap w:val="0"/>
            <w:vAlign w:val="center"/>
          </w:tcPr>
          <w:p w14:paraId="4D932A43">
            <w:pPr>
              <w:widowControl/>
              <w:snapToGrid w:val="0"/>
              <w:spacing w:line="480" w:lineRule="exact"/>
              <w:jc w:val="center"/>
              <w:textAlignment w:val="baseline"/>
              <w:rPr>
                <w:rFonts w:hint="eastAsia" w:ascii="宋体" w:hAnsi="宋体" w:eastAsia="宋体"/>
                <w:color w:val="auto"/>
                <w:sz w:val="24"/>
                <w:szCs w:val="28"/>
                <w:lang w:val="en-US" w:eastAsia="zh-CN"/>
              </w:rPr>
            </w:pPr>
            <w:r>
              <w:rPr>
                <w:rFonts w:hint="eastAsia" w:ascii="宋体" w:hAnsi="宋体" w:eastAsia="宋体"/>
                <w:color w:val="auto"/>
                <w:sz w:val="24"/>
                <w:szCs w:val="28"/>
                <w:lang w:val="en-US" w:eastAsia="zh-CN"/>
              </w:rPr>
              <w:t>招标文件中规定的其他实质性要求</w:t>
            </w:r>
          </w:p>
        </w:tc>
      </w:tr>
      <w:tr w14:paraId="6B0D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0070" w:type="dxa"/>
            <w:gridSpan w:val="6"/>
            <w:tcBorders>
              <w:top w:val="single" w:color="auto" w:sz="4" w:space="0"/>
              <w:left w:val="single" w:color="auto" w:sz="4" w:space="0"/>
              <w:bottom w:val="single" w:color="auto" w:sz="4" w:space="0"/>
              <w:right w:val="single" w:color="auto" w:sz="4" w:space="0"/>
            </w:tcBorders>
            <w:noWrap w:val="0"/>
            <w:vAlign w:val="center"/>
          </w:tcPr>
          <w:p w14:paraId="630F8F06">
            <w:pPr>
              <w:spacing w:line="276" w:lineRule="auto"/>
              <w:jc w:val="left"/>
              <w:rPr>
                <w:rFonts w:ascii="宋体" w:hAnsi="宋体" w:eastAsia="宋体"/>
                <w:b/>
                <w:color w:val="auto"/>
                <w:sz w:val="24"/>
                <w:szCs w:val="24"/>
              </w:rPr>
            </w:pPr>
            <w:r>
              <w:rPr>
                <w:rFonts w:hint="eastAsia" w:ascii="宋体" w:hAnsi="宋体" w:eastAsia="宋体"/>
                <w:b/>
                <w:bCs/>
                <w:color w:val="auto"/>
                <w:sz w:val="24"/>
                <w:szCs w:val="24"/>
              </w:rPr>
              <w:t>应中华人民共和国财政部令第87号《政府采购货物和服务招标投标管理办法》第四十四条</w:t>
            </w:r>
            <w:r>
              <w:rPr>
                <w:rFonts w:hint="eastAsia" w:ascii="宋体" w:hAnsi="宋体" w:eastAsia="宋体"/>
                <w:b/>
                <w:color w:val="auto"/>
                <w:sz w:val="24"/>
                <w:szCs w:val="24"/>
              </w:rPr>
              <w:t>公开招标采购项目开标结束后，采购人或者采购代理机构应当依法对投标供应商的资格进行审查。合格投标供应商不足3家的，不得评标。</w:t>
            </w:r>
          </w:p>
          <w:p w14:paraId="0881661C">
            <w:pPr>
              <w:autoSpaceDE w:val="0"/>
              <w:autoSpaceDN w:val="0"/>
              <w:spacing w:line="360" w:lineRule="auto"/>
              <w:jc w:val="left"/>
              <w:rPr>
                <w:rFonts w:ascii="宋体" w:hAnsi="宋体" w:eastAsia="宋体"/>
                <w:color w:val="auto"/>
                <w:szCs w:val="21"/>
              </w:rPr>
            </w:pPr>
            <w:r>
              <w:rPr>
                <w:rFonts w:hint="eastAsia" w:ascii="宋体" w:hAnsi="宋体" w:eastAsia="宋体"/>
                <w:b/>
                <w:color w:val="auto"/>
                <w:sz w:val="24"/>
                <w:szCs w:val="24"/>
              </w:rPr>
              <w:t>资格评审以投标文件为准，其上传资料真实性由</w:t>
            </w:r>
            <w:r>
              <w:rPr>
                <w:rFonts w:hint="eastAsia" w:ascii="宋体" w:hAnsi="宋体" w:eastAsia="宋体"/>
                <w:b/>
                <w:color w:val="auto"/>
                <w:sz w:val="24"/>
                <w:szCs w:val="24"/>
                <w:lang w:eastAsia="zh-CN"/>
              </w:rPr>
              <w:t>供应商</w:t>
            </w:r>
            <w:r>
              <w:rPr>
                <w:rFonts w:hint="eastAsia" w:ascii="宋体" w:hAnsi="宋体" w:eastAsia="宋体"/>
                <w:b/>
                <w:color w:val="auto"/>
                <w:sz w:val="24"/>
                <w:szCs w:val="24"/>
              </w:rPr>
              <w:t>自行承担。</w:t>
            </w:r>
          </w:p>
        </w:tc>
      </w:tr>
      <w:tr w14:paraId="47F1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49053A97">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条款内容</w:t>
            </w:r>
          </w:p>
        </w:tc>
        <w:tc>
          <w:tcPr>
            <w:tcW w:w="7397" w:type="dxa"/>
            <w:gridSpan w:val="2"/>
            <w:tcBorders>
              <w:top w:val="single" w:color="auto" w:sz="4" w:space="0"/>
              <w:left w:val="nil"/>
              <w:bottom w:val="single" w:color="auto" w:sz="4" w:space="0"/>
              <w:right w:val="single" w:color="auto" w:sz="4" w:space="0"/>
            </w:tcBorders>
            <w:noWrap w:val="0"/>
            <w:vAlign w:val="center"/>
          </w:tcPr>
          <w:p w14:paraId="50E47239">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r>
      <w:tr w14:paraId="783C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673" w:type="dxa"/>
            <w:gridSpan w:val="4"/>
            <w:tcBorders>
              <w:top w:val="single" w:color="auto" w:sz="4" w:space="0"/>
              <w:left w:val="single" w:color="auto" w:sz="4" w:space="0"/>
              <w:bottom w:val="single" w:color="auto" w:sz="4" w:space="0"/>
              <w:right w:val="single" w:color="auto" w:sz="4" w:space="0"/>
            </w:tcBorders>
            <w:noWrap w:val="0"/>
            <w:vAlign w:val="center"/>
          </w:tcPr>
          <w:p w14:paraId="281ED63F">
            <w:pPr>
              <w:spacing w:line="360" w:lineRule="auto"/>
              <w:rPr>
                <w:rFonts w:ascii="宋体" w:hAnsi="宋体" w:eastAsia="宋体"/>
                <w:color w:val="auto"/>
                <w:sz w:val="24"/>
                <w:szCs w:val="24"/>
              </w:rPr>
            </w:pPr>
            <w:r>
              <w:rPr>
                <w:rFonts w:hint="eastAsia" w:ascii="宋体" w:hAnsi="宋体" w:eastAsia="宋体"/>
                <w:color w:val="auto"/>
                <w:sz w:val="24"/>
                <w:szCs w:val="24"/>
              </w:rPr>
              <w:t>分值构成（总分100分）</w:t>
            </w:r>
          </w:p>
        </w:tc>
        <w:tc>
          <w:tcPr>
            <w:tcW w:w="7397" w:type="dxa"/>
            <w:gridSpan w:val="2"/>
            <w:tcBorders>
              <w:top w:val="single" w:color="auto" w:sz="4" w:space="0"/>
              <w:left w:val="nil"/>
              <w:bottom w:val="single" w:color="auto" w:sz="4" w:space="0"/>
              <w:right w:val="single" w:color="auto" w:sz="4" w:space="0"/>
            </w:tcBorders>
            <w:noWrap w:val="0"/>
            <w:vAlign w:val="center"/>
          </w:tcPr>
          <w:p w14:paraId="77E87CA4">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投标报价：30分</w:t>
            </w:r>
          </w:p>
          <w:p w14:paraId="265FA211">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技术部分：</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0分</w:t>
            </w:r>
          </w:p>
          <w:p w14:paraId="03300E7E">
            <w:pPr>
              <w:adjustRightInd w:val="0"/>
              <w:snapToGrid w:val="0"/>
              <w:jc w:val="center"/>
              <w:rPr>
                <w:rFonts w:ascii="宋体" w:hAnsi="宋体" w:eastAsia="宋体"/>
                <w:color w:val="auto"/>
                <w:sz w:val="24"/>
                <w:szCs w:val="24"/>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0分</w:t>
            </w:r>
          </w:p>
        </w:tc>
      </w:tr>
      <w:tr w14:paraId="0B29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326" w:type="dxa"/>
            <w:gridSpan w:val="2"/>
            <w:tcBorders>
              <w:top w:val="single" w:color="auto" w:sz="4" w:space="0"/>
              <w:left w:val="single" w:color="auto" w:sz="4" w:space="0"/>
              <w:bottom w:val="single" w:color="auto" w:sz="4" w:space="0"/>
              <w:right w:val="single" w:color="auto" w:sz="4" w:space="0"/>
            </w:tcBorders>
            <w:noWrap w:val="0"/>
            <w:vAlign w:val="center"/>
          </w:tcPr>
          <w:p w14:paraId="58A282C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2.2评审项</w:t>
            </w:r>
          </w:p>
        </w:tc>
        <w:tc>
          <w:tcPr>
            <w:tcW w:w="1347" w:type="dxa"/>
            <w:gridSpan w:val="2"/>
            <w:tcBorders>
              <w:top w:val="single" w:color="auto" w:sz="4" w:space="0"/>
              <w:left w:val="nil"/>
              <w:bottom w:val="single" w:color="auto" w:sz="4" w:space="0"/>
              <w:right w:val="single" w:color="auto" w:sz="4" w:space="0"/>
            </w:tcBorders>
            <w:noWrap w:val="0"/>
            <w:vAlign w:val="center"/>
          </w:tcPr>
          <w:p w14:paraId="4914E38E">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编列内容</w:t>
            </w:r>
          </w:p>
        </w:tc>
        <w:tc>
          <w:tcPr>
            <w:tcW w:w="7397" w:type="dxa"/>
            <w:gridSpan w:val="2"/>
            <w:tcBorders>
              <w:top w:val="single" w:color="auto" w:sz="4" w:space="0"/>
              <w:left w:val="nil"/>
              <w:bottom w:val="single" w:color="auto" w:sz="4" w:space="0"/>
              <w:right w:val="single" w:color="auto" w:sz="4" w:space="0"/>
            </w:tcBorders>
            <w:noWrap w:val="0"/>
            <w:vAlign w:val="center"/>
          </w:tcPr>
          <w:p w14:paraId="02F19F4B">
            <w:pPr>
              <w:autoSpaceDE w:val="0"/>
              <w:autoSpaceDN w:val="0"/>
              <w:spacing w:line="360" w:lineRule="auto"/>
              <w:jc w:val="center"/>
              <w:rPr>
                <w:rFonts w:ascii="宋体" w:hAnsi="宋体" w:eastAsia="宋体"/>
                <w:color w:val="auto"/>
                <w:sz w:val="24"/>
                <w:szCs w:val="24"/>
              </w:rPr>
            </w:pPr>
            <w:r>
              <w:rPr>
                <w:rFonts w:hint="eastAsia" w:ascii="宋体" w:hAnsi="宋体" w:eastAsia="宋体"/>
                <w:color w:val="auto"/>
                <w:sz w:val="24"/>
                <w:szCs w:val="24"/>
              </w:rPr>
              <w:t>评审方法</w:t>
            </w:r>
          </w:p>
        </w:tc>
      </w:tr>
      <w:tr w14:paraId="57B7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326" w:type="dxa"/>
            <w:gridSpan w:val="2"/>
            <w:tcBorders>
              <w:top w:val="single" w:color="auto" w:sz="4" w:space="0"/>
              <w:left w:val="single" w:color="auto" w:sz="4" w:space="0"/>
              <w:right w:val="single" w:color="auto" w:sz="4" w:space="0"/>
            </w:tcBorders>
            <w:noWrap w:val="0"/>
            <w:vAlign w:val="center"/>
          </w:tcPr>
          <w:p w14:paraId="4D7D2E6E">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投标报价（30分）</w:t>
            </w:r>
          </w:p>
        </w:tc>
        <w:tc>
          <w:tcPr>
            <w:tcW w:w="1347" w:type="dxa"/>
            <w:gridSpan w:val="2"/>
            <w:tcBorders>
              <w:top w:val="single" w:color="auto" w:sz="4" w:space="0"/>
              <w:left w:val="single" w:color="auto" w:sz="4" w:space="0"/>
              <w:right w:val="single" w:color="auto" w:sz="4" w:space="0"/>
            </w:tcBorders>
            <w:noWrap w:val="0"/>
            <w:vAlign w:val="center"/>
          </w:tcPr>
          <w:p w14:paraId="15875B6C">
            <w:pPr>
              <w:spacing w:line="360" w:lineRule="auto"/>
              <w:jc w:val="center"/>
              <w:rPr>
                <w:rFonts w:ascii="宋体" w:hAnsi="宋体" w:eastAsia="宋体"/>
                <w:color w:val="auto"/>
                <w:sz w:val="24"/>
                <w:szCs w:val="24"/>
              </w:rPr>
            </w:pPr>
            <w:r>
              <w:rPr>
                <w:rFonts w:hint="eastAsia" w:ascii="宋体" w:hAnsi="宋体" w:eastAsia="宋体"/>
                <w:color w:val="auto"/>
                <w:sz w:val="24"/>
                <w:szCs w:val="24"/>
              </w:rPr>
              <w:t>投标报价</w:t>
            </w:r>
          </w:p>
        </w:tc>
        <w:tc>
          <w:tcPr>
            <w:tcW w:w="7397" w:type="dxa"/>
            <w:gridSpan w:val="2"/>
            <w:tcBorders>
              <w:top w:val="single" w:color="auto" w:sz="4" w:space="0"/>
              <w:left w:val="nil"/>
              <w:right w:val="single" w:color="auto" w:sz="4" w:space="0"/>
            </w:tcBorders>
            <w:noWrap w:val="0"/>
            <w:vAlign w:val="center"/>
          </w:tcPr>
          <w:p w14:paraId="7FF2B2D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1、超出采购人最高限价的投标报价为无效报价、按废标处理。</w:t>
            </w:r>
          </w:p>
          <w:p w14:paraId="02364CA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2、所有未进入详细评审的投标为无效投标，其报价不作为评分依据。</w:t>
            </w:r>
          </w:p>
          <w:p w14:paraId="5C9D49B4">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3、价格分统一采用低价优先法计算，既满足招标文件要求且投标价格最低的投标报价为评标基准价，其价格分为满分。其他供应商的价格分统一按照下列公式计算：</w:t>
            </w:r>
          </w:p>
          <w:p w14:paraId="230CAE32">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供应商报价得分=（评标基准价/供应商投标报价）×30</w:t>
            </w:r>
          </w:p>
          <w:p w14:paraId="4D7C80D1">
            <w:pPr>
              <w:spacing w:line="360" w:lineRule="auto"/>
              <w:rPr>
                <w:rFonts w:asciiTheme="minorEastAsia" w:hAnsiTheme="minorEastAsia" w:cstheme="minorEastAsia"/>
                <w:color w:val="000000" w:themeColor="text1"/>
                <w:kern w:val="0"/>
                <w:sz w:val="24"/>
                <w:szCs w:val="24"/>
                <w14:textFill>
                  <w14:solidFill>
                    <w14:schemeClr w14:val="tx1"/>
                  </w14:solidFill>
                </w14:textFill>
              </w:rPr>
            </w:pPr>
            <w:r>
              <w:rPr>
                <w:rFonts w:hint="eastAsia" w:asciiTheme="minorEastAsia" w:hAnsiTheme="minorEastAsia" w:cstheme="minorEastAsia"/>
                <w:color w:val="000000" w:themeColor="text1"/>
                <w:kern w:val="0"/>
                <w:sz w:val="24"/>
                <w:szCs w:val="24"/>
                <w14:textFill>
                  <w14:solidFill>
                    <w14:schemeClr w14:val="tx1"/>
                  </w14:solidFill>
                </w14:textFill>
              </w:rPr>
              <w:t>注：本项目对小微企业、监狱企业、残疾人福利性企业作为供应商所提供的本企业生产的产品的价格给予20%的扣除，同一供应商中小微企业产品、监狱企业产品、残疾人福利性单位产品的价格扣除优惠只享受一次，不得重复享受。</w:t>
            </w:r>
          </w:p>
          <w:p w14:paraId="5FB585A9">
            <w:pPr>
              <w:widowControl/>
              <w:spacing w:line="360" w:lineRule="auto"/>
              <w:textAlignment w:val="baseline"/>
              <w:rPr>
                <w:rFonts w:ascii="宋体" w:hAnsi="宋体" w:eastAsia="宋体"/>
                <w:color w:val="auto"/>
                <w:sz w:val="24"/>
                <w:szCs w:val="24"/>
              </w:rPr>
            </w:pPr>
            <w:r>
              <w:rPr>
                <w:rFonts w:hint="eastAsia" w:asciiTheme="minorEastAsia" w:hAnsiTheme="minorEastAsia" w:cstheme="minorEastAsia"/>
                <w:color w:val="000000" w:themeColor="text1"/>
                <w:kern w:val="0"/>
                <w:sz w:val="24"/>
                <w:szCs w:val="24"/>
                <w14:textFill>
                  <w14:solidFill>
                    <w14:schemeClr w14:val="tx1"/>
                  </w14:solidFill>
                </w14:textFill>
              </w:rPr>
              <w:t>备注：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tc>
      </w:tr>
      <w:tr w14:paraId="03D2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1326" w:type="dxa"/>
            <w:gridSpan w:val="2"/>
            <w:vMerge w:val="restart"/>
            <w:tcBorders>
              <w:top w:val="single" w:color="auto" w:sz="4" w:space="0"/>
              <w:left w:val="single" w:color="auto" w:sz="4" w:space="0"/>
              <w:right w:val="single" w:color="auto" w:sz="4" w:space="0"/>
            </w:tcBorders>
            <w:noWrap w:val="0"/>
            <w:vAlign w:val="center"/>
          </w:tcPr>
          <w:p w14:paraId="6E619065">
            <w:pPr>
              <w:spacing w:line="360" w:lineRule="auto"/>
              <w:jc w:val="center"/>
              <w:rPr>
                <w:rFonts w:ascii="宋体" w:hAnsi="宋体" w:eastAsia="宋体"/>
                <w:color w:val="auto"/>
                <w:sz w:val="24"/>
                <w:szCs w:val="24"/>
              </w:rPr>
            </w:pPr>
            <w:r>
              <w:rPr>
                <w:rFonts w:hint="eastAsia" w:ascii="宋体" w:hAnsi="宋体" w:eastAsia="宋体"/>
                <w:color w:val="auto"/>
                <w:sz w:val="24"/>
                <w:szCs w:val="24"/>
              </w:rPr>
              <w:t>技术部分</w:t>
            </w:r>
          </w:p>
          <w:p w14:paraId="0711F0D6">
            <w:pPr>
              <w:wordWrap w:val="0"/>
              <w:spacing w:line="360" w:lineRule="auto"/>
              <w:jc w:val="center"/>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50</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2188AC11">
            <w:pPr>
              <w:pStyle w:val="8"/>
              <w:jc w:val="center"/>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技术参数</w:t>
            </w:r>
          </w:p>
          <w:p w14:paraId="6F050916">
            <w:pPr>
              <w:pStyle w:val="8"/>
              <w:jc w:val="center"/>
              <w:rPr>
                <w:color w:val="auto"/>
              </w:rPr>
            </w:pPr>
            <w:r>
              <w:rPr>
                <w:rFonts w:hint="eastAsia" w:ascii="宋体" w:hAnsi="宋体" w:eastAsia="宋体" w:cstheme="minorBidi"/>
                <w:color w:val="auto"/>
                <w:kern w:val="2"/>
                <w:sz w:val="24"/>
                <w:szCs w:val="24"/>
                <w:lang w:val="en-US" w:eastAsia="zh-CN" w:bidi="ar-SA"/>
              </w:rPr>
              <w:t>（</w:t>
            </w:r>
            <w:r>
              <w:rPr>
                <w:rFonts w:hint="eastAsia" w:ascii="宋体" w:hAnsi="宋体" w:cstheme="minorBidi"/>
                <w:color w:val="auto"/>
                <w:kern w:val="2"/>
                <w:sz w:val="24"/>
                <w:szCs w:val="24"/>
                <w:lang w:val="en-US" w:eastAsia="zh-CN" w:bidi="ar-SA"/>
              </w:rPr>
              <w:t>20</w:t>
            </w:r>
            <w:r>
              <w:rPr>
                <w:rFonts w:hint="eastAsia" w:ascii="宋体" w:hAnsi="宋体" w:eastAsia="宋体" w:cstheme="minorBidi"/>
                <w:color w:val="auto"/>
                <w:kern w:val="2"/>
                <w:sz w:val="24"/>
                <w:szCs w:val="24"/>
                <w:lang w:val="en-US" w:eastAsia="zh-CN" w:bidi="ar-SA"/>
              </w:rPr>
              <w:t>分）</w:t>
            </w:r>
          </w:p>
        </w:tc>
        <w:tc>
          <w:tcPr>
            <w:tcW w:w="7397" w:type="dxa"/>
            <w:gridSpan w:val="2"/>
            <w:tcBorders>
              <w:top w:val="single" w:color="auto" w:sz="4" w:space="0"/>
              <w:left w:val="nil"/>
              <w:right w:val="single" w:color="auto" w:sz="4" w:space="0"/>
            </w:tcBorders>
            <w:noWrap w:val="0"/>
            <w:vAlign w:val="center"/>
          </w:tcPr>
          <w:p w14:paraId="388F5611">
            <w:pPr>
              <w:widowControl/>
              <w:spacing w:line="360" w:lineRule="auto"/>
              <w:textAlignment w:val="baseline"/>
              <w:rPr>
                <w:rFonts w:hint="eastAsia" w:ascii="宋体" w:hAnsi="宋体" w:eastAsia="宋体"/>
                <w:color w:val="auto"/>
                <w:sz w:val="24"/>
                <w:szCs w:val="24"/>
              </w:rPr>
            </w:pPr>
            <w:r>
              <w:rPr>
                <w:rFonts w:hint="eastAsia" w:ascii="宋体" w:hAnsi="宋体" w:eastAsia="宋体"/>
                <w:color w:val="auto"/>
                <w:sz w:val="24"/>
                <w:szCs w:val="24"/>
              </w:rPr>
              <w:t>所投产品各项技术参数满足</w:t>
            </w:r>
            <w:r>
              <w:rPr>
                <w:rFonts w:hint="eastAsia" w:ascii="宋体" w:hAnsi="宋体" w:eastAsia="宋体"/>
                <w:color w:val="auto"/>
                <w:sz w:val="24"/>
                <w:szCs w:val="24"/>
                <w:lang w:val="en-US" w:eastAsia="zh-CN"/>
              </w:rPr>
              <w:t>或优于</w:t>
            </w:r>
            <w:r>
              <w:rPr>
                <w:rFonts w:hint="eastAsia" w:ascii="宋体" w:hAnsi="宋体" w:eastAsia="宋体"/>
                <w:color w:val="auto"/>
                <w:sz w:val="24"/>
                <w:szCs w:val="24"/>
              </w:rPr>
              <w:t>招标文件要求的得</w:t>
            </w:r>
            <w:r>
              <w:rPr>
                <w:rFonts w:hint="eastAsia" w:ascii="宋体" w:hAnsi="宋体" w:eastAsia="宋体"/>
                <w:color w:val="auto"/>
                <w:sz w:val="24"/>
                <w:szCs w:val="24"/>
                <w:lang w:val="en-US" w:eastAsia="zh-CN"/>
              </w:rPr>
              <w:t>满分</w:t>
            </w:r>
            <w:r>
              <w:rPr>
                <w:rFonts w:hint="eastAsia" w:ascii="宋体" w:hAnsi="宋体" w:eastAsia="宋体"/>
                <w:color w:val="auto"/>
                <w:sz w:val="24"/>
                <w:szCs w:val="24"/>
              </w:rPr>
              <w:t>2</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分；</w:t>
            </w:r>
            <w:r>
              <w:rPr>
                <w:rFonts w:hint="eastAsia" w:ascii="宋体" w:hAnsi="宋体" w:eastAsia="宋体"/>
                <w:color w:val="auto"/>
                <w:sz w:val="24"/>
                <w:szCs w:val="24"/>
                <w:lang w:val="en-US" w:eastAsia="zh-CN"/>
              </w:rPr>
              <w:t>核心产品</w:t>
            </w:r>
            <w:r>
              <w:rPr>
                <w:rFonts w:hint="eastAsia" w:ascii="宋体" w:hAnsi="宋体" w:eastAsia="宋体"/>
                <w:color w:val="auto"/>
                <w:sz w:val="24"/>
                <w:szCs w:val="24"/>
              </w:rPr>
              <w:t xml:space="preserve">技术参数每有一项负偏离的扣 </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 xml:space="preserve"> 分</w:t>
            </w:r>
            <w:r>
              <w:rPr>
                <w:rFonts w:hint="eastAsia" w:ascii="宋体" w:hAnsi="宋体" w:eastAsia="宋体"/>
                <w:color w:val="auto"/>
                <w:sz w:val="24"/>
                <w:szCs w:val="24"/>
                <w:lang w:eastAsia="zh-CN"/>
              </w:rPr>
              <w:t>，</w:t>
            </w:r>
            <w:r>
              <w:rPr>
                <w:rFonts w:hint="eastAsia" w:ascii="宋体" w:hAnsi="宋体" w:eastAsia="宋体"/>
                <w:color w:val="auto"/>
                <w:sz w:val="24"/>
                <w:szCs w:val="24"/>
              </w:rPr>
              <w:t>其他一般性技术参数，每有一项负偏离的扣 1 分，扣完为止。</w:t>
            </w:r>
          </w:p>
        </w:tc>
      </w:tr>
      <w:tr w14:paraId="58B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0F88C73B">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795CF5F3">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设备整体评价（</w:t>
            </w:r>
            <w:r>
              <w:rPr>
                <w:rFonts w:hint="eastAsia" w:ascii="宋体" w:hAnsi="宋体" w:eastAsia="宋体"/>
                <w:color w:val="auto"/>
                <w:sz w:val="24"/>
                <w:szCs w:val="24"/>
                <w:lang w:val="en-US" w:eastAsia="zh-CN"/>
              </w:rPr>
              <w:t>6分）</w:t>
            </w:r>
          </w:p>
        </w:tc>
        <w:tc>
          <w:tcPr>
            <w:tcW w:w="7397" w:type="dxa"/>
            <w:gridSpan w:val="2"/>
            <w:tcBorders>
              <w:top w:val="single" w:color="auto" w:sz="4" w:space="0"/>
              <w:left w:val="nil"/>
              <w:right w:val="single" w:color="auto" w:sz="4" w:space="0"/>
            </w:tcBorders>
            <w:noWrap w:val="0"/>
            <w:vAlign w:val="center"/>
          </w:tcPr>
          <w:p w14:paraId="5D68D337">
            <w:pPr>
              <w:widowControl/>
              <w:numPr>
                <w:ilvl w:val="0"/>
                <w:numId w:val="0"/>
              </w:numPr>
              <w:spacing w:line="360" w:lineRule="auto"/>
              <w:ind w:leftChars="0"/>
              <w:textAlignment w:val="baseline"/>
              <w:rPr>
                <w:rFonts w:hint="eastAsia" w:ascii="宋体" w:hAnsi="宋体" w:cs="宋体"/>
                <w:color w:val="auto"/>
                <w:sz w:val="24"/>
              </w:rPr>
            </w:pPr>
            <w:r>
              <w:rPr>
                <w:rFonts w:hint="eastAsia" w:ascii="宋体" w:hAnsi="宋体" w:cs="宋体"/>
                <w:color w:val="auto"/>
                <w:sz w:val="24"/>
              </w:rPr>
              <w:t>对除臭工艺方案、设备材质、环保性能方面进行详细说明：</w:t>
            </w:r>
          </w:p>
          <w:p w14:paraId="761EBA82">
            <w:pPr>
              <w:widowControl/>
              <w:numPr>
                <w:ilvl w:val="0"/>
                <w:numId w:val="0"/>
              </w:numPr>
              <w:spacing w:line="360" w:lineRule="auto"/>
              <w:ind w:left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整体</w:t>
            </w:r>
            <w:r>
              <w:rPr>
                <w:rFonts w:hint="eastAsia" w:ascii="宋体" w:hAnsi="宋体" w:cs="宋体"/>
                <w:color w:val="auto"/>
                <w:sz w:val="24"/>
                <w:lang w:val="en-US" w:eastAsia="zh-CN"/>
              </w:rPr>
              <w:t>方案、</w:t>
            </w:r>
            <w:r>
              <w:rPr>
                <w:rFonts w:hint="eastAsia" w:ascii="宋体" w:hAnsi="宋体" w:cs="宋体"/>
                <w:color w:val="auto"/>
                <w:sz w:val="24"/>
              </w:rPr>
              <w:t>环保性能优异</w:t>
            </w:r>
            <w:r>
              <w:rPr>
                <w:rFonts w:hint="eastAsia" w:ascii="宋体" w:hAnsi="宋体" w:cs="宋体"/>
                <w:color w:val="auto"/>
                <w:sz w:val="24"/>
                <w:lang w:eastAsia="zh-CN"/>
              </w:rPr>
              <w:t>，</w:t>
            </w:r>
            <w:r>
              <w:rPr>
                <w:rFonts w:hint="eastAsia" w:ascii="宋体" w:hAnsi="宋体" w:cs="宋体"/>
                <w:color w:val="auto"/>
                <w:sz w:val="24"/>
                <w:lang w:val="en-US" w:eastAsia="zh-CN"/>
              </w:rPr>
              <w:t>设备材质耐用性、</w:t>
            </w:r>
            <w:r>
              <w:rPr>
                <w:rFonts w:hint="eastAsia" w:ascii="宋体" w:hAnsi="宋体" w:cs="宋体"/>
                <w:color w:val="auto"/>
                <w:sz w:val="24"/>
              </w:rPr>
              <w:t>成本合理的得</w:t>
            </w:r>
            <w:r>
              <w:rPr>
                <w:rFonts w:hint="eastAsia" w:ascii="宋体" w:hAnsi="宋体" w:cs="宋体"/>
                <w:color w:val="auto"/>
                <w:sz w:val="24"/>
                <w:lang w:val="en-US" w:eastAsia="zh-CN"/>
              </w:rPr>
              <w:t>6</w:t>
            </w:r>
            <w:r>
              <w:rPr>
                <w:rFonts w:hint="eastAsia" w:ascii="宋体" w:hAnsi="宋体" w:cs="宋体"/>
                <w:color w:val="auto"/>
                <w:sz w:val="24"/>
              </w:rPr>
              <w:t>分；</w:t>
            </w:r>
          </w:p>
          <w:p w14:paraId="6B9AF59C">
            <w:pPr>
              <w:widowControl/>
              <w:numPr>
                <w:ilvl w:val="0"/>
                <w:numId w:val="0"/>
              </w:numPr>
              <w:spacing w:line="360" w:lineRule="auto"/>
              <w:ind w:left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整体</w:t>
            </w:r>
            <w:r>
              <w:rPr>
                <w:rFonts w:hint="eastAsia" w:ascii="宋体" w:hAnsi="宋体" w:cs="宋体"/>
                <w:color w:val="auto"/>
                <w:sz w:val="24"/>
                <w:lang w:val="en-US" w:eastAsia="zh-CN"/>
              </w:rPr>
              <w:t>方案、</w:t>
            </w:r>
            <w:r>
              <w:rPr>
                <w:rFonts w:hint="eastAsia" w:ascii="宋体" w:hAnsi="宋体" w:cs="宋体"/>
                <w:color w:val="auto"/>
                <w:sz w:val="24"/>
              </w:rPr>
              <w:t>环保性能</w:t>
            </w:r>
            <w:r>
              <w:rPr>
                <w:rFonts w:hint="eastAsia" w:ascii="宋体" w:hAnsi="宋体" w:cs="宋体"/>
                <w:color w:val="auto"/>
                <w:sz w:val="24"/>
                <w:lang w:val="en-US" w:eastAsia="zh-CN"/>
              </w:rPr>
              <w:t>一般</w:t>
            </w:r>
            <w:r>
              <w:rPr>
                <w:rFonts w:hint="eastAsia" w:ascii="宋体" w:hAnsi="宋体" w:cs="宋体"/>
                <w:color w:val="auto"/>
                <w:sz w:val="24"/>
                <w:lang w:eastAsia="zh-CN"/>
              </w:rPr>
              <w:t>，</w:t>
            </w:r>
            <w:r>
              <w:rPr>
                <w:rFonts w:hint="eastAsia" w:ascii="宋体" w:hAnsi="宋体" w:cs="宋体"/>
                <w:color w:val="auto"/>
                <w:sz w:val="24"/>
                <w:lang w:val="en-US" w:eastAsia="zh-CN"/>
              </w:rPr>
              <w:t>设备材质耐用性、</w:t>
            </w:r>
            <w:r>
              <w:rPr>
                <w:rFonts w:hint="eastAsia" w:ascii="宋体" w:hAnsi="宋体" w:cs="宋体"/>
                <w:color w:val="auto"/>
                <w:sz w:val="24"/>
              </w:rPr>
              <w:t>成本</w:t>
            </w:r>
            <w:r>
              <w:rPr>
                <w:rFonts w:hint="eastAsia" w:ascii="宋体" w:hAnsi="宋体" w:cs="宋体"/>
                <w:color w:val="auto"/>
                <w:sz w:val="24"/>
                <w:lang w:val="en-US" w:eastAsia="zh-CN"/>
              </w:rPr>
              <w:t>一般</w:t>
            </w:r>
            <w:r>
              <w:rPr>
                <w:rFonts w:hint="eastAsia" w:ascii="宋体" w:hAnsi="宋体" w:cs="宋体"/>
                <w:color w:val="auto"/>
                <w:sz w:val="24"/>
              </w:rPr>
              <w:t>的得</w:t>
            </w:r>
            <w:r>
              <w:rPr>
                <w:rFonts w:hint="eastAsia" w:ascii="宋体" w:hAnsi="宋体" w:cs="宋体"/>
                <w:color w:val="auto"/>
                <w:sz w:val="24"/>
                <w:lang w:val="en-US" w:eastAsia="zh-CN"/>
              </w:rPr>
              <w:t>3</w:t>
            </w:r>
            <w:r>
              <w:rPr>
                <w:rFonts w:hint="eastAsia" w:ascii="宋体" w:hAnsi="宋体" w:cs="宋体"/>
                <w:color w:val="auto"/>
                <w:sz w:val="24"/>
              </w:rPr>
              <w:t>分；</w:t>
            </w:r>
          </w:p>
          <w:p w14:paraId="32A0FCEE">
            <w:pPr>
              <w:widowControl/>
              <w:numPr>
                <w:ilvl w:val="0"/>
                <w:numId w:val="0"/>
              </w:numPr>
              <w:spacing w:line="360" w:lineRule="auto"/>
              <w:ind w:left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整体</w:t>
            </w:r>
            <w:r>
              <w:rPr>
                <w:rFonts w:hint="eastAsia" w:ascii="宋体" w:hAnsi="宋体" w:cs="宋体"/>
                <w:color w:val="auto"/>
                <w:sz w:val="24"/>
                <w:lang w:val="en-US" w:eastAsia="zh-CN"/>
              </w:rPr>
              <w:t>方案、</w:t>
            </w:r>
            <w:r>
              <w:rPr>
                <w:rFonts w:hint="eastAsia" w:ascii="宋体" w:hAnsi="宋体" w:cs="宋体"/>
                <w:color w:val="auto"/>
                <w:sz w:val="24"/>
              </w:rPr>
              <w:t>环保性能</w:t>
            </w:r>
            <w:r>
              <w:rPr>
                <w:rFonts w:hint="eastAsia" w:ascii="宋体" w:hAnsi="宋体" w:cs="宋体"/>
                <w:color w:val="auto"/>
                <w:sz w:val="24"/>
                <w:lang w:val="en-US" w:eastAsia="zh-CN"/>
              </w:rPr>
              <w:t>差</w:t>
            </w:r>
            <w:r>
              <w:rPr>
                <w:rFonts w:hint="eastAsia" w:ascii="宋体" w:hAnsi="宋体" w:cs="宋体"/>
                <w:color w:val="auto"/>
                <w:sz w:val="24"/>
                <w:lang w:eastAsia="zh-CN"/>
              </w:rPr>
              <w:t>，</w:t>
            </w:r>
            <w:r>
              <w:rPr>
                <w:rFonts w:hint="eastAsia" w:ascii="宋体" w:hAnsi="宋体" w:cs="宋体"/>
                <w:color w:val="auto"/>
                <w:sz w:val="24"/>
                <w:lang w:val="en-US" w:eastAsia="zh-CN"/>
              </w:rPr>
              <w:t>设备材质耐用性、</w:t>
            </w:r>
            <w:r>
              <w:rPr>
                <w:rFonts w:hint="eastAsia" w:ascii="宋体" w:hAnsi="宋体" w:cs="宋体"/>
                <w:color w:val="auto"/>
                <w:sz w:val="24"/>
              </w:rPr>
              <w:t>成本</w:t>
            </w:r>
            <w:r>
              <w:rPr>
                <w:rFonts w:hint="eastAsia" w:ascii="宋体" w:hAnsi="宋体" w:cs="宋体"/>
                <w:color w:val="auto"/>
                <w:sz w:val="24"/>
                <w:lang w:val="en-US" w:eastAsia="zh-CN"/>
              </w:rPr>
              <w:t>差</w:t>
            </w:r>
            <w:r>
              <w:rPr>
                <w:rFonts w:hint="eastAsia" w:ascii="宋体" w:hAnsi="宋体" w:cs="宋体"/>
                <w:color w:val="auto"/>
                <w:sz w:val="24"/>
              </w:rPr>
              <w:t xml:space="preserve">的得 </w:t>
            </w:r>
            <w:r>
              <w:rPr>
                <w:rFonts w:hint="eastAsia" w:ascii="宋体" w:hAnsi="宋体" w:cs="宋体"/>
                <w:color w:val="auto"/>
                <w:sz w:val="24"/>
                <w:lang w:val="en-US" w:eastAsia="zh-CN"/>
              </w:rPr>
              <w:t>1</w:t>
            </w:r>
            <w:r>
              <w:rPr>
                <w:rFonts w:hint="eastAsia" w:ascii="宋体" w:hAnsi="宋体" w:cs="宋体"/>
                <w:color w:val="auto"/>
                <w:sz w:val="24"/>
              </w:rPr>
              <w:t>分；</w:t>
            </w:r>
          </w:p>
          <w:p w14:paraId="0CCFB690">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rPr>
              <w:t>缺项或者内容缺失不全，不适用本项目的得0 分。</w:t>
            </w:r>
          </w:p>
        </w:tc>
      </w:tr>
      <w:tr w14:paraId="2277E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1CE26C04">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1169C2B6">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项目的实施方案（</w:t>
            </w:r>
            <w:r>
              <w:rPr>
                <w:rFonts w:hint="eastAsia" w:ascii="宋体" w:hAnsi="宋体" w:eastAsia="宋体"/>
                <w:color w:val="auto"/>
                <w:sz w:val="24"/>
                <w:szCs w:val="24"/>
                <w:lang w:val="en-US" w:eastAsia="zh-CN"/>
              </w:rPr>
              <w:t>8分）</w:t>
            </w:r>
          </w:p>
        </w:tc>
        <w:tc>
          <w:tcPr>
            <w:tcW w:w="7397" w:type="dxa"/>
            <w:gridSpan w:val="2"/>
            <w:tcBorders>
              <w:top w:val="single" w:color="auto" w:sz="4" w:space="0"/>
              <w:left w:val="nil"/>
              <w:right w:val="single" w:color="auto" w:sz="4" w:space="0"/>
            </w:tcBorders>
            <w:noWrap w:val="0"/>
            <w:vAlign w:val="center"/>
          </w:tcPr>
          <w:p w14:paraId="11D4F696">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根据供应商的实施方案（包括实施计划、质量保证措施、安全文明措施、安装调试验收方案等）的完整性、合理性、可靠性、等进行综合评价，分档打分：</w:t>
            </w:r>
          </w:p>
          <w:p w14:paraId="32FD03AF">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（1）实施方案非常详细，保障措施完善可行，设备调试进度安排详细合理，安全措施完善有保障的得</w:t>
            </w:r>
            <w:r>
              <w:rPr>
                <w:rFonts w:hint="eastAsia" w:ascii="宋体" w:hAnsi="宋体" w:cs="宋体"/>
                <w:color w:val="auto"/>
                <w:sz w:val="24"/>
                <w:lang w:val="en-US" w:eastAsia="zh-CN"/>
              </w:rPr>
              <w:t>8</w:t>
            </w:r>
            <w:r>
              <w:rPr>
                <w:rFonts w:hint="eastAsia" w:ascii="宋体" w:hAnsi="宋体" w:cs="宋体"/>
                <w:color w:val="auto"/>
                <w:sz w:val="24"/>
              </w:rPr>
              <w:t>分；</w:t>
            </w:r>
          </w:p>
          <w:p w14:paraId="574BB4C2">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（2）实施方案比较具体，保障措施比较完善可行，设备调试进度安排比较详细可行，安全措施比较完善可行的得</w:t>
            </w:r>
            <w:r>
              <w:rPr>
                <w:rFonts w:hint="eastAsia" w:ascii="宋体" w:hAnsi="宋体" w:cs="宋体"/>
                <w:color w:val="auto"/>
                <w:sz w:val="24"/>
                <w:lang w:val="en-US" w:eastAsia="zh-CN"/>
              </w:rPr>
              <w:t>5</w:t>
            </w:r>
            <w:r>
              <w:rPr>
                <w:rFonts w:hint="eastAsia" w:ascii="宋体" w:hAnsi="宋体" w:cs="宋体"/>
                <w:color w:val="auto"/>
                <w:sz w:val="24"/>
              </w:rPr>
              <w:t>分；</w:t>
            </w:r>
          </w:p>
          <w:p w14:paraId="2AAF5257">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 xml:space="preserve">（3）实施方案细致程度一般，保障措施可行性一般，设备调试进度安排可行性一般，安全措施可行性一般的得 </w:t>
            </w:r>
            <w:r>
              <w:rPr>
                <w:rFonts w:hint="eastAsia" w:ascii="宋体" w:hAnsi="宋体" w:cs="宋体"/>
                <w:color w:val="auto"/>
                <w:sz w:val="24"/>
                <w:lang w:val="en-US" w:eastAsia="zh-CN"/>
              </w:rPr>
              <w:t>2</w:t>
            </w:r>
            <w:r>
              <w:rPr>
                <w:rFonts w:hint="eastAsia" w:ascii="宋体" w:hAnsi="宋体" w:cs="宋体"/>
                <w:color w:val="auto"/>
                <w:sz w:val="24"/>
              </w:rPr>
              <w:t>分；</w:t>
            </w:r>
          </w:p>
          <w:p w14:paraId="004B3557">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（4）未提供不得分。</w:t>
            </w:r>
          </w:p>
        </w:tc>
      </w:tr>
      <w:tr w14:paraId="48B4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47EDC2FC">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690EFCC3">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 xml:space="preserve">培训计划 </w:t>
            </w:r>
          </w:p>
          <w:p w14:paraId="1E3A19E4">
            <w:pPr>
              <w:widowControl/>
              <w:spacing w:line="360" w:lineRule="auto"/>
              <w:textAlignment w:val="baseline"/>
              <w:rPr>
                <w:rFonts w:hint="eastAsia" w:ascii="宋体" w:hAnsi="宋体" w:eastAsia="宋体"/>
                <w:color w:val="auto"/>
                <w:sz w:val="24"/>
                <w:szCs w:val="24"/>
                <w:lang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分）</w:t>
            </w:r>
          </w:p>
        </w:tc>
        <w:tc>
          <w:tcPr>
            <w:tcW w:w="7397" w:type="dxa"/>
            <w:gridSpan w:val="2"/>
            <w:tcBorders>
              <w:top w:val="single" w:color="auto" w:sz="4" w:space="0"/>
              <w:left w:val="nil"/>
              <w:right w:val="single" w:color="auto" w:sz="4" w:space="0"/>
            </w:tcBorders>
            <w:noWrap w:val="0"/>
            <w:vAlign w:val="center"/>
          </w:tcPr>
          <w:p w14:paraId="3B32A42F">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供应商提供有完整的培训计划，包括培训的内容范围、培训方式、培训时间地点安排等：</w:t>
            </w:r>
          </w:p>
          <w:p w14:paraId="7163E0A2">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（1）培训计划，培训方案详尽，培训计划明确，制定明确的培训流程，前期进行培训需求分析，拟定培训计划，配备专业的、有实地培训经验的人员的得</w:t>
            </w:r>
            <w:r>
              <w:rPr>
                <w:rFonts w:hint="eastAsia" w:ascii="宋体" w:hAnsi="宋体" w:cs="宋体"/>
                <w:color w:val="auto"/>
                <w:sz w:val="24"/>
                <w:lang w:val="en-US" w:eastAsia="zh-CN"/>
              </w:rPr>
              <w:t>8</w:t>
            </w:r>
            <w:r>
              <w:rPr>
                <w:rFonts w:hint="eastAsia" w:ascii="宋体" w:hAnsi="宋体" w:cs="宋体"/>
                <w:color w:val="auto"/>
                <w:sz w:val="24"/>
              </w:rPr>
              <w:t>分；</w:t>
            </w:r>
          </w:p>
          <w:p w14:paraId="590829E4">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（2）培训计划，培训方案比较详尽，培训计划明确，制定明确的培训流程，前期进行培训需求分析，拟定培训计划，配备专业的、有实地培训经验的人员，计划基本可行的得</w:t>
            </w:r>
            <w:r>
              <w:rPr>
                <w:rFonts w:hint="eastAsia" w:ascii="宋体" w:hAnsi="宋体" w:cs="宋体"/>
                <w:color w:val="auto"/>
                <w:sz w:val="24"/>
                <w:lang w:val="en-US" w:eastAsia="zh-CN"/>
              </w:rPr>
              <w:t>5</w:t>
            </w:r>
            <w:r>
              <w:rPr>
                <w:rFonts w:hint="eastAsia" w:ascii="宋体" w:hAnsi="宋体" w:cs="宋体"/>
                <w:color w:val="auto"/>
                <w:sz w:val="24"/>
              </w:rPr>
              <w:t>分；</w:t>
            </w:r>
          </w:p>
          <w:p w14:paraId="1550F5C7">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 xml:space="preserve">（3）培训计划，培训方案不详尽，培训计划不明确，未制定培训流程、培训计划，配备专业的、有实地培训经验的人员不足的得 </w:t>
            </w:r>
            <w:r>
              <w:rPr>
                <w:rFonts w:hint="eastAsia" w:ascii="宋体" w:hAnsi="宋体" w:cs="宋体"/>
                <w:color w:val="auto"/>
                <w:sz w:val="24"/>
                <w:lang w:val="en-US" w:eastAsia="zh-CN"/>
              </w:rPr>
              <w:t>2</w:t>
            </w:r>
            <w:r>
              <w:rPr>
                <w:rFonts w:hint="eastAsia" w:ascii="宋体" w:hAnsi="宋体" w:cs="宋体"/>
                <w:color w:val="auto"/>
                <w:sz w:val="24"/>
              </w:rPr>
              <w:t>分；</w:t>
            </w:r>
          </w:p>
          <w:p w14:paraId="1673212F">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rPr>
              <w:t>（4）未提供不得分。</w:t>
            </w:r>
          </w:p>
        </w:tc>
      </w:tr>
      <w:tr w14:paraId="09CD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326" w:type="dxa"/>
            <w:gridSpan w:val="2"/>
            <w:vMerge w:val="continue"/>
            <w:tcBorders>
              <w:left w:val="single" w:color="auto" w:sz="4" w:space="0"/>
              <w:right w:val="single" w:color="auto" w:sz="4" w:space="0"/>
            </w:tcBorders>
            <w:noWrap w:val="0"/>
            <w:vAlign w:val="center"/>
          </w:tcPr>
          <w:p w14:paraId="5358C517">
            <w:pPr>
              <w:wordWrap w:val="0"/>
              <w:spacing w:line="360" w:lineRule="auto"/>
              <w:jc w:val="center"/>
              <w:rPr>
                <w:rFonts w:hint="eastAsia" w:ascii="宋体" w:hAnsi="宋体" w:eastAsia="宋体"/>
                <w:color w:val="auto"/>
                <w:sz w:val="24"/>
                <w:szCs w:val="24"/>
              </w:rPr>
            </w:pPr>
          </w:p>
        </w:tc>
        <w:tc>
          <w:tcPr>
            <w:tcW w:w="1347" w:type="dxa"/>
            <w:gridSpan w:val="2"/>
            <w:tcBorders>
              <w:top w:val="single" w:color="auto" w:sz="4" w:space="0"/>
              <w:left w:val="single" w:color="auto" w:sz="4" w:space="0"/>
              <w:right w:val="single" w:color="auto" w:sz="4" w:space="0"/>
            </w:tcBorders>
            <w:noWrap w:val="0"/>
            <w:vAlign w:val="center"/>
          </w:tcPr>
          <w:p w14:paraId="2EAD200B">
            <w:pPr>
              <w:widowControl/>
              <w:spacing w:line="360" w:lineRule="auto"/>
              <w:textAlignment w:val="baseline"/>
              <w:rPr>
                <w:rFonts w:hint="eastAsia" w:ascii="宋体" w:hAnsi="宋体" w:eastAsia="宋体"/>
                <w:color w:val="auto"/>
                <w:sz w:val="24"/>
                <w:szCs w:val="24"/>
                <w:lang w:eastAsia="zh-CN"/>
              </w:rPr>
            </w:pPr>
            <w:r>
              <w:rPr>
                <w:rFonts w:hint="eastAsia" w:ascii="宋体" w:hAnsi="宋体" w:cs="宋体"/>
                <w:color w:val="auto"/>
                <w:sz w:val="24"/>
              </w:rPr>
              <w:t>突</w:t>
            </w:r>
            <w:r>
              <w:rPr>
                <w:rFonts w:hint="eastAsia" w:ascii="宋体" w:hAnsi="宋体" w:cs="宋体"/>
                <w:color w:val="auto"/>
                <w:sz w:val="24"/>
                <w:lang w:val="en-US" w:eastAsia="zh-CN"/>
              </w:rPr>
              <w:t>发事</w:t>
            </w:r>
            <w:r>
              <w:rPr>
                <w:rFonts w:hint="eastAsia" w:ascii="宋体" w:hAnsi="宋体" w:cs="宋体"/>
                <w:color w:val="auto"/>
                <w:sz w:val="24"/>
              </w:rPr>
              <w:t>件应急预案、合理化建议</w:t>
            </w:r>
            <w:r>
              <w:rPr>
                <w:rFonts w:hint="eastAsia" w:ascii="宋体" w:hAnsi="宋体" w:cs="宋体"/>
                <w:color w:val="auto"/>
                <w:sz w:val="24"/>
                <w:lang w:eastAsia="zh-CN"/>
              </w:rPr>
              <w:t>（</w:t>
            </w:r>
            <w:r>
              <w:rPr>
                <w:rFonts w:hint="eastAsia" w:ascii="宋体" w:hAnsi="宋体" w:cs="宋体"/>
                <w:color w:val="auto"/>
                <w:sz w:val="24"/>
                <w:lang w:val="en-US" w:eastAsia="zh-CN"/>
              </w:rPr>
              <w:t>8</w:t>
            </w:r>
            <w:r>
              <w:rPr>
                <w:rFonts w:hint="eastAsia" w:ascii="宋体" w:hAnsi="宋体" w:cs="宋体"/>
                <w:color w:val="auto"/>
                <w:sz w:val="24"/>
                <w:lang w:eastAsia="zh-CN"/>
              </w:rPr>
              <w:t>分）</w:t>
            </w:r>
          </w:p>
        </w:tc>
        <w:tc>
          <w:tcPr>
            <w:tcW w:w="7397" w:type="dxa"/>
            <w:gridSpan w:val="2"/>
            <w:tcBorders>
              <w:top w:val="single" w:color="auto" w:sz="4" w:space="0"/>
              <w:left w:val="nil"/>
              <w:right w:val="single" w:color="auto" w:sz="4" w:space="0"/>
            </w:tcBorders>
            <w:noWrap w:val="0"/>
            <w:vAlign w:val="center"/>
          </w:tcPr>
          <w:p w14:paraId="3151013A">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rPr>
              <w:t xml:space="preserve">突发事件应急预案针对性强、描述完整、流程清晰、处置得当，合理化建议切实可行、思路清晰、有利于项目实施得 </w:t>
            </w:r>
            <w:r>
              <w:rPr>
                <w:rFonts w:hint="eastAsia" w:ascii="宋体" w:hAnsi="宋体" w:cs="宋体"/>
                <w:color w:val="auto"/>
                <w:sz w:val="24"/>
                <w:lang w:val="en-US" w:eastAsia="zh-CN"/>
              </w:rPr>
              <w:t>8</w:t>
            </w:r>
            <w:r>
              <w:rPr>
                <w:rFonts w:hint="eastAsia" w:ascii="宋体" w:hAnsi="宋体" w:cs="宋体"/>
                <w:color w:val="auto"/>
                <w:sz w:val="24"/>
              </w:rPr>
              <w:t>分；</w:t>
            </w:r>
          </w:p>
          <w:p w14:paraId="4828F95F">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 xml:space="preserve">描述的突发事件应急预案完整，合理化建议有一定的执行性得 </w:t>
            </w:r>
            <w:r>
              <w:rPr>
                <w:rFonts w:hint="eastAsia" w:ascii="宋体" w:hAnsi="宋体" w:cs="宋体"/>
                <w:color w:val="auto"/>
                <w:sz w:val="24"/>
                <w:lang w:val="en-US" w:eastAsia="zh-CN"/>
              </w:rPr>
              <w:t>5</w:t>
            </w:r>
            <w:r>
              <w:rPr>
                <w:rFonts w:hint="eastAsia" w:ascii="宋体" w:hAnsi="宋体" w:cs="宋体"/>
                <w:color w:val="auto"/>
                <w:sz w:val="24"/>
              </w:rPr>
              <w:t xml:space="preserve"> 分；</w:t>
            </w:r>
          </w:p>
          <w:p w14:paraId="6321DA4B">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rPr>
              <w:t xml:space="preserve">突发事件应急预案不本项目契合度低、合理化建议偏重理论，缺乏实用性，需进一步完善得 </w:t>
            </w:r>
            <w:r>
              <w:rPr>
                <w:rFonts w:hint="eastAsia" w:ascii="宋体" w:hAnsi="宋体" w:cs="宋体"/>
                <w:color w:val="auto"/>
                <w:sz w:val="24"/>
                <w:lang w:val="en-US" w:eastAsia="zh-CN"/>
              </w:rPr>
              <w:t>3</w:t>
            </w:r>
            <w:r>
              <w:rPr>
                <w:rFonts w:hint="eastAsia" w:ascii="宋体" w:hAnsi="宋体" w:cs="宋体"/>
                <w:color w:val="auto"/>
                <w:sz w:val="24"/>
              </w:rPr>
              <w:t>分；</w:t>
            </w:r>
          </w:p>
          <w:p w14:paraId="2ABCC778">
            <w:pPr>
              <w:widowControl/>
              <w:numPr>
                <w:ilvl w:val="0"/>
                <w:numId w:val="0"/>
              </w:numPr>
              <w:spacing w:line="360" w:lineRule="auto"/>
              <w:ind w:left="0" w:leftChars="0" w:firstLine="0" w:firstLineChars="0"/>
              <w:textAlignment w:val="baseline"/>
              <w:rPr>
                <w:rFonts w:hint="eastAsia"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rPr>
              <w:t>未提供不得分。</w:t>
            </w:r>
          </w:p>
        </w:tc>
      </w:tr>
      <w:tr w14:paraId="0022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restart"/>
            <w:tcBorders>
              <w:left w:val="single" w:color="auto" w:sz="4" w:space="0"/>
              <w:right w:val="single" w:color="auto" w:sz="4" w:space="0"/>
            </w:tcBorders>
            <w:noWrap w:val="0"/>
            <w:vAlign w:val="center"/>
          </w:tcPr>
          <w:p w14:paraId="7429A97D">
            <w:pPr>
              <w:spacing w:line="360" w:lineRule="auto"/>
              <w:textAlignment w:val="baseline"/>
              <w:rPr>
                <w:rFonts w:ascii="宋体" w:hAnsi="宋体" w:eastAsia="宋体"/>
                <w:color w:val="auto"/>
                <w:sz w:val="22"/>
                <w:szCs w:val="22"/>
              </w:rPr>
            </w:pPr>
            <w:r>
              <w:rPr>
                <w:rFonts w:hint="eastAsia" w:ascii="宋体" w:hAnsi="宋体" w:eastAsia="宋体"/>
                <w:color w:val="auto"/>
                <w:sz w:val="24"/>
                <w:szCs w:val="24"/>
              </w:rPr>
              <w:t>商务部分（</w:t>
            </w:r>
            <w:r>
              <w:rPr>
                <w:rFonts w:hint="eastAsia" w:ascii="宋体" w:hAnsi="宋体" w:eastAsia="宋体"/>
                <w:color w:val="auto"/>
                <w:sz w:val="24"/>
                <w:szCs w:val="24"/>
                <w:lang w:val="en-US" w:eastAsia="zh-CN"/>
              </w:rPr>
              <w:t>20</w:t>
            </w:r>
            <w:r>
              <w:rPr>
                <w:rFonts w:hint="eastAsia" w:ascii="宋体" w:hAnsi="宋体" w:eastAsia="宋体"/>
                <w:color w:val="auto"/>
                <w:sz w:val="24"/>
                <w:szCs w:val="24"/>
              </w:rPr>
              <w:t>分）</w:t>
            </w:r>
          </w:p>
        </w:tc>
        <w:tc>
          <w:tcPr>
            <w:tcW w:w="1347" w:type="dxa"/>
            <w:gridSpan w:val="2"/>
            <w:tcBorders>
              <w:top w:val="single" w:color="auto" w:sz="4" w:space="0"/>
              <w:left w:val="single" w:color="auto" w:sz="4" w:space="0"/>
              <w:right w:val="single" w:color="auto" w:sz="4" w:space="0"/>
            </w:tcBorders>
            <w:noWrap w:val="0"/>
            <w:vAlign w:val="center"/>
          </w:tcPr>
          <w:p w14:paraId="4A7242B7">
            <w:pPr>
              <w:spacing w:line="360" w:lineRule="auto"/>
              <w:rPr>
                <w:rFonts w:hint="default" w:ascii="宋体" w:hAnsi="宋体" w:eastAsiaTheme="minorEastAsia"/>
                <w:bCs/>
                <w:color w:val="auto"/>
                <w:sz w:val="24"/>
                <w:szCs w:val="24"/>
                <w:lang w:val="en-US" w:eastAsia="zh-CN"/>
              </w:rPr>
            </w:pPr>
            <w:r>
              <w:rPr>
                <w:rFonts w:hint="eastAsia" w:ascii="宋体" w:hAnsi="宋体" w:eastAsia="宋体" w:cs="宋体"/>
                <w:color w:val="auto"/>
                <w:sz w:val="24"/>
                <w:lang w:eastAsia="zh-CN"/>
              </w:rPr>
              <w:t>供应商</w:t>
            </w:r>
            <w:r>
              <w:rPr>
                <w:rFonts w:hint="eastAsia" w:ascii="宋体" w:hAnsi="宋体"/>
                <w:color w:val="auto"/>
                <w:sz w:val="24"/>
              </w:rPr>
              <w:t>业绩</w:t>
            </w:r>
            <w:r>
              <w:rPr>
                <w:rFonts w:hint="eastAsia" w:ascii="宋体" w:hAnsi="宋体"/>
                <w:color w:val="auto"/>
                <w:sz w:val="24"/>
                <w:lang w:eastAsia="zh-CN"/>
              </w:rPr>
              <w:t>（</w:t>
            </w:r>
            <w:r>
              <w:rPr>
                <w:rFonts w:hint="eastAsia" w:ascii="宋体" w:hAnsi="宋体"/>
                <w:color w:val="auto"/>
                <w:sz w:val="24"/>
                <w:lang w:val="en-US" w:eastAsia="zh-CN"/>
              </w:rPr>
              <w:t>6分）</w:t>
            </w:r>
          </w:p>
        </w:tc>
        <w:tc>
          <w:tcPr>
            <w:tcW w:w="7397" w:type="dxa"/>
            <w:gridSpan w:val="2"/>
            <w:tcBorders>
              <w:top w:val="single" w:color="auto" w:sz="4" w:space="0"/>
              <w:left w:val="nil"/>
              <w:right w:val="single" w:color="auto" w:sz="4" w:space="0"/>
            </w:tcBorders>
            <w:noWrap w:val="0"/>
            <w:vAlign w:val="center"/>
          </w:tcPr>
          <w:p w14:paraId="0DC2B180">
            <w:pPr>
              <w:spacing w:line="480" w:lineRule="exact"/>
              <w:jc w:val="left"/>
              <w:rPr>
                <w:rFonts w:hint="eastAsia" w:ascii="宋体" w:hAnsi="宋体" w:eastAsia="宋体"/>
                <w:color w:val="auto"/>
                <w:sz w:val="24"/>
                <w:szCs w:val="24"/>
              </w:rPr>
            </w:pPr>
            <w:r>
              <w:rPr>
                <w:rFonts w:hint="eastAsia" w:ascii="宋体" w:hAnsi="宋体" w:eastAsia="宋体"/>
                <w:color w:val="auto"/>
                <w:sz w:val="24"/>
                <w:szCs w:val="24"/>
              </w:rPr>
              <w:t>投标人自202</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 xml:space="preserve">年1月1日以来（以合同签订日期为准）承担过生活垃圾中转站除臭类似业绩的，每提供一份完整的业绩得2分，最多得6分。 </w:t>
            </w:r>
          </w:p>
          <w:p w14:paraId="63BB6BD0">
            <w:pPr>
              <w:spacing w:line="480" w:lineRule="exact"/>
              <w:jc w:val="left"/>
              <w:rPr>
                <w:rFonts w:ascii="仿宋" w:hAnsi="仿宋" w:eastAsia="仿宋" w:cs="仿宋"/>
                <w:color w:val="auto"/>
                <w:sz w:val="21"/>
                <w:szCs w:val="21"/>
              </w:rPr>
            </w:pPr>
            <w:r>
              <w:rPr>
                <w:rFonts w:hint="eastAsia" w:ascii="宋体" w:hAnsi="宋体" w:eastAsia="宋体"/>
                <w:color w:val="auto"/>
                <w:sz w:val="24"/>
                <w:szCs w:val="24"/>
              </w:rPr>
              <w:t>注：投标文件中附清晰可辨的类似业绩合同证明材料，否则不得分。</w:t>
            </w:r>
          </w:p>
        </w:tc>
      </w:tr>
      <w:tr w14:paraId="2450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498CFD87">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798D5AA5">
            <w:pPr>
              <w:spacing w:line="480" w:lineRule="exact"/>
              <w:jc w:val="center"/>
              <w:rPr>
                <w:rFonts w:ascii="宋体" w:hAnsi="宋体" w:eastAsia="宋体"/>
                <w:color w:val="auto"/>
                <w:sz w:val="24"/>
                <w:szCs w:val="24"/>
              </w:rPr>
            </w:pPr>
            <w:r>
              <w:rPr>
                <w:rFonts w:hint="eastAsia" w:ascii="宋体" w:hAnsi="宋体" w:eastAsia="宋体"/>
                <w:color w:val="auto"/>
                <w:sz w:val="24"/>
                <w:szCs w:val="24"/>
                <w:lang w:val="en-US" w:eastAsia="zh-CN"/>
              </w:rPr>
              <w:t>企业实力</w:t>
            </w:r>
            <w:r>
              <w:rPr>
                <w:rFonts w:hint="eastAsia" w:ascii="宋体" w:hAnsi="宋体" w:eastAsia="宋体"/>
                <w:color w:val="auto"/>
                <w:sz w:val="24"/>
                <w:szCs w:val="24"/>
              </w:rPr>
              <w:t>（</w:t>
            </w:r>
            <w:r>
              <w:rPr>
                <w:rFonts w:hint="eastAsia" w:ascii="宋体" w:hAnsi="宋体" w:eastAsia="宋体"/>
                <w:color w:val="auto"/>
                <w:sz w:val="24"/>
                <w:szCs w:val="24"/>
                <w:lang w:val="en-US" w:eastAsia="zh-CN"/>
              </w:rPr>
              <w:t>2</w:t>
            </w:r>
            <w:r>
              <w:rPr>
                <w:rFonts w:ascii="宋体" w:hAnsi="宋体" w:eastAsia="宋体"/>
                <w:color w:val="auto"/>
                <w:sz w:val="24"/>
                <w:szCs w:val="24"/>
              </w:rPr>
              <w:t>分）</w:t>
            </w:r>
          </w:p>
        </w:tc>
        <w:tc>
          <w:tcPr>
            <w:tcW w:w="7397" w:type="dxa"/>
            <w:gridSpan w:val="2"/>
            <w:tcBorders>
              <w:top w:val="single" w:color="auto" w:sz="4" w:space="0"/>
              <w:left w:val="nil"/>
              <w:right w:val="single" w:color="auto" w:sz="4" w:space="0"/>
            </w:tcBorders>
            <w:noWrap w:val="0"/>
            <w:vAlign w:val="center"/>
          </w:tcPr>
          <w:p w14:paraId="48F812F2">
            <w:pPr>
              <w:pStyle w:val="48"/>
              <w:numPr>
                <w:ilvl w:val="0"/>
                <w:numId w:val="0"/>
              </w:numPr>
              <w:autoSpaceDE/>
              <w:autoSpaceDN/>
              <w:spacing w:line="360" w:lineRule="auto"/>
              <w:ind w:right="87" w:rightChars="0"/>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1、投标人同时具有有效期内的质量管理体系认证、环境管理体系认证、职业健康安全管理体系认证的得2分，每少一项扣一分，扣完为止。</w:t>
            </w:r>
          </w:p>
          <w:p w14:paraId="33554817">
            <w:pPr>
              <w:widowControl/>
              <w:spacing w:line="480" w:lineRule="exact"/>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注：投标文件中附</w:t>
            </w:r>
            <w:r>
              <w:rPr>
                <w:rFonts w:hint="eastAsia" w:ascii="宋体" w:hAnsi="宋体" w:eastAsia="宋体" w:cs="宋体"/>
                <w:b/>
                <w:bCs/>
                <w:color w:val="auto"/>
                <w:kern w:val="2"/>
                <w:sz w:val="24"/>
                <w:szCs w:val="24"/>
                <w:highlight w:val="none"/>
                <w:lang w:val="en-US" w:eastAsia="zh-CN"/>
              </w:rPr>
              <w:t>加盖投标人公章的</w:t>
            </w:r>
            <w:r>
              <w:rPr>
                <w:rFonts w:hint="eastAsia" w:ascii="宋体" w:hAnsi="宋体" w:eastAsia="宋体" w:cs="宋体"/>
                <w:b/>
                <w:bCs/>
                <w:color w:val="auto"/>
                <w:kern w:val="2"/>
                <w:sz w:val="24"/>
                <w:szCs w:val="24"/>
                <w:highlight w:val="none"/>
              </w:rPr>
              <w:t>证书扫描件及在http://cx.cnca.cn/CertECloud/result/skipResultList“全国认证认可信息公共服务平台”网站查询显示“有效”的截图，否则不</w:t>
            </w:r>
            <w:r>
              <w:rPr>
                <w:rFonts w:hint="eastAsia" w:ascii="宋体" w:hAnsi="宋体" w:eastAsia="宋体" w:cs="宋体"/>
                <w:b/>
                <w:bCs/>
                <w:color w:val="auto"/>
                <w:kern w:val="2"/>
                <w:sz w:val="24"/>
                <w:szCs w:val="24"/>
                <w:highlight w:val="none"/>
                <w:lang w:val="en-US" w:eastAsia="zh-CN"/>
              </w:rPr>
              <w:t>得</w:t>
            </w:r>
            <w:r>
              <w:rPr>
                <w:rFonts w:hint="eastAsia" w:ascii="宋体" w:hAnsi="宋体" w:eastAsia="宋体" w:cs="宋体"/>
                <w:b/>
                <w:bCs/>
                <w:color w:val="auto"/>
                <w:kern w:val="2"/>
                <w:sz w:val="24"/>
                <w:szCs w:val="24"/>
                <w:highlight w:val="none"/>
              </w:rPr>
              <w:t>分。</w:t>
            </w:r>
          </w:p>
        </w:tc>
      </w:tr>
      <w:tr w14:paraId="711B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72BF4926">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75D8A675">
            <w:pPr>
              <w:spacing w:line="48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质保期</w:t>
            </w:r>
          </w:p>
          <w:p w14:paraId="73C2B937">
            <w:pPr>
              <w:spacing w:line="480" w:lineRule="exact"/>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4分）</w:t>
            </w:r>
          </w:p>
        </w:tc>
        <w:tc>
          <w:tcPr>
            <w:tcW w:w="7397" w:type="dxa"/>
            <w:gridSpan w:val="2"/>
            <w:tcBorders>
              <w:top w:val="single" w:color="auto" w:sz="4" w:space="0"/>
              <w:left w:val="nil"/>
              <w:right w:val="single" w:color="auto" w:sz="4" w:space="0"/>
            </w:tcBorders>
            <w:noWrap w:val="0"/>
            <w:vAlign w:val="center"/>
          </w:tcPr>
          <w:p w14:paraId="1801F4BB">
            <w:pPr>
              <w:widowControl/>
              <w:spacing w:line="480" w:lineRule="exact"/>
              <w:jc w:val="left"/>
              <w:rPr>
                <w:rFonts w:hint="eastAsia" w:ascii="宋体" w:hAnsi="宋体" w:eastAsia="宋体" w:cs="宋体"/>
                <w:b/>
                <w:bCs/>
                <w:color w:val="auto"/>
                <w:kern w:val="2"/>
                <w:sz w:val="24"/>
                <w:szCs w:val="24"/>
                <w:highlight w:val="none"/>
              </w:rPr>
            </w:pPr>
            <w:r>
              <w:rPr>
                <w:rFonts w:hint="eastAsia" w:ascii="宋体" w:hAnsi="宋体" w:eastAsia="宋体"/>
                <w:color w:val="auto"/>
                <w:sz w:val="24"/>
                <w:szCs w:val="24"/>
                <w:lang w:eastAsia="zh-CN"/>
              </w:rPr>
              <w:t>在满足招标文件质保期基础上，每增加一年质保期，加</w:t>
            </w:r>
            <w:r>
              <w:rPr>
                <w:rFonts w:hint="eastAsia" w:ascii="宋体" w:hAnsi="宋体" w:eastAsia="宋体"/>
                <w:color w:val="auto"/>
                <w:sz w:val="24"/>
                <w:szCs w:val="24"/>
                <w:lang w:val="en-US" w:eastAsia="zh-CN"/>
              </w:rPr>
              <w:t>2</w:t>
            </w:r>
            <w:r>
              <w:rPr>
                <w:rFonts w:hint="eastAsia" w:ascii="宋体" w:hAnsi="宋体" w:eastAsia="宋体"/>
                <w:color w:val="auto"/>
                <w:sz w:val="24"/>
                <w:szCs w:val="24"/>
                <w:lang w:eastAsia="zh-CN"/>
              </w:rPr>
              <w:t>分，最多加</w:t>
            </w:r>
            <w:r>
              <w:rPr>
                <w:rFonts w:hint="eastAsia" w:ascii="宋体" w:hAnsi="宋体" w:eastAsia="宋体"/>
                <w:color w:val="auto"/>
                <w:sz w:val="24"/>
                <w:szCs w:val="24"/>
                <w:lang w:val="en-US" w:eastAsia="zh-CN"/>
              </w:rPr>
              <w:t>4</w:t>
            </w:r>
            <w:r>
              <w:rPr>
                <w:rFonts w:hint="eastAsia" w:ascii="宋体" w:hAnsi="宋体" w:eastAsia="宋体"/>
                <w:color w:val="auto"/>
                <w:sz w:val="24"/>
                <w:szCs w:val="24"/>
                <w:lang w:eastAsia="zh-CN"/>
              </w:rPr>
              <w:t>分。</w:t>
            </w:r>
          </w:p>
        </w:tc>
      </w:tr>
      <w:tr w14:paraId="413E0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326" w:type="dxa"/>
            <w:gridSpan w:val="2"/>
            <w:vMerge w:val="continue"/>
            <w:tcBorders>
              <w:left w:val="single" w:color="auto" w:sz="4" w:space="0"/>
              <w:right w:val="single" w:color="auto" w:sz="4" w:space="0"/>
            </w:tcBorders>
            <w:noWrap w:val="0"/>
            <w:vAlign w:val="center"/>
          </w:tcPr>
          <w:p w14:paraId="41F6DFCE">
            <w:pPr>
              <w:spacing w:line="360" w:lineRule="auto"/>
              <w:textAlignment w:val="baseline"/>
              <w:rPr>
                <w:rFonts w:ascii="宋体" w:hAnsi="宋体" w:eastAsia="宋体"/>
                <w:color w:val="auto"/>
                <w:sz w:val="22"/>
                <w:szCs w:val="22"/>
              </w:rPr>
            </w:pPr>
          </w:p>
        </w:tc>
        <w:tc>
          <w:tcPr>
            <w:tcW w:w="1347" w:type="dxa"/>
            <w:gridSpan w:val="2"/>
            <w:tcBorders>
              <w:top w:val="single" w:color="auto" w:sz="4" w:space="0"/>
              <w:left w:val="single" w:color="auto" w:sz="4" w:space="0"/>
              <w:right w:val="single" w:color="auto" w:sz="4" w:space="0"/>
            </w:tcBorders>
            <w:noWrap w:val="0"/>
            <w:vAlign w:val="center"/>
          </w:tcPr>
          <w:p w14:paraId="4CA75746">
            <w:pPr>
              <w:spacing w:line="480" w:lineRule="exact"/>
              <w:jc w:val="center"/>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售后服务承诺（</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分）</w:t>
            </w:r>
          </w:p>
        </w:tc>
        <w:tc>
          <w:tcPr>
            <w:tcW w:w="7397" w:type="dxa"/>
            <w:gridSpan w:val="2"/>
            <w:tcBorders>
              <w:top w:val="single" w:color="auto" w:sz="4" w:space="0"/>
              <w:left w:val="nil"/>
              <w:right w:val="single" w:color="auto" w:sz="4" w:space="0"/>
            </w:tcBorders>
            <w:noWrap w:val="0"/>
            <w:vAlign w:val="center"/>
          </w:tcPr>
          <w:p w14:paraId="1058A87A">
            <w:pPr>
              <w:spacing w:line="480" w:lineRule="exact"/>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根据供应商针对本项目提供的售后服务承诺，包括但不限于售后服务机构、售后服务体系、售后服务人员的技术水平及现场服务措施（如响应时间、服务范围、应急处理方案等）等，由评审小组进行综合评价：</w:t>
            </w:r>
          </w:p>
          <w:p w14:paraId="484BA2B4">
            <w:pPr>
              <w:spacing w:line="480" w:lineRule="exact"/>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 xml:space="preserve">内容详实，可操作性强的得 </w:t>
            </w:r>
            <w:r>
              <w:rPr>
                <w:rFonts w:hint="eastAsia" w:ascii="宋体" w:hAnsi="宋体" w:eastAsia="宋体"/>
                <w:color w:val="auto"/>
                <w:sz w:val="24"/>
                <w:szCs w:val="24"/>
                <w:lang w:val="en-US" w:eastAsia="zh-CN"/>
              </w:rPr>
              <w:t>8</w:t>
            </w:r>
            <w:r>
              <w:rPr>
                <w:rFonts w:hint="eastAsia" w:ascii="宋体" w:hAnsi="宋体" w:eastAsia="宋体"/>
                <w:color w:val="auto"/>
                <w:sz w:val="24"/>
                <w:szCs w:val="24"/>
                <w:lang w:eastAsia="zh-CN"/>
              </w:rPr>
              <w:t>分；</w:t>
            </w:r>
          </w:p>
          <w:p w14:paraId="27F8284F">
            <w:pPr>
              <w:spacing w:line="480" w:lineRule="exact"/>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 xml:space="preserve">内容部分详实，可操作性较一般的得 </w:t>
            </w:r>
            <w:r>
              <w:rPr>
                <w:rFonts w:hint="eastAsia" w:ascii="宋体" w:hAnsi="宋体" w:eastAsia="宋体"/>
                <w:color w:val="auto"/>
                <w:sz w:val="24"/>
                <w:szCs w:val="24"/>
                <w:lang w:val="en-US" w:eastAsia="zh-CN"/>
              </w:rPr>
              <w:t>5</w:t>
            </w:r>
            <w:r>
              <w:rPr>
                <w:rFonts w:hint="eastAsia" w:ascii="宋体" w:hAnsi="宋体" w:eastAsia="宋体"/>
                <w:color w:val="auto"/>
                <w:sz w:val="24"/>
                <w:szCs w:val="24"/>
                <w:lang w:eastAsia="zh-CN"/>
              </w:rPr>
              <w:t xml:space="preserve"> 分；</w:t>
            </w:r>
          </w:p>
          <w:p w14:paraId="6CAEBCFD">
            <w:pPr>
              <w:spacing w:line="480" w:lineRule="exact"/>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 xml:space="preserve">内容一般，可操作性较不强的得 </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eastAsia="zh-CN"/>
              </w:rPr>
              <w:t xml:space="preserve"> 分；</w:t>
            </w:r>
          </w:p>
          <w:p w14:paraId="361FC7DE">
            <w:pPr>
              <w:spacing w:line="480" w:lineRule="exact"/>
              <w:jc w:val="lef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未提供的不得分。</w:t>
            </w:r>
          </w:p>
        </w:tc>
      </w:tr>
      <w:tr w14:paraId="184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070" w:type="dxa"/>
            <w:gridSpan w:val="6"/>
            <w:tcBorders>
              <w:left w:val="single" w:color="auto" w:sz="4" w:space="0"/>
              <w:right w:val="single" w:color="auto" w:sz="4" w:space="0"/>
            </w:tcBorders>
            <w:noWrap w:val="0"/>
            <w:vAlign w:val="center"/>
          </w:tcPr>
          <w:p w14:paraId="73C74735">
            <w:pPr>
              <w:widowControl/>
              <w:spacing w:line="360" w:lineRule="auto"/>
              <w:textAlignment w:val="baseline"/>
              <w:rPr>
                <w:rFonts w:ascii="宋体" w:hAnsi="宋体" w:eastAsia="宋体"/>
                <w:b/>
                <w:bCs/>
                <w:color w:val="auto"/>
                <w:sz w:val="24"/>
                <w:szCs w:val="24"/>
              </w:rPr>
            </w:pPr>
            <w:r>
              <w:rPr>
                <w:rFonts w:hint="eastAsia" w:ascii="宋体" w:hAnsi="宋体" w:eastAsia="宋体"/>
                <w:bCs/>
                <w:color w:val="auto"/>
                <w:sz w:val="24"/>
                <w:szCs w:val="24"/>
              </w:rPr>
              <w:t>评标打分部分仍按照100分制原则进行，涉及到资格审查、企业荣誉等计分部分时，以投标</w:t>
            </w:r>
            <w:r>
              <w:rPr>
                <w:rFonts w:hint="eastAsia" w:ascii="宋体" w:hAnsi="宋体" w:eastAsia="宋体"/>
                <w:color w:val="auto"/>
                <w:sz w:val="24"/>
                <w:szCs w:val="24"/>
                <w:lang w:eastAsia="zh-CN"/>
              </w:rPr>
              <w:t>投</w:t>
            </w:r>
            <w:r>
              <w:rPr>
                <w:rFonts w:hint="eastAsia" w:ascii="宋体" w:hAnsi="宋体" w:eastAsia="宋体" w:cs="宋体"/>
                <w:color w:val="auto"/>
                <w:sz w:val="24"/>
                <w:lang w:eastAsia="zh-CN"/>
              </w:rPr>
              <w:t>供应商</w:t>
            </w:r>
            <w:r>
              <w:rPr>
                <w:rFonts w:hint="eastAsia" w:ascii="宋体" w:hAnsi="宋体" w:eastAsia="宋体"/>
                <w:bCs/>
                <w:color w:val="auto"/>
                <w:sz w:val="24"/>
                <w:szCs w:val="24"/>
              </w:rPr>
              <w:t>自行上传到投标文件中的相应内容为准。</w:t>
            </w:r>
          </w:p>
        </w:tc>
      </w:tr>
    </w:tbl>
    <w:p w14:paraId="10285CEA">
      <w:pPr>
        <w:rPr>
          <w:rFonts w:hint="eastAsia"/>
          <w:color w:val="auto"/>
        </w:rPr>
      </w:pPr>
    </w:p>
    <w:p w14:paraId="3A4702D6">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bookmarkStart w:id="122" w:name="1._评审方法"/>
      <w:bookmarkEnd w:id="122"/>
      <w:bookmarkStart w:id="123" w:name="_Toc3678"/>
      <w:r>
        <w:rPr>
          <w:rFonts w:hint="eastAsia" w:ascii="宋体" w:hAnsi="宋体" w:eastAsia="宋体" w:cs="宋体"/>
          <w:b/>
          <w:bCs/>
          <w:color w:val="auto"/>
          <w:sz w:val="24"/>
          <w:szCs w:val="24"/>
        </w:rPr>
        <w:t>1.评审方法</w:t>
      </w:r>
      <w:bookmarkEnd w:id="123"/>
    </w:p>
    <w:p w14:paraId="2839D36F">
      <w:pPr>
        <w:spacing w:line="360" w:lineRule="auto"/>
        <w:ind w:firstLine="480" w:firstLineChars="200"/>
        <w:rPr>
          <w:rFonts w:hint="eastAsia" w:ascii="宋体" w:hAnsi="宋体" w:eastAsia="宋体" w:cs="宋体"/>
          <w:color w:val="auto"/>
          <w:sz w:val="24"/>
          <w:lang w:eastAsia="zh-CN"/>
        </w:rPr>
      </w:pPr>
      <w:bookmarkStart w:id="124" w:name="_Toc414112655"/>
      <w:bookmarkEnd w:id="124"/>
      <w:bookmarkStart w:id="125" w:name="_Toc152045604"/>
      <w:bookmarkEnd w:id="125"/>
      <w:bookmarkStart w:id="126" w:name="_Toc152042381"/>
      <w:bookmarkEnd w:id="126"/>
      <w:bookmarkStart w:id="127" w:name="_Toc144974571"/>
      <w:bookmarkEnd w:id="127"/>
      <w:bookmarkStart w:id="128" w:name="_Toc414277167"/>
      <w:bookmarkEnd w:id="128"/>
      <w:bookmarkStart w:id="129" w:name="_Toc3516"/>
      <w:bookmarkStart w:id="130" w:name="_Toc19571"/>
      <w:r>
        <w:rPr>
          <w:rFonts w:hint="eastAsia" w:ascii="宋体" w:hAnsi="宋体" w:eastAsia="宋体" w:cs="宋体"/>
          <w:color w:val="auto"/>
          <w:sz w:val="24"/>
        </w:rPr>
        <w:t>本项目采用综合评分法，评标结果按评审后得分由高到低顺序排列。得分相同的，按响应报价由低到高顺序排列；得分且响应报价相同的，按技术指标优劣顺序排列</w:t>
      </w:r>
      <w:r>
        <w:rPr>
          <w:rFonts w:hint="eastAsia" w:ascii="宋体" w:hAnsi="宋体" w:eastAsia="宋体" w:cs="宋体"/>
          <w:color w:val="auto"/>
          <w:sz w:val="24"/>
          <w:lang w:eastAsia="zh-CN"/>
        </w:rPr>
        <w:t>。</w:t>
      </w:r>
    </w:p>
    <w:p w14:paraId="7ABF65C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投标文件满足招标文件全部实质性要求，且按照评审因素的量化指标评审得分最高的</w:t>
      </w:r>
      <w:r>
        <w:rPr>
          <w:rFonts w:hint="eastAsia" w:ascii="宋体" w:hAnsi="宋体" w:eastAsia="宋体" w:cs="宋体"/>
          <w:color w:val="auto"/>
          <w:sz w:val="24"/>
          <w:lang w:eastAsia="zh-CN"/>
        </w:rPr>
        <w:t>供应商</w:t>
      </w:r>
      <w:r>
        <w:rPr>
          <w:rFonts w:hint="eastAsia" w:ascii="宋体" w:hAnsi="宋体" w:eastAsia="宋体" w:cs="宋体"/>
          <w:color w:val="auto"/>
          <w:sz w:val="24"/>
        </w:rPr>
        <w:t>为排名第一的中标候选人。</w:t>
      </w:r>
    </w:p>
    <w:bookmarkEnd w:id="129"/>
    <w:bookmarkEnd w:id="130"/>
    <w:p w14:paraId="06388C5E">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 评审标准</w:t>
      </w:r>
    </w:p>
    <w:p w14:paraId="1B6B387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 初步评审标准</w:t>
      </w:r>
    </w:p>
    <w:p w14:paraId="3179CBE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 形式评审标准：见评标办法前附表。</w:t>
      </w:r>
    </w:p>
    <w:p w14:paraId="3A542D4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 资格评审标准：见评标办法前附表。</w:t>
      </w:r>
    </w:p>
    <w:p w14:paraId="13D27F0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 响应性评审标准：见评标办法前附表。</w:t>
      </w:r>
    </w:p>
    <w:p w14:paraId="7CC65AC7">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2.2 分值构成与评分标准</w:t>
      </w:r>
    </w:p>
    <w:p w14:paraId="7A46B2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 技术部分：见评标办法前附表；</w:t>
      </w:r>
    </w:p>
    <w:p w14:paraId="4391A7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 综合标：见评标办法前附表；</w:t>
      </w:r>
    </w:p>
    <w:p w14:paraId="2B45F5CA">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 投标报价：见评标办法前附表；</w:t>
      </w:r>
    </w:p>
    <w:p w14:paraId="10A46A9D">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 评标程序</w:t>
      </w:r>
    </w:p>
    <w:p w14:paraId="11099491">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 初步评审</w:t>
      </w:r>
    </w:p>
    <w:p w14:paraId="404977A4">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3.1 初步评审</w:t>
      </w:r>
    </w:p>
    <w:p w14:paraId="364F1E0E">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w:t>
      </w:r>
      <w:r>
        <w:rPr>
          <w:rFonts w:hint="eastAsia" w:asciiTheme="minorEastAsia" w:hAnsiTheme="minorEastAsia" w:cstheme="minorEastAsia"/>
          <w:color w:val="000000" w:themeColor="text1"/>
          <w:kern w:val="0"/>
          <w:sz w:val="24"/>
          <w:szCs w:val="24"/>
          <w14:textFill>
            <w14:solidFill>
              <w14:schemeClr w14:val="tx1"/>
            </w14:solidFill>
          </w14:textFill>
        </w:rPr>
        <w:t>采购人或招标代理机构</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eastAsia="zh-CN"/>
        </w:rPr>
        <w:t>按照</w:t>
      </w:r>
      <w:r>
        <w:rPr>
          <w:rFonts w:hint="eastAsia" w:ascii="宋体" w:hAnsi="宋体" w:eastAsia="宋体" w:cs="宋体"/>
          <w:color w:val="auto"/>
          <w:sz w:val="24"/>
          <w:szCs w:val="24"/>
        </w:rPr>
        <w:t>评标办法前附表中资格评审标准</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rPr>
        <w:t>核查，</w:t>
      </w:r>
      <w:r>
        <w:rPr>
          <w:rFonts w:hint="eastAsia" w:ascii="宋体" w:hAnsi="宋体" w:eastAsia="宋体" w:cs="宋体"/>
          <w:color w:val="auto"/>
          <w:sz w:val="24"/>
          <w:highlight w:val="none"/>
          <w:lang w:val="en-US" w:eastAsia="zh-CN"/>
        </w:rPr>
        <w:t>以投标文件为准，其上传资料真实性由供应商自行承担</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视为未通过资格审查，合格供应商不足3家的，不得评标。符合的进入下一评标程序。</w:t>
      </w:r>
    </w:p>
    <w:p w14:paraId="1E3531D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3.1.2评标委员会按照招标文件要求对通过资格审查的供应商进行进一步</w:t>
      </w:r>
      <w:r>
        <w:rPr>
          <w:rFonts w:hint="eastAsia" w:ascii="宋体" w:hAnsi="宋体" w:eastAsia="宋体" w:cs="宋体"/>
          <w:color w:val="auto"/>
          <w:sz w:val="24"/>
          <w:szCs w:val="24"/>
        </w:rPr>
        <w:t>形式评审</w:t>
      </w:r>
      <w:r>
        <w:rPr>
          <w:rFonts w:hint="eastAsia" w:ascii="宋体" w:hAnsi="宋体" w:eastAsia="宋体" w:cs="宋体"/>
          <w:color w:val="auto"/>
          <w:sz w:val="24"/>
          <w:szCs w:val="24"/>
          <w:lang w:val="en-US" w:eastAsia="zh-CN"/>
        </w:rPr>
        <w:t>和</w:t>
      </w:r>
      <w:r>
        <w:rPr>
          <w:rFonts w:hint="eastAsia" w:ascii="宋体" w:hAnsi="宋体" w:eastAsia="宋体" w:cs="宋体"/>
          <w:color w:val="auto"/>
          <w:sz w:val="24"/>
          <w:szCs w:val="24"/>
        </w:rPr>
        <w:t>响应性评审</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有一项不符合评审标准的，</w:t>
      </w:r>
      <w:r>
        <w:rPr>
          <w:rFonts w:hint="eastAsia" w:asciiTheme="minorEastAsia" w:hAnsiTheme="minorEastAsia" w:cstheme="minorEastAsia"/>
          <w:color w:val="000000" w:themeColor="text1"/>
          <w:kern w:val="0"/>
          <w:sz w:val="24"/>
          <w:szCs w:val="24"/>
          <w14:textFill>
            <w14:solidFill>
              <w14:schemeClr w14:val="tx1"/>
            </w14:solidFill>
          </w14:textFill>
        </w:rPr>
        <w:t>视为未通过审查，不得进入下一评标程序。</w:t>
      </w:r>
    </w:p>
    <w:p w14:paraId="61CA8875">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 详细评审</w:t>
      </w:r>
    </w:p>
    <w:p w14:paraId="4E2506C7">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 评标委员会按本章规定的量化因素和分值进行打分，并计算出综合评估得分。</w:t>
      </w:r>
    </w:p>
    <w:p w14:paraId="00F29F76">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按本章规定的评审因素和分值对技术因素计算出得分A ；</w:t>
      </w:r>
    </w:p>
    <w:p w14:paraId="3616305E">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按本章规定的评审因素和分值对综合因素计算出得分B；</w:t>
      </w:r>
    </w:p>
    <w:p w14:paraId="061CC6F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按本章规定的评审因素和分值对投标报价计算出得分C 。</w:t>
      </w:r>
    </w:p>
    <w:p w14:paraId="7A4103C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 评分分值计算保留小数点后两位，小数点后第三位“四舍五入”。</w:t>
      </w:r>
    </w:p>
    <w:p w14:paraId="6533E88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 供应商得分＝A+B+C。供应商的最终得分为各评委所评定分数的算术平均值。</w:t>
      </w:r>
    </w:p>
    <w:p w14:paraId="1FE1EFB4">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3.2.4 评标委员会发现供应商的报价明显低于其他投标报价，或者明显低于最高投标限价，使得其投标报价可能低于其个别成本的，应当要求该供应商作出书面说明并提供相应的证明材料。供应商不能合理说明或者不能提供相应证明材料的，由评标委员会认定该供应商以低于成本报价竞标，其投标作无效标处理。</w:t>
      </w:r>
    </w:p>
    <w:p w14:paraId="1292B5FC">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3.3 投标文件的澄清和补正</w:t>
      </w:r>
    </w:p>
    <w:p w14:paraId="0CCFCBB5">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 在评标过程中，评标委员会可以书面形式要求供应商对所提交投标文件中不明确的内容进行书面澄清或说明，或者对细微偏差进行补正。评标委员会不接受供应商主动提出的澄清、说明或补正。</w:t>
      </w:r>
    </w:p>
    <w:p w14:paraId="76CBFA3D">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 澄清、说明和补正不得改变投标文件的实质性内容（算术性错误修正的除外）。供应商的书面澄清、说明和补正属于投标文件的组成部分。</w:t>
      </w:r>
    </w:p>
    <w:p w14:paraId="2AD724A9">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 评标委员会对供应商提交的澄清、说明或补正有疑问的，可以要求供应商进一步澄清、说明或补正，直至满足评标委员会的要求。</w:t>
      </w:r>
    </w:p>
    <w:p w14:paraId="34F3691A">
      <w:pPr>
        <w:keepNext w:val="0"/>
        <w:keepLines w:val="0"/>
        <w:pageBreakBefore w:val="0"/>
        <w:widowControl w:val="0"/>
        <w:kinsoku/>
        <w:wordWrap/>
        <w:overflowPunct/>
        <w:topLinePunct w:val="0"/>
        <w:bidi w:val="0"/>
        <w:adjustRightInd/>
        <w:snapToGrid/>
        <w:spacing w:line="360"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 评标结果</w:t>
      </w:r>
    </w:p>
    <w:p w14:paraId="2C94971F">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依据招标文件中规定的评标标准和方法，对投标文件进行评审和比较，向采购人提出书面评标报告，并推荐合格的中标候选人。采购人根据评标委员会提出的书面评标报告和推荐的中标候选人按序确定中标人。</w:t>
      </w:r>
      <w:bookmarkStart w:id="131" w:name="_Toc6048"/>
      <w:bookmarkStart w:id="132" w:name="_Toc13665"/>
      <w:bookmarkStart w:id="133" w:name="_Toc13278"/>
    </w:p>
    <w:p w14:paraId="6DEAF1E0">
      <w:pPr>
        <w:rPr>
          <w:rStyle w:val="35"/>
          <w:rFonts w:hint="eastAsia"/>
          <w:color w:val="auto"/>
        </w:rPr>
      </w:pPr>
      <w:r>
        <w:rPr>
          <w:rStyle w:val="35"/>
          <w:rFonts w:hint="eastAsia"/>
          <w:color w:val="auto"/>
        </w:rPr>
        <w:br w:type="page"/>
      </w:r>
    </w:p>
    <w:p w14:paraId="2538A2B2">
      <w:pPr>
        <w:keepNext w:val="0"/>
        <w:keepLines w:val="0"/>
        <w:pageBreakBefore w:val="0"/>
        <w:widowControl w:val="0"/>
        <w:kinsoku/>
        <w:wordWrap/>
        <w:overflowPunct/>
        <w:topLinePunct w:val="0"/>
        <w:bidi w:val="0"/>
        <w:adjustRightInd/>
        <w:snapToGrid/>
        <w:spacing w:line="360" w:lineRule="auto"/>
        <w:jc w:val="center"/>
        <w:textAlignment w:val="auto"/>
        <w:rPr>
          <w:rStyle w:val="35"/>
          <w:rFonts w:hint="eastAsia"/>
          <w:color w:val="auto"/>
        </w:rPr>
      </w:pPr>
      <w:bookmarkStart w:id="134" w:name="_Toc3820"/>
      <w:r>
        <w:rPr>
          <w:rStyle w:val="35"/>
          <w:rFonts w:hint="eastAsia"/>
          <w:color w:val="auto"/>
        </w:rPr>
        <w:t xml:space="preserve">第四章 </w:t>
      </w:r>
      <w:bookmarkEnd w:id="131"/>
      <w:bookmarkEnd w:id="132"/>
      <w:bookmarkEnd w:id="133"/>
      <w:r>
        <w:rPr>
          <w:rStyle w:val="35"/>
          <w:rFonts w:hint="eastAsia"/>
          <w:color w:val="auto"/>
        </w:rPr>
        <w:t>采购清单及要求</w:t>
      </w:r>
    </w:p>
    <w:bookmarkEnd w:id="134"/>
    <w:p w14:paraId="0EDB4E59">
      <w:pPr>
        <w:rPr>
          <w:rFonts w:hint="eastAsia" w:ascii="宋体" w:hAnsi="宋体"/>
          <w:b/>
          <w:bCs w:val="0"/>
          <w:color w:val="auto"/>
          <w:sz w:val="24"/>
        </w:rPr>
      </w:pPr>
      <w:bookmarkStart w:id="135" w:name="_Toc29304"/>
      <w:bookmarkStart w:id="136" w:name="_Toc30515"/>
      <w:bookmarkStart w:id="137" w:name="_Toc18352"/>
    </w:p>
    <w:p w14:paraId="7200FB13">
      <w:pPr>
        <w:rPr>
          <w:rFonts w:hint="eastAsia" w:ascii="宋体" w:hAnsi="宋体"/>
          <w:b/>
          <w:bCs w:val="0"/>
          <w:color w:val="auto"/>
          <w:sz w:val="24"/>
        </w:rPr>
      </w:pPr>
      <w:r>
        <w:rPr>
          <w:rFonts w:hint="eastAsia" w:ascii="宋体" w:hAnsi="宋体"/>
          <w:b/>
          <w:bCs w:val="0"/>
          <w:color w:val="auto"/>
          <w:sz w:val="24"/>
        </w:rPr>
        <w:t>核心产品：负压除尘除臭系统</w:t>
      </w:r>
    </w:p>
    <w:p w14:paraId="7C3EC1EA">
      <w:pPr>
        <w:spacing w:line="360" w:lineRule="auto"/>
        <w:jc w:val="left"/>
        <w:outlineLvl w:val="1"/>
        <w:rPr>
          <w:rFonts w:hint="eastAsia" w:ascii="宋体" w:hAnsi="宋体"/>
          <w:b/>
          <w:color w:val="auto"/>
          <w:sz w:val="24"/>
          <w:lang w:val="en-US" w:eastAsia="zh-CN"/>
        </w:rPr>
      </w:pPr>
      <w:r>
        <w:rPr>
          <w:rFonts w:hint="eastAsia" w:ascii="宋体" w:hAnsi="宋体"/>
          <w:b/>
          <w:color w:val="auto"/>
          <w:sz w:val="24"/>
          <w:lang w:val="en-US" w:eastAsia="zh-CN"/>
        </w:rPr>
        <w:t>一、采购清单</w:t>
      </w:r>
    </w:p>
    <w:tbl>
      <w:tblPr>
        <w:tblStyle w:val="18"/>
        <w:tblW w:w="53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7"/>
        <w:gridCol w:w="751"/>
        <w:gridCol w:w="4702"/>
        <w:gridCol w:w="616"/>
        <w:gridCol w:w="417"/>
        <w:gridCol w:w="729"/>
        <w:gridCol w:w="754"/>
        <w:gridCol w:w="690"/>
      </w:tblGrid>
      <w:tr w14:paraId="0A9D5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B22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14"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6FF8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259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086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使用标准及技术参数描述</w:t>
            </w:r>
          </w:p>
        </w:tc>
        <w:tc>
          <w:tcPr>
            <w:tcW w:w="33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04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DE7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96" w:type="pct"/>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55F2E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金 额(元)</w:t>
            </w:r>
          </w:p>
        </w:tc>
      </w:tr>
      <w:tr w14:paraId="78515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D359D">
            <w:pPr>
              <w:jc w:val="center"/>
              <w:rPr>
                <w:rFonts w:hint="eastAsia" w:ascii="宋体" w:hAnsi="宋体" w:eastAsia="宋体" w:cs="宋体"/>
                <w:b/>
                <w:bCs/>
                <w:i w:val="0"/>
                <w:iCs w:val="0"/>
                <w:color w:val="000000"/>
                <w:sz w:val="20"/>
                <w:szCs w:val="20"/>
                <w:u w:val="none"/>
              </w:rPr>
            </w:pPr>
          </w:p>
        </w:tc>
        <w:tc>
          <w:tcPr>
            <w:tcW w:w="414"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59DB82">
            <w:pPr>
              <w:jc w:val="center"/>
              <w:rPr>
                <w:rFonts w:hint="eastAsia" w:ascii="宋体" w:hAnsi="宋体" w:eastAsia="宋体" w:cs="宋体"/>
                <w:b/>
                <w:bCs/>
                <w:i w:val="0"/>
                <w:iCs w:val="0"/>
                <w:color w:val="000000"/>
                <w:sz w:val="20"/>
                <w:szCs w:val="20"/>
                <w:u w:val="none"/>
              </w:rPr>
            </w:pPr>
          </w:p>
        </w:tc>
        <w:tc>
          <w:tcPr>
            <w:tcW w:w="259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3794E">
            <w:pPr>
              <w:jc w:val="center"/>
              <w:rPr>
                <w:rFonts w:hint="eastAsia" w:ascii="宋体" w:hAnsi="宋体" w:eastAsia="宋体" w:cs="宋体"/>
                <w:b/>
                <w:bCs/>
                <w:i w:val="0"/>
                <w:iCs w:val="0"/>
                <w:color w:val="000000"/>
                <w:sz w:val="20"/>
                <w:szCs w:val="20"/>
                <w:u w:val="none"/>
              </w:rPr>
            </w:pPr>
          </w:p>
        </w:tc>
        <w:tc>
          <w:tcPr>
            <w:tcW w:w="33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48DCF">
            <w:pPr>
              <w:jc w:val="center"/>
              <w:rPr>
                <w:rFonts w:hint="eastAsia" w:ascii="宋体" w:hAnsi="宋体" w:eastAsia="宋体" w:cs="宋体"/>
                <w:b/>
                <w:bCs/>
                <w:i w:val="0"/>
                <w:iCs w:val="0"/>
                <w:color w:val="000000"/>
                <w:sz w:val="20"/>
                <w:szCs w:val="20"/>
                <w:u w:val="none"/>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1D13B">
            <w:pPr>
              <w:jc w:val="center"/>
              <w:rPr>
                <w:rFonts w:hint="eastAsia" w:ascii="宋体" w:hAnsi="宋体" w:eastAsia="宋体" w:cs="宋体"/>
                <w:b/>
                <w:bCs/>
                <w:i w:val="0"/>
                <w:iCs w:val="0"/>
                <w:color w:val="000000"/>
                <w:sz w:val="20"/>
                <w:szCs w:val="20"/>
                <w:u w:val="none"/>
              </w:rPr>
            </w:pPr>
          </w:p>
        </w:tc>
        <w:tc>
          <w:tcPr>
            <w:tcW w:w="399"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4CEDC9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综合单价</w:t>
            </w:r>
          </w:p>
        </w:tc>
        <w:tc>
          <w:tcPr>
            <w:tcW w:w="415"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1DCD42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 价</w:t>
            </w:r>
          </w:p>
        </w:tc>
        <w:tc>
          <w:tcPr>
            <w:tcW w:w="380" w:type="pct"/>
            <w:tcBorders>
              <w:top w:val="single" w:color="000000" w:sz="4" w:space="0"/>
              <w:left w:val="single" w:color="000000" w:sz="4" w:space="0"/>
              <w:bottom w:val="single" w:color="000000" w:sz="4" w:space="0"/>
              <w:right w:val="single" w:color="000000" w:sz="4" w:space="0"/>
            </w:tcBorders>
            <w:shd w:val="clear" w:color="FFFFFF" w:fill="FFFFFF"/>
            <w:vAlign w:val="center"/>
          </w:tcPr>
          <w:p w14:paraId="60C54E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51FF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6"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8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72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50吨电子地磅（称重计量系统）</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07A728D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1.最大称量：≥50吨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2.台面规格（宽×长）：3m×10m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3.计量精度： OIML 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4.分度值：≤10千克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5.地磅秤台： 框架式称体；材质：Q235A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6.极限过载：300%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7.适用环境温度： -30℃～70℃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8.安装要求： 浅基坑（在设计地磅基础时，必须考虑地磅的排水功能，以保护电器元件和保证正常    使用）；防雷击措施，保证设备及使用安全。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9.计算机：研华、研祥、威强或同档次品牌工控机；2G内存、500G硬盘、24寸显示器、配置4个串口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10.票据打印机：满足日常打印需求，得实、爱普生、富士通或同档次品牌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11.称重管理软件：自动称重管理系统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12.配套软件设施等：交通指挥装置、道闸装置、车号自动识别装置、重量显示屏、视频监控系统、配套动力柜/箱、配套控制柜/箱、系统内部电缆等称重计量系统配套设施等</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53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63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464263">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559F0">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33237">
            <w:pPr>
              <w:rPr>
                <w:rFonts w:hint="eastAsia" w:ascii="宋体" w:hAnsi="宋体" w:eastAsia="宋体" w:cs="宋体"/>
                <w:b/>
                <w:bCs/>
                <w:i w:val="0"/>
                <w:iCs w:val="0"/>
                <w:color w:val="000000"/>
                <w:sz w:val="20"/>
                <w:szCs w:val="20"/>
                <w:u w:val="none"/>
              </w:rPr>
            </w:pPr>
          </w:p>
        </w:tc>
      </w:tr>
      <w:tr w14:paraId="6C221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16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C5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负压除尘除臭系统（分拣中心）</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2FF2E62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1.臭气经过预处理后进入洗涤塔内，经过水洗段+植物液洗，通过除雾器，最后经过风机负压抽吸进行排放。经喷淋洗涤塔处理后的废气经顶部排风管能够达标排放。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2.设备设计风量60000m³/h；洗涤塔尺寸：φ3100*6000mm，材质：PP,两层洗涤，一层除雾，多面球填料，填料高度≥500mm。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3.循环水泵功率：11kw（1套含配套止回阀、闸阀、过滤器等）。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4.离心风机：风量60000m3/h；风压≥1500Pa；风机功率：45kw；材质FRP；含减震器及配套安装附件；（1套）。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5.负压系统控制柜，材质：碳钢防腐（1台）。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7.配套风管、安装支架、辅材等，风管材质PP,支架材质碳钢防腐（1批）。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F4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FF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7EBC4">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59C4D">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B0A5A">
            <w:pPr>
              <w:rPr>
                <w:rFonts w:hint="eastAsia" w:ascii="宋体" w:hAnsi="宋体" w:eastAsia="宋体" w:cs="宋体"/>
                <w:b/>
                <w:bCs/>
                <w:i w:val="0"/>
                <w:iCs w:val="0"/>
                <w:color w:val="000000"/>
                <w:sz w:val="20"/>
                <w:szCs w:val="20"/>
                <w:u w:val="none"/>
              </w:rPr>
            </w:pPr>
          </w:p>
        </w:tc>
      </w:tr>
      <w:tr w14:paraId="1CA02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5"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1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46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负压除尘除臭系统（热解中心）</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111FAEE4">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1.主要工艺简述：臭气经过风机负压抽吸预处理后进入洗涤塔内，经过酸洗段+碱洗液洗，通过除雾器，经过UV光催化处理，最后排放。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2.设备设计风量30000m³/h；洗涤塔尺寸：φ2500*5500mm，材质：FRP,两层洗涤，一层除雾，多面球填料，填料高度≥500mm（2套含洗涤塔本体、检修口及爬梯等附件）。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3.循环水泵功率：5.5kw（2套含配套止回阀、闸阀、过滤器等）。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4.UV光催化设备，设备材质：SUS304,光氧化段：30 支采用耐腐蚀纯石英无级 UV 灯管，波长为 C 波段（280nm 以下），灯管使用寿命＞20000h（1套）。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5.风机功率：22kw（含软连接、底座)。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6.负压系统控制柜，材质：碳钢防腐（1台）。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7.控制系统（1套）。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8.配套风管、安装支架、辅材等，风管材质PP,支架材质碳钢防腐（1批）。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38D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C0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49304">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40314">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9926">
            <w:pPr>
              <w:rPr>
                <w:rFonts w:hint="eastAsia" w:ascii="宋体" w:hAnsi="宋体" w:eastAsia="宋体" w:cs="宋体"/>
                <w:b/>
                <w:bCs/>
                <w:i w:val="0"/>
                <w:iCs w:val="0"/>
                <w:color w:val="000000"/>
                <w:sz w:val="20"/>
                <w:szCs w:val="20"/>
                <w:u w:val="none"/>
              </w:rPr>
            </w:pPr>
          </w:p>
        </w:tc>
      </w:tr>
      <w:tr w14:paraId="5CFB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9"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5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5B8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负压除尘除臭系统（中转站）</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051285E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1.主要工艺简述：臭气经过预处理后进入洗涤塔内，经过水洗段+植物液洗，通过除雾器，最后经过风机负压抽吸进行排放。经喷淋洗涤塔处理后的废气经顶部排风管能够达标排放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2.设备设计风量20000m³/h；洗涤塔尺寸：φ2000*5500mm，材质：PP，两层洗涤，一层除雾，多面球填料，填料高度≥500mm（1套含洗涤塔本体、检修口及爬梯等附件）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3.循环水泵功率：3.75kw（1套含配套止回阀、闸阀、过滤器等）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4.离心风机：风量20000m3/h；风压≥1500Pa；风机功率：18.5kw；材质FRP；含减震器及配套安装附件；（1套）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5.负压系统控制柜，材质：碳钢防腐（1台）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6.控制系统（1套）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7.配套风管、安装支架、辅材等，风管材质PP,支架材质碳钢防腐（1批）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F5B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ABE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9EA16">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A1DAC">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252E6">
            <w:pPr>
              <w:rPr>
                <w:rFonts w:hint="eastAsia" w:ascii="宋体" w:hAnsi="宋体" w:eastAsia="宋体" w:cs="宋体"/>
                <w:b/>
                <w:bCs/>
                <w:i w:val="0"/>
                <w:iCs w:val="0"/>
                <w:color w:val="000000"/>
                <w:sz w:val="20"/>
                <w:szCs w:val="20"/>
                <w:u w:val="none"/>
              </w:rPr>
            </w:pPr>
          </w:p>
        </w:tc>
      </w:tr>
      <w:tr w14:paraId="1A555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9"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EB3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8A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空间喷淋除臭系统（分拣中心）</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589D584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要工艺简述：植物液喷淋除臭，将植物除臭剂通过雾化喷洒系统喷洒到各个需要除臭的区域空间，让雾化的工作液分解空间内的异味分子，使空间内不断散发出来的臭味在没有散发到周围环境之前予以分解消除，从而达到最佳除臭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2.输送泵总成，高压柱塞泵流量：15L/min，压力：100bar，功率：3kw（1套）。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3.电气控制系统附件（1套）。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4.电气控制柜，材质：SUS304（1套）。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5.雾化半径≥φ1500mm（距离3米内）,雾化粒径≤0.04mm；（1批）。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喷嘴材质：SUS304不锈钢；  造雾量: ≥3.6 L/h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6.管路系统，耐高压PE输送管3/8＂（1批）。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7.管道支架、配件及辅材，碳钢防腐，钢丝绳，压力表等（1批）。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7E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5B5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4F72F">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85535">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21BA1">
            <w:pPr>
              <w:rPr>
                <w:rFonts w:hint="eastAsia" w:ascii="宋体" w:hAnsi="宋体" w:eastAsia="宋体" w:cs="宋体"/>
                <w:b/>
                <w:bCs/>
                <w:i w:val="0"/>
                <w:iCs w:val="0"/>
                <w:color w:val="000000"/>
                <w:sz w:val="20"/>
                <w:szCs w:val="20"/>
                <w:u w:val="none"/>
              </w:rPr>
            </w:pPr>
          </w:p>
        </w:tc>
      </w:tr>
      <w:tr w14:paraId="198A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8" w:hRule="atLeast"/>
        </w:trPr>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C1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A39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空间喷淋除臭系统（中转站）</w:t>
            </w:r>
          </w:p>
        </w:tc>
        <w:tc>
          <w:tcPr>
            <w:tcW w:w="2590" w:type="pct"/>
            <w:tcBorders>
              <w:top w:val="single" w:color="000000" w:sz="4" w:space="0"/>
              <w:left w:val="single" w:color="000000" w:sz="4" w:space="0"/>
              <w:bottom w:val="single" w:color="000000" w:sz="4" w:space="0"/>
              <w:right w:val="single" w:color="000000" w:sz="4" w:space="0"/>
            </w:tcBorders>
            <w:shd w:val="clear" w:color="auto" w:fill="FFFFFF"/>
            <w:vAlign w:val="top"/>
          </w:tcPr>
          <w:p w14:paraId="34BF0738">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主要工艺简述：植物液喷淋除臭，将植物除臭剂通过雾化喷洒系统喷洒到各个需要除臭的区域空间，让雾化的工作液分解空间内的异味分子，使空间内不断散发出来的臭味在没有散发到周围环境之前予以分解消除，从而达到最佳除臭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2.输送泵总成，高压柱塞泵流量：8L/min，压力：100bar，功率：1.5kw（1套）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3.电气控制系统附件（1套）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4.电气控制柜，材质：SUS304（1套）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5.雾化半径≥φ1500mm（距离3米内）,雾化粒径≤0.04mm；（1批）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喷嘴材质：SUS304不锈钢；  造雾量: ≥3.6 L/h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6.管路系统，耐高压PE输送管3/8＂（1批）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7.管道支架、配件及辅材，碳钢防腐，钢丝绳，压力表等（1批）</w:t>
            </w:r>
          </w:p>
        </w:tc>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AD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系统</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EE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9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251CA8">
            <w:pPr>
              <w:jc w:val="center"/>
              <w:rPr>
                <w:rFonts w:hint="eastAsia" w:ascii="宋体" w:hAnsi="宋体" w:eastAsia="宋体" w:cs="宋体"/>
                <w:i w:val="0"/>
                <w:iCs w:val="0"/>
                <w:color w:val="000000"/>
                <w:sz w:val="20"/>
                <w:szCs w:val="20"/>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86E4F">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1052B">
            <w:pPr>
              <w:rPr>
                <w:rFonts w:hint="eastAsia" w:ascii="宋体" w:hAnsi="宋体" w:eastAsia="宋体" w:cs="宋体"/>
                <w:b/>
                <w:bCs/>
                <w:i w:val="0"/>
                <w:iCs w:val="0"/>
                <w:color w:val="000000"/>
                <w:sz w:val="20"/>
                <w:szCs w:val="20"/>
                <w:u w:val="none"/>
              </w:rPr>
            </w:pPr>
          </w:p>
        </w:tc>
      </w:tr>
      <w:tr w14:paraId="6EAC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4203" w:type="pct"/>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9D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合计</w:t>
            </w:r>
          </w:p>
        </w:tc>
        <w:tc>
          <w:tcPr>
            <w:tcW w:w="41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5B9EC">
            <w:pPr>
              <w:jc w:val="center"/>
              <w:rPr>
                <w:rFonts w:hint="eastAsia" w:ascii="宋体" w:hAnsi="宋体" w:eastAsia="宋体" w:cs="宋体"/>
                <w:i w:val="0"/>
                <w:iCs w:val="0"/>
                <w:color w:val="000000"/>
                <w:sz w:val="20"/>
                <w:szCs w:val="20"/>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B7754">
            <w:pPr>
              <w:rPr>
                <w:rFonts w:hint="eastAsia" w:ascii="宋体" w:hAnsi="宋体" w:eastAsia="宋体" w:cs="宋体"/>
                <w:b/>
                <w:bCs/>
                <w:i w:val="0"/>
                <w:iCs w:val="0"/>
                <w:color w:val="000000"/>
                <w:sz w:val="20"/>
                <w:szCs w:val="20"/>
                <w:u w:val="none"/>
              </w:rPr>
            </w:pPr>
          </w:p>
        </w:tc>
      </w:tr>
    </w:tbl>
    <w:p w14:paraId="0FC231C3">
      <w:pPr>
        <w:numPr>
          <w:ilvl w:val="0"/>
          <w:numId w:val="0"/>
        </w:numPr>
        <w:rPr>
          <w:rFonts w:hint="default" w:ascii="宋体" w:hAnsi="宋体"/>
          <w:bCs/>
          <w:color w:val="auto"/>
          <w:sz w:val="24"/>
          <w:lang w:val="en-US" w:eastAsia="zh-CN"/>
        </w:rPr>
      </w:pPr>
    </w:p>
    <w:p w14:paraId="07A7BD3B">
      <w:pPr>
        <w:spacing w:line="360" w:lineRule="auto"/>
        <w:jc w:val="left"/>
        <w:outlineLvl w:val="1"/>
        <w:rPr>
          <w:rFonts w:hint="eastAsia" w:ascii="宋体" w:hAnsi="宋体"/>
          <w:b/>
          <w:color w:val="auto"/>
          <w:sz w:val="24"/>
        </w:rPr>
      </w:pPr>
      <w:bookmarkStart w:id="138" w:name="_Toc150787525"/>
      <w:bookmarkStart w:id="139" w:name="_Toc534621201"/>
      <w:bookmarkStart w:id="140" w:name="_Toc57708780"/>
      <w:r>
        <w:rPr>
          <w:rFonts w:hint="eastAsia" w:ascii="宋体" w:hAnsi="宋体"/>
          <w:b/>
          <w:color w:val="auto"/>
          <w:sz w:val="24"/>
          <w:lang w:val="en-US" w:eastAsia="zh-CN"/>
        </w:rPr>
        <w:t>二</w:t>
      </w:r>
      <w:r>
        <w:rPr>
          <w:rFonts w:hint="eastAsia" w:ascii="宋体" w:hAnsi="宋体"/>
          <w:b/>
          <w:color w:val="auto"/>
          <w:sz w:val="24"/>
        </w:rPr>
        <w:t>、</w:t>
      </w:r>
      <w:bookmarkEnd w:id="138"/>
      <w:bookmarkEnd w:id="139"/>
      <w:bookmarkEnd w:id="140"/>
      <w:r>
        <w:rPr>
          <w:rFonts w:hint="eastAsia" w:ascii="宋体" w:hAnsi="宋体"/>
          <w:b/>
          <w:color w:val="auto"/>
          <w:sz w:val="24"/>
        </w:rPr>
        <w:t>货物基本要求</w:t>
      </w:r>
    </w:p>
    <w:p w14:paraId="7D12E7CB">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供应商</w:t>
      </w:r>
      <w:r>
        <w:rPr>
          <w:rFonts w:hint="eastAsia" w:ascii="宋体" w:hAnsi="宋体"/>
          <w:color w:val="auto"/>
          <w:sz w:val="24"/>
        </w:rPr>
        <w:t>所提供的产品必须为投标货物生产厂家提供的原厂设备，包装未开封，而且设备（包括零部件）应是交付前最新生产或技术较为先进的且未被使用过的全新设备，同时必须在中国境内具有合法使用权。</w:t>
      </w:r>
    </w:p>
    <w:p w14:paraId="72B16069">
      <w:pPr>
        <w:spacing w:line="360" w:lineRule="auto"/>
        <w:ind w:firstLine="480" w:firstLineChars="200"/>
        <w:rPr>
          <w:rFonts w:hint="eastAsia" w:ascii="宋体" w:hAnsi="宋体"/>
          <w:color w:val="auto"/>
          <w:sz w:val="24"/>
        </w:rPr>
      </w:pPr>
      <w:r>
        <w:rPr>
          <w:rFonts w:hint="eastAsia" w:ascii="宋体" w:hAnsi="宋体"/>
          <w:color w:val="auto"/>
          <w:sz w:val="24"/>
        </w:rPr>
        <w:t>②招标文件中没有列出，而对产品的正常运行和维护必不可少的备件、专用工具和消耗品，</w:t>
      </w:r>
      <w:r>
        <w:rPr>
          <w:rFonts w:hint="eastAsia" w:ascii="宋体" w:hAnsi="宋体" w:eastAsia="宋体" w:cs="宋体"/>
          <w:color w:val="auto"/>
          <w:sz w:val="24"/>
          <w:lang w:eastAsia="zh-CN"/>
        </w:rPr>
        <w:t>供应商</w:t>
      </w:r>
      <w:r>
        <w:rPr>
          <w:rFonts w:hint="eastAsia" w:ascii="宋体" w:hAnsi="宋体"/>
          <w:color w:val="auto"/>
          <w:sz w:val="24"/>
        </w:rPr>
        <w:t>有责任予以补充。</w:t>
      </w:r>
    </w:p>
    <w:p w14:paraId="6E64432C">
      <w:pPr>
        <w:spacing w:line="360" w:lineRule="auto"/>
        <w:ind w:firstLine="480" w:firstLineChars="200"/>
        <w:rPr>
          <w:rFonts w:hint="eastAsia" w:ascii="宋体" w:hAnsi="宋体"/>
          <w:color w:val="auto"/>
          <w:sz w:val="24"/>
        </w:rPr>
      </w:pPr>
      <w:r>
        <w:rPr>
          <w:rFonts w:hint="eastAsia" w:ascii="宋体" w:hAnsi="宋体"/>
          <w:color w:val="auto"/>
          <w:sz w:val="24"/>
        </w:rPr>
        <w:t>③如果</w:t>
      </w:r>
      <w:r>
        <w:rPr>
          <w:rFonts w:hint="eastAsia" w:ascii="宋体" w:hAnsi="宋体" w:eastAsia="宋体" w:cs="宋体"/>
          <w:color w:val="auto"/>
          <w:sz w:val="24"/>
          <w:lang w:eastAsia="zh-CN"/>
        </w:rPr>
        <w:t>供应商</w:t>
      </w:r>
      <w:r>
        <w:rPr>
          <w:rFonts w:hint="eastAsia" w:ascii="宋体" w:hAnsi="宋体"/>
          <w:color w:val="auto"/>
          <w:sz w:val="24"/>
        </w:rPr>
        <w:t>在中标并签署合同后，在供货时出现软、硬件的任何遗漏，均由中标人免费提供，</w:t>
      </w:r>
      <w:r>
        <w:rPr>
          <w:rFonts w:hint="eastAsia" w:ascii="宋体" w:hAnsi="宋体" w:eastAsia="宋体" w:cs="宋体"/>
          <w:color w:val="auto"/>
          <w:sz w:val="24"/>
          <w:lang w:eastAsia="zh-CN"/>
        </w:rPr>
        <w:t>采购人</w:t>
      </w:r>
      <w:r>
        <w:rPr>
          <w:rFonts w:hint="eastAsia" w:ascii="宋体" w:hAnsi="宋体"/>
          <w:color w:val="auto"/>
          <w:sz w:val="24"/>
        </w:rPr>
        <w:t>将不再支付任何费用。</w:t>
      </w:r>
    </w:p>
    <w:p w14:paraId="786825D5">
      <w:pPr>
        <w:spacing w:line="360" w:lineRule="auto"/>
        <w:ind w:firstLine="480" w:firstLineChars="200"/>
        <w:rPr>
          <w:rFonts w:hint="eastAsia" w:ascii="宋体" w:hAnsi="宋体"/>
          <w:color w:val="auto"/>
          <w:sz w:val="24"/>
        </w:rPr>
      </w:pPr>
      <w:r>
        <w:rPr>
          <w:rFonts w:hint="eastAsia" w:ascii="宋体" w:hAnsi="宋体"/>
          <w:color w:val="auto"/>
          <w:sz w:val="24"/>
        </w:rPr>
        <w:t>④运行要求：产品安装后能够接通并正常运转、如涉及到软件产品的须能够在</w:t>
      </w:r>
      <w:r>
        <w:rPr>
          <w:rFonts w:hint="eastAsia" w:ascii="宋体" w:hAnsi="宋体" w:eastAsia="宋体" w:cs="宋体"/>
          <w:color w:val="auto"/>
          <w:sz w:val="24"/>
          <w:lang w:eastAsia="zh-CN"/>
        </w:rPr>
        <w:t>采购人</w:t>
      </w:r>
      <w:r>
        <w:rPr>
          <w:rFonts w:hint="eastAsia" w:ascii="宋体" w:hAnsi="宋体"/>
          <w:color w:val="auto"/>
          <w:sz w:val="24"/>
        </w:rPr>
        <w:t>相应平台上正常运行，并达到招标文件要求的性能和产品技术规格中的性能。</w:t>
      </w:r>
      <w:bookmarkStart w:id="141" w:name="_Toc267581945"/>
    </w:p>
    <w:bookmarkEnd w:id="141"/>
    <w:p w14:paraId="2028B601">
      <w:pPr>
        <w:spacing w:line="360" w:lineRule="auto"/>
        <w:jc w:val="left"/>
        <w:outlineLvl w:val="1"/>
        <w:rPr>
          <w:rFonts w:hint="eastAsia" w:ascii="宋体" w:hAnsi="宋体"/>
          <w:b/>
          <w:color w:val="auto"/>
          <w:sz w:val="24"/>
        </w:rPr>
      </w:pPr>
      <w:bookmarkStart w:id="142" w:name="_Toc516499660"/>
      <w:bookmarkStart w:id="143" w:name="_Toc57708781"/>
      <w:bookmarkStart w:id="144" w:name="_Toc534621202"/>
      <w:bookmarkStart w:id="145" w:name="_Toc150787526"/>
      <w:bookmarkStart w:id="146" w:name="_Toc267581946"/>
      <w:r>
        <w:rPr>
          <w:rFonts w:hint="eastAsia" w:ascii="宋体" w:hAnsi="宋体"/>
          <w:b/>
          <w:color w:val="auto"/>
          <w:sz w:val="24"/>
          <w:lang w:val="en-US" w:eastAsia="zh-CN"/>
        </w:rPr>
        <w:t>三</w:t>
      </w:r>
      <w:r>
        <w:rPr>
          <w:rFonts w:hint="eastAsia" w:ascii="宋体" w:hAnsi="宋体"/>
          <w:b/>
          <w:color w:val="auto"/>
          <w:sz w:val="24"/>
        </w:rPr>
        <w:t>、安装调试、验收要求</w:t>
      </w:r>
      <w:bookmarkEnd w:id="142"/>
      <w:bookmarkEnd w:id="143"/>
      <w:bookmarkEnd w:id="144"/>
      <w:bookmarkEnd w:id="145"/>
      <w:bookmarkEnd w:id="146"/>
    </w:p>
    <w:p w14:paraId="520DF8F6">
      <w:pPr>
        <w:spacing w:line="360" w:lineRule="auto"/>
        <w:ind w:left="48" w:leftChars="20" w:firstLine="357" w:firstLineChars="148"/>
        <w:rPr>
          <w:rFonts w:hint="eastAsia" w:ascii="宋体" w:hAnsi="宋体"/>
          <w:b/>
          <w:color w:val="auto"/>
          <w:sz w:val="24"/>
        </w:rPr>
      </w:pPr>
      <w:r>
        <w:rPr>
          <w:rFonts w:hint="eastAsia" w:ascii="宋体" w:hAnsi="宋体"/>
          <w:b/>
          <w:color w:val="auto"/>
          <w:sz w:val="24"/>
        </w:rPr>
        <w:t>1、安装、调试要求</w:t>
      </w:r>
    </w:p>
    <w:p w14:paraId="00CCEACA">
      <w:pPr>
        <w:spacing w:line="360" w:lineRule="auto"/>
        <w:ind w:firstLine="480" w:firstLineChars="200"/>
        <w:rPr>
          <w:rFonts w:hint="eastAsia" w:ascii="宋体" w:hAnsi="宋体"/>
          <w:color w:val="auto"/>
          <w:sz w:val="24"/>
        </w:rPr>
      </w:pPr>
      <w:r>
        <w:rPr>
          <w:rFonts w:hint="eastAsia" w:ascii="宋体" w:hAnsi="宋体"/>
          <w:color w:val="auto"/>
          <w:sz w:val="24"/>
        </w:rPr>
        <w:t>①中标人应及时向</w:t>
      </w:r>
      <w:r>
        <w:rPr>
          <w:rFonts w:hint="eastAsia" w:ascii="宋体" w:hAnsi="宋体" w:eastAsia="宋体" w:cs="宋体"/>
          <w:color w:val="auto"/>
          <w:sz w:val="24"/>
          <w:lang w:eastAsia="zh-CN"/>
        </w:rPr>
        <w:t>采购人</w:t>
      </w:r>
      <w:r>
        <w:rPr>
          <w:rFonts w:hint="eastAsia" w:ascii="宋体" w:hAnsi="宋体"/>
          <w:color w:val="auto"/>
          <w:sz w:val="24"/>
        </w:rPr>
        <w:t>提供设备及服务，并承诺与</w:t>
      </w:r>
      <w:r>
        <w:rPr>
          <w:rFonts w:hint="eastAsia" w:ascii="宋体" w:hAnsi="宋体" w:eastAsia="宋体" w:cs="宋体"/>
          <w:color w:val="auto"/>
          <w:sz w:val="24"/>
          <w:lang w:eastAsia="zh-CN"/>
        </w:rPr>
        <w:t>采购人</w:t>
      </w:r>
      <w:r>
        <w:rPr>
          <w:rFonts w:hint="eastAsia" w:ascii="宋体" w:hAnsi="宋体"/>
          <w:color w:val="auto"/>
          <w:sz w:val="24"/>
        </w:rPr>
        <w:t>进行积极主动的合作，中标人必须服从</w:t>
      </w:r>
      <w:r>
        <w:rPr>
          <w:rFonts w:hint="eastAsia" w:ascii="宋体" w:hAnsi="宋体" w:eastAsia="宋体" w:cs="宋体"/>
          <w:color w:val="auto"/>
          <w:sz w:val="24"/>
          <w:lang w:eastAsia="zh-CN"/>
        </w:rPr>
        <w:t>采购人</w:t>
      </w:r>
      <w:r>
        <w:rPr>
          <w:rFonts w:hint="eastAsia" w:ascii="宋体" w:hAnsi="宋体"/>
          <w:color w:val="auto"/>
          <w:sz w:val="24"/>
        </w:rPr>
        <w:t>的统一协调，在设备供货、技术支持、运行维护等方面相互配合；</w:t>
      </w:r>
    </w:p>
    <w:p w14:paraId="7BEBFF8F">
      <w:pPr>
        <w:spacing w:line="360" w:lineRule="auto"/>
        <w:ind w:firstLine="480" w:firstLineChars="200"/>
        <w:rPr>
          <w:rFonts w:hint="eastAsia" w:ascii="宋体" w:hAnsi="宋体"/>
          <w:color w:val="auto"/>
          <w:sz w:val="24"/>
        </w:rPr>
      </w:pPr>
      <w:r>
        <w:rPr>
          <w:rFonts w:hint="eastAsia" w:ascii="宋体" w:hAnsi="宋体"/>
          <w:color w:val="auto"/>
          <w:sz w:val="24"/>
        </w:rPr>
        <w:t>②中标人负责本次招标内容的安装、调试，以达到系统应具有的功能和技术指标，并负责相关技术支持和维护。同时中标人必须提供设备制造厂商承诺的全部售后服务条款(如质保期、现场维修等)，不得擅自缩小售后服务范围；</w:t>
      </w:r>
    </w:p>
    <w:p w14:paraId="79D83CD6">
      <w:pPr>
        <w:spacing w:line="360" w:lineRule="auto"/>
        <w:ind w:firstLine="480" w:firstLineChars="200"/>
        <w:rPr>
          <w:rFonts w:hint="eastAsia" w:ascii="宋体" w:hAnsi="宋体"/>
          <w:color w:val="auto"/>
          <w:sz w:val="24"/>
        </w:rPr>
      </w:pPr>
      <w:r>
        <w:rPr>
          <w:rFonts w:hint="eastAsia" w:ascii="宋体" w:hAnsi="宋体"/>
          <w:color w:val="auto"/>
          <w:sz w:val="24"/>
        </w:rPr>
        <w:t>③产品未经验收时，由中标人负责保管至采购项目交货结束，其间发生的损坏、遗失由中标人负责；</w:t>
      </w:r>
    </w:p>
    <w:p w14:paraId="486AE617">
      <w:pPr>
        <w:spacing w:line="360" w:lineRule="auto"/>
        <w:ind w:firstLine="480" w:firstLineChars="200"/>
        <w:rPr>
          <w:rFonts w:hint="eastAsia" w:ascii="宋体" w:hAnsi="宋体"/>
          <w:color w:val="auto"/>
          <w:sz w:val="24"/>
        </w:rPr>
      </w:pPr>
      <w:r>
        <w:rPr>
          <w:rFonts w:hint="eastAsia" w:ascii="宋体" w:hAnsi="宋体"/>
          <w:color w:val="auto"/>
          <w:sz w:val="24"/>
        </w:rPr>
        <w:t>④设备到货后中标人应免费派技术人员在现场安装、调试；</w:t>
      </w:r>
    </w:p>
    <w:p w14:paraId="0540A3C0">
      <w:pPr>
        <w:spacing w:line="360" w:lineRule="auto"/>
        <w:ind w:firstLine="480" w:firstLineChars="200"/>
        <w:rPr>
          <w:rFonts w:hint="eastAsia" w:ascii="宋体" w:hAnsi="宋体"/>
          <w:color w:val="auto"/>
          <w:sz w:val="24"/>
        </w:rPr>
      </w:pPr>
      <w:r>
        <w:rPr>
          <w:rFonts w:hint="eastAsia" w:ascii="宋体" w:hAnsi="宋体"/>
          <w:color w:val="auto"/>
          <w:sz w:val="24"/>
        </w:rPr>
        <w:t>⑤中标人应遵守</w:t>
      </w:r>
      <w:r>
        <w:rPr>
          <w:rFonts w:hint="eastAsia" w:ascii="宋体" w:hAnsi="宋体" w:eastAsia="宋体" w:cs="宋体"/>
          <w:color w:val="auto"/>
          <w:sz w:val="24"/>
          <w:lang w:eastAsia="zh-CN"/>
        </w:rPr>
        <w:t>采购人</w:t>
      </w:r>
      <w:r>
        <w:rPr>
          <w:rFonts w:hint="eastAsia" w:ascii="宋体" w:hAnsi="宋体"/>
          <w:color w:val="auto"/>
          <w:sz w:val="24"/>
        </w:rPr>
        <w:t>安装现场的一切规章制度；</w:t>
      </w:r>
    </w:p>
    <w:p w14:paraId="47D2EA94">
      <w:pPr>
        <w:spacing w:line="360" w:lineRule="auto"/>
        <w:ind w:firstLine="480" w:firstLineChars="200"/>
        <w:rPr>
          <w:rFonts w:hint="eastAsia" w:ascii="宋体" w:hAnsi="宋体"/>
          <w:color w:val="auto"/>
          <w:sz w:val="24"/>
        </w:rPr>
      </w:pPr>
      <w:r>
        <w:rPr>
          <w:rFonts w:hint="eastAsia" w:ascii="宋体" w:hAnsi="宋体"/>
          <w:color w:val="auto"/>
          <w:sz w:val="24"/>
        </w:rPr>
        <w:t>⑥中标人在设备全部安装完工并通过</w:t>
      </w:r>
      <w:r>
        <w:rPr>
          <w:rFonts w:hint="eastAsia" w:ascii="宋体" w:hAnsi="宋体" w:eastAsia="宋体" w:cs="宋体"/>
          <w:color w:val="auto"/>
          <w:sz w:val="24"/>
          <w:lang w:eastAsia="zh-CN"/>
        </w:rPr>
        <w:t>采购人</w:t>
      </w:r>
      <w:r>
        <w:rPr>
          <w:rFonts w:hint="eastAsia" w:ascii="宋体" w:hAnsi="宋体"/>
          <w:color w:val="auto"/>
          <w:sz w:val="24"/>
        </w:rPr>
        <w:t>的验收之前应对安装好的设备及设备的安装工具等提供适当的保护、包装或覆盖等处理，直至验收合格，以免设备受损；</w:t>
      </w:r>
    </w:p>
    <w:p w14:paraId="34AF7AE5">
      <w:pPr>
        <w:spacing w:line="360" w:lineRule="auto"/>
        <w:ind w:firstLine="480" w:firstLineChars="200"/>
        <w:rPr>
          <w:rFonts w:hint="eastAsia" w:ascii="宋体" w:hAnsi="宋体"/>
          <w:color w:val="auto"/>
          <w:sz w:val="24"/>
        </w:rPr>
      </w:pPr>
      <w:r>
        <w:rPr>
          <w:rFonts w:hint="eastAsia" w:ascii="宋体" w:hAnsi="宋体"/>
          <w:color w:val="auto"/>
          <w:sz w:val="24"/>
        </w:rPr>
        <w:t>⑦安装调试人员在安装中对其他邻近设备、管线等造成损坏，应负责修复及承担一切费用；</w:t>
      </w:r>
    </w:p>
    <w:p w14:paraId="59659457">
      <w:pPr>
        <w:spacing w:line="360" w:lineRule="auto"/>
        <w:ind w:firstLine="480" w:firstLineChars="200"/>
        <w:rPr>
          <w:rFonts w:hint="eastAsia" w:ascii="宋体" w:hAnsi="宋体"/>
          <w:color w:val="auto"/>
          <w:sz w:val="24"/>
        </w:rPr>
      </w:pPr>
      <w:r>
        <w:rPr>
          <w:rFonts w:hint="eastAsia" w:ascii="宋体" w:hAnsi="宋体"/>
          <w:color w:val="auto"/>
          <w:sz w:val="24"/>
        </w:rPr>
        <w:t>⑧调试期间或保修过程中，中标人负责及时清理垃圾，并将包装物及垃圾堆放至</w:t>
      </w:r>
      <w:r>
        <w:rPr>
          <w:rFonts w:hint="eastAsia" w:ascii="宋体" w:hAnsi="宋体" w:eastAsia="宋体" w:cs="宋体"/>
          <w:color w:val="auto"/>
          <w:sz w:val="24"/>
          <w:lang w:eastAsia="zh-CN"/>
        </w:rPr>
        <w:t>采购人</w:t>
      </w:r>
      <w:r>
        <w:rPr>
          <w:rFonts w:hint="eastAsia" w:ascii="宋体" w:hAnsi="宋体"/>
          <w:color w:val="auto"/>
          <w:sz w:val="24"/>
        </w:rPr>
        <w:t>指定地点。</w:t>
      </w:r>
    </w:p>
    <w:p w14:paraId="1B58FFBF">
      <w:pPr>
        <w:spacing w:line="360" w:lineRule="auto"/>
        <w:ind w:left="48" w:leftChars="20" w:firstLine="357" w:firstLineChars="148"/>
        <w:rPr>
          <w:rFonts w:hint="eastAsia" w:ascii="宋体" w:hAnsi="宋体"/>
          <w:b/>
          <w:color w:val="auto"/>
          <w:sz w:val="24"/>
        </w:rPr>
      </w:pPr>
      <w:r>
        <w:rPr>
          <w:rFonts w:hint="eastAsia" w:ascii="宋体" w:hAnsi="宋体"/>
          <w:b/>
          <w:color w:val="auto"/>
          <w:sz w:val="24"/>
        </w:rPr>
        <w:t>2、产品验收要求：</w:t>
      </w:r>
    </w:p>
    <w:p w14:paraId="5FF77A09">
      <w:pPr>
        <w:spacing w:line="360" w:lineRule="auto"/>
        <w:ind w:firstLine="480" w:firstLineChars="200"/>
        <w:rPr>
          <w:rFonts w:hint="eastAsia" w:ascii="宋体" w:hAnsi="宋体"/>
          <w:color w:val="auto"/>
          <w:sz w:val="24"/>
        </w:rPr>
      </w:pPr>
      <w:r>
        <w:rPr>
          <w:rFonts w:hint="eastAsia" w:ascii="宋体" w:hAnsi="宋体"/>
          <w:color w:val="auto"/>
          <w:sz w:val="24"/>
        </w:rPr>
        <w:t>①</w:t>
      </w:r>
      <w:r>
        <w:rPr>
          <w:rFonts w:hint="eastAsia" w:ascii="宋体" w:hAnsi="宋体" w:eastAsia="宋体" w:cs="宋体"/>
          <w:color w:val="auto"/>
          <w:sz w:val="24"/>
          <w:lang w:eastAsia="zh-CN"/>
        </w:rPr>
        <w:t>采购人</w:t>
      </w:r>
      <w:r>
        <w:rPr>
          <w:rFonts w:hint="eastAsia" w:ascii="宋体" w:hAnsi="宋体"/>
          <w:color w:val="auto"/>
          <w:sz w:val="24"/>
        </w:rPr>
        <w:t>将依招标文件及</w:t>
      </w:r>
      <w:r>
        <w:rPr>
          <w:rFonts w:hint="eastAsia" w:ascii="宋体" w:hAnsi="宋体" w:eastAsia="宋体" w:cs="宋体"/>
          <w:color w:val="auto"/>
          <w:sz w:val="24"/>
          <w:lang w:eastAsia="zh-CN"/>
        </w:rPr>
        <w:t>供应商</w:t>
      </w:r>
      <w:r>
        <w:rPr>
          <w:rFonts w:hint="eastAsia" w:ascii="宋体" w:hAnsi="宋体"/>
          <w:color w:val="auto"/>
          <w:sz w:val="24"/>
        </w:rPr>
        <w:t>的投标文件的要求对全部交货设备的型号、规格、数量、外型、包装及资料、文件（如装箱单、保修单、随箱介质等）进行随机抽取验收。验收主要包括：</w:t>
      </w:r>
      <w:r>
        <w:rPr>
          <w:rFonts w:hint="eastAsia" w:ascii="宋体" w:hAnsi="宋体" w:eastAsia="宋体" w:cs="宋体"/>
          <w:color w:val="auto"/>
          <w:sz w:val="24"/>
          <w:lang w:eastAsia="zh-CN"/>
        </w:rPr>
        <w:t>采购人</w:t>
      </w:r>
      <w:r>
        <w:rPr>
          <w:rFonts w:hint="eastAsia" w:ascii="宋体" w:hAnsi="宋体"/>
          <w:color w:val="auto"/>
          <w:sz w:val="24"/>
        </w:rPr>
        <w:t>与中标人在设备到货后共同进行开箱检查设备数量、外观、质量性能、备件备品、装箱单等资料及包装；所有货物和附（配）件应符合其规定的性能，无瑕疵和缺陷，质量为全新合格产品，同时有明确的生产制造厂商标志，供方在交货前未经</w:t>
      </w:r>
      <w:r>
        <w:rPr>
          <w:rFonts w:hint="eastAsia" w:ascii="宋体" w:hAnsi="宋体" w:eastAsia="宋体" w:cs="宋体"/>
          <w:color w:val="auto"/>
          <w:sz w:val="24"/>
          <w:lang w:eastAsia="zh-CN"/>
        </w:rPr>
        <w:t>采购人</w:t>
      </w:r>
      <w:r>
        <w:rPr>
          <w:rFonts w:hint="eastAsia" w:ascii="宋体" w:hAnsi="宋体"/>
          <w:color w:val="auto"/>
          <w:sz w:val="24"/>
        </w:rPr>
        <w:t>允许不得私自拆毁原包装，否则，</w:t>
      </w:r>
      <w:r>
        <w:rPr>
          <w:rFonts w:hint="eastAsia" w:ascii="宋体" w:hAnsi="宋体" w:eastAsia="宋体" w:cs="宋体"/>
          <w:color w:val="auto"/>
          <w:sz w:val="24"/>
          <w:lang w:eastAsia="zh-CN"/>
        </w:rPr>
        <w:t>采购人</w:t>
      </w:r>
      <w:r>
        <w:rPr>
          <w:rFonts w:hint="eastAsia" w:ascii="宋体" w:hAnsi="宋体"/>
          <w:color w:val="auto"/>
          <w:sz w:val="24"/>
        </w:rPr>
        <w:t>有权不予验收，供方产品质量问题负责包退、包换和包修，由此发生的费用由供方负责；</w:t>
      </w:r>
    </w:p>
    <w:p w14:paraId="1DB2046E">
      <w:pPr>
        <w:spacing w:line="360" w:lineRule="auto"/>
        <w:ind w:firstLine="480" w:firstLineChars="200"/>
        <w:rPr>
          <w:rFonts w:hint="eastAsia" w:ascii="宋体" w:hAnsi="宋体"/>
          <w:color w:val="auto"/>
          <w:sz w:val="24"/>
        </w:rPr>
      </w:pPr>
      <w:r>
        <w:rPr>
          <w:rFonts w:hint="eastAsia" w:ascii="宋体" w:hAnsi="宋体"/>
          <w:color w:val="auto"/>
          <w:sz w:val="24"/>
        </w:rPr>
        <w:t>②验收中设备出现性能指标或功能上不符合招标文件和合同要求时，</w:t>
      </w:r>
      <w:r>
        <w:rPr>
          <w:rFonts w:hint="eastAsia" w:ascii="宋体" w:hAnsi="宋体" w:eastAsia="宋体" w:cs="宋体"/>
          <w:color w:val="auto"/>
          <w:sz w:val="24"/>
          <w:lang w:eastAsia="zh-CN"/>
        </w:rPr>
        <w:t>采购人</w:t>
      </w:r>
      <w:r>
        <w:rPr>
          <w:rFonts w:hint="eastAsia" w:ascii="宋体" w:hAnsi="宋体"/>
          <w:color w:val="auto"/>
          <w:sz w:val="24"/>
        </w:rPr>
        <w:t>有拒收的权利；</w:t>
      </w:r>
    </w:p>
    <w:p w14:paraId="7778648E">
      <w:pPr>
        <w:spacing w:line="360" w:lineRule="auto"/>
        <w:ind w:firstLine="480" w:firstLineChars="200"/>
        <w:rPr>
          <w:rFonts w:hint="eastAsia" w:ascii="宋体" w:hAnsi="宋体"/>
          <w:color w:val="auto"/>
          <w:sz w:val="24"/>
        </w:rPr>
      </w:pPr>
      <w:r>
        <w:rPr>
          <w:rFonts w:hint="eastAsia" w:ascii="宋体" w:hAnsi="宋体"/>
          <w:color w:val="auto"/>
          <w:sz w:val="24"/>
        </w:rPr>
        <w:t>③验收中出现不符合招标文件和合同要求的严重质量问题时，</w:t>
      </w:r>
      <w:r>
        <w:rPr>
          <w:rFonts w:hint="eastAsia" w:ascii="宋体" w:hAnsi="宋体" w:eastAsia="宋体" w:cs="宋体"/>
          <w:color w:val="auto"/>
          <w:sz w:val="24"/>
          <w:lang w:eastAsia="zh-CN"/>
        </w:rPr>
        <w:t>采购人</w:t>
      </w:r>
      <w:r>
        <w:rPr>
          <w:rFonts w:hint="eastAsia" w:ascii="宋体" w:hAnsi="宋体"/>
          <w:color w:val="auto"/>
          <w:sz w:val="24"/>
        </w:rPr>
        <w:t>保留索赔的权利；</w:t>
      </w:r>
    </w:p>
    <w:p w14:paraId="572C78C0">
      <w:pPr>
        <w:spacing w:line="360" w:lineRule="auto"/>
        <w:ind w:firstLine="480" w:firstLineChars="200"/>
        <w:rPr>
          <w:rFonts w:hint="eastAsia" w:ascii="宋体" w:hAnsi="宋体"/>
          <w:color w:val="auto"/>
          <w:sz w:val="24"/>
        </w:rPr>
      </w:pPr>
      <w:r>
        <w:rPr>
          <w:rFonts w:hint="eastAsia" w:ascii="宋体" w:hAnsi="宋体"/>
          <w:color w:val="auto"/>
          <w:sz w:val="24"/>
        </w:rPr>
        <w:t>④在安装现场直至进行最终验收所发生的一切费用均由中标人承担；</w:t>
      </w:r>
    </w:p>
    <w:p w14:paraId="5B7AD564">
      <w:pPr>
        <w:spacing w:line="360" w:lineRule="auto"/>
        <w:ind w:firstLine="480" w:firstLineChars="200"/>
        <w:rPr>
          <w:rFonts w:hint="eastAsia" w:ascii="宋体" w:hAnsi="宋体"/>
          <w:color w:val="auto"/>
          <w:sz w:val="24"/>
        </w:rPr>
      </w:pPr>
      <w:r>
        <w:rPr>
          <w:rFonts w:hint="eastAsia" w:ascii="宋体" w:hAnsi="宋体"/>
          <w:color w:val="auto"/>
          <w:sz w:val="24"/>
        </w:rPr>
        <w:t>⑤</w:t>
      </w:r>
      <w:r>
        <w:rPr>
          <w:rFonts w:hint="eastAsia" w:ascii="宋体" w:hAnsi="宋体" w:eastAsia="宋体" w:cs="宋体"/>
          <w:color w:val="auto"/>
          <w:sz w:val="24"/>
          <w:lang w:eastAsia="zh-CN"/>
        </w:rPr>
        <w:t>供应商</w:t>
      </w:r>
      <w:r>
        <w:rPr>
          <w:rFonts w:hint="eastAsia" w:ascii="宋体" w:hAnsi="宋体"/>
          <w:color w:val="auto"/>
          <w:sz w:val="24"/>
        </w:rPr>
        <w:t>所提供的货物/工程须符合国家强制性规定或相关法律法规要求；</w:t>
      </w:r>
    </w:p>
    <w:p w14:paraId="0D7232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auto"/>
          <w:sz w:val="24"/>
          <w:lang w:eastAsia="zh-CN"/>
        </w:rPr>
      </w:pPr>
      <w:r>
        <w:rPr>
          <w:rFonts w:hint="eastAsia" w:ascii="宋体" w:hAnsi="宋体"/>
          <w:color w:val="auto"/>
          <w:sz w:val="24"/>
        </w:rPr>
        <w:t>⑥验收时间和地点：</w:t>
      </w:r>
      <w:r>
        <w:rPr>
          <w:rFonts w:hint="eastAsia" w:ascii="宋体" w:hAnsi="宋体" w:eastAsia="宋体" w:cs="宋体"/>
          <w:color w:val="auto"/>
          <w:sz w:val="24"/>
          <w:lang w:eastAsia="zh-CN"/>
        </w:rPr>
        <w:t>供应商</w:t>
      </w:r>
      <w:r>
        <w:rPr>
          <w:rFonts w:hint="eastAsia" w:ascii="宋体" w:hAnsi="宋体"/>
          <w:color w:val="auto"/>
          <w:sz w:val="24"/>
        </w:rPr>
        <w:t>中标后须按照招标文件的交货要求分别交货至</w:t>
      </w:r>
      <w:r>
        <w:rPr>
          <w:rFonts w:hint="eastAsia" w:ascii="宋体" w:hAnsi="宋体" w:eastAsia="宋体" w:cs="宋体"/>
          <w:color w:val="auto"/>
          <w:sz w:val="24"/>
          <w:lang w:eastAsia="zh-CN"/>
        </w:rPr>
        <w:t>采购人</w:t>
      </w:r>
      <w:r>
        <w:rPr>
          <w:rFonts w:hint="eastAsia" w:ascii="宋体" w:hAnsi="宋体"/>
          <w:color w:val="auto"/>
          <w:sz w:val="24"/>
        </w:rPr>
        <w:t>指定地点，设备全部交货并布线完毕后由</w:t>
      </w:r>
      <w:r>
        <w:rPr>
          <w:rFonts w:hint="eastAsia" w:ascii="宋体" w:hAnsi="宋体" w:eastAsia="宋体" w:cs="宋体"/>
          <w:color w:val="auto"/>
          <w:sz w:val="24"/>
          <w:lang w:eastAsia="zh-CN"/>
        </w:rPr>
        <w:t>采购人</w:t>
      </w:r>
      <w:r>
        <w:rPr>
          <w:rFonts w:hint="eastAsia" w:ascii="宋体" w:hAnsi="宋体"/>
          <w:color w:val="auto"/>
          <w:sz w:val="24"/>
        </w:rPr>
        <w:t>进行现场验收并最终填写验收报告。基本标准为：是否按交货要求及时完成设备的到货、安装、调试工作，</w:t>
      </w:r>
      <w:r>
        <w:rPr>
          <w:rFonts w:hint="eastAsia" w:ascii="宋体" w:hAnsi="宋体" w:eastAsia="宋体" w:cs="宋体"/>
          <w:color w:val="auto"/>
          <w:sz w:val="24"/>
          <w:lang w:eastAsia="zh-CN"/>
        </w:rPr>
        <w:t>供应商</w:t>
      </w:r>
      <w:r>
        <w:rPr>
          <w:rFonts w:hint="eastAsia" w:ascii="宋体" w:hAnsi="宋体"/>
          <w:color w:val="auto"/>
          <w:sz w:val="24"/>
        </w:rPr>
        <w:t>提供的设备质量情况是否确保达到招标文件要</w:t>
      </w:r>
      <w:r>
        <w:rPr>
          <w:rFonts w:hint="eastAsia" w:ascii="宋体" w:hAnsi="宋体"/>
          <w:color w:val="auto"/>
          <w:sz w:val="24"/>
          <w:lang w:eastAsia="zh-CN"/>
        </w:rPr>
        <w:t>求。</w:t>
      </w:r>
    </w:p>
    <w:p w14:paraId="066CBC5A">
      <w:pPr>
        <w:rPr>
          <w:rStyle w:val="35"/>
          <w:rFonts w:hint="eastAsia"/>
          <w:color w:val="auto"/>
          <w:lang w:val="en-US" w:eastAsia="zh-CN"/>
        </w:rPr>
      </w:pPr>
      <w:bookmarkStart w:id="147" w:name="_Toc23728"/>
      <w:r>
        <w:rPr>
          <w:rStyle w:val="35"/>
          <w:rFonts w:hint="eastAsia"/>
          <w:color w:val="auto"/>
          <w:lang w:val="en-US" w:eastAsia="zh-CN"/>
        </w:rPr>
        <w:br w:type="page"/>
      </w:r>
    </w:p>
    <w:p w14:paraId="40CB2ED8">
      <w:pPr>
        <w:jc w:val="center"/>
        <w:outlineLvl w:val="0"/>
        <w:rPr>
          <w:rFonts w:hint="eastAsia" w:ascii="宋体" w:hAnsi="宋体" w:eastAsia="宋体" w:cs="宋体"/>
          <w:color w:val="auto"/>
        </w:rPr>
      </w:pPr>
      <w:r>
        <w:rPr>
          <w:rStyle w:val="35"/>
          <w:rFonts w:hint="eastAsia"/>
          <w:color w:val="auto"/>
          <w:lang w:val="en-US" w:eastAsia="zh-CN"/>
        </w:rPr>
        <w:t xml:space="preserve">第五章 </w:t>
      </w:r>
      <w:r>
        <w:rPr>
          <w:rStyle w:val="35"/>
          <w:rFonts w:hint="eastAsia"/>
          <w:color w:val="auto"/>
        </w:rPr>
        <w:t xml:space="preserve">  合同条款及格式</w:t>
      </w:r>
      <w:bookmarkEnd w:id="147"/>
    </w:p>
    <w:p w14:paraId="6DE55458">
      <w:pPr>
        <w:bidi w:val="0"/>
        <w:jc w:val="center"/>
        <w:rPr>
          <w:rFonts w:hint="eastAsia"/>
          <w:b/>
          <w:bCs/>
        </w:rPr>
      </w:pPr>
      <w:bookmarkStart w:id="148" w:name="_Toc5002"/>
      <w:r>
        <w:rPr>
          <w:rFonts w:hint="eastAsia"/>
          <w:b/>
          <w:bCs/>
          <w:lang w:val="en-US" w:eastAsia="zh-CN"/>
        </w:rPr>
        <w:t>（此合同条款仅做参考以签订正式合同时为准）</w:t>
      </w:r>
      <w:bookmarkEnd w:id="148"/>
    </w:p>
    <w:p w14:paraId="5784336E">
      <w:pPr>
        <w:spacing w:line="360" w:lineRule="auto"/>
        <w:ind w:firstLine="482" w:firstLineChars="200"/>
        <w:rPr>
          <w:rFonts w:ascii="宋体" w:hAnsi="宋体" w:cs="宋体"/>
          <w:b/>
          <w:color w:val="auto"/>
          <w:sz w:val="24"/>
        </w:rPr>
      </w:pPr>
      <w:r>
        <w:rPr>
          <w:rFonts w:hint="eastAsia" w:ascii="宋体" w:hAnsi="宋体" w:cs="宋体"/>
          <w:b/>
          <w:color w:val="auto"/>
          <w:sz w:val="24"/>
        </w:rPr>
        <w:t xml:space="preserve">甲方（全称）： </w:t>
      </w:r>
      <w:r>
        <w:rPr>
          <w:rFonts w:hint="eastAsia" w:ascii="宋体" w:hAnsi="宋体" w:cs="宋体"/>
          <w:b/>
          <w:color w:val="auto"/>
          <w:sz w:val="24"/>
          <w:u w:val="single"/>
        </w:rPr>
        <w:t>                      </w:t>
      </w:r>
    </w:p>
    <w:p w14:paraId="4D171866">
      <w:pPr>
        <w:spacing w:line="360" w:lineRule="auto"/>
        <w:ind w:firstLine="482" w:firstLineChars="200"/>
        <w:rPr>
          <w:rFonts w:ascii="宋体" w:hAnsi="宋体" w:cs="宋体"/>
          <w:b/>
          <w:color w:val="auto"/>
          <w:sz w:val="24"/>
          <w:u w:val="single"/>
        </w:rPr>
      </w:pPr>
      <w:r>
        <w:rPr>
          <w:rFonts w:hint="eastAsia" w:ascii="宋体" w:hAnsi="宋体" w:cs="宋体"/>
          <w:b/>
          <w:color w:val="auto"/>
          <w:sz w:val="24"/>
        </w:rPr>
        <w:t>乙方（全称）：</w:t>
      </w:r>
      <w:r>
        <w:rPr>
          <w:rFonts w:hint="eastAsia" w:ascii="宋体" w:hAnsi="宋体" w:cs="宋体"/>
          <w:b/>
          <w:color w:val="auto"/>
          <w:sz w:val="24"/>
          <w:u w:val="single"/>
        </w:rPr>
        <w:t>                      </w:t>
      </w:r>
    </w:p>
    <w:p w14:paraId="26028FF0">
      <w:pPr>
        <w:spacing w:line="360" w:lineRule="auto"/>
        <w:ind w:firstLine="480" w:firstLineChars="200"/>
        <w:rPr>
          <w:rFonts w:ascii="宋体" w:hAnsi="宋体" w:cs="宋体"/>
          <w:color w:val="auto"/>
          <w:sz w:val="24"/>
        </w:rPr>
      </w:pPr>
      <w:r>
        <w:rPr>
          <w:rFonts w:hint="eastAsia" w:ascii="宋体" w:hAnsi="宋体" w:cs="宋体"/>
          <w:color w:val="auto"/>
          <w:sz w:val="24"/>
        </w:rPr>
        <w:t>根据《中华人民共和国合同法》及有关法律规定，遵循平等、自愿、公平和诚实信用的原则，双方就</w:t>
      </w:r>
      <w:r>
        <w:rPr>
          <w:rFonts w:hint="eastAsia" w:ascii="宋体" w:hAnsi="宋体" w:cs="宋体"/>
          <w:b/>
          <w:color w:val="auto"/>
          <w:sz w:val="24"/>
          <w:u w:val="single"/>
        </w:rPr>
        <w:t>                      </w:t>
      </w:r>
      <w:r>
        <w:rPr>
          <w:rFonts w:hint="eastAsia" w:ascii="宋体" w:hAnsi="宋体" w:cs="宋体"/>
          <w:color w:val="auto"/>
          <w:sz w:val="24"/>
        </w:rPr>
        <w:t>及有关事项协商一致，共同达成如下协议：</w:t>
      </w:r>
    </w:p>
    <w:p w14:paraId="0DE5E2DD">
      <w:pPr>
        <w:spacing w:line="360" w:lineRule="auto"/>
        <w:ind w:firstLine="482" w:firstLineChars="200"/>
        <w:rPr>
          <w:rFonts w:ascii="宋体" w:hAnsi="宋体" w:cs="宋体"/>
          <w:b/>
          <w:color w:val="auto"/>
          <w:sz w:val="24"/>
        </w:rPr>
      </w:pPr>
      <w:r>
        <w:rPr>
          <w:rFonts w:hint="eastAsia" w:ascii="宋体" w:hAnsi="宋体" w:cs="宋体"/>
          <w:b/>
          <w:color w:val="auto"/>
          <w:sz w:val="24"/>
        </w:rPr>
        <w:t>合同文件</w:t>
      </w:r>
    </w:p>
    <w:p w14:paraId="1250C9E0">
      <w:pPr>
        <w:spacing w:line="360" w:lineRule="auto"/>
        <w:ind w:firstLine="480" w:firstLineChars="200"/>
        <w:rPr>
          <w:rFonts w:ascii="宋体" w:hAnsi="宋体" w:cs="宋体"/>
          <w:color w:val="auto"/>
          <w:sz w:val="24"/>
        </w:rPr>
      </w:pPr>
      <w:r>
        <w:rPr>
          <w:rFonts w:hint="eastAsia" w:ascii="宋体" w:hAnsi="宋体" w:cs="宋体"/>
          <w:color w:val="auto"/>
          <w:sz w:val="24"/>
        </w:rPr>
        <w:t>下列与本次采购活动有关的文件及附件是本合同不可分割的组成部分，与本合同具有同等法律效力，这些文件包括但不限于：</w:t>
      </w:r>
    </w:p>
    <w:p w14:paraId="0DA70608">
      <w:pPr>
        <w:spacing w:line="360" w:lineRule="auto"/>
        <w:ind w:firstLine="480" w:firstLineChars="200"/>
        <w:rPr>
          <w:rFonts w:ascii="宋体" w:hAnsi="宋体" w:cs="宋体"/>
          <w:color w:val="auto"/>
          <w:sz w:val="24"/>
        </w:rPr>
      </w:pPr>
      <w:r>
        <w:rPr>
          <w:rFonts w:hint="eastAsia" w:ascii="宋体" w:hAnsi="宋体" w:cs="宋体"/>
          <w:color w:val="auto"/>
          <w:sz w:val="24"/>
        </w:rPr>
        <w:t>1.招标采购文件</w:t>
      </w:r>
    </w:p>
    <w:p w14:paraId="7018E6AD">
      <w:pPr>
        <w:spacing w:line="360" w:lineRule="auto"/>
        <w:ind w:firstLine="480" w:firstLineChars="200"/>
        <w:rPr>
          <w:rFonts w:ascii="宋体" w:hAnsi="宋体" w:cs="宋体"/>
          <w:color w:val="auto"/>
          <w:sz w:val="24"/>
        </w:rPr>
      </w:pPr>
      <w:r>
        <w:rPr>
          <w:rFonts w:hint="eastAsia" w:ascii="宋体" w:hAnsi="宋体" w:cs="宋体"/>
          <w:color w:val="auto"/>
          <w:sz w:val="24"/>
        </w:rPr>
        <w:t>2.投标文件</w:t>
      </w:r>
    </w:p>
    <w:p w14:paraId="146A984B">
      <w:pPr>
        <w:spacing w:line="360" w:lineRule="auto"/>
        <w:ind w:firstLine="480" w:firstLineChars="200"/>
        <w:rPr>
          <w:rFonts w:ascii="宋体" w:hAnsi="宋体" w:cs="宋体"/>
          <w:color w:val="auto"/>
          <w:sz w:val="24"/>
        </w:rPr>
      </w:pPr>
      <w:r>
        <w:rPr>
          <w:rFonts w:hint="eastAsia" w:ascii="宋体" w:hAnsi="宋体" w:cs="宋体"/>
          <w:color w:val="auto"/>
          <w:sz w:val="24"/>
        </w:rPr>
        <w:t>3.乙方在投标时的书面承诺</w:t>
      </w:r>
    </w:p>
    <w:p w14:paraId="3C511BC6">
      <w:pPr>
        <w:spacing w:line="360" w:lineRule="auto"/>
        <w:ind w:firstLine="480" w:firstLineChars="200"/>
        <w:rPr>
          <w:rFonts w:ascii="宋体" w:hAnsi="宋体" w:cs="宋体"/>
          <w:color w:val="auto"/>
          <w:sz w:val="24"/>
        </w:rPr>
      </w:pPr>
      <w:r>
        <w:rPr>
          <w:rFonts w:hint="eastAsia" w:ascii="宋体" w:hAnsi="宋体" w:cs="宋体"/>
          <w:color w:val="auto"/>
          <w:sz w:val="24"/>
        </w:rPr>
        <w:t>4.中标通知书</w:t>
      </w:r>
    </w:p>
    <w:p w14:paraId="0B3327DB">
      <w:pPr>
        <w:spacing w:line="360" w:lineRule="auto"/>
        <w:ind w:firstLine="480" w:firstLineChars="200"/>
        <w:rPr>
          <w:rFonts w:ascii="宋体" w:hAnsi="宋体" w:cs="宋体"/>
          <w:color w:val="auto"/>
          <w:sz w:val="24"/>
        </w:rPr>
      </w:pPr>
      <w:r>
        <w:rPr>
          <w:rFonts w:hint="eastAsia" w:ascii="宋体" w:hAnsi="宋体" w:cs="宋体"/>
          <w:color w:val="auto"/>
          <w:sz w:val="24"/>
        </w:rPr>
        <w:t>5.合同补充条款或说明</w:t>
      </w:r>
    </w:p>
    <w:p w14:paraId="2877C423">
      <w:pPr>
        <w:spacing w:line="360" w:lineRule="auto"/>
        <w:ind w:firstLine="480" w:firstLineChars="200"/>
        <w:rPr>
          <w:rFonts w:ascii="宋体" w:hAnsi="宋体" w:cs="宋体"/>
          <w:color w:val="auto"/>
          <w:sz w:val="24"/>
        </w:rPr>
      </w:pPr>
      <w:r>
        <w:rPr>
          <w:rFonts w:hint="eastAsia" w:ascii="宋体" w:hAnsi="宋体" w:cs="宋体"/>
          <w:color w:val="auto"/>
          <w:sz w:val="24"/>
        </w:rPr>
        <w:t>6.保密协议或条款</w:t>
      </w:r>
    </w:p>
    <w:p w14:paraId="523B8487">
      <w:pPr>
        <w:spacing w:line="360" w:lineRule="auto"/>
        <w:ind w:firstLine="480" w:firstLineChars="200"/>
        <w:rPr>
          <w:rFonts w:ascii="宋体" w:hAnsi="宋体" w:cs="宋体"/>
          <w:color w:val="auto"/>
          <w:sz w:val="24"/>
        </w:rPr>
      </w:pPr>
      <w:r>
        <w:rPr>
          <w:rFonts w:hint="eastAsia" w:ascii="宋体" w:hAnsi="宋体" w:cs="宋体"/>
          <w:color w:val="auto"/>
          <w:sz w:val="24"/>
        </w:rPr>
        <w:t>7.相关附件、图纸及电子版资料</w:t>
      </w:r>
    </w:p>
    <w:p w14:paraId="19A20080">
      <w:pPr>
        <w:spacing w:line="360" w:lineRule="auto"/>
        <w:ind w:firstLine="482" w:firstLineChars="200"/>
        <w:rPr>
          <w:rFonts w:ascii="宋体" w:hAnsi="宋体" w:cs="宋体"/>
          <w:b/>
          <w:color w:val="auto"/>
          <w:sz w:val="24"/>
        </w:rPr>
      </w:pPr>
      <w:r>
        <w:rPr>
          <w:rFonts w:hint="eastAsia" w:ascii="宋体" w:hAnsi="宋体" w:cs="宋体"/>
          <w:b/>
          <w:color w:val="auto"/>
          <w:sz w:val="24"/>
        </w:rPr>
        <w:t>第二条  合同内容</w:t>
      </w:r>
    </w:p>
    <w:p w14:paraId="50E7B3E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服务名称：详见合同附件中《服务明细一览表》  </w:t>
      </w:r>
    </w:p>
    <w:p w14:paraId="26DC6C7C">
      <w:pPr>
        <w:spacing w:line="360" w:lineRule="auto"/>
        <w:ind w:firstLine="482" w:firstLineChars="200"/>
        <w:rPr>
          <w:rFonts w:ascii="宋体" w:hAnsi="宋体" w:cs="宋体"/>
          <w:b/>
          <w:color w:val="auto"/>
          <w:sz w:val="24"/>
        </w:rPr>
      </w:pPr>
      <w:r>
        <w:rPr>
          <w:rFonts w:hint="eastAsia" w:ascii="宋体" w:hAnsi="宋体" w:cs="宋体"/>
          <w:b/>
          <w:color w:val="auto"/>
          <w:sz w:val="24"/>
        </w:rPr>
        <w:t>第三条  合同总价款</w:t>
      </w:r>
    </w:p>
    <w:p w14:paraId="192F9A31">
      <w:pPr>
        <w:spacing w:line="360" w:lineRule="auto"/>
        <w:ind w:firstLine="480" w:firstLineChars="200"/>
        <w:rPr>
          <w:rFonts w:ascii="宋体" w:hAnsi="宋体" w:cs="宋体"/>
          <w:color w:val="auto"/>
          <w:sz w:val="24"/>
        </w:rPr>
      </w:pPr>
      <w:r>
        <w:rPr>
          <w:rFonts w:hint="eastAsia" w:ascii="宋体" w:hAnsi="宋体" w:cs="宋体"/>
          <w:color w:val="auto"/>
          <w:sz w:val="24"/>
        </w:rPr>
        <w:t>1.本合同服务总价款：￥</w:t>
      </w:r>
      <w:r>
        <w:rPr>
          <w:rFonts w:hint="eastAsia" w:ascii="宋体" w:hAnsi="宋体" w:cs="宋体"/>
          <w:color w:val="auto"/>
          <w:sz w:val="24"/>
          <w:u w:val="single"/>
        </w:rPr>
        <w:t xml:space="preserve">                   </w:t>
      </w:r>
      <w:r>
        <w:rPr>
          <w:rFonts w:hint="eastAsia" w:ascii="宋体" w:hAnsi="宋体" w:cs="宋体"/>
          <w:color w:val="auto"/>
          <w:sz w:val="24"/>
        </w:rPr>
        <w:t>元。</w:t>
      </w:r>
    </w:p>
    <w:p w14:paraId="3AEF052B">
      <w:pPr>
        <w:spacing w:line="360" w:lineRule="auto"/>
        <w:ind w:firstLine="480" w:firstLineChars="200"/>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元。</w:t>
      </w:r>
    </w:p>
    <w:p w14:paraId="33C1C17F">
      <w:pPr>
        <w:spacing w:line="360" w:lineRule="auto"/>
        <w:ind w:firstLine="480" w:firstLineChars="200"/>
        <w:rPr>
          <w:rFonts w:ascii="宋体" w:hAnsi="宋体" w:cs="宋体"/>
          <w:color w:val="auto"/>
          <w:sz w:val="24"/>
        </w:rPr>
      </w:pPr>
      <w:r>
        <w:rPr>
          <w:rFonts w:hint="eastAsia" w:ascii="宋体" w:hAnsi="宋体" w:cs="宋体"/>
          <w:color w:val="auto"/>
          <w:sz w:val="24"/>
        </w:rPr>
        <w:t>2.分项价款在《服务一览表》中有明确规定。</w:t>
      </w:r>
    </w:p>
    <w:p w14:paraId="6EEBD8BB">
      <w:pPr>
        <w:spacing w:line="360" w:lineRule="auto"/>
        <w:ind w:firstLine="480" w:firstLineChars="200"/>
        <w:rPr>
          <w:rFonts w:ascii="宋体" w:hAnsi="宋体" w:cs="宋体"/>
          <w:color w:val="auto"/>
          <w:sz w:val="24"/>
        </w:rPr>
      </w:pPr>
      <w:r>
        <w:rPr>
          <w:rFonts w:hint="eastAsia" w:ascii="宋体" w:hAnsi="宋体" w:cs="宋体"/>
          <w:color w:val="auto"/>
          <w:sz w:val="24"/>
        </w:rPr>
        <w:t>3.本合同总价款包括委托服务期限间必须的日常物料、易耗品、工具、调试费、培训费等相关费用。</w:t>
      </w:r>
    </w:p>
    <w:p w14:paraId="0FC82690">
      <w:pPr>
        <w:spacing w:line="360" w:lineRule="auto"/>
        <w:ind w:firstLine="480" w:firstLineChars="200"/>
        <w:rPr>
          <w:rFonts w:ascii="宋体" w:hAnsi="宋体" w:cs="宋体"/>
          <w:color w:val="auto"/>
          <w:sz w:val="24"/>
        </w:rPr>
      </w:pPr>
      <w:r>
        <w:rPr>
          <w:rFonts w:hint="eastAsia" w:ascii="宋体" w:hAnsi="宋体" w:cs="宋体"/>
          <w:color w:val="auto"/>
          <w:sz w:val="24"/>
        </w:rPr>
        <w:t>4.本合同执行期内因工作量变化而引起的服务费用的变动，在双方事先协商一致的前提下签订补充合同，但因此而增加的服务费用不得超过原中标金额的10%。</w:t>
      </w:r>
    </w:p>
    <w:p w14:paraId="2A2EA86E">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 xml:space="preserve">第四条  </w:t>
      </w:r>
      <w:r>
        <w:rPr>
          <w:rFonts w:hint="eastAsia" w:ascii="宋体" w:hAnsi="宋体" w:cs="宋体"/>
          <w:b/>
          <w:bCs/>
          <w:color w:val="auto"/>
          <w:kern w:val="0"/>
          <w:sz w:val="24"/>
        </w:rPr>
        <w:t>双方一般权利和义务</w:t>
      </w:r>
    </w:p>
    <w:p w14:paraId="38F21BAA">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1.甲方的义务</w:t>
      </w:r>
    </w:p>
    <w:p w14:paraId="72B1CF2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 xml:space="preserve"> 1.1 委托工作的具体范围和内容：</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95B9806">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1.2 甲方应按约定的时间和要求完成下列工作：</w:t>
      </w:r>
    </w:p>
    <w:p w14:paraId="117201E6">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（1）向乙方提供保证履行合同所需的全部资料的时间：</w:t>
      </w:r>
      <w:r>
        <w:rPr>
          <w:rFonts w:hint="eastAsia" w:ascii="宋体" w:hAnsi="宋体" w:cs="宋体"/>
          <w:color w:val="auto"/>
          <w:kern w:val="0"/>
          <w:sz w:val="24"/>
          <w:u w:val="single"/>
        </w:rPr>
        <w:t xml:space="preserve">合同签订后   个工作日内 </w:t>
      </w:r>
      <w:r>
        <w:rPr>
          <w:rFonts w:hint="eastAsia" w:ascii="宋体" w:hAnsi="宋体" w:cs="宋体"/>
          <w:color w:val="auto"/>
          <w:kern w:val="0"/>
          <w:sz w:val="24"/>
        </w:rPr>
        <w:t>。</w:t>
      </w:r>
    </w:p>
    <w:p w14:paraId="2EE1CB1D">
      <w:pPr>
        <w:spacing w:line="360" w:lineRule="auto"/>
        <w:ind w:firstLine="480" w:firstLineChars="200"/>
        <w:rPr>
          <w:rFonts w:ascii="宋体" w:hAnsi="宋体" w:cs="宋体"/>
          <w:color w:val="auto"/>
          <w:kern w:val="0"/>
          <w:sz w:val="24"/>
          <w:u w:val="single"/>
        </w:rPr>
      </w:pPr>
      <w:r>
        <w:rPr>
          <w:rFonts w:hint="eastAsia" w:ascii="宋体" w:hAnsi="宋体" w:cs="宋体"/>
          <w:color w:val="auto"/>
          <w:kern w:val="0"/>
          <w:sz w:val="24"/>
        </w:rPr>
        <w:t>（2）向乙方提供保证履行合同顺利完成的条件：</w:t>
      </w:r>
      <w:r>
        <w:rPr>
          <w:rFonts w:hint="eastAsia" w:ascii="宋体" w:hAnsi="宋体" w:cs="宋体"/>
          <w:color w:val="auto"/>
          <w:kern w:val="0"/>
          <w:sz w:val="24"/>
          <w:u w:val="single"/>
        </w:rPr>
        <w:t xml:space="preserve">                       。</w:t>
      </w:r>
    </w:p>
    <w:p w14:paraId="78EF4008">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（3）需要与第三方协调的工作：</w:t>
      </w:r>
      <w:r>
        <w:rPr>
          <w:rFonts w:hint="eastAsia" w:ascii="宋体" w:hAnsi="宋体" w:cs="宋体"/>
          <w:color w:val="auto"/>
          <w:kern w:val="0"/>
          <w:sz w:val="24"/>
          <w:u w:val="single"/>
        </w:rPr>
        <w:t xml:space="preserve">无 </w:t>
      </w:r>
      <w:r>
        <w:rPr>
          <w:rFonts w:hint="eastAsia" w:ascii="宋体" w:hAnsi="宋体" w:cs="宋体"/>
          <w:color w:val="auto"/>
          <w:kern w:val="0"/>
          <w:sz w:val="24"/>
        </w:rPr>
        <w:t>。</w:t>
      </w:r>
    </w:p>
    <w:p w14:paraId="04DAF94E">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1.3 甲方有义务保守履约合同过程中有关的商业秘密。</w:t>
      </w:r>
    </w:p>
    <w:p w14:paraId="393B6E4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2.乙方的义务</w:t>
      </w:r>
    </w:p>
    <w:p w14:paraId="7AEE76B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2.1 乙方应按约定的时间和要求完全下列工作：</w:t>
      </w:r>
    </w:p>
    <w:p w14:paraId="1C3FBD41">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（1）保证履行合同的内容和时间：</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4C7AA5A">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（2）为甲方提供的为保证履行合同的相关咨询服务：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12429623">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（3）应尽的其他义务：</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492EE149">
      <w:pPr>
        <w:spacing w:line="360" w:lineRule="auto"/>
        <w:ind w:firstLine="480" w:firstLineChars="200"/>
        <w:rPr>
          <w:rFonts w:ascii="宋体" w:hAnsi="宋体" w:cs="宋体"/>
          <w:color w:val="auto"/>
          <w:kern w:val="0"/>
          <w:sz w:val="24"/>
          <w:vertAlign w:val="subscript"/>
        </w:rPr>
      </w:pPr>
      <w:r>
        <w:rPr>
          <w:rFonts w:hint="eastAsia" w:ascii="宋体" w:hAnsi="宋体" w:cs="宋体"/>
          <w:color w:val="auto"/>
          <w:kern w:val="0"/>
          <w:sz w:val="24"/>
        </w:rPr>
        <w:t>2.2乙方有义务保守履约合同过程中有关的商业秘密。</w:t>
      </w:r>
    </w:p>
    <w:p w14:paraId="319159F1">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3. 甲方的权利</w:t>
      </w:r>
    </w:p>
    <w:p w14:paraId="7CF4DD5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3.1 按合同约定，接收项目成果；</w:t>
      </w:r>
    </w:p>
    <w:p w14:paraId="4B4254F5">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3.2 向乙方询问履行合同工作进展情况和相关内容或提出不违反法律、行政法规的建议；</w:t>
      </w:r>
    </w:p>
    <w:p w14:paraId="60E851E8">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3.3与乙方协商，建议更换其不称职的工作人员；</w:t>
      </w:r>
    </w:p>
    <w:p w14:paraId="4C06CC9D">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3.4本合同履行期间，由于乙方不履行合同约定的内容，给甲方造成损失或影响工作正常进行的，甲方有权终止本合同，并依法向乙方追索经济赔偿，直至追究法律责任；</w:t>
      </w:r>
    </w:p>
    <w:p w14:paraId="66BB999C">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3.5 甲方有权利对乙方在合同履行期间的行为进行监督。</w:t>
      </w:r>
    </w:p>
    <w:p w14:paraId="7574986D">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4. 乙方的权利</w:t>
      </w:r>
    </w:p>
    <w:p w14:paraId="7CCCA8D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4.1按合同约定收取报酬；</w:t>
      </w:r>
    </w:p>
    <w:p w14:paraId="16B26FA1">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4.2对履行合同中应由甲方做出的决定，乙方有权提出建议；</w:t>
      </w:r>
    </w:p>
    <w:p w14:paraId="077FCD8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4.3当甲方提供的资料不足或不明确时，有权要求甲方补足资料或作出明确的答复；</w:t>
      </w:r>
    </w:p>
    <w:p w14:paraId="43D4627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4.4拒绝甲方提出的违反法律、行政法规的要求，并向甲方作出解释。</w:t>
      </w:r>
    </w:p>
    <w:p w14:paraId="4CE795B9">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第五条  质量保证</w:t>
      </w:r>
    </w:p>
    <w:p w14:paraId="7C4B994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乙方保证服务不存在危及人身及财产安全的隐患，不存在违反国家法规、法令、法律以及行业规范所要求的有关安全条款，否则应承担全部法律责任。保证所提供的服务或其任何一部分均不会侵犯任何第三方的专利权、商标权或著作权。一旦出现侵权，索赔或诉讼，乙方应承担全部责任。</w:t>
      </w:r>
    </w:p>
    <w:p w14:paraId="618D226F">
      <w:pPr>
        <w:spacing w:line="360" w:lineRule="auto"/>
        <w:ind w:firstLine="482" w:firstLineChars="200"/>
        <w:rPr>
          <w:rFonts w:ascii="宋体" w:hAnsi="宋体" w:cs="宋体"/>
          <w:b/>
          <w:color w:val="auto"/>
          <w:sz w:val="24"/>
        </w:rPr>
      </w:pPr>
      <w:r>
        <w:rPr>
          <w:rFonts w:hint="eastAsia" w:ascii="宋体" w:hAnsi="宋体" w:cs="宋体"/>
          <w:b/>
          <w:color w:val="auto"/>
          <w:sz w:val="24"/>
        </w:rPr>
        <w:t>第六条  付款方式</w:t>
      </w:r>
    </w:p>
    <w:p w14:paraId="27DD2BF3">
      <w:pPr>
        <w:spacing w:line="360" w:lineRule="auto"/>
        <w:ind w:firstLine="480" w:firstLineChars="200"/>
        <w:rPr>
          <w:rFonts w:ascii="宋体" w:hAnsi="宋体" w:cs="宋体"/>
          <w:color w:val="auto"/>
          <w:sz w:val="24"/>
        </w:rPr>
      </w:pPr>
      <w:r>
        <w:rPr>
          <w:rFonts w:hint="eastAsia" w:ascii="宋体" w:hAnsi="宋体" w:cs="宋体"/>
          <w:color w:val="auto"/>
          <w:sz w:val="24"/>
        </w:rPr>
        <w:t>1.本合同项下所有款项均以人民币支付。</w:t>
      </w:r>
    </w:p>
    <w:p w14:paraId="01BEEF38">
      <w:pPr>
        <w:spacing w:line="360" w:lineRule="auto"/>
        <w:ind w:firstLine="480" w:firstLineChars="200"/>
        <w:rPr>
          <w:rFonts w:ascii="宋体" w:hAnsi="宋体" w:cs="宋体"/>
          <w:color w:val="auto"/>
          <w:sz w:val="24"/>
        </w:rPr>
      </w:pPr>
      <w:r>
        <w:rPr>
          <w:rFonts w:hint="eastAsia" w:ascii="宋体" w:hAnsi="宋体" w:cs="宋体"/>
          <w:color w:val="auto"/>
          <w:sz w:val="24"/>
        </w:rPr>
        <w:t>2.乙方向甲方提交下列文件材料，经甲方审核无误后支付采购价款：</w:t>
      </w:r>
    </w:p>
    <w:p w14:paraId="476017A4">
      <w:pPr>
        <w:spacing w:line="360" w:lineRule="auto"/>
        <w:ind w:firstLine="480" w:firstLineChars="200"/>
        <w:rPr>
          <w:rFonts w:ascii="宋体" w:hAnsi="宋体" w:cs="宋体"/>
          <w:color w:val="auto"/>
          <w:sz w:val="24"/>
        </w:rPr>
      </w:pPr>
      <w:r>
        <w:rPr>
          <w:rFonts w:hint="eastAsia" w:ascii="宋体" w:hAnsi="宋体" w:cs="宋体"/>
          <w:color w:val="auto"/>
          <w:sz w:val="24"/>
        </w:rPr>
        <w:t>（1）经甲方确认的发票；</w:t>
      </w:r>
    </w:p>
    <w:p w14:paraId="454EBF6D">
      <w:pPr>
        <w:spacing w:line="360" w:lineRule="auto"/>
        <w:ind w:firstLine="480" w:firstLineChars="200"/>
        <w:rPr>
          <w:rFonts w:ascii="宋体" w:hAnsi="宋体" w:cs="宋体"/>
          <w:color w:val="auto"/>
          <w:sz w:val="24"/>
        </w:rPr>
      </w:pPr>
      <w:r>
        <w:rPr>
          <w:rFonts w:hint="eastAsia" w:ascii="宋体" w:hAnsi="宋体" w:cs="宋体"/>
          <w:color w:val="auto"/>
          <w:sz w:val="24"/>
        </w:rPr>
        <w:t>（2）经甲乙双方确认签署的《验收报告》；</w:t>
      </w:r>
    </w:p>
    <w:p w14:paraId="3657D189">
      <w:pPr>
        <w:spacing w:line="360" w:lineRule="auto"/>
        <w:ind w:firstLine="480" w:firstLineChars="200"/>
        <w:rPr>
          <w:rFonts w:ascii="宋体" w:hAnsi="宋体" w:cs="宋体"/>
          <w:color w:val="auto"/>
          <w:sz w:val="24"/>
        </w:rPr>
      </w:pPr>
      <w:r>
        <w:rPr>
          <w:rFonts w:hint="eastAsia" w:ascii="宋体" w:hAnsi="宋体" w:cs="宋体"/>
          <w:color w:val="auto"/>
          <w:sz w:val="24"/>
        </w:rPr>
        <w:t>（3）其他材料。</w:t>
      </w:r>
    </w:p>
    <w:p w14:paraId="72D00021">
      <w:pPr>
        <w:spacing w:line="360" w:lineRule="auto"/>
        <w:ind w:firstLine="480" w:firstLineChars="200"/>
        <w:rPr>
          <w:rFonts w:ascii="宋体" w:hAnsi="宋体" w:cs="宋体"/>
          <w:color w:val="auto"/>
          <w:sz w:val="24"/>
        </w:rPr>
      </w:pPr>
      <w:r>
        <w:rPr>
          <w:rFonts w:hint="eastAsia" w:ascii="宋体" w:hAnsi="宋体" w:cs="宋体"/>
          <w:color w:val="auto"/>
          <w:sz w:val="24"/>
        </w:rPr>
        <w:t>3.款项的支付进度以招标采购文件的有关规定为准。如招标采购文件未作特别规定，则付款进度按如下约定履行：</w:t>
      </w:r>
    </w:p>
    <w:p w14:paraId="4B521867">
      <w:pPr>
        <w:spacing w:line="360" w:lineRule="auto"/>
        <w:ind w:firstLine="480" w:firstLineChars="200"/>
        <w:rPr>
          <w:rFonts w:ascii="宋体" w:hAnsi="宋体" w:cs="宋体"/>
          <w:color w:val="auto"/>
          <w:sz w:val="24"/>
        </w:rPr>
      </w:pPr>
      <w:r>
        <w:rPr>
          <w:rFonts w:hint="eastAsia" w:ascii="宋体" w:hAnsi="宋体" w:cs="宋体"/>
          <w:color w:val="auto"/>
          <w:sz w:val="24"/>
        </w:rPr>
        <w:t>签订合同后预付合同总额的50%，履行合同结束经验收合格后付清余款。</w:t>
      </w:r>
    </w:p>
    <w:p w14:paraId="41E3832B">
      <w:pPr>
        <w:spacing w:line="360" w:lineRule="auto"/>
        <w:ind w:firstLine="482" w:firstLineChars="200"/>
        <w:rPr>
          <w:rFonts w:ascii="宋体" w:hAnsi="宋体" w:cs="宋体"/>
          <w:b/>
          <w:color w:val="auto"/>
          <w:sz w:val="24"/>
        </w:rPr>
      </w:pPr>
      <w:r>
        <w:rPr>
          <w:rFonts w:hint="eastAsia" w:ascii="宋体" w:hAnsi="宋体" w:cs="宋体"/>
          <w:b/>
          <w:color w:val="auto"/>
          <w:sz w:val="24"/>
        </w:rPr>
        <w:t>第七条  履约保证金</w:t>
      </w:r>
    </w:p>
    <w:p w14:paraId="3790BDE2">
      <w:pPr>
        <w:spacing w:line="360" w:lineRule="auto"/>
        <w:ind w:firstLine="482" w:firstLineChars="200"/>
        <w:rPr>
          <w:rFonts w:ascii="宋体" w:hAnsi="宋体" w:cs="宋体"/>
          <w:b/>
          <w:color w:val="auto"/>
          <w:sz w:val="24"/>
        </w:rPr>
      </w:pPr>
      <w:r>
        <w:rPr>
          <w:rFonts w:hint="eastAsia" w:ascii="宋体" w:hAnsi="宋体" w:cs="宋体"/>
          <w:b/>
          <w:color w:val="auto"/>
          <w:sz w:val="24"/>
        </w:rPr>
        <w:t>第八条  验收</w:t>
      </w:r>
    </w:p>
    <w:p w14:paraId="5C29A1A1">
      <w:pPr>
        <w:spacing w:line="360" w:lineRule="auto"/>
        <w:ind w:firstLine="480" w:firstLineChars="200"/>
        <w:rPr>
          <w:rFonts w:ascii="宋体" w:hAnsi="宋体" w:cs="宋体"/>
          <w:color w:val="auto"/>
          <w:sz w:val="24"/>
        </w:rPr>
      </w:pPr>
      <w:r>
        <w:rPr>
          <w:rFonts w:hint="eastAsia" w:ascii="宋体" w:hAnsi="宋体" w:cs="宋体"/>
          <w:color w:val="auto"/>
          <w:sz w:val="24"/>
        </w:rPr>
        <w:t xml:space="preserve">1.委托服务期限： </w:t>
      </w:r>
      <w:r>
        <w:rPr>
          <w:rFonts w:hint="eastAsia" w:ascii="宋体" w:hAnsi="宋体" w:cs="宋体"/>
          <w:color w:val="auto"/>
          <w:sz w:val="24"/>
          <w:u w:val="single"/>
        </w:rPr>
        <w:t xml:space="preserve">                   </w:t>
      </w:r>
      <w:r>
        <w:rPr>
          <w:rFonts w:hint="eastAsia" w:ascii="宋体" w:hAnsi="宋体" w:cs="宋体"/>
          <w:color w:val="auto"/>
          <w:sz w:val="24"/>
        </w:rPr>
        <w:t xml:space="preserve"> 至 </w:t>
      </w:r>
      <w:r>
        <w:rPr>
          <w:rFonts w:hint="eastAsia" w:ascii="宋体" w:hAnsi="宋体" w:cs="宋体"/>
          <w:color w:val="auto"/>
          <w:sz w:val="24"/>
          <w:u w:val="single"/>
        </w:rPr>
        <w:t xml:space="preserve">                 </w:t>
      </w:r>
      <w:r>
        <w:rPr>
          <w:rFonts w:hint="eastAsia" w:ascii="宋体" w:hAnsi="宋体" w:cs="宋体"/>
          <w:color w:val="auto"/>
          <w:sz w:val="24"/>
        </w:rPr>
        <w:t>。</w:t>
      </w:r>
    </w:p>
    <w:p w14:paraId="1F91732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服务地点： </w:t>
      </w:r>
      <w:r>
        <w:rPr>
          <w:rFonts w:hint="eastAsia" w:ascii="宋体" w:hAnsi="宋体" w:cs="宋体"/>
          <w:color w:val="auto"/>
          <w:sz w:val="24"/>
          <w:u w:val="single"/>
        </w:rPr>
        <w:t xml:space="preserve">                                        </w:t>
      </w:r>
      <w:r>
        <w:rPr>
          <w:rFonts w:hint="eastAsia" w:ascii="宋体" w:hAnsi="宋体" w:cs="宋体"/>
          <w:color w:val="auto"/>
          <w:sz w:val="24"/>
        </w:rPr>
        <w:t>。</w:t>
      </w:r>
    </w:p>
    <w:p w14:paraId="25823FFD">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验收时间： </w:t>
      </w:r>
      <w:r>
        <w:rPr>
          <w:rFonts w:hint="eastAsia" w:ascii="宋体" w:hAnsi="宋体" w:cs="宋体"/>
          <w:color w:val="auto"/>
          <w:sz w:val="24"/>
          <w:u w:val="single"/>
        </w:rPr>
        <w:t xml:space="preserve">                                        </w:t>
      </w:r>
      <w:r>
        <w:rPr>
          <w:rFonts w:hint="eastAsia" w:ascii="宋体" w:hAnsi="宋体" w:cs="宋体"/>
          <w:color w:val="auto"/>
          <w:sz w:val="24"/>
        </w:rPr>
        <w:t>。</w:t>
      </w:r>
    </w:p>
    <w:p w14:paraId="790D2E4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验收地点： </w:t>
      </w:r>
      <w:r>
        <w:rPr>
          <w:rFonts w:hint="eastAsia" w:ascii="宋体" w:hAnsi="宋体" w:cs="宋体"/>
          <w:color w:val="auto"/>
          <w:sz w:val="24"/>
          <w:u w:val="single"/>
        </w:rPr>
        <w:t xml:space="preserve">                                        </w:t>
      </w:r>
      <w:r>
        <w:rPr>
          <w:rFonts w:hint="eastAsia" w:ascii="宋体" w:hAnsi="宋体" w:cs="宋体"/>
          <w:color w:val="auto"/>
          <w:sz w:val="24"/>
        </w:rPr>
        <w:t>。</w:t>
      </w:r>
    </w:p>
    <w:p w14:paraId="239167A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2. 乙方应对提供的服务成果作出全面自查和整理，并列出清单，作为甲方验收和使用的服务条件依据，清单应随提供的服务成果交给甲方。</w:t>
      </w:r>
    </w:p>
    <w:p w14:paraId="65A005E7">
      <w:pPr>
        <w:spacing w:line="360" w:lineRule="auto"/>
        <w:ind w:firstLine="480" w:firstLineChars="200"/>
        <w:rPr>
          <w:rFonts w:ascii="宋体" w:hAnsi="宋体" w:cs="宋体"/>
          <w:color w:val="auto"/>
          <w:sz w:val="24"/>
        </w:rPr>
      </w:pPr>
      <w:r>
        <w:rPr>
          <w:rFonts w:hint="eastAsia" w:ascii="宋体" w:hAnsi="宋体" w:cs="宋体"/>
          <w:color w:val="auto"/>
          <w:sz w:val="24"/>
        </w:rPr>
        <w:t>3.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5B880E39">
      <w:pPr>
        <w:spacing w:line="360" w:lineRule="auto"/>
        <w:ind w:firstLine="480" w:firstLineChars="200"/>
        <w:rPr>
          <w:rFonts w:ascii="宋体" w:hAnsi="宋体" w:cs="宋体"/>
          <w:color w:val="auto"/>
          <w:sz w:val="24"/>
        </w:rPr>
      </w:pPr>
      <w:r>
        <w:rPr>
          <w:rFonts w:hint="eastAsia" w:ascii="宋体" w:hAnsi="宋体" w:cs="宋体"/>
          <w:color w:val="auto"/>
          <w:sz w:val="24"/>
        </w:rPr>
        <w:t>4.甲方可以视项目规模或复杂情况聘请专业人员参与验收，大型或复杂项目，以及涉及专业招标范围的应当邀请国家认可的第三方质量检测机构参与验收。</w:t>
      </w:r>
    </w:p>
    <w:p w14:paraId="3040913D">
      <w:pPr>
        <w:spacing w:line="360" w:lineRule="auto"/>
        <w:ind w:firstLine="480" w:firstLineChars="200"/>
        <w:rPr>
          <w:rFonts w:ascii="宋体" w:hAnsi="宋体" w:cs="宋体"/>
          <w:color w:val="auto"/>
          <w:sz w:val="24"/>
        </w:rPr>
      </w:pPr>
      <w:r>
        <w:rPr>
          <w:rFonts w:hint="eastAsia" w:ascii="宋体" w:hAnsi="宋体" w:cs="宋体"/>
          <w:color w:val="auto"/>
          <w:sz w:val="24"/>
        </w:rPr>
        <w:t>5.如根据项目实施情况需要分阶段验收，则双方分阶段签署《验收报告》。</w:t>
      </w:r>
    </w:p>
    <w:p w14:paraId="771D3F0E">
      <w:pPr>
        <w:spacing w:line="360" w:lineRule="auto"/>
        <w:ind w:firstLine="480" w:firstLineChars="200"/>
        <w:rPr>
          <w:rFonts w:ascii="宋体" w:hAnsi="宋体" w:cs="宋体"/>
          <w:color w:val="auto"/>
          <w:sz w:val="24"/>
        </w:rPr>
      </w:pPr>
      <w:r>
        <w:rPr>
          <w:rFonts w:hint="eastAsia" w:ascii="宋体" w:hAnsi="宋体" w:cs="宋体"/>
          <w:color w:val="auto"/>
          <w:sz w:val="24"/>
        </w:rPr>
        <w:t>6.如果合同双方对《验收报告》有分歧，双方须于出现分歧后</w:t>
      </w:r>
      <w:r>
        <w:rPr>
          <w:rFonts w:hint="eastAsia" w:ascii="宋体" w:hAnsi="宋体" w:cs="宋体"/>
          <w:color w:val="auto"/>
          <w:sz w:val="24"/>
          <w:u w:val="single"/>
        </w:rPr>
        <w:t xml:space="preserve">    </w:t>
      </w:r>
      <w:r>
        <w:rPr>
          <w:rFonts w:hint="eastAsia" w:ascii="宋体" w:hAnsi="宋体" w:cs="宋体"/>
          <w:color w:val="auto"/>
          <w:sz w:val="24"/>
        </w:rPr>
        <w:t>天内给对方书面声明，以陈述己方的理由及要求，并附有关证据。分歧应通过协商解决。</w:t>
      </w:r>
    </w:p>
    <w:p w14:paraId="445A4882">
      <w:pPr>
        <w:spacing w:line="360" w:lineRule="auto"/>
        <w:ind w:firstLine="482" w:firstLineChars="200"/>
        <w:rPr>
          <w:rFonts w:ascii="宋体" w:hAnsi="宋体" w:cs="宋体"/>
          <w:b/>
          <w:color w:val="auto"/>
          <w:sz w:val="24"/>
        </w:rPr>
      </w:pPr>
      <w:r>
        <w:rPr>
          <w:rFonts w:hint="eastAsia" w:ascii="宋体" w:hAnsi="宋体" w:cs="宋体"/>
          <w:b/>
          <w:color w:val="auto"/>
          <w:sz w:val="24"/>
        </w:rPr>
        <w:t>第九条  项目管理服务</w:t>
      </w:r>
    </w:p>
    <w:p w14:paraId="172433A5">
      <w:pPr>
        <w:spacing w:line="360" w:lineRule="auto"/>
        <w:ind w:firstLine="480" w:firstLineChars="200"/>
        <w:rPr>
          <w:rFonts w:ascii="宋体" w:hAnsi="宋体" w:cs="宋体"/>
          <w:color w:val="auto"/>
          <w:sz w:val="24"/>
        </w:rPr>
      </w:pPr>
      <w:r>
        <w:rPr>
          <w:rFonts w:hint="eastAsia" w:ascii="宋体" w:hAnsi="宋体" w:cs="宋体"/>
          <w:color w:val="auto"/>
          <w:sz w:val="24"/>
        </w:rPr>
        <w:t>乙方要指定不少于一人全权全程负责本项目服务的落实，包括服务的咨询、执行和后续工作。</w:t>
      </w:r>
    </w:p>
    <w:p w14:paraId="6E15929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项目负责人姓名： </w:t>
      </w:r>
      <w:r>
        <w:rPr>
          <w:rFonts w:hint="eastAsia" w:ascii="宋体" w:hAnsi="宋体" w:cs="宋体"/>
          <w:color w:val="auto"/>
          <w:sz w:val="24"/>
          <w:u w:val="single" w:color="000000"/>
        </w:rPr>
        <w:t xml:space="preserve">              </w:t>
      </w:r>
      <w:r>
        <w:rPr>
          <w:rFonts w:hint="eastAsia" w:ascii="宋体" w:hAnsi="宋体" w:cs="宋体"/>
          <w:color w:val="auto"/>
          <w:sz w:val="24"/>
        </w:rPr>
        <w:t>； 联系电话：</w:t>
      </w:r>
      <w:r>
        <w:rPr>
          <w:rFonts w:hint="eastAsia" w:ascii="宋体" w:hAnsi="宋体" w:cs="宋体"/>
          <w:color w:val="auto"/>
          <w:sz w:val="24"/>
          <w:u w:val="single" w:color="000000"/>
        </w:rPr>
        <w:t xml:space="preserve">                      </w:t>
      </w:r>
      <w:r>
        <w:rPr>
          <w:rFonts w:hint="eastAsia" w:ascii="宋体" w:hAnsi="宋体" w:cs="宋体"/>
          <w:color w:val="auto"/>
          <w:sz w:val="24"/>
        </w:rPr>
        <w:t>。</w:t>
      </w:r>
    </w:p>
    <w:p w14:paraId="2B33DD59">
      <w:pPr>
        <w:spacing w:line="360" w:lineRule="auto"/>
        <w:ind w:firstLine="482" w:firstLineChars="200"/>
        <w:rPr>
          <w:rFonts w:ascii="宋体" w:hAnsi="宋体" w:cs="宋体"/>
          <w:b/>
          <w:color w:val="auto"/>
          <w:sz w:val="24"/>
        </w:rPr>
      </w:pPr>
      <w:r>
        <w:rPr>
          <w:rFonts w:hint="eastAsia" w:ascii="宋体" w:hAnsi="宋体" w:cs="宋体"/>
          <w:b/>
          <w:color w:val="auto"/>
          <w:sz w:val="24"/>
        </w:rPr>
        <w:t>第十条  售后服务</w:t>
      </w:r>
    </w:p>
    <w:p w14:paraId="33B7F2CC">
      <w:pPr>
        <w:spacing w:line="360" w:lineRule="auto"/>
        <w:ind w:firstLine="480" w:firstLineChars="200"/>
        <w:rPr>
          <w:rFonts w:ascii="宋体" w:hAnsi="宋体" w:cs="宋体"/>
          <w:color w:val="auto"/>
          <w:sz w:val="24"/>
        </w:rPr>
      </w:pPr>
      <w:r>
        <w:rPr>
          <w:rFonts w:hint="eastAsia" w:ascii="宋体" w:hAnsi="宋体" w:cs="宋体"/>
          <w:color w:val="auto"/>
          <w:sz w:val="24"/>
        </w:rPr>
        <w:t>1.乙方提供服务的质量保证期为自服务通过最终验收之日起</w:t>
      </w:r>
      <w:r>
        <w:rPr>
          <w:rFonts w:hint="eastAsia" w:ascii="宋体" w:hAnsi="宋体" w:cs="宋体"/>
          <w:color w:val="auto"/>
          <w:sz w:val="24"/>
          <w:u w:val="single"/>
        </w:rPr>
        <w:t xml:space="preserve">    </w:t>
      </w:r>
      <w:r>
        <w:rPr>
          <w:rFonts w:hint="eastAsia" w:ascii="宋体" w:hAnsi="宋体" w:cs="宋体"/>
          <w:color w:val="auto"/>
          <w:sz w:val="24"/>
        </w:rPr>
        <w:t>个月。若国家有明确规定的质量保证期高于此质量保证期的，执行国家规定。</w:t>
      </w:r>
    </w:p>
    <w:p w14:paraId="0A4D74A1">
      <w:pPr>
        <w:spacing w:line="360" w:lineRule="auto"/>
        <w:ind w:firstLine="480" w:firstLineChars="200"/>
        <w:rPr>
          <w:rFonts w:ascii="宋体" w:hAnsi="宋体" w:cs="宋体"/>
          <w:color w:val="auto"/>
          <w:sz w:val="24"/>
        </w:rPr>
      </w:pPr>
      <w:r>
        <w:rPr>
          <w:rFonts w:hint="eastAsia" w:ascii="宋体" w:hAnsi="宋体" w:cs="宋体"/>
          <w:color w:val="auto"/>
          <w:sz w:val="24"/>
        </w:rPr>
        <w:t>2.委托服务期限内，乙方应提供相关服务支持。对甲方所反映的任何服务问题在</w:t>
      </w:r>
      <w:r>
        <w:rPr>
          <w:rFonts w:hint="eastAsia" w:ascii="宋体" w:hAnsi="宋体" w:cs="宋体"/>
          <w:color w:val="auto"/>
          <w:sz w:val="24"/>
          <w:u w:val="single"/>
        </w:rPr>
        <w:t xml:space="preserve">   </w:t>
      </w:r>
      <w:r>
        <w:rPr>
          <w:rFonts w:hint="eastAsia" w:ascii="宋体" w:hAnsi="宋体" w:cs="宋体"/>
          <w:color w:val="auto"/>
          <w:sz w:val="24"/>
        </w:rPr>
        <w:t>日（小时）之内做出及时响应，在</w:t>
      </w:r>
      <w:r>
        <w:rPr>
          <w:rFonts w:hint="eastAsia" w:ascii="宋体" w:hAnsi="宋体" w:cs="宋体"/>
          <w:color w:val="auto"/>
          <w:sz w:val="24"/>
          <w:u w:val="single"/>
        </w:rPr>
        <w:t xml:space="preserve">    </w:t>
      </w:r>
      <w:r>
        <w:rPr>
          <w:rFonts w:hint="eastAsia" w:ascii="宋体" w:hAnsi="宋体" w:cs="宋体"/>
          <w:color w:val="auto"/>
          <w:sz w:val="24"/>
        </w:rPr>
        <w:t>日（小时）之内赶到现场实地解决问题。若问题在</w:t>
      </w:r>
      <w:r>
        <w:rPr>
          <w:rFonts w:hint="eastAsia" w:ascii="宋体" w:hAnsi="宋体" w:cs="宋体"/>
          <w:color w:val="auto"/>
          <w:sz w:val="24"/>
          <w:u w:val="single"/>
        </w:rPr>
        <w:t xml:space="preserve">    </w:t>
      </w:r>
      <w:r>
        <w:rPr>
          <w:rFonts w:hint="eastAsia" w:ascii="宋体" w:hAnsi="宋体" w:cs="宋体"/>
          <w:color w:val="auto"/>
          <w:sz w:val="24"/>
        </w:rPr>
        <w:t>工作日（小时）后仍无法解决，乙方应在</w:t>
      </w:r>
      <w:r>
        <w:rPr>
          <w:rFonts w:hint="eastAsia" w:ascii="宋体" w:hAnsi="宋体" w:cs="宋体"/>
          <w:color w:val="auto"/>
          <w:sz w:val="24"/>
          <w:u w:val="single"/>
        </w:rPr>
        <w:t xml:space="preserve">     </w:t>
      </w:r>
      <w:r>
        <w:rPr>
          <w:rFonts w:hint="eastAsia" w:ascii="宋体" w:hAnsi="宋体" w:cs="宋体"/>
          <w:color w:val="auto"/>
          <w:sz w:val="24"/>
        </w:rPr>
        <w:t>日（小时）内免费提供服务的补偿、替换方案，直至服务恢复正常。</w:t>
      </w:r>
    </w:p>
    <w:p w14:paraId="0C6B8107">
      <w:pPr>
        <w:spacing w:line="360" w:lineRule="auto"/>
        <w:ind w:firstLine="480" w:firstLineChars="200"/>
        <w:rPr>
          <w:rFonts w:ascii="宋体" w:hAnsi="宋体" w:cs="宋体"/>
          <w:color w:val="auto"/>
          <w:sz w:val="24"/>
        </w:rPr>
      </w:pPr>
      <w:r>
        <w:rPr>
          <w:rFonts w:hint="eastAsia" w:ascii="宋体" w:hAnsi="宋体" w:cs="宋体"/>
          <w:color w:val="auto"/>
          <w:sz w:val="24"/>
        </w:rPr>
        <w:t>3.乙方必须遵守甲方的有关管理制度、操作规程。对于乙方违规操作造成甲方损失的，由乙方按照本合同第十二条的约定承担赔偿责任。</w:t>
      </w:r>
    </w:p>
    <w:p w14:paraId="59FD4862">
      <w:pPr>
        <w:spacing w:line="360" w:lineRule="auto"/>
        <w:ind w:firstLine="482" w:firstLineChars="200"/>
        <w:rPr>
          <w:rFonts w:ascii="宋体" w:hAnsi="宋体" w:cs="宋体"/>
          <w:b/>
          <w:color w:val="auto"/>
          <w:sz w:val="24"/>
        </w:rPr>
      </w:pPr>
      <w:r>
        <w:rPr>
          <w:rFonts w:hint="eastAsia" w:ascii="宋体" w:hAnsi="宋体" w:cs="宋体"/>
          <w:b/>
          <w:color w:val="auto"/>
          <w:sz w:val="24"/>
        </w:rPr>
        <w:t>第十一条  分包和转包</w:t>
      </w:r>
    </w:p>
    <w:p w14:paraId="0330A0C0">
      <w:pPr>
        <w:spacing w:line="360" w:lineRule="auto"/>
        <w:ind w:firstLine="480" w:firstLineChars="200"/>
        <w:rPr>
          <w:rFonts w:ascii="宋体" w:hAnsi="宋体" w:cs="宋体"/>
          <w:strike/>
          <w:color w:val="auto"/>
          <w:sz w:val="24"/>
        </w:rPr>
      </w:pPr>
      <w:r>
        <w:rPr>
          <w:rFonts w:hint="eastAsia" w:ascii="宋体" w:hAnsi="宋体" w:cs="宋体"/>
          <w:color w:val="auto"/>
          <w:sz w:val="24"/>
        </w:rPr>
        <w:t>除招标采购文件事先说明、且经甲方事先书面同意外，乙方不得分包、转包其应履行的合同义务。</w:t>
      </w:r>
    </w:p>
    <w:p w14:paraId="6EB1A22E">
      <w:pPr>
        <w:spacing w:line="360" w:lineRule="auto"/>
        <w:ind w:firstLine="482" w:firstLineChars="200"/>
        <w:rPr>
          <w:rFonts w:ascii="宋体" w:hAnsi="宋体" w:cs="宋体"/>
          <w:b/>
          <w:color w:val="auto"/>
          <w:sz w:val="24"/>
        </w:rPr>
      </w:pPr>
      <w:r>
        <w:rPr>
          <w:rFonts w:hint="eastAsia" w:ascii="宋体" w:hAnsi="宋体" w:cs="宋体"/>
          <w:b/>
          <w:color w:val="auto"/>
          <w:sz w:val="24"/>
        </w:rPr>
        <w:t>第十二条  合同的生效</w:t>
      </w:r>
    </w:p>
    <w:p w14:paraId="5836D74D">
      <w:pPr>
        <w:spacing w:line="360" w:lineRule="auto"/>
        <w:ind w:firstLine="480" w:firstLineChars="200"/>
        <w:rPr>
          <w:rFonts w:ascii="宋体" w:hAnsi="宋体" w:cs="宋体"/>
          <w:color w:val="auto"/>
          <w:sz w:val="24"/>
        </w:rPr>
      </w:pPr>
      <w:r>
        <w:rPr>
          <w:rFonts w:hint="eastAsia" w:ascii="宋体" w:hAnsi="宋体" w:cs="宋体"/>
          <w:color w:val="auto"/>
          <w:sz w:val="24"/>
        </w:rPr>
        <w:t>1.本合同经甲乙双方或授权代表签字并加盖公章或合同专用章后生效。</w:t>
      </w:r>
    </w:p>
    <w:p w14:paraId="427B96B8">
      <w:pPr>
        <w:spacing w:line="360" w:lineRule="auto"/>
        <w:ind w:firstLine="480" w:firstLineChars="200"/>
        <w:rPr>
          <w:rFonts w:ascii="宋体" w:hAnsi="宋体" w:cs="宋体"/>
          <w:color w:val="auto"/>
          <w:sz w:val="24"/>
        </w:rPr>
      </w:pPr>
      <w:r>
        <w:rPr>
          <w:rFonts w:hint="eastAsia" w:ascii="宋体" w:hAnsi="宋体" w:cs="宋体"/>
          <w:color w:val="auto"/>
          <w:sz w:val="24"/>
        </w:rPr>
        <w:t>2.生效后，除《中华人民共和国政府采购法》第49条、第50条第二款规定的情形外，甲乙双方不得擅自变更、中止或终止合同。</w:t>
      </w:r>
    </w:p>
    <w:p w14:paraId="770ABF0C">
      <w:pPr>
        <w:spacing w:line="360" w:lineRule="auto"/>
        <w:ind w:firstLine="482" w:firstLineChars="200"/>
        <w:rPr>
          <w:rFonts w:ascii="宋体" w:hAnsi="宋体" w:cs="宋体"/>
          <w:b/>
          <w:color w:val="auto"/>
          <w:sz w:val="24"/>
        </w:rPr>
      </w:pPr>
      <w:r>
        <w:rPr>
          <w:rFonts w:hint="eastAsia" w:ascii="宋体" w:hAnsi="宋体" w:cs="宋体"/>
          <w:b/>
          <w:color w:val="auto"/>
          <w:sz w:val="24"/>
        </w:rPr>
        <w:t>第十三条  违约责任</w:t>
      </w:r>
    </w:p>
    <w:p w14:paraId="1D4EB937">
      <w:pPr>
        <w:spacing w:line="360" w:lineRule="auto"/>
        <w:ind w:firstLine="480" w:firstLineChars="200"/>
        <w:rPr>
          <w:rFonts w:ascii="宋体" w:hAnsi="宋体" w:cs="宋体"/>
          <w:color w:val="auto"/>
          <w:sz w:val="24"/>
        </w:rPr>
      </w:pPr>
      <w:r>
        <w:rPr>
          <w:rFonts w:hint="eastAsia" w:ascii="宋体" w:hAnsi="宋体" w:cs="宋体"/>
          <w:color w:val="auto"/>
          <w:sz w:val="24"/>
        </w:rPr>
        <w:t>1.乙方所交付服务成果不符合本合同规定的，甲方有权拒收，乙方在得到甲方通知之日起</w:t>
      </w:r>
      <w:r>
        <w:rPr>
          <w:rFonts w:hint="eastAsia" w:ascii="宋体" w:hAnsi="宋体" w:cs="宋体"/>
          <w:color w:val="auto"/>
          <w:sz w:val="24"/>
          <w:u w:val="single"/>
        </w:rPr>
        <w:t xml:space="preserve">     </w:t>
      </w:r>
      <w:r>
        <w:rPr>
          <w:rFonts w:hint="eastAsia" w:ascii="宋体" w:hAnsi="宋体" w:cs="宋体"/>
          <w:color w:val="auto"/>
          <w:sz w:val="24"/>
        </w:rPr>
        <w:t>个工作日内采取补救措施，逾期仍未采取有效措施的，甲方有权要求乙方赔偿因此造成的损失或扣留履约保证金；同时乙方应向甲方支付合同总价</w:t>
      </w:r>
      <w:r>
        <w:rPr>
          <w:rFonts w:hint="eastAsia" w:ascii="宋体" w:hAnsi="宋体" w:cs="宋体"/>
          <w:color w:val="auto"/>
          <w:sz w:val="24"/>
          <w:u w:val="single"/>
        </w:rPr>
        <w:t xml:space="preserve">      </w:t>
      </w:r>
      <w:r>
        <w:rPr>
          <w:rFonts w:hint="eastAsia" w:ascii="宋体" w:hAnsi="宋体" w:cs="宋体"/>
          <w:color w:val="auto"/>
          <w:sz w:val="24"/>
        </w:rPr>
        <w:t>％的违约金。</w:t>
      </w:r>
    </w:p>
    <w:p w14:paraId="08ED8EB8">
      <w:pPr>
        <w:spacing w:line="360" w:lineRule="auto"/>
        <w:ind w:firstLine="480" w:firstLineChars="200"/>
        <w:rPr>
          <w:rFonts w:ascii="宋体" w:hAnsi="宋体" w:cs="宋体"/>
          <w:color w:val="auto"/>
          <w:sz w:val="24"/>
        </w:rPr>
      </w:pPr>
      <w:r>
        <w:rPr>
          <w:rFonts w:hint="eastAsia" w:ascii="宋体" w:hAnsi="宋体" w:cs="宋体"/>
          <w:color w:val="auto"/>
          <w:sz w:val="24"/>
        </w:rPr>
        <w:t xml:space="preserve">2.甲方无正当理由拒收服务，甲方应向乙方偿付拒付服务费用 </w:t>
      </w:r>
      <w:r>
        <w:rPr>
          <w:rFonts w:hint="eastAsia" w:ascii="宋体" w:hAnsi="宋体" w:cs="宋体"/>
          <w:color w:val="auto"/>
          <w:sz w:val="24"/>
          <w:u w:val="single"/>
        </w:rPr>
        <w:t xml:space="preserve">    </w:t>
      </w:r>
      <w:r>
        <w:rPr>
          <w:rFonts w:hint="eastAsia" w:ascii="宋体" w:hAnsi="宋体" w:cs="宋体"/>
          <w:color w:val="auto"/>
          <w:sz w:val="24"/>
        </w:rPr>
        <w:t>％的违约金。</w:t>
      </w:r>
    </w:p>
    <w:p w14:paraId="3351E9F0">
      <w:pPr>
        <w:spacing w:line="360" w:lineRule="auto"/>
        <w:ind w:firstLine="480" w:firstLineChars="200"/>
        <w:rPr>
          <w:rFonts w:ascii="宋体" w:hAnsi="宋体" w:cs="宋体"/>
          <w:color w:val="auto"/>
          <w:sz w:val="24"/>
        </w:rPr>
      </w:pPr>
      <w:r>
        <w:rPr>
          <w:rFonts w:hint="eastAsia" w:ascii="宋体" w:hAnsi="宋体" w:cs="宋体"/>
          <w:color w:val="auto"/>
          <w:sz w:val="24"/>
        </w:rPr>
        <w:t>3.乙方无正当理由逾期交付服务的，每逾期1天，乙方向甲方偿付合同总额的</w:t>
      </w:r>
      <w:r>
        <w:rPr>
          <w:rFonts w:hint="eastAsia" w:ascii="宋体" w:hAnsi="宋体" w:cs="宋体"/>
          <w:color w:val="auto"/>
          <w:sz w:val="24"/>
          <w:u w:val="single"/>
        </w:rPr>
        <w:t xml:space="preserve">    </w:t>
      </w:r>
      <w:r>
        <w:rPr>
          <w:rFonts w:hint="eastAsia" w:ascii="宋体" w:hAnsi="宋体" w:cs="宋体"/>
          <w:color w:val="auto"/>
          <w:sz w:val="24"/>
        </w:rPr>
        <w:t>‰的违约金。如乙方逾期达</w:t>
      </w:r>
      <w:r>
        <w:rPr>
          <w:rFonts w:hint="eastAsia" w:ascii="宋体" w:hAnsi="宋体" w:cs="宋体"/>
          <w:color w:val="auto"/>
          <w:sz w:val="24"/>
          <w:u w:val="single"/>
        </w:rPr>
        <w:t xml:space="preserve">    </w:t>
      </w:r>
      <w:r>
        <w:rPr>
          <w:rFonts w:hint="eastAsia" w:ascii="宋体" w:hAnsi="宋体" w:cs="宋体"/>
          <w:color w:val="auto"/>
          <w:sz w:val="24"/>
        </w:rPr>
        <w:t>天，甲方有权解除合同，甲方解除合同的通知自到达乙方时生效。在此情况下，乙方给甲方造成的实际损失高于违约金的，对高出违约金的部分乙方应予以赔偿。</w:t>
      </w:r>
    </w:p>
    <w:p w14:paraId="0284BBAF">
      <w:pPr>
        <w:spacing w:line="360" w:lineRule="auto"/>
        <w:ind w:firstLine="480" w:firstLineChars="200"/>
        <w:rPr>
          <w:rFonts w:ascii="宋体" w:hAnsi="宋体" w:cs="宋体"/>
          <w:color w:val="auto"/>
          <w:sz w:val="24"/>
        </w:rPr>
      </w:pPr>
      <w:r>
        <w:rPr>
          <w:rFonts w:hint="eastAsia" w:ascii="宋体" w:hAnsi="宋体" w:cs="宋体"/>
          <w:color w:val="auto"/>
          <w:sz w:val="24"/>
        </w:rPr>
        <w:t>4.甲方未按合同规定的期限向乙方支付合同款的，每逾期1天甲方向乙方偿付欠款总额的</w:t>
      </w:r>
      <w:r>
        <w:rPr>
          <w:rFonts w:hint="eastAsia" w:ascii="宋体" w:hAnsi="宋体" w:cs="宋体"/>
          <w:color w:val="auto"/>
          <w:sz w:val="24"/>
          <w:u w:val="single"/>
        </w:rPr>
        <w:t xml:space="preserve">    </w:t>
      </w:r>
      <w:r>
        <w:rPr>
          <w:rFonts w:hint="eastAsia" w:ascii="宋体" w:hAnsi="宋体" w:cs="宋体"/>
          <w:color w:val="auto"/>
          <w:sz w:val="24"/>
        </w:rPr>
        <w:t>‰违约金，但累计违约金总额不超过欠款总额的</w:t>
      </w:r>
      <w:r>
        <w:rPr>
          <w:rFonts w:hint="eastAsia" w:ascii="宋体" w:hAnsi="宋体" w:cs="宋体"/>
          <w:color w:val="auto"/>
          <w:sz w:val="24"/>
          <w:u w:val="single"/>
        </w:rPr>
        <w:t xml:space="preserve">    </w:t>
      </w:r>
      <w:r>
        <w:rPr>
          <w:rFonts w:hint="eastAsia" w:ascii="宋体" w:hAnsi="宋体" w:cs="宋体"/>
          <w:color w:val="auto"/>
          <w:sz w:val="24"/>
        </w:rPr>
        <w:t>％。</w:t>
      </w:r>
    </w:p>
    <w:p w14:paraId="62CDFC5C">
      <w:pPr>
        <w:spacing w:line="360" w:lineRule="auto"/>
        <w:ind w:firstLine="480" w:firstLineChars="200"/>
        <w:rPr>
          <w:rFonts w:ascii="宋体" w:hAnsi="宋体" w:cs="宋体"/>
          <w:color w:val="auto"/>
          <w:sz w:val="24"/>
        </w:rPr>
      </w:pPr>
      <w:r>
        <w:rPr>
          <w:rFonts w:hint="eastAsia" w:ascii="宋体" w:hAnsi="宋体" w:cs="宋体"/>
          <w:color w:val="auto"/>
          <w:sz w:val="24"/>
        </w:rPr>
        <w:t>5.因乙方原因导致违约、本合同无法履行等情形造成甲方损失的，乙方除承担违约责任外还应支付甲方一切相关费用，包括但不限于诉讼费、保全费、鉴定费、律师费、交通费。</w:t>
      </w:r>
    </w:p>
    <w:p w14:paraId="38691792">
      <w:pPr>
        <w:spacing w:line="360" w:lineRule="auto"/>
        <w:ind w:firstLine="480" w:firstLineChars="200"/>
        <w:rPr>
          <w:rFonts w:ascii="宋体" w:hAnsi="宋体" w:cs="宋体"/>
          <w:color w:val="auto"/>
          <w:sz w:val="24"/>
        </w:rPr>
      </w:pPr>
      <w:r>
        <w:rPr>
          <w:rFonts w:hint="eastAsia" w:ascii="宋体" w:hAnsi="宋体" w:cs="宋体"/>
          <w:color w:val="auto"/>
          <w:sz w:val="24"/>
        </w:rPr>
        <w:t>6.其它未尽事宜，以《合同法》和《中华人民共和国政府采购法》等有关法律法规规定为准，无相关规定的，双方协商解决。</w:t>
      </w:r>
    </w:p>
    <w:p w14:paraId="5D0CDDA7">
      <w:pPr>
        <w:spacing w:line="360" w:lineRule="auto"/>
        <w:ind w:firstLine="482" w:firstLineChars="200"/>
        <w:rPr>
          <w:rFonts w:ascii="宋体" w:hAnsi="宋体" w:cs="宋体"/>
          <w:b/>
          <w:color w:val="auto"/>
          <w:sz w:val="24"/>
        </w:rPr>
      </w:pPr>
      <w:r>
        <w:rPr>
          <w:rFonts w:hint="eastAsia" w:ascii="宋体" w:hAnsi="宋体" w:cs="宋体"/>
          <w:b/>
          <w:color w:val="auto"/>
          <w:sz w:val="24"/>
        </w:rPr>
        <w:t>第十四条  不可抗力</w:t>
      </w:r>
    </w:p>
    <w:p w14:paraId="1AB94634">
      <w:pPr>
        <w:spacing w:line="360" w:lineRule="auto"/>
        <w:ind w:firstLine="480" w:firstLineChars="200"/>
        <w:rPr>
          <w:rFonts w:ascii="宋体" w:hAnsi="宋体" w:cs="宋体"/>
          <w:color w:val="auto"/>
          <w:sz w:val="24"/>
        </w:rPr>
      </w:pPr>
      <w:r>
        <w:rPr>
          <w:rFonts w:hint="eastAsia" w:ascii="宋体" w:hAnsi="宋体" w:cs="宋体"/>
          <w:color w:val="auto"/>
          <w:sz w:val="24"/>
        </w:rPr>
        <w:t>甲、乙方中任何一方，因不可抗力不能按时或完全履行合同的，应及时通知对方，并在</w:t>
      </w:r>
      <w:r>
        <w:rPr>
          <w:rFonts w:hint="eastAsia" w:ascii="宋体" w:hAnsi="宋体" w:cs="宋体"/>
          <w:color w:val="auto"/>
          <w:sz w:val="24"/>
          <w:u w:val="single"/>
        </w:rPr>
        <w:t xml:space="preserve">    </w:t>
      </w:r>
      <w:r>
        <w:rPr>
          <w:rFonts w:hint="eastAsia" w:ascii="宋体" w:hAnsi="宋体" w:cs="宋体"/>
          <w:color w:val="auto"/>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06CF83DC">
      <w:pPr>
        <w:spacing w:line="360" w:lineRule="auto"/>
        <w:ind w:firstLine="482" w:firstLineChars="200"/>
        <w:rPr>
          <w:rFonts w:ascii="宋体" w:hAnsi="宋体" w:cs="宋体"/>
          <w:b/>
          <w:color w:val="auto"/>
          <w:sz w:val="24"/>
        </w:rPr>
      </w:pPr>
      <w:r>
        <w:rPr>
          <w:rFonts w:hint="eastAsia" w:ascii="宋体" w:hAnsi="宋体" w:cs="宋体"/>
          <w:b/>
          <w:color w:val="auto"/>
          <w:sz w:val="24"/>
        </w:rPr>
        <w:t>第十五条  争议的解决方式</w:t>
      </w:r>
    </w:p>
    <w:p w14:paraId="5225B488">
      <w:pPr>
        <w:spacing w:line="360" w:lineRule="auto"/>
        <w:ind w:firstLine="480" w:firstLineChars="200"/>
        <w:rPr>
          <w:rFonts w:ascii="宋体" w:hAnsi="宋体" w:cs="宋体"/>
          <w:color w:val="auto"/>
          <w:sz w:val="24"/>
        </w:rPr>
      </w:pPr>
      <w:r>
        <w:rPr>
          <w:rFonts w:hint="eastAsia" w:ascii="宋体" w:hAnsi="宋体" w:cs="宋体"/>
          <w:color w:val="auto"/>
          <w:sz w:val="24"/>
        </w:rPr>
        <w:t>1.因服务质量问题发生争议的，应当邀请国家认可的质量检测机构对服务进行鉴定。服务符合标准的，鉴定费由甲方承担；不符合质量标准的，鉴定费由乙方承担。</w:t>
      </w:r>
    </w:p>
    <w:p w14:paraId="2523B39A">
      <w:pPr>
        <w:spacing w:line="360" w:lineRule="auto"/>
        <w:ind w:firstLine="480" w:firstLineChars="200"/>
        <w:rPr>
          <w:rFonts w:ascii="宋体" w:hAnsi="宋体" w:cs="宋体"/>
          <w:color w:val="auto"/>
          <w:sz w:val="24"/>
        </w:rPr>
      </w:pPr>
      <w:r>
        <w:rPr>
          <w:rFonts w:hint="eastAsia" w:ascii="宋体" w:hAnsi="宋体" w:cs="宋体"/>
          <w:color w:val="auto"/>
          <w:sz w:val="24"/>
        </w:rPr>
        <w:t>2.在解释或者执行本合同的过程中发生争议时，双方应通过协商方式解决。</w:t>
      </w:r>
    </w:p>
    <w:p w14:paraId="588BF5A7">
      <w:pPr>
        <w:spacing w:line="360" w:lineRule="auto"/>
        <w:ind w:firstLine="480" w:firstLineChars="200"/>
        <w:rPr>
          <w:rFonts w:ascii="宋体" w:hAnsi="宋体" w:cs="宋体"/>
          <w:color w:val="auto"/>
          <w:sz w:val="24"/>
        </w:rPr>
      </w:pPr>
      <w:r>
        <w:rPr>
          <w:rFonts w:hint="eastAsia" w:ascii="宋体" w:hAnsi="宋体" w:cs="宋体"/>
          <w:color w:val="auto"/>
          <w:sz w:val="24"/>
        </w:rPr>
        <w:t>3.经协商不能解决的争议，双方可选择以下第</w:t>
      </w:r>
      <w:r>
        <w:rPr>
          <w:rFonts w:hint="eastAsia" w:ascii="宋体" w:hAnsi="宋体" w:cs="宋体"/>
          <w:color w:val="auto"/>
          <w:sz w:val="24"/>
          <w:u w:val="single"/>
        </w:rPr>
        <w:t xml:space="preserve">   </w:t>
      </w:r>
      <w:r>
        <w:rPr>
          <w:rFonts w:hint="eastAsia" w:ascii="宋体" w:hAnsi="宋体" w:cs="宋体"/>
          <w:color w:val="auto"/>
          <w:sz w:val="24"/>
        </w:rPr>
        <w:t>种方式解决：</w:t>
      </w:r>
    </w:p>
    <w:p w14:paraId="68F108A1">
      <w:pPr>
        <w:spacing w:line="360" w:lineRule="auto"/>
        <w:ind w:firstLine="480" w:firstLineChars="200"/>
        <w:rPr>
          <w:rFonts w:ascii="宋体" w:hAnsi="宋体" w:cs="宋体"/>
          <w:color w:val="auto"/>
          <w:sz w:val="24"/>
        </w:rPr>
      </w:pPr>
      <w:r>
        <w:rPr>
          <w:rFonts w:hint="eastAsia" w:ascii="宋体" w:hAnsi="宋体" w:cs="宋体"/>
          <w:color w:val="auto"/>
          <w:sz w:val="24"/>
        </w:rPr>
        <w:t>①向</w:t>
      </w:r>
      <w:r>
        <w:rPr>
          <w:rFonts w:hint="eastAsia" w:ascii="宋体" w:hAnsi="宋体" w:cs="宋体"/>
          <w:color w:val="auto"/>
          <w:sz w:val="24"/>
          <w:u w:val="single"/>
        </w:rPr>
        <w:t xml:space="preserve"> 甲方住所地 </w:t>
      </w:r>
      <w:r>
        <w:rPr>
          <w:rFonts w:hint="eastAsia" w:ascii="宋体" w:hAnsi="宋体" w:cs="宋体"/>
          <w:color w:val="auto"/>
          <w:sz w:val="24"/>
        </w:rPr>
        <w:t>有管辖权的法院提起诉讼；</w:t>
      </w:r>
    </w:p>
    <w:p w14:paraId="22CD89B1">
      <w:pPr>
        <w:spacing w:line="360" w:lineRule="auto"/>
        <w:ind w:firstLine="480" w:firstLineChars="200"/>
        <w:rPr>
          <w:rFonts w:ascii="宋体" w:hAnsi="宋体" w:cs="宋体"/>
          <w:color w:val="auto"/>
          <w:sz w:val="24"/>
        </w:rPr>
      </w:pPr>
      <w:r>
        <w:rPr>
          <w:rFonts w:hint="eastAsia" w:ascii="宋体" w:hAnsi="宋体" w:cs="宋体"/>
          <w:color w:val="auto"/>
          <w:sz w:val="24"/>
        </w:rPr>
        <w:t>②向</w:t>
      </w:r>
      <w:r>
        <w:rPr>
          <w:rFonts w:hint="eastAsia" w:ascii="宋体" w:hAnsi="宋体" w:cs="宋体"/>
          <w:color w:val="auto"/>
          <w:sz w:val="24"/>
          <w:u w:val="single"/>
        </w:rPr>
        <w:t xml:space="preserve">        </w:t>
      </w:r>
      <w:r>
        <w:rPr>
          <w:rFonts w:hint="eastAsia" w:ascii="宋体" w:hAnsi="宋体" w:cs="宋体"/>
          <w:color w:val="auto"/>
          <w:sz w:val="24"/>
        </w:rPr>
        <w:t>仲裁委员会提出仲裁。</w:t>
      </w:r>
    </w:p>
    <w:p w14:paraId="0599508A">
      <w:pPr>
        <w:spacing w:line="360" w:lineRule="auto"/>
        <w:ind w:firstLine="480" w:firstLineChars="200"/>
        <w:rPr>
          <w:rFonts w:ascii="宋体" w:hAnsi="宋体" w:cs="宋体"/>
          <w:color w:val="auto"/>
          <w:sz w:val="24"/>
        </w:rPr>
      </w:pPr>
      <w:r>
        <w:rPr>
          <w:rFonts w:hint="eastAsia" w:ascii="宋体" w:hAnsi="宋体" w:cs="宋体"/>
          <w:color w:val="auto"/>
          <w:sz w:val="24"/>
        </w:rPr>
        <w:t>4.在法院审理和仲裁期间，除有争议部分外，本合同其他部分可以履行的仍应按合同条款继续履行。</w:t>
      </w:r>
    </w:p>
    <w:p w14:paraId="6103EF76">
      <w:pPr>
        <w:spacing w:line="360" w:lineRule="auto"/>
        <w:ind w:firstLine="482" w:firstLineChars="200"/>
        <w:rPr>
          <w:rFonts w:ascii="宋体" w:hAnsi="宋体" w:cs="宋体"/>
          <w:b/>
          <w:color w:val="auto"/>
          <w:sz w:val="24"/>
        </w:rPr>
      </w:pPr>
      <w:r>
        <w:rPr>
          <w:rFonts w:hint="eastAsia" w:ascii="宋体" w:hAnsi="宋体" w:cs="宋体"/>
          <w:b/>
          <w:color w:val="auto"/>
          <w:sz w:val="24"/>
        </w:rPr>
        <w:t>第十六条  其他</w:t>
      </w:r>
    </w:p>
    <w:p w14:paraId="3E4D5B8F">
      <w:pPr>
        <w:spacing w:line="360" w:lineRule="auto"/>
        <w:ind w:firstLine="480" w:firstLineChars="200"/>
        <w:rPr>
          <w:rFonts w:ascii="宋体" w:hAnsi="宋体" w:cs="宋体"/>
          <w:color w:val="auto"/>
          <w:sz w:val="24"/>
        </w:rPr>
      </w:pPr>
      <w:r>
        <w:rPr>
          <w:rFonts w:hint="eastAsia" w:ascii="宋体" w:hAnsi="宋体" w:cs="宋体"/>
          <w:color w:val="auto"/>
          <w:sz w:val="24"/>
        </w:rPr>
        <w:t>符合《中华人民共和国政府采购法》第49条规定的，经双方协商，办理政府采购手续后，可签订补充合同，所签订的补充合同与本合同具有同等法律效力。</w:t>
      </w:r>
    </w:p>
    <w:p w14:paraId="3433EEC5">
      <w:pPr>
        <w:spacing w:line="360" w:lineRule="auto"/>
        <w:ind w:firstLine="480" w:firstLineChars="200"/>
        <w:rPr>
          <w:rFonts w:ascii="宋体" w:hAnsi="宋体" w:cs="宋体"/>
          <w:color w:val="auto"/>
          <w:sz w:val="24"/>
        </w:rPr>
      </w:pPr>
      <w:r>
        <w:rPr>
          <w:rFonts w:hint="eastAsia" w:ascii="宋体" w:hAnsi="宋体" w:cs="宋体"/>
          <w:color w:val="auto"/>
          <w:sz w:val="24"/>
        </w:rPr>
        <w:t>本合同一式</w:t>
      </w:r>
      <w:r>
        <w:rPr>
          <w:rFonts w:hint="eastAsia" w:ascii="宋体" w:hAnsi="宋体" w:cs="宋体"/>
          <w:color w:val="auto"/>
          <w:sz w:val="24"/>
          <w:u w:val="single"/>
        </w:rPr>
        <w:t xml:space="preserve">    </w:t>
      </w:r>
      <w:r>
        <w:rPr>
          <w:rFonts w:hint="eastAsia" w:ascii="宋体" w:hAnsi="宋体" w:cs="宋体"/>
          <w:color w:val="auto"/>
          <w:sz w:val="24"/>
        </w:rPr>
        <w:t>份，甲、乙双方各执</w:t>
      </w:r>
      <w:r>
        <w:rPr>
          <w:rFonts w:hint="eastAsia" w:ascii="宋体" w:hAnsi="宋体" w:cs="宋体"/>
          <w:color w:val="auto"/>
          <w:sz w:val="24"/>
          <w:u w:val="single"/>
        </w:rPr>
        <w:t xml:space="preserve">    </w:t>
      </w:r>
      <w:r>
        <w:rPr>
          <w:rFonts w:hint="eastAsia" w:ascii="宋体" w:hAnsi="宋体" w:cs="宋体"/>
          <w:color w:val="auto"/>
          <w:sz w:val="24"/>
        </w:rPr>
        <w:t>份。</w:t>
      </w:r>
    </w:p>
    <w:p w14:paraId="436F3662">
      <w:pPr>
        <w:rPr>
          <w:rFonts w:hint="eastAsia" w:ascii="宋体" w:hAnsi="宋体" w:cs="宋体"/>
          <w:color w:val="auto"/>
          <w:sz w:val="24"/>
        </w:rPr>
      </w:pPr>
    </w:p>
    <w:p w14:paraId="16091877">
      <w:pPr>
        <w:rPr>
          <w:rFonts w:hint="eastAsia" w:ascii="宋体" w:hAnsi="宋体" w:cs="宋体"/>
          <w:color w:val="auto"/>
          <w:sz w:val="24"/>
        </w:rPr>
      </w:pPr>
    </w:p>
    <w:p w14:paraId="256D4909">
      <w:pPr>
        <w:rPr>
          <w:rFonts w:hint="eastAsia" w:ascii="宋体" w:hAnsi="宋体" w:cs="宋体"/>
          <w:color w:val="auto"/>
          <w:sz w:val="24"/>
        </w:rPr>
      </w:pPr>
    </w:p>
    <w:p w14:paraId="22993E05">
      <w:pPr>
        <w:rPr>
          <w:rFonts w:hint="eastAsia" w:ascii="宋体" w:hAnsi="宋体" w:cs="宋体"/>
          <w:color w:val="auto"/>
          <w:sz w:val="24"/>
        </w:rPr>
      </w:pPr>
    </w:p>
    <w:p w14:paraId="4D68ACCF">
      <w:pPr>
        <w:rPr>
          <w:rFonts w:ascii="宋体" w:hAnsi="宋体" w:cs="宋体"/>
          <w:color w:val="auto"/>
          <w:sz w:val="24"/>
        </w:rPr>
      </w:pPr>
    </w:p>
    <w:p w14:paraId="1D7B893D">
      <w:pPr>
        <w:spacing w:line="360" w:lineRule="auto"/>
        <w:rPr>
          <w:rFonts w:ascii="宋体" w:hAnsi="宋体" w:cs="宋体"/>
          <w:color w:val="auto"/>
          <w:sz w:val="24"/>
        </w:rPr>
      </w:pPr>
      <w:r>
        <w:rPr>
          <w:rFonts w:hint="eastAsia" w:ascii="宋体" w:hAnsi="宋体" w:cs="宋体"/>
          <w:color w:val="auto"/>
          <w:sz w:val="24"/>
        </w:rPr>
        <w:t>甲   方：                        乙   方：</w:t>
      </w:r>
    </w:p>
    <w:p w14:paraId="45D2F16C">
      <w:pPr>
        <w:spacing w:line="360" w:lineRule="auto"/>
        <w:rPr>
          <w:rFonts w:ascii="宋体" w:hAnsi="宋体" w:cs="宋体"/>
          <w:color w:val="auto"/>
          <w:sz w:val="24"/>
        </w:rPr>
      </w:pPr>
      <w:r>
        <w:rPr>
          <w:rFonts w:hint="eastAsia" w:ascii="宋体" w:hAnsi="宋体" w:cs="宋体"/>
          <w:color w:val="auto"/>
          <w:sz w:val="24"/>
        </w:rPr>
        <w:t>名称：（盖章）                   名称：（盖章）</w:t>
      </w:r>
    </w:p>
    <w:p w14:paraId="74B51161">
      <w:pPr>
        <w:spacing w:line="360" w:lineRule="auto"/>
        <w:rPr>
          <w:rFonts w:ascii="宋体" w:hAnsi="宋体" w:cs="宋体"/>
          <w:color w:val="auto"/>
          <w:sz w:val="24"/>
        </w:rPr>
      </w:pPr>
      <w:r>
        <w:rPr>
          <w:rFonts w:hint="eastAsia" w:ascii="宋体" w:hAnsi="宋体" w:cs="宋体"/>
          <w:color w:val="auto"/>
          <w:sz w:val="24"/>
        </w:rPr>
        <w:t>地址：                           地址：</w:t>
      </w:r>
    </w:p>
    <w:p w14:paraId="6AC2007C">
      <w:pPr>
        <w:spacing w:line="360" w:lineRule="auto"/>
        <w:rPr>
          <w:rFonts w:ascii="宋体" w:hAnsi="宋体" w:cs="宋体"/>
          <w:color w:val="auto"/>
          <w:sz w:val="24"/>
        </w:rPr>
      </w:pPr>
      <w:r>
        <w:rPr>
          <w:rFonts w:hint="eastAsia" w:ascii="宋体" w:hAnsi="宋体" w:cs="宋体"/>
          <w:color w:val="auto"/>
          <w:sz w:val="24"/>
        </w:rPr>
        <w:t>法定代表人（签字）：             法定代表人（签字）：</w:t>
      </w:r>
    </w:p>
    <w:p w14:paraId="3268A5EF">
      <w:pPr>
        <w:spacing w:line="360" w:lineRule="auto"/>
        <w:rPr>
          <w:rFonts w:ascii="宋体" w:hAnsi="宋体" w:cs="宋体"/>
          <w:color w:val="auto"/>
          <w:sz w:val="24"/>
        </w:rPr>
      </w:pPr>
      <w:r>
        <w:rPr>
          <w:rFonts w:hint="eastAsia" w:ascii="宋体" w:hAnsi="宋体" w:cs="宋体"/>
          <w:color w:val="auto"/>
          <w:sz w:val="24"/>
        </w:rPr>
        <w:t>授权代表（签字）：               授权代表（签字）：</w:t>
      </w:r>
    </w:p>
    <w:p w14:paraId="7151B337">
      <w:pPr>
        <w:spacing w:line="360" w:lineRule="auto"/>
        <w:rPr>
          <w:rFonts w:ascii="宋体" w:hAnsi="宋体" w:cs="宋体"/>
          <w:color w:val="auto"/>
          <w:sz w:val="24"/>
        </w:rPr>
      </w:pPr>
      <w:r>
        <w:rPr>
          <w:rFonts w:hint="eastAsia" w:ascii="宋体" w:hAnsi="宋体" w:cs="宋体"/>
          <w:color w:val="auto"/>
          <w:sz w:val="24"/>
        </w:rPr>
        <w:t>开户银行：                       开户银行：</w:t>
      </w:r>
    </w:p>
    <w:p w14:paraId="04912422">
      <w:pPr>
        <w:spacing w:line="360" w:lineRule="auto"/>
        <w:rPr>
          <w:rFonts w:ascii="宋体" w:hAnsi="宋体" w:cs="宋体"/>
          <w:color w:val="auto"/>
          <w:sz w:val="24"/>
        </w:rPr>
      </w:pPr>
      <w:r>
        <w:rPr>
          <w:rFonts w:hint="eastAsia" w:ascii="宋体" w:hAnsi="宋体" w:cs="宋体"/>
          <w:color w:val="auto"/>
          <w:sz w:val="24"/>
        </w:rPr>
        <w:t>银行帐号：                       银行帐号：</w:t>
      </w:r>
    </w:p>
    <w:p w14:paraId="5479A147">
      <w:pPr>
        <w:spacing w:line="360" w:lineRule="auto"/>
        <w:rPr>
          <w:rFonts w:hint="eastAsia" w:ascii="宋体" w:hAnsi="宋体" w:cs="宋体"/>
          <w:color w:val="auto"/>
          <w:sz w:val="24"/>
        </w:rPr>
      </w:pPr>
    </w:p>
    <w:p w14:paraId="44449FD1">
      <w:pPr>
        <w:spacing w:line="360" w:lineRule="auto"/>
        <w:jc w:val="both"/>
        <w:rPr>
          <w:rFonts w:hint="eastAsia" w:ascii="宋体" w:hAnsi="宋体"/>
          <w:color w:val="auto"/>
          <w:sz w:val="24"/>
        </w:rPr>
      </w:pPr>
      <w:r>
        <w:rPr>
          <w:rFonts w:hint="eastAsia" w:ascii="宋体" w:hAnsi="宋体" w:cs="宋体"/>
          <w:color w:val="auto"/>
          <w:sz w:val="24"/>
        </w:rPr>
        <w:t>时间：         年     月     日</w:t>
      </w:r>
    </w:p>
    <w:p w14:paraId="25B7624E">
      <w:pPr>
        <w:pStyle w:val="2"/>
        <w:jc w:val="left"/>
        <w:outlineLvl w:val="9"/>
        <w:rPr>
          <w:rFonts w:hint="eastAsia" w:ascii="宋体" w:hAnsi="宋体" w:eastAsia="宋体" w:cs="宋体"/>
          <w:color w:val="auto"/>
        </w:rPr>
      </w:pPr>
    </w:p>
    <w:p w14:paraId="03F8C5BA">
      <w:pPr>
        <w:pStyle w:val="2"/>
        <w:jc w:val="left"/>
        <w:outlineLvl w:val="9"/>
        <w:rPr>
          <w:rFonts w:hint="eastAsia" w:ascii="宋体" w:hAnsi="宋体" w:eastAsia="宋体" w:cs="宋体"/>
          <w:color w:val="auto"/>
        </w:rPr>
      </w:pPr>
    </w:p>
    <w:p w14:paraId="397B16E6">
      <w:pPr>
        <w:pStyle w:val="2"/>
        <w:jc w:val="left"/>
        <w:outlineLvl w:val="9"/>
        <w:rPr>
          <w:rFonts w:hint="eastAsia" w:ascii="宋体" w:hAnsi="宋体" w:eastAsia="宋体" w:cs="宋体"/>
          <w:color w:val="auto"/>
        </w:rPr>
      </w:pPr>
    </w:p>
    <w:p w14:paraId="106B4519">
      <w:pPr>
        <w:pStyle w:val="2"/>
        <w:outlineLvl w:val="9"/>
        <w:rPr>
          <w:rFonts w:hint="eastAsia" w:ascii="宋体" w:hAnsi="宋体" w:eastAsia="宋体" w:cs="宋体"/>
          <w:color w:val="auto"/>
        </w:rPr>
      </w:pPr>
    </w:p>
    <w:p w14:paraId="1F1065E2">
      <w:pPr>
        <w:rPr>
          <w:rFonts w:hint="eastAsia" w:ascii="宋体" w:hAnsi="宋体" w:eastAsia="宋体" w:cs="宋体"/>
          <w:color w:val="auto"/>
        </w:rPr>
      </w:pPr>
    </w:p>
    <w:bookmarkEnd w:id="135"/>
    <w:bookmarkEnd w:id="136"/>
    <w:bookmarkEnd w:id="137"/>
    <w:p w14:paraId="0FFE4602">
      <w:pPr>
        <w:spacing w:after="120"/>
        <w:ind w:left="480" w:leftChars="200" w:firstLine="480" w:firstLineChars="200"/>
        <w:jc w:val="left"/>
        <w:rPr>
          <w:rFonts w:hint="eastAsia" w:ascii="宋体" w:hAnsi="宋体" w:eastAsia="宋体" w:cs="宋体"/>
          <w:color w:val="auto"/>
          <w:szCs w:val="22"/>
        </w:rPr>
      </w:pPr>
    </w:p>
    <w:p w14:paraId="072CCE57">
      <w:pPr>
        <w:pStyle w:val="2"/>
        <w:outlineLvl w:val="9"/>
        <w:rPr>
          <w:rFonts w:hint="eastAsia" w:ascii="宋体" w:hAnsi="宋体" w:eastAsia="宋体" w:cs="宋体"/>
          <w:color w:val="auto"/>
        </w:rPr>
      </w:pPr>
    </w:p>
    <w:p w14:paraId="4DE57820">
      <w:pPr>
        <w:rPr>
          <w:rFonts w:hint="eastAsia" w:ascii="宋体" w:hAnsi="宋体" w:eastAsia="宋体" w:cs="宋体"/>
          <w:color w:val="auto"/>
        </w:rPr>
      </w:pPr>
    </w:p>
    <w:p w14:paraId="534A44DA">
      <w:pPr>
        <w:pStyle w:val="2"/>
        <w:outlineLvl w:val="9"/>
        <w:rPr>
          <w:rFonts w:hint="eastAsia" w:ascii="宋体" w:hAnsi="宋体" w:eastAsia="宋体" w:cs="宋体"/>
          <w:color w:val="auto"/>
        </w:rPr>
      </w:pPr>
    </w:p>
    <w:p w14:paraId="034C07C7">
      <w:pPr>
        <w:pStyle w:val="2"/>
        <w:outlineLvl w:val="9"/>
        <w:rPr>
          <w:rFonts w:hint="eastAsia" w:ascii="宋体" w:hAnsi="宋体" w:eastAsia="宋体" w:cs="宋体"/>
          <w:color w:val="auto"/>
        </w:rPr>
      </w:pPr>
    </w:p>
    <w:p w14:paraId="5CDE2B30">
      <w:pPr>
        <w:rPr>
          <w:rFonts w:hint="eastAsia" w:ascii="宋体" w:hAnsi="宋体" w:eastAsia="宋体" w:cs="宋体"/>
          <w:color w:val="auto"/>
        </w:rPr>
      </w:pPr>
    </w:p>
    <w:p w14:paraId="17749106">
      <w:pPr>
        <w:pStyle w:val="2"/>
        <w:jc w:val="center"/>
        <w:rPr>
          <w:rFonts w:hint="eastAsia" w:ascii="宋体" w:hAnsi="宋体" w:eastAsia="宋体" w:cs="宋体"/>
          <w:color w:val="auto"/>
          <w:szCs w:val="48"/>
        </w:rPr>
      </w:pPr>
      <w:bookmarkStart w:id="149" w:name="_Toc15404"/>
      <w:r>
        <w:rPr>
          <w:rFonts w:hint="eastAsia" w:ascii="宋体" w:hAnsi="宋体" w:eastAsia="宋体" w:cs="宋体"/>
          <w:color w:val="auto"/>
        </w:rPr>
        <w:t xml:space="preserve">第六章 </w:t>
      </w:r>
      <w:r>
        <w:rPr>
          <w:rFonts w:hint="eastAsia" w:ascii="宋体" w:hAnsi="宋体" w:eastAsia="宋体" w:cs="宋体"/>
          <w:color w:val="auto"/>
          <w:lang w:val="en-US" w:eastAsia="zh-CN"/>
        </w:rPr>
        <w:t>投标</w:t>
      </w:r>
      <w:r>
        <w:rPr>
          <w:rFonts w:hint="eastAsia" w:ascii="宋体" w:hAnsi="宋体" w:eastAsia="宋体" w:cs="宋体"/>
          <w:color w:val="auto"/>
        </w:rPr>
        <w:t>文件格式</w:t>
      </w:r>
      <w:bookmarkEnd w:id="149"/>
    </w:p>
    <w:p w14:paraId="78668539">
      <w:pPr>
        <w:pStyle w:val="2"/>
        <w:jc w:val="center"/>
        <w:outlineLvl w:val="9"/>
        <w:rPr>
          <w:rFonts w:hint="eastAsia" w:ascii="宋体" w:hAnsi="宋体" w:eastAsia="宋体" w:cs="宋体"/>
          <w:color w:val="auto"/>
        </w:rPr>
      </w:pPr>
    </w:p>
    <w:p w14:paraId="699D1C49">
      <w:pPr>
        <w:pStyle w:val="16"/>
        <w:ind w:firstLine="0" w:firstLineChars="0"/>
        <w:rPr>
          <w:rFonts w:hint="eastAsia" w:ascii="宋体" w:hAnsi="宋体" w:eastAsia="宋体" w:cs="宋体"/>
          <w:color w:val="auto"/>
        </w:rPr>
      </w:pPr>
    </w:p>
    <w:p w14:paraId="3DEE8F90">
      <w:pPr>
        <w:rPr>
          <w:rFonts w:hint="eastAsia" w:ascii="宋体" w:hAnsi="宋体" w:eastAsia="宋体" w:cs="宋体"/>
          <w:color w:val="auto"/>
          <w:szCs w:val="21"/>
        </w:rPr>
      </w:pPr>
    </w:p>
    <w:p w14:paraId="5640E23F">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（项目名称）</w:t>
      </w:r>
      <w:r>
        <w:rPr>
          <w:rFonts w:hint="eastAsia" w:ascii="宋体" w:hAnsi="宋体" w:eastAsia="宋体" w:cs="宋体"/>
          <w:color w:val="auto"/>
          <w:sz w:val="28"/>
          <w:szCs w:val="28"/>
          <w:u w:val="single"/>
          <w:lang w:val="en-US" w:eastAsia="zh-CN"/>
        </w:rPr>
        <w:t xml:space="preserve">  包</w:t>
      </w:r>
      <w:r>
        <w:rPr>
          <w:rFonts w:hint="eastAsia" w:ascii="宋体" w:hAnsi="宋体" w:eastAsia="宋体" w:cs="宋体"/>
          <w:color w:val="auto"/>
          <w:sz w:val="28"/>
          <w:szCs w:val="28"/>
          <w:u w:val="single"/>
        </w:rPr>
        <w:t xml:space="preserve"> </w:t>
      </w:r>
    </w:p>
    <w:p w14:paraId="31E22FE2">
      <w:pPr>
        <w:spacing w:before="312" w:beforeLines="100"/>
        <w:rPr>
          <w:rFonts w:hint="eastAsia" w:ascii="宋体" w:hAnsi="宋体" w:eastAsia="宋体" w:cs="宋体"/>
          <w:b/>
          <w:bCs/>
          <w:color w:val="auto"/>
          <w:sz w:val="40"/>
          <w:szCs w:val="40"/>
        </w:rPr>
      </w:pPr>
    </w:p>
    <w:p w14:paraId="14B1BCC7">
      <w:pPr>
        <w:spacing w:before="312" w:beforeLines="100"/>
        <w:rPr>
          <w:rFonts w:hint="eastAsia" w:ascii="宋体" w:hAnsi="宋体" w:eastAsia="宋体" w:cs="宋体"/>
          <w:b/>
          <w:bCs/>
          <w:color w:val="auto"/>
          <w:sz w:val="40"/>
          <w:szCs w:val="40"/>
        </w:rPr>
      </w:pPr>
    </w:p>
    <w:p w14:paraId="793E78FA">
      <w:pPr>
        <w:pStyle w:val="16"/>
        <w:ind w:firstLine="210"/>
        <w:rPr>
          <w:rFonts w:hint="eastAsia" w:ascii="宋体" w:hAnsi="宋体" w:eastAsia="宋体" w:cs="宋体"/>
          <w:color w:val="auto"/>
        </w:rPr>
      </w:pPr>
    </w:p>
    <w:p w14:paraId="201C019B">
      <w:pPr>
        <w:jc w:val="center"/>
        <w:rPr>
          <w:rFonts w:hint="eastAsia" w:ascii="宋体" w:hAnsi="宋体" w:eastAsia="宋体" w:cs="宋体"/>
          <w:b/>
          <w:bCs/>
          <w:color w:val="auto"/>
          <w:sz w:val="28"/>
          <w:szCs w:val="28"/>
        </w:rPr>
      </w:pPr>
      <w:r>
        <w:rPr>
          <w:rFonts w:hint="eastAsia" w:ascii="宋体" w:hAnsi="宋体" w:eastAsia="宋体" w:cs="宋体"/>
          <w:b/>
          <w:bCs/>
          <w:color w:val="auto"/>
          <w:sz w:val="72"/>
          <w:szCs w:val="72"/>
        </w:rPr>
        <w:t xml:space="preserve"> 投 标 文 件</w:t>
      </w:r>
    </w:p>
    <w:p w14:paraId="4DFE9030">
      <w:pPr>
        <w:jc w:val="center"/>
        <w:rPr>
          <w:rFonts w:hint="eastAsia" w:ascii="宋体" w:hAnsi="宋体" w:eastAsia="宋体" w:cs="宋体"/>
          <w:color w:val="auto"/>
          <w:sz w:val="28"/>
          <w:szCs w:val="28"/>
        </w:rPr>
      </w:pPr>
    </w:p>
    <w:p w14:paraId="0E613552">
      <w:pPr>
        <w:ind w:firstLine="3640" w:firstLineChars="13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项目</w:t>
      </w:r>
      <w:r>
        <w:rPr>
          <w:rFonts w:hint="eastAsia" w:ascii="宋体" w:hAnsi="宋体" w:eastAsia="宋体" w:cs="宋体"/>
          <w:color w:val="auto"/>
          <w:sz w:val="28"/>
          <w:szCs w:val="28"/>
        </w:rPr>
        <w:t>编号：</w:t>
      </w:r>
    </w:p>
    <w:p w14:paraId="3551BD6D">
      <w:pPr>
        <w:rPr>
          <w:rFonts w:hint="eastAsia" w:ascii="宋体" w:hAnsi="宋体" w:eastAsia="宋体" w:cs="宋体"/>
          <w:color w:val="auto"/>
          <w:sz w:val="28"/>
          <w:szCs w:val="28"/>
        </w:rPr>
      </w:pPr>
    </w:p>
    <w:p w14:paraId="2650454C">
      <w:pPr>
        <w:pStyle w:val="16"/>
        <w:ind w:firstLine="280"/>
        <w:rPr>
          <w:rFonts w:hint="eastAsia" w:ascii="宋体" w:hAnsi="宋体" w:eastAsia="宋体" w:cs="宋体"/>
          <w:color w:val="auto"/>
          <w:sz w:val="28"/>
          <w:szCs w:val="28"/>
        </w:rPr>
      </w:pPr>
    </w:p>
    <w:p w14:paraId="76AB1D92">
      <w:pPr>
        <w:pStyle w:val="17"/>
        <w:rPr>
          <w:rFonts w:hint="eastAsia" w:ascii="宋体" w:hAnsi="宋体" w:eastAsia="宋体" w:cs="宋体"/>
          <w:color w:val="auto"/>
        </w:rPr>
      </w:pPr>
    </w:p>
    <w:p w14:paraId="0E5AF461">
      <w:pPr>
        <w:rPr>
          <w:rFonts w:hint="eastAsia" w:ascii="宋体" w:hAnsi="宋体" w:eastAsia="宋体" w:cs="宋体"/>
          <w:color w:val="auto"/>
          <w:sz w:val="28"/>
          <w:szCs w:val="28"/>
        </w:rPr>
      </w:pPr>
    </w:p>
    <w:p w14:paraId="56CF9F0A">
      <w:pPr>
        <w:jc w:val="center"/>
        <w:rPr>
          <w:rFonts w:hint="eastAsia" w:ascii="宋体" w:hAnsi="宋体" w:eastAsia="宋体" w:cs="宋体"/>
          <w:color w:val="auto"/>
          <w:sz w:val="28"/>
          <w:szCs w:val="28"/>
        </w:rPr>
      </w:pPr>
    </w:p>
    <w:p w14:paraId="7562FFC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6EFA7E78">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07068E83">
      <w:pPr>
        <w:spacing w:line="360" w:lineRule="auto"/>
        <w:jc w:val="center"/>
        <w:rPr>
          <w:rFonts w:hint="eastAsia" w:ascii="宋体" w:hAnsi="宋体" w:eastAsia="宋体" w:cs="宋体"/>
          <w:color w:val="auto"/>
          <w:sz w:val="24"/>
        </w:rPr>
      </w:pPr>
    </w:p>
    <w:p w14:paraId="260F4267">
      <w:pPr>
        <w:jc w:val="center"/>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6B99B98">
      <w:pPr>
        <w:rPr>
          <w:rFonts w:hint="eastAsia" w:ascii="宋体" w:hAnsi="宋体" w:eastAsia="宋体" w:cs="宋体"/>
          <w:color w:val="auto"/>
          <w:szCs w:val="21"/>
        </w:rPr>
      </w:pPr>
      <w:bookmarkStart w:id="150" w:name="_Toc144974856"/>
      <w:bookmarkStart w:id="151" w:name="_Toc414862754"/>
      <w:bookmarkStart w:id="152" w:name="_Toc339627986"/>
      <w:bookmarkStart w:id="153" w:name="_Toc22333"/>
      <w:bookmarkStart w:id="154" w:name="_Toc425581742"/>
      <w:bookmarkStart w:id="155" w:name="_Toc6971"/>
      <w:bookmarkStart w:id="156" w:name="_Toc152042576"/>
      <w:bookmarkStart w:id="157" w:name="_Toc339378277"/>
      <w:bookmarkStart w:id="158" w:name="_Toc16319"/>
      <w:bookmarkStart w:id="159" w:name="_Toc152045787"/>
    </w:p>
    <w:p w14:paraId="31414D8E">
      <w:pPr>
        <w:jc w:val="center"/>
        <w:rPr>
          <w:rFonts w:hint="eastAsia" w:ascii="宋体" w:hAnsi="宋体" w:eastAsia="宋体" w:cs="宋体"/>
          <w:color w:val="auto"/>
          <w:szCs w:val="21"/>
        </w:rPr>
      </w:pPr>
    </w:p>
    <w:p w14:paraId="32A825D4">
      <w:pPr>
        <w:jc w:val="center"/>
        <w:rPr>
          <w:rFonts w:hint="eastAsia" w:ascii="宋体" w:hAnsi="宋体" w:eastAsia="宋体" w:cs="宋体"/>
          <w:color w:val="auto"/>
          <w:szCs w:val="21"/>
        </w:rPr>
      </w:pPr>
    </w:p>
    <w:p w14:paraId="3F7F6FA9">
      <w:pPr>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目    录</w:t>
      </w:r>
      <w:bookmarkEnd w:id="150"/>
      <w:bookmarkEnd w:id="151"/>
      <w:bookmarkEnd w:id="152"/>
      <w:bookmarkEnd w:id="153"/>
      <w:bookmarkEnd w:id="154"/>
      <w:bookmarkEnd w:id="155"/>
      <w:bookmarkEnd w:id="156"/>
      <w:bookmarkEnd w:id="157"/>
      <w:bookmarkEnd w:id="158"/>
      <w:bookmarkEnd w:id="159"/>
    </w:p>
    <w:p w14:paraId="453D6968">
      <w:pPr>
        <w:pStyle w:val="16"/>
        <w:jc w:val="center"/>
        <w:rPr>
          <w:rFonts w:hint="eastAsia" w:eastAsia="宋体"/>
          <w:color w:val="auto"/>
          <w:lang w:eastAsia="zh-CN"/>
        </w:rPr>
      </w:pPr>
      <w:r>
        <w:rPr>
          <w:rFonts w:hint="eastAsia" w:ascii="宋体" w:hAnsi="宋体" w:eastAsia="宋体" w:cs="宋体"/>
          <w:b/>
          <w:bCs/>
          <w:color w:val="auto"/>
          <w:sz w:val="30"/>
          <w:szCs w:val="30"/>
          <w:lang w:eastAsia="zh-CN"/>
        </w:rPr>
        <w:t>（</w:t>
      </w:r>
      <w:r>
        <w:rPr>
          <w:rFonts w:hint="eastAsia" w:ascii="宋体" w:hAnsi="宋体" w:eastAsia="宋体" w:cs="宋体"/>
          <w:b/>
          <w:bCs/>
          <w:color w:val="auto"/>
          <w:sz w:val="30"/>
          <w:szCs w:val="30"/>
          <w:lang w:val="en-US" w:eastAsia="zh-CN"/>
        </w:rPr>
        <w:t>格式自拟</w:t>
      </w:r>
      <w:r>
        <w:rPr>
          <w:rFonts w:hint="eastAsia" w:ascii="宋体" w:hAnsi="宋体" w:eastAsia="宋体" w:cs="宋体"/>
          <w:b/>
          <w:bCs/>
          <w:color w:val="auto"/>
          <w:sz w:val="30"/>
          <w:szCs w:val="30"/>
          <w:lang w:eastAsia="zh-CN"/>
        </w:rPr>
        <w:t>）</w:t>
      </w:r>
    </w:p>
    <w:p w14:paraId="38216F50">
      <w:pPr>
        <w:rPr>
          <w:rFonts w:hint="eastAsia" w:ascii="宋体" w:hAnsi="宋体" w:eastAsia="宋体" w:cs="宋体"/>
          <w:color w:val="auto"/>
          <w:sz w:val="28"/>
          <w:szCs w:val="28"/>
        </w:rPr>
      </w:pPr>
    </w:p>
    <w:p w14:paraId="31014717">
      <w:pPr>
        <w:rPr>
          <w:rFonts w:hint="eastAsia" w:ascii="宋体" w:hAnsi="宋体" w:eastAsia="宋体" w:cs="宋体"/>
          <w:color w:val="auto"/>
          <w:sz w:val="28"/>
          <w:szCs w:val="28"/>
        </w:rPr>
      </w:pPr>
    </w:p>
    <w:p w14:paraId="474D76D7">
      <w:pPr>
        <w:rPr>
          <w:rFonts w:hint="eastAsia" w:ascii="宋体" w:hAnsi="宋体" w:eastAsia="宋体" w:cs="宋体"/>
          <w:color w:val="auto"/>
          <w:sz w:val="28"/>
          <w:szCs w:val="28"/>
        </w:rPr>
      </w:pPr>
    </w:p>
    <w:p w14:paraId="4532F4AB">
      <w:pPr>
        <w:rPr>
          <w:rFonts w:hint="eastAsia" w:ascii="宋体" w:hAnsi="宋体" w:eastAsia="宋体" w:cs="宋体"/>
          <w:color w:val="auto"/>
          <w:sz w:val="28"/>
          <w:szCs w:val="28"/>
        </w:rPr>
      </w:pPr>
    </w:p>
    <w:p w14:paraId="7524581C">
      <w:pPr>
        <w:rPr>
          <w:rFonts w:hint="eastAsia" w:ascii="宋体" w:hAnsi="宋体" w:eastAsia="宋体" w:cs="宋体"/>
          <w:color w:val="auto"/>
          <w:sz w:val="28"/>
          <w:szCs w:val="28"/>
        </w:rPr>
      </w:pPr>
    </w:p>
    <w:p w14:paraId="2BF6018E">
      <w:pPr>
        <w:pStyle w:val="16"/>
        <w:ind w:firstLine="280"/>
        <w:rPr>
          <w:rFonts w:hint="eastAsia" w:ascii="宋体" w:hAnsi="宋体" w:eastAsia="宋体" w:cs="宋体"/>
          <w:color w:val="auto"/>
          <w:sz w:val="28"/>
          <w:szCs w:val="28"/>
        </w:rPr>
      </w:pPr>
    </w:p>
    <w:p w14:paraId="6E28DAB5">
      <w:pPr>
        <w:pStyle w:val="17"/>
        <w:rPr>
          <w:rFonts w:hint="eastAsia" w:ascii="宋体" w:hAnsi="宋体" w:eastAsia="宋体" w:cs="宋体"/>
          <w:color w:val="auto"/>
        </w:rPr>
      </w:pPr>
    </w:p>
    <w:p w14:paraId="71AC8420">
      <w:pPr>
        <w:rPr>
          <w:rFonts w:hint="eastAsia" w:ascii="宋体" w:hAnsi="宋体" w:eastAsia="宋体" w:cs="宋体"/>
          <w:color w:val="auto"/>
          <w:sz w:val="28"/>
          <w:szCs w:val="28"/>
        </w:rPr>
      </w:pPr>
    </w:p>
    <w:p w14:paraId="0E69C0E9">
      <w:pPr>
        <w:rPr>
          <w:rFonts w:hint="eastAsia" w:ascii="宋体" w:hAnsi="宋体" w:eastAsia="宋体" w:cs="宋体"/>
          <w:color w:val="auto"/>
        </w:rPr>
      </w:pPr>
      <w:bookmarkStart w:id="160" w:name="_Toc152045789"/>
      <w:bookmarkStart w:id="161" w:name="_Toc36045331"/>
      <w:bookmarkStart w:id="162" w:name="_Toc144974858"/>
      <w:bookmarkStart w:id="163" w:name="_Toc152042578"/>
    </w:p>
    <w:bookmarkEnd w:id="160"/>
    <w:bookmarkEnd w:id="161"/>
    <w:bookmarkEnd w:id="162"/>
    <w:bookmarkEnd w:id="163"/>
    <w:p w14:paraId="691ABBAD">
      <w:pPr>
        <w:pStyle w:val="3"/>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br w:type="page"/>
      </w:r>
      <w:r>
        <w:rPr>
          <w:rFonts w:hint="eastAsia" w:ascii="宋体" w:hAnsi="宋体" w:eastAsia="宋体" w:cs="宋体"/>
          <w:color w:val="auto"/>
          <w:sz w:val="28"/>
          <w:szCs w:val="28"/>
        </w:rPr>
        <w:t>一、投标函及投标函附录</w:t>
      </w:r>
    </w:p>
    <w:p w14:paraId="136E3A94">
      <w:pPr>
        <w:pStyle w:val="3"/>
        <w:spacing w:line="38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投标函</w:t>
      </w:r>
    </w:p>
    <w:p w14:paraId="28B75A9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采购人</w:t>
      </w:r>
      <w:r>
        <w:rPr>
          <w:rFonts w:hint="eastAsia" w:ascii="宋体" w:hAnsi="宋体" w:eastAsia="宋体" w:cs="宋体"/>
          <w:color w:val="auto"/>
          <w:sz w:val="24"/>
          <w:u w:val="single"/>
        </w:rPr>
        <w:t>名称）</w:t>
      </w:r>
      <w:r>
        <w:rPr>
          <w:rFonts w:hint="eastAsia" w:ascii="宋体" w:hAnsi="宋体" w:eastAsia="宋体" w:cs="宋体"/>
          <w:color w:val="auto"/>
          <w:sz w:val="24"/>
        </w:rPr>
        <w:t>：</w:t>
      </w:r>
    </w:p>
    <w:p w14:paraId="54B345A8">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根据贵方</w:t>
      </w:r>
      <w:r>
        <w:rPr>
          <w:rFonts w:hint="eastAsia" w:ascii="宋体" w:hAnsi="宋体" w:eastAsia="宋体" w:cs="宋体"/>
          <w:color w:val="auto"/>
          <w:sz w:val="24"/>
          <w:u w:val="single"/>
        </w:rPr>
        <w:t xml:space="preserve">               （项目名称）</w:t>
      </w:r>
      <w:r>
        <w:rPr>
          <w:rFonts w:hint="eastAsia" w:ascii="宋体" w:hAnsi="宋体" w:eastAsia="宋体" w:cs="宋体"/>
          <w:color w:val="auto"/>
          <w:sz w:val="24"/>
          <w:u w:val="single"/>
          <w:lang w:val="en-US" w:eastAsia="zh-CN"/>
        </w:rPr>
        <w:t xml:space="preserve">  包 </w:t>
      </w:r>
      <w:r>
        <w:rPr>
          <w:rFonts w:hint="eastAsia" w:ascii="宋体" w:hAnsi="宋体" w:eastAsia="宋体" w:cs="宋体"/>
          <w:color w:val="auto"/>
          <w:sz w:val="24"/>
        </w:rPr>
        <w:t>招标文件，我方授权</w:t>
      </w:r>
      <w:r>
        <w:rPr>
          <w:rFonts w:hint="eastAsia" w:ascii="宋体" w:hAnsi="宋体" w:eastAsia="宋体" w:cs="宋体"/>
          <w:color w:val="auto"/>
          <w:sz w:val="24"/>
          <w:u w:val="single"/>
        </w:rPr>
        <w:t>（</w:t>
      </w:r>
      <w:r>
        <w:rPr>
          <w:rFonts w:hint="eastAsia" w:ascii="宋体" w:hAnsi="宋体" w:eastAsia="宋体" w:cs="宋体"/>
          <w:color w:val="auto"/>
          <w:sz w:val="24"/>
          <w:u w:val="single"/>
          <w:lang w:eastAsia="zh-CN"/>
        </w:rPr>
        <w:t>供应商</w:t>
      </w:r>
      <w:r>
        <w:rPr>
          <w:rFonts w:hint="eastAsia" w:ascii="宋体" w:hAnsi="宋体" w:eastAsia="宋体" w:cs="宋体"/>
          <w:color w:val="auto"/>
          <w:sz w:val="24"/>
          <w:u w:val="single"/>
        </w:rPr>
        <w:t>代表姓名）</w:t>
      </w:r>
      <w:r>
        <w:rPr>
          <w:rFonts w:hint="eastAsia" w:ascii="宋体" w:hAnsi="宋体" w:eastAsia="宋体" w:cs="宋体"/>
          <w:color w:val="auto"/>
          <w:sz w:val="24"/>
        </w:rPr>
        <w:t>代表我方</w:t>
      </w:r>
      <w:r>
        <w:rPr>
          <w:rFonts w:hint="eastAsia" w:ascii="宋体" w:hAnsi="宋体" w:eastAsia="宋体" w:cs="宋体"/>
          <w:color w:val="auto"/>
          <w:sz w:val="24"/>
          <w:u w:val="single"/>
        </w:rPr>
        <w:t>（投标单位的名称）</w:t>
      </w:r>
      <w:r>
        <w:rPr>
          <w:rFonts w:hint="eastAsia" w:ascii="宋体" w:hAnsi="宋体" w:eastAsia="宋体" w:cs="宋体"/>
          <w:color w:val="auto"/>
          <w:sz w:val="24"/>
        </w:rPr>
        <w:t>全权处理本项目投标的有关事宜。</w:t>
      </w:r>
    </w:p>
    <w:p w14:paraId="3B37C6FD">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据此函，签字代表宣布同意如下：</w:t>
      </w:r>
    </w:p>
    <w:p w14:paraId="590B993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1、所附详细报价表中规定的应提供和交付的货物及服务报价总价为人民币大写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，小写</w:t>
      </w:r>
      <w:r>
        <w:rPr>
          <w:rFonts w:hint="eastAsia" w:ascii="宋体" w:hAnsi="宋体" w:eastAsia="宋体" w:cs="宋体"/>
          <w:color w:val="auto"/>
          <w:sz w:val="24"/>
          <w:u w:val="single"/>
        </w:rPr>
        <w:t xml:space="preserve">           </w:t>
      </w:r>
      <w:r>
        <w:rPr>
          <w:rFonts w:hint="eastAsia" w:ascii="宋体" w:hAnsi="宋体" w:eastAsia="宋体" w:cs="宋体"/>
          <w:color w:val="auto"/>
          <w:sz w:val="24"/>
        </w:rPr>
        <w:t>元。</w:t>
      </w:r>
    </w:p>
    <w:p w14:paraId="237DD3A6">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eastAsia="zh-CN"/>
        </w:rPr>
        <w:t>供应商</w:t>
      </w:r>
      <w:r>
        <w:rPr>
          <w:rFonts w:hint="eastAsia" w:ascii="宋体" w:hAnsi="宋体" w:eastAsia="宋体" w:cs="宋体"/>
          <w:color w:val="auto"/>
          <w:sz w:val="24"/>
        </w:rPr>
        <w:t>已详细审查全部招标文件，包括修改、澄清文件（如有的话）和有关附件，将自行承担因对全部招标文件理解不正确或误解而产生的相应后果。</w:t>
      </w:r>
    </w:p>
    <w:p w14:paraId="0655BCCC">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供应商</w:t>
      </w:r>
      <w:r>
        <w:rPr>
          <w:rFonts w:hint="eastAsia" w:ascii="宋体" w:hAnsi="宋体" w:eastAsia="宋体" w:cs="宋体"/>
          <w:color w:val="auto"/>
          <w:sz w:val="24"/>
        </w:rPr>
        <w:t>保证遵守招标文件的全部规定，</w:t>
      </w:r>
      <w:r>
        <w:rPr>
          <w:rFonts w:hint="eastAsia" w:ascii="宋体" w:hAnsi="宋体" w:eastAsia="宋体" w:cs="宋体"/>
          <w:color w:val="auto"/>
          <w:sz w:val="24"/>
          <w:lang w:eastAsia="zh-CN"/>
        </w:rPr>
        <w:t>供应商</w:t>
      </w:r>
      <w:r>
        <w:rPr>
          <w:rFonts w:hint="eastAsia" w:ascii="宋体" w:hAnsi="宋体" w:eastAsia="宋体" w:cs="宋体"/>
          <w:color w:val="auto"/>
          <w:sz w:val="24"/>
        </w:rPr>
        <w:t>所提交的材料中所含的信息均为真实、准确、完整，且不具有任何误导性。</w:t>
      </w:r>
    </w:p>
    <w:p w14:paraId="1EB32404">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eastAsia="zh-CN"/>
        </w:rPr>
        <w:t>供应商</w:t>
      </w:r>
      <w:r>
        <w:rPr>
          <w:rFonts w:hint="eastAsia" w:ascii="宋体" w:hAnsi="宋体" w:eastAsia="宋体" w:cs="宋体"/>
          <w:color w:val="auto"/>
          <w:sz w:val="24"/>
        </w:rPr>
        <w:t>将按招标文件的规定履行合同责任和义务。</w:t>
      </w:r>
    </w:p>
    <w:p w14:paraId="76EE1BA1">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5、本投标文件自开标日起投标有</w:t>
      </w:r>
      <w:r>
        <w:rPr>
          <w:rFonts w:hint="eastAsia" w:ascii="宋体" w:hAnsi="宋体" w:eastAsia="宋体" w:cs="宋体"/>
          <w:color w:val="auto"/>
          <w:sz w:val="24"/>
          <w:highlight w:val="none"/>
        </w:rPr>
        <w:t>效期为：</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0日历天</w:t>
      </w:r>
    </w:p>
    <w:p w14:paraId="001B5DB9">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6、</w:t>
      </w:r>
      <w:r>
        <w:rPr>
          <w:rFonts w:hint="eastAsia" w:ascii="宋体" w:hAnsi="宋体" w:eastAsia="宋体" w:cs="宋体"/>
          <w:color w:val="auto"/>
          <w:sz w:val="24"/>
          <w:lang w:eastAsia="zh-CN"/>
        </w:rPr>
        <w:t>供应商</w:t>
      </w:r>
      <w:r>
        <w:rPr>
          <w:rFonts w:hint="eastAsia" w:ascii="宋体" w:hAnsi="宋体" w:eastAsia="宋体" w:cs="宋体"/>
          <w:color w:val="auto"/>
          <w:sz w:val="24"/>
        </w:rPr>
        <w:t>同意提供按照招标采购单位可能要求的与其投标有关的一切数据或资料。</w:t>
      </w:r>
    </w:p>
    <w:p w14:paraId="0445A14A">
      <w:pPr>
        <w:spacing w:line="360" w:lineRule="auto"/>
        <w:jc w:val="left"/>
        <w:rPr>
          <w:rFonts w:hint="eastAsia" w:ascii="宋体" w:hAnsi="宋体" w:eastAsia="宋体" w:cs="宋体"/>
          <w:color w:val="auto"/>
          <w:sz w:val="24"/>
        </w:rPr>
      </w:pPr>
    </w:p>
    <w:p w14:paraId="682B894B">
      <w:pPr>
        <w:spacing w:line="360" w:lineRule="auto"/>
        <w:jc w:val="left"/>
        <w:rPr>
          <w:rFonts w:hint="eastAsia" w:ascii="宋体" w:hAnsi="宋体" w:eastAsia="宋体" w:cs="宋体"/>
          <w:color w:val="auto"/>
          <w:sz w:val="24"/>
        </w:rPr>
      </w:pPr>
    </w:p>
    <w:p w14:paraId="0A7F09C1">
      <w:pPr>
        <w:pStyle w:val="17"/>
        <w:ind w:firstLine="480"/>
        <w:rPr>
          <w:rFonts w:hint="eastAsia" w:ascii="宋体" w:hAnsi="宋体" w:eastAsia="宋体" w:cs="宋体"/>
          <w:color w:val="auto"/>
          <w:sz w:val="24"/>
        </w:rPr>
      </w:pPr>
    </w:p>
    <w:p w14:paraId="45999F5E">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9489965">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46312A34">
      <w:pPr>
        <w:pStyle w:val="16"/>
        <w:ind w:left="0" w:leftChars="0" w:firstLine="0" w:firstLineChars="0"/>
        <w:rPr>
          <w:rFonts w:hint="eastAsia" w:ascii="宋体" w:hAnsi="宋体" w:eastAsia="宋体" w:cs="宋体"/>
          <w:color w:val="auto"/>
          <w:u w:val="single"/>
          <w:lang w:val="en-US" w:eastAsia="zh-CN"/>
        </w:rPr>
      </w:pPr>
      <w:r>
        <w:rPr>
          <w:rFonts w:hint="eastAsia" w:ascii="宋体" w:hAnsi="宋体" w:eastAsia="宋体" w:cs="宋体"/>
          <w:color w:val="auto"/>
          <w:sz w:val="24"/>
          <w:u w:val="none"/>
          <w:lang w:val="en-US" w:eastAsia="zh-CN"/>
        </w:rPr>
        <w:t>联系方式：</w:t>
      </w:r>
      <w:r>
        <w:rPr>
          <w:rFonts w:hint="eastAsia" w:ascii="宋体" w:hAnsi="宋体" w:eastAsia="宋体" w:cs="宋体"/>
          <w:color w:val="auto"/>
          <w:sz w:val="24"/>
          <w:u w:val="single"/>
          <w:lang w:val="en-US" w:eastAsia="zh-CN"/>
        </w:rPr>
        <w:t xml:space="preserve">               </w:t>
      </w:r>
    </w:p>
    <w:p w14:paraId="7705BA76">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Start w:id="164" w:name="_Toc10467"/>
      <w:bookmarkStart w:id="165" w:name="_Toc525062114"/>
    </w:p>
    <w:p w14:paraId="65AC48AE">
      <w:pPr>
        <w:spacing w:line="360" w:lineRule="auto"/>
        <w:jc w:val="center"/>
        <w:rPr>
          <w:rFonts w:hint="eastAsia" w:ascii="宋体" w:hAnsi="宋体" w:eastAsia="宋体" w:cs="宋体"/>
          <w:b/>
          <w:bCs/>
          <w:color w:val="auto"/>
          <w:sz w:val="28"/>
          <w:szCs w:val="28"/>
        </w:rPr>
      </w:pPr>
    </w:p>
    <w:p w14:paraId="23D04032">
      <w:pPr>
        <w:pStyle w:val="16"/>
        <w:ind w:firstLine="281"/>
        <w:rPr>
          <w:rFonts w:hint="eastAsia" w:ascii="宋体" w:hAnsi="宋体" w:eastAsia="宋体" w:cs="宋体"/>
          <w:b/>
          <w:bCs/>
          <w:color w:val="auto"/>
          <w:sz w:val="28"/>
          <w:szCs w:val="28"/>
        </w:rPr>
      </w:pPr>
    </w:p>
    <w:p w14:paraId="5DA499D6">
      <w:pPr>
        <w:pStyle w:val="17"/>
        <w:ind w:firstLine="562"/>
        <w:rPr>
          <w:rFonts w:hint="eastAsia" w:ascii="宋体" w:hAnsi="宋体" w:eastAsia="宋体" w:cs="宋体"/>
          <w:b/>
          <w:bCs/>
          <w:color w:val="auto"/>
          <w:sz w:val="28"/>
          <w:szCs w:val="28"/>
        </w:rPr>
      </w:pPr>
    </w:p>
    <w:bookmarkEnd w:id="164"/>
    <w:bookmarkEnd w:id="165"/>
    <w:p w14:paraId="6D11F116">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投标函附录</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660"/>
      </w:tblGrid>
      <w:tr w14:paraId="2C403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53E4C7A">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项目名称</w:t>
            </w:r>
          </w:p>
        </w:tc>
        <w:tc>
          <w:tcPr>
            <w:tcW w:w="6660" w:type="dxa"/>
            <w:noWrap w:val="0"/>
            <w:vAlign w:val="center"/>
          </w:tcPr>
          <w:p w14:paraId="19AE794B">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AF1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6867EF7">
            <w:pPr>
              <w:spacing w:line="360" w:lineRule="auto"/>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包段名称</w:t>
            </w:r>
          </w:p>
        </w:tc>
        <w:tc>
          <w:tcPr>
            <w:tcW w:w="6660" w:type="dxa"/>
            <w:noWrap w:val="0"/>
            <w:vAlign w:val="center"/>
          </w:tcPr>
          <w:p w14:paraId="4CAD4D28">
            <w:pPr>
              <w:spacing w:line="360" w:lineRule="auto"/>
              <w:jc w:val="center"/>
              <w:rPr>
                <w:rFonts w:hint="eastAsia" w:ascii="宋体" w:hAnsi="宋体" w:eastAsia="宋体" w:cs="宋体"/>
                <w:color w:val="auto"/>
                <w:sz w:val="24"/>
              </w:rPr>
            </w:pPr>
          </w:p>
        </w:tc>
      </w:tr>
      <w:tr w14:paraId="75FD9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7D28B8F2">
            <w:pPr>
              <w:spacing w:line="360" w:lineRule="auto"/>
              <w:jc w:val="center"/>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p>
        </w:tc>
        <w:tc>
          <w:tcPr>
            <w:tcW w:w="6660" w:type="dxa"/>
            <w:noWrap w:val="0"/>
            <w:vAlign w:val="center"/>
          </w:tcPr>
          <w:p w14:paraId="75C2BD8A">
            <w:pPr>
              <w:spacing w:line="360" w:lineRule="auto"/>
              <w:jc w:val="center"/>
              <w:rPr>
                <w:rFonts w:hint="eastAsia" w:ascii="宋体" w:hAnsi="宋体" w:eastAsia="宋体" w:cs="宋体"/>
                <w:color w:val="auto"/>
                <w:sz w:val="24"/>
              </w:rPr>
            </w:pPr>
          </w:p>
        </w:tc>
      </w:tr>
      <w:tr w14:paraId="15F60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2520" w:type="dxa"/>
            <w:noWrap w:val="0"/>
            <w:vAlign w:val="center"/>
          </w:tcPr>
          <w:p w14:paraId="238E78CC">
            <w:pPr>
              <w:spacing w:line="360" w:lineRule="auto"/>
              <w:jc w:val="center"/>
              <w:rPr>
                <w:rFonts w:hint="eastAsia" w:ascii="宋体" w:hAnsi="宋体" w:eastAsia="宋体" w:cs="宋体"/>
                <w:color w:val="auto"/>
              </w:rPr>
            </w:pPr>
            <w:r>
              <w:rPr>
                <w:rFonts w:hint="eastAsia" w:ascii="宋体" w:hAnsi="宋体" w:eastAsia="宋体" w:cs="宋体"/>
                <w:color w:val="auto"/>
                <w:sz w:val="24"/>
              </w:rPr>
              <w:t>投标报价</w:t>
            </w:r>
          </w:p>
        </w:tc>
        <w:tc>
          <w:tcPr>
            <w:tcW w:w="6660" w:type="dxa"/>
            <w:noWrap w:val="0"/>
            <w:vAlign w:val="center"/>
          </w:tcPr>
          <w:p w14:paraId="6090ADE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大写：</w:t>
            </w:r>
          </w:p>
          <w:p w14:paraId="107AC987">
            <w:pPr>
              <w:spacing w:line="360" w:lineRule="auto"/>
              <w:ind w:left="274" w:leftChars="114"/>
              <w:rPr>
                <w:rFonts w:hint="eastAsia" w:ascii="宋体" w:hAnsi="宋体" w:eastAsia="宋体" w:cs="宋体"/>
                <w:color w:val="auto"/>
                <w:sz w:val="24"/>
              </w:rPr>
            </w:pPr>
            <w:r>
              <w:rPr>
                <w:rFonts w:hint="eastAsia" w:ascii="宋体" w:hAnsi="宋体" w:eastAsia="宋体" w:cs="宋体"/>
                <w:color w:val="auto"/>
                <w:sz w:val="24"/>
              </w:rPr>
              <w:t xml:space="preserve">小写：                                </w:t>
            </w:r>
          </w:p>
        </w:tc>
      </w:tr>
      <w:tr w14:paraId="7EA0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5DD95EB0">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交货期</w:t>
            </w:r>
          </w:p>
        </w:tc>
        <w:tc>
          <w:tcPr>
            <w:tcW w:w="6660" w:type="dxa"/>
            <w:noWrap w:val="0"/>
            <w:vAlign w:val="center"/>
          </w:tcPr>
          <w:p w14:paraId="11CB2CA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w:t>
            </w:r>
          </w:p>
        </w:tc>
      </w:tr>
      <w:tr w14:paraId="17AE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D70FF4D">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质量要求 </w:t>
            </w:r>
          </w:p>
        </w:tc>
        <w:tc>
          <w:tcPr>
            <w:tcW w:w="6660" w:type="dxa"/>
            <w:noWrap w:val="0"/>
            <w:vAlign w:val="center"/>
          </w:tcPr>
          <w:p w14:paraId="1F934BEB">
            <w:pPr>
              <w:spacing w:line="360" w:lineRule="auto"/>
              <w:jc w:val="center"/>
              <w:rPr>
                <w:rFonts w:hint="eastAsia" w:ascii="宋体" w:hAnsi="宋体" w:eastAsia="宋体" w:cs="宋体"/>
                <w:color w:val="auto"/>
                <w:sz w:val="24"/>
              </w:rPr>
            </w:pPr>
          </w:p>
        </w:tc>
      </w:tr>
      <w:tr w14:paraId="3593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3D41EFD6">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投标有效期</w:t>
            </w:r>
          </w:p>
        </w:tc>
        <w:tc>
          <w:tcPr>
            <w:tcW w:w="6660" w:type="dxa"/>
            <w:noWrap w:val="0"/>
            <w:vAlign w:val="center"/>
          </w:tcPr>
          <w:p w14:paraId="23238409">
            <w:pPr>
              <w:spacing w:line="360" w:lineRule="auto"/>
              <w:jc w:val="center"/>
              <w:rPr>
                <w:rFonts w:hint="eastAsia" w:ascii="宋体" w:hAnsi="宋体" w:eastAsia="宋体" w:cs="宋体"/>
                <w:color w:val="auto"/>
                <w:sz w:val="24"/>
              </w:rPr>
            </w:pPr>
          </w:p>
        </w:tc>
      </w:tr>
      <w:tr w14:paraId="5D17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E24369E">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质保期</w:t>
            </w:r>
          </w:p>
        </w:tc>
        <w:tc>
          <w:tcPr>
            <w:tcW w:w="6660" w:type="dxa"/>
            <w:noWrap w:val="0"/>
            <w:vAlign w:val="center"/>
          </w:tcPr>
          <w:p w14:paraId="11C01753">
            <w:pPr>
              <w:spacing w:line="360" w:lineRule="auto"/>
              <w:jc w:val="center"/>
              <w:rPr>
                <w:rFonts w:hint="eastAsia" w:ascii="宋体" w:hAnsi="宋体" w:eastAsia="宋体" w:cs="宋体"/>
                <w:color w:val="auto"/>
                <w:sz w:val="24"/>
              </w:rPr>
            </w:pPr>
          </w:p>
        </w:tc>
      </w:tr>
      <w:tr w14:paraId="373C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2520" w:type="dxa"/>
            <w:noWrap w:val="0"/>
            <w:vAlign w:val="center"/>
          </w:tcPr>
          <w:p w14:paraId="1B32B597">
            <w:pPr>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 xml:space="preserve"> 其它说明</w:t>
            </w:r>
          </w:p>
        </w:tc>
        <w:tc>
          <w:tcPr>
            <w:tcW w:w="6660" w:type="dxa"/>
            <w:noWrap w:val="0"/>
            <w:vAlign w:val="center"/>
          </w:tcPr>
          <w:p w14:paraId="0C48BE84">
            <w:pPr>
              <w:spacing w:line="360" w:lineRule="auto"/>
              <w:jc w:val="center"/>
              <w:rPr>
                <w:rFonts w:hint="eastAsia" w:ascii="宋体" w:hAnsi="宋体" w:eastAsia="宋体" w:cs="宋体"/>
                <w:color w:val="auto"/>
                <w:sz w:val="24"/>
              </w:rPr>
            </w:pPr>
          </w:p>
        </w:tc>
      </w:tr>
    </w:tbl>
    <w:p w14:paraId="44A648E5">
      <w:pPr>
        <w:spacing w:line="360" w:lineRule="auto"/>
        <w:ind w:firstLine="480"/>
        <w:rPr>
          <w:rFonts w:hint="eastAsia" w:ascii="宋体" w:hAnsi="宋体" w:eastAsia="宋体" w:cs="宋体"/>
          <w:color w:val="auto"/>
          <w:sz w:val="24"/>
        </w:rPr>
      </w:pPr>
    </w:p>
    <w:p w14:paraId="3B9BA339">
      <w:pPr>
        <w:spacing w:line="360" w:lineRule="auto"/>
        <w:jc w:val="left"/>
        <w:rPr>
          <w:rFonts w:hint="eastAsia" w:ascii="宋体" w:hAnsi="宋体" w:eastAsia="宋体" w:cs="宋体"/>
          <w:color w:val="auto"/>
          <w:sz w:val="24"/>
        </w:rPr>
      </w:pPr>
    </w:p>
    <w:p w14:paraId="4C2B2189">
      <w:pPr>
        <w:pStyle w:val="16"/>
        <w:ind w:firstLine="210"/>
        <w:rPr>
          <w:rFonts w:hint="eastAsia" w:ascii="宋体" w:hAnsi="宋体" w:eastAsia="宋体" w:cs="宋体"/>
          <w:color w:val="auto"/>
        </w:rPr>
      </w:pPr>
    </w:p>
    <w:p w14:paraId="64A0C74D">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7D89FA58">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69ADF05C">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0BA4E904">
      <w:pPr>
        <w:pStyle w:val="3"/>
        <w:bidi w:val="0"/>
        <w:jc w:val="center"/>
        <w:rPr>
          <w:rFonts w:hint="eastAsia" w:ascii="宋体" w:hAnsi="宋体" w:eastAsia="宋体" w:cs="宋体"/>
          <w:color w:val="auto"/>
        </w:rPr>
      </w:pPr>
      <w:bookmarkStart w:id="166" w:name="_Toc31019"/>
      <w:bookmarkStart w:id="167" w:name="_Toc525062115"/>
      <w:r>
        <w:rPr>
          <w:rFonts w:hint="eastAsia" w:ascii="宋体" w:hAnsi="宋体" w:eastAsia="宋体" w:cs="宋体"/>
          <w:b w:val="0"/>
          <w:bCs w:val="0"/>
          <w:color w:val="auto"/>
          <w:sz w:val="24"/>
          <w:szCs w:val="24"/>
        </w:rPr>
        <w:br w:type="page"/>
      </w:r>
      <w:bookmarkEnd w:id="166"/>
      <w:bookmarkEnd w:id="167"/>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法定代表人身份证明</w:t>
      </w:r>
    </w:p>
    <w:p w14:paraId="23EEA76A">
      <w:pPr>
        <w:pStyle w:val="3"/>
        <w:spacing w:line="400" w:lineRule="exact"/>
        <w:jc w:val="center"/>
        <w:outlineLvl w:val="9"/>
        <w:rPr>
          <w:rFonts w:hint="eastAsia" w:ascii="宋体" w:hAnsi="宋体" w:eastAsia="宋体" w:cs="宋体"/>
          <w:color w:val="auto"/>
          <w:sz w:val="24"/>
        </w:rPr>
      </w:pPr>
    </w:p>
    <w:p w14:paraId="343C41E9">
      <w:pPr>
        <w:spacing w:line="360" w:lineRule="auto"/>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0FE9CE11">
      <w:pPr>
        <w:spacing w:line="360" w:lineRule="auto"/>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14:paraId="61AD3F69">
      <w:pPr>
        <w:spacing w:line="360" w:lineRule="auto"/>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14:paraId="4FCEFC80">
      <w:pPr>
        <w:spacing w:line="360" w:lineRule="auto"/>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13869430">
      <w:pPr>
        <w:spacing w:line="360" w:lineRule="auto"/>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14:paraId="65DADF53">
      <w:pPr>
        <w:spacing w:line="360" w:lineRule="auto"/>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14:paraId="69B78FEC">
      <w:pPr>
        <w:spacing w:line="360" w:lineRule="auto"/>
        <w:rPr>
          <w:rFonts w:hint="eastAsia" w:ascii="宋体" w:hAnsi="宋体" w:eastAsia="宋体" w:cs="宋体"/>
          <w:color w:val="auto"/>
          <w:sz w:val="24"/>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w:t>
      </w:r>
    </w:p>
    <w:p w14:paraId="0A92E6D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特此证明。</w:t>
      </w:r>
    </w:p>
    <w:p w14:paraId="0B566EDB">
      <w:pPr>
        <w:spacing w:line="360" w:lineRule="auto"/>
        <w:rPr>
          <w:rFonts w:hint="eastAsia" w:ascii="宋体" w:hAnsi="宋体" w:eastAsia="宋体" w:cs="宋体"/>
          <w:color w:val="auto"/>
          <w:sz w:val="24"/>
        </w:rPr>
      </w:pPr>
    </w:p>
    <w:p w14:paraId="52CF7B1A">
      <w:pPr>
        <w:pStyle w:val="16"/>
        <w:ind w:firstLine="240"/>
        <w:rPr>
          <w:rFonts w:hint="eastAsia" w:ascii="宋体" w:hAnsi="宋体" w:eastAsia="宋体" w:cs="宋体"/>
          <w:color w:val="auto"/>
          <w:sz w:val="24"/>
        </w:rPr>
      </w:pPr>
    </w:p>
    <w:p w14:paraId="165A736B">
      <w:pPr>
        <w:pStyle w:val="17"/>
        <w:rPr>
          <w:rFonts w:hint="eastAsia" w:ascii="宋体" w:hAnsi="宋体" w:eastAsia="宋体" w:cs="宋体"/>
          <w:color w:val="auto"/>
        </w:rPr>
      </w:pPr>
    </w:p>
    <w:p w14:paraId="7EE0750B">
      <w:pPr>
        <w:spacing w:line="360" w:lineRule="auto"/>
        <w:rPr>
          <w:rFonts w:hint="eastAsia" w:ascii="宋体" w:hAnsi="宋体" w:eastAsia="宋体" w:cs="宋体"/>
          <w:color w:val="auto"/>
          <w:sz w:val="24"/>
        </w:rPr>
      </w:pPr>
    </w:p>
    <w:p w14:paraId="053296DF">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lang w:eastAsia="zh-CN"/>
        </w:rPr>
        <w:t>供应商</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39F29836">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14:paraId="4D8CDA3A">
      <w:pPr>
        <w:spacing w:line="360" w:lineRule="auto"/>
        <w:rPr>
          <w:rFonts w:hint="eastAsia" w:ascii="宋体" w:hAnsi="宋体" w:eastAsia="宋体" w:cs="宋体"/>
          <w:color w:val="auto"/>
          <w:sz w:val="24"/>
        </w:rPr>
      </w:pPr>
    </w:p>
    <w:p w14:paraId="75EBEF4F">
      <w:pPr>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附：法定代表人身份证复印件</w:t>
      </w:r>
    </w:p>
    <w:p w14:paraId="4FCFBDE7">
      <w:pPr>
        <w:spacing w:line="360" w:lineRule="auto"/>
        <w:jc w:val="left"/>
        <w:rPr>
          <w:rFonts w:hint="eastAsia" w:ascii="宋体" w:hAnsi="宋体" w:eastAsia="宋体" w:cs="宋体"/>
          <w:color w:val="auto"/>
          <w:sz w:val="24"/>
        </w:rPr>
      </w:pPr>
    </w:p>
    <w:p w14:paraId="1DA2EE47">
      <w:pPr>
        <w:pStyle w:val="16"/>
        <w:ind w:firstLine="240"/>
        <w:rPr>
          <w:rFonts w:hint="eastAsia" w:ascii="宋体" w:hAnsi="宋体" w:eastAsia="宋体" w:cs="宋体"/>
          <w:color w:val="auto"/>
          <w:sz w:val="24"/>
        </w:rPr>
      </w:pPr>
    </w:p>
    <w:p w14:paraId="073F677C">
      <w:pPr>
        <w:pStyle w:val="17"/>
        <w:ind w:firstLine="480"/>
        <w:rPr>
          <w:rFonts w:hint="eastAsia" w:ascii="宋体" w:hAnsi="宋体" w:eastAsia="宋体" w:cs="宋体"/>
          <w:color w:val="auto"/>
          <w:sz w:val="24"/>
        </w:rPr>
      </w:pPr>
    </w:p>
    <w:p w14:paraId="5F739576">
      <w:pPr>
        <w:rPr>
          <w:rFonts w:hint="eastAsia" w:ascii="宋体" w:hAnsi="宋体" w:eastAsia="宋体" w:cs="宋体"/>
          <w:color w:val="auto"/>
          <w:sz w:val="24"/>
        </w:rPr>
      </w:pPr>
    </w:p>
    <w:p w14:paraId="52386551">
      <w:pPr>
        <w:pStyle w:val="16"/>
        <w:ind w:firstLine="240"/>
        <w:rPr>
          <w:rFonts w:hint="eastAsia" w:ascii="宋体" w:hAnsi="宋体" w:eastAsia="宋体" w:cs="宋体"/>
          <w:color w:val="auto"/>
          <w:sz w:val="24"/>
        </w:rPr>
      </w:pPr>
    </w:p>
    <w:p w14:paraId="6516E118">
      <w:pPr>
        <w:pStyle w:val="17"/>
        <w:ind w:firstLine="480"/>
        <w:rPr>
          <w:rFonts w:hint="eastAsia" w:ascii="宋体" w:hAnsi="宋体" w:eastAsia="宋体" w:cs="宋体"/>
          <w:color w:val="auto"/>
          <w:sz w:val="24"/>
        </w:rPr>
      </w:pPr>
    </w:p>
    <w:p w14:paraId="44E79066">
      <w:pPr>
        <w:rPr>
          <w:rFonts w:hint="eastAsia" w:ascii="宋体" w:hAnsi="宋体" w:eastAsia="宋体" w:cs="宋体"/>
          <w:color w:val="auto"/>
          <w:sz w:val="24"/>
        </w:rPr>
      </w:pPr>
    </w:p>
    <w:p w14:paraId="1046FB26">
      <w:pPr>
        <w:pStyle w:val="16"/>
        <w:ind w:firstLine="240"/>
        <w:rPr>
          <w:rFonts w:hint="eastAsia" w:ascii="宋体" w:hAnsi="宋体" w:eastAsia="宋体" w:cs="宋体"/>
          <w:color w:val="auto"/>
          <w:sz w:val="24"/>
        </w:rPr>
      </w:pPr>
    </w:p>
    <w:p w14:paraId="76223DB3">
      <w:pPr>
        <w:pStyle w:val="17"/>
        <w:ind w:firstLine="480"/>
        <w:rPr>
          <w:rFonts w:hint="eastAsia" w:ascii="宋体" w:hAnsi="宋体" w:eastAsia="宋体" w:cs="宋体"/>
          <w:color w:val="auto"/>
          <w:sz w:val="24"/>
        </w:rPr>
      </w:pPr>
    </w:p>
    <w:p w14:paraId="1BAE15A4">
      <w:pPr>
        <w:pStyle w:val="3"/>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fldChar w:fldCharType="begin"/>
      </w:r>
      <w:r>
        <w:rPr>
          <w:rFonts w:hint="eastAsia" w:ascii="宋体" w:hAnsi="宋体" w:eastAsia="宋体" w:cs="宋体"/>
          <w:b/>
          <w:bCs/>
          <w:color w:val="auto"/>
          <w:sz w:val="28"/>
          <w:szCs w:val="28"/>
        </w:rPr>
        <w:instrText xml:space="preserve">HYPERLINK \l "_Toc14910"</w:instrText>
      </w:r>
      <w:r>
        <w:rPr>
          <w:rFonts w:hint="eastAsia" w:ascii="宋体" w:hAnsi="宋体" w:eastAsia="宋体" w:cs="宋体"/>
          <w:b/>
          <w:bCs/>
          <w:color w:val="auto"/>
          <w:sz w:val="28"/>
          <w:szCs w:val="28"/>
        </w:rPr>
        <w:fldChar w:fldCharType="separate"/>
      </w:r>
      <w:r>
        <w:rPr>
          <w:rFonts w:hint="eastAsia" w:ascii="宋体" w:hAnsi="宋体" w:eastAsia="宋体" w:cs="宋体"/>
          <w:b/>
          <w:bCs/>
          <w:color w:val="auto"/>
          <w:sz w:val="28"/>
          <w:szCs w:val="28"/>
        </w:rPr>
        <w:t>授权</w:t>
      </w:r>
      <w:r>
        <w:rPr>
          <w:rFonts w:hint="eastAsia" w:ascii="宋体" w:hAnsi="宋体" w:eastAsia="宋体" w:cs="宋体"/>
          <w:b/>
          <w:bCs/>
          <w:color w:val="auto"/>
          <w:sz w:val="28"/>
          <w:szCs w:val="28"/>
          <w:lang w:val="en-US" w:eastAsia="zh-CN"/>
        </w:rPr>
        <w:t>委托</w:t>
      </w:r>
      <w:r>
        <w:rPr>
          <w:rFonts w:hint="eastAsia" w:ascii="宋体" w:hAnsi="宋体" w:eastAsia="宋体" w:cs="宋体"/>
          <w:b/>
          <w:bCs/>
          <w:color w:val="auto"/>
          <w:sz w:val="28"/>
          <w:szCs w:val="28"/>
        </w:rPr>
        <w:t>书</w:t>
      </w:r>
      <w:r>
        <w:rPr>
          <w:rFonts w:hint="eastAsia" w:ascii="宋体" w:hAnsi="宋体" w:eastAsia="宋体" w:cs="宋体"/>
          <w:b/>
          <w:bCs/>
          <w:color w:val="auto"/>
          <w:sz w:val="28"/>
          <w:szCs w:val="28"/>
        </w:rPr>
        <w:fldChar w:fldCharType="end"/>
      </w:r>
    </w:p>
    <w:p w14:paraId="0447D16F">
      <w:pPr>
        <w:spacing w:line="360" w:lineRule="auto"/>
        <w:rPr>
          <w:rFonts w:hint="eastAsia" w:ascii="宋体" w:hAnsi="宋体" w:eastAsia="宋体" w:cs="宋体"/>
          <w:color w:val="auto"/>
          <w:sz w:val="24"/>
        </w:rPr>
      </w:pPr>
    </w:p>
    <w:p w14:paraId="298E3BFF">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本人 </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z w:val="24"/>
          <w:lang w:eastAsia="zh-CN"/>
        </w:rPr>
        <w:t>供应商</w:t>
      </w:r>
      <w:r>
        <w:rPr>
          <w:rFonts w:hint="eastAsia" w:ascii="宋体" w:hAnsi="宋体" w:eastAsia="宋体" w:cs="宋体"/>
          <w:color w:val="auto"/>
          <w:sz w:val="24"/>
        </w:rPr>
        <w:t>名称）的法定代表人，现委托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（姓名）为我方代理人。代理人根据授权，以我方名义签署、澄清、说明、补正、递交、撤回、修改</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包 投标</w:t>
      </w:r>
      <w:r>
        <w:rPr>
          <w:rFonts w:hint="eastAsia" w:ascii="宋体" w:hAnsi="宋体" w:eastAsia="宋体" w:cs="宋体"/>
          <w:color w:val="auto"/>
          <w:sz w:val="24"/>
        </w:rPr>
        <w:t>文件、签订合同和处理有关事宜，其法律后果由我方承担。</w:t>
      </w:r>
    </w:p>
    <w:p w14:paraId="244B06EB">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p>
    <w:p w14:paraId="008886CE">
      <w:pPr>
        <w:autoSpaceDE w:val="0"/>
        <w:autoSpaceDN w:val="0"/>
        <w:adjustRightIn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代理人无转委托权。</w:t>
      </w:r>
    </w:p>
    <w:p w14:paraId="19E143B2">
      <w:pPr>
        <w:autoSpaceDE w:val="0"/>
        <w:autoSpaceDN w:val="0"/>
        <w:adjustRightInd w:val="0"/>
        <w:spacing w:line="360" w:lineRule="auto"/>
        <w:ind w:firstLine="480" w:firstLineChars="200"/>
        <w:rPr>
          <w:rFonts w:hint="eastAsia" w:ascii="宋体" w:hAnsi="宋体" w:eastAsia="宋体" w:cs="宋体"/>
          <w:color w:val="auto"/>
          <w:sz w:val="22"/>
          <w:szCs w:val="22"/>
        </w:rPr>
      </w:pPr>
      <w:r>
        <w:rPr>
          <w:rFonts w:hint="eastAsia" w:ascii="宋体" w:hAnsi="宋体" w:eastAsia="宋体" w:cs="宋体"/>
          <w:color w:val="auto"/>
          <w:sz w:val="24"/>
        </w:rPr>
        <w:t>附：法定代表人身份证复印件及代理人身份证复印件</w:t>
      </w:r>
    </w:p>
    <w:p w14:paraId="37A6520E">
      <w:pPr>
        <w:pStyle w:val="34"/>
        <w:rPr>
          <w:rFonts w:hint="eastAsia" w:ascii="宋体" w:hAnsi="宋体" w:eastAsia="宋体" w:cs="宋体"/>
          <w:color w:val="auto"/>
          <w:sz w:val="24"/>
        </w:rPr>
      </w:pPr>
    </w:p>
    <w:p w14:paraId="496A5B6F">
      <w:pPr>
        <w:pStyle w:val="34"/>
        <w:rPr>
          <w:rFonts w:hint="eastAsia" w:ascii="宋体" w:hAnsi="宋体" w:eastAsia="宋体" w:cs="宋体"/>
          <w:color w:val="auto"/>
          <w:sz w:val="24"/>
        </w:rPr>
      </w:pPr>
    </w:p>
    <w:p w14:paraId="3E0B6786">
      <w:pPr>
        <w:pStyle w:val="34"/>
        <w:rPr>
          <w:rFonts w:hint="eastAsia" w:ascii="宋体" w:hAnsi="宋体" w:eastAsia="宋体" w:cs="宋体"/>
          <w:color w:val="auto"/>
          <w:sz w:val="24"/>
        </w:rPr>
      </w:pPr>
    </w:p>
    <w:p w14:paraId="303FB4AE">
      <w:pPr>
        <w:pStyle w:val="34"/>
        <w:rPr>
          <w:rFonts w:hint="eastAsia" w:ascii="宋体" w:hAnsi="宋体" w:eastAsia="宋体" w:cs="宋体"/>
          <w:color w:val="auto"/>
          <w:sz w:val="24"/>
        </w:rPr>
      </w:pPr>
    </w:p>
    <w:p w14:paraId="1555DFCE">
      <w:pPr>
        <w:pStyle w:val="34"/>
        <w:rPr>
          <w:rFonts w:hint="eastAsia" w:ascii="宋体" w:hAnsi="宋体" w:eastAsia="宋体" w:cs="宋体"/>
          <w:color w:val="auto"/>
          <w:sz w:val="24"/>
        </w:rPr>
      </w:pPr>
    </w:p>
    <w:p w14:paraId="0EA5F6F5">
      <w:pPr>
        <w:pStyle w:val="34"/>
        <w:rPr>
          <w:rFonts w:hint="eastAsia" w:ascii="宋体" w:hAnsi="宋体" w:eastAsia="宋体" w:cs="宋体"/>
          <w:color w:val="auto"/>
          <w:sz w:val="24"/>
        </w:rPr>
      </w:pPr>
    </w:p>
    <w:p w14:paraId="2A4A1F67">
      <w:pPr>
        <w:pStyle w:val="34"/>
        <w:rPr>
          <w:rFonts w:hint="eastAsia" w:ascii="宋体" w:hAnsi="宋体" w:eastAsia="宋体" w:cs="宋体"/>
          <w:color w:val="auto"/>
          <w:sz w:val="24"/>
        </w:rPr>
      </w:pPr>
    </w:p>
    <w:p w14:paraId="3D0F6DB1">
      <w:pPr>
        <w:pStyle w:val="34"/>
        <w:rPr>
          <w:rFonts w:hint="eastAsia" w:ascii="宋体" w:hAnsi="宋体" w:eastAsia="宋体" w:cs="宋体"/>
          <w:color w:val="auto"/>
          <w:sz w:val="24"/>
        </w:rPr>
      </w:pPr>
    </w:p>
    <w:p w14:paraId="1858ACB0">
      <w:pPr>
        <w:pStyle w:val="34"/>
        <w:rPr>
          <w:rFonts w:hint="eastAsia" w:ascii="宋体" w:hAnsi="宋体" w:eastAsia="宋体" w:cs="宋体"/>
          <w:color w:val="auto"/>
          <w:sz w:val="24"/>
        </w:rPr>
      </w:pPr>
    </w:p>
    <w:p w14:paraId="36F030ED">
      <w:pPr>
        <w:pStyle w:val="34"/>
        <w:rPr>
          <w:rFonts w:hint="eastAsia" w:ascii="宋体" w:hAnsi="宋体" w:eastAsia="宋体" w:cs="宋体"/>
          <w:color w:val="auto"/>
          <w:sz w:val="24"/>
        </w:rPr>
      </w:pPr>
    </w:p>
    <w:p w14:paraId="6B5EAB52">
      <w:pPr>
        <w:pStyle w:val="34"/>
        <w:rPr>
          <w:rFonts w:hint="eastAsia" w:ascii="宋体" w:hAnsi="宋体" w:eastAsia="宋体" w:cs="宋体"/>
          <w:color w:val="auto"/>
          <w:sz w:val="24"/>
        </w:rPr>
      </w:pPr>
    </w:p>
    <w:p w14:paraId="02B76424">
      <w:pPr>
        <w:pStyle w:val="34"/>
        <w:rPr>
          <w:rFonts w:hint="eastAsia" w:ascii="宋体" w:hAnsi="宋体" w:eastAsia="宋体" w:cs="宋体"/>
          <w:color w:val="auto"/>
          <w:sz w:val="24"/>
        </w:rPr>
      </w:pPr>
    </w:p>
    <w:p w14:paraId="5A7D4181">
      <w:pPr>
        <w:pStyle w:val="34"/>
        <w:rPr>
          <w:rFonts w:hint="eastAsia" w:ascii="宋体" w:hAnsi="宋体" w:eastAsia="宋体" w:cs="宋体"/>
          <w:color w:val="auto"/>
          <w:sz w:val="24"/>
        </w:rPr>
      </w:pPr>
    </w:p>
    <w:p w14:paraId="1574713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供  应  商：</w:t>
      </w:r>
      <w:r>
        <w:rPr>
          <w:rFonts w:hint="eastAsia" w:ascii="宋体" w:hAnsi="宋体" w:eastAsia="宋体" w:cs="宋体"/>
          <w:color w:val="auto"/>
          <w:sz w:val="24"/>
          <w:u w:val="single"/>
        </w:rPr>
        <w:t xml:space="preserve">                           </w:t>
      </w:r>
      <w:r>
        <w:rPr>
          <w:rFonts w:hint="eastAsia" w:ascii="宋体" w:hAnsi="宋体" w:eastAsia="宋体" w:cs="宋体"/>
          <w:color w:val="auto"/>
          <w:sz w:val="24"/>
        </w:rPr>
        <w:t>（盖单位章）</w:t>
      </w:r>
    </w:p>
    <w:p w14:paraId="71181012">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（签电子章）</w:t>
      </w:r>
    </w:p>
    <w:p w14:paraId="65D10D9C">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BABF338">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（签字或盖章）</w:t>
      </w:r>
    </w:p>
    <w:p w14:paraId="4AB929AE">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p>
    <w:p w14:paraId="7FB6130B">
      <w:pPr>
        <w:autoSpaceDE w:val="0"/>
        <w:autoSpaceDN w:val="0"/>
        <w:adjustRightInd w:val="0"/>
        <w:spacing w:line="360" w:lineRule="auto"/>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日</w:t>
      </w:r>
    </w:p>
    <w:p w14:paraId="64E97CF2">
      <w:pPr>
        <w:spacing w:line="360" w:lineRule="auto"/>
        <w:ind w:firstLine="720" w:firstLineChars="300"/>
        <w:rPr>
          <w:rFonts w:hint="eastAsia" w:ascii="宋体" w:hAnsi="宋体" w:eastAsia="宋体" w:cs="宋体"/>
          <w:color w:val="auto"/>
          <w:sz w:val="24"/>
        </w:rPr>
      </w:pPr>
    </w:p>
    <w:p w14:paraId="42E0BA58">
      <w:pPr>
        <w:widowControl/>
        <w:adjustRightInd w:val="0"/>
        <w:spacing w:line="360" w:lineRule="auto"/>
        <w:jc w:val="left"/>
        <w:rPr>
          <w:rFonts w:hint="eastAsia" w:ascii="宋体" w:hAnsi="宋体" w:eastAsia="宋体" w:cs="宋体"/>
          <w:b/>
          <w:bCs/>
          <w:color w:val="auto"/>
          <w:kern w:val="0"/>
          <w:sz w:val="24"/>
          <w:highlight w:val="none"/>
        </w:rPr>
      </w:pPr>
      <w:bookmarkStart w:id="168" w:name="_Toc525062116"/>
      <w:bookmarkStart w:id="169" w:name="_Toc10140"/>
      <w:r>
        <w:rPr>
          <w:rFonts w:hint="eastAsia" w:ascii="宋体" w:hAnsi="宋体" w:eastAsia="宋体" w:cs="宋体"/>
          <w:b/>
          <w:bCs/>
          <w:color w:val="auto"/>
          <w:kern w:val="0"/>
          <w:sz w:val="24"/>
          <w:highlight w:val="none"/>
        </w:rPr>
        <w:t>注：因投标文件中授权委托书授权代理人无法手写签字，可以以印刷体代替（印刷体为电脑打出的字体）或者法定代表人电子签章代替。</w:t>
      </w:r>
    </w:p>
    <w:p w14:paraId="4CDE9E98">
      <w:pPr>
        <w:pStyle w:val="3"/>
        <w:bidi w:val="0"/>
        <w:jc w:val="center"/>
        <w:rPr>
          <w:rFonts w:hint="eastAsia" w:ascii="宋体" w:hAnsi="宋体" w:eastAsia="宋体" w:cs="宋体"/>
          <w:color w:val="auto"/>
          <w:sz w:val="28"/>
          <w:szCs w:val="28"/>
        </w:rPr>
      </w:pPr>
      <w:r>
        <w:rPr>
          <w:rFonts w:hint="eastAsia" w:ascii="宋体" w:hAnsi="宋体" w:eastAsia="宋体" w:cs="宋体"/>
          <w:b w:val="0"/>
          <w:bCs w:val="0"/>
          <w:color w:val="auto"/>
          <w:sz w:val="24"/>
          <w:szCs w:val="24"/>
        </w:rPr>
        <w:br w:type="page"/>
      </w:r>
      <w:bookmarkEnd w:id="168"/>
      <w:bookmarkEnd w:id="169"/>
      <w:r>
        <w:rPr>
          <w:rFonts w:hint="eastAsia" w:ascii="宋体" w:hAnsi="宋体" w:eastAsia="宋体" w:cs="宋体"/>
          <w:color w:val="auto"/>
          <w:sz w:val="28"/>
          <w:szCs w:val="28"/>
          <w:lang w:val="en-US" w:eastAsia="zh-CN"/>
        </w:rPr>
        <w:t>四、</w:t>
      </w:r>
      <w:r>
        <w:rPr>
          <w:rFonts w:hint="eastAsia" w:ascii="宋体" w:hAnsi="宋体" w:eastAsia="宋体" w:cs="宋体"/>
          <w:color w:val="auto"/>
          <w:sz w:val="28"/>
          <w:szCs w:val="28"/>
        </w:rPr>
        <w:t>报价明细表</w:t>
      </w:r>
    </w:p>
    <w:p w14:paraId="6535349C">
      <w:pPr>
        <w:pStyle w:val="3"/>
        <w:spacing w:line="400" w:lineRule="exact"/>
        <w:outlineLvl w:val="9"/>
        <w:rPr>
          <w:rFonts w:hint="eastAsia" w:ascii="宋体" w:hAnsi="宋体" w:eastAsia="宋体" w:cs="宋体"/>
          <w:color w:val="auto"/>
          <w:sz w:val="28"/>
          <w:szCs w:val="28"/>
        </w:rPr>
      </w:pPr>
    </w:p>
    <w:p w14:paraId="707DC64A">
      <w:pPr>
        <w:rPr>
          <w:rFonts w:hint="eastAsia" w:ascii="宋体" w:hAnsi="宋体" w:eastAsia="宋体" w:cs="宋体"/>
          <w:color w:val="auto"/>
          <w:sz w:val="24"/>
          <w:u w:val="single"/>
        </w:rPr>
      </w:pPr>
      <w:r>
        <w:rPr>
          <w:rFonts w:hint="eastAsia" w:ascii="宋体" w:hAnsi="宋体" w:eastAsia="宋体" w:cs="宋体"/>
          <w:color w:val="auto"/>
          <w:sz w:val="24"/>
          <w:lang w:eastAsia="zh-CN"/>
        </w:rPr>
        <w:t>供应商</w:t>
      </w:r>
      <w:r>
        <w:rPr>
          <w:rFonts w:hint="eastAsia" w:ascii="宋体" w:hAnsi="宋体" w:eastAsia="宋体" w:cs="宋体"/>
          <w:color w:val="auto"/>
          <w:sz w:val="24"/>
        </w:rPr>
        <w:t>名称：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金额单位：人民币元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58"/>
        <w:gridCol w:w="883"/>
        <w:gridCol w:w="898"/>
        <w:gridCol w:w="858"/>
        <w:gridCol w:w="922"/>
        <w:gridCol w:w="890"/>
        <w:gridCol w:w="1431"/>
        <w:gridCol w:w="887"/>
      </w:tblGrid>
      <w:tr w14:paraId="0F90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AFBCE7B">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序号</w:t>
            </w: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2D7452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产品名称</w:t>
            </w:r>
          </w:p>
        </w:tc>
        <w:tc>
          <w:tcPr>
            <w:tcW w:w="883" w:type="dxa"/>
            <w:tcBorders>
              <w:top w:val="single" w:color="auto" w:sz="4" w:space="0"/>
              <w:left w:val="single" w:color="auto" w:sz="4" w:space="0"/>
              <w:bottom w:val="single" w:color="auto" w:sz="4" w:space="0"/>
              <w:right w:val="single" w:color="auto" w:sz="4" w:space="0"/>
            </w:tcBorders>
            <w:noWrap w:val="0"/>
            <w:vAlign w:val="center"/>
          </w:tcPr>
          <w:p w14:paraId="70EC14B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品牌</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B10983">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规格型号</w:t>
            </w:r>
          </w:p>
        </w:tc>
        <w:tc>
          <w:tcPr>
            <w:tcW w:w="858" w:type="dxa"/>
            <w:tcBorders>
              <w:top w:val="single" w:color="auto" w:sz="4" w:space="0"/>
              <w:left w:val="single" w:color="auto" w:sz="4" w:space="0"/>
              <w:bottom w:val="single" w:color="auto" w:sz="4" w:space="0"/>
              <w:right w:val="single" w:color="auto" w:sz="4" w:space="0"/>
            </w:tcBorders>
            <w:noWrap w:val="0"/>
            <w:vAlign w:val="center"/>
          </w:tcPr>
          <w:p w14:paraId="20DDBC0E">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单位</w:t>
            </w:r>
          </w:p>
        </w:tc>
        <w:tc>
          <w:tcPr>
            <w:tcW w:w="922" w:type="dxa"/>
            <w:tcBorders>
              <w:top w:val="single" w:color="auto" w:sz="4" w:space="0"/>
              <w:left w:val="single" w:color="auto" w:sz="4" w:space="0"/>
              <w:bottom w:val="single" w:color="auto" w:sz="4" w:space="0"/>
              <w:right w:val="single" w:color="auto" w:sz="4" w:space="0"/>
            </w:tcBorders>
            <w:noWrap w:val="0"/>
            <w:vAlign w:val="center"/>
          </w:tcPr>
          <w:p w14:paraId="4EED82A0">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数量</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613D692">
            <w:pPr>
              <w:snapToGrid w:val="0"/>
              <w:spacing w:line="400" w:lineRule="exact"/>
              <w:jc w:val="center"/>
              <w:rPr>
                <w:rFonts w:hint="eastAsia" w:ascii="宋体" w:hAnsi="宋体" w:eastAsia="宋体" w:cs="宋体"/>
                <w:color w:val="auto"/>
                <w:sz w:val="24"/>
              </w:rPr>
            </w:pPr>
            <w:r>
              <w:rPr>
                <w:rFonts w:hint="eastAsia" w:ascii="宋体" w:hAnsi="宋体" w:eastAsia="宋体" w:cs="宋体"/>
                <w:color w:val="auto"/>
                <w:sz w:val="24"/>
              </w:rPr>
              <w:t>单价</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E0BF5F">
            <w:pPr>
              <w:snapToGrid w:val="0"/>
              <w:spacing w:line="4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总价</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100EDC">
            <w:pPr>
              <w:snapToGrid w:val="0"/>
              <w:spacing w:line="400" w:lineRule="exact"/>
              <w:ind w:firstLine="120" w:firstLineChars="50"/>
              <w:jc w:val="center"/>
              <w:rPr>
                <w:rFonts w:hint="eastAsia" w:ascii="宋体" w:hAnsi="宋体" w:eastAsia="宋体" w:cs="宋体"/>
                <w:color w:val="auto"/>
                <w:sz w:val="24"/>
              </w:rPr>
            </w:pPr>
            <w:r>
              <w:rPr>
                <w:rFonts w:hint="eastAsia" w:ascii="宋体" w:hAnsi="宋体" w:eastAsia="宋体" w:cs="宋体"/>
                <w:color w:val="auto"/>
                <w:sz w:val="24"/>
              </w:rPr>
              <w:t>备注</w:t>
            </w:r>
          </w:p>
        </w:tc>
      </w:tr>
      <w:tr w14:paraId="0161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72DCEB35">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686E631D">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F031DAA">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B610946">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369B8CCA">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2D4FAA2F">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B4CD964">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F3405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B85262">
            <w:pPr>
              <w:snapToGrid w:val="0"/>
              <w:spacing w:line="400" w:lineRule="exact"/>
              <w:jc w:val="center"/>
              <w:rPr>
                <w:rFonts w:hint="eastAsia" w:ascii="宋体" w:hAnsi="宋体" w:eastAsia="宋体" w:cs="宋体"/>
                <w:color w:val="auto"/>
                <w:sz w:val="24"/>
              </w:rPr>
            </w:pPr>
          </w:p>
        </w:tc>
      </w:tr>
      <w:tr w14:paraId="3505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54B2E9A">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0223858B">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C3627D6">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5E1AC83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0283BBD">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28E0CC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0031A1D1">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69B1336">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3D00B2A">
            <w:pPr>
              <w:snapToGrid w:val="0"/>
              <w:spacing w:line="400" w:lineRule="exact"/>
              <w:jc w:val="center"/>
              <w:rPr>
                <w:rFonts w:hint="eastAsia" w:ascii="宋体" w:hAnsi="宋体" w:eastAsia="宋体" w:cs="宋体"/>
                <w:color w:val="auto"/>
                <w:sz w:val="24"/>
              </w:rPr>
            </w:pPr>
          </w:p>
        </w:tc>
      </w:tr>
      <w:tr w14:paraId="01D3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F9C97AE">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78FF34A6">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2B83BE4D">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12BDDB2F">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09A7EF9C">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43B344FA">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5ED06056">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9FBC1BA">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9A43DCA">
            <w:pPr>
              <w:snapToGrid w:val="0"/>
              <w:spacing w:line="400" w:lineRule="exact"/>
              <w:jc w:val="center"/>
              <w:rPr>
                <w:rFonts w:hint="eastAsia" w:ascii="宋体" w:hAnsi="宋体" w:eastAsia="宋体" w:cs="宋体"/>
                <w:color w:val="auto"/>
                <w:sz w:val="24"/>
              </w:rPr>
            </w:pPr>
          </w:p>
        </w:tc>
      </w:tr>
      <w:tr w14:paraId="531E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0A442B5F">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2508554A">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47C18F4F">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279241E9">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40A6A9A3">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5AD45D70">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45FB2C">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35C67B7">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6F891CD">
            <w:pPr>
              <w:snapToGrid w:val="0"/>
              <w:spacing w:line="400" w:lineRule="exact"/>
              <w:jc w:val="center"/>
              <w:rPr>
                <w:rFonts w:hint="eastAsia" w:ascii="宋体" w:hAnsi="宋体" w:eastAsia="宋体" w:cs="宋体"/>
                <w:color w:val="auto"/>
                <w:sz w:val="24"/>
              </w:rPr>
            </w:pPr>
          </w:p>
        </w:tc>
      </w:tr>
      <w:tr w14:paraId="20D6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628F8056">
            <w:pPr>
              <w:snapToGrid w:val="0"/>
              <w:spacing w:line="400" w:lineRule="exact"/>
              <w:jc w:val="center"/>
              <w:rPr>
                <w:rFonts w:hint="eastAsia" w:ascii="宋体" w:hAnsi="宋体" w:eastAsia="宋体" w:cs="宋体"/>
                <w:color w:val="auto"/>
                <w:sz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14:paraId="36EB9F1C">
            <w:pPr>
              <w:snapToGrid w:val="0"/>
              <w:spacing w:line="400" w:lineRule="exact"/>
              <w:jc w:val="center"/>
              <w:rPr>
                <w:rFonts w:hint="eastAsia" w:ascii="宋体" w:hAnsi="宋体" w:eastAsia="宋体" w:cs="宋体"/>
                <w:color w:val="auto"/>
                <w:sz w:val="24"/>
              </w:rPr>
            </w:pPr>
          </w:p>
        </w:tc>
        <w:tc>
          <w:tcPr>
            <w:tcW w:w="883" w:type="dxa"/>
            <w:tcBorders>
              <w:top w:val="single" w:color="auto" w:sz="4" w:space="0"/>
              <w:left w:val="single" w:color="auto" w:sz="4" w:space="0"/>
              <w:bottom w:val="single" w:color="auto" w:sz="4" w:space="0"/>
              <w:right w:val="single" w:color="auto" w:sz="4" w:space="0"/>
            </w:tcBorders>
            <w:noWrap w:val="0"/>
            <w:vAlign w:val="center"/>
          </w:tcPr>
          <w:p w14:paraId="3A080D59">
            <w:pPr>
              <w:snapToGrid w:val="0"/>
              <w:spacing w:line="400" w:lineRule="exact"/>
              <w:jc w:val="center"/>
              <w:rPr>
                <w:rFonts w:hint="eastAsia" w:ascii="宋体" w:hAnsi="宋体" w:eastAsia="宋体" w:cs="宋体"/>
                <w:color w:val="auto"/>
                <w:sz w:val="24"/>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0E8BA972">
            <w:pPr>
              <w:snapToGrid w:val="0"/>
              <w:spacing w:line="400" w:lineRule="exact"/>
              <w:jc w:val="center"/>
              <w:rPr>
                <w:rFonts w:hint="eastAsia" w:ascii="宋体" w:hAnsi="宋体" w:eastAsia="宋体" w:cs="宋体"/>
                <w:color w:val="auto"/>
                <w:sz w:val="24"/>
              </w:rPr>
            </w:pPr>
          </w:p>
        </w:tc>
        <w:tc>
          <w:tcPr>
            <w:tcW w:w="858" w:type="dxa"/>
            <w:tcBorders>
              <w:top w:val="single" w:color="auto" w:sz="4" w:space="0"/>
              <w:left w:val="single" w:color="auto" w:sz="4" w:space="0"/>
              <w:bottom w:val="single" w:color="auto" w:sz="4" w:space="0"/>
              <w:right w:val="single" w:color="auto" w:sz="4" w:space="0"/>
            </w:tcBorders>
            <w:noWrap w:val="0"/>
            <w:vAlign w:val="center"/>
          </w:tcPr>
          <w:p w14:paraId="5A097255">
            <w:pPr>
              <w:snapToGrid w:val="0"/>
              <w:spacing w:line="400" w:lineRule="exact"/>
              <w:jc w:val="center"/>
              <w:rPr>
                <w:rFonts w:hint="eastAsia" w:ascii="宋体" w:hAnsi="宋体" w:eastAsia="宋体" w:cs="宋体"/>
                <w:color w:val="auto"/>
                <w:sz w:val="24"/>
              </w:rPr>
            </w:pPr>
          </w:p>
        </w:tc>
        <w:tc>
          <w:tcPr>
            <w:tcW w:w="922" w:type="dxa"/>
            <w:tcBorders>
              <w:top w:val="single" w:color="auto" w:sz="4" w:space="0"/>
              <w:left w:val="single" w:color="auto" w:sz="4" w:space="0"/>
              <w:bottom w:val="single" w:color="auto" w:sz="4" w:space="0"/>
              <w:right w:val="single" w:color="auto" w:sz="4" w:space="0"/>
            </w:tcBorders>
            <w:noWrap w:val="0"/>
            <w:vAlign w:val="center"/>
          </w:tcPr>
          <w:p w14:paraId="66A9C1DC">
            <w:pPr>
              <w:snapToGrid w:val="0"/>
              <w:spacing w:line="400" w:lineRule="exact"/>
              <w:jc w:val="center"/>
              <w:rPr>
                <w:rFonts w:hint="eastAsia" w:ascii="宋体" w:hAnsi="宋体" w:eastAsia="宋体" w:cs="宋体"/>
                <w:color w:val="auto"/>
                <w:sz w:val="24"/>
              </w:rPr>
            </w:pPr>
          </w:p>
        </w:tc>
        <w:tc>
          <w:tcPr>
            <w:tcW w:w="890" w:type="dxa"/>
            <w:tcBorders>
              <w:top w:val="single" w:color="auto" w:sz="4" w:space="0"/>
              <w:left w:val="single" w:color="auto" w:sz="4" w:space="0"/>
              <w:bottom w:val="single" w:color="auto" w:sz="4" w:space="0"/>
              <w:right w:val="single" w:color="auto" w:sz="4" w:space="0"/>
            </w:tcBorders>
            <w:noWrap w:val="0"/>
            <w:vAlign w:val="center"/>
          </w:tcPr>
          <w:p w14:paraId="6FB5DDEE">
            <w:pPr>
              <w:snapToGrid w:val="0"/>
              <w:spacing w:line="400" w:lineRule="exact"/>
              <w:jc w:val="center"/>
              <w:rPr>
                <w:rFonts w:hint="eastAsia" w:ascii="宋体" w:hAnsi="宋体" w:eastAsia="宋体" w:cs="宋体"/>
                <w:color w:val="auto"/>
                <w:sz w:val="24"/>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9DFED5D">
            <w:pPr>
              <w:snapToGrid w:val="0"/>
              <w:spacing w:line="400" w:lineRule="exact"/>
              <w:jc w:val="center"/>
              <w:rPr>
                <w:rFonts w:hint="eastAsia" w:ascii="宋体" w:hAnsi="宋体" w:eastAsia="宋体" w:cs="宋体"/>
                <w:color w:val="auto"/>
                <w:sz w:val="24"/>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05457A">
            <w:pPr>
              <w:snapToGrid w:val="0"/>
              <w:spacing w:line="400" w:lineRule="exact"/>
              <w:jc w:val="center"/>
              <w:rPr>
                <w:rFonts w:hint="eastAsia" w:ascii="宋体" w:hAnsi="宋体" w:eastAsia="宋体" w:cs="宋体"/>
                <w:color w:val="auto"/>
                <w:sz w:val="24"/>
              </w:rPr>
            </w:pPr>
          </w:p>
        </w:tc>
      </w:tr>
      <w:tr w14:paraId="566D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9051" w:type="dxa"/>
            <w:gridSpan w:val="9"/>
            <w:tcBorders>
              <w:top w:val="single" w:color="auto" w:sz="4" w:space="0"/>
              <w:left w:val="single" w:color="auto" w:sz="4" w:space="0"/>
              <w:bottom w:val="single" w:color="auto" w:sz="4" w:space="0"/>
              <w:right w:val="single" w:color="auto" w:sz="4" w:space="0"/>
            </w:tcBorders>
            <w:noWrap w:val="0"/>
            <w:vAlign w:val="center"/>
          </w:tcPr>
          <w:p w14:paraId="390F6541">
            <w:pPr>
              <w:tabs>
                <w:tab w:val="left" w:pos="6041"/>
              </w:tabs>
              <w:snapToGrid w:val="0"/>
              <w:spacing w:line="40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总价： </w:t>
            </w:r>
          </w:p>
        </w:tc>
      </w:tr>
    </w:tbl>
    <w:p w14:paraId="3A4D14F7">
      <w:pPr>
        <w:spacing w:line="480" w:lineRule="exact"/>
        <w:rPr>
          <w:rFonts w:hint="eastAsia" w:ascii="宋体" w:hAnsi="宋体" w:cs="宋体"/>
          <w:sz w:val="24"/>
          <w:szCs w:val="20"/>
          <w:lang w:eastAsia="zh-CN"/>
        </w:rPr>
      </w:pPr>
      <w:r>
        <w:rPr>
          <w:rFonts w:hint="eastAsia" w:ascii="宋体" w:hAnsi="宋体" w:cs="宋体"/>
          <w:sz w:val="24"/>
          <w:szCs w:val="20"/>
        </w:rPr>
        <w:t>注：</w:t>
      </w:r>
      <w:r>
        <w:rPr>
          <w:rFonts w:hint="eastAsia" w:ascii="宋体" w:hAnsi="宋体" w:cs="宋体"/>
          <w:sz w:val="24"/>
          <w:szCs w:val="20"/>
          <w:lang w:val="en-US" w:eastAsia="zh-CN"/>
        </w:rPr>
        <w:t>1、</w:t>
      </w:r>
      <w:r>
        <w:rPr>
          <w:rFonts w:hint="eastAsia" w:ascii="宋体" w:hAnsi="宋体" w:cs="宋体"/>
          <w:sz w:val="24"/>
          <w:szCs w:val="20"/>
        </w:rPr>
        <w:t>供应商根据需要可在本表中自行增加更为详细的产品说明（图片）及报价说明</w:t>
      </w:r>
      <w:r>
        <w:rPr>
          <w:rFonts w:hint="eastAsia" w:ascii="宋体" w:hAnsi="宋体" w:cs="宋体"/>
          <w:sz w:val="24"/>
          <w:szCs w:val="20"/>
          <w:lang w:eastAsia="zh-CN"/>
        </w:rPr>
        <w:t>；</w:t>
      </w:r>
    </w:p>
    <w:p w14:paraId="7541D5F7">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2、成套设备包含多种品牌型号产品的，以核心或主要设备填写产品品牌；</w:t>
      </w:r>
    </w:p>
    <w:p w14:paraId="157D41B0">
      <w:pPr>
        <w:numPr>
          <w:ilvl w:val="0"/>
          <w:numId w:val="0"/>
        </w:numPr>
        <w:spacing w:line="480" w:lineRule="exact"/>
        <w:ind w:leftChars="0"/>
        <w:rPr>
          <w:rFonts w:hint="eastAsia" w:ascii="宋体" w:hAnsi="宋体" w:cs="宋体"/>
          <w:sz w:val="24"/>
          <w:szCs w:val="20"/>
          <w:lang w:val="en-US" w:eastAsia="zh-CN"/>
        </w:rPr>
      </w:pPr>
      <w:r>
        <w:rPr>
          <w:rFonts w:hint="eastAsia" w:ascii="宋体" w:hAnsi="宋体" w:cs="宋体"/>
          <w:sz w:val="24"/>
          <w:szCs w:val="20"/>
          <w:lang w:val="en-US" w:eastAsia="zh-CN"/>
        </w:rPr>
        <w:t>3、低值易耗品或辅材可以不报品牌。</w:t>
      </w:r>
    </w:p>
    <w:p w14:paraId="16438D10">
      <w:pPr>
        <w:numPr>
          <w:ilvl w:val="0"/>
          <w:numId w:val="0"/>
        </w:numPr>
        <w:spacing w:line="480" w:lineRule="exact"/>
        <w:ind w:leftChars="0"/>
        <w:rPr>
          <w:rFonts w:hint="default" w:ascii="宋体" w:hAnsi="宋体" w:cs="宋体"/>
          <w:sz w:val="24"/>
          <w:szCs w:val="20"/>
          <w:lang w:val="en-US" w:eastAsia="zh-CN"/>
        </w:rPr>
      </w:pPr>
      <w:r>
        <w:rPr>
          <w:rFonts w:hint="eastAsia" w:ascii="宋体" w:hAnsi="宋体" w:cs="宋体"/>
          <w:sz w:val="24"/>
          <w:szCs w:val="20"/>
          <w:lang w:val="en-US" w:eastAsia="zh-CN"/>
        </w:rPr>
        <w:t>4、此表格若不够用，可根据实际自行扩展表格。</w:t>
      </w:r>
    </w:p>
    <w:p w14:paraId="58C08385">
      <w:pPr>
        <w:spacing w:line="360" w:lineRule="auto"/>
        <w:ind w:firstLine="480"/>
        <w:rPr>
          <w:rFonts w:hint="eastAsia" w:ascii="宋体" w:hAnsi="宋体" w:eastAsia="宋体" w:cs="宋体"/>
          <w:color w:val="auto"/>
          <w:sz w:val="24"/>
        </w:rPr>
      </w:pPr>
    </w:p>
    <w:p w14:paraId="184F6498">
      <w:pPr>
        <w:spacing w:line="360" w:lineRule="auto"/>
        <w:ind w:firstLine="480"/>
        <w:rPr>
          <w:rFonts w:hint="eastAsia" w:ascii="宋体" w:hAnsi="宋体" w:eastAsia="宋体" w:cs="宋体"/>
          <w:color w:val="auto"/>
          <w:sz w:val="24"/>
        </w:rPr>
      </w:pPr>
    </w:p>
    <w:p w14:paraId="73915485">
      <w:pPr>
        <w:spacing w:line="360" w:lineRule="auto"/>
        <w:rPr>
          <w:rFonts w:hint="eastAsia" w:ascii="宋体" w:hAnsi="宋体" w:eastAsia="宋体" w:cs="宋体"/>
          <w:color w:val="auto"/>
          <w:sz w:val="24"/>
        </w:rPr>
      </w:pPr>
    </w:p>
    <w:p w14:paraId="702E7CE3">
      <w:pPr>
        <w:spacing w:line="360" w:lineRule="auto"/>
        <w:ind w:firstLine="480"/>
        <w:rPr>
          <w:rFonts w:hint="eastAsia" w:ascii="宋体" w:hAnsi="宋体" w:eastAsia="宋体" w:cs="宋体"/>
          <w:color w:val="auto"/>
          <w:sz w:val="24"/>
        </w:rPr>
      </w:pPr>
    </w:p>
    <w:p w14:paraId="5F73A904">
      <w:pPr>
        <w:spacing w:line="360" w:lineRule="auto"/>
        <w:jc w:val="left"/>
        <w:rPr>
          <w:rFonts w:hint="eastAsia" w:ascii="宋体" w:hAnsi="宋体" w:eastAsia="宋体" w:cs="宋体"/>
          <w:color w:val="auto"/>
          <w:sz w:val="24"/>
        </w:rPr>
      </w:pPr>
      <w:bookmarkStart w:id="170" w:name="_Toc10843"/>
      <w:bookmarkStart w:id="171" w:name="_Toc525062117"/>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5C0032E3">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35F27AC9">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1F70F3C3">
      <w:pPr>
        <w:pStyle w:val="3"/>
        <w:bidi w:val="0"/>
        <w:jc w:val="center"/>
        <w:rPr>
          <w:rStyle w:val="39"/>
          <w:rFonts w:hint="eastAsia" w:ascii="宋体" w:hAnsi="宋体" w:eastAsia="宋体" w:cs="宋体"/>
          <w:bCs/>
          <w:color w:val="auto"/>
          <w:kern w:val="0"/>
          <w:sz w:val="24"/>
        </w:rPr>
      </w:pPr>
      <w:r>
        <w:rPr>
          <w:rFonts w:hint="eastAsia" w:ascii="宋体" w:hAnsi="宋体" w:eastAsia="宋体" w:cs="宋体"/>
          <w:b w:val="0"/>
          <w:color w:val="auto"/>
          <w:kern w:val="2"/>
          <w:sz w:val="24"/>
          <w:szCs w:val="24"/>
        </w:rPr>
        <w:br w:type="page"/>
      </w:r>
      <w:r>
        <w:rPr>
          <w:rFonts w:hint="eastAsia" w:ascii="宋体" w:hAnsi="宋体" w:eastAsia="宋体" w:cs="宋体"/>
          <w:b/>
          <w:bCs/>
          <w:color w:val="auto"/>
          <w:kern w:val="2"/>
          <w:sz w:val="28"/>
          <w:szCs w:val="28"/>
          <w:lang w:val="en-US" w:eastAsia="zh-CN" w:bidi="ar-SA"/>
        </w:rPr>
        <w:t>五、技术规格偏离表</w:t>
      </w:r>
    </w:p>
    <w:tbl>
      <w:tblPr>
        <w:tblStyle w:val="18"/>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1829"/>
        <w:gridCol w:w="2250"/>
        <w:gridCol w:w="1732"/>
        <w:gridCol w:w="1750"/>
        <w:gridCol w:w="801"/>
      </w:tblGrid>
      <w:tr w14:paraId="64135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20"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5D186D">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序号</w:t>
            </w:r>
          </w:p>
        </w:tc>
        <w:tc>
          <w:tcPr>
            <w:tcW w:w="1829" w:type="dxa"/>
            <w:tcBorders>
              <w:top w:val="single" w:color="000000" w:sz="4" w:space="0"/>
              <w:left w:val="nil"/>
              <w:bottom w:val="single" w:color="000000" w:sz="4" w:space="0"/>
              <w:right w:val="single" w:color="000000" w:sz="4" w:space="0"/>
            </w:tcBorders>
            <w:noWrap w:val="0"/>
            <w:vAlign w:val="center"/>
          </w:tcPr>
          <w:p w14:paraId="5FE6333E">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货物名称</w:t>
            </w:r>
          </w:p>
        </w:tc>
        <w:tc>
          <w:tcPr>
            <w:tcW w:w="2250" w:type="dxa"/>
            <w:tcBorders>
              <w:top w:val="single" w:color="000000" w:sz="4" w:space="0"/>
              <w:left w:val="nil"/>
              <w:bottom w:val="single" w:color="000000" w:sz="4" w:space="0"/>
              <w:right w:val="single" w:color="000000" w:sz="4" w:space="0"/>
            </w:tcBorders>
            <w:noWrap w:val="0"/>
            <w:vAlign w:val="center"/>
          </w:tcPr>
          <w:p w14:paraId="3C3FED97">
            <w:pPr>
              <w:snapToGrid w:val="0"/>
              <w:spacing w:line="480" w:lineRule="exact"/>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招标文件要求规格或参数</w:t>
            </w:r>
          </w:p>
        </w:tc>
        <w:tc>
          <w:tcPr>
            <w:tcW w:w="1732" w:type="dxa"/>
            <w:tcBorders>
              <w:top w:val="single" w:color="000000" w:sz="4" w:space="0"/>
              <w:left w:val="nil"/>
              <w:bottom w:val="single" w:color="000000" w:sz="4" w:space="0"/>
              <w:right w:val="single" w:color="000000" w:sz="4" w:space="0"/>
            </w:tcBorders>
            <w:noWrap w:val="0"/>
            <w:vAlign w:val="center"/>
          </w:tcPr>
          <w:p w14:paraId="6AB6C002">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响应货物规格或参数</w:t>
            </w:r>
          </w:p>
        </w:tc>
        <w:tc>
          <w:tcPr>
            <w:tcW w:w="1750" w:type="dxa"/>
            <w:tcBorders>
              <w:top w:val="single" w:color="000000" w:sz="4" w:space="0"/>
              <w:left w:val="nil"/>
              <w:bottom w:val="single" w:color="000000" w:sz="4" w:space="0"/>
              <w:right w:val="single" w:color="000000" w:sz="4" w:space="0"/>
            </w:tcBorders>
            <w:noWrap w:val="0"/>
            <w:vAlign w:val="center"/>
          </w:tcPr>
          <w:p w14:paraId="5665F818">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偏离</w:t>
            </w:r>
          </w:p>
          <w:p w14:paraId="20A19A1A">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(正/</w:t>
            </w:r>
            <w:r>
              <w:rPr>
                <w:rStyle w:val="39"/>
                <w:rFonts w:hint="eastAsia" w:ascii="宋体" w:hAnsi="宋体" w:eastAsia="宋体" w:cs="宋体"/>
                <w:color w:val="auto"/>
                <w:sz w:val="24"/>
                <w:lang w:val="en-US"/>
              </w:rPr>
              <w:t>无/</w:t>
            </w:r>
            <w:r>
              <w:rPr>
                <w:rStyle w:val="39"/>
                <w:rFonts w:hint="eastAsia" w:ascii="宋体" w:hAnsi="宋体" w:eastAsia="宋体" w:cs="宋体"/>
                <w:color w:val="auto"/>
                <w:sz w:val="24"/>
              </w:rPr>
              <w:t>负)</w:t>
            </w:r>
          </w:p>
        </w:tc>
        <w:tc>
          <w:tcPr>
            <w:tcW w:w="801" w:type="dxa"/>
            <w:tcBorders>
              <w:top w:val="single" w:color="000000" w:sz="4" w:space="0"/>
              <w:left w:val="nil"/>
              <w:bottom w:val="single" w:color="000000" w:sz="4" w:space="0"/>
              <w:right w:val="single" w:color="000000" w:sz="4" w:space="0"/>
            </w:tcBorders>
            <w:noWrap w:val="0"/>
            <w:vAlign w:val="center"/>
          </w:tcPr>
          <w:p w14:paraId="0C1DC0C7">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说明</w:t>
            </w:r>
          </w:p>
        </w:tc>
      </w:tr>
      <w:tr w14:paraId="0220D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57628CA">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1</w:t>
            </w:r>
          </w:p>
        </w:tc>
        <w:tc>
          <w:tcPr>
            <w:tcW w:w="1829" w:type="dxa"/>
            <w:tcBorders>
              <w:top w:val="single" w:color="000000" w:sz="4" w:space="0"/>
              <w:left w:val="nil"/>
              <w:bottom w:val="single" w:color="000000" w:sz="4" w:space="0"/>
              <w:right w:val="single" w:color="000000" w:sz="4" w:space="0"/>
            </w:tcBorders>
            <w:noWrap w:val="0"/>
            <w:vAlign w:val="center"/>
          </w:tcPr>
          <w:p w14:paraId="15CA3C56">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044A2A">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69F51DF3">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2CDA8DBB">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4B2BF34">
            <w:pPr>
              <w:snapToGrid w:val="0"/>
              <w:spacing w:line="480" w:lineRule="exact"/>
              <w:jc w:val="center"/>
              <w:textAlignment w:val="baseline"/>
              <w:rPr>
                <w:rStyle w:val="39"/>
                <w:rFonts w:hint="eastAsia" w:ascii="宋体" w:hAnsi="宋体" w:eastAsia="宋体" w:cs="宋体"/>
                <w:color w:val="auto"/>
                <w:sz w:val="24"/>
              </w:rPr>
            </w:pPr>
          </w:p>
        </w:tc>
      </w:tr>
      <w:tr w14:paraId="016B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7912A3FE">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2</w:t>
            </w:r>
          </w:p>
        </w:tc>
        <w:tc>
          <w:tcPr>
            <w:tcW w:w="1829" w:type="dxa"/>
            <w:tcBorders>
              <w:top w:val="single" w:color="000000" w:sz="4" w:space="0"/>
              <w:left w:val="nil"/>
              <w:bottom w:val="single" w:color="000000" w:sz="4" w:space="0"/>
              <w:right w:val="single" w:color="000000" w:sz="4" w:space="0"/>
            </w:tcBorders>
            <w:noWrap w:val="0"/>
            <w:vAlign w:val="center"/>
          </w:tcPr>
          <w:p w14:paraId="192CA5CB">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0B1AC9B1">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4A9BA83E">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401527">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7768D094">
            <w:pPr>
              <w:snapToGrid w:val="0"/>
              <w:spacing w:line="480" w:lineRule="exact"/>
              <w:jc w:val="center"/>
              <w:textAlignment w:val="baseline"/>
              <w:rPr>
                <w:rStyle w:val="39"/>
                <w:rFonts w:hint="eastAsia" w:ascii="宋体" w:hAnsi="宋体" w:eastAsia="宋体" w:cs="宋体"/>
                <w:color w:val="auto"/>
                <w:sz w:val="24"/>
              </w:rPr>
            </w:pPr>
          </w:p>
        </w:tc>
      </w:tr>
      <w:tr w14:paraId="42C5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BBB7AC">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3</w:t>
            </w:r>
          </w:p>
        </w:tc>
        <w:tc>
          <w:tcPr>
            <w:tcW w:w="1829" w:type="dxa"/>
            <w:tcBorders>
              <w:top w:val="single" w:color="000000" w:sz="4" w:space="0"/>
              <w:left w:val="nil"/>
              <w:bottom w:val="single" w:color="000000" w:sz="4" w:space="0"/>
              <w:right w:val="single" w:color="000000" w:sz="4" w:space="0"/>
            </w:tcBorders>
            <w:noWrap w:val="0"/>
            <w:vAlign w:val="center"/>
          </w:tcPr>
          <w:p w14:paraId="5831EDAD">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F73ECD">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9032467">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5B08C57D">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C71563A">
            <w:pPr>
              <w:snapToGrid w:val="0"/>
              <w:spacing w:line="480" w:lineRule="exact"/>
              <w:jc w:val="center"/>
              <w:textAlignment w:val="baseline"/>
              <w:rPr>
                <w:rStyle w:val="39"/>
                <w:rFonts w:hint="eastAsia" w:ascii="宋体" w:hAnsi="宋体" w:eastAsia="宋体" w:cs="宋体"/>
                <w:color w:val="auto"/>
                <w:sz w:val="24"/>
              </w:rPr>
            </w:pPr>
          </w:p>
        </w:tc>
      </w:tr>
      <w:tr w14:paraId="488B9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511D891C">
            <w:pPr>
              <w:snapToGrid w:val="0"/>
              <w:spacing w:line="480" w:lineRule="exact"/>
              <w:jc w:val="center"/>
              <w:textAlignment w:val="baseline"/>
              <w:rPr>
                <w:rStyle w:val="39"/>
                <w:rFonts w:hint="eastAsia" w:ascii="宋体" w:hAnsi="宋体" w:eastAsia="宋体" w:cs="宋体"/>
                <w:color w:val="auto"/>
                <w:sz w:val="24"/>
              </w:rPr>
            </w:pPr>
            <w:r>
              <w:rPr>
                <w:rStyle w:val="39"/>
                <w:rFonts w:hint="eastAsia" w:ascii="宋体" w:hAnsi="宋体" w:eastAsia="宋体" w:cs="宋体"/>
                <w:color w:val="auto"/>
                <w:sz w:val="24"/>
              </w:rPr>
              <w:t>…</w:t>
            </w:r>
          </w:p>
        </w:tc>
        <w:tc>
          <w:tcPr>
            <w:tcW w:w="1829" w:type="dxa"/>
            <w:tcBorders>
              <w:top w:val="single" w:color="000000" w:sz="4" w:space="0"/>
              <w:left w:val="nil"/>
              <w:bottom w:val="single" w:color="000000" w:sz="4" w:space="0"/>
              <w:right w:val="single" w:color="000000" w:sz="4" w:space="0"/>
            </w:tcBorders>
            <w:noWrap w:val="0"/>
            <w:vAlign w:val="center"/>
          </w:tcPr>
          <w:p w14:paraId="1C08C575">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7CB49ED1">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9A78269">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3B49FCF">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F62E6F">
            <w:pPr>
              <w:snapToGrid w:val="0"/>
              <w:spacing w:line="480" w:lineRule="exact"/>
              <w:jc w:val="center"/>
              <w:textAlignment w:val="baseline"/>
              <w:rPr>
                <w:rStyle w:val="39"/>
                <w:rFonts w:hint="eastAsia" w:ascii="宋体" w:hAnsi="宋体" w:eastAsia="宋体" w:cs="宋体"/>
                <w:color w:val="auto"/>
                <w:sz w:val="24"/>
              </w:rPr>
            </w:pPr>
          </w:p>
        </w:tc>
      </w:tr>
      <w:tr w14:paraId="4D37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2C1A7B24">
            <w:pPr>
              <w:snapToGrid w:val="0"/>
              <w:spacing w:line="480" w:lineRule="exact"/>
              <w:jc w:val="center"/>
              <w:textAlignment w:val="baseline"/>
              <w:rPr>
                <w:rStyle w:val="39"/>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F18444B">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25421372">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2809B7C8">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A840B60">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DC8664D">
            <w:pPr>
              <w:snapToGrid w:val="0"/>
              <w:spacing w:line="480" w:lineRule="exact"/>
              <w:jc w:val="center"/>
              <w:textAlignment w:val="baseline"/>
              <w:rPr>
                <w:rStyle w:val="39"/>
                <w:rFonts w:hint="eastAsia" w:ascii="宋体" w:hAnsi="宋体" w:eastAsia="宋体" w:cs="宋体"/>
                <w:color w:val="auto"/>
                <w:sz w:val="24"/>
              </w:rPr>
            </w:pPr>
          </w:p>
        </w:tc>
      </w:tr>
      <w:tr w14:paraId="6F451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01381F7">
            <w:pPr>
              <w:snapToGrid w:val="0"/>
              <w:spacing w:line="480" w:lineRule="exact"/>
              <w:jc w:val="center"/>
              <w:textAlignment w:val="baseline"/>
              <w:rPr>
                <w:rStyle w:val="39"/>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14EAFE9A">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6CBE485F">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1569469E">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7583838B">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796DAA9">
            <w:pPr>
              <w:snapToGrid w:val="0"/>
              <w:spacing w:line="480" w:lineRule="exact"/>
              <w:jc w:val="center"/>
              <w:textAlignment w:val="baseline"/>
              <w:rPr>
                <w:rStyle w:val="39"/>
                <w:rFonts w:hint="eastAsia" w:ascii="宋体" w:hAnsi="宋体" w:eastAsia="宋体" w:cs="宋体"/>
                <w:color w:val="auto"/>
                <w:sz w:val="24"/>
              </w:rPr>
            </w:pPr>
          </w:p>
        </w:tc>
      </w:tr>
      <w:tr w14:paraId="5EFC9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22C8A1B">
            <w:pPr>
              <w:snapToGrid w:val="0"/>
              <w:spacing w:line="480" w:lineRule="exact"/>
              <w:jc w:val="center"/>
              <w:textAlignment w:val="baseline"/>
              <w:rPr>
                <w:rStyle w:val="39"/>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693D5370">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E72F915">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025FBF40">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40EFE7F6">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009FED93">
            <w:pPr>
              <w:snapToGrid w:val="0"/>
              <w:spacing w:line="480" w:lineRule="exact"/>
              <w:jc w:val="center"/>
              <w:textAlignment w:val="baseline"/>
              <w:rPr>
                <w:rStyle w:val="39"/>
                <w:rFonts w:hint="eastAsia" w:ascii="宋体" w:hAnsi="宋体" w:eastAsia="宋体" w:cs="宋体"/>
                <w:color w:val="auto"/>
                <w:sz w:val="24"/>
              </w:rPr>
            </w:pPr>
          </w:p>
        </w:tc>
      </w:tr>
      <w:tr w14:paraId="21F17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0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6582B5A5">
            <w:pPr>
              <w:snapToGrid w:val="0"/>
              <w:spacing w:line="480" w:lineRule="exact"/>
              <w:jc w:val="center"/>
              <w:textAlignment w:val="baseline"/>
              <w:rPr>
                <w:rStyle w:val="39"/>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2B0CDB82">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152FCEE3">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5FC97C8A">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60991311">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42D1FDE7">
            <w:pPr>
              <w:snapToGrid w:val="0"/>
              <w:spacing w:line="480" w:lineRule="exact"/>
              <w:jc w:val="center"/>
              <w:textAlignment w:val="baseline"/>
              <w:rPr>
                <w:rStyle w:val="39"/>
                <w:rFonts w:hint="eastAsia" w:ascii="宋体" w:hAnsi="宋体" w:eastAsia="宋体" w:cs="宋体"/>
                <w:color w:val="auto"/>
                <w:sz w:val="24"/>
              </w:rPr>
            </w:pPr>
          </w:p>
        </w:tc>
      </w:tr>
      <w:tr w14:paraId="4FE02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3" w:hRule="atLeast"/>
          <w:jc w:val="center"/>
        </w:trPr>
        <w:tc>
          <w:tcPr>
            <w:tcW w:w="818" w:type="dxa"/>
            <w:tcBorders>
              <w:top w:val="single" w:color="000000" w:sz="4" w:space="0"/>
              <w:left w:val="single" w:color="000000" w:sz="4" w:space="0"/>
              <w:bottom w:val="single" w:color="000000" w:sz="4" w:space="0"/>
              <w:right w:val="single" w:color="000000" w:sz="4" w:space="0"/>
            </w:tcBorders>
            <w:noWrap w:val="0"/>
            <w:vAlign w:val="center"/>
          </w:tcPr>
          <w:p w14:paraId="1E51DC4C">
            <w:pPr>
              <w:snapToGrid w:val="0"/>
              <w:spacing w:line="480" w:lineRule="exact"/>
              <w:jc w:val="center"/>
              <w:textAlignment w:val="baseline"/>
              <w:rPr>
                <w:rStyle w:val="39"/>
                <w:rFonts w:hint="eastAsia" w:ascii="宋体" w:hAnsi="宋体" w:eastAsia="宋体" w:cs="宋体"/>
                <w:color w:val="auto"/>
                <w:sz w:val="24"/>
              </w:rPr>
            </w:pPr>
          </w:p>
        </w:tc>
        <w:tc>
          <w:tcPr>
            <w:tcW w:w="1829" w:type="dxa"/>
            <w:tcBorders>
              <w:top w:val="single" w:color="000000" w:sz="4" w:space="0"/>
              <w:left w:val="nil"/>
              <w:bottom w:val="single" w:color="000000" w:sz="4" w:space="0"/>
              <w:right w:val="single" w:color="000000" w:sz="4" w:space="0"/>
            </w:tcBorders>
            <w:noWrap w:val="0"/>
            <w:vAlign w:val="center"/>
          </w:tcPr>
          <w:p w14:paraId="71352D15">
            <w:pPr>
              <w:snapToGrid w:val="0"/>
              <w:spacing w:line="480" w:lineRule="exact"/>
              <w:jc w:val="center"/>
              <w:textAlignment w:val="baseline"/>
              <w:rPr>
                <w:rStyle w:val="39"/>
                <w:rFonts w:hint="eastAsia" w:ascii="宋体" w:hAnsi="宋体" w:eastAsia="宋体" w:cs="宋体"/>
                <w:color w:val="auto"/>
                <w:sz w:val="24"/>
              </w:rPr>
            </w:pPr>
          </w:p>
        </w:tc>
        <w:tc>
          <w:tcPr>
            <w:tcW w:w="2250" w:type="dxa"/>
            <w:tcBorders>
              <w:top w:val="single" w:color="000000" w:sz="4" w:space="0"/>
              <w:left w:val="nil"/>
              <w:bottom w:val="single" w:color="000000" w:sz="4" w:space="0"/>
              <w:right w:val="single" w:color="000000" w:sz="4" w:space="0"/>
            </w:tcBorders>
            <w:noWrap w:val="0"/>
            <w:vAlign w:val="center"/>
          </w:tcPr>
          <w:p w14:paraId="3B22CBEE">
            <w:pPr>
              <w:snapToGrid w:val="0"/>
              <w:spacing w:line="480" w:lineRule="exact"/>
              <w:jc w:val="center"/>
              <w:textAlignment w:val="baseline"/>
              <w:rPr>
                <w:rStyle w:val="39"/>
                <w:rFonts w:hint="eastAsia" w:ascii="宋体" w:hAnsi="宋体" w:eastAsia="宋体" w:cs="宋体"/>
                <w:color w:val="auto"/>
                <w:sz w:val="24"/>
              </w:rPr>
            </w:pPr>
          </w:p>
        </w:tc>
        <w:tc>
          <w:tcPr>
            <w:tcW w:w="1732" w:type="dxa"/>
            <w:tcBorders>
              <w:top w:val="single" w:color="000000" w:sz="4" w:space="0"/>
              <w:left w:val="nil"/>
              <w:bottom w:val="single" w:color="000000" w:sz="4" w:space="0"/>
              <w:right w:val="single" w:color="000000" w:sz="4" w:space="0"/>
            </w:tcBorders>
            <w:noWrap w:val="0"/>
            <w:vAlign w:val="center"/>
          </w:tcPr>
          <w:p w14:paraId="3BB9FC4F">
            <w:pPr>
              <w:snapToGrid w:val="0"/>
              <w:spacing w:line="480" w:lineRule="exact"/>
              <w:jc w:val="center"/>
              <w:textAlignment w:val="baseline"/>
              <w:rPr>
                <w:rStyle w:val="39"/>
                <w:rFonts w:hint="eastAsia" w:ascii="宋体" w:hAnsi="宋体" w:eastAsia="宋体" w:cs="宋体"/>
                <w:color w:val="auto"/>
                <w:sz w:val="24"/>
              </w:rPr>
            </w:pPr>
          </w:p>
        </w:tc>
        <w:tc>
          <w:tcPr>
            <w:tcW w:w="1750" w:type="dxa"/>
            <w:tcBorders>
              <w:top w:val="single" w:color="000000" w:sz="4" w:space="0"/>
              <w:left w:val="nil"/>
              <w:bottom w:val="single" w:color="000000" w:sz="4" w:space="0"/>
              <w:right w:val="single" w:color="000000" w:sz="4" w:space="0"/>
            </w:tcBorders>
            <w:noWrap w:val="0"/>
            <w:vAlign w:val="center"/>
          </w:tcPr>
          <w:p w14:paraId="133779BF">
            <w:pPr>
              <w:snapToGrid w:val="0"/>
              <w:spacing w:line="480" w:lineRule="exact"/>
              <w:jc w:val="center"/>
              <w:textAlignment w:val="baseline"/>
              <w:rPr>
                <w:rStyle w:val="39"/>
                <w:rFonts w:hint="eastAsia" w:ascii="宋体" w:hAnsi="宋体" w:eastAsia="宋体" w:cs="宋体"/>
                <w:color w:val="auto"/>
                <w:sz w:val="24"/>
              </w:rPr>
            </w:pPr>
          </w:p>
        </w:tc>
        <w:tc>
          <w:tcPr>
            <w:tcW w:w="801" w:type="dxa"/>
            <w:tcBorders>
              <w:top w:val="single" w:color="000000" w:sz="4" w:space="0"/>
              <w:left w:val="nil"/>
              <w:bottom w:val="single" w:color="000000" w:sz="4" w:space="0"/>
              <w:right w:val="single" w:color="000000" w:sz="4" w:space="0"/>
            </w:tcBorders>
            <w:noWrap w:val="0"/>
            <w:vAlign w:val="center"/>
          </w:tcPr>
          <w:p w14:paraId="347DB4A5">
            <w:pPr>
              <w:snapToGrid w:val="0"/>
              <w:spacing w:line="480" w:lineRule="exact"/>
              <w:jc w:val="center"/>
              <w:textAlignment w:val="baseline"/>
              <w:rPr>
                <w:rStyle w:val="39"/>
                <w:rFonts w:hint="eastAsia" w:ascii="宋体" w:hAnsi="宋体" w:eastAsia="宋体" w:cs="宋体"/>
                <w:color w:val="auto"/>
                <w:sz w:val="24"/>
              </w:rPr>
            </w:pPr>
          </w:p>
        </w:tc>
      </w:tr>
    </w:tbl>
    <w:p w14:paraId="6B50257C">
      <w:pPr>
        <w:spacing w:line="360" w:lineRule="auto"/>
        <w:jc w:val="left"/>
        <w:rPr>
          <w:rFonts w:hint="eastAsia" w:ascii="宋体" w:hAnsi="宋体" w:eastAsia="宋体" w:cs="宋体"/>
          <w:color w:val="auto"/>
          <w:sz w:val="24"/>
        </w:rPr>
      </w:pPr>
      <w:r>
        <w:rPr>
          <w:rFonts w:hint="eastAsia" w:ascii="宋体" w:hAnsi="宋体" w:eastAsia="宋体" w:cs="宋体"/>
          <w:color w:val="auto"/>
          <w:sz w:val="24"/>
          <w:lang w:eastAsia="zh-CN"/>
        </w:rPr>
        <w:t>供应商</w:t>
      </w:r>
      <w:r>
        <w:rPr>
          <w:rFonts w:hint="eastAsia" w:ascii="宋体" w:hAnsi="宋体" w:eastAsia="宋体" w:cs="宋体"/>
          <w:color w:val="auto"/>
          <w:sz w:val="24"/>
        </w:rPr>
        <w:t xml:space="preserve"> (盖单位章)： </w:t>
      </w:r>
      <w:r>
        <w:rPr>
          <w:rFonts w:hint="eastAsia" w:ascii="宋体" w:hAnsi="宋体" w:eastAsia="宋体" w:cs="宋体"/>
          <w:color w:val="auto"/>
          <w:sz w:val="24"/>
          <w:u w:val="single"/>
        </w:rPr>
        <w:t xml:space="preserve">                           </w:t>
      </w:r>
    </w:p>
    <w:p w14:paraId="1C501D4C">
      <w:pPr>
        <w:spacing w:line="360" w:lineRule="auto"/>
        <w:jc w:val="left"/>
        <w:rPr>
          <w:rFonts w:hint="eastAsia" w:ascii="宋体" w:hAnsi="宋体" w:eastAsia="宋体" w:cs="宋体"/>
          <w:color w:val="auto"/>
          <w:sz w:val="24"/>
          <w:u w:val="single"/>
        </w:rPr>
      </w:pPr>
      <w:r>
        <w:rPr>
          <w:rFonts w:hint="eastAsia" w:ascii="宋体" w:hAnsi="宋体" w:eastAsia="宋体" w:cs="宋体"/>
          <w:color w:val="auto"/>
          <w:kern w:val="0"/>
          <w:sz w:val="24"/>
        </w:rPr>
        <w:t>法定代表人</w:t>
      </w:r>
      <w:r>
        <w:rPr>
          <w:rFonts w:hint="eastAsia" w:ascii="宋体" w:hAnsi="宋体" w:eastAsia="宋体" w:cs="宋体"/>
          <w:color w:val="auto"/>
          <w:sz w:val="24"/>
        </w:rPr>
        <w:t>(签电子章)：</w:t>
      </w:r>
      <w:r>
        <w:rPr>
          <w:rFonts w:hint="eastAsia" w:ascii="宋体" w:hAnsi="宋体" w:eastAsia="宋体" w:cs="宋体"/>
          <w:color w:val="auto"/>
          <w:sz w:val="24"/>
          <w:u w:val="single"/>
        </w:rPr>
        <w:t xml:space="preserve">                         </w:t>
      </w:r>
    </w:p>
    <w:p w14:paraId="18310F18">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4F79DB63">
      <w:pPr>
        <w:snapToGrid w:val="0"/>
        <w:spacing w:line="480" w:lineRule="exact"/>
        <w:textAlignment w:val="baseline"/>
        <w:rPr>
          <w:rFonts w:hint="eastAsia" w:ascii="宋体" w:hAnsi="宋体" w:eastAsia="宋体" w:cs="宋体"/>
          <w:color w:val="auto"/>
          <w:sz w:val="28"/>
          <w:szCs w:val="28"/>
        </w:rPr>
      </w:pPr>
      <w:r>
        <w:rPr>
          <w:rStyle w:val="39"/>
          <w:rFonts w:hint="eastAsia" w:ascii="宋体" w:hAnsi="宋体" w:eastAsia="宋体" w:cs="宋体"/>
          <w:color w:val="auto"/>
          <w:sz w:val="24"/>
        </w:rPr>
        <w:t>注：</w:t>
      </w:r>
      <w:r>
        <w:rPr>
          <w:rFonts w:hint="eastAsia" w:ascii="宋体" w:hAnsi="宋体" w:eastAsia="宋体" w:cs="宋体"/>
          <w:color w:val="auto"/>
          <w:sz w:val="24"/>
          <w:lang w:eastAsia="zh-CN"/>
        </w:rPr>
        <w:t>供应商</w:t>
      </w:r>
      <w:r>
        <w:rPr>
          <w:rStyle w:val="39"/>
          <w:rFonts w:hint="eastAsia" w:ascii="宋体" w:hAnsi="宋体" w:eastAsia="宋体" w:cs="宋体"/>
          <w:color w:val="auto"/>
          <w:sz w:val="24"/>
        </w:rPr>
        <w:t>应对照招标文件技术规格要求，反映所提供货物和服务对招标文件的技术规格要求的全部正/负</w:t>
      </w:r>
      <w:r>
        <w:rPr>
          <w:rStyle w:val="39"/>
          <w:rFonts w:hint="eastAsia" w:ascii="宋体" w:hAnsi="宋体" w:eastAsia="宋体" w:cs="宋体"/>
          <w:color w:val="auto"/>
          <w:sz w:val="24"/>
          <w:lang w:val="en-US"/>
        </w:rPr>
        <w:t>/无</w:t>
      </w:r>
      <w:r>
        <w:rPr>
          <w:rStyle w:val="39"/>
          <w:rFonts w:hint="eastAsia" w:ascii="宋体" w:hAnsi="宋体" w:eastAsia="宋体" w:cs="宋体"/>
          <w:color w:val="auto"/>
          <w:sz w:val="24"/>
        </w:rPr>
        <w:t>偏离（优于招标文件要求的为正偏离、低于招标文件要求得为负偏离）情况。未在本表中做出偏离说明的项目，视为与招标文件要求一致；在本表中做出偏离说明的项目，</w:t>
      </w:r>
      <w:r>
        <w:rPr>
          <w:rFonts w:hint="eastAsia" w:ascii="宋体" w:hAnsi="宋体" w:eastAsia="宋体" w:cs="宋体"/>
          <w:color w:val="auto"/>
          <w:sz w:val="24"/>
          <w:lang w:eastAsia="zh-CN"/>
        </w:rPr>
        <w:t>供应商</w:t>
      </w:r>
      <w:r>
        <w:rPr>
          <w:rStyle w:val="39"/>
          <w:rFonts w:hint="eastAsia" w:ascii="宋体" w:hAnsi="宋体" w:eastAsia="宋体" w:cs="宋体"/>
          <w:color w:val="auto"/>
          <w:sz w:val="24"/>
        </w:rPr>
        <w:t>必须提供所投设备的具体参数值，并在技术标中提供详细资料。</w:t>
      </w:r>
    </w:p>
    <w:p w14:paraId="3AF6908F">
      <w:pPr>
        <w:pStyle w:val="3"/>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六</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实施方案及</w:t>
      </w:r>
      <w:r>
        <w:rPr>
          <w:rFonts w:hint="eastAsia" w:ascii="宋体" w:hAnsi="宋体" w:eastAsia="宋体" w:cs="宋体"/>
          <w:color w:val="auto"/>
          <w:sz w:val="28"/>
          <w:szCs w:val="28"/>
        </w:rPr>
        <w:t>服务承诺</w:t>
      </w:r>
    </w:p>
    <w:p w14:paraId="5B343EEA">
      <w:pPr>
        <w:spacing w:line="360" w:lineRule="auto"/>
        <w:jc w:val="center"/>
        <w:rPr>
          <w:rFonts w:hint="eastAsia" w:ascii="宋体" w:hAnsi="宋体" w:eastAsia="宋体" w:cs="宋体"/>
          <w:color w:val="auto"/>
          <w:sz w:val="24"/>
        </w:rPr>
      </w:pPr>
      <w:r>
        <w:rPr>
          <w:rFonts w:hint="eastAsia" w:ascii="宋体" w:hAnsi="宋体" w:eastAsia="宋体" w:cs="宋体"/>
          <w:b/>
          <w:color w:val="auto"/>
          <w:sz w:val="24"/>
        </w:rPr>
        <w:t>（格式自拟）</w:t>
      </w:r>
    </w:p>
    <w:p w14:paraId="0B245719">
      <w:pPr>
        <w:rPr>
          <w:rFonts w:hint="eastAsia" w:ascii="宋体" w:hAnsi="宋体" w:eastAsia="宋体" w:cs="宋体"/>
          <w:color w:val="auto"/>
        </w:rPr>
      </w:pPr>
    </w:p>
    <w:p w14:paraId="61C0E5E3">
      <w:pPr>
        <w:pStyle w:val="34"/>
        <w:rPr>
          <w:rFonts w:hint="eastAsia" w:ascii="宋体" w:hAnsi="宋体" w:eastAsia="宋体" w:cs="宋体"/>
          <w:color w:val="auto"/>
        </w:rPr>
      </w:pPr>
    </w:p>
    <w:p w14:paraId="1B0BA812">
      <w:pPr>
        <w:pStyle w:val="34"/>
        <w:rPr>
          <w:rFonts w:hint="eastAsia" w:ascii="宋体" w:hAnsi="宋体" w:eastAsia="宋体" w:cs="宋体"/>
          <w:color w:val="auto"/>
        </w:rPr>
      </w:pPr>
    </w:p>
    <w:p w14:paraId="45440B68">
      <w:pPr>
        <w:pStyle w:val="34"/>
        <w:rPr>
          <w:rFonts w:hint="eastAsia" w:ascii="宋体" w:hAnsi="宋体" w:eastAsia="宋体" w:cs="宋体"/>
          <w:color w:val="auto"/>
        </w:rPr>
      </w:pPr>
    </w:p>
    <w:p w14:paraId="17F36734">
      <w:pPr>
        <w:pStyle w:val="34"/>
        <w:rPr>
          <w:rFonts w:hint="eastAsia" w:ascii="宋体" w:hAnsi="宋体" w:eastAsia="宋体" w:cs="宋体"/>
          <w:color w:val="auto"/>
        </w:rPr>
      </w:pPr>
    </w:p>
    <w:p w14:paraId="2AEA0A4C">
      <w:pPr>
        <w:pStyle w:val="34"/>
        <w:rPr>
          <w:rFonts w:hint="eastAsia" w:ascii="宋体" w:hAnsi="宋体" w:eastAsia="宋体" w:cs="宋体"/>
          <w:color w:val="auto"/>
        </w:rPr>
      </w:pPr>
    </w:p>
    <w:p w14:paraId="10635A6A">
      <w:pPr>
        <w:pStyle w:val="34"/>
        <w:rPr>
          <w:rFonts w:hint="eastAsia" w:ascii="宋体" w:hAnsi="宋体" w:eastAsia="宋体" w:cs="宋体"/>
          <w:color w:val="auto"/>
        </w:rPr>
      </w:pPr>
    </w:p>
    <w:p w14:paraId="0DDAFE11">
      <w:pPr>
        <w:pStyle w:val="34"/>
        <w:rPr>
          <w:rFonts w:hint="eastAsia" w:ascii="宋体" w:hAnsi="宋体" w:eastAsia="宋体" w:cs="宋体"/>
          <w:color w:val="auto"/>
        </w:rPr>
      </w:pPr>
    </w:p>
    <w:p w14:paraId="730201F0">
      <w:pPr>
        <w:pStyle w:val="34"/>
        <w:rPr>
          <w:rFonts w:hint="eastAsia" w:ascii="宋体" w:hAnsi="宋体" w:eastAsia="宋体" w:cs="宋体"/>
          <w:color w:val="auto"/>
        </w:rPr>
      </w:pPr>
    </w:p>
    <w:p w14:paraId="14A20DCF">
      <w:pPr>
        <w:pStyle w:val="34"/>
        <w:rPr>
          <w:rFonts w:hint="eastAsia" w:ascii="宋体" w:hAnsi="宋体" w:eastAsia="宋体" w:cs="宋体"/>
          <w:color w:val="auto"/>
        </w:rPr>
      </w:pPr>
    </w:p>
    <w:p w14:paraId="7EE3E5E9">
      <w:pPr>
        <w:pStyle w:val="34"/>
        <w:rPr>
          <w:rFonts w:hint="eastAsia" w:ascii="宋体" w:hAnsi="宋体" w:eastAsia="宋体" w:cs="宋体"/>
          <w:color w:val="auto"/>
        </w:rPr>
      </w:pPr>
    </w:p>
    <w:p w14:paraId="510A1446">
      <w:pPr>
        <w:pStyle w:val="34"/>
        <w:rPr>
          <w:rFonts w:hint="eastAsia" w:ascii="宋体" w:hAnsi="宋体" w:eastAsia="宋体" w:cs="宋体"/>
          <w:color w:val="auto"/>
        </w:rPr>
      </w:pPr>
    </w:p>
    <w:p w14:paraId="08073B8A">
      <w:pPr>
        <w:pStyle w:val="34"/>
        <w:rPr>
          <w:rFonts w:hint="eastAsia" w:ascii="宋体" w:hAnsi="宋体" w:eastAsia="宋体" w:cs="宋体"/>
          <w:color w:val="auto"/>
        </w:rPr>
      </w:pPr>
    </w:p>
    <w:p w14:paraId="43E7C57E">
      <w:pPr>
        <w:pStyle w:val="34"/>
        <w:rPr>
          <w:rFonts w:hint="eastAsia" w:ascii="宋体" w:hAnsi="宋体" w:eastAsia="宋体" w:cs="宋体"/>
          <w:color w:val="auto"/>
        </w:rPr>
      </w:pPr>
    </w:p>
    <w:p w14:paraId="6172D33C">
      <w:pPr>
        <w:pStyle w:val="34"/>
        <w:rPr>
          <w:rFonts w:hint="eastAsia" w:ascii="宋体" w:hAnsi="宋体" w:eastAsia="宋体" w:cs="宋体"/>
          <w:color w:val="auto"/>
        </w:rPr>
      </w:pPr>
    </w:p>
    <w:p w14:paraId="22F55989">
      <w:pPr>
        <w:pStyle w:val="34"/>
        <w:rPr>
          <w:rFonts w:hint="eastAsia" w:ascii="宋体" w:hAnsi="宋体" w:eastAsia="宋体" w:cs="宋体"/>
          <w:color w:val="auto"/>
        </w:rPr>
      </w:pPr>
    </w:p>
    <w:p w14:paraId="456C683B">
      <w:pPr>
        <w:pStyle w:val="34"/>
        <w:rPr>
          <w:rFonts w:hint="eastAsia" w:ascii="宋体" w:hAnsi="宋体" w:eastAsia="宋体" w:cs="宋体"/>
          <w:color w:val="auto"/>
        </w:rPr>
      </w:pPr>
    </w:p>
    <w:p w14:paraId="7EC0D7AC">
      <w:pPr>
        <w:pStyle w:val="34"/>
        <w:rPr>
          <w:rFonts w:hint="eastAsia" w:ascii="宋体" w:hAnsi="宋体" w:eastAsia="宋体" w:cs="宋体"/>
          <w:color w:val="auto"/>
        </w:rPr>
      </w:pPr>
    </w:p>
    <w:p w14:paraId="265FB3D3">
      <w:pPr>
        <w:pStyle w:val="34"/>
        <w:rPr>
          <w:rFonts w:hint="eastAsia" w:ascii="宋体" w:hAnsi="宋体" w:eastAsia="宋体" w:cs="宋体"/>
          <w:color w:val="auto"/>
        </w:rPr>
      </w:pPr>
    </w:p>
    <w:p w14:paraId="78309A49">
      <w:pPr>
        <w:pStyle w:val="34"/>
        <w:rPr>
          <w:rFonts w:hint="eastAsia" w:ascii="宋体" w:hAnsi="宋体" w:eastAsia="宋体" w:cs="宋体"/>
          <w:color w:val="auto"/>
        </w:rPr>
      </w:pPr>
    </w:p>
    <w:p w14:paraId="70A044AB">
      <w:pPr>
        <w:pStyle w:val="34"/>
        <w:rPr>
          <w:rFonts w:hint="eastAsia" w:ascii="宋体" w:hAnsi="宋体" w:eastAsia="宋体" w:cs="宋体"/>
          <w:color w:val="auto"/>
        </w:rPr>
      </w:pPr>
    </w:p>
    <w:p w14:paraId="7EA5E599">
      <w:pPr>
        <w:pStyle w:val="34"/>
        <w:rPr>
          <w:rFonts w:hint="eastAsia" w:ascii="宋体" w:hAnsi="宋体" w:eastAsia="宋体" w:cs="宋体"/>
          <w:color w:val="auto"/>
        </w:rPr>
      </w:pPr>
    </w:p>
    <w:p w14:paraId="5978190C">
      <w:pPr>
        <w:pStyle w:val="34"/>
        <w:rPr>
          <w:rFonts w:hint="eastAsia" w:ascii="宋体" w:hAnsi="宋体" w:eastAsia="宋体" w:cs="宋体"/>
          <w:color w:val="auto"/>
        </w:rPr>
      </w:pPr>
    </w:p>
    <w:p w14:paraId="052E833F">
      <w:pPr>
        <w:pStyle w:val="34"/>
        <w:rPr>
          <w:rFonts w:hint="eastAsia" w:ascii="宋体" w:hAnsi="宋体" w:eastAsia="宋体" w:cs="宋体"/>
          <w:color w:val="auto"/>
        </w:rPr>
      </w:pPr>
    </w:p>
    <w:p w14:paraId="614D97B9">
      <w:pPr>
        <w:pStyle w:val="34"/>
        <w:rPr>
          <w:rFonts w:hint="eastAsia" w:ascii="宋体" w:hAnsi="宋体" w:eastAsia="宋体" w:cs="宋体"/>
          <w:color w:val="auto"/>
        </w:rPr>
      </w:pPr>
    </w:p>
    <w:p w14:paraId="3E0988CB">
      <w:pPr>
        <w:pStyle w:val="34"/>
        <w:rPr>
          <w:rFonts w:hint="eastAsia" w:ascii="宋体" w:hAnsi="宋体" w:eastAsia="宋体" w:cs="宋体"/>
          <w:color w:val="auto"/>
        </w:rPr>
      </w:pPr>
    </w:p>
    <w:p w14:paraId="05A02DD6">
      <w:pPr>
        <w:pStyle w:val="34"/>
        <w:rPr>
          <w:rFonts w:hint="eastAsia" w:ascii="宋体" w:hAnsi="宋体" w:eastAsia="宋体" w:cs="宋体"/>
          <w:color w:val="auto"/>
        </w:rPr>
      </w:pPr>
    </w:p>
    <w:p w14:paraId="2592EAAF">
      <w:pPr>
        <w:pStyle w:val="34"/>
        <w:rPr>
          <w:rFonts w:hint="eastAsia" w:ascii="宋体" w:hAnsi="宋体" w:eastAsia="宋体" w:cs="宋体"/>
          <w:color w:val="auto"/>
        </w:rPr>
      </w:pPr>
    </w:p>
    <w:p w14:paraId="49F23AAA">
      <w:pPr>
        <w:pStyle w:val="34"/>
        <w:rPr>
          <w:rFonts w:hint="eastAsia" w:ascii="宋体" w:hAnsi="宋体" w:eastAsia="宋体" w:cs="宋体"/>
          <w:color w:val="auto"/>
        </w:rPr>
      </w:pPr>
    </w:p>
    <w:p w14:paraId="37908D1E">
      <w:pPr>
        <w:pStyle w:val="34"/>
        <w:rPr>
          <w:rFonts w:hint="eastAsia" w:ascii="宋体" w:hAnsi="宋体" w:eastAsia="宋体" w:cs="宋体"/>
          <w:color w:val="auto"/>
        </w:rPr>
      </w:pPr>
    </w:p>
    <w:p w14:paraId="51032995">
      <w:pPr>
        <w:pStyle w:val="34"/>
        <w:rPr>
          <w:rFonts w:hint="eastAsia" w:ascii="宋体" w:hAnsi="宋体" w:eastAsia="宋体" w:cs="宋体"/>
          <w:color w:val="auto"/>
        </w:rPr>
      </w:pPr>
    </w:p>
    <w:p w14:paraId="671F88F1">
      <w:pPr>
        <w:pStyle w:val="34"/>
        <w:rPr>
          <w:rFonts w:hint="eastAsia" w:ascii="宋体" w:hAnsi="宋体" w:eastAsia="宋体" w:cs="宋体"/>
          <w:color w:val="auto"/>
        </w:rPr>
      </w:pPr>
    </w:p>
    <w:p w14:paraId="79D04226">
      <w:pPr>
        <w:pStyle w:val="34"/>
        <w:rPr>
          <w:rFonts w:hint="eastAsia" w:ascii="宋体" w:hAnsi="宋体" w:eastAsia="宋体" w:cs="宋体"/>
          <w:color w:val="auto"/>
        </w:rPr>
      </w:pPr>
    </w:p>
    <w:p w14:paraId="20333FB9">
      <w:pPr>
        <w:pStyle w:val="34"/>
        <w:rPr>
          <w:rFonts w:hint="eastAsia" w:ascii="宋体" w:hAnsi="宋体" w:eastAsia="宋体" w:cs="宋体"/>
          <w:color w:val="auto"/>
        </w:rPr>
      </w:pPr>
    </w:p>
    <w:p w14:paraId="4A8F7C9B">
      <w:pPr>
        <w:pStyle w:val="34"/>
        <w:rPr>
          <w:rFonts w:hint="eastAsia" w:ascii="宋体" w:hAnsi="宋体" w:eastAsia="宋体" w:cs="宋体"/>
          <w:color w:val="auto"/>
        </w:rPr>
      </w:pPr>
    </w:p>
    <w:p w14:paraId="1F44F5F2">
      <w:pPr>
        <w:pStyle w:val="34"/>
        <w:rPr>
          <w:rFonts w:hint="eastAsia" w:ascii="宋体" w:hAnsi="宋体" w:eastAsia="宋体" w:cs="宋体"/>
          <w:color w:val="auto"/>
        </w:rPr>
      </w:pPr>
    </w:p>
    <w:p w14:paraId="28067268">
      <w:pPr>
        <w:pStyle w:val="34"/>
        <w:rPr>
          <w:rFonts w:hint="eastAsia" w:ascii="宋体" w:hAnsi="宋体" w:eastAsia="宋体" w:cs="宋体"/>
          <w:color w:val="auto"/>
        </w:rPr>
      </w:pPr>
    </w:p>
    <w:p w14:paraId="3F49F080">
      <w:pPr>
        <w:pStyle w:val="34"/>
        <w:rPr>
          <w:rFonts w:hint="eastAsia" w:ascii="宋体" w:hAnsi="宋体" w:eastAsia="宋体" w:cs="宋体"/>
          <w:color w:val="auto"/>
        </w:rPr>
      </w:pPr>
    </w:p>
    <w:p w14:paraId="64EDB91A">
      <w:pPr>
        <w:pStyle w:val="34"/>
        <w:rPr>
          <w:rFonts w:hint="eastAsia" w:ascii="宋体" w:hAnsi="宋体" w:eastAsia="宋体" w:cs="宋体"/>
          <w:color w:val="auto"/>
        </w:rPr>
      </w:pPr>
    </w:p>
    <w:p w14:paraId="52442ED8">
      <w:pPr>
        <w:pStyle w:val="34"/>
        <w:rPr>
          <w:rFonts w:hint="eastAsia" w:ascii="宋体" w:hAnsi="宋体" w:eastAsia="宋体" w:cs="宋体"/>
          <w:color w:val="auto"/>
        </w:rPr>
      </w:pPr>
    </w:p>
    <w:bookmarkEnd w:id="170"/>
    <w:bookmarkEnd w:id="171"/>
    <w:p w14:paraId="680245B2">
      <w:pPr>
        <w:pStyle w:val="3"/>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、资格审查资料</w:t>
      </w:r>
    </w:p>
    <w:p w14:paraId="76D52842">
      <w:pPr>
        <w:adjustRightInd w:val="0"/>
        <w:spacing w:line="400" w:lineRule="exact"/>
        <w:jc w:val="left"/>
        <w:rPr>
          <w:rFonts w:hint="eastAsia" w:ascii="宋体" w:hAnsi="宋体" w:eastAsia="宋体" w:cs="宋体"/>
          <w:color w:val="auto"/>
          <w:sz w:val="24"/>
        </w:rPr>
      </w:pPr>
    </w:p>
    <w:p w14:paraId="52DBD69F">
      <w:pPr>
        <w:pStyle w:val="16"/>
        <w:ind w:firstLine="210"/>
        <w:rPr>
          <w:rFonts w:hint="eastAsia" w:ascii="宋体" w:hAnsi="宋体" w:eastAsia="宋体" w:cs="宋体"/>
          <w:color w:val="auto"/>
        </w:rPr>
      </w:pPr>
    </w:p>
    <w:p w14:paraId="2A41403D">
      <w:pPr>
        <w:adjustRightInd w:val="0"/>
        <w:spacing w:line="400" w:lineRule="exact"/>
        <w:jc w:val="left"/>
        <w:rPr>
          <w:rFonts w:hint="eastAsia" w:ascii="宋体" w:hAnsi="宋体" w:eastAsia="宋体" w:cs="宋体"/>
          <w:color w:val="auto"/>
          <w:sz w:val="24"/>
        </w:rPr>
      </w:pPr>
    </w:p>
    <w:p w14:paraId="5E7C7337">
      <w:pPr>
        <w:adjustRightInd w:val="0"/>
        <w:spacing w:line="400" w:lineRule="exact"/>
        <w:jc w:val="left"/>
        <w:rPr>
          <w:rFonts w:hint="eastAsia" w:ascii="宋体" w:hAnsi="宋体" w:eastAsia="宋体" w:cs="宋体"/>
          <w:color w:val="auto"/>
          <w:sz w:val="24"/>
        </w:rPr>
      </w:pPr>
    </w:p>
    <w:p w14:paraId="6624CA7B">
      <w:pPr>
        <w:adjustRightInd w:val="0"/>
        <w:spacing w:line="400" w:lineRule="exact"/>
        <w:jc w:val="left"/>
        <w:rPr>
          <w:rFonts w:hint="eastAsia" w:ascii="宋体" w:hAnsi="宋体" w:eastAsia="宋体" w:cs="宋体"/>
          <w:color w:val="auto"/>
          <w:sz w:val="24"/>
        </w:rPr>
      </w:pPr>
    </w:p>
    <w:p w14:paraId="52BFF09B">
      <w:pPr>
        <w:pStyle w:val="34"/>
        <w:rPr>
          <w:rFonts w:hint="eastAsia" w:ascii="宋体" w:hAnsi="宋体" w:eastAsia="宋体" w:cs="宋体"/>
          <w:color w:val="auto"/>
          <w:sz w:val="24"/>
          <w:szCs w:val="24"/>
        </w:rPr>
      </w:pPr>
    </w:p>
    <w:p w14:paraId="7EB0AD1E">
      <w:pPr>
        <w:pStyle w:val="34"/>
        <w:rPr>
          <w:rFonts w:hint="eastAsia" w:ascii="宋体" w:hAnsi="宋体" w:eastAsia="宋体" w:cs="宋体"/>
          <w:color w:val="auto"/>
          <w:sz w:val="24"/>
          <w:szCs w:val="24"/>
        </w:rPr>
      </w:pPr>
    </w:p>
    <w:p w14:paraId="68F7E112">
      <w:pPr>
        <w:pStyle w:val="34"/>
        <w:rPr>
          <w:rFonts w:hint="eastAsia" w:ascii="宋体" w:hAnsi="宋体" w:eastAsia="宋体" w:cs="宋体"/>
          <w:color w:val="auto"/>
          <w:sz w:val="24"/>
          <w:szCs w:val="24"/>
        </w:rPr>
      </w:pPr>
    </w:p>
    <w:p w14:paraId="317A8FD5">
      <w:pPr>
        <w:pStyle w:val="34"/>
        <w:rPr>
          <w:rFonts w:hint="eastAsia" w:ascii="宋体" w:hAnsi="宋体" w:eastAsia="宋体" w:cs="宋体"/>
          <w:color w:val="auto"/>
          <w:sz w:val="24"/>
          <w:szCs w:val="24"/>
        </w:rPr>
      </w:pPr>
    </w:p>
    <w:p w14:paraId="00256B3D">
      <w:pPr>
        <w:pStyle w:val="3"/>
        <w:spacing w:line="400" w:lineRule="exact"/>
        <w:jc w:val="center"/>
        <w:outlineLvl w:val="9"/>
        <w:rPr>
          <w:rFonts w:hint="eastAsia" w:ascii="宋体" w:hAnsi="宋体" w:eastAsia="宋体" w:cs="宋体"/>
          <w:color w:val="auto"/>
          <w:sz w:val="28"/>
          <w:szCs w:val="28"/>
        </w:rPr>
      </w:pPr>
    </w:p>
    <w:p w14:paraId="63EC4BC3">
      <w:pPr>
        <w:pStyle w:val="3"/>
        <w:spacing w:line="400" w:lineRule="exact"/>
        <w:jc w:val="center"/>
        <w:outlineLvl w:val="9"/>
        <w:rPr>
          <w:rFonts w:hint="eastAsia" w:ascii="宋体" w:hAnsi="宋体" w:eastAsia="宋体" w:cs="宋体"/>
          <w:color w:val="auto"/>
          <w:sz w:val="28"/>
          <w:szCs w:val="28"/>
        </w:rPr>
      </w:pPr>
    </w:p>
    <w:p w14:paraId="25595218">
      <w:pPr>
        <w:pStyle w:val="3"/>
        <w:spacing w:line="400" w:lineRule="exact"/>
        <w:jc w:val="center"/>
        <w:outlineLvl w:val="9"/>
        <w:rPr>
          <w:rFonts w:hint="eastAsia" w:ascii="宋体" w:hAnsi="宋体" w:eastAsia="宋体" w:cs="宋体"/>
          <w:color w:val="auto"/>
          <w:sz w:val="28"/>
          <w:szCs w:val="28"/>
        </w:rPr>
      </w:pPr>
    </w:p>
    <w:p w14:paraId="4D87965E">
      <w:pPr>
        <w:pStyle w:val="3"/>
        <w:spacing w:line="400" w:lineRule="exact"/>
        <w:jc w:val="center"/>
        <w:outlineLvl w:val="9"/>
        <w:rPr>
          <w:rFonts w:hint="eastAsia" w:ascii="宋体" w:hAnsi="宋体" w:eastAsia="宋体" w:cs="宋体"/>
          <w:color w:val="auto"/>
          <w:sz w:val="28"/>
          <w:szCs w:val="28"/>
        </w:rPr>
      </w:pPr>
    </w:p>
    <w:p w14:paraId="220A89AB">
      <w:pPr>
        <w:pStyle w:val="3"/>
        <w:spacing w:line="400" w:lineRule="exact"/>
        <w:outlineLvl w:val="9"/>
        <w:rPr>
          <w:rFonts w:hint="eastAsia" w:ascii="宋体" w:hAnsi="宋体" w:eastAsia="宋体" w:cs="宋体"/>
          <w:color w:val="auto"/>
          <w:sz w:val="28"/>
          <w:szCs w:val="28"/>
        </w:rPr>
      </w:pPr>
    </w:p>
    <w:p w14:paraId="114FB1A4">
      <w:pPr>
        <w:rPr>
          <w:rFonts w:hint="eastAsia" w:ascii="宋体" w:hAnsi="宋体" w:eastAsia="宋体" w:cs="宋体"/>
          <w:color w:val="auto"/>
          <w:sz w:val="28"/>
          <w:szCs w:val="28"/>
        </w:rPr>
      </w:pPr>
    </w:p>
    <w:p w14:paraId="04EDA8BE">
      <w:pPr>
        <w:pStyle w:val="16"/>
        <w:ind w:firstLine="280"/>
        <w:rPr>
          <w:rFonts w:hint="eastAsia" w:ascii="宋体" w:hAnsi="宋体" w:eastAsia="宋体" w:cs="宋体"/>
          <w:color w:val="auto"/>
          <w:sz w:val="28"/>
          <w:szCs w:val="28"/>
        </w:rPr>
      </w:pPr>
    </w:p>
    <w:p w14:paraId="7A022973">
      <w:pPr>
        <w:pStyle w:val="17"/>
        <w:ind w:firstLine="560"/>
        <w:rPr>
          <w:rFonts w:hint="eastAsia" w:ascii="宋体" w:hAnsi="宋体" w:eastAsia="宋体" w:cs="宋体"/>
          <w:color w:val="auto"/>
          <w:sz w:val="28"/>
          <w:szCs w:val="28"/>
        </w:rPr>
      </w:pPr>
    </w:p>
    <w:p w14:paraId="60CA24D3">
      <w:pPr>
        <w:rPr>
          <w:rFonts w:hint="eastAsia" w:ascii="宋体" w:hAnsi="宋体" w:eastAsia="宋体" w:cs="宋体"/>
          <w:color w:val="auto"/>
          <w:sz w:val="28"/>
          <w:szCs w:val="28"/>
        </w:rPr>
      </w:pPr>
    </w:p>
    <w:p w14:paraId="4C59C933">
      <w:pPr>
        <w:pStyle w:val="16"/>
        <w:ind w:firstLine="280"/>
        <w:rPr>
          <w:rFonts w:hint="eastAsia" w:ascii="宋体" w:hAnsi="宋体" w:eastAsia="宋体" w:cs="宋体"/>
          <w:color w:val="auto"/>
          <w:sz w:val="28"/>
          <w:szCs w:val="28"/>
        </w:rPr>
      </w:pPr>
    </w:p>
    <w:p w14:paraId="306E5792">
      <w:pPr>
        <w:pStyle w:val="17"/>
        <w:ind w:firstLine="560"/>
        <w:rPr>
          <w:rFonts w:hint="eastAsia" w:ascii="宋体" w:hAnsi="宋体" w:eastAsia="宋体" w:cs="宋体"/>
          <w:color w:val="auto"/>
          <w:sz w:val="28"/>
          <w:szCs w:val="28"/>
        </w:rPr>
      </w:pPr>
    </w:p>
    <w:p w14:paraId="2B4AF340">
      <w:pPr>
        <w:rPr>
          <w:rFonts w:hint="eastAsia" w:ascii="宋体" w:hAnsi="宋体" w:eastAsia="宋体" w:cs="宋体"/>
          <w:color w:val="auto"/>
          <w:sz w:val="28"/>
          <w:szCs w:val="28"/>
        </w:rPr>
      </w:pPr>
    </w:p>
    <w:p w14:paraId="55344A19">
      <w:pPr>
        <w:pStyle w:val="16"/>
        <w:ind w:firstLine="210"/>
        <w:rPr>
          <w:rFonts w:hint="eastAsia" w:ascii="宋体" w:hAnsi="宋体" w:eastAsia="宋体" w:cs="宋体"/>
          <w:color w:val="auto"/>
        </w:rPr>
      </w:pPr>
    </w:p>
    <w:p w14:paraId="503C51AE">
      <w:pPr>
        <w:pStyle w:val="16"/>
        <w:ind w:firstLine="210"/>
        <w:rPr>
          <w:rFonts w:hint="eastAsia" w:ascii="宋体" w:hAnsi="宋体" w:eastAsia="宋体" w:cs="宋体"/>
          <w:color w:val="auto"/>
        </w:rPr>
      </w:pPr>
    </w:p>
    <w:p w14:paraId="53EBF11F">
      <w:pPr>
        <w:spacing w:line="360" w:lineRule="auto"/>
        <w:jc w:val="center"/>
        <w:rPr>
          <w:rFonts w:hint="eastAsia" w:ascii="宋体" w:hAnsi="宋体" w:eastAsia="宋体" w:cs="宋体"/>
          <w:b/>
          <w:bCs/>
          <w:color w:val="auto"/>
          <w:sz w:val="28"/>
          <w:szCs w:val="28"/>
          <w:lang w:val="en-US" w:eastAsia="zh-CN"/>
        </w:rPr>
      </w:pPr>
    </w:p>
    <w:p w14:paraId="47882AC2">
      <w:pPr>
        <w:pStyle w:val="3"/>
        <w:bidi w:val="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、其他材料</w:t>
      </w:r>
    </w:p>
    <w:p w14:paraId="3D15DB6F">
      <w:pPr>
        <w:pStyle w:val="16"/>
        <w:ind w:firstLine="211"/>
        <w:jc w:val="center"/>
        <w:rPr>
          <w:rFonts w:hint="eastAsia" w:ascii="宋体" w:hAnsi="宋体" w:eastAsia="宋体" w:cs="宋体"/>
          <w:b/>
          <w:bCs/>
          <w:color w:val="auto"/>
        </w:rPr>
      </w:pPr>
      <w:r>
        <w:rPr>
          <w:rFonts w:hint="eastAsia" w:ascii="宋体" w:hAnsi="宋体" w:eastAsia="宋体" w:cs="宋体"/>
          <w:b/>
          <w:bCs/>
          <w:color w:val="auto"/>
        </w:rPr>
        <w:t>（</w:t>
      </w:r>
      <w:r>
        <w:rPr>
          <w:rFonts w:hint="eastAsia" w:ascii="宋体" w:hAnsi="宋体" w:eastAsia="宋体" w:cs="宋体"/>
          <w:b/>
          <w:bCs/>
          <w:color w:val="auto"/>
          <w:lang w:eastAsia="zh-CN"/>
        </w:rPr>
        <w:t>供应商</w:t>
      </w:r>
      <w:r>
        <w:rPr>
          <w:rFonts w:hint="eastAsia" w:ascii="宋体" w:hAnsi="宋体" w:eastAsia="宋体" w:cs="宋体"/>
          <w:b/>
          <w:bCs/>
          <w:color w:val="auto"/>
        </w:rPr>
        <w:t>认为有必要提交的其他资料）</w:t>
      </w:r>
    </w:p>
    <w:p w14:paraId="1744326D">
      <w:pPr>
        <w:pStyle w:val="16"/>
        <w:ind w:firstLine="210"/>
        <w:rPr>
          <w:rFonts w:hint="eastAsia" w:ascii="宋体" w:hAnsi="宋体" w:eastAsia="宋体" w:cs="宋体"/>
          <w:color w:val="auto"/>
        </w:rPr>
      </w:pPr>
    </w:p>
    <w:p w14:paraId="79D472A3">
      <w:pPr>
        <w:rPr>
          <w:rFonts w:hint="eastAsia" w:ascii="宋体" w:hAnsi="宋体" w:eastAsia="宋体" w:cs="宋体"/>
          <w:color w:val="auto"/>
        </w:rPr>
      </w:pPr>
    </w:p>
    <w:p w14:paraId="32113CEF">
      <w:pPr>
        <w:spacing w:line="580" w:lineRule="exact"/>
        <w:rPr>
          <w:rFonts w:hint="eastAsia" w:ascii="宋体" w:hAnsi="宋体" w:eastAsia="宋体" w:cs="宋体"/>
          <w:color w:val="auto"/>
          <w:spacing w:val="-4"/>
          <w:sz w:val="24"/>
        </w:rPr>
      </w:pPr>
    </w:p>
    <w:p w14:paraId="16CC0F12">
      <w:pPr>
        <w:spacing w:line="580" w:lineRule="exact"/>
        <w:rPr>
          <w:rFonts w:hint="eastAsia" w:ascii="宋体" w:hAnsi="宋体" w:eastAsia="宋体" w:cs="宋体"/>
          <w:color w:val="auto"/>
          <w:spacing w:val="-4"/>
          <w:sz w:val="24"/>
        </w:rPr>
      </w:pPr>
    </w:p>
    <w:p w14:paraId="78C5149C">
      <w:pPr>
        <w:pStyle w:val="17"/>
        <w:rPr>
          <w:rFonts w:hint="eastAsia" w:ascii="宋体" w:hAnsi="宋体" w:eastAsia="宋体" w:cs="宋体"/>
          <w:color w:val="auto"/>
        </w:rPr>
      </w:pPr>
    </w:p>
    <w:p w14:paraId="093DCE3F">
      <w:pPr>
        <w:spacing w:line="580" w:lineRule="exact"/>
        <w:rPr>
          <w:rFonts w:hint="eastAsia" w:ascii="宋体" w:hAnsi="宋体" w:eastAsia="宋体" w:cs="宋体"/>
          <w:color w:val="auto"/>
          <w:spacing w:val="-4"/>
          <w:sz w:val="24"/>
        </w:rPr>
      </w:pPr>
    </w:p>
    <w:p w14:paraId="5BD5A2CA">
      <w:pPr>
        <w:pStyle w:val="3"/>
        <w:spacing w:line="360" w:lineRule="auto"/>
        <w:jc w:val="both"/>
        <w:outlineLvl w:val="9"/>
        <w:rPr>
          <w:rFonts w:hint="eastAsia" w:ascii="宋体" w:hAnsi="宋体" w:eastAsia="宋体" w:cs="宋体"/>
          <w:color w:val="auto"/>
          <w:sz w:val="28"/>
          <w:szCs w:val="28"/>
          <w:lang w:val="en-US" w:eastAsia="zh-CN"/>
        </w:rPr>
      </w:pPr>
      <w:bookmarkStart w:id="172" w:name="_Toc17345"/>
      <w:bookmarkStart w:id="173" w:name="_Toc27735"/>
      <w:bookmarkStart w:id="174" w:name="_Toc525062119"/>
    </w:p>
    <w:p w14:paraId="270365F5">
      <w:pPr>
        <w:pStyle w:val="3"/>
        <w:spacing w:line="360" w:lineRule="auto"/>
        <w:jc w:val="both"/>
        <w:outlineLvl w:val="9"/>
        <w:rPr>
          <w:rFonts w:hint="eastAsia" w:ascii="宋体" w:hAnsi="宋体" w:eastAsia="宋体" w:cs="宋体"/>
          <w:color w:val="auto"/>
          <w:sz w:val="28"/>
          <w:szCs w:val="28"/>
          <w:lang w:val="en-US" w:eastAsia="zh-CN"/>
        </w:rPr>
      </w:pPr>
    </w:p>
    <w:p w14:paraId="15E4AF94">
      <w:pPr>
        <w:pStyle w:val="3"/>
        <w:spacing w:line="360" w:lineRule="auto"/>
        <w:jc w:val="both"/>
        <w:outlineLvl w:val="9"/>
        <w:rPr>
          <w:rFonts w:hint="eastAsia" w:ascii="宋体" w:hAnsi="宋体" w:eastAsia="宋体" w:cs="宋体"/>
          <w:color w:val="auto"/>
          <w:sz w:val="28"/>
          <w:szCs w:val="28"/>
          <w:lang w:val="en-US" w:eastAsia="zh-CN"/>
        </w:rPr>
      </w:pPr>
    </w:p>
    <w:p w14:paraId="4934905F">
      <w:pPr>
        <w:pStyle w:val="3"/>
        <w:spacing w:line="360" w:lineRule="auto"/>
        <w:jc w:val="both"/>
        <w:outlineLvl w:val="9"/>
        <w:rPr>
          <w:rFonts w:hint="eastAsia" w:ascii="宋体" w:hAnsi="宋体" w:eastAsia="宋体" w:cs="宋体"/>
          <w:color w:val="auto"/>
          <w:sz w:val="28"/>
          <w:szCs w:val="28"/>
          <w:lang w:val="en-US" w:eastAsia="zh-CN"/>
        </w:rPr>
      </w:pPr>
    </w:p>
    <w:p w14:paraId="026DB0F9">
      <w:pPr>
        <w:pStyle w:val="3"/>
        <w:spacing w:line="360" w:lineRule="auto"/>
        <w:jc w:val="both"/>
        <w:outlineLvl w:val="9"/>
        <w:rPr>
          <w:rFonts w:hint="eastAsia" w:ascii="宋体" w:hAnsi="宋体" w:eastAsia="宋体" w:cs="宋体"/>
          <w:color w:val="auto"/>
          <w:sz w:val="28"/>
          <w:szCs w:val="28"/>
          <w:lang w:val="en-US" w:eastAsia="zh-CN"/>
        </w:rPr>
      </w:pPr>
    </w:p>
    <w:p w14:paraId="787A766F">
      <w:pPr>
        <w:pStyle w:val="3"/>
        <w:spacing w:line="360" w:lineRule="auto"/>
        <w:jc w:val="both"/>
        <w:outlineLvl w:val="9"/>
        <w:rPr>
          <w:rFonts w:hint="eastAsia" w:ascii="宋体" w:hAnsi="宋体" w:eastAsia="宋体" w:cs="宋体"/>
          <w:color w:val="auto"/>
          <w:sz w:val="28"/>
          <w:szCs w:val="28"/>
          <w:lang w:val="en-US" w:eastAsia="zh-CN"/>
        </w:rPr>
      </w:pPr>
    </w:p>
    <w:p w14:paraId="35B6AF9A">
      <w:pPr>
        <w:pStyle w:val="3"/>
        <w:spacing w:line="360" w:lineRule="auto"/>
        <w:jc w:val="both"/>
        <w:outlineLvl w:val="9"/>
        <w:rPr>
          <w:rFonts w:hint="eastAsia" w:ascii="宋体" w:hAnsi="宋体" w:eastAsia="宋体" w:cs="宋体"/>
          <w:color w:val="auto"/>
          <w:sz w:val="28"/>
          <w:szCs w:val="28"/>
          <w:lang w:val="en-US" w:eastAsia="zh-CN"/>
        </w:rPr>
      </w:pPr>
    </w:p>
    <w:p w14:paraId="67FBB839">
      <w:pPr>
        <w:pStyle w:val="3"/>
        <w:spacing w:line="360" w:lineRule="auto"/>
        <w:jc w:val="both"/>
        <w:outlineLvl w:val="9"/>
        <w:rPr>
          <w:rFonts w:hint="eastAsia" w:ascii="宋体" w:hAnsi="宋体" w:eastAsia="宋体" w:cs="宋体"/>
          <w:color w:val="auto"/>
          <w:sz w:val="28"/>
          <w:szCs w:val="28"/>
          <w:lang w:val="en-US" w:eastAsia="zh-CN"/>
        </w:rPr>
      </w:pPr>
    </w:p>
    <w:p w14:paraId="37F9454A">
      <w:pPr>
        <w:pStyle w:val="3"/>
        <w:spacing w:line="360" w:lineRule="auto"/>
        <w:jc w:val="both"/>
        <w:outlineLvl w:val="9"/>
        <w:rPr>
          <w:rFonts w:hint="eastAsia" w:ascii="宋体" w:hAnsi="宋体" w:eastAsia="宋体" w:cs="宋体"/>
          <w:color w:val="auto"/>
          <w:sz w:val="28"/>
          <w:szCs w:val="28"/>
          <w:lang w:val="en-US" w:eastAsia="zh-CN"/>
        </w:rPr>
      </w:pPr>
    </w:p>
    <w:p w14:paraId="505E184A">
      <w:pPr>
        <w:pStyle w:val="3"/>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z w:val="28"/>
          <w:szCs w:val="28"/>
          <w:lang w:val="en-US" w:eastAsia="zh-CN"/>
        </w:rPr>
      </w:pPr>
    </w:p>
    <w:bookmarkEnd w:id="172"/>
    <w:bookmarkEnd w:id="173"/>
    <w:bookmarkEnd w:id="174"/>
    <w:p w14:paraId="5AB85F4C">
      <w:pPr>
        <w:pStyle w:val="3"/>
        <w:bidi w:val="0"/>
        <w:jc w:val="center"/>
      </w:pPr>
      <w:bookmarkStart w:id="175" w:name="_Toc32434"/>
      <w:r>
        <w:rPr>
          <w:rFonts w:hint="eastAsia"/>
          <w:lang w:val="en-US" w:eastAsia="zh-CN"/>
        </w:rPr>
        <w:t>九</w:t>
      </w:r>
      <w:r>
        <w:rPr>
          <w:rFonts w:hint="eastAsia"/>
        </w:rPr>
        <w:t>、中小企业声明函</w:t>
      </w:r>
      <w:bookmarkEnd w:id="175"/>
    </w:p>
    <w:p w14:paraId="250E2DA2">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jc w:val="center"/>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（属于中小企业的填写，不属于的无需填写此项内容）</w:t>
      </w:r>
    </w:p>
    <w:p w14:paraId="3EFCCD4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本公司（联合体）郑重声明，根据《政府采购促进中小企业发展管理办法》（财库[2020]46 号）的规定，本公司（联合体）参加______（单位名称）的</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（项目名称）</w:t>
      </w:r>
      <w:r>
        <w:rPr>
          <w:rFonts w:hint="eastAsia" w:ascii="宋体" w:hAnsi="Courier New" w:eastAsia="宋体" w:cs="Times New Roman"/>
          <w:color w:val="auto"/>
          <w:kern w:val="0"/>
          <w:sz w:val="24"/>
          <w:szCs w:val="24"/>
          <w:u w:val="single"/>
          <w:lang w:val="en-US" w:eastAsia="zh-CN"/>
        </w:rPr>
        <w:t xml:space="preserve">  包</w:t>
      </w:r>
      <w:r>
        <w:rPr>
          <w:rFonts w:hint="eastAsia" w:ascii="宋体" w:hAnsi="Courier New" w:eastAsia="宋体" w:cs="Times New Roman"/>
          <w:color w:val="auto"/>
          <w:kern w:val="0"/>
          <w:sz w:val="24"/>
          <w:szCs w:val="24"/>
          <w:lang w:val="en-US" w:eastAsia="zh-CN"/>
        </w:rPr>
        <w:t xml:space="preserve"> </w:t>
      </w:r>
      <w:r>
        <w:rPr>
          <w:rFonts w:hint="eastAsia" w:ascii="宋体" w:hAnsi="Courier New" w:eastAsia="宋体" w:cs="Times New Roman"/>
          <w:color w:val="auto"/>
          <w:kern w:val="0"/>
          <w:sz w:val="24"/>
          <w:szCs w:val="24"/>
        </w:rPr>
        <w:t>采购活动，提供的货物全部由符合政策要求的中小企业制造。相关企业（含联合体中的中小企业、签订分包意向协议的中小企业）的具体情况如下：</w:t>
      </w:r>
    </w:p>
    <w:p w14:paraId="09D8ED2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1、</w:t>
      </w:r>
      <w:r>
        <w:rPr>
          <w:rFonts w:hint="eastAsia" w:ascii="宋体" w:hAnsi="Courier New" w:eastAsia="宋体" w:cs="Times New Roman"/>
          <w:color w:val="auto"/>
          <w:kern w:val="0"/>
          <w:sz w:val="24"/>
          <w:szCs w:val="24"/>
          <w:u w:val="single"/>
        </w:rPr>
        <w:t xml:space="preserve">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（标的名称），属于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 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万元，资产总额为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4DACAC7D">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2、</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（标的名称），属于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行业；制造商为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（企业名称），从业人员</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人，营业收入为</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 xml:space="preserve">万元，资产总额为 </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万元，属于</w:t>
      </w:r>
      <w:r>
        <w:rPr>
          <w:rFonts w:hint="eastAsia" w:ascii="宋体" w:hAnsi="Courier New" w:eastAsia="宋体" w:cs="Times New Roman"/>
          <w:color w:val="auto"/>
          <w:kern w:val="0"/>
          <w:sz w:val="24"/>
          <w:szCs w:val="24"/>
          <w:u w:val="single"/>
          <w:lang w:val="en-US" w:eastAsia="zh-CN"/>
        </w:rPr>
        <w:t xml:space="preserve">         </w:t>
      </w:r>
      <w:r>
        <w:rPr>
          <w:rFonts w:hint="eastAsia" w:ascii="宋体" w:hAnsi="Courier New" w:eastAsia="宋体" w:cs="Times New Roman"/>
          <w:color w:val="auto"/>
          <w:kern w:val="0"/>
          <w:sz w:val="24"/>
          <w:szCs w:val="24"/>
        </w:rPr>
        <w:t>（中型企业、小型企业、微型企业）；</w:t>
      </w:r>
    </w:p>
    <w:p w14:paraId="15B5038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 </w:t>
      </w:r>
    </w:p>
    <w:p w14:paraId="5DE8DCD8">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以上企业，不属于大企业的分支机构，不存在控股股东为大企业的情形，也不存在</w:t>
      </w:r>
    </w:p>
    <w:p w14:paraId="2E3F1F6B">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与大企业的负责人为同一人的情形。</w:t>
      </w:r>
    </w:p>
    <w:p w14:paraId="6AE9773C">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本公司对上述声明的真实性负责。如有虚假，将依法承担相应责任。</w:t>
      </w:r>
    </w:p>
    <w:p w14:paraId="3780D134">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供应商[盖单位章]：</w:t>
      </w:r>
    </w:p>
    <w:p w14:paraId="037191CE">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日 期：</w:t>
      </w:r>
    </w:p>
    <w:p w14:paraId="31DF2BF9">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44799C4A">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 </w:t>
      </w:r>
    </w:p>
    <w:p w14:paraId="283EAC26">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 xml:space="preserve">注：从业人员、营业收入、资产总额填报上一年度数据，无上一年度数据的新成立企业可不填报。 </w:t>
      </w:r>
    </w:p>
    <w:p w14:paraId="5477B983">
      <w:pPr>
        <w:keepNext w:val="0"/>
        <w:keepLines w:val="0"/>
        <w:pageBreakBefore w:val="0"/>
        <w:widowControl w:val="0"/>
        <w:kinsoku/>
        <w:wordWrap w:val="0"/>
        <w:overflowPunct/>
        <w:topLinePunct w:val="0"/>
        <w:autoSpaceDE/>
        <w:autoSpaceDN/>
        <w:bidi w:val="0"/>
        <w:adjustRightInd/>
        <w:snapToGrid/>
        <w:spacing w:line="460" w:lineRule="exact"/>
        <w:ind w:firstLine="480" w:firstLineChars="200"/>
        <w:textAlignment w:val="auto"/>
        <w:rPr>
          <w:rFonts w:hint="eastAsia" w:ascii="宋体" w:hAnsi="Courier New" w:eastAsia="宋体" w:cs="Times New Roman"/>
          <w:color w:val="auto"/>
          <w:kern w:val="0"/>
          <w:sz w:val="24"/>
          <w:szCs w:val="24"/>
        </w:rPr>
      </w:pPr>
      <w:r>
        <w:rPr>
          <w:rFonts w:hint="eastAsia" w:ascii="宋体" w:hAnsi="Courier New" w:eastAsia="宋体" w:cs="Times New Roman"/>
          <w:color w:val="auto"/>
          <w:kern w:val="0"/>
          <w:sz w:val="24"/>
          <w:szCs w:val="24"/>
        </w:rPr>
        <w:t>根据最新《政府采购促进中小企业发展管理办法》规定，所有中小企业声明函必须使用最新格式。</w:t>
      </w:r>
    </w:p>
    <w:p w14:paraId="1E1AB54D">
      <w:pPr>
        <w:keepNext w:val="0"/>
        <w:keepLines w:val="0"/>
        <w:pageBreakBefore w:val="0"/>
        <w:widowControl w:val="0"/>
        <w:kinsoku/>
        <w:wordWrap w:val="0"/>
        <w:overflowPunct/>
        <w:topLinePunct w:val="0"/>
        <w:autoSpaceDE/>
        <w:autoSpaceDN/>
        <w:bidi w:val="0"/>
        <w:adjustRightInd/>
        <w:snapToGrid/>
        <w:spacing w:line="460" w:lineRule="exact"/>
        <w:ind w:firstLine="4080" w:firstLineChars="1700"/>
        <w:textAlignment w:val="auto"/>
        <w:rPr>
          <w:rFonts w:ascii="宋体" w:hAnsi="Courier New" w:eastAsia="宋体" w:cs="Times New Roman"/>
          <w:color w:val="auto"/>
          <w:kern w:val="0"/>
          <w:sz w:val="24"/>
          <w:szCs w:val="24"/>
        </w:rPr>
      </w:pPr>
    </w:p>
    <w:p w14:paraId="359D4787">
      <w:pPr>
        <w:keepNext w:val="0"/>
        <w:keepLines w:val="0"/>
        <w:pageBreakBefore w:val="0"/>
        <w:widowControl w:val="0"/>
        <w:kinsoku/>
        <w:overflowPunct/>
        <w:topLinePunct w:val="0"/>
        <w:autoSpaceDE/>
        <w:autoSpaceDN/>
        <w:bidi w:val="0"/>
        <w:adjustRightInd w:val="0"/>
        <w:snapToGrid w:val="0"/>
        <w:spacing w:line="460" w:lineRule="exact"/>
        <w:textAlignment w:val="auto"/>
        <w:rPr>
          <w:rFonts w:hint="eastAsia" w:ascii="宋体" w:hAnsi="宋体" w:cs="宋体"/>
          <w:color w:val="auto"/>
          <w:spacing w:val="6"/>
          <w:kern w:val="0"/>
          <w:szCs w:val="21"/>
        </w:rPr>
      </w:pPr>
    </w:p>
    <w:p w14:paraId="0B2AFB17">
      <w:pPr>
        <w:keepNext w:val="0"/>
        <w:keepLines w:val="0"/>
        <w:pageBreakBefore w:val="0"/>
        <w:widowControl/>
        <w:kinsoku/>
        <w:wordWrap/>
        <w:overflowPunct/>
        <w:topLinePunct w:val="0"/>
        <w:bidi w:val="0"/>
        <w:adjustRightInd w:val="0"/>
        <w:snapToGrid w:val="0"/>
        <w:spacing w:line="360" w:lineRule="auto"/>
        <w:textAlignment w:val="auto"/>
        <w:rPr>
          <w:color w:val="auto"/>
        </w:rPr>
      </w:pPr>
    </w:p>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C50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C2531">
    <w:pPr>
      <w:pStyle w:val="12"/>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A569D">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5A569D">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0063">
    <w:pPr>
      <w:pStyle w:val="13"/>
      <w:rPr>
        <w:rFonts w:hint="eastAsia" w:eastAsia="宋体"/>
        <w:lang w:val="en-US" w:eastAsia="zh-CN"/>
      </w:rPr>
    </w:pPr>
    <w:r>
      <w:rPr>
        <w:rFonts w:hint="eastAsia"/>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94ED">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4AB86064"/>
    <w:rsid w:val="14611230"/>
    <w:rsid w:val="14AB3FBF"/>
    <w:rsid w:val="172E437B"/>
    <w:rsid w:val="179E758B"/>
    <w:rsid w:val="1A7C3568"/>
    <w:rsid w:val="1B4D642D"/>
    <w:rsid w:val="1D611937"/>
    <w:rsid w:val="1ED352CD"/>
    <w:rsid w:val="1F231557"/>
    <w:rsid w:val="239F5888"/>
    <w:rsid w:val="24D64800"/>
    <w:rsid w:val="268052F8"/>
    <w:rsid w:val="2A8A3A3B"/>
    <w:rsid w:val="2B8154A1"/>
    <w:rsid w:val="2BAA6270"/>
    <w:rsid w:val="2BAF5B96"/>
    <w:rsid w:val="2CE96C53"/>
    <w:rsid w:val="2D91366B"/>
    <w:rsid w:val="2E4D710C"/>
    <w:rsid w:val="2EF541FA"/>
    <w:rsid w:val="34671A14"/>
    <w:rsid w:val="385F3C6F"/>
    <w:rsid w:val="3AAD789C"/>
    <w:rsid w:val="3C131A3E"/>
    <w:rsid w:val="3FF658AB"/>
    <w:rsid w:val="415853DB"/>
    <w:rsid w:val="435E7A42"/>
    <w:rsid w:val="48962B48"/>
    <w:rsid w:val="4AB86064"/>
    <w:rsid w:val="4F311AFC"/>
    <w:rsid w:val="4F685DE7"/>
    <w:rsid w:val="53B860CE"/>
    <w:rsid w:val="54F97937"/>
    <w:rsid w:val="5710645B"/>
    <w:rsid w:val="578A726B"/>
    <w:rsid w:val="59C9433C"/>
    <w:rsid w:val="5CBF79D7"/>
    <w:rsid w:val="65AA7A07"/>
    <w:rsid w:val="69D471BD"/>
    <w:rsid w:val="6BC766A5"/>
    <w:rsid w:val="6C2F0EF3"/>
    <w:rsid w:val="71F74F1E"/>
    <w:rsid w:val="74B55797"/>
    <w:rsid w:val="78B853B9"/>
    <w:rsid w:val="79E394FC"/>
    <w:rsid w:val="79FE105C"/>
    <w:rsid w:val="7FCE49E1"/>
    <w:rsid w:val="EF7F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link w:val="35"/>
    <w:autoRedefine/>
    <w:qFormat/>
    <w:uiPriority w:val="0"/>
    <w:pPr>
      <w:keepNext/>
      <w:keepLines/>
      <w:widowControl w:val="0"/>
      <w:spacing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basedOn w:val="1"/>
    <w:next w:val="1"/>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autoRedefine/>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9"/>
    <w:pPr>
      <w:keepNext/>
      <w:keepLines/>
      <w:spacing w:before="280" w:after="290" w:line="376" w:lineRule="auto"/>
      <w:outlineLvl w:val="3"/>
    </w:pPr>
    <w:rPr>
      <w:rFonts w:ascii="Calibri Light" w:hAnsi="Calibri Light" w:eastAsia="宋体" w:cs="Times New Roman"/>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7">
    <w:name w:val="index 8"/>
    <w:basedOn w:val="1"/>
    <w:next w:val="1"/>
    <w:qFormat/>
    <w:uiPriority w:val="0"/>
    <w:pPr>
      <w:jc w:val="center"/>
    </w:pPr>
    <w:rPr>
      <w:color w:val="000000"/>
      <w:sz w:val="32"/>
    </w:rPr>
  </w:style>
  <w:style w:type="paragraph" w:styleId="8">
    <w:name w:val="Body Text"/>
    <w:basedOn w:val="1"/>
    <w:next w:val="9"/>
    <w:autoRedefine/>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9">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10">
    <w:name w:val="Plain Text"/>
    <w:basedOn w:val="1"/>
    <w:autoRedefine/>
    <w:qFormat/>
    <w:uiPriority w:val="0"/>
    <w:rPr>
      <w:rFonts w:ascii="宋体" w:hAnsi="Courier New"/>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unhideWhenUsed/>
    <w:qFormat/>
    <w:uiPriority w:val="99"/>
    <w:pPr>
      <w:widowControl w:val="0"/>
      <w:tabs>
        <w:tab w:val="center" w:pos="4153"/>
        <w:tab w:val="right" w:pos="8306"/>
      </w:tabs>
      <w:snapToGrid w:val="0"/>
    </w:pPr>
    <w:rPr>
      <w:sz w:val="18"/>
      <w:szCs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autoRedefine/>
    <w:qFormat/>
    <w:uiPriority w:val="1"/>
    <w:pPr>
      <w:spacing w:before="385"/>
      <w:ind w:left="251"/>
    </w:pPr>
    <w:rPr>
      <w:rFonts w:ascii="宋体" w:hAnsi="宋体" w:eastAsia="宋体" w:cs="宋体"/>
      <w:b/>
      <w:bCs/>
      <w:sz w:val="28"/>
      <w:szCs w:val="28"/>
    </w:rPr>
  </w:style>
  <w:style w:type="paragraph" w:styleId="15">
    <w:name w:val="Body Text 2"/>
    <w:basedOn w:val="1"/>
    <w:autoRedefine/>
    <w:unhideWhenUsed/>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16">
    <w:name w:val="Body Text First Indent"/>
    <w:basedOn w:val="1"/>
    <w:next w:val="17"/>
    <w:autoRedefine/>
    <w:unhideWhenUsed/>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7">
    <w:name w:val="Body Text First Indent 2"/>
    <w:basedOn w:val="1"/>
    <w:next w:val="1"/>
    <w:autoRedefine/>
    <w:qFormat/>
    <w:uiPriority w:val="0"/>
    <w:pPr>
      <w:ind w:firstLine="420" w:firstLineChars="200"/>
    </w:pPr>
  </w:style>
  <w:style w:type="table" w:styleId="19">
    <w:name w:val="Table Grid"/>
    <w:basedOn w:val="1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unhideWhenUsed/>
    <w:qFormat/>
    <w:uiPriority w:val="99"/>
    <w:rPr>
      <w:color w:val="000000"/>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Default"/>
    <w:next w:val="1"/>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4">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5">
    <w:name w:val="标题 1 Char"/>
    <w:link w:val="2"/>
    <w:autoRedefine/>
    <w:qFormat/>
    <w:uiPriority w:val="0"/>
    <w:rPr>
      <w:rFonts w:ascii="Times New Roman" w:hAnsi="Times New Roman" w:eastAsia="宋体" w:cs="Times New Roman"/>
      <w:b/>
      <w:bCs/>
      <w:kern w:val="44"/>
      <w:sz w:val="32"/>
      <w:szCs w:val="44"/>
      <w:lang w:val="en-US" w:eastAsia="zh-CN" w:bidi="ar-SA"/>
    </w:rPr>
  </w:style>
  <w:style w:type="character" w:customStyle="1" w:styleId="36">
    <w:name w:val="font91"/>
    <w:basedOn w:val="20"/>
    <w:autoRedefine/>
    <w:qFormat/>
    <w:uiPriority w:val="0"/>
    <w:rPr>
      <w:rFonts w:hint="eastAsia" w:ascii="宋体" w:hAnsi="宋体" w:eastAsia="宋体" w:cs="宋体"/>
      <w:color w:val="000000"/>
      <w:sz w:val="20"/>
      <w:szCs w:val="20"/>
      <w:u w:val="none"/>
    </w:rPr>
  </w:style>
  <w:style w:type="character" w:customStyle="1" w:styleId="37">
    <w:name w:val="font101"/>
    <w:basedOn w:val="20"/>
    <w:autoRedefine/>
    <w:qFormat/>
    <w:uiPriority w:val="0"/>
    <w:rPr>
      <w:rFonts w:ascii="Arial" w:hAnsi="Arial" w:cs="Arial"/>
      <w:color w:val="000000"/>
      <w:sz w:val="20"/>
      <w:szCs w:val="20"/>
      <w:u w:val="none"/>
    </w:rPr>
  </w:style>
  <w:style w:type="paragraph" w:customStyle="1" w:styleId="38">
    <w:name w:val="Heading3"/>
    <w:basedOn w:val="1"/>
    <w:next w:val="1"/>
    <w:autoRedefine/>
    <w:qFormat/>
    <w:uiPriority w:val="0"/>
    <w:pPr>
      <w:keepNext/>
      <w:keepLines/>
      <w:spacing w:before="260" w:after="260" w:line="415" w:lineRule="auto"/>
      <w:jc w:val="both"/>
      <w:textAlignment w:val="baseline"/>
    </w:pPr>
    <w:rPr>
      <w:rFonts w:ascii="Times New Roman" w:hAnsi="Times New Roman"/>
      <w:b/>
      <w:kern w:val="0"/>
      <w:sz w:val="32"/>
      <w:szCs w:val="32"/>
      <w:lang w:bidi="ar-SA"/>
    </w:rPr>
  </w:style>
  <w:style w:type="character" w:customStyle="1" w:styleId="39">
    <w:name w:val="NormalCharacter"/>
    <w:autoRedefine/>
    <w:semiHidden/>
    <w:qFormat/>
    <w:uiPriority w:val="0"/>
    <w:rPr>
      <w:kern w:val="2"/>
      <w:sz w:val="21"/>
      <w:szCs w:val="24"/>
      <w:lang w:val="en-US" w:eastAsia="zh-CN" w:bidi="ar-SA"/>
    </w:rPr>
  </w:style>
  <w:style w:type="character" w:customStyle="1" w:styleId="40">
    <w:name w:val="layui-layer-tabnow"/>
    <w:basedOn w:val="20"/>
    <w:autoRedefine/>
    <w:qFormat/>
    <w:uiPriority w:val="0"/>
    <w:rPr>
      <w:bdr w:val="single" w:color="CCCCCC" w:sz="6" w:space="0"/>
      <w:shd w:val="clear" w:fill="FFFFFF"/>
    </w:rPr>
  </w:style>
  <w:style w:type="character" w:customStyle="1" w:styleId="41">
    <w:name w:val="first-child"/>
    <w:basedOn w:val="20"/>
    <w:autoRedefine/>
    <w:qFormat/>
    <w:uiPriority w:val="0"/>
  </w:style>
  <w:style w:type="character" w:customStyle="1" w:styleId="42">
    <w:name w:val="desc_bv8az"/>
    <w:basedOn w:val="20"/>
    <w:qFormat/>
    <w:uiPriority w:val="0"/>
    <w:rPr>
      <w:color w:val="333333"/>
    </w:rPr>
  </w:style>
  <w:style w:type="character" w:customStyle="1" w:styleId="43">
    <w:name w:val="type_hy_75"/>
    <w:basedOn w:val="20"/>
    <w:qFormat/>
    <w:uiPriority w:val="0"/>
    <w:rPr>
      <w:color w:val="999999"/>
    </w:rPr>
  </w:style>
  <w:style w:type="character" w:customStyle="1" w:styleId="44">
    <w:name w:val="first-child1"/>
    <w:basedOn w:val="20"/>
    <w:qFormat/>
    <w:uiPriority w:val="0"/>
  </w:style>
  <w:style w:type="character" w:customStyle="1" w:styleId="45">
    <w:name w:val="font01"/>
    <w:basedOn w:val="20"/>
    <w:qFormat/>
    <w:uiPriority w:val="0"/>
    <w:rPr>
      <w:rFonts w:hint="default" w:ascii="Arial" w:hAnsi="Arial" w:cs="Arial"/>
      <w:color w:val="000000"/>
      <w:sz w:val="22"/>
      <w:szCs w:val="22"/>
      <w:u w:val="none"/>
    </w:rPr>
  </w:style>
  <w:style w:type="character" w:customStyle="1" w:styleId="46">
    <w:name w:val="font31"/>
    <w:basedOn w:val="20"/>
    <w:qFormat/>
    <w:uiPriority w:val="0"/>
    <w:rPr>
      <w:rFonts w:hint="eastAsia" w:ascii="宋体" w:hAnsi="宋体" w:eastAsia="宋体" w:cs="宋体"/>
      <w:color w:val="000000"/>
      <w:sz w:val="22"/>
      <w:szCs w:val="22"/>
      <w:u w:val="none"/>
    </w:rPr>
  </w:style>
  <w:style w:type="character" w:customStyle="1" w:styleId="47">
    <w:name w:val="font51"/>
    <w:basedOn w:val="20"/>
    <w:qFormat/>
    <w:uiPriority w:val="0"/>
    <w:rPr>
      <w:rFonts w:ascii="宋体" w:hAnsi="宋体" w:eastAsia="宋体" w:cs="宋体"/>
      <w:color w:val="44494D"/>
      <w:sz w:val="22"/>
      <w:szCs w:val="22"/>
      <w:u w:val="none"/>
    </w:rPr>
  </w:style>
  <w:style w:type="paragraph" w:customStyle="1" w:styleId="48">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character" w:customStyle="1" w:styleId="49">
    <w:name w:val="hover1"/>
    <w:basedOn w:val="20"/>
    <w:uiPriority w:val="0"/>
    <w:rPr>
      <w:color w:val="2590EB"/>
    </w:rPr>
  </w:style>
  <w:style w:type="character" w:customStyle="1" w:styleId="50">
    <w:name w:val="hover2"/>
    <w:basedOn w:val="20"/>
    <w:uiPriority w:val="0"/>
    <w:rPr>
      <w:color w:val="2590EB"/>
    </w:rPr>
  </w:style>
  <w:style w:type="character" w:customStyle="1" w:styleId="51">
    <w:name w:val="hover3"/>
    <w:basedOn w:val="20"/>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25091</Words>
  <Characters>27012</Characters>
  <Lines>0</Lines>
  <Paragraphs>0</Paragraphs>
  <TotalTime>0</TotalTime>
  <ScaleCrop>false</ScaleCrop>
  <LinksUpToDate>false</LinksUpToDate>
  <CharactersWithSpaces>29336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2024-06-07T04:09:00Z</dcterms:created>
  <dc:creator>涙染萱哗惹半夏</dc:creator>
  <cp:lastModifiedBy>花开半夏</cp:lastModifiedBy>
  <dcterms:modified xsi:type="dcterms:W3CDTF">2024-08-28T06:11:06Z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84E042692FF149748F995AD259CC9559_13</vt:lpwstr>
  </property>
</Properties>
</file>