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17AD">
      <w:pPr>
        <w:keepNext w:val="0"/>
        <w:keepLines w:val="0"/>
        <w:widowControl/>
        <w:suppressLineNumbers w:val="0"/>
        <w:spacing w:line="360" w:lineRule="auto"/>
        <w:jc w:val="center"/>
        <w:rPr>
          <w:rFonts w:hint="eastAsia" w:ascii="宋体" w:hAnsi="宋体" w:cs="宋体"/>
          <w:b/>
          <w:bCs/>
          <w:color w:val="auto"/>
          <w:kern w:val="0"/>
          <w:sz w:val="44"/>
          <w:szCs w:val="44"/>
          <w:lang w:val="en-US" w:eastAsia="zh-CN" w:bidi="ar"/>
        </w:rPr>
      </w:pPr>
      <w:r>
        <w:rPr>
          <w:rFonts w:hint="eastAsia" w:ascii="宋体" w:hAnsi="宋体" w:cs="宋体"/>
          <w:b/>
          <w:bCs/>
          <w:color w:val="auto"/>
          <w:kern w:val="0"/>
          <w:sz w:val="44"/>
          <w:szCs w:val="44"/>
          <w:lang w:val="en-US" w:eastAsia="zh-CN" w:bidi="ar"/>
        </w:rPr>
        <w:t xml:space="preserve"> </w:t>
      </w:r>
    </w:p>
    <w:p w14:paraId="6FAD4A14">
      <w:pPr>
        <w:keepNext w:val="0"/>
        <w:keepLines w:val="0"/>
        <w:widowControl/>
        <w:suppressLineNumbers w:val="0"/>
        <w:spacing w:line="360" w:lineRule="auto"/>
        <w:jc w:val="center"/>
        <w:rPr>
          <w:rFonts w:hint="eastAsia" w:ascii="宋体" w:hAnsi="宋体" w:eastAsia="宋体" w:cs="宋体"/>
          <w:b/>
          <w:bCs/>
          <w:color w:val="auto"/>
          <w:kern w:val="0"/>
          <w:sz w:val="55"/>
          <w:szCs w:val="55"/>
          <w:lang w:val="en-US" w:eastAsia="zh-CN" w:bidi="ar"/>
        </w:rPr>
      </w:pPr>
      <w:r>
        <w:rPr>
          <w:rFonts w:hint="eastAsia" w:ascii="宋体" w:hAnsi="宋体" w:cs="宋体"/>
          <w:b/>
          <w:bCs/>
          <w:color w:val="auto"/>
          <w:kern w:val="0"/>
          <w:sz w:val="44"/>
          <w:szCs w:val="44"/>
          <w:lang w:val="en-US" w:eastAsia="zh-CN" w:bidi="ar"/>
        </w:rPr>
        <w:t>渑池县生活垃圾清运建设项目-采购项目（E包至H包）项目 G包</w:t>
      </w:r>
    </w:p>
    <w:p w14:paraId="05A265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96"/>
          <w:szCs w:val="96"/>
          <w:lang w:val="en-US" w:eastAsia="zh-CN" w:bidi="ar"/>
        </w:rPr>
        <w:t>招标文件</w:t>
      </w:r>
    </w:p>
    <w:p w14:paraId="39805B64">
      <w:pPr>
        <w:keepNext w:val="0"/>
        <w:keepLines w:val="0"/>
        <w:widowControl/>
        <w:suppressLineNumbers w:val="0"/>
        <w:spacing w:line="360" w:lineRule="auto"/>
        <w:jc w:val="center"/>
        <w:rPr>
          <w:rFonts w:hint="eastAsia" w:ascii="宋体" w:hAnsi="宋体" w:eastAsia="宋体" w:cs="宋体"/>
          <w:b/>
          <w:bCs/>
          <w:color w:val="auto"/>
          <w:kern w:val="0"/>
          <w:sz w:val="28"/>
          <w:szCs w:val="28"/>
          <w:highlight w:val="none"/>
          <w:lang w:val="en-US" w:eastAsia="zh-CN" w:bidi="ar"/>
        </w:rPr>
      </w:pPr>
    </w:p>
    <w:p w14:paraId="33E766FF">
      <w:pPr>
        <w:keepNext w:val="0"/>
        <w:keepLines w:val="0"/>
        <w:widowControl/>
        <w:suppressLineNumbers w:val="0"/>
        <w:spacing w:line="360" w:lineRule="auto"/>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项目编号：渑池公开采购-2024-67、MCGZ[2024]235-ZC170</w:t>
      </w:r>
    </w:p>
    <w:p w14:paraId="0BDD8D92">
      <w:pPr>
        <w:keepNext w:val="0"/>
        <w:keepLines w:val="0"/>
        <w:widowControl/>
        <w:suppressLineNumbers w:val="0"/>
        <w:spacing w:line="360" w:lineRule="auto"/>
        <w:jc w:val="center"/>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28"/>
          <w:szCs w:val="28"/>
          <w:highlight w:val="none"/>
          <w:lang w:val="en-US" w:eastAsia="zh-CN" w:bidi="ar"/>
        </w:rPr>
        <w:t xml:space="preserve">          </w:t>
      </w:r>
    </w:p>
    <w:p w14:paraId="1CC39E4E">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0DE67F1E">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p>
    <w:p w14:paraId="4E6D32CD">
      <w:pPr>
        <w:keepNext w:val="0"/>
        <w:keepLines w:val="0"/>
        <w:widowControl/>
        <w:suppressLineNumbers w:val="0"/>
        <w:spacing w:line="360" w:lineRule="auto"/>
        <w:jc w:val="left"/>
        <w:rPr>
          <w:rFonts w:hint="eastAsia" w:ascii="宋体" w:hAnsi="宋体" w:eastAsia="宋体" w:cs="宋体"/>
          <w:b/>
          <w:bCs/>
          <w:color w:val="auto"/>
          <w:kern w:val="0"/>
          <w:sz w:val="28"/>
          <w:szCs w:val="28"/>
          <w:lang w:val="en-US" w:eastAsia="zh-CN" w:bidi="ar"/>
        </w:rPr>
      </w:pPr>
    </w:p>
    <w:p w14:paraId="1EDE642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461D91D0">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AC2653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717F41BD">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BFE52C2">
      <w:pPr>
        <w:keepNext w:val="0"/>
        <w:keepLines w:val="0"/>
        <w:widowControl/>
        <w:suppressLineNumbers w:val="0"/>
        <w:spacing w:line="360" w:lineRule="auto"/>
        <w:ind w:firstLine="2490" w:firstLineChars="800"/>
        <w:jc w:val="both"/>
        <w:rPr>
          <w:color w:val="auto"/>
        </w:rPr>
      </w:pPr>
      <w:r>
        <w:rPr>
          <w:rFonts w:hint="eastAsia" w:ascii="宋体" w:hAnsi="宋体" w:cs="宋体"/>
          <w:b/>
          <w:bCs/>
          <w:color w:val="auto"/>
          <w:kern w:val="0"/>
          <w:sz w:val="31"/>
          <w:szCs w:val="31"/>
          <w:lang w:val="en-US" w:eastAsia="zh-CN" w:bidi="ar"/>
        </w:rPr>
        <w:t>采购人</w:t>
      </w:r>
      <w:r>
        <w:rPr>
          <w:rFonts w:hint="eastAsia" w:ascii="宋体" w:hAnsi="宋体" w:eastAsia="宋体" w:cs="宋体"/>
          <w:b/>
          <w:bCs/>
          <w:color w:val="auto"/>
          <w:kern w:val="0"/>
          <w:sz w:val="31"/>
          <w:szCs w:val="31"/>
          <w:lang w:val="en-US" w:eastAsia="zh-CN" w:bidi="ar"/>
        </w:rPr>
        <w:t>：</w:t>
      </w:r>
      <w:r>
        <w:rPr>
          <w:rFonts w:hint="eastAsia" w:ascii="宋体" w:hAnsi="宋体" w:cs="宋体"/>
          <w:b/>
          <w:bCs/>
          <w:color w:val="auto"/>
          <w:kern w:val="0"/>
          <w:sz w:val="31"/>
          <w:szCs w:val="31"/>
          <w:lang w:val="en-US" w:eastAsia="zh-CN" w:bidi="ar"/>
        </w:rPr>
        <w:t>渑池县农业农村局</w:t>
      </w:r>
    </w:p>
    <w:p w14:paraId="3776B8CA">
      <w:pPr>
        <w:keepNext w:val="0"/>
        <w:keepLines w:val="0"/>
        <w:widowControl/>
        <w:suppressLineNumbers w:val="0"/>
        <w:spacing w:line="360" w:lineRule="auto"/>
        <w:ind w:firstLine="2490" w:firstLineChars="800"/>
        <w:jc w:val="both"/>
        <w:rPr>
          <w:rFonts w:hint="default"/>
          <w:color w:val="auto"/>
          <w:lang w:val="en-US"/>
        </w:rPr>
      </w:pPr>
      <w:bookmarkStart w:id="0" w:name="_Toc3327"/>
      <w:bookmarkStart w:id="1" w:name="_Toc19428"/>
      <w:bookmarkStart w:id="2" w:name="_Toc25743"/>
      <w:r>
        <w:rPr>
          <w:rFonts w:hint="eastAsia" w:ascii="宋体" w:hAnsi="宋体" w:eastAsia="宋体" w:cs="宋体"/>
          <w:b/>
          <w:bCs/>
          <w:color w:val="auto"/>
          <w:kern w:val="0"/>
          <w:sz w:val="31"/>
          <w:szCs w:val="31"/>
          <w:lang w:val="en-US" w:eastAsia="zh-CN" w:bidi="ar"/>
        </w:rPr>
        <w:t>代理机构：</w:t>
      </w:r>
      <w:bookmarkEnd w:id="0"/>
      <w:bookmarkEnd w:id="1"/>
      <w:bookmarkEnd w:id="2"/>
      <w:r>
        <w:rPr>
          <w:rFonts w:hint="eastAsia" w:ascii="宋体" w:hAnsi="宋体" w:eastAsia="宋体" w:cs="宋体"/>
          <w:b/>
          <w:bCs/>
          <w:color w:val="auto"/>
          <w:kern w:val="0"/>
          <w:sz w:val="31"/>
          <w:szCs w:val="31"/>
          <w:lang w:val="en-US" w:eastAsia="zh-CN" w:bidi="ar"/>
        </w:rPr>
        <w:t>河南方兴工程咨询有限公司</w:t>
      </w:r>
    </w:p>
    <w:p w14:paraId="20CFD793">
      <w:pPr>
        <w:keepNext w:val="0"/>
        <w:keepLines w:val="0"/>
        <w:widowControl/>
        <w:suppressLineNumbers w:val="0"/>
        <w:spacing w:line="360" w:lineRule="auto"/>
        <w:ind w:firstLine="2490" w:firstLineChars="800"/>
        <w:jc w:val="both"/>
        <w:rPr>
          <w:rFonts w:hint="eastAsia" w:ascii="宋体" w:hAnsi="宋体" w:eastAsia="宋体" w:cs="宋体"/>
          <w:b/>
          <w:bCs/>
          <w:color w:val="auto"/>
          <w:kern w:val="0"/>
          <w:sz w:val="31"/>
          <w:szCs w:val="31"/>
          <w:lang w:val="en-US" w:eastAsia="zh-CN" w:bidi="ar"/>
        </w:rPr>
      </w:pPr>
      <w:r>
        <w:rPr>
          <w:rFonts w:hint="eastAsia" w:ascii="宋体" w:hAnsi="宋体" w:eastAsia="宋体" w:cs="宋体"/>
          <w:b/>
          <w:bCs/>
          <w:color w:val="auto"/>
          <w:kern w:val="0"/>
          <w:sz w:val="31"/>
          <w:szCs w:val="31"/>
          <w:lang w:val="en-US" w:eastAsia="zh-CN" w:bidi="ar"/>
        </w:rPr>
        <w:t>时间：二〇二四年</w:t>
      </w:r>
      <w:r>
        <w:rPr>
          <w:rFonts w:hint="eastAsia" w:ascii="宋体" w:hAnsi="宋体" w:cs="宋体"/>
          <w:b/>
          <w:bCs/>
          <w:color w:val="auto"/>
          <w:kern w:val="0"/>
          <w:sz w:val="31"/>
          <w:szCs w:val="31"/>
          <w:lang w:val="en-US" w:eastAsia="zh-CN" w:bidi="ar"/>
        </w:rPr>
        <w:t>八</w:t>
      </w:r>
      <w:r>
        <w:rPr>
          <w:rFonts w:hint="eastAsia" w:ascii="宋体" w:hAnsi="宋体" w:eastAsia="宋体" w:cs="宋体"/>
          <w:b/>
          <w:bCs/>
          <w:color w:val="auto"/>
          <w:kern w:val="0"/>
          <w:sz w:val="31"/>
          <w:szCs w:val="31"/>
          <w:lang w:val="en-US" w:eastAsia="zh-CN" w:bidi="ar"/>
        </w:rPr>
        <w:t>月</w:t>
      </w:r>
    </w:p>
    <w:p w14:paraId="2030A995">
      <w:pPr>
        <w:tabs>
          <w:tab w:val="left" w:pos="719"/>
        </w:tabs>
        <w:spacing w:before="49"/>
        <w:ind w:left="0" w:right="45" w:firstLine="0"/>
        <w:jc w:val="center"/>
        <w:rPr>
          <w:b/>
          <w:color w:val="auto"/>
          <w:sz w:val="40"/>
          <w:szCs w:val="28"/>
        </w:rPr>
        <w:sectPr>
          <w:headerReference r:id="rId5" w:type="default"/>
          <w:pgSz w:w="11910" w:h="16840"/>
          <w:pgMar w:top="1440" w:right="1080" w:bottom="1440" w:left="1080" w:header="720" w:footer="720" w:gutter="0"/>
          <w:pgNumType w:fmt="decimal" w:start="1"/>
          <w:cols w:space="720" w:num="1"/>
        </w:sectPr>
      </w:pPr>
    </w:p>
    <w:p w14:paraId="34BCBDD5">
      <w:pPr>
        <w:tabs>
          <w:tab w:val="left" w:pos="719"/>
        </w:tabs>
        <w:spacing w:before="49"/>
        <w:ind w:left="0" w:right="45" w:firstLine="0"/>
        <w:jc w:val="center"/>
        <w:rPr>
          <w:b/>
          <w:color w:val="auto"/>
          <w:sz w:val="40"/>
          <w:szCs w:val="28"/>
        </w:rPr>
      </w:pPr>
      <w:r>
        <w:rPr>
          <w:b/>
          <w:color w:val="auto"/>
          <w:sz w:val="40"/>
          <w:szCs w:val="28"/>
        </w:rPr>
        <w:t>目</w:t>
      </w:r>
      <w:r>
        <w:rPr>
          <w:b/>
          <w:color w:val="auto"/>
          <w:sz w:val="40"/>
          <w:szCs w:val="28"/>
        </w:rPr>
        <w:tab/>
      </w:r>
      <w:r>
        <w:rPr>
          <w:b/>
          <w:color w:val="auto"/>
          <w:sz w:val="40"/>
          <w:szCs w:val="28"/>
        </w:rPr>
        <w:t>录</w:t>
      </w:r>
    </w:p>
    <w:p w14:paraId="7503F46C">
      <w:pPr>
        <w:pStyle w:val="13"/>
        <w:tabs>
          <w:tab w:val="right" w:leader="dot" w:pos="9750"/>
        </w:tabs>
      </w:pPr>
      <w:r>
        <w:rPr>
          <w:color w:val="auto"/>
        </w:rPr>
        <w:fldChar w:fldCharType="begin"/>
      </w:r>
      <w:r>
        <w:rPr>
          <w:color w:val="auto"/>
        </w:rPr>
        <w:instrText xml:space="preserve">TOC \o "1-1" \h \u </w:instrText>
      </w:r>
      <w:r>
        <w:rPr>
          <w:color w:val="auto"/>
        </w:rPr>
        <w:fldChar w:fldCharType="separate"/>
      </w:r>
      <w:r>
        <w:rPr>
          <w:color w:val="auto"/>
        </w:rPr>
        <w:fldChar w:fldCharType="begin"/>
      </w:r>
      <w:r>
        <w:instrText xml:space="preserve"> HYPERLINK \l _Toc26619 </w:instrText>
      </w:r>
      <w:r>
        <w:fldChar w:fldCharType="separate"/>
      </w:r>
      <w:r>
        <w:rPr>
          <w:rFonts w:hint="eastAsia" w:ascii="宋体" w:hAnsi="宋体" w:eastAsia="宋体" w:cs="宋体"/>
          <w:szCs w:val="32"/>
        </w:rPr>
        <w:t>第一章 招标公告</w:t>
      </w:r>
      <w:r>
        <w:tab/>
      </w:r>
      <w:r>
        <w:fldChar w:fldCharType="begin"/>
      </w:r>
      <w:r>
        <w:instrText xml:space="preserve"> PAGEREF _Toc26619 \h </w:instrText>
      </w:r>
      <w:r>
        <w:fldChar w:fldCharType="separate"/>
      </w:r>
      <w:r>
        <w:t>1</w:t>
      </w:r>
      <w:r>
        <w:fldChar w:fldCharType="end"/>
      </w:r>
      <w:r>
        <w:rPr>
          <w:color w:val="auto"/>
        </w:rPr>
        <w:fldChar w:fldCharType="end"/>
      </w:r>
    </w:p>
    <w:p w14:paraId="296889D2">
      <w:pPr>
        <w:pStyle w:val="13"/>
        <w:tabs>
          <w:tab w:val="right" w:leader="dot" w:pos="9750"/>
        </w:tabs>
      </w:pPr>
      <w:r>
        <w:rPr>
          <w:color w:val="auto"/>
        </w:rPr>
        <w:fldChar w:fldCharType="begin"/>
      </w:r>
      <w:r>
        <w:instrText xml:space="preserve"> HYPERLINK \l _Toc30172 </w:instrText>
      </w:r>
      <w:r>
        <w:fldChar w:fldCharType="separate"/>
      </w:r>
      <w:r>
        <w:rPr>
          <w:rFonts w:hint="eastAsia"/>
          <w:bCs/>
        </w:rPr>
        <w:t xml:space="preserve">第二章  </w:t>
      </w:r>
      <w:r>
        <w:rPr>
          <w:rFonts w:hint="eastAsia"/>
          <w:bCs/>
          <w:lang w:val="en-US" w:eastAsia="zh-CN"/>
        </w:rPr>
        <w:t>供应商</w:t>
      </w:r>
      <w:r>
        <w:rPr>
          <w:rFonts w:hint="eastAsia"/>
          <w:bCs/>
        </w:rPr>
        <w:t>须知</w:t>
      </w:r>
      <w:r>
        <w:tab/>
      </w:r>
      <w:r>
        <w:fldChar w:fldCharType="begin"/>
      </w:r>
      <w:r>
        <w:instrText xml:space="preserve"> PAGEREF _Toc30172 \h </w:instrText>
      </w:r>
      <w:r>
        <w:fldChar w:fldCharType="separate"/>
      </w:r>
      <w:r>
        <w:t>7</w:t>
      </w:r>
      <w:r>
        <w:fldChar w:fldCharType="end"/>
      </w:r>
      <w:r>
        <w:rPr>
          <w:color w:val="auto"/>
        </w:rPr>
        <w:fldChar w:fldCharType="end"/>
      </w:r>
    </w:p>
    <w:p w14:paraId="57DC08B2">
      <w:pPr>
        <w:pStyle w:val="13"/>
        <w:tabs>
          <w:tab w:val="right" w:leader="dot" w:pos="9750"/>
        </w:tabs>
      </w:pPr>
      <w:r>
        <w:rPr>
          <w:color w:val="auto"/>
        </w:rPr>
        <w:fldChar w:fldCharType="begin"/>
      </w:r>
      <w:r>
        <w:instrText xml:space="preserve"> HYPERLINK \l _Toc14157 </w:instrText>
      </w:r>
      <w:r>
        <w:fldChar w:fldCharType="separate"/>
      </w:r>
      <w:r>
        <w:rPr>
          <w:rFonts w:hint="eastAsia"/>
        </w:rPr>
        <w:t>第三章 评标办法</w:t>
      </w:r>
      <w:r>
        <w:tab/>
      </w:r>
      <w:r>
        <w:fldChar w:fldCharType="begin"/>
      </w:r>
      <w:r>
        <w:instrText xml:space="preserve"> PAGEREF _Toc14157 \h </w:instrText>
      </w:r>
      <w:r>
        <w:fldChar w:fldCharType="separate"/>
      </w:r>
      <w:r>
        <w:t>23</w:t>
      </w:r>
      <w:r>
        <w:fldChar w:fldCharType="end"/>
      </w:r>
      <w:r>
        <w:rPr>
          <w:color w:val="auto"/>
        </w:rPr>
        <w:fldChar w:fldCharType="end"/>
      </w:r>
    </w:p>
    <w:p w14:paraId="0E86DDCF">
      <w:pPr>
        <w:pStyle w:val="13"/>
        <w:tabs>
          <w:tab w:val="right" w:leader="dot" w:pos="9750"/>
        </w:tabs>
      </w:pPr>
      <w:r>
        <w:rPr>
          <w:color w:val="auto"/>
        </w:rPr>
        <w:fldChar w:fldCharType="begin"/>
      </w:r>
      <w:r>
        <w:instrText xml:space="preserve"> HYPERLINK \l _Toc3820 </w:instrText>
      </w:r>
      <w:r>
        <w:fldChar w:fldCharType="separate"/>
      </w:r>
      <w:r>
        <w:rPr>
          <w:rFonts w:hint="eastAsia"/>
        </w:rPr>
        <w:t>第四章 采购清单及要求</w:t>
      </w:r>
      <w:r>
        <w:tab/>
      </w:r>
      <w:r>
        <w:fldChar w:fldCharType="begin"/>
      </w:r>
      <w:r>
        <w:instrText xml:space="preserve"> PAGEREF _Toc3820 \h </w:instrText>
      </w:r>
      <w:r>
        <w:fldChar w:fldCharType="separate"/>
      </w:r>
      <w:r>
        <w:t>29</w:t>
      </w:r>
      <w:r>
        <w:fldChar w:fldCharType="end"/>
      </w:r>
      <w:r>
        <w:rPr>
          <w:color w:val="auto"/>
        </w:rPr>
        <w:fldChar w:fldCharType="end"/>
      </w:r>
    </w:p>
    <w:p w14:paraId="106B632C">
      <w:pPr>
        <w:pStyle w:val="13"/>
        <w:tabs>
          <w:tab w:val="right" w:leader="dot" w:pos="9750"/>
        </w:tabs>
      </w:pPr>
      <w:r>
        <w:rPr>
          <w:color w:val="auto"/>
        </w:rPr>
        <w:fldChar w:fldCharType="begin"/>
      </w:r>
      <w:r>
        <w:instrText xml:space="preserve"> HYPERLINK \l _Toc23728 </w:instrText>
      </w:r>
      <w:r>
        <w:fldChar w:fldCharType="separate"/>
      </w:r>
      <w:r>
        <w:rPr>
          <w:rFonts w:hint="eastAsia"/>
          <w:lang w:val="en-US" w:eastAsia="zh-CN"/>
        </w:rPr>
        <w:t xml:space="preserve">第五章 </w:t>
      </w:r>
      <w:r>
        <w:rPr>
          <w:rFonts w:hint="eastAsia"/>
        </w:rPr>
        <w:t xml:space="preserve">  合同条款及格式</w:t>
      </w:r>
      <w:r>
        <w:tab/>
      </w:r>
      <w:r>
        <w:fldChar w:fldCharType="begin"/>
      </w:r>
      <w:r>
        <w:instrText xml:space="preserve"> PAGEREF _Toc23728 \h </w:instrText>
      </w:r>
      <w:r>
        <w:fldChar w:fldCharType="separate"/>
      </w:r>
      <w:r>
        <w:t>31</w:t>
      </w:r>
      <w:r>
        <w:fldChar w:fldCharType="end"/>
      </w:r>
      <w:r>
        <w:rPr>
          <w:color w:val="auto"/>
        </w:rPr>
        <w:fldChar w:fldCharType="end"/>
      </w:r>
    </w:p>
    <w:p w14:paraId="38DC9596">
      <w:pPr>
        <w:pStyle w:val="13"/>
        <w:tabs>
          <w:tab w:val="right" w:leader="dot" w:pos="9750"/>
        </w:tabs>
      </w:pPr>
      <w:r>
        <w:rPr>
          <w:color w:val="auto"/>
        </w:rPr>
        <w:fldChar w:fldCharType="begin"/>
      </w:r>
      <w:r>
        <w:instrText xml:space="preserve"> HYPERLINK \l _Toc15404 </w:instrText>
      </w:r>
      <w:r>
        <w:fldChar w:fldCharType="separate"/>
      </w:r>
      <w:r>
        <w:rPr>
          <w:rFonts w:hint="eastAsia" w:ascii="宋体" w:hAnsi="宋体" w:eastAsia="宋体" w:cs="宋体"/>
        </w:rPr>
        <w:t xml:space="preserve">第六章 </w:t>
      </w:r>
      <w:r>
        <w:rPr>
          <w:rFonts w:hint="eastAsia" w:ascii="宋体" w:hAnsi="宋体" w:eastAsia="宋体" w:cs="宋体"/>
          <w:lang w:val="en-US" w:eastAsia="zh-CN"/>
        </w:rPr>
        <w:t>投标</w:t>
      </w:r>
      <w:r>
        <w:rPr>
          <w:rFonts w:hint="eastAsia" w:ascii="宋体" w:hAnsi="宋体" w:eastAsia="宋体" w:cs="宋体"/>
        </w:rPr>
        <w:t>文件格式</w:t>
      </w:r>
      <w:r>
        <w:tab/>
      </w:r>
      <w:r>
        <w:fldChar w:fldCharType="begin"/>
      </w:r>
      <w:r>
        <w:instrText xml:space="preserve"> PAGEREF _Toc15404 \h </w:instrText>
      </w:r>
      <w:r>
        <w:fldChar w:fldCharType="separate"/>
      </w:r>
      <w:r>
        <w:t>37</w:t>
      </w:r>
      <w:r>
        <w:fldChar w:fldCharType="end"/>
      </w:r>
      <w:r>
        <w:rPr>
          <w:color w:val="auto"/>
        </w:rPr>
        <w:fldChar w:fldCharType="end"/>
      </w:r>
    </w:p>
    <w:p w14:paraId="0FBF00B1">
      <w:pPr>
        <w:rPr>
          <w:color w:val="auto"/>
        </w:rPr>
      </w:pPr>
      <w:r>
        <w:rPr>
          <w:color w:val="auto"/>
        </w:rPr>
        <w:fldChar w:fldCharType="end"/>
      </w:r>
    </w:p>
    <w:p w14:paraId="140DF3A2">
      <w:pPr>
        <w:spacing w:after="0"/>
        <w:rPr>
          <w:color w:val="auto"/>
          <w:sz w:val="32"/>
          <w:szCs w:val="32"/>
        </w:rPr>
      </w:pPr>
      <w:r>
        <w:rPr>
          <w:rFonts w:hint="eastAsia"/>
          <w:color w:val="auto"/>
          <w:sz w:val="32"/>
          <w:szCs w:val="32"/>
        </w:rPr>
        <w:t xml:space="preserve"> </w:t>
      </w:r>
    </w:p>
    <w:p w14:paraId="193FBEEA">
      <w:pPr>
        <w:tabs>
          <w:tab w:val="left" w:pos="7005"/>
        </w:tabs>
        <w:spacing w:after="0"/>
        <w:rPr>
          <w:rFonts w:hint="eastAsia" w:eastAsiaTheme="minorEastAsia"/>
          <w:color w:val="auto"/>
          <w:lang w:eastAsia="zh-CN"/>
        </w:rPr>
        <w:sectPr>
          <w:footerReference r:id="rId6" w:type="default"/>
          <w:pgSz w:w="11910" w:h="16840"/>
          <w:pgMar w:top="1440" w:right="1080" w:bottom="1440" w:left="1080" w:header="720" w:footer="720" w:gutter="0"/>
          <w:pgNumType w:fmt="decimal" w:start="1"/>
          <w:cols w:space="720" w:num="1"/>
        </w:sectPr>
      </w:pPr>
      <w:r>
        <w:rPr>
          <w:rFonts w:hint="eastAsia"/>
          <w:color w:val="auto"/>
          <w:lang w:eastAsia="zh-CN"/>
        </w:rPr>
        <w:tab/>
      </w:r>
    </w:p>
    <w:p w14:paraId="43345C4B">
      <w:pPr>
        <w:pStyle w:val="4"/>
        <w:jc w:val="center"/>
        <w:rPr>
          <w:rFonts w:hint="eastAsia" w:ascii="宋体" w:hAnsi="宋体" w:eastAsia="宋体" w:cs="宋体"/>
          <w:b w:val="0"/>
          <w:bCs w:val="0"/>
          <w:color w:val="auto"/>
          <w:kern w:val="36"/>
          <w:szCs w:val="32"/>
        </w:rPr>
      </w:pPr>
      <w:bookmarkStart w:id="3" w:name="_Toc26619"/>
      <w:r>
        <w:rPr>
          <w:rFonts w:hint="eastAsia" w:ascii="宋体" w:hAnsi="宋体" w:eastAsia="宋体" w:cs="宋体"/>
          <w:color w:val="auto"/>
          <w:szCs w:val="32"/>
        </w:rPr>
        <w:t>第一章 招标公告</w:t>
      </w:r>
      <w:bookmarkEnd w:id="3"/>
    </w:p>
    <w:p w14:paraId="3C70ED4B">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32"/>
          <w:lang w:eastAsia="zh-CN"/>
        </w:rPr>
        <w:t xml:space="preserve"> </w:t>
      </w:r>
      <w:r>
        <w:rPr>
          <w:rFonts w:hint="eastAsia" w:ascii="宋体" w:hAnsi="宋体" w:eastAsia="宋体" w:cs="宋体"/>
          <w:color w:val="auto"/>
          <w:sz w:val="24"/>
          <w:szCs w:val="32"/>
        </w:rPr>
        <w:t>渑池县生活垃圾清运建设项目-采购项目的潜在</w:t>
      </w:r>
      <w:r>
        <w:rPr>
          <w:rFonts w:hint="eastAsia"/>
          <w:bCs/>
          <w:color w:val="auto"/>
          <w:lang w:eastAsia="zh-CN"/>
        </w:rPr>
        <w:t>供应商</w:t>
      </w:r>
      <w:r>
        <w:rPr>
          <w:rFonts w:hint="eastAsia" w:ascii="宋体" w:hAnsi="宋体" w:eastAsia="宋体" w:cs="宋体"/>
          <w:color w:val="auto"/>
          <w:sz w:val="24"/>
          <w:szCs w:val="32"/>
        </w:rPr>
        <w:t>应在三门峡市公共资源交易中心网（网址：http://gzjy.smx.gov.cn/）获取</w:t>
      </w:r>
      <w:r>
        <w:rPr>
          <w:rFonts w:hint="eastAsia" w:ascii="宋体" w:hAnsi="宋体" w:eastAsia="宋体" w:cs="宋体"/>
          <w:color w:val="auto"/>
          <w:sz w:val="24"/>
          <w:szCs w:val="32"/>
          <w:lang w:val="en-US" w:eastAsia="zh-CN"/>
        </w:rPr>
        <w:t>招标</w:t>
      </w:r>
      <w:r>
        <w:rPr>
          <w:rFonts w:hint="eastAsia" w:ascii="宋体" w:hAnsi="宋体" w:eastAsia="宋体" w:cs="宋体"/>
          <w:color w:val="auto"/>
          <w:sz w:val="24"/>
          <w:szCs w:val="32"/>
        </w:rPr>
        <w:t>文件</w:t>
      </w:r>
      <w:r>
        <w:rPr>
          <w:rFonts w:hint="eastAsia" w:ascii="宋体" w:hAnsi="宋体" w:eastAsia="宋体" w:cs="宋体"/>
          <w:color w:val="auto"/>
          <w:sz w:val="24"/>
          <w:szCs w:val="32"/>
          <w:highlight w:val="none"/>
        </w:rPr>
        <w:t>，并于</w:t>
      </w:r>
      <w:r>
        <w:rPr>
          <w:rFonts w:hint="eastAsia" w:ascii="宋体" w:hAnsi="宋体" w:eastAsia="宋体" w:cs="宋体"/>
          <w:color w:val="auto"/>
          <w:sz w:val="24"/>
          <w:szCs w:val="32"/>
          <w:lang w:eastAsia="zh-CN"/>
        </w:rPr>
        <w:t>2024年</w:t>
      </w:r>
      <w:r>
        <w:rPr>
          <w:rFonts w:hint="eastAsia" w:ascii="宋体" w:hAnsi="宋体" w:eastAsia="宋体" w:cs="宋体"/>
          <w:color w:val="auto"/>
          <w:sz w:val="24"/>
          <w:szCs w:val="32"/>
          <w:lang w:val="en-US" w:eastAsia="zh-CN"/>
        </w:rPr>
        <w:t>9</w:t>
      </w:r>
      <w:r>
        <w:rPr>
          <w:rFonts w:hint="eastAsia" w:ascii="宋体" w:hAnsi="宋体" w:eastAsia="宋体" w:cs="宋体"/>
          <w:color w:val="auto"/>
          <w:sz w:val="24"/>
          <w:szCs w:val="32"/>
          <w:lang w:eastAsia="zh-CN"/>
        </w:rPr>
        <w:t>月</w:t>
      </w:r>
      <w:r>
        <w:rPr>
          <w:rFonts w:hint="eastAsia" w:ascii="宋体" w:hAnsi="宋体" w:eastAsia="宋体" w:cs="宋体"/>
          <w:color w:val="auto"/>
          <w:sz w:val="24"/>
          <w:szCs w:val="32"/>
          <w:lang w:val="en-US" w:eastAsia="zh-CN"/>
        </w:rPr>
        <w:t>20</w:t>
      </w:r>
      <w:r>
        <w:rPr>
          <w:rFonts w:hint="eastAsia" w:ascii="宋体" w:hAnsi="宋体" w:eastAsia="宋体" w:cs="宋体"/>
          <w:color w:val="auto"/>
          <w:sz w:val="24"/>
          <w:szCs w:val="32"/>
          <w:lang w:eastAsia="zh-CN"/>
        </w:rPr>
        <w:t>日08时20分</w:t>
      </w:r>
      <w:r>
        <w:rPr>
          <w:rFonts w:hint="eastAsia" w:ascii="宋体" w:hAnsi="宋体" w:eastAsia="宋体" w:cs="宋体"/>
          <w:color w:val="auto"/>
          <w:sz w:val="24"/>
          <w:szCs w:val="32"/>
          <w:highlight w:val="none"/>
        </w:rPr>
        <w:t>（</w:t>
      </w:r>
      <w:r>
        <w:rPr>
          <w:rFonts w:hint="eastAsia" w:ascii="宋体" w:hAnsi="宋体" w:eastAsia="宋体" w:cs="宋体"/>
          <w:color w:val="auto"/>
          <w:kern w:val="0"/>
          <w:sz w:val="24"/>
          <w:highlight w:val="none"/>
          <w:lang w:eastAsia="zh-CN"/>
        </w:rPr>
        <w:t>北京时间）前递交投标文件。</w:t>
      </w:r>
    </w:p>
    <w:p w14:paraId="515C1D2E">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highlight w:val="none"/>
          <w:lang w:eastAsia="zh-CN"/>
        </w:rPr>
        <w:t xml:space="preserve">一、项目基本情况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rPr>
        <w:t xml:space="preserve">                                                                                                                                                             </w:t>
      </w:r>
    </w:p>
    <w:p w14:paraId="0320C92E">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1、采购项目编号：渑池公开采购-2024-67、MCGZ[2024]235-ZC170</w:t>
      </w:r>
    </w:p>
    <w:p w14:paraId="019BD8D6">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2、采购项目名称：渑池县生活垃圾清运建设项目-采购项目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kern w:val="0"/>
          <w:sz w:val="24"/>
          <w:highlight w:val="none"/>
          <w:lang w:eastAsia="zh-CN"/>
        </w:rPr>
        <w:t xml:space="preserve"> </w:t>
      </w:r>
    </w:p>
    <w:p w14:paraId="05C17930">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3、采购方式：</w:t>
      </w:r>
      <w:r>
        <w:rPr>
          <w:rFonts w:hint="eastAsia" w:ascii="宋体" w:hAnsi="宋体" w:eastAsia="宋体" w:cs="宋体"/>
          <w:color w:val="auto"/>
          <w:kern w:val="0"/>
          <w:sz w:val="24"/>
          <w:highlight w:val="none"/>
          <w:lang w:eastAsia="zh-CN"/>
        </w:rPr>
        <w:t>公开招标</w:t>
      </w:r>
    </w:p>
    <w:p w14:paraId="26808A8B">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4、预算金额：14674545.50元</w:t>
      </w:r>
    </w:p>
    <w:p w14:paraId="2C17A179">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highlight w:val="none"/>
        </w:rPr>
        <w:t>最高限价：14674545.50元</w:t>
      </w:r>
    </w:p>
    <w:tbl>
      <w:tblPr>
        <w:tblStyle w:val="1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22"/>
        <w:gridCol w:w="3528"/>
        <w:gridCol w:w="1229"/>
        <w:gridCol w:w="1555"/>
      </w:tblGrid>
      <w:tr w14:paraId="3DAA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dxa"/>
            <w:noWrap w:val="0"/>
            <w:vAlign w:val="top"/>
          </w:tcPr>
          <w:p w14:paraId="2597281C">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22" w:type="dxa"/>
            <w:noWrap w:val="0"/>
            <w:vAlign w:val="top"/>
          </w:tcPr>
          <w:p w14:paraId="24E0014B">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3528" w:type="dxa"/>
            <w:noWrap w:val="0"/>
            <w:vAlign w:val="top"/>
          </w:tcPr>
          <w:p w14:paraId="385C4693">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229" w:type="dxa"/>
            <w:noWrap w:val="0"/>
            <w:vAlign w:val="top"/>
          </w:tcPr>
          <w:p w14:paraId="3FE31117">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包预算（元）</w:t>
            </w:r>
          </w:p>
        </w:tc>
        <w:tc>
          <w:tcPr>
            <w:tcW w:w="1555" w:type="dxa"/>
            <w:noWrap w:val="0"/>
            <w:vAlign w:val="top"/>
          </w:tcPr>
          <w:p w14:paraId="71BB5991">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14:paraId="09E9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33D5E14">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1</w:t>
            </w:r>
          </w:p>
        </w:tc>
        <w:tc>
          <w:tcPr>
            <w:tcW w:w="1722" w:type="dxa"/>
            <w:noWrap w:val="0"/>
            <w:vAlign w:val="center"/>
          </w:tcPr>
          <w:p w14:paraId="33DAE0FE">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MCGZ[2024]235-ZC170-1</w:t>
            </w:r>
          </w:p>
        </w:tc>
        <w:tc>
          <w:tcPr>
            <w:tcW w:w="3528" w:type="dxa"/>
            <w:noWrap w:val="0"/>
            <w:vAlign w:val="center"/>
          </w:tcPr>
          <w:p w14:paraId="7099FA3E">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E包</w:t>
            </w:r>
          </w:p>
        </w:tc>
        <w:tc>
          <w:tcPr>
            <w:tcW w:w="1229" w:type="dxa"/>
            <w:noWrap w:val="0"/>
            <w:vAlign w:val="center"/>
          </w:tcPr>
          <w:p w14:paraId="1051E518">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c>
          <w:tcPr>
            <w:tcW w:w="1555" w:type="dxa"/>
            <w:noWrap w:val="0"/>
            <w:vAlign w:val="center"/>
          </w:tcPr>
          <w:p w14:paraId="62640B5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r>
      <w:tr w14:paraId="7AB0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26536B7">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p>
        </w:tc>
        <w:tc>
          <w:tcPr>
            <w:tcW w:w="1722" w:type="dxa"/>
            <w:noWrap w:val="0"/>
            <w:vAlign w:val="center"/>
          </w:tcPr>
          <w:p w14:paraId="5066AC76">
            <w:pPr>
              <w:keepNext w:val="0"/>
              <w:keepLines w:val="0"/>
              <w:widowControl/>
              <w:suppressLineNumbers w:val="0"/>
              <w:spacing w:line="360" w:lineRule="auto"/>
              <w:jc w:val="center"/>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MCGZ[2024]235-ZC170-2</w:t>
            </w:r>
          </w:p>
        </w:tc>
        <w:tc>
          <w:tcPr>
            <w:tcW w:w="3528" w:type="dxa"/>
            <w:noWrap w:val="0"/>
            <w:vAlign w:val="center"/>
          </w:tcPr>
          <w:p w14:paraId="28132154">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F包</w:t>
            </w:r>
          </w:p>
        </w:tc>
        <w:tc>
          <w:tcPr>
            <w:tcW w:w="1229" w:type="dxa"/>
            <w:noWrap w:val="0"/>
            <w:vAlign w:val="center"/>
          </w:tcPr>
          <w:p w14:paraId="02FA9E24">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c>
          <w:tcPr>
            <w:tcW w:w="1555" w:type="dxa"/>
            <w:noWrap w:val="0"/>
            <w:vAlign w:val="center"/>
          </w:tcPr>
          <w:p w14:paraId="16096C1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r>
      <w:tr w14:paraId="426D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44273988">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22" w:type="dxa"/>
            <w:noWrap w:val="0"/>
            <w:vAlign w:val="center"/>
          </w:tcPr>
          <w:p w14:paraId="2EBED2AF">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MCGZ[2024]235-ZC170-3</w:t>
            </w:r>
          </w:p>
        </w:tc>
        <w:tc>
          <w:tcPr>
            <w:tcW w:w="3528" w:type="dxa"/>
            <w:noWrap w:val="0"/>
            <w:vAlign w:val="center"/>
          </w:tcPr>
          <w:p w14:paraId="5AA24091">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G包</w:t>
            </w:r>
          </w:p>
        </w:tc>
        <w:tc>
          <w:tcPr>
            <w:tcW w:w="1229" w:type="dxa"/>
            <w:noWrap w:val="0"/>
            <w:vAlign w:val="center"/>
          </w:tcPr>
          <w:p w14:paraId="3C8BCFB1">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c>
          <w:tcPr>
            <w:tcW w:w="1555" w:type="dxa"/>
            <w:noWrap w:val="0"/>
            <w:vAlign w:val="center"/>
          </w:tcPr>
          <w:p w14:paraId="70979B6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r>
      <w:tr w14:paraId="499D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F64CFA6">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22" w:type="dxa"/>
            <w:noWrap w:val="0"/>
            <w:vAlign w:val="center"/>
          </w:tcPr>
          <w:p w14:paraId="5A051785">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MCGZ[2024]235-ZC170-4</w:t>
            </w:r>
          </w:p>
        </w:tc>
        <w:tc>
          <w:tcPr>
            <w:tcW w:w="3528" w:type="dxa"/>
            <w:noWrap w:val="0"/>
            <w:vAlign w:val="center"/>
          </w:tcPr>
          <w:p w14:paraId="06C7ED4D">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H包</w:t>
            </w:r>
          </w:p>
        </w:tc>
        <w:tc>
          <w:tcPr>
            <w:tcW w:w="1229" w:type="dxa"/>
            <w:noWrap w:val="0"/>
            <w:vAlign w:val="center"/>
          </w:tcPr>
          <w:p w14:paraId="1EA142E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c>
          <w:tcPr>
            <w:tcW w:w="1555" w:type="dxa"/>
            <w:noWrap w:val="0"/>
            <w:vAlign w:val="center"/>
          </w:tcPr>
          <w:p w14:paraId="7558C02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r>
    </w:tbl>
    <w:p w14:paraId="6EBC675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5、采购需求：（包括但不限于标的的名称、数量、简要技术需求或服务要求等）</w:t>
      </w:r>
    </w:p>
    <w:p w14:paraId="430BB771">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5.1</w:t>
      </w:r>
      <w:r>
        <w:rPr>
          <w:rFonts w:hint="eastAsia" w:ascii="宋体" w:hAnsi="宋体" w:eastAsia="宋体" w:cs="宋体"/>
          <w:color w:val="auto"/>
          <w:kern w:val="0"/>
          <w:sz w:val="24"/>
          <w:highlight w:val="none"/>
          <w:lang w:eastAsia="zh-CN"/>
        </w:rPr>
        <w:t>采购内容</w:t>
      </w: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sz w:val="24"/>
          <w:szCs w:val="32"/>
          <w:lang w:eastAsia="zh-CN"/>
        </w:rPr>
        <w:t>。E包：50吨电子磅、负压除尘除臭系统、空间渗滤除臭系统；F包：简易分拣设备、热解设备（段村乡）；G包：分拣设备（英豪镇）；H包：</w:t>
      </w:r>
      <w:r>
        <w:rPr>
          <w:rFonts w:ascii="宋体" w:hAnsi="宋体" w:eastAsia="宋体" w:cs="宋体"/>
          <w:sz w:val="24"/>
          <w:szCs w:val="24"/>
        </w:rPr>
        <w:t>施工及验收全过程监理（含缺陷责任期）</w:t>
      </w:r>
      <w:r>
        <w:rPr>
          <w:rFonts w:hint="eastAsia" w:ascii="宋体" w:hAnsi="宋体" w:eastAsia="宋体" w:cs="宋体"/>
          <w:color w:val="auto"/>
          <w:sz w:val="24"/>
          <w:szCs w:val="32"/>
          <w:lang w:eastAsia="zh-CN"/>
        </w:rPr>
        <w:t>。具体采购需求详见招标文件。</w:t>
      </w:r>
    </w:p>
    <w:p w14:paraId="78D12CF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5.2</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资金来源：</w:t>
      </w:r>
      <w:r>
        <w:rPr>
          <w:rFonts w:hint="eastAsia" w:ascii="宋体" w:hAnsi="宋体" w:eastAsia="宋体" w:cs="宋体"/>
          <w:bCs/>
          <w:color w:val="auto"/>
          <w:kern w:val="0"/>
          <w:sz w:val="24"/>
          <w:highlight w:val="none"/>
          <w:lang w:val="en-US" w:eastAsia="zh-CN"/>
        </w:rPr>
        <w:t>财政</w:t>
      </w:r>
      <w:r>
        <w:rPr>
          <w:rFonts w:hint="eastAsia" w:ascii="宋体" w:hAnsi="宋体" w:eastAsia="宋体" w:cs="宋体"/>
          <w:bCs/>
          <w:color w:val="auto"/>
          <w:kern w:val="0"/>
          <w:sz w:val="24"/>
          <w:highlight w:val="none"/>
        </w:rPr>
        <w:t>资金</w:t>
      </w:r>
    </w:p>
    <w:p w14:paraId="52EF2FF6">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rPr>
      </w:pP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lang w:val="en-US" w:eastAsia="zh-CN"/>
        </w:rPr>
        <w:t xml:space="preserve">3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eastAsia="zh-CN"/>
        </w:rPr>
        <w:t>质量要求：</w:t>
      </w:r>
      <w:r>
        <w:rPr>
          <w:rFonts w:hint="eastAsia" w:ascii="宋体" w:hAnsi="宋体" w:eastAsia="宋体"/>
          <w:color w:val="auto"/>
          <w:sz w:val="24"/>
          <w:szCs w:val="28"/>
        </w:rPr>
        <w:t>符合国家规定，达到正常运行条件</w:t>
      </w:r>
    </w:p>
    <w:p w14:paraId="391E5A79">
      <w:pPr>
        <w:keepNext w:val="0"/>
        <w:keepLines w:val="0"/>
        <w:pageBreakBefore w:val="0"/>
        <w:widowControl/>
        <w:kinsoku/>
        <w:wordWrap/>
        <w:overflowPunct/>
        <w:topLinePunct w:val="0"/>
        <w:bidi w:val="0"/>
        <w:adjustRightInd w:val="0"/>
        <w:snapToGrid w:val="0"/>
        <w:spacing w:line="360" w:lineRule="auto"/>
        <w:ind w:firstLine="960" w:firstLineChars="400"/>
        <w:jc w:val="left"/>
        <w:textAlignment w:val="auto"/>
        <w:rPr>
          <w:rFonts w:hint="eastAsia" w:ascii="宋体" w:hAnsi="宋体" w:eastAsia="宋体"/>
          <w:color w:val="auto"/>
          <w:sz w:val="24"/>
          <w:szCs w:val="28"/>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质量要求：达到国家现行建设工程施工质量验收规范合格标准</w:t>
      </w:r>
    </w:p>
    <w:p w14:paraId="7503B5D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en-US" w:eastAsia="zh-CN"/>
        </w:rPr>
        <w:t xml:space="preserve">4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val="en-US" w:eastAsia="zh-CN"/>
        </w:rPr>
        <w:t>交货期：</w:t>
      </w: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p w14:paraId="545A6F4C">
      <w:pPr>
        <w:keepNext w:val="0"/>
        <w:keepLines w:val="0"/>
        <w:pageBreakBefore w:val="0"/>
        <w:widowControl/>
        <w:kinsoku/>
        <w:wordWrap/>
        <w:overflowPunct/>
        <w:topLinePunct w:val="0"/>
        <w:autoSpaceDE/>
        <w:autoSpaceDN/>
        <w:bidi w:val="0"/>
        <w:adjustRightInd w:val="0"/>
        <w:snapToGrid w:val="0"/>
        <w:spacing w:line="360" w:lineRule="auto"/>
        <w:ind w:left="0" w:leftChars="0" w:firstLine="960" w:firstLineChars="4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监理服务期：</w:t>
      </w:r>
      <w:r>
        <w:rPr>
          <w:rFonts w:ascii="宋体" w:hAnsi="宋体" w:eastAsia="宋体" w:cs="宋体"/>
          <w:sz w:val="24"/>
          <w:szCs w:val="24"/>
        </w:rPr>
        <w:t>施工及验收全过程监理（含缺陷责任期）</w:t>
      </w:r>
    </w:p>
    <w:p w14:paraId="595E509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5.5</w:t>
      </w:r>
      <w:r>
        <w:rPr>
          <w:rFonts w:hint="eastAsia" w:ascii="宋体" w:hAnsi="宋体"/>
          <w:color w:val="auto"/>
          <w:sz w:val="24"/>
          <w:szCs w:val="28"/>
          <w:highlight w:val="none"/>
          <w:lang w:val="en-US" w:eastAsia="zh-CN"/>
        </w:rPr>
        <w:t>项目</w:t>
      </w:r>
      <w:r>
        <w:rPr>
          <w:rFonts w:hint="eastAsia" w:ascii="宋体" w:hAnsi="宋体" w:eastAsia="宋体"/>
          <w:color w:val="auto"/>
          <w:sz w:val="24"/>
          <w:szCs w:val="28"/>
          <w:highlight w:val="none"/>
          <w:lang w:val="en-US" w:eastAsia="zh-CN"/>
        </w:rPr>
        <w:t>地点：采购人指点地点</w:t>
      </w:r>
    </w:p>
    <w:p w14:paraId="19338D0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5.6</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范围</w:t>
      </w:r>
      <w:bookmarkStart w:id="176" w:name="_GoBack"/>
      <w:bookmarkEnd w:id="176"/>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招标文件所包含</w:t>
      </w:r>
      <w:r>
        <w:rPr>
          <w:rFonts w:hint="eastAsia" w:ascii="宋体" w:hAnsi="宋体" w:eastAsia="宋体" w:cs="宋体"/>
          <w:color w:val="auto"/>
          <w:kern w:val="0"/>
          <w:sz w:val="24"/>
          <w:highlight w:val="none"/>
        </w:rPr>
        <w:t>的全部内容</w:t>
      </w:r>
    </w:p>
    <w:p w14:paraId="2AC5E0D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段划分：本项目共划分为</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个</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w:t>
      </w:r>
    </w:p>
    <w:p w14:paraId="6B95A9F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s="宋体"/>
          <w:color w:val="auto"/>
          <w:kern w:val="0"/>
          <w:sz w:val="24"/>
          <w:highlight w:val="none"/>
        </w:rPr>
        <w:t>6、合同履行期限：</w:t>
      </w:r>
      <w:r>
        <w:rPr>
          <w:rFonts w:hint="eastAsia" w:ascii="宋体" w:hAnsi="宋体" w:eastAsia="宋体"/>
          <w:color w:val="auto"/>
          <w:sz w:val="24"/>
          <w:szCs w:val="28"/>
          <w:highlight w:val="none"/>
          <w:lang w:val="en-US" w:eastAsia="zh-CN"/>
        </w:rPr>
        <w:t>按合同执行</w:t>
      </w:r>
    </w:p>
    <w:p w14:paraId="7C90886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7、本项目是否接受联合体</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：否</w:t>
      </w:r>
    </w:p>
    <w:p w14:paraId="338EC83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8、是否接受进口产品：否</w:t>
      </w:r>
    </w:p>
    <w:p w14:paraId="7205D28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9.是否专门面向中小企业：否</w:t>
      </w:r>
    </w:p>
    <w:p w14:paraId="28F10E45">
      <w:pPr>
        <w:pStyle w:val="3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二、申请人资格要求</w:t>
      </w:r>
    </w:p>
    <w:p w14:paraId="3367068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1551D1F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69AF3E8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0EA6820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686882A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587DED7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2DFA59F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2B473AE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52BD4B9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31855E3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3313763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8"/>
          <w:lang w:val="en-US" w:eastAsia="zh-CN"/>
        </w:rPr>
        <w:t>E包-G包：</w:t>
      </w:r>
    </w:p>
    <w:p w14:paraId="47AC40D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w:t>
      </w:r>
      <w:r>
        <w:rPr>
          <w:rFonts w:hint="eastAsia" w:ascii="宋体" w:hAnsi="宋体" w:eastAsia="宋体" w:cs="Times New Roman"/>
          <w:color w:val="auto"/>
          <w:sz w:val="24"/>
          <w:szCs w:val="24"/>
        </w:rPr>
        <w:t>有效的营业执照；</w:t>
      </w:r>
    </w:p>
    <w:p w14:paraId="22F7032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0772294B">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25F856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60DEF771">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389CC10B">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73B6569F">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p w14:paraId="4DAA359B">
      <w:pP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H包：</w:t>
      </w:r>
    </w:p>
    <w:p w14:paraId="7F25C2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3.1 供应商具有房屋建筑工程监理乙级及以上资质或工程监理综合资质；</w:t>
      </w:r>
    </w:p>
    <w:p w14:paraId="410481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eastAsia="zh-CN"/>
        </w:rPr>
      </w:pPr>
      <w:r>
        <w:rPr>
          <w:rFonts w:hint="eastAsia" w:ascii="宋体" w:hAnsi="宋体" w:eastAsia="宋体" w:cs="Times New Roman"/>
          <w:color w:val="auto"/>
          <w:sz w:val="24"/>
          <w:szCs w:val="24"/>
          <w:lang w:val="en-US" w:eastAsia="zh-CN"/>
        </w:rPr>
        <w:t>3.2 拟派项目总监须具有相关专业国家注册监理工程师资格，应提供有效的劳动合同并提供单位为其缴纳 2024 年以来任</w:t>
      </w:r>
      <w:r>
        <w:rPr>
          <w:rFonts w:hint="eastAsia" w:ascii="宋体" w:hAnsi="宋体" w:eastAsia="宋体" w:cs="宋体"/>
          <w:color w:val="auto"/>
          <w:sz w:val="24"/>
          <w:szCs w:val="32"/>
          <w:lang w:eastAsia="zh-CN"/>
        </w:rPr>
        <w:t>意一个月的社保证明材料；</w:t>
      </w:r>
    </w:p>
    <w:p w14:paraId="4E14F7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3.3 信用查询：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p w14:paraId="6AD1BB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3.4供应商自行出具本企业的无商业贿赂及无不正当竞争行为的承诺书（格式自拟）；</w:t>
      </w:r>
    </w:p>
    <w:p w14:paraId="1E4FF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3.5本项目不接受联合体投标，提供非联合体承诺，格式自拟。</w:t>
      </w:r>
    </w:p>
    <w:p w14:paraId="244D1C1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三、获取</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w:t>
      </w:r>
    </w:p>
    <w:p w14:paraId="5C01E7E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时间：</w:t>
      </w:r>
      <w:r>
        <w:rPr>
          <w:rFonts w:hint="eastAsia" w:ascii="宋体" w:hAnsi="宋体" w:eastAsia="宋体" w:cs="宋体"/>
          <w:color w:val="auto"/>
          <w:kern w:val="0"/>
          <w:sz w:val="24"/>
          <w:highlight w:val="none"/>
          <w:lang w:eastAsia="zh-CN"/>
        </w:rPr>
        <w:t>2024年</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eastAsia="zh-CN"/>
        </w:rPr>
        <w:t>日至2024年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lang w:eastAsia="zh-CN"/>
        </w:rPr>
        <w:t>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07AD74B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三门峡市公共资源交易中心网（网址：</w:t>
      </w:r>
      <w:r>
        <w:rPr>
          <w:rFonts w:hint="eastAsia" w:ascii="宋体" w:hAnsi="宋体" w:eastAsia="宋体" w:cs="宋体"/>
          <w:color w:val="auto"/>
          <w:kern w:val="0"/>
          <w:sz w:val="24"/>
          <w:highlight w:val="none"/>
          <w:lang w:eastAsia="zh-CN"/>
        </w:rPr>
        <w:fldChar w:fldCharType="begin"/>
      </w:r>
      <w:r>
        <w:rPr>
          <w:rFonts w:hint="eastAsia" w:ascii="宋体" w:hAnsi="宋体" w:eastAsia="宋体" w:cs="宋体"/>
          <w:color w:val="auto"/>
          <w:kern w:val="0"/>
          <w:sz w:val="24"/>
          <w:highlight w:val="none"/>
          <w:lang w:eastAsia="zh-CN"/>
        </w:rPr>
        <w:instrText xml:space="preserve"> HYPERLINK "http://gzjy.smx.gov.cn/" </w:instrText>
      </w:r>
      <w:r>
        <w:rPr>
          <w:rFonts w:hint="eastAsia" w:ascii="宋体" w:hAnsi="宋体" w:eastAsia="宋体" w:cs="宋体"/>
          <w:color w:val="auto"/>
          <w:kern w:val="0"/>
          <w:sz w:val="24"/>
          <w:highlight w:val="none"/>
          <w:lang w:eastAsia="zh-CN"/>
        </w:rPr>
        <w:fldChar w:fldCharType="separate"/>
      </w:r>
      <w:r>
        <w:rPr>
          <w:rStyle w:val="24"/>
          <w:rFonts w:hint="eastAsia" w:ascii="宋体" w:hAnsi="宋体" w:eastAsia="宋体" w:cs="宋体"/>
          <w:color w:val="auto"/>
          <w:kern w:val="0"/>
          <w:sz w:val="24"/>
          <w:highlight w:val="none"/>
          <w:lang w:eastAsia="zh-CN"/>
        </w:rPr>
        <w:t>http://gzjy.smx.gov.cn/</w:t>
      </w:r>
      <w:r>
        <w:rPr>
          <w:rFonts w:hint="eastAsia" w:ascii="宋体" w:hAnsi="宋体" w:eastAsia="宋体" w:cs="宋体"/>
          <w:color w:val="auto"/>
          <w:kern w:val="0"/>
          <w:sz w:val="24"/>
          <w:highlight w:val="none"/>
          <w:lang w:eastAsia="zh-CN"/>
        </w:rPr>
        <w:fldChar w:fldCharType="end"/>
      </w:r>
      <w:r>
        <w:rPr>
          <w:rFonts w:hint="eastAsia" w:ascii="宋体" w:hAnsi="宋体" w:eastAsia="宋体" w:cs="宋体"/>
          <w:color w:val="auto"/>
          <w:kern w:val="0"/>
          <w:sz w:val="24"/>
          <w:highlight w:val="none"/>
          <w:lang w:eastAsia="zh-CN"/>
        </w:rPr>
        <w:t>）</w:t>
      </w:r>
    </w:p>
    <w:p w14:paraId="5749939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eastAsia="宋体" w:cs="宋体"/>
          <w:color w:val="auto"/>
          <w:sz w:val="24"/>
          <w:highlight w:val="none"/>
        </w:rPr>
        <w:t>3.方式：</w:t>
      </w:r>
      <w:r>
        <w:rPr>
          <w:rFonts w:hint="eastAsia" w:ascii="宋体" w:hAnsi="宋体" w:cs="宋体"/>
          <w:color w:val="auto"/>
          <w:kern w:val="0"/>
          <w:sz w:val="24"/>
          <w:szCs w:val="24"/>
          <w:highlight w:val="none"/>
        </w:rPr>
        <w:t>本项目没有报名环节，投标</w:t>
      </w: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highlight w:val="none"/>
        </w:rPr>
        <w:t>凭CA数字证书通过三门</w:t>
      </w:r>
      <w:r>
        <w:rPr>
          <w:rFonts w:hint="eastAsia" w:ascii="宋体" w:hAnsi="宋体" w:cs="宋体"/>
          <w:color w:val="auto"/>
          <w:kern w:val="0"/>
          <w:sz w:val="24"/>
          <w:szCs w:val="24"/>
        </w:rPr>
        <w:t>峡市公共资源交易中心网（网址：http://gzjy.smx.gov.cn/），点击公共资源交易平台选择“交易主体登录”，在所参与项目右侧点击参与投标，即可直接下载本项目</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p w14:paraId="76E0DF8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注：根据《关于进一步加强公共资源交易管理持续优化营商环境的通知》（三公管办〔2020〕2号）文件的要求,招标文件费用不再收取。</w:t>
      </w:r>
    </w:p>
    <w:p w14:paraId="2716B0B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4、售价：0元。</w:t>
      </w:r>
    </w:p>
    <w:p w14:paraId="3A9CFD5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rPr>
        <w:t>四、</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w:t>
      </w:r>
      <w:r>
        <w:rPr>
          <w:rFonts w:hint="eastAsia" w:ascii="宋体" w:hAnsi="宋体" w:eastAsia="宋体" w:cs="宋体"/>
          <w:color w:val="auto"/>
          <w:kern w:val="0"/>
          <w:sz w:val="24"/>
          <w:highlight w:val="none"/>
        </w:rPr>
        <w:t>提交</w:t>
      </w:r>
    </w:p>
    <w:p w14:paraId="79E042A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bookmarkStart w:id="4" w:name="_Toc6253"/>
      <w:bookmarkStart w:id="5" w:name="_Toc22397"/>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38DDE9F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51BCEF6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eastAsia="zh-CN"/>
        </w:rPr>
        <w:t>开标时间及地点</w:t>
      </w:r>
    </w:p>
    <w:p w14:paraId="1D342F0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269EC72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rPr>
        <w:t>2、地点：</w:t>
      </w:r>
      <w:r>
        <w:rPr>
          <w:rFonts w:hint="eastAsia" w:ascii="宋体" w:hAnsi="宋体" w:eastAsia="宋体" w:cs="宋体"/>
          <w:color w:val="auto"/>
          <w:kern w:val="0"/>
          <w:sz w:val="24"/>
          <w:szCs w:val="24"/>
          <w:lang w:val="en-US" w:eastAsia="zh-CN" w:bidi="ar"/>
        </w:rPr>
        <w:t>渑池县公共资源交易中心六楼开标区</w:t>
      </w:r>
    </w:p>
    <w:p w14:paraId="25853EF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六、发布</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公告的媒介及</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公告期限</w:t>
      </w:r>
      <w:bookmarkEnd w:id="4"/>
      <w:bookmarkEnd w:id="5"/>
    </w:p>
    <w:p w14:paraId="4ABF54D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本次</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公告在</w:t>
      </w:r>
      <w:r>
        <w:rPr>
          <w:rFonts w:hint="eastAsia" w:ascii="宋体" w:hAnsi="宋体" w:cs="宋体"/>
          <w:color w:val="auto"/>
          <w:kern w:val="0"/>
          <w:sz w:val="24"/>
          <w:szCs w:val="24"/>
        </w:rPr>
        <w:t>在《河南省政府采购网》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中国招标投标公共服务平台</w:t>
      </w:r>
      <w:r>
        <w:rPr>
          <w:rFonts w:hint="eastAsia" w:ascii="宋体" w:hAnsi="宋体" w:cs="宋体"/>
          <w:color w:val="auto"/>
          <w:kern w:val="0"/>
          <w:sz w:val="24"/>
          <w:szCs w:val="24"/>
        </w:rPr>
        <w:t>》、《三门峡市公共资源交易中心网》</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rPr>
        <w:t>发布</w:t>
      </w:r>
      <w:r>
        <w:rPr>
          <w:rFonts w:hint="eastAsia" w:ascii="宋体" w:hAnsi="宋体" w:eastAsia="宋体" w:cs="宋体"/>
          <w:color w:val="auto"/>
          <w:kern w:val="0"/>
          <w:sz w:val="24"/>
        </w:rPr>
        <w:t>。</w:t>
      </w:r>
    </w:p>
    <w:p w14:paraId="0B92034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其他补充事宜</w:t>
      </w:r>
    </w:p>
    <w:p w14:paraId="02DA19F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26F2B35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149D2C6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3.根据《河南省财政厅关于优化政府采购营商环境有关问题的通知》（豫财购【2019】4号）第6条的规定，投标保证金不再收取。</w:t>
      </w:r>
    </w:p>
    <w:p w14:paraId="6B2BED3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 资格评（预）审部分：资格评（预）以投标文件为准，其上传资料真实性由供应商自行承担。同时，供应商应在开标前自行完善主体库信息。</w:t>
      </w:r>
    </w:p>
    <w:p w14:paraId="44D7092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5.评标打分部分：评标打分部分仍按照100分制原则进行，涉及到资格审查、企业荣誉、企业业绩等计分部分时，以投标单位自行上传到投标文件中的相应内容为准。</w:t>
      </w:r>
    </w:p>
    <w:p w14:paraId="77ECD47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5F23033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7.我单位（采购人）严格按三财购【2021】9号文要求的时限发布中标结果公告，发出中标通知书，签订采购合同，上传采购合同。</w:t>
      </w:r>
    </w:p>
    <w:p w14:paraId="69DDC9D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八、对本次项目提出询问，请按以下方式联系</w:t>
      </w:r>
    </w:p>
    <w:p w14:paraId="263B51D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采购人</w:t>
      </w:r>
      <w:r>
        <w:rPr>
          <w:rFonts w:hint="eastAsia" w:ascii="宋体" w:hAnsi="宋体" w:cs="宋体"/>
          <w:color w:val="auto"/>
          <w:kern w:val="0"/>
          <w:sz w:val="24"/>
          <w:szCs w:val="24"/>
        </w:rPr>
        <w:t>信息：</w:t>
      </w:r>
    </w:p>
    <w:p w14:paraId="3C69143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36FEA6A9">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eastAsia="zh-CN"/>
        </w:rPr>
        <w:t>会盟路</w:t>
      </w:r>
      <w:r>
        <w:rPr>
          <w:rFonts w:hint="eastAsia" w:ascii="宋体" w:hAnsi="宋体" w:cs="宋体"/>
          <w:color w:val="auto"/>
          <w:kern w:val="0"/>
          <w:sz w:val="24"/>
          <w:szCs w:val="24"/>
          <w:highlight w:val="none"/>
          <w:lang w:val="en-US" w:eastAsia="zh-CN"/>
        </w:rPr>
        <w:t>西</w:t>
      </w:r>
      <w:r>
        <w:rPr>
          <w:rFonts w:hint="eastAsia" w:ascii="宋体" w:hAnsi="宋体" w:cs="宋体"/>
          <w:color w:val="auto"/>
          <w:kern w:val="0"/>
          <w:sz w:val="24"/>
          <w:szCs w:val="24"/>
          <w:highlight w:val="none"/>
          <w:lang w:eastAsia="zh-CN"/>
        </w:rPr>
        <w:t>段</w:t>
      </w:r>
    </w:p>
    <w:p w14:paraId="24D0DC3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03460CEB">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电话：0398-4831779</w:t>
      </w:r>
    </w:p>
    <w:p w14:paraId="6D0D6A70">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22456A0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w:t>
      </w:r>
      <w:r>
        <w:rPr>
          <w:rFonts w:hint="eastAsia" w:ascii="宋体" w:hAnsi="宋体" w:cs="宋体"/>
          <w:bCs/>
          <w:kern w:val="0"/>
          <w:sz w:val="24"/>
        </w:rPr>
        <w:t>河南方兴工程咨询有限公司</w:t>
      </w:r>
      <w:r>
        <w:rPr>
          <w:rFonts w:hint="eastAsia" w:ascii="宋体" w:hAnsi="宋体" w:cs="宋体"/>
          <w:bCs/>
          <w:color w:val="auto"/>
          <w:sz w:val="24"/>
          <w:szCs w:val="24"/>
          <w:lang w:eastAsia="zh-CN"/>
        </w:rPr>
        <w:t xml:space="preserve"> </w:t>
      </w:r>
    </w:p>
    <w:p w14:paraId="6FDF760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3382B10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1828B4F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59D6EB4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项目联系人：牛先生</w:t>
      </w:r>
    </w:p>
    <w:p w14:paraId="71665E8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3A92BF39">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、监督单位信息：</w:t>
      </w:r>
    </w:p>
    <w:p w14:paraId="76A2BBA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名称：渑池县政府采购办公室</w:t>
      </w:r>
    </w:p>
    <w:p w14:paraId="09F932A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color w:val="auto"/>
        </w:rPr>
      </w:pPr>
      <w:r>
        <w:rPr>
          <w:rFonts w:hint="eastAsia" w:ascii="宋体" w:hAnsi="宋体" w:cs="宋体"/>
          <w:color w:val="auto"/>
          <w:kern w:val="0"/>
          <w:sz w:val="24"/>
          <w:szCs w:val="24"/>
        </w:rPr>
        <w:t>联系方式：0398-4818677</w:t>
      </w:r>
    </w:p>
    <w:p w14:paraId="1CC1735E">
      <w:pPr>
        <w:pStyle w:val="7"/>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color w:val="auto"/>
          <w:sz w:val="32"/>
          <w:szCs w:val="32"/>
        </w:rPr>
      </w:pPr>
      <w:r>
        <w:rPr>
          <w:rFonts w:hint="eastAsia"/>
          <w:color w:val="auto"/>
          <w:sz w:val="32"/>
          <w:szCs w:val="32"/>
        </w:rPr>
        <w:br w:type="page"/>
      </w:r>
      <w:bookmarkStart w:id="6" w:name="_Toc30172"/>
      <w:r>
        <w:rPr>
          <w:rStyle w:val="31"/>
          <w:rFonts w:hint="eastAsia"/>
          <w:b/>
          <w:bCs/>
          <w:color w:val="auto"/>
        </w:rPr>
        <w:t xml:space="preserve">第二章  </w:t>
      </w:r>
      <w:r>
        <w:rPr>
          <w:rStyle w:val="31"/>
          <w:rFonts w:hint="eastAsia"/>
          <w:b/>
          <w:bCs/>
          <w:color w:val="auto"/>
          <w:lang w:val="en-US" w:eastAsia="zh-CN"/>
        </w:rPr>
        <w:t>供应商</w:t>
      </w:r>
      <w:r>
        <w:rPr>
          <w:rStyle w:val="31"/>
          <w:rFonts w:hint="eastAsia"/>
          <w:b/>
          <w:bCs/>
          <w:color w:val="auto"/>
        </w:rPr>
        <w:t>须知</w:t>
      </w:r>
      <w:bookmarkEnd w:id="6"/>
    </w:p>
    <w:p w14:paraId="6F394ED3">
      <w:pPr>
        <w:jc w:val="center"/>
        <w:rPr>
          <w:rFonts w:hint="eastAsia" w:ascii="宋体" w:hAnsi="宋体" w:eastAsia="宋体" w:cs="宋体"/>
          <w:color w:val="auto"/>
        </w:rPr>
      </w:pP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须知前附表</w:t>
      </w:r>
    </w:p>
    <w:tbl>
      <w:tblPr>
        <w:tblStyle w:val="16"/>
        <w:tblpPr w:leftFromText="180" w:rightFromText="180" w:vertAnchor="text" w:horzAnchor="page" w:tblpX="1079" w:tblpY="528"/>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4"/>
        <w:gridCol w:w="6924"/>
      </w:tblGrid>
      <w:tr w14:paraId="3E4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2240DCB8">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1864" w:type="dxa"/>
            <w:noWrap w:val="0"/>
            <w:vAlign w:val="center"/>
          </w:tcPr>
          <w:p w14:paraId="40B746BE">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 xml:space="preserve">条 款 </w:t>
            </w:r>
          </w:p>
          <w:p w14:paraId="143EB9C2">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名 称</w:t>
            </w:r>
          </w:p>
        </w:tc>
        <w:tc>
          <w:tcPr>
            <w:tcW w:w="6924" w:type="dxa"/>
            <w:noWrap w:val="0"/>
            <w:vAlign w:val="center"/>
          </w:tcPr>
          <w:p w14:paraId="19AED984">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编 列 内 容</w:t>
            </w:r>
          </w:p>
        </w:tc>
      </w:tr>
      <w:tr w14:paraId="411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5" w:type="dxa"/>
            <w:noWrap w:val="0"/>
            <w:vAlign w:val="center"/>
          </w:tcPr>
          <w:p w14:paraId="4706CD9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w:t>
            </w:r>
          </w:p>
        </w:tc>
        <w:tc>
          <w:tcPr>
            <w:tcW w:w="1864" w:type="dxa"/>
            <w:noWrap w:val="0"/>
            <w:vAlign w:val="center"/>
          </w:tcPr>
          <w:p w14:paraId="626DC7A0">
            <w:pPr>
              <w:spacing w:line="400" w:lineRule="exact"/>
              <w:jc w:val="center"/>
              <w:rPr>
                <w:rFonts w:hint="eastAsia" w:ascii="宋体" w:hAnsi="宋体" w:eastAsia="宋体" w:cs="宋体"/>
                <w:color w:val="auto"/>
                <w:sz w:val="24"/>
                <w:lang w:eastAsia="zh-CN" w:bidi="ar"/>
              </w:rPr>
            </w:pPr>
            <w:r>
              <w:rPr>
                <w:rFonts w:hint="eastAsia" w:ascii="宋体" w:hAnsi="宋体" w:cs="宋体"/>
                <w:color w:val="auto"/>
                <w:kern w:val="0"/>
                <w:sz w:val="24"/>
                <w:szCs w:val="24"/>
                <w:lang w:val="en-US" w:eastAsia="zh-CN"/>
              </w:rPr>
              <w:t>采购人</w:t>
            </w:r>
          </w:p>
        </w:tc>
        <w:tc>
          <w:tcPr>
            <w:tcW w:w="6924" w:type="dxa"/>
            <w:noWrap w:val="0"/>
            <w:vAlign w:val="center"/>
          </w:tcPr>
          <w:p w14:paraId="20E2ABF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237FADEB">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val="en-US" w:eastAsia="zh-CN"/>
              </w:rPr>
              <w:t>会盟路西段</w:t>
            </w:r>
          </w:p>
          <w:p w14:paraId="38EEBE38">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43C38FD7">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sz w:val="24"/>
                <w:lang w:val="en-US" w:bidi="ar"/>
              </w:rPr>
            </w:pPr>
            <w:r>
              <w:rPr>
                <w:rFonts w:hint="eastAsia" w:ascii="宋体" w:hAnsi="宋体" w:cs="宋体"/>
                <w:color w:val="auto"/>
                <w:kern w:val="0"/>
                <w:sz w:val="24"/>
                <w:szCs w:val="24"/>
                <w:highlight w:val="none"/>
                <w:lang w:val="en-US" w:eastAsia="zh-CN"/>
              </w:rPr>
              <w:t>电话：0398-4831779</w:t>
            </w:r>
          </w:p>
        </w:tc>
      </w:tr>
      <w:tr w14:paraId="26E3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95" w:type="dxa"/>
            <w:noWrap w:val="0"/>
            <w:vAlign w:val="center"/>
          </w:tcPr>
          <w:p w14:paraId="286BEE8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w:t>
            </w:r>
          </w:p>
        </w:tc>
        <w:tc>
          <w:tcPr>
            <w:tcW w:w="1864" w:type="dxa"/>
            <w:noWrap w:val="0"/>
            <w:vAlign w:val="center"/>
          </w:tcPr>
          <w:p w14:paraId="07C5BA2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代理机构</w:t>
            </w:r>
          </w:p>
        </w:tc>
        <w:tc>
          <w:tcPr>
            <w:tcW w:w="6924" w:type="dxa"/>
            <w:noWrap w:val="0"/>
            <w:vAlign w:val="center"/>
          </w:tcPr>
          <w:p w14:paraId="6221131B">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名称：河南方兴工程咨询有限公司</w:t>
            </w:r>
            <w:r>
              <w:rPr>
                <w:rFonts w:hint="eastAsia" w:ascii="宋体" w:hAnsi="宋体" w:cs="宋体"/>
                <w:bCs/>
                <w:color w:val="auto"/>
                <w:sz w:val="24"/>
                <w:szCs w:val="24"/>
                <w:lang w:eastAsia="zh-CN"/>
              </w:rPr>
              <w:t xml:space="preserve"> </w:t>
            </w:r>
          </w:p>
          <w:p w14:paraId="2F69623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2C23B8A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bCs/>
                <w:color w:val="auto"/>
                <w:sz w:val="24"/>
                <w:szCs w:val="24"/>
                <w:lang w:eastAsia="zh-CN"/>
              </w:rPr>
              <w:t>牛先生</w:t>
            </w:r>
          </w:p>
          <w:p w14:paraId="71D7D82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lang w:bidi="ar"/>
              </w:rPr>
            </w:pPr>
            <w:r>
              <w:rPr>
                <w:rFonts w:hint="eastAsia" w:ascii="宋体" w:hAnsi="宋体" w:cs="宋体"/>
                <w:color w:val="auto"/>
                <w:kern w:val="0"/>
                <w:sz w:val="24"/>
                <w:szCs w:val="24"/>
              </w:rPr>
              <w:t>联系方式：18839836588</w:t>
            </w:r>
          </w:p>
        </w:tc>
      </w:tr>
      <w:tr w14:paraId="29D4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5" w:type="dxa"/>
            <w:noWrap w:val="0"/>
            <w:vAlign w:val="center"/>
          </w:tcPr>
          <w:p w14:paraId="49C43BA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3</w:t>
            </w:r>
          </w:p>
        </w:tc>
        <w:tc>
          <w:tcPr>
            <w:tcW w:w="1864" w:type="dxa"/>
            <w:noWrap w:val="0"/>
            <w:vAlign w:val="center"/>
          </w:tcPr>
          <w:p w14:paraId="544014B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项目名称</w:t>
            </w:r>
          </w:p>
        </w:tc>
        <w:tc>
          <w:tcPr>
            <w:tcW w:w="6924" w:type="dxa"/>
            <w:noWrap w:val="0"/>
            <w:vAlign w:val="center"/>
          </w:tcPr>
          <w:p w14:paraId="55B4B47D">
            <w:pPr>
              <w:spacing w:line="400" w:lineRule="exact"/>
              <w:jc w:val="both"/>
              <w:rPr>
                <w:rFonts w:hint="eastAsia" w:ascii="宋体" w:hAnsi="宋体" w:eastAsia="宋体" w:cs="宋体"/>
                <w:color w:val="auto"/>
                <w:sz w:val="24"/>
                <w:lang w:eastAsia="zh-CN" w:bidi="ar"/>
              </w:rPr>
            </w:pPr>
            <w:r>
              <w:rPr>
                <w:rFonts w:hint="eastAsia" w:ascii="宋体" w:hAnsi="宋体" w:eastAsia="宋体" w:cs="宋体"/>
                <w:color w:val="auto"/>
                <w:sz w:val="24"/>
                <w:lang w:eastAsia="zh-CN" w:bidi="ar"/>
              </w:rPr>
              <w:t>渑池县生活垃圾清运建设项目-采购项目（E包至H包）项目</w:t>
            </w:r>
          </w:p>
        </w:tc>
      </w:tr>
      <w:tr w14:paraId="62C2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53EEF20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4</w:t>
            </w:r>
          </w:p>
        </w:tc>
        <w:tc>
          <w:tcPr>
            <w:tcW w:w="1864" w:type="dxa"/>
            <w:noWrap w:val="0"/>
            <w:vAlign w:val="center"/>
          </w:tcPr>
          <w:p w14:paraId="66C2FF4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交货期</w:t>
            </w:r>
          </w:p>
        </w:tc>
        <w:tc>
          <w:tcPr>
            <w:tcW w:w="6924" w:type="dxa"/>
            <w:noWrap w:val="0"/>
            <w:vAlign w:val="center"/>
          </w:tcPr>
          <w:p w14:paraId="0452E260">
            <w:pPr>
              <w:spacing w:line="400" w:lineRule="exact"/>
              <w:jc w:val="left"/>
              <w:rPr>
                <w:rFonts w:hint="eastAsia" w:ascii="宋体" w:hAnsi="宋体" w:eastAsia="宋体" w:cs="宋体"/>
                <w:color w:val="auto"/>
                <w:sz w:val="24"/>
                <w:highlight w:val="none"/>
                <w:lang w:eastAsia="zh-CN" w:bidi="ar"/>
              </w:rPr>
            </w:pP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tc>
      </w:tr>
      <w:tr w14:paraId="47D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5" w:type="dxa"/>
            <w:noWrap w:val="0"/>
            <w:vAlign w:val="center"/>
          </w:tcPr>
          <w:p w14:paraId="580E272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5</w:t>
            </w:r>
          </w:p>
        </w:tc>
        <w:tc>
          <w:tcPr>
            <w:tcW w:w="1864" w:type="dxa"/>
            <w:noWrap w:val="0"/>
            <w:vAlign w:val="center"/>
          </w:tcPr>
          <w:p w14:paraId="1E20917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eastAsia="zh-CN"/>
              </w:rPr>
              <w:t>采购</w:t>
            </w:r>
            <w:r>
              <w:rPr>
                <w:rFonts w:hint="eastAsia" w:ascii="宋体" w:hAnsi="宋体" w:eastAsia="宋体" w:cs="宋体"/>
                <w:color w:val="auto"/>
                <w:sz w:val="24"/>
              </w:rPr>
              <w:t>范围</w:t>
            </w:r>
          </w:p>
        </w:tc>
        <w:tc>
          <w:tcPr>
            <w:tcW w:w="6924" w:type="dxa"/>
            <w:noWrap w:val="0"/>
            <w:vAlign w:val="center"/>
          </w:tcPr>
          <w:p w14:paraId="229AADC9">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采购清单所包含的全部内容（详见招标文件）</w:t>
            </w:r>
          </w:p>
        </w:tc>
      </w:tr>
      <w:tr w14:paraId="323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A3882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6</w:t>
            </w:r>
          </w:p>
        </w:tc>
        <w:tc>
          <w:tcPr>
            <w:tcW w:w="1864" w:type="dxa"/>
            <w:noWrap w:val="0"/>
            <w:vAlign w:val="center"/>
          </w:tcPr>
          <w:p w14:paraId="55BE9F95">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资金来源</w:t>
            </w:r>
          </w:p>
        </w:tc>
        <w:tc>
          <w:tcPr>
            <w:tcW w:w="6924" w:type="dxa"/>
            <w:noWrap w:val="0"/>
            <w:vAlign w:val="center"/>
          </w:tcPr>
          <w:p w14:paraId="537BD900">
            <w:pPr>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p>
        </w:tc>
      </w:tr>
      <w:tr w14:paraId="45B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1498A7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7</w:t>
            </w:r>
          </w:p>
        </w:tc>
        <w:tc>
          <w:tcPr>
            <w:tcW w:w="1864" w:type="dxa"/>
            <w:noWrap w:val="0"/>
            <w:vAlign w:val="center"/>
          </w:tcPr>
          <w:p w14:paraId="7DC74C9D">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出资比例</w:t>
            </w:r>
          </w:p>
        </w:tc>
        <w:tc>
          <w:tcPr>
            <w:tcW w:w="6924" w:type="dxa"/>
            <w:noWrap w:val="0"/>
            <w:vAlign w:val="center"/>
          </w:tcPr>
          <w:p w14:paraId="27499426">
            <w:pPr>
              <w:tabs>
                <w:tab w:val="center" w:pos="3354"/>
              </w:tabs>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r>
              <w:rPr>
                <w:rFonts w:hint="eastAsia" w:ascii="宋体" w:hAnsi="宋体" w:eastAsia="宋体" w:cs="宋体"/>
                <w:color w:val="auto"/>
                <w:sz w:val="24"/>
                <w:lang w:val="en-US" w:eastAsia="zh-CN" w:bidi="ar"/>
              </w:rPr>
              <w:t>100%</w:t>
            </w:r>
            <w:r>
              <w:rPr>
                <w:rFonts w:hint="eastAsia" w:ascii="宋体" w:hAnsi="宋体" w:eastAsia="宋体" w:cs="宋体"/>
                <w:color w:val="auto"/>
                <w:sz w:val="24"/>
                <w:lang w:val="en-US" w:eastAsia="zh-CN" w:bidi="ar"/>
              </w:rPr>
              <w:tab/>
            </w:r>
          </w:p>
        </w:tc>
      </w:tr>
      <w:tr w14:paraId="6206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5" w:type="dxa"/>
            <w:noWrap w:val="0"/>
            <w:vAlign w:val="center"/>
          </w:tcPr>
          <w:p w14:paraId="0E702A3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8</w:t>
            </w:r>
          </w:p>
        </w:tc>
        <w:tc>
          <w:tcPr>
            <w:tcW w:w="1864" w:type="dxa"/>
            <w:noWrap w:val="0"/>
            <w:vAlign w:val="center"/>
          </w:tcPr>
          <w:p w14:paraId="7B20E65E">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资金</w:t>
            </w:r>
          </w:p>
          <w:p w14:paraId="2B2852F1">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落实情况</w:t>
            </w:r>
          </w:p>
        </w:tc>
        <w:tc>
          <w:tcPr>
            <w:tcW w:w="6924" w:type="dxa"/>
            <w:noWrap w:val="0"/>
            <w:vAlign w:val="center"/>
          </w:tcPr>
          <w:p w14:paraId="6DD958F9">
            <w:pPr>
              <w:spacing w:line="400" w:lineRule="exact"/>
              <w:jc w:val="left"/>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已落实</w:t>
            </w:r>
          </w:p>
        </w:tc>
      </w:tr>
      <w:tr w14:paraId="693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95" w:type="dxa"/>
            <w:noWrap w:val="0"/>
            <w:vAlign w:val="center"/>
          </w:tcPr>
          <w:p w14:paraId="00B7E4E1">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9</w:t>
            </w:r>
          </w:p>
        </w:tc>
        <w:tc>
          <w:tcPr>
            <w:tcW w:w="1864" w:type="dxa"/>
            <w:noWrap w:val="0"/>
            <w:vAlign w:val="center"/>
          </w:tcPr>
          <w:p w14:paraId="5228055F">
            <w:pPr>
              <w:spacing w:line="400" w:lineRule="exact"/>
              <w:jc w:val="center"/>
              <w:rPr>
                <w:rFonts w:hint="eastAsia" w:ascii="宋体" w:hAnsi="宋体" w:eastAsia="宋体" w:cs="宋体"/>
                <w:bCs/>
                <w:color w:val="auto"/>
                <w:kern w:val="0"/>
                <w:sz w:val="24"/>
                <w:highlight w:val="none"/>
                <w:lang w:eastAsia="zh-CN" w:bidi="en-US"/>
              </w:rPr>
            </w:pPr>
            <w:r>
              <w:rPr>
                <w:rFonts w:hint="eastAsia" w:ascii="宋体" w:hAnsi="宋体" w:eastAsia="宋体" w:cs="宋体"/>
                <w:bCs/>
                <w:color w:val="auto"/>
                <w:kern w:val="0"/>
                <w:sz w:val="24"/>
                <w:highlight w:val="none"/>
                <w:lang w:eastAsia="zh-CN" w:bidi="en-US"/>
              </w:rPr>
              <w:t>采购内容</w:t>
            </w:r>
          </w:p>
        </w:tc>
        <w:tc>
          <w:tcPr>
            <w:tcW w:w="6924" w:type="dxa"/>
            <w:noWrap w:val="0"/>
            <w:vAlign w:val="center"/>
          </w:tcPr>
          <w:p w14:paraId="61D59D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Cs/>
                <w:color w:val="auto"/>
                <w:kern w:val="0"/>
                <w:sz w:val="24"/>
                <w:highlight w:val="none"/>
                <w:lang w:val="en-US" w:bidi="en-US"/>
              </w:rPr>
            </w:pPr>
            <w:r>
              <w:rPr>
                <w:rFonts w:hint="default" w:ascii="宋体" w:hAnsi="宋体" w:eastAsia="宋体" w:cs="宋体"/>
                <w:bCs/>
                <w:color w:val="auto"/>
                <w:kern w:val="0"/>
                <w:sz w:val="24"/>
                <w:highlight w:val="none"/>
                <w:lang w:val="en-US" w:bidi="en-US"/>
              </w:rPr>
              <w:t>分拣设备（英豪镇）。具体采购需求详见招标文件。</w:t>
            </w:r>
          </w:p>
        </w:tc>
      </w:tr>
      <w:tr w14:paraId="7C3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95" w:type="dxa"/>
            <w:noWrap w:val="0"/>
            <w:vAlign w:val="center"/>
          </w:tcPr>
          <w:p w14:paraId="795574B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10</w:t>
            </w:r>
          </w:p>
        </w:tc>
        <w:tc>
          <w:tcPr>
            <w:tcW w:w="1864" w:type="dxa"/>
            <w:noWrap w:val="0"/>
            <w:vAlign w:val="center"/>
          </w:tcPr>
          <w:p w14:paraId="4E47F36C">
            <w:pPr>
              <w:spacing w:line="400" w:lineRule="exact"/>
              <w:jc w:val="center"/>
              <w:rPr>
                <w:rFonts w:hint="eastAsia" w:ascii="宋体" w:hAnsi="宋体" w:eastAsia="宋体" w:cs="宋体"/>
                <w:color w:val="auto"/>
                <w:sz w:val="24"/>
                <w:lang w:bidi="ar"/>
              </w:rPr>
            </w:pPr>
            <w:r>
              <w:rPr>
                <w:rFonts w:hint="eastAsia" w:ascii="宋体" w:hAnsi="宋体" w:eastAsia="宋体"/>
                <w:color w:val="auto"/>
                <w:sz w:val="24"/>
                <w:szCs w:val="28"/>
              </w:rPr>
              <w:t>质保期</w:t>
            </w:r>
          </w:p>
        </w:tc>
        <w:tc>
          <w:tcPr>
            <w:tcW w:w="6924" w:type="dxa"/>
            <w:noWrap w:val="0"/>
            <w:vAlign w:val="center"/>
          </w:tcPr>
          <w:p w14:paraId="7B8A8E8A">
            <w:pPr>
              <w:widowControl/>
              <w:spacing w:line="40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年</w:t>
            </w:r>
          </w:p>
        </w:tc>
      </w:tr>
      <w:tr w14:paraId="612B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95" w:type="dxa"/>
            <w:noWrap w:val="0"/>
            <w:vAlign w:val="center"/>
          </w:tcPr>
          <w:p w14:paraId="6090062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11</w:t>
            </w:r>
          </w:p>
        </w:tc>
        <w:tc>
          <w:tcPr>
            <w:tcW w:w="1864" w:type="dxa"/>
            <w:noWrap w:val="0"/>
            <w:vAlign w:val="center"/>
          </w:tcPr>
          <w:p w14:paraId="5BAB27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质量要求</w:t>
            </w:r>
          </w:p>
        </w:tc>
        <w:tc>
          <w:tcPr>
            <w:tcW w:w="6924" w:type="dxa"/>
            <w:noWrap w:val="0"/>
            <w:vAlign w:val="center"/>
          </w:tcPr>
          <w:p w14:paraId="6BF4A3E9">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lang w:eastAsia="zh-CN" w:bidi="ar"/>
              </w:rPr>
            </w:pPr>
            <w:r>
              <w:rPr>
                <w:rFonts w:hint="eastAsia" w:ascii="宋体" w:hAnsi="宋体" w:eastAsia="宋体"/>
                <w:color w:val="auto"/>
                <w:sz w:val="24"/>
                <w:szCs w:val="28"/>
              </w:rPr>
              <w:t>符合国家规定，达到正常运行条件</w:t>
            </w:r>
          </w:p>
        </w:tc>
      </w:tr>
      <w:tr w14:paraId="73B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95" w:type="dxa"/>
            <w:noWrap w:val="0"/>
            <w:vAlign w:val="center"/>
          </w:tcPr>
          <w:p w14:paraId="0551F7EF">
            <w:pPr>
              <w:spacing w:line="400" w:lineRule="exact"/>
              <w:jc w:val="center"/>
              <w:rPr>
                <w:rFonts w:hint="eastAsia" w:ascii="宋体" w:hAnsi="宋体" w:eastAsia="宋体" w:cs="宋体"/>
                <w:color w:val="auto"/>
                <w:sz w:val="24"/>
              </w:rPr>
            </w:pPr>
            <w:r>
              <w:rPr>
                <w:rFonts w:hint="eastAsia" w:ascii="宋体" w:hAnsi="宋体" w:eastAsia="宋体" w:cs="宋体"/>
                <w:bCs/>
                <w:color w:val="auto"/>
                <w:sz w:val="24"/>
              </w:rPr>
              <w:t>12</w:t>
            </w:r>
          </w:p>
        </w:tc>
        <w:tc>
          <w:tcPr>
            <w:tcW w:w="1864" w:type="dxa"/>
            <w:noWrap w:val="0"/>
            <w:vAlign w:val="center"/>
          </w:tcPr>
          <w:p w14:paraId="326B6EA8">
            <w:pPr>
              <w:spacing w:line="400" w:lineRule="exact"/>
              <w:jc w:val="center"/>
              <w:rPr>
                <w:rFonts w:hint="eastAsia" w:ascii="宋体" w:hAnsi="宋体" w:eastAsia="宋体" w:cs="宋体"/>
                <w:color w:val="auto"/>
                <w:sz w:val="24"/>
                <w:highlight w:val="yellow"/>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资格要求</w:t>
            </w:r>
          </w:p>
        </w:tc>
        <w:tc>
          <w:tcPr>
            <w:tcW w:w="6924" w:type="dxa"/>
            <w:noWrap w:val="0"/>
            <w:vAlign w:val="center"/>
          </w:tcPr>
          <w:p w14:paraId="7AB921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192A7F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461646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7DBA745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38FBD5B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6CA93C7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452F3C1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31B3505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220A76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07B68AF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08A0913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3.1供应商须具有</w:t>
            </w:r>
            <w:r>
              <w:rPr>
                <w:rFonts w:hint="eastAsia" w:ascii="宋体" w:hAnsi="宋体" w:eastAsia="宋体" w:cs="Times New Roman"/>
                <w:color w:val="auto"/>
                <w:sz w:val="24"/>
                <w:szCs w:val="24"/>
              </w:rPr>
              <w:t>有效的营业执照；</w:t>
            </w:r>
          </w:p>
          <w:p w14:paraId="50CB3D2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1F4B0E8F">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44F895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556EF5CB">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2848EA19">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2F71638A">
            <w:pPr>
              <w:keepNext w:val="0"/>
              <w:keepLines w:val="0"/>
              <w:pageBreakBefore w:val="0"/>
              <w:kinsoku/>
              <w:wordWrap/>
              <w:overflowPunct/>
              <w:topLinePunct w:val="0"/>
              <w:bidi w:val="0"/>
              <w:adjustRightInd w:val="0"/>
              <w:snapToGrid w:val="0"/>
              <w:spacing w:line="360" w:lineRule="auto"/>
              <w:jc w:val="left"/>
              <w:textAlignment w:val="auto"/>
              <w:rPr>
                <w:rFonts w:hint="eastAsia"/>
                <w:color w:val="auto"/>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tc>
      </w:tr>
      <w:tr w14:paraId="2AA5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noWrap w:val="0"/>
            <w:vAlign w:val="center"/>
          </w:tcPr>
          <w:p w14:paraId="14656E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13</w:t>
            </w:r>
          </w:p>
        </w:tc>
        <w:tc>
          <w:tcPr>
            <w:tcW w:w="1864" w:type="dxa"/>
            <w:noWrap w:val="0"/>
            <w:vAlign w:val="center"/>
          </w:tcPr>
          <w:p w14:paraId="01B5A84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踏勘现场</w:t>
            </w:r>
          </w:p>
        </w:tc>
        <w:tc>
          <w:tcPr>
            <w:tcW w:w="6924" w:type="dxa"/>
            <w:noWrap w:val="0"/>
            <w:vAlign w:val="center"/>
          </w:tcPr>
          <w:p w14:paraId="1BFF4EB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不组织</w:t>
            </w:r>
          </w:p>
        </w:tc>
      </w:tr>
      <w:tr w14:paraId="7427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5" w:type="dxa"/>
            <w:noWrap w:val="0"/>
            <w:vAlign w:val="center"/>
          </w:tcPr>
          <w:p w14:paraId="3C114F9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14</w:t>
            </w:r>
          </w:p>
        </w:tc>
        <w:tc>
          <w:tcPr>
            <w:tcW w:w="1864" w:type="dxa"/>
            <w:noWrap w:val="0"/>
            <w:vAlign w:val="center"/>
          </w:tcPr>
          <w:p w14:paraId="1651E485">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提出问题的截止时间</w:t>
            </w:r>
          </w:p>
        </w:tc>
        <w:tc>
          <w:tcPr>
            <w:tcW w:w="6924" w:type="dxa"/>
            <w:noWrap w:val="0"/>
            <w:vAlign w:val="center"/>
          </w:tcPr>
          <w:p w14:paraId="6CCC4F9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递交投标文件截止之日10天前</w:t>
            </w:r>
          </w:p>
        </w:tc>
      </w:tr>
      <w:tr w14:paraId="1135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95" w:type="dxa"/>
            <w:noWrap w:val="0"/>
            <w:vAlign w:val="center"/>
          </w:tcPr>
          <w:p w14:paraId="24ADA7B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15</w:t>
            </w:r>
          </w:p>
        </w:tc>
        <w:tc>
          <w:tcPr>
            <w:tcW w:w="1864" w:type="dxa"/>
            <w:noWrap w:val="0"/>
            <w:vAlign w:val="center"/>
          </w:tcPr>
          <w:p w14:paraId="702D238C">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采购人</w:t>
            </w:r>
            <w:r>
              <w:rPr>
                <w:rFonts w:hint="eastAsia" w:ascii="宋体" w:hAnsi="宋体" w:eastAsia="宋体" w:cs="宋体"/>
                <w:color w:val="auto"/>
                <w:sz w:val="24"/>
                <w:lang w:bidi="ar"/>
              </w:rPr>
              <w:t>澄清的时间</w:t>
            </w:r>
          </w:p>
        </w:tc>
        <w:tc>
          <w:tcPr>
            <w:tcW w:w="6924" w:type="dxa"/>
            <w:noWrap w:val="0"/>
            <w:vAlign w:val="center"/>
          </w:tcPr>
          <w:p w14:paraId="2CE33BF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递交投标文件截止之日15天前</w:t>
            </w:r>
          </w:p>
        </w:tc>
      </w:tr>
      <w:tr w14:paraId="330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95" w:type="dxa"/>
            <w:noWrap w:val="0"/>
            <w:vAlign w:val="center"/>
          </w:tcPr>
          <w:p w14:paraId="50609CB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16</w:t>
            </w:r>
          </w:p>
        </w:tc>
        <w:tc>
          <w:tcPr>
            <w:tcW w:w="1864" w:type="dxa"/>
            <w:noWrap w:val="0"/>
            <w:vAlign w:val="center"/>
          </w:tcPr>
          <w:p w14:paraId="2E79767D">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分包</w:t>
            </w:r>
          </w:p>
        </w:tc>
        <w:tc>
          <w:tcPr>
            <w:tcW w:w="6924" w:type="dxa"/>
            <w:noWrap w:val="0"/>
            <w:vAlign w:val="center"/>
          </w:tcPr>
          <w:p w14:paraId="57B6376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不允许</w:t>
            </w:r>
          </w:p>
        </w:tc>
      </w:tr>
      <w:tr w14:paraId="140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95" w:type="dxa"/>
            <w:noWrap w:val="0"/>
            <w:vAlign w:val="center"/>
          </w:tcPr>
          <w:p w14:paraId="0EFEADD4">
            <w:pPr>
              <w:spacing w:line="400" w:lineRule="exact"/>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17</w:t>
            </w:r>
          </w:p>
        </w:tc>
        <w:tc>
          <w:tcPr>
            <w:tcW w:w="1864" w:type="dxa"/>
            <w:noWrap w:val="0"/>
            <w:vAlign w:val="center"/>
          </w:tcPr>
          <w:p w14:paraId="2748D61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构成招标文件的其他材料</w:t>
            </w:r>
          </w:p>
        </w:tc>
        <w:tc>
          <w:tcPr>
            <w:tcW w:w="6924" w:type="dxa"/>
            <w:noWrap w:val="0"/>
            <w:vAlign w:val="center"/>
          </w:tcPr>
          <w:p w14:paraId="1B45FBBF">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招标文件的补充文件（如有）、澄清、招标答疑纪要、修改文件（如有）；</w:t>
            </w:r>
          </w:p>
        </w:tc>
      </w:tr>
      <w:tr w14:paraId="4BCC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5" w:type="dxa"/>
            <w:noWrap w:val="0"/>
            <w:vAlign w:val="center"/>
          </w:tcPr>
          <w:p w14:paraId="167975B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18</w:t>
            </w:r>
          </w:p>
        </w:tc>
        <w:tc>
          <w:tcPr>
            <w:tcW w:w="1864" w:type="dxa"/>
            <w:noWrap w:val="0"/>
            <w:vAlign w:val="center"/>
          </w:tcPr>
          <w:p w14:paraId="389C777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投标有效期</w:t>
            </w:r>
          </w:p>
        </w:tc>
        <w:tc>
          <w:tcPr>
            <w:tcW w:w="6924" w:type="dxa"/>
            <w:noWrap w:val="0"/>
            <w:vAlign w:val="center"/>
          </w:tcPr>
          <w:p w14:paraId="1812C1BF">
            <w:pPr>
              <w:spacing w:line="400" w:lineRule="exact"/>
              <w:rPr>
                <w:rFonts w:hint="eastAsia" w:ascii="宋体" w:hAnsi="宋体" w:eastAsia="宋体" w:cs="宋体"/>
                <w:color w:val="auto"/>
                <w:sz w:val="24"/>
                <w:highlight w:val="none"/>
                <w:lang w:bidi="ar"/>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5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95" w:type="dxa"/>
            <w:noWrap w:val="0"/>
            <w:vAlign w:val="center"/>
          </w:tcPr>
          <w:p w14:paraId="5D0CE68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19</w:t>
            </w:r>
          </w:p>
        </w:tc>
        <w:tc>
          <w:tcPr>
            <w:tcW w:w="1864" w:type="dxa"/>
            <w:noWrap w:val="0"/>
            <w:vAlign w:val="center"/>
          </w:tcPr>
          <w:p w14:paraId="391778DE">
            <w:pPr>
              <w:spacing w:line="400" w:lineRule="exact"/>
              <w:jc w:val="center"/>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投标保证金</w:t>
            </w:r>
            <w:r>
              <w:rPr>
                <w:rFonts w:hint="eastAsia" w:ascii="宋体" w:hAnsi="宋体" w:eastAsia="宋体" w:cs="宋体"/>
                <w:color w:val="auto"/>
                <w:sz w:val="24"/>
                <w:highlight w:val="none"/>
                <w:lang w:eastAsia="zh-CN" w:bidi="ar"/>
              </w:rPr>
              <w:t>及履约保证金</w:t>
            </w:r>
          </w:p>
        </w:tc>
        <w:tc>
          <w:tcPr>
            <w:tcW w:w="6924" w:type="dxa"/>
            <w:noWrap w:val="0"/>
            <w:vAlign w:val="center"/>
          </w:tcPr>
          <w:p w14:paraId="563039CA">
            <w:pPr>
              <w:spacing w:line="400" w:lineRule="exact"/>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rPr>
              <w:t>不收取</w:t>
            </w:r>
          </w:p>
        </w:tc>
      </w:tr>
      <w:tr w14:paraId="4849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5" w:type="dxa"/>
            <w:noWrap w:val="0"/>
            <w:vAlign w:val="center"/>
          </w:tcPr>
          <w:p w14:paraId="2F65637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20</w:t>
            </w:r>
          </w:p>
        </w:tc>
        <w:tc>
          <w:tcPr>
            <w:tcW w:w="1864" w:type="dxa"/>
            <w:noWrap w:val="0"/>
            <w:vAlign w:val="center"/>
          </w:tcPr>
          <w:p w14:paraId="0CBB2D2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签字或盖章要求</w:t>
            </w:r>
          </w:p>
        </w:tc>
        <w:tc>
          <w:tcPr>
            <w:tcW w:w="6924" w:type="dxa"/>
            <w:noWrap w:val="0"/>
            <w:vAlign w:val="center"/>
          </w:tcPr>
          <w:p w14:paraId="0ADCCED6">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招标文件规定的投标文件格式中所有签字盖章的地方必须按招标文件明示的方式签字或盖章</w:t>
            </w:r>
          </w:p>
        </w:tc>
      </w:tr>
      <w:tr w14:paraId="5B6D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5" w:type="dxa"/>
            <w:noWrap w:val="0"/>
            <w:vAlign w:val="center"/>
          </w:tcPr>
          <w:p w14:paraId="44B9B9E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21</w:t>
            </w:r>
          </w:p>
        </w:tc>
        <w:tc>
          <w:tcPr>
            <w:tcW w:w="1864" w:type="dxa"/>
            <w:noWrap w:val="0"/>
            <w:vAlign w:val="center"/>
          </w:tcPr>
          <w:p w14:paraId="4C78528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投标文件份数</w:t>
            </w:r>
          </w:p>
        </w:tc>
        <w:tc>
          <w:tcPr>
            <w:tcW w:w="6924" w:type="dxa"/>
            <w:noWrap w:val="0"/>
            <w:vAlign w:val="center"/>
          </w:tcPr>
          <w:p w14:paraId="7BD3DE03">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本项目为全流程电子化交易项目，</w:t>
            </w: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只需要递交电子投标标文件，不用再提供纸质投标文件；</w:t>
            </w:r>
          </w:p>
        </w:tc>
      </w:tr>
      <w:tr w14:paraId="4FAC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95" w:type="dxa"/>
            <w:noWrap w:val="0"/>
            <w:vAlign w:val="center"/>
          </w:tcPr>
          <w:p w14:paraId="376A71D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22</w:t>
            </w:r>
          </w:p>
        </w:tc>
        <w:tc>
          <w:tcPr>
            <w:tcW w:w="1864" w:type="dxa"/>
            <w:noWrap w:val="0"/>
            <w:vAlign w:val="center"/>
          </w:tcPr>
          <w:p w14:paraId="72CE092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投标截止时间</w:t>
            </w:r>
          </w:p>
        </w:tc>
        <w:tc>
          <w:tcPr>
            <w:tcW w:w="6924" w:type="dxa"/>
            <w:noWrap w:val="0"/>
            <w:vAlign w:val="center"/>
          </w:tcPr>
          <w:p w14:paraId="02EA3A19">
            <w:pPr>
              <w:spacing w:line="400" w:lineRule="exact"/>
              <w:jc w:val="both"/>
              <w:rPr>
                <w:rFonts w:hint="eastAsia" w:ascii="宋体" w:hAnsi="宋体" w:eastAsia="宋体" w:cs="宋体"/>
                <w:color w:val="auto"/>
                <w:sz w:val="24"/>
                <w:lang w:bidi="ar"/>
              </w:rPr>
            </w:pP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tc>
      </w:tr>
      <w:tr w14:paraId="4B1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748FF2F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23</w:t>
            </w:r>
          </w:p>
        </w:tc>
        <w:tc>
          <w:tcPr>
            <w:tcW w:w="1864" w:type="dxa"/>
            <w:noWrap w:val="0"/>
            <w:vAlign w:val="center"/>
          </w:tcPr>
          <w:p w14:paraId="619CBEB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开标时间和地点</w:t>
            </w:r>
          </w:p>
        </w:tc>
        <w:tc>
          <w:tcPr>
            <w:tcW w:w="6924" w:type="dxa"/>
            <w:noWrap w:val="0"/>
            <w:vAlign w:val="center"/>
          </w:tcPr>
          <w:p w14:paraId="520DBFA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开标时间：</w:t>
            </w: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p w14:paraId="29D8530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开标地点：</w:t>
            </w:r>
            <w:r>
              <w:rPr>
                <w:rFonts w:hint="eastAsia" w:ascii="宋体" w:hAnsi="宋体" w:eastAsia="宋体" w:cs="宋体"/>
                <w:color w:val="auto"/>
                <w:sz w:val="24"/>
                <w:lang w:val="en-US" w:eastAsia="zh-CN" w:bidi="ar"/>
              </w:rPr>
              <w:t>渑池县公共资源交易中心六楼开标区</w:t>
            </w:r>
          </w:p>
        </w:tc>
      </w:tr>
      <w:tr w14:paraId="68DB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5" w:type="dxa"/>
            <w:noWrap w:val="0"/>
            <w:vAlign w:val="center"/>
          </w:tcPr>
          <w:p w14:paraId="109D803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24</w:t>
            </w:r>
          </w:p>
        </w:tc>
        <w:tc>
          <w:tcPr>
            <w:tcW w:w="1864" w:type="dxa"/>
            <w:noWrap w:val="0"/>
            <w:vAlign w:val="center"/>
          </w:tcPr>
          <w:p w14:paraId="7D99D6F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是否退还投标文件</w:t>
            </w:r>
          </w:p>
        </w:tc>
        <w:tc>
          <w:tcPr>
            <w:tcW w:w="6924" w:type="dxa"/>
            <w:noWrap w:val="0"/>
            <w:vAlign w:val="center"/>
          </w:tcPr>
          <w:p w14:paraId="0DEAF07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w:t>
            </w:r>
          </w:p>
        </w:tc>
      </w:tr>
      <w:tr w14:paraId="270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3E7C748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25</w:t>
            </w:r>
          </w:p>
        </w:tc>
        <w:tc>
          <w:tcPr>
            <w:tcW w:w="1864" w:type="dxa"/>
            <w:noWrap w:val="0"/>
            <w:vAlign w:val="center"/>
          </w:tcPr>
          <w:p w14:paraId="7631503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评标委员会的组建</w:t>
            </w:r>
          </w:p>
        </w:tc>
        <w:tc>
          <w:tcPr>
            <w:tcW w:w="6924" w:type="dxa"/>
            <w:noWrap w:val="0"/>
            <w:vAlign w:val="center"/>
          </w:tcPr>
          <w:p w14:paraId="7D3E7038">
            <w:pPr>
              <w:spacing w:line="480" w:lineRule="auto"/>
              <w:jc w:val="left"/>
              <w:rPr>
                <w:rFonts w:hint="eastAsia" w:ascii="宋体" w:hAnsi="宋体" w:eastAsia="宋体" w:cs="宋体"/>
                <w:color w:val="auto"/>
                <w:kern w:val="0"/>
              </w:rPr>
            </w:pPr>
            <w:r>
              <w:rPr>
                <w:rFonts w:hint="eastAsia" w:ascii="宋体" w:hAnsi="宋体" w:eastAsia="宋体" w:cs="宋体"/>
                <w:color w:val="auto"/>
                <w:sz w:val="24"/>
                <w:lang w:bidi="ar"/>
              </w:rPr>
              <w:t>从相关评标专家库随机抽取经济、技术方面专家</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人，业主代表</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人，共</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bidi="ar"/>
              </w:rPr>
              <w:t>人组成。</w:t>
            </w:r>
          </w:p>
        </w:tc>
      </w:tr>
      <w:tr w14:paraId="36D1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95" w:type="dxa"/>
            <w:noWrap w:val="0"/>
            <w:vAlign w:val="center"/>
          </w:tcPr>
          <w:p w14:paraId="3CA86BE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26</w:t>
            </w:r>
          </w:p>
        </w:tc>
        <w:tc>
          <w:tcPr>
            <w:tcW w:w="1864" w:type="dxa"/>
            <w:noWrap w:val="0"/>
            <w:vAlign w:val="center"/>
          </w:tcPr>
          <w:p w14:paraId="006F2F7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是否授权评标委员会确定中标人</w:t>
            </w:r>
          </w:p>
        </w:tc>
        <w:tc>
          <w:tcPr>
            <w:tcW w:w="6924" w:type="dxa"/>
            <w:noWrap w:val="0"/>
            <w:vAlign w:val="center"/>
          </w:tcPr>
          <w:p w14:paraId="281AFDF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否，推荐的中标候选人数：</w:t>
            </w:r>
            <w:r>
              <w:rPr>
                <w:rFonts w:hint="eastAsia" w:ascii="宋体" w:hAnsi="宋体" w:eastAsia="宋体" w:cs="宋体"/>
                <w:color w:val="auto"/>
                <w:sz w:val="24"/>
                <w:lang w:val="en-US" w:eastAsia="zh-CN" w:bidi="ar"/>
              </w:rPr>
              <w:t>1-</w:t>
            </w:r>
            <w:r>
              <w:rPr>
                <w:rFonts w:hint="eastAsia" w:ascii="宋体" w:hAnsi="宋体" w:eastAsia="宋体" w:cs="宋体"/>
                <w:color w:val="auto"/>
                <w:sz w:val="24"/>
                <w:lang w:bidi="ar"/>
              </w:rPr>
              <w:t>3名</w:t>
            </w:r>
          </w:p>
        </w:tc>
      </w:tr>
      <w:tr w14:paraId="58C2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BD66728">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7</w:t>
            </w:r>
          </w:p>
        </w:tc>
        <w:tc>
          <w:tcPr>
            <w:tcW w:w="8788" w:type="dxa"/>
            <w:gridSpan w:val="2"/>
            <w:noWrap w:val="0"/>
            <w:vAlign w:val="center"/>
          </w:tcPr>
          <w:p w14:paraId="29C7098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r>
      <w:tr w14:paraId="5A80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5" w:type="dxa"/>
            <w:noWrap w:val="0"/>
            <w:vAlign w:val="center"/>
          </w:tcPr>
          <w:p w14:paraId="2995EE77">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8</w:t>
            </w:r>
          </w:p>
        </w:tc>
        <w:tc>
          <w:tcPr>
            <w:tcW w:w="1864" w:type="dxa"/>
            <w:noWrap w:val="0"/>
            <w:vAlign w:val="center"/>
          </w:tcPr>
          <w:p w14:paraId="10695E3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采购代理服务费</w:t>
            </w:r>
          </w:p>
        </w:tc>
        <w:tc>
          <w:tcPr>
            <w:tcW w:w="6924" w:type="dxa"/>
            <w:noWrap w:val="0"/>
            <w:vAlign w:val="center"/>
          </w:tcPr>
          <w:p w14:paraId="10194788">
            <w:pPr>
              <w:spacing w:line="400" w:lineRule="exact"/>
              <w:rPr>
                <w:rFonts w:hint="eastAsia" w:ascii="宋体" w:hAnsi="宋体" w:eastAsia="宋体" w:cs="宋体"/>
                <w:color w:val="auto"/>
                <w:sz w:val="24"/>
                <w:lang w:bidi="ar"/>
              </w:rPr>
            </w:pPr>
            <w:r>
              <w:rPr>
                <w:rFonts w:hint="eastAsia" w:ascii="宋体" w:hAnsi="宋体" w:eastAsia="宋体" w:cs="Times New Roman"/>
                <w:color w:val="auto"/>
                <w:sz w:val="24"/>
                <w:szCs w:val="24"/>
              </w:rPr>
              <w:t>招标代理服务收费参照豫招协[2023]002号河南省招标投标协会关于印发《河南</w:t>
            </w:r>
            <w:r>
              <w:rPr>
                <w:rFonts w:hint="eastAsia" w:ascii="宋体" w:hAnsi="宋体" w:eastAsia="宋体" w:cs="Times New Roman"/>
                <w:color w:val="auto"/>
                <w:sz w:val="24"/>
                <w:szCs w:val="24"/>
                <w:highlight w:val="none"/>
              </w:rPr>
              <w:t>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由中标人支付。</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p>
        </w:tc>
      </w:tr>
      <w:tr w14:paraId="2C65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095" w:type="dxa"/>
            <w:noWrap w:val="0"/>
            <w:vAlign w:val="center"/>
          </w:tcPr>
          <w:p w14:paraId="51E09F38">
            <w:pPr>
              <w:spacing w:line="400" w:lineRule="exact"/>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29</w:t>
            </w:r>
          </w:p>
        </w:tc>
        <w:tc>
          <w:tcPr>
            <w:tcW w:w="1864" w:type="dxa"/>
            <w:noWrap w:val="0"/>
            <w:vAlign w:val="center"/>
          </w:tcPr>
          <w:p w14:paraId="07D87EE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w:t>
            </w:r>
          </w:p>
        </w:tc>
        <w:tc>
          <w:tcPr>
            <w:tcW w:w="6924" w:type="dxa"/>
            <w:noWrap w:val="0"/>
            <w:vAlign w:val="center"/>
          </w:tcPr>
          <w:p w14:paraId="22E05AF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公告将在招标公告发布的同一媒介发布</w:t>
            </w:r>
          </w:p>
        </w:tc>
      </w:tr>
      <w:tr w14:paraId="718F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95" w:type="dxa"/>
            <w:noWrap w:val="0"/>
            <w:vAlign w:val="center"/>
          </w:tcPr>
          <w:p w14:paraId="1F3C8053">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0</w:t>
            </w:r>
          </w:p>
        </w:tc>
        <w:tc>
          <w:tcPr>
            <w:tcW w:w="1864" w:type="dxa"/>
            <w:noWrap w:val="0"/>
            <w:vAlign w:val="center"/>
          </w:tcPr>
          <w:p w14:paraId="6EAE37F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资料存档</w:t>
            </w:r>
          </w:p>
        </w:tc>
        <w:tc>
          <w:tcPr>
            <w:tcW w:w="6924" w:type="dxa"/>
            <w:noWrap w:val="0"/>
            <w:vAlign w:val="center"/>
          </w:tcPr>
          <w:p w14:paraId="4EAE83B2">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为便于资料存档，中</w:t>
            </w:r>
            <w:r>
              <w:rPr>
                <w:rFonts w:hint="eastAsia" w:ascii="宋体" w:hAnsi="宋体" w:eastAsia="宋体" w:cs="宋体"/>
                <w:color w:val="auto"/>
                <w:sz w:val="24"/>
                <w:lang w:eastAsia="zh-CN" w:bidi="ar"/>
              </w:rPr>
              <w:t>标人</w:t>
            </w:r>
            <w:r>
              <w:rPr>
                <w:rFonts w:hint="eastAsia" w:ascii="宋体" w:hAnsi="宋体" w:eastAsia="宋体" w:cs="宋体"/>
                <w:color w:val="auto"/>
                <w:sz w:val="24"/>
                <w:lang w:bidi="ar"/>
              </w:rPr>
              <w:t>在领取</w:t>
            </w:r>
            <w:r>
              <w:rPr>
                <w:rFonts w:hint="eastAsia" w:ascii="宋体" w:hAnsi="宋体" w:eastAsia="宋体" w:cs="宋体"/>
                <w:color w:val="auto"/>
                <w:sz w:val="24"/>
                <w:lang w:eastAsia="zh-CN" w:bidi="ar"/>
              </w:rPr>
              <w:t>中标</w:t>
            </w:r>
            <w:r>
              <w:rPr>
                <w:rFonts w:hint="eastAsia" w:ascii="宋体" w:hAnsi="宋体" w:eastAsia="宋体" w:cs="宋体"/>
                <w:color w:val="auto"/>
                <w:sz w:val="24"/>
                <w:lang w:bidi="ar"/>
              </w:rPr>
              <w:t>通知书时，需提供投标文件纸质版一正，未加密的电子投标文件 1 份（U 盘介质），纸质版内容及未加密电子投标文件内容必须与</w:t>
            </w:r>
            <w:r>
              <w:rPr>
                <w:rFonts w:hint="eastAsia" w:ascii="宋体" w:hAnsi="宋体" w:eastAsia="宋体" w:cs="宋体"/>
                <w:color w:val="auto"/>
                <w:sz w:val="24"/>
                <w:lang w:eastAsia="zh-CN" w:bidi="ar"/>
              </w:rPr>
              <w:t>三门峡市</w:t>
            </w:r>
            <w:r>
              <w:rPr>
                <w:rFonts w:hint="eastAsia" w:ascii="宋体" w:hAnsi="宋体" w:eastAsia="宋体" w:cs="宋体"/>
                <w:color w:val="auto"/>
                <w:sz w:val="24"/>
                <w:lang w:bidi="ar"/>
              </w:rPr>
              <w:t>公共资源交易中心系统上传内容一致。</w:t>
            </w:r>
          </w:p>
        </w:tc>
      </w:tr>
      <w:tr w14:paraId="3B5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10D2BB9E">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1</w:t>
            </w:r>
          </w:p>
        </w:tc>
        <w:tc>
          <w:tcPr>
            <w:tcW w:w="1864" w:type="dxa"/>
            <w:noWrap w:val="0"/>
            <w:vAlign w:val="center"/>
          </w:tcPr>
          <w:p w14:paraId="5414060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c>
          <w:tcPr>
            <w:tcW w:w="6924" w:type="dxa"/>
            <w:noWrap w:val="0"/>
            <w:vAlign w:val="center"/>
          </w:tcPr>
          <w:p w14:paraId="0E13085F">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本项目招</w:t>
            </w:r>
            <w:r>
              <w:rPr>
                <w:rFonts w:hint="eastAsia" w:ascii="宋体" w:hAnsi="宋体" w:eastAsia="宋体" w:cs="宋体"/>
                <w:color w:val="auto"/>
                <w:sz w:val="24"/>
                <w:highlight w:val="none"/>
              </w:rPr>
              <w:t>标控制价：</w:t>
            </w:r>
            <w:r>
              <w:rPr>
                <w:rFonts w:hint="eastAsia" w:ascii="宋体" w:hAnsi="宋体" w:eastAsia="宋体" w:cs="宋体"/>
                <w:color w:val="auto"/>
                <w:sz w:val="24"/>
                <w:highlight w:val="none"/>
                <w:lang w:val="en-US" w:eastAsia="zh-CN"/>
              </w:rPr>
              <w:t>大写：肆佰捌拾万元整</w:t>
            </w:r>
          </w:p>
          <w:p w14:paraId="54CA18CE">
            <w:pPr>
              <w:spacing w:line="400" w:lineRule="exact"/>
              <w:ind w:firstLine="2160" w:firstLineChars="9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小写：</w:t>
            </w:r>
            <w:r>
              <w:rPr>
                <w:rFonts w:hint="eastAsia" w:ascii="宋体" w:hAnsi="宋体" w:eastAsia="宋体" w:cs="宋体"/>
                <w:color w:val="auto"/>
                <w:sz w:val="24"/>
                <w:highlight w:val="none"/>
              </w:rPr>
              <w:t>480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p w14:paraId="2576CB36">
            <w:pPr>
              <w:pStyle w:val="15"/>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highlight w:val="none"/>
                <w:lang w:val="en-US" w:eastAsia="zh-CN"/>
              </w:rPr>
              <w:t>投标报价高于最高限价的，投标将被否决。</w:t>
            </w:r>
          </w:p>
        </w:tc>
      </w:tr>
      <w:tr w14:paraId="290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0A5943B4">
            <w:pPr>
              <w:spacing w:line="400" w:lineRule="exact"/>
              <w:jc w:val="center"/>
              <w:rPr>
                <w:rFonts w:hint="default" w:eastAsia="宋体"/>
                <w:color w:val="auto"/>
                <w:lang w:val="en-US" w:eastAsia="zh-CN"/>
              </w:rPr>
            </w:pPr>
            <w:bookmarkStart w:id="7" w:name="_Toc324426325"/>
            <w:bookmarkStart w:id="8" w:name="_Toc322792546"/>
            <w:bookmarkStart w:id="9" w:name="_Toc358045599"/>
            <w:bookmarkStart w:id="10" w:name="_Toc322791368"/>
            <w:bookmarkStart w:id="11" w:name="_Toc322792288"/>
            <w:bookmarkStart w:id="12" w:name="_Toc404096914"/>
            <w:r>
              <w:rPr>
                <w:rFonts w:hint="eastAsia" w:ascii="宋体" w:hAnsi="宋体" w:eastAsia="宋体" w:cs="宋体"/>
                <w:color w:val="auto"/>
                <w:sz w:val="24"/>
                <w:lang w:val="en-US" w:eastAsia="zh-CN" w:bidi="ar"/>
              </w:rPr>
              <w:t>33</w:t>
            </w:r>
          </w:p>
        </w:tc>
        <w:tc>
          <w:tcPr>
            <w:tcW w:w="1864" w:type="dxa"/>
            <w:noWrap w:val="0"/>
            <w:vAlign w:val="center"/>
          </w:tcPr>
          <w:p w14:paraId="6A0054D1">
            <w:pPr>
              <w:widowControl/>
              <w:spacing w:line="460" w:lineRule="exac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其他</w:t>
            </w:r>
          </w:p>
        </w:tc>
        <w:tc>
          <w:tcPr>
            <w:tcW w:w="6924" w:type="dxa"/>
            <w:noWrap w:val="0"/>
            <w:vAlign w:val="center"/>
          </w:tcPr>
          <w:p w14:paraId="63EBC509">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w:t>
            </w:r>
            <w:r>
              <w:rPr>
                <w:rFonts w:hint="eastAsia" w:ascii="宋体" w:hAnsi="宋体" w:cs="宋体"/>
                <w:color w:val="auto"/>
                <w:kern w:val="0"/>
                <w:sz w:val="24"/>
                <w:szCs w:val="24"/>
                <w:lang w:val="en-US" w:eastAsia="zh-CN"/>
              </w:rPr>
              <w:t>采购</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）严格按三财购【2021】9号文要求的时限发布中标结果公告，发出中标（成交）通知书，签订采购合同，上传采购合同。</w:t>
            </w:r>
          </w:p>
          <w:p w14:paraId="207B7B36">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.本项目实行资格后审，根据优化营商环境的要求，评标时审查内容以投标（响应）文件为准：</w:t>
            </w:r>
          </w:p>
          <w:p w14:paraId="62C2C35B">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资格评（预）审部分：资格评（预）以投标（响应）文件为准，其上传资料真实性由</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自行承担，同时，</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要完善主体库。</w:t>
            </w:r>
          </w:p>
          <w:p w14:paraId="3FA493A5">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评标打分部分：评标打分部分仍按照100分制原则进行，涉及到计分部分时，以</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自行上传到投标（响应）文件中的相应内容为准。</w:t>
            </w:r>
          </w:p>
          <w:p w14:paraId="7C4B9969">
            <w:pPr>
              <w:widowControl/>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5.投标（</w:t>
            </w:r>
            <w:r>
              <w:rPr>
                <w:rFonts w:hint="eastAsia" w:ascii="宋体" w:hAnsi="宋体" w:eastAsia="宋体" w:cs="Times New Roman"/>
                <w:color w:val="auto"/>
                <w:sz w:val="24"/>
                <w:szCs w:val="24"/>
                <w:highlight w:val="none"/>
              </w:rPr>
              <w:t>响应</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文件编制部分：在招标文件中要求</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按照投标（响应）文件格式进行投标文件编制，在投标文件编制时，应明确将投标单位企业基本情况编入投标文件，便于进行资格审查及评标打分。</w:t>
            </w:r>
          </w:p>
        </w:tc>
      </w:tr>
      <w:tr w14:paraId="053A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3792603F">
            <w:pPr>
              <w:pStyle w:val="3"/>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
              </w:rPr>
              <w:t>34</w:t>
            </w:r>
          </w:p>
        </w:tc>
        <w:tc>
          <w:tcPr>
            <w:tcW w:w="1864" w:type="dxa"/>
            <w:noWrap w:val="0"/>
            <w:vAlign w:val="center"/>
          </w:tcPr>
          <w:p w14:paraId="75492ACF">
            <w:pPr>
              <w:widowControl/>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电子化交易</w:t>
            </w:r>
          </w:p>
          <w:p w14:paraId="3BB44E27">
            <w:pPr>
              <w:spacing w:line="400" w:lineRule="exact"/>
              <w:rPr>
                <w:rFonts w:hint="eastAsia" w:ascii="宋体" w:hAnsi="宋体" w:eastAsia="宋体" w:cs="Times New Roman"/>
                <w:color w:val="auto"/>
                <w:sz w:val="24"/>
                <w:szCs w:val="24"/>
              </w:rPr>
            </w:pPr>
            <w:r>
              <w:rPr>
                <w:rFonts w:hint="eastAsia" w:ascii="宋体" w:hAnsi="宋体" w:eastAsia="宋体" w:cs="Times New Roman"/>
                <w:color w:val="auto"/>
                <w:kern w:val="0"/>
                <w:sz w:val="24"/>
                <w:szCs w:val="24"/>
              </w:rPr>
              <w:t>注意事项</w:t>
            </w:r>
          </w:p>
        </w:tc>
        <w:tc>
          <w:tcPr>
            <w:tcW w:w="6924" w:type="dxa"/>
            <w:noWrap w:val="0"/>
            <w:vAlign w:val="center"/>
          </w:tcPr>
          <w:p w14:paraId="252736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具体要求：本项目为电子化、无纸化交易项目，</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制作系统制作，并经过签章和加密后生成的电子版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w:t>
            </w:r>
          </w:p>
          <w:p w14:paraId="346B47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具体制作文件请点击http://gzjy.smx.gov.cn/fwzn/004003/20200330/0de4b849-7eb7-4f4e-9a30-ae8b6a961d7f.html进行下载。</w:t>
            </w:r>
          </w:p>
          <w:p w14:paraId="6EFC2B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温馨提示：本项目为电子化、无纸化交易项目，为保证您能投标成功，请需仔细阅读以下条款。</w:t>
            </w:r>
          </w:p>
          <w:p w14:paraId="42E4BB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b/>
                <w:color w:val="auto"/>
                <w:sz w:val="24"/>
                <w:szCs w:val="21"/>
              </w:rPr>
              <w:t>一、电子化投标</w:t>
            </w:r>
          </w:p>
          <w:p w14:paraId="3F65E3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（一）网上</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保证金的缴纳</w:t>
            </w:r>
          </w:p>
          <w:p w14:paraId="129371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Times New Roman"/>
                <w:color w:val="auto"/>
                <w:sz w:val="24"/>
                <w:szCs w:val="24"/>
              </w:rPr>
              <w:t>根据《河南省财政厅关于优化政府采购营商环境有关问题的通知》（豫财购【2019】4号）第6条的规定，</w:t>
            </w:r>
            <w:r>
              <w:rPr>
                <w:rFonts w:hint="eastAsia" w:ascii="宋体" w:hAnsi="宋体" w:cs="Times New Roman"/>
                <w:color w:val="auto"/>
                <w:sz w:val="24"/>
                <w:szCs w:val="24"/>
                <w:lang w:val="en-US" w:eastAsia="zh-CN"/>
              </w:rPr>
              <w:t>投标</w:t>
            </w:r>
            <w:r>
              <w:rPr>
                <w:rFonts w:hint="eastAsia" w:ascii="宋体" w:hAnsi="宋体" w:eastAsia="宋体" w:cs="Times New Roman"/>
                <w:color w:val="auto"/>
                <w:sz w:val="24"/>
                <w:szCs w:val="24"/>
              </w:rPr>
              <w:t>保证金不再收取</w:t>
            </w:r>
            <w:r>
              <w:rPr>
                <w:rFonts w:hint="eastAsia" w:ascii="宋体" w:hAnsi="宋体" w:eastAsia="宋体" w:cs="宋体"/>
                <w:color w:val="auto"/>
                <w:sz w:val="24"/>
                <w:szCs w:val="21"/>
              </w:rPr>
              <w:t>。</w:t>
            </w:r>
          </w:p>
          <w:p w14:paraId="39F6F4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（二）电子化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的签章</w:t>
            </w:r>
          </w:p>
          <w:p w14:paraId="73FA16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在生成电子化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后，应对电子化</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响应</w:t>
            </w:r>
            <w:r>
              <w:rPr>
                <w:rFonts w:hint="eastAsia" w:ascii="宋体" w:hAnsi="宋体" w:cs="宋体"/>
                <w:color w:val="auto"/>
                <w:sz w:val="24"/>
                <w:szCs w:val="21"/>
                <w:lang w:val="en-US" w:eastAsia="zh-CN"/>
              </w:rPr>
              <w:t>）</w:t>
            </w:r>
            <w:r>
              <w:rPr>
                <w:rFonts w:hint="eastAsia" w:ascii="宋体" w:hAnsi="宋体" w:eastAsia="宋体" w:cs="宋体"/>
                <w:color w:val="auto"/>
                <w:sz w:val="24"/>
                <w:szCs w:val="21"/>
              </w:rPr>
              <w:t>文件进行签章，未进行签章的视为无效投标。</w:t>
            </w:r>
          </w:p>
          <w:p w14:paraId="701DA2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cs="宋体"/>
                <w:b/>
                <w:color w:val="auto"/>
                <w:sz w:val="24"/>
                <w:szCs w:val="21"/>
                <w:lang w:eastAsia="zh-CN"/>
              </w:rPr>
              <w:t>招标文件</w:t>
            </w:r>
            <w:r>
              <w:rPr>
                <w:rFonts w:hint="eastAsia" w:ascii="宋体" w:hAnsi="宋体" w:eastAsia="宋体" w:cs="宋体"/>
                <w:b/>
                <w:color w:val="auto"/>
                <w:sz w:val="24"/>
                <w:szCs w:val="21"/>
              </w:rPr>
              <w:t>中要求</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盖章的，以签盖单位章为准；要求法定代表人或授权代理人签章的，以签盖法定代表人签章为准</w:t>
            </w:r>
            <w:r>
              <w:rPr>
                <w:rFonts w:hint="eastAsia" w:ascii="宋体" w:hAnsi="宋体" w:eastAsia="宋体" w:cs="宋体"/>
                <w:color w:val="auto"/>
                <w:sz w:val="24"/>
                <w:szCs w:val="21"/>
              </w:rPr>
              <w:t>。</w:t>
            </w:r>
          </w:p>
          <w:p w14:paraId="7D9D3B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（三）电子化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的格式及上传投标</w:t>
            </w:r>
          </w:p>
          <w:p w14:paraId="21C134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所上传的电子化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，应是通过中心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制作系统制作的，经过签章和加密后生成的电子版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。其中包含用于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上传的主文件（后缀为.smxtf）和用于应急补救的</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备份文件（后缀为.nsmxtf）。</w:t>
            </w:r>
          </w:p>
          <w:p w14:paraId="7D8502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应在投标截止时间前成功上传至三门峡市公共资源电子化交易系统。至投标截止时间止，仍未上传成功的电子化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w:t>
            </w:r>
          </w:p>
          <w:p w14:paraId="48EBED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如按照电子化投标操作教材制作完成的电子化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无法上传的，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应在</w:t>
            </w:r>
            <w:r>
              <w:rPr>
                <w:rFonts w:hint="eastAsia" w:ascii="宋体" w:hAnsi="宋体" w:eastAsia="宋体" w:cs="宋体"/>
                <w:b/>
                <w:color w:val="auto"/>
                <w:sz w:val="24"/>
                <w:szCs w:val="21"/>
              </w:rPr>
              <w:t>投标截止时间前尽早的</w:t>
            </w:r>
            <w:r>
              <w:rPr>
                <w:rFonts w:hint="eastAsia" w:ascii="宋体" w:hAnsi="宋体" w:eastAsia="宋体" w:cs="宋体"/>
                <w:color w:val="auto"/>
                <w:sz w:val="24"/>
                <w:szCs w:val="21"/>
              </w:rPr>
              <w:t>联系中心技术人员，以便有充分的时间进行处理。</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应充分考虑到处理技术问题和上传数据等工作所需的时间问题，</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未在投标截止时间前成功上传的，其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w:t>
            </w:r>
          </w:p>
          <w:p w14:paraId="7729BD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（四）电子化项目开标、解密、唱标、评标</w:t>
            </w:r>
          </w:p>
          <w:p w14:paraId="7BFC14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1、本项目采用</w:t>
            </w:r>
            <w:r>
              <w:rPr>
                <w:rFonts w:hint="eastAsia" w:ascii="宋体" w:hAnsi="宋体" w:eastAsia="宋体" w:cs="宋体"/>
                <w:b/>
                <w:color w:val="auto"/>
                <w:sz w:val="24"/>
                <w:szCs w:val="21"/>
              </w:rPr>
              <w:t>电子化、无纸化</w:t>
            </w:r>
            <w:r>
              <w:rPr>
                <w:rFonts w:hint="eastAsia" w:ascii="宋体" w:hAnsi="宋体" w:eastAsia="宋体" w:cs="宋体"/>
                <w:color w:val="auto"/>
                <w:sz w:val="24"/>
                <w:szCs w:val="21"/>
              </w:rPr>
              <w:t>进行招标，开标当日，</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无需到开标现场参加开标会议，</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应当在投标截止时间前，登陆不见面开标大厅选择登陆三门峡市公共资源电子招投标系统进行登陆,在线准时参加开标活动并进行</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解密等</w:t>
            </w:r>
          </w:p>
          <w:p w14:paraId="042810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采用一次加密方式。开标时，由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使用CA 证书，在规定时间内对其电子化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进行解密。每位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的解密时间为开标时间起30 分钟内，如在规定时间内未完成解密的，其</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不予开标、唱标。</w:t>
            </w:r>
          </w:p>
          <w:p w14:paraId="41CBF6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3、电子化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解密异常的处理</w:t>
            </w:r>
          </w:p>
          <w:p w14:paraId="78AB79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如出现</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的电子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无法解密等异常情况，</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应及时致电中介服务机构说明。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异常，按以下步骤进行处理：</w:t>
            </w:r>
          </w:p>
          <w:p w14:paraId="352D24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（1）首先由技术人员进行问题排查。</w:t>
            </w:r>
          </w:p>
          <w:p w14:paraId="70C00E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（2）经技术人员排查后，是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文件自身问题导致</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无法解密的，该</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将不予接收、解密和唱标。开标会议继续进行。</w:t>
            </w:r>
          </w:p>
          <w:p w14:paraId="5CA47D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（3）经技术人员排查后，如果是电子化交易系统问题造成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无法解密的，将由技术人员对问题进行处理。如短时间内问题无法解决的，将由中介服务机构向监督部门申请，经监督部门同意后，暂停开标会议，待问题解决后继续开标。</w:t>
            </w:r>
          </w:p>
          <w:p w14:paraId="5904D2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4、待所有</w:t>
            </w:r>
            <w:r>
              <w:rPr>
                <w:rFonts w:hint="eastAsia" w:ascii="宋体" w:hAnsi="宋体" w:cs="宋体"/>
                <w:color w:val="auto"/>
                <w:sz w:val="24"/>
                <w:szCs w:val="21"/>
                <w:lang w:eastAsia="zh-CN"/>
              </w:rPr>
              <w:t>投标人（供应商）投标文件</w:t>
            </w:r>
            <w:r>
              <w:rPr>
                <w:rFonts w:hint="eastAsia" w:ascii="宋体" w:hAnsi="宋体" w:eastAsia="宋体" w:cs="宋体"/>
                <w:color w:val="auto"/>
                <w:sz w:val="24"/>
                <w:szCs w:val="21"/>
              </w:rPr>
              <w:t>解密完成后，由中介服务机构操作，对所有已解密</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进行唱标。</w:t>
            </w:r>
          </w:p>
          <w:p w14:paraId="188246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应保证在开标期间电话、电脑、网络能够正常工作，</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因停电、电脑病毒、网络堵塞等原因，未在规定的解密时间内对</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进行解密的，其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不予接收、唱标。</w:t>
            </w:r>
          </w:p>
          <w:p w14:paraId="1DBAE3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5</w:t>
            </w:r>
            <w:r>
              <w:rPr>
                <w:rFonts w:hint="eastAsia" w:ascii="宋体" w:hAnsi="宋体" w:eastAsia="宋体" w:cs="宋体"/>
                <w:color w:val="auto"/>
                <w:sz w:val="24"/>
                <w:szCs w:val="21"/>
              </w:rPr>
              <w:t>、评标时，评标委员会对电子化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有质疑的，将通过电子化交易系统对</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发起质疑，并在监督人员的监督下，用免提模式致电需要答复的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对质疑进行回复。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的回复文件必须以经过</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和其法定代表人签章的PDF格式文件为准，并通过电子化交易系统提交至评标委员会。</w:t>
            </w:r>
          </w:p>
          <w:p w14:paraId="2A3435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6</w:t>
            </w:r>
            <w:r>
              <w:rPr>
                <w:rFonts w:hint="eastAsia" w:ascii="宋体" w:hAnsi="宋体" w:eastAsia="宋体" w:cs="宋体"/>
                <w:color w:val="auto"/>
                <w:sz w:val="24"/>
                <w:szCs w:val="21"/>
              </w:rPr>
              <w:t>、如评标委员会对需要回复的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连续三次致电未接通的，视为</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放弃回复，评标委员会将自行对需要回复的内容进行认定。</w:t>
            </w:r>
          </w:p>
          <w:p w14:paraId="3B1BC7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bCs/>
                <w:color w:val="auto"/>
                <w:sz w:val="24"/>
                <w:szCs w:val="21"/>
              </w:rPr>
            </w:pPr>
            <w:r>
              <w:rPr>
                <w:rFonts w:hint="eastAsia" w:ascii="宋体" w:hAnsi="宋体" w:eastAsia="宋体" w:cs="宋体"/>
                <w:b/>
                <w:bCs/>
                <w:color w:val="auto"/>
                <w:sz w:val="24"/>
                <w:szCs w:val="21"/>
              </w:rPr>
              <w:t>二、相关证书原件的提交</w:t>
            </w:r>
          </w:p>
          <w:p w14:paraId="3E67ED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本项目实行资格后审，以投标文件为准，其上传资料真实性由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自行承担，同时，</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要完善主体库。</w:t>
            </w:r>
          </w:p>
          <w:p w14:paraId="3094D6AD">
            <w:pPr>
              <w:pStyle w:val="1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color w:val="auto"/>
                <w:kern w:val="1"/>
                <w:sz w:val="24"/>
                <w:szCs w:val="24"/>
              </w:rPr>
            </w:pPr>
            <w:r>
              <w:rPr>
                <w:rFonts w:hint="eastAsia" w:ascii="宋体" w:hAnsi="宋体" w:eastAsia="宋体" w:cs="宋体"/>
                <w:b/>
                <w:color w:val="auto"/>
                <w:sz w:val="24"/>
                <w:szCs w:val="21"/>
              </w:rPr>
              <w:t>提示：本项目为电子化、无纸化交易项目，为保证您能投标成功，请需仔细阅读以上条款。</w:t>
            </w:r>
          </w:p>
        </w:tc>
      </w:tr>
      <w:tr w14:paraId="1067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0E7951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34</w:t>
            </w:r>
          </w:p>
        </w:tc>
        <w:tc>
          <w:tcPr>
            <w:tcW w:w="1864" w:type="dxa"/>
            <w:noWrap w:val="0"/>
            <w:vAlign w:val="center"/>
          </w:tcPr>
          <w:p w14:paraId="284F386D">
            <w:pPr>
              <w:autoSpaceDE w:val="0"/>
              <w:autoSpaceDN w:val="0"/>
              <w:adjustRightInd w:val="0"/>
              <w:spacing w:before="48" w:line="360" w:lineRule="auto"/>
              <w:ind w:right="-2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实质</w:t>
            </w:r>
            <w:r>
              <w:rPr>
                <w:rFonts w:hint="eastAsia" w:ascii="宋体" w:hAnsi="宋体" w:cs="宋体"/>
                <w:color w:val="auto"/>
                <w:spacing w:val="-2"/>
                <w:kern w:val="0"/>
                <w:sz w:val="24"/>
                <w:szCs w:val="24"/>
                <w:highlight w:val="none"/>
              </w:rPr>
              <w:t>性</w:t>
            </w:r>
            <w:r>
              <w:rPr>
                <w:rFonts w:hint="eastAsia" w:ascii="宋体" w:hAnsi="宋体" w:cs="宋体"/>
                <w:color w:val="auto"/>
                <w:kern w:val="0"/>
                <w:sz w:val="24"/>
                <w:szCs w:val="24"/>
                <w:highlight w:val="none"/>
              </w:rPr>
              <w:t>要</w:t>
            </w:r>
            <w:r>
              <w:rPr>
                <w:rFonts w:hint="eastAsia" w:ascii="宋体" w:hAnsi="宋体" w:cs="宋体"/>
                <w:color w:val="auto"/>
                <w:spacing w:val="-2"/>
                <w:kern w:val="0"/>
                <w:sz w:val="24"/>
                <w:szCs w:val="24"/>
                <w:highlight w:val="none"/>
              </w:rPr>
              <w:t>求</w:t>
            </w:r>
            <w:r>
              <w:rPr>
                <w:rFonts w:hint="eastAsia" w:ascii="宋体" w:hAnsi="宋体" w:cs="宋体"/>
                <w:color w:val="auto"/>
                <w:kern w:val="0"/>
                <w:sz w:val="24"/>
                <w:szCs w:val="24"/>
                <w:highlight w:val="none"/>
              </w:rPr>
              <w:t>和</w:t>
            </w:r>
            <w:r>
              <w:rPr>
                <w:rFonts w:hint="eastAsia" w:ascii="宋体" w:hAnsi="宋体" w:cs="宋体"/>
                <w:color w:val="auto"/>
                <w:spacing w:val="-2"/>
                <w:kern w:val="0"/>
                <w:sz w:val="24"/>
                <w:szCs w:val="24"/>
                <w:highlight w:val="none"/>
              </w:rPr>
              <w:t>条</w:t>
            </w:r>
            <w:r>
              <w:rPr>
                <w:rFonts w:hint="eastAsia" w:ascii="宋体" w:hAnsi="宋体" w:cs="宋体"/>
                <w:color w:val="auto"/>
                <w:kern w:val="0"/>
                <w:sz w:val="24"/>
                <w:szCs w:val="24"/>
                <w:highlight w:val="none"/>
              </w:rPr>
              <w:t>件</w:t>
            </w:r>
          </w:p>
        </w:tc>
        <w:tc>
          <w:tcPr>
            <w:tcW w:w="6924" w:type="dxa"/>
            <w:noWrap w:val="0"/>
            <w:vAlign w:val="top"/>
          </w:tcPr>
          <w:p w14:paraId="623F573F">
            <w:pPr>
              <w:tabs>
                <w:tab w:val="left" w:pos="0"/>
              </w:tabs>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b/>
                <w:color w:val="auto"/>
                <w:kern w:val="0"/>
                <w:sz w:val="24"/>
                <w:szCs w:val="24"/>
                <w:highlight w:val="none"/>
              </w:rPr>
              <w:t>投标无效条款；招标文件中用“拒绝”、“不（予）接受”、“不得”、“不允许偏离”、“否决”等文字规定的条款</w:t>
            </w:r>
            <w:r>
              <w:rPr>
                <w:rFonts w:hint="eastAsia" w:ascii="宋体" w:hAnsi="宋体" w:cs="宋体"/>
                <w:color w:val="auto"/>
                <w:sz w:val="24"/>
                <w:szCs w:val="24"/>
                <w:highlight w:val="none"/>
              </w:rPr>
              <w:t>；</w:t>
            </w:r>
            <w:r>
              <w:rPr>
                <w:rFonts w:hint="eastAsia" w:ascii="宋体" w:hAnsi="宋体" w:cs="宋体"/>
                <w:b/>
                <w:color w:val="auto"/>
                <w:kern w:val="0"/>
                <w:sz w:val="24"/>
                <w:szCs w:val="24"/>
                <w:highlight w:val="none"/>
              </w:rPr>
              <w:t>法律、法规、规章的相关规定。</w:t>
            </w:r>
          </w:p>
        </w:tc>
      </w:tr>
      <w:tr w14:paraId="7DA6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0D962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35</w:t>
            </w:r>
          </w:p>
        </w:tc>
        <w:tc>
          <w:tcPr>
            <w:tcW w:w="1864" w:type="dxa"/>
            <w:noWrap w:val="0"/>
            <w:vAlign w:val="center"/>
          </w:tcPr>
          <w:p w14:paraId="07BDE276">
            <w:pPr>
              <w:pStyle w:val="9"/>
              <w:spacing w:line="360" w:lineRule="auto"/>
              <w:jc w:val="center"/>
              <w:rPr>
                <w:rFonts w:hint="eastAsia" w:ascii="宋体" w:hAnsi="宋体" w:cs="宋体"/>
                <w:color w:val="auto"/>
                <w:kern w:val="0"/>
                <w:sz w:val="24"/>
                <w:szCs w:val="24"/>
                <w:highlight w:val="none"/>
              </w:rPr>
            </w:pPr>
            <w:r>
              <w:rPr>
                <w:rFonts w:hint="eastAsia" w:hAnsi="宋体" w:cs="宋体"/>
                <w:color w:val="auto"/>
                <w:kern w:val="0"/>
                <w:sz w:val="24"/>
                <w:szCs w:val="24"/>
                <w:highlight w:val="none"/>
                <w:lang w:val="en-US" w:eastAsia="zh-CN"/>
              </w:rPr>
              <w:t>偏差</w:t>
            </w:r>
          </w:p>
        </w:tc>
        <w:tc>
          <w:tcPr>
            <w:tcW w:w="6924" w:type="dxa"/>
            <w:noWrap w:val="0"/>
            <w:vAlign w:val="top"/>
          </w:tcPr>
          <w:p w14:paraId="58FB0307">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不允许。不允许偏离的情形，如有一项偏离，视为无效投标文件：（1）未按照投标文件格式要求进行电子签章或签字的；</w:t>
            </w:r>
          </w:p>
          <w:p w14:paraId="2B47C273">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（2）不符合招标文件中“供应商资格要求”的；</w:t>
            </w:r>
          </w:p>
          <w:p w14:paraId="5EB12DAD">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（3）投标报价超过采购预算金额或超过最高限价的；</w:t>
            </w:r>
          </w:p>
          <w:p w14:paraId="562E57AC">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（4）投标有效期低于招标文件规定的期限；</w:t>
            </w:r>
          </w:p>
          <w:p w14:paraId="5F1BD19A">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（5）交货期超过招标文件规定的期限；</w:t>
            </w:r>
          </w:p>
          <w:p w14:paraId="7927A897">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（6）投标文件中有采购人明显不能接受的不合理条件或损害采购人权利的；</w:t>
            </w:r>
          </w:p>
          <w:p w14:paraId="4EA829A5">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（7）法律、法规和采购文件规定的其他无效情形。</w:t>
            </w:r>
          </w:p>
        </w:tc>
      </w:tr>
      <w:tr w14:paraId="4238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9CDE4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36</w:t>
            </w:r>
          </w:p>
        </w:tc>
        <w:tc>
          <w:tcPr>
            <w:tcW w:w="1864" w:type="dxa"/>
            <w:noWrap w:val="0"/>
            <w:vAlign w:val="center"/>
          </w:tcPr>
          <w:p w14:paraId="29F038C3">
            <w:pPr>
              <w:pStyle w:val="9"/>
              <w:spacing w:line="360" w:lineRule="auto"/>
              <w:jc w:val="center"/>
              <w:rPr>
                <w:rFonts w:hint="eastAsia" w:hAnsi="宋体" w:cs="宋体"/>
                <w:color w:val="auto"/>
                <w:kern w:val="0"/>
                <w:sz w:val="24"/>
                <w:szCs w:val="24"/>
                <w:highlight w:val="none"/>
                <w:lang w:val="en-US" w:eastAsia="zh-CN"/>
              </w:rPr>
            </w:pPr>
            <w:r>
              <w:rPr>
                <w:rFonts w:hint="eastAsia" w:ascii="宋体" w:hAnsi="宋体" w:eastAsia="宋体" w:cs="宋体"/>
                <w:color w:val="auto"/>
                <w:kern w:val="0"/>
                <w:sz w:val="24"/>
                <w:szCs w:val="24"/>
              </w:rPr>
              <w:t>重新采购</w:t>
            </w:r>
          </w:p>
        </w:tc>
        <w:tc>
          <w:tcPr>
            <w:tcW w:w="6924" w:type="dxa"/>
            <w:noWrap w:val="0"/>
            <w:vAlign w:val="top"/>
          </w:tcPr>
          <w:p w14:paraId="403DAA36">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有下列情形之一的，采购人将重新采购：</w:t>
            </w:r>
          </w:p>
          <w:p w14:paraId="727EECBA">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（1）投标截止时间止，供应商少于3个的；</w:t>
            </w:r>
          </w:p>
          <w:p w14:paraId="34CFE337">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（2）经评标委员会评审后否决所有投标的；</w:t>
            </w:r>
          </w:p>
          <w:p w14:paraId="10B65BFD">
            <w:pPr>
              <w:pStyle w:val="9"/>
              <w:spacing w:line="360" w:lineRule="auto"/>
              <w:rPr>
                <w:rFonts w:hint="eastAsia" w:hAnsi="宋体" w:cs="宋体"/>
                <w:b/>
                <w:color w:val="auto"/>
                <w:kern w:val="0"/>
                <w:sz w:val="24"/>
                <w:szCs w:val="24"/>
                <w:highlight w:val="none"/>
                <w:lang w:val="en-US" w:eastAsia="zh-CN"/>
              </w:rPr>
            </w:pPr>
            <w:r>
              <w:rPr>
                <w:rFonts w:hint="eastAsia" w:ascii="宋体" w:hAnsi="宋体" w:eastAsia="宋体" w:cs="宋体"/>
                <w:color w:val="auto"/>
                <w:kern w:val="0"/>
                <w:sz w:val="24"/>
                <w:szCs w:val="24"/>
              </w:rPr>
              <w:t>（3）中标或者成交供应商拒绝与采购人签订合同的，采购人可以按照评审报告推荐的中标或者成交候选人名单排序，确定下一候选人为中标或者成交供应商，也可以重新开展政府采购活动。</w:t>
            </w:r>
          </w:p>
        </w:tc>
      </w:tr>
      <w:tr w14:paraId="6A52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250CAB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37</w:t>
            </w:r>
          </w:p>
        </w:tc>
        <w:tc>
          <w:tcPr>
            <w:tcW w:w="1864" w:type="dxa"/>
            <w:noWrap w:val="0"/>
            <w:vAlign w:val="center"/>
          </w:tcPr>
          <w:p w14:paraId="436317F9">
            <w:pPr>
              <w:pStyle w:val="9"/>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解释</w:t>
            </w:r>
          </w:p>
        </w:tc>
        <w:tc>
          <w:tcPr>
            <w:tcW w:w="6924" w:type="dxa"/>
            <w:noWrap w:val="0"/>
            <w:vAlign w:val="top"/>
          </w:tcPr>
          <w:p w14:paraId="2621432B">
            <w:pPr>
              <w:pStyle w:val="9"/>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构成本招标文件的各个组成文件应互为解释，互为说明；如有不明确或不一致，构成合同文件组成内容的，以合同文件约定内容为准；除招标文件中有特殊规定外，仅适用于招标投标阶段的规定，按招标公告、供应商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4EBC83FC">
            <w:pPr>
              <w:pStyle w:val="9"/>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按本款前述规定仍不能形成结论的，由采购人（或采购代理机构）负责解释。</w:t>
            </w:r>
          </w:p>
        </w:tc>
      </w:tr>
    </w:tbl>
    <w:p w14:paraId="0D814A61">
      <w:pPr>
        <w:pStyle w:val="6"/>
        <w:snapToGrid w:val="0"/>
        <w:spacing w:before="156" w:beforeLines="50" w:after="156" w:afterLines="5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总则</w:t>
      </w:r>
      <w:bookmarkEnd w:id="7"/>
      <w:bookmarkEnd w:id="8"/>
      <w:bookmarkEnd w:id="9"/>
      <w:bookmarkEnd w:id="10"/>
      <w:bookmarkEnd w:id="11"/>
      <w:bookmarkEnd w:id="12"/>
    </w:p>
    <w:p w14:paraId="18A6B42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3" w:name="_Toc307905036"/>
      <w:r>
        <w:rPr>
          <w:rFonts w:hint="eastAsia" w:ascii="宋体" w:hAnsi="宋体" w:eastAsia="宋体" w:cs="宋体"/>
          <w:color w:val="auto"/>
          <w:sz w:val="24"/>
          <w:szCs w:val="24"/>
        </w:rPr>
        <w:t>1.1 项目概况</w:t>
      </w:r>
      <w:bookmarkEnd w:id="13"/>
    </w:p>
    <w:p w14:paraId="6700CD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根据《中华人民共和国政府采购法》 等有关法律、法规和规章的规定，本招标项目己具备招标条件，现对本项目进行招标。</w:t>
      </w:r>
    </w:p>
    <w:p w14:paraId="473F1E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本招标项目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105E3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本招标项目代理机构：见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8FBC6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本招标项目名称：见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0A89BD0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4" w:name="_Toc307905037"/>
      <w:r>
        <w:rPr>
          <w:rFonts w:hint="eastAsia" w:ascii="宋体" w:hAnsi="宋体" w:eastAsia="宋体" w:cs="宋体"/>
          <w:color w:val="auto"/>
          <w:sz w:val="24"/>
          <w:szCs w:val="24"/>
        </w:rPr>
        <w:t>1.2 资金来源和落实情况</w:t>
      </w:r>
      <w:bookmarkEnd w:id="14"/>
    </w:p>
    <w:p w14:paraId="204A2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本招标项目的资金来源：见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949C4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本招标项目的资金落实情况：见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82B46CF">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5" w:name="_Toc307905038"/>
      <w:r>
        <w:rPr>
          <w:rFonts w:hint="eastAsia" w:ascii="宋体" w:hAnsi="宋体" w:eastAsia="宋体" w:cs="宋体"/>
          <w:color w:val="auto"/>
          <w:sz w:val="24"/>
          <w:szCs w:val="24"/>
        </w:rPr>
        <w:t xml:space="preserve">1.3 </w:t>
      </w:r>
      <w:r>
        <w:rPr>
          <w:rFonts w:hint="eastAsia" w:ascii="宋体" w:hAnsi="宋体" w:cs="宋体"/>
          <w:color w:val="auto"/>
          <w:sz w:val="24"/>
          <w:szCs w:val="24"/>
          <w:lang w:eastAsia="zh-CN"/>
        </w:rPr>
        <w:t>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和质量要求</w:t>
      </w:r>
      <w:bookmarkEnd w:id="15"/>
    </w:p>
    <w:p w14:paraId="747CF9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本次</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B868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本招标项目的</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1BA3FA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本招标项目的质量要求：见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5995F7A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6" w:name="_Toc307905040"/>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bookmarkEnd w:id="16"/>
    </w:p>
    <w:p w14:paraId="2F997AE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资格要求：见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10B465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1.4.2是否组织联合体投标：见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B9112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1.4.3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不得存在下列情形之一：</w:t>
      </w:r>
    </w:p>
    <w:p w14:paraId="24C1E28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）为本项目前期准备提供咨询服务的；</w:t>
      </w:r>
    </w:p>
    <w:p w14:paraId="1C6BF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）为本项目提供招标代理服务的；</w:t>
      </w:r>
    </w:p>
    <w:p w14:paraId="20CF0E8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）与本项目的招标代理机构同为一个法定代表人的；</w:t>
      </w:r>
    </w:p>
    <w:p w14:paraId="7A3E73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）与本项目的招标代理机构相互控股或参股的；</w:t>
      </w:r>
    </w:p>
    <w:p w14:paraId="43C320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）与本项目的招标代理机构相互任职或工作的；</w:t>
      </w:r>
    </w:p>
    <w:p w14:paraId="758A3E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）被责令停业的；</w:t>
      </w:r>
    </w:p>
    <w:p w14:paraId="2BD508F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）被暂停或取消投标资格的；</w:t>
      </w:r>
    </w:p>
    <w:p w14:paraId="1EA51D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）财产被接管或冻结的；</w:t>
      </w:r>
    </w:p>
    <w:p w14:paraId="0388388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）在最近三年内有骗取中标或严重违约情况的。</w:t>
      </w:r>
    </w:p>
    <w:p w14:paraId="5CA1C815">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bookmarkStart w:id="17" w:name="_Toc307905041"/>
      <w:r>
        <w:rPr>
          <w:rFonts w:hint="eastAsia" w:ascii="宋体" w:hAnsi="宋体" w:eastAsia="宋体" w:cs="宋体"/>
          <w:color w:val="auto"/>
          <w:sz w:val="24"/>
          <w:szCs w:val="24"/>
          <w:highlight w:val="none"/>
        </w:rPr>
        <w:t>1.5 费用承担</w:t>
      </w:r>
      <w:bookmarkEnd w:id="17"/>
    </w:p>
    <w:p w14:paraId="2CEBBD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cs="宋体"/>
          <w:color w:val="auto"/>
          <w:sz w:val="24"/>
          <w:szCs w:val="21"/>
          <w:lang w:eastAsia="zh-CN"/>
        </w:rPr>
        <w:t>供应商</w:t>
      </w:r>
      <w:r>
        <w:rPr>
          <w:rFonts w:hint="eastAsia" w:ascii="宋体" w:hAnsi="宋体" w:eastAsia="宋体" w:cs="宋体"/>
          <w:color w:val="auto"/>
          <w:sz w:val="24"/>
          <w:szCs w:val="24"/>
          <w:highlight w:val="none"/>
        </w:rPr>
        <w:t>准备和参加投标活动发生的费用自理。</w:t>
      </w:r>
    </w:p>
    <w:p w14:paraId="4B438E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1.5.2本次代理服务费参照《</w:t>
      </w: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按</w:t>
      </w:r>
      <w:r>
        <w:rPr>
          <w:rFonts w:hint="eastAsia" w:ascii="宋体" w:hAnsi="宋体" w:eastAsia="宋体" w:cs="宋体"/>
          <w:color w:val="auto"/>
          <w:sz w:val="24"/>
          <w:szCs w:val="24"/>
          <w:highlight w:val="none"/>
        </w:rPr>
        <w:t>文件的规定由中标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领取中标通知书前，向代理公司一次性付清。</w:t>
      </w:r>
    </w:p>
    <w:p w14:paraId="232003AC">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bookmarkStart w:id="18" w:name="_Toc307905042"/>
      <w:r>
        <w:rPr>
          <w:rFonts w:hint="eastAsia" w:ascii="宋体" w:hAnsi="宋体" w:eastAsia="宋体" w:cs="宋体"/>
          <w:color w:val="auto"/>
          <w:sz w:val="24"/>
          <w:szCs w:val="24"/>
          <w:highlight w:val="none"/>
        </w:rPr>
        <w:t>1.6 保密</w:t>
      </w:r>
      <w:bookmarkEnd w:id="18"/>
    </w:p>
    <w:p w14:paraId="5B82DD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参与招标投标活动的各方应对招标文件和投标文件中的商业和技术等秘密保密，违者应对由此造成的后果承担法律责任。</w:t>
      </w:r>
    </w:p>
    <w:p w14:paraId="70B3DED6">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9" w:name="_Toc307905043"/>
      <w:r>
        <w:rPr>
          <w:rFonts w:hint="eastAsia" w:ascii="宋体" w:hAnsi="宋体" w:eastAsia="宋体" w:cs="宋体"/>
          <w:color w:val="auto"/>
          <w:sz w:val="24"/>
          <w:szCs w:val="24"/>
        </w:rPr>
        <w:t>1.7 语言文字</w:t>
      </w:r>
      <w:bookmarkEnd w:id="19"/>
    </w:p>
    <w:p w14:paraId="7781A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14:paraId="2F9E4D94">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20" w:name="_Toc307905044"/>
      <w:r>
        <w:rPr>
          <w:rFonts w:hint="eastAsia" w:ascii="宋体" w:hAnsi="宋体" w:eastAsia="宋体" w:cs="宋体"/>
          <w:color w:val="auto"/>
          <w:sz w:val="24"/>
          <w:szCs w:val="24"/>
        </w:rPr>
        <w:t>1.8 计量单位</w:t>
      </w:r>
      <w:bookmarkEnd w:id="20"/>
    </w:p>
    <w:p w14:paraId="08B936D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bookmarkStart w:id="21" w:name="_Toc307905046"/>
    </w:p>
    <w:p w14:paraId="516632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 投标预备会</w:t>
      </w:r>
      <w:bookmarkEnd w:id="21"/>
      <w:bookmarkStart w:id="22" w:name="_Toc307905047"/>
    </w:p>
    <w:p w14:paraId="0AFD84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不召开。</w:t>
      </w:r>
    </w:p>
    <w:p w14:paraId="26DA43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1.10 分包</w:t>
      </w:r>
      <w:bookmarkEnd w:id="22"/>
    </w:p>
    <w:p w14:paraId="5641F6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bookmarkStart w:id="23" w:name="_Toc307905048"/>
    </w:p>
    <w:p w14:paraId="5A140B2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偏离</w:t>
      </w:r>
      <w:bookmarkEnd w:id="23"/>
    </w:p>
    <w:p w14:paraId="6B1733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实质性内容不允许负偏离。</w:t>
      </w:r>
    </w:p>
    <w:p w14:paraId="263D7563">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highlight w:val="none"/>
        </w:rPr>
      </w:pPr>
      <w:bookmarkStart w:id="24" w:name="_Toc307905049"/>
      <w:bookmarkStart w:id="25" w:name="_Toc324426326"/>
      <w:bookmarkStart w:id="26" w:name="_Toc404096915"/>
      <w:bookmarkStart w:id="27" w:name="_Toc358045600"/>
      <w:bookmarkStart w:id="28" w:name="_Toc322791369"/>
      <w:bookmarkStart w:id="29" w:name="_Toc322792547"/>
      <w:bookmarkStart w:id="30" w:name="_Toc322792289"/>
      <w:bookmarkStart w:id="31" w:name="_Toc184635072"/>
      <w:bookmarkStart w:id="32" w:name="_Toc307905271"/>
      <w:r>
        <w:rPr>
          <w:rFonts w:hint="eastAsia" w:ascii="宋体" w:hAnsi="宋体" w:eastAsia="宋体" w:cs="宋体"/>
          <w:color w:val="auto"/>
          <w:szCs w:val="24"/>
          <w:highlight w:val="none"/>
        </w:rPr>
        <w:t>2.招标文件</w:t>
      </w:r>
      <w:bookmarkEnd w:id="24"/>
      <w:bookmarkEnd w:id="25"/>
      <w:bookmarkEnd w:id="26"/>
      <w:bookmarkEnd w:id="27"/>
      <w:bookmarkEnd w:id="28"/>
      <w:bookmarkEnd w:id="29"/>
      <w:bookmarkEnd w:id="30"/>
      <w:bookmarkEnd w:id="31"/>
      <w:bookmarkEnd w:id="32"/>
    </w:p>
    <w:p w14:paraId="3E71D7E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33" w:name="_Toc307905050"/>
      <w:r>
        <w:rPr>
          <w:rFonts w:hint="eastAsia" w:ascii="宋体" w:hAnsi="宋体" w:eastAsia="宋体" w:cs="宋体"/>
          <w:color w:val="auto"/>
          <w:sz w:val="24"/>
          <w:szCs w:val="24"/>
        </w:rPr>
        <w:t>2.1 招标文件的组成</w:t>
      </w:r>
      <w:bookmarkEnd w:id="33"/>
    </w:p>
    <w:p w14:paraId="1A6E27D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本招标文件包括：</w:t>
      </w:r>
    </w:p>
    <w:p w14:paraId="057DEE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(1）招标公告</w:t>
      </w:r>
    </w:p>
    <w:p w14:paraId="55437F9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szCs w:val="21"/>
          <w:lang w:eastAsia="zh-CN"/>
        </w:rPr>
        <w:t>供应商</w:t>
      </w:r>
      <w:r>
        <w:rPr>
          <w:rFonts w:hint="eastAsia" w:ascii="宋体" w:hAnsi="宋体" w:eastAsia="宋体" w:cs="宋体"/>
          <w:color w:val="auto"/>
          <w:sz w:val="24"/>
        </w:rPr>
        <w:t>须知</w:t>
      </w:r>
    </w:p>
    <w:p w14:paraId="381B8B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(3）评标办法</w:t>
      </w:r>
    </w:p>
    <w:p w14:paraId="31976E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(4）采购清单及要求</w:t>
      </w:r>
    </w:p>
    <w:p w14:paraId="18762C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(5）合同条款及格式</w:t>
      </w:r>
    </w:p>
    <w:p w14:paraId="3F68B01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(6）投标文件格式</w:t>
      </w:r>
    </w:p>
    <w:p w14:paraId="3F52C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根据本章第2.2 款和第2.3 款对招标文件所作的澄清、修改，构成招标文件的组成部分。</w:t>
      </w:r>
    </w:p>
    <w:p w14:paraId="2040C1CF">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34" w:name="_Toc307905051"/>
      <w:r>
        <w:rPr>
          <w:rFonts w:hint="eastAsia" w:ascii="宋体" w:hAnsi="宋体" w:eastAsia="宋体" w:cs="宋体"/>
          <w:color w:val="auto"/>
          <w:sz w:val="24"/>
          <w:szCs w:val="24"/>
        </w:rPr>
        <w:t>2.2 招标文件的澄清</w:t>
      </w:r>
      <w:bookmarkEnd w:id="34"/>
    </w:p>
    <w:p w14:paraId="0B1A28B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35" w:name="_Toc307905272"/>
      <w:bookmarkStart w:id="36" w:name="_Toc358045601"/>
      <w:bookmarkStart w:id="37" w:name="_Toc184635073"/>
      <w:bookmarkStart w:id="38" w:name="_Toc322791370"/>
      <w:bookmarkStart w:id="39" w:name="_Toc322792290"/>
      <w:bookmarkStart w:id="40" w:name="_Toc324426327"/>
      <w:bookmarkStart w:id="41" w:name="_Toc307905053"/>
      <w:bookmarkStart w:id="42" w:name="_Toc322792548"/>
      <w:bookmarkStart w:id="43" w:name="_Toc404096916"/>
      <w:r>
        <w:rPr>
          <w:rFonts w:hint="eastAsia" w:ascii="宋体" w:hAnsi="宋体" w:eastAsia="宋体" w:cs="宋体"/>
          <w:color w:val="auto"/>
          <w:sz w:val="24"/>
        </w:rPr>
        <w:t xml:space="preserve">2.2.1 </w:t>
      </w:r>
      <w:r>
        <w:rPr>
          <w:rFonts w:hint="eastAsia" w:ascii="宋体" w:hAnsi="宋体" w:cs="宋体"/>
          <w:color w:val="auto"/>
          <w:sz w:val="24"/>
          <w:szCs w:val="21"/>
          <w:lang w:eastAsia="zh-CN"/>
        </w:rPr>
        <w:t>供应商</w:t>
      </w:r>
      <w:r>
        <w:rPr>
          <w:rFonts w:hint="eastAsia" w:ascii="宋体" w:hAnsi="宋体" w:eastAsia="宋体" w:cs="宋体"/>
          <w:color w:val="auto"/>
          <w:sz w:val="24"/>
        </w:rPr>
        <w:t>应仔细阅读和检查招标文件的全部内容。如发现缺页或附件不全，应及时向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提出，以便补齐。如有疑问，应在质疑期限内要求</w:t>
      </w:r>
      <w:r>
        <w:rPr>
          <w:rFonts w:hint="eastAsia" w:ascii="宋体" w:hAnsi="宋体" w:eastAsia="宋体" w:cs="宋体"/>
          <w:color w:val="auto"/>
          <w:sz w:val="24"/>
          <w:lang w:eastAsia="zh-CN"/>
        </w:rPr>
        <w:t>采购人</w:t>
      </w:r>
      <w:r>
        <w:rPr>
          <w:rFonts w:hint="eastAsia" w:ascii="宋体" w:hAnsi="宋体" w:eastAsia="宋体" w:cs="宋体"/>
          <w:color w:val="auto"/>
          <w:sz w:val="24"/>
        </w:rPr>
        <w:t>对招标文件予以澄清。</w:t>
      </w:r>
    </w:p>
    <w:p w14:paraId="2D591E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 招标文件的澄清将在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须知前附表规定的投标截止时间15天前以网上答疑形式发给所有</w:t>
      </w:r>
      <w:r>
        <w:rPr>
          <w:rFonts w:hint="eastAsia" w:ascii="宋体" w:hAnsi="宋体" w:cs="宋体"/>
          <w:color w:val="auto"/>
          <w:sz w:val="24"/>
          <w:szCs w:val="21"/>
          <w:lang w:eastAsia="zh-CN"/>
        </w:rPr>
        <w:t>供应商</w:t>
      </w:r>
      <w:r>
        <w:rPr>
          <w:rFonts w:hint="eastAsia" w:ascii="宋体" w:hAnsi="宋体" w:eastAsia="宋体" w:cs="宋体"/>
          <w:color w:val="auto"/>
          <w:sz w:val="24"/>
        </w:rPr>
        <w:t>，但不指明澄清问题的来源。如果澄清发出的时间距投标截止时间不足15天且影响投标文件的编制的，相应延长投标截止时间。</w:t>
      </w:r>
    </w:p>
    <w:p w14:paraId="4DFDAC07">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44" w:name="_Toc307905052"/>
      <w:r>
        <w:rPr>
          <w:rFonts w:hint="eastAsia" w:ascii="宋体" w:hAnsi="宋体" w:eastAsia="宋体" w:cs="宋体"/>
          <w:color w:val="auto"/>
          <w:szCs w:val="24"/>
        </w:rPr>
        <w:t>2.3 招标文件的修改</w:t>
      </w:r>
      <w:bookmarkEnd w:id="44"/>
    </w:p>
    <w:p w14:paraId="08F8340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在投标截止时间15天前，</w:t>
      </w:r>
      <w:r>
        <w:rPr>
          <w:rFonts w:hint="eastAsia" w:ascii="宋体" w:hAnsi="宋体" w:eastAsia="宋体" w:cs="宋体"/>
          <w:color w:val="auto"/>
          <w:sz w:val="24"/>
          <w:lang w:eastAsia="zh-CN"/>
        </w:rPr>
        <w:t>采购人</w:t>
      </w:r>
      <w:r>
        <w:rPr>
          <w:rFonts w:hint="eastAsia" w:ascii="宋体" w:hAnsi="宋体" w:eastAsia="宋体" w:cs="宋体"/>
          <w:color w:val="auto"/>
          <w:sz w:val="24"/>
        </w:rPr>
        <w:t>可以以网上发布信息更正公告形式修改招标文件。如果修改招标文件的时间距投标截止时间不足15天且影响投标文件的编制的，相应延长投标截止时间。</w:t>
      </w:r>
    </w:p>
    <w:p w14:paraId="4914B60F">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3.投标文件</w:t>
      </w:r>
      <w:bookmarkEnd w:id="35"/>
      <w:bookmarkEnd w:id="36"/>
      <w:bookmarkEnd w:id="37"/>
      <w:bookmarkEnd w:id="38"/>
      <w:bookmarkEnd w:id="39"/>
      <w:bookmarkEnd w:id="40"/>
      <w:bookmarkEnd w:id="41"/>
      <w:bookmarkEnd w:id="42"/>
      <w:bookmarkEnd w:id="43"/>
    </w:p>
    <w:p w14:paraId="2EE173B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5" w:name="_Toc307905054"/>
      <w:r>
        <w:rPr>
          <w:rFonts w:hint="eastAsia" w:ascii="宋体" w:hAnsi="宋体" w:eastAsia="宋体" w:cs="宋体"/>
          <w:color w:val="auto"/>
          <w:sz w:val="24"/>
          <w:szCs w:val="24"/>
        </w:rPr>
        <w:t>3.1 投标文件的组成</w:t>
      </w:r>
      <w:bookmarkEnd w:id="45"/>
    </w:p>
    <w:p w14:paraId="12E8F3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3.1.1 投标文件应包括下列内容：</w:t>
      </w:r>
    </w:p>
    <w:p w14:paraId="1229E8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46" w:name="_Toc307905055"/>
      <w:r>
        <w:rPr>
          <w:rFonts w:hint="eastAsia" w:ascii="宋体" w:hAnsi="宋体" w:eastAsia="宋体" w:cs="宋体"/>
          <w:color w:val="auto"/>
          <w:sz w:val="24"/>
        </w:rPr>
        <w:t>一、投标函及投标函附录</w:t>
      </w:r>
    </w:p>
    <w:p w14:paraId="1BD4C03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lang w:eastAsia="zh-CN"/>
        </w:rPr>
      </w:pPr>
      <w:r>
        <w:rPr>
          <w:rFonts w:hint="eastAsia" w:ascii="宋体" w:hAnsi="宋体" w:eastAsia="宋体" w:cs="宋体"/>
          <w:color w:val="auto"/>
          <w:sz w:val="24"/>
        </w:rPr>
        <w:t>二、法定代表人身份证明</w:t>
      </w:r>
    </w:p>
    <w:p w14:paraId="6F883C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三、</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HYPERLINK \l "_Toc14910"</w:instrText>
      </w:r>
      <w:r>
        <w:rPr>
          <w:rFonts w:hint="eastAsia" w:ascii="宋体" w:hAnsi="宋体" w:eastAsia="宋体" w:cs="宋体"/>
          <w:color w:val="auto"/>
          <w:sz w:val="24"/>
        </w:rPr>
        <w:fldChar w:fldCharType="separate"/>
      </w:r>
      <w:r>
        <w:rPr>
          <w:rFonts w:hint="eastAsia" w:ascii="宋体" w:hAnsi="宋体" w:eastAsia="宋体" w:cs="宋体"/>
          <w:color w:val="auto"/>
          <w:sz w:val="24"/>
        </w:rPr>
        <w:t>授权</w:t>
      </w:r>
      <w:r>
        <w:rPr>
          <w:rFonts w:hint="eastAsia" w:ascii="宋体" w:hAnsi="宋体" w:eastAsia="宋体" w:cs="宋体"/>
          <w:color w:val="auto"/>
          <w:sz w:val="24"/>
          <w:lang w:val="en-US" w:eastAsia="zh-CN"/>
        </w:rPr>
        <w:t>委托</w:t>
      </w:r>
      <w:r>
        <w:rPr>
          <w:rFonts w:hint="eastAsia" w:ascii="宋体" w:hAnsi="宋体" w:eastAsia="宋体" w:cs="宋体"/>
          <w:color w:val="auto"/>
          <w:sz w:val="24"/>
        </w:rPr>
        <w:t>书</w:t>
      </w:r>
      <w:r>
        <w:rPr>
          <w:rFonts w:hint="eastAsia" w:ascii="宋体" w:hAnsi="宋体" w:eastAsia="宋体" w:cs="宋体"/>
          <w:color w:val="auto"/>
          <w:sz w:val="24"/>
        </w:rPr>
        <w:fldChar w:fldCharType="end"/>
      </w:r>
    </w:p>
    <w:p w14:paraId="0A36229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报价明细表</w:t>
      </w:r>
    </w:p>
    <w:p w14:paraId="3324677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w:t>
      </w:r>
      <w:r>
        <w:rPr>
          <w:rFonts w:hint="eastAsia" w:ascii="宋体" w:hAnsi="宋体" w:eastAsia="宋体" w:cs="宋体"/>
          <w:color w:val="auto"/>
          <w:sz w:val="24"/>
          <w:lang w:val="en-US" w:eastAsia="zh-CN"/>
        </w:rPr>
        <w:t>技术规格偏离表</w:t>
      </w:r>
    </w:p>
    <w:p w14:paraId="4210CCB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六、实施方案及服务承诺</w:t>
      </w:r>
    </w:p>
    <w:p w14:paraId="2A1EA9B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、资格审查材料</w:t>
      </w:r>
    </w:p>
    <w:p w14:paraId="00AEAC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、其他材料</w:t>
      </w:r>
    </w:p>
    <w:p w14:paraId="51BC7E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九、</w:t>
      </w:r>
      <w:r>
        <w:rPr>
          <w:rFonts w:hint="eastAsia" w:ascii="宋体" w:hAnsi="宋体" w:eastAsia="宋体" w:cs="宋体"/>
          <w:color w:val="auto"/>
          <w:sz w:val="24"/>
        </w:rPr>
        <w:t>中小企业声明函</w:t>
      </w:r>
    </w:p>
    <w:p w14:paraId="4E96266E">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投标报价</w:t>
      </w:r>
      <w:bookmarkEnd w:id="46"/>
    </w:p>
    <w:p w14:paraId="4B33D1D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3.2.1所有投标报价均以人民币元为计算单位。供应商的投标报价为完成本项目服务内容产生的所有费用。</w:t>
      </w:r>
    </w:p>
    <w:p w14:paraId="4561D7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3.2.2 供应商的投标报价应包含验收合格正式交付使用前所发生的一切费用，且供应商只能提出一个不变价格，采购人不接受任何选择价。 </w:t>
      </w:r>
    </w:p>
    <w:p w14:paraId="23F92AA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3.2.3 投标文件的投标报价，应是完成本文件所列招标范围的全部内容。 </w:t>
      </w:r>
    </w:p>
    <w:p w14:paraId="4986701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3.2.4 采购人对供应商提供的产品有权到制造商进行考察和交货前验货，供应商应提供便利条件。</w:t>
      </w:r>
    </w:p>
    <w:p w14:paraId="47114834">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7" w:name="_Toc307905056"/>
      <w:r>
        <w:rPr>
          <w:rFonts w:hint="eastAsia" w:ascii="宋体" w:hAnsi="宋体" w:eastAsia="宋体" w:cs="宋体"/>
          <w:color w:val="auto"/>
          <w:sz w:val="24"/>
          <w:szCs w:val="24"/>
        </w:rPr>
        <w:t>3.3 投标有效期</w:t>
      </w:r>
      <w:bookmarkEnd w:id="47"/>
    </w:p>
    <w:p w14:paraId="598505B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须知前附表规定的投标有效期内，</w:t>
      </w:r>
      <w:r>
        <w:rPr>
          <w:rFonts w:hint="eastAsia" w:ascii="宋体" w:hAnsi="宋体" w:cs="宋体"/>
          <w:color w:val="auto"/>
          <w:sz w:val="24"/>
          <w:szCs w:val="21"/>
          <w:lang w:eastAsia="zh-CN"/>
        </w:rPr>
        <w:t>供应商</w:t>
      </w:r>
      <w:r>
        <w:rPr>
          <w:rFonts w:hint="eastAsia" w:ascii="宋体" w:hAnsi="宋体" w:eastAsia="宋体" w:cs="宋体"/>
          <w:color w:val="auto"/>
          <w:sz w:val="24"/>
        </w:rPr>
        <w:t>不得要求撤销或修改其投标文件。</w:t>
      </w:r>
    </w:p>
    <w:p w14:paraId="62A751A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8" w:name="_Toc307905059"/>
      <w:r>
        <w:rPr>
          <w:rFonts w:hint="eastAsia" w:ascii="宋体" w:hAnsi="宋体" w:eastAsia="宋体" w:cs="宋体"/>
          <w:color w:val="auto"/>
          <w:sz w:val="24"/>
          <w:szCs w:val="24"/>
        </w:rPr>
        <w:t>3.4 资格审查资料</w:t>
      </w:r>
      <w:bookmarkEnd w:id="48"/>
    </w:p>
    <w:p w14:paraId="321B69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szCs w:val="21"/>
          <w:lang w:eastAsia="zh-CN"/>
        </w:rPr>
        <w:t>供应商</w:t>
      </w:r>
      <w:r>
        <w:rPr>
          <w:rFonts w:hint="eastAsia" w:ascii="宋体" w:hAnsi="宋体" w:eastAsia="宋体" w:cs="宋体"/>
          <w:color w:val="auto"/>
          <w:sz w:val="24"/>
        </w:rPr>
        <w:t>在编制投标文件时，应按照招标文件要求提供资格要求的资料，以证实其各项资格条件能继续满足投标资格要求，具备承担本项目的资质条件、能力和信誉。</w:t>
      </w:r>
    </w:p>
    <w:p w14:paraId="1204AC40">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9" w:name="_Toc307905060"/>
      <w:r>
        <w:rPr>
          <w:rFonts w:hint="eastAsia" w:ascii="宋体" w:hAnsi="宋体" w:eastAsia="宋体" w:cs="宋体"/>
          <w:color w:val="auto"/>
          <w:sz w:val="24"/>
          <w:szCs w:val="24"/>
        </w:rPr>
        <w:t>3.5备选投标方案</w:t>
      </w:r>
      <w:bookmarkEnd w:id="49"/>
    </w:p>
    <w:p w14:paraId="6195D3D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不接受</w:t>
      </w:r>
    </w:p>
    <w:p w14:paraId="6BD6C569">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50" w:name="_Toc307905061"/>
      <w:r>
        <w:rPr>
          <w:rFonts w:hint="eastAsia" w:ascii="宋体" w:hAnsi="宋体" w:eastAsia="宋体" w:cs="宋体"/>
          <w:color w:val="auto"/>
          <w:sz w:val="24"/>
          <w:szCs w:val="24"/>
        </w:rPr>
        <w:t>3.6 投标文件的编制</w:t>
      </w:r>
      <w:bookmarkEnd w:id="50"/>
    </w:p>
    <w:p w14:paraId="0CE3BC1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3.6.1 投标文件应按第六章“投标文件格式”进行编写，如有必要，可以增加附页，作为投标文件的组成部分。其中，投标函附录在满足招标文件实质性要求的基础上，可以提出比招标文件要求更有利于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sz w:val="24"/>
          <w:lang w:eastAsia="zh-CN"/>
        </w:rPr>
        <w:t>采购人</w:t>
      </w:r>
      <w:r>
        <w:rPr>
          <w:rFonts w:hint="eastAsia" w:ascii="宋体" w:hAnsi="宋体" w:eastAsia="宋体" w:cs="宋体"/>
          <w:color w:val="auto"/>
          <w:sz w:val="24"/>
        </w:rPr>
        <w:t>的承诺。</w:t>
      </w:r>
    </w:p>
    <w:p w14:paraId="6920178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3.6.2投标文件应当对招标文件有关</w:t>
      </w:r>
      <w:r>
        <w:rPr>
          <w:rFonts w:hint="eastAsia" w:ascii="宋体" w:hAnsi="宋体" w:eastAsia="宋体" w:cs="宋体"/>
          <w:color w:val="auto"/>
          <w:sz w:val="24"/>
          <w:lang w:eastAsia="zh-CN"/>
        </w:rPr>
        <w:t>交货期</w:t>
      </w:r>
      <w:r>
        <w:rPr>
          <w:rFonts w:hint="eastAsia" w:ascii="宋体" w:hAnsi="宋体" w:eastAsia="宋体" w:cs="宋体"/>
          <w:color w:val="auto"/>
          <w:sz w:val="24"/>
        </w:rPr>
        <w:t>、投标有效期、质量要求等实质性内容作出响应。</w:t>
      </w:r>
    </w:p>
    <w:p w14:paraId="308DCCF7">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 w:val="32"/>
          <w:szCs w:val="24"/>
        </w:rPr>
      </w:pPr>
      <w:bookmarkStart w:id="51" w:name="_Toc358045603"/>
      <w:bookmarkStart w:id="52" w:name="_Toc307905274"/>
      <w:bookmarkStart w:id="53" w:name="_Toc324426329"/>
      <w:bookmarkStart w:id="54" w:name="_Toc404096918"/>
      <w:bookmarkStart w:id="55" w:name="_Toc184635075"/>
      <w:bookmarkStart w:id="56" w:name="_Toc322792550"/>
      <w:bookmarkStart w:id="57" w:name="_Toc307905065"/>
      <w:bookmarkStart w:id="58" w:name="_Toc322791372"/>
      <w:bookmarkStart w:id="59" w:name="_Toc322792292"/>
      <w:r>
        <w:rPr>
          <w:rFonts w:hint="eastAsia" w:ascii="宋体" w:hAnsi="宋体" w:eastAsia="宋体" w:cs="宋体"/>
          <w:color w:val="auto"/>
          <w:sz w:val="32"/>
          <w:szCs w:val="24"/>
        </w:rPr>
        <w:t>4.</w:t>
      </w:r>
      <w:bookmarkEnd w:id="51"/>
      <w:bookmarkEnd w:id="52"/>
      <w:bookmarkEnd w:id="53"/>
      <w:bookmarkEnd w:id="54"/>
      <w:bookmarkEnd w:id="55"/>
      <w:bookmarkEnd w:id="56"/>
      <w:bookmarkEnd w:id="57"/>
      <w:bookmarkEnd w:id="58"/>
      <w:bookmarkEnd w:id="59"/>
      <w:r>
        <w:rPr>
          <w:rFonts w:hint="eastAsia" w:ascii="宋体" w:hAnsi="宋体" w:eastAsia="宋体" w:cs="宋体"/>
          <w:color w:val="auto"/>
          <w:sz w:val="32"/>
          <w:szCs w:val="24"/>
        </w:rPr>
        <w:t>投标</w:t>
      </w:r>
    </w:p>
    <w:p w14:paraId="62EBEEA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bookmarkStart w:id="60" w:name="_Toc307905275"/>
      <w:bookmarkStart w:id="61" w:name="_Toc358045604"/>
      <w:bookmarkStart w:id="62" w:name="_Toc324426330"/>
      <w:bookmarkStart w:id="63" w:name="_Toc184635076"/>
      <w:bookmarkStart w:id="64" w:name="_Toc404096919"/>
      <w:bookmarkStart w:id="65" w:name="_Toc322791373"/>
      <w:bookmarkStart w:id="66" w:name="_Toc322792293"/>
      <w:bookmarkStart w:id="67" w:name="_Toc322792551"/>
      <w:bookmarkStart w:id="68" w:name="_Toc307905068"/>
      <w:r>
        <w:rPr>
          <w:rFonts w:hint="eastAsia" w:ascii="宋体" w:hAnsi="宋体" w:eastAsia="宋体" w:cs="宋体"/>
          <w:color w:val="auto"/>
        </w:rPr>
        <w:t xml:space="preserve">4.1 电子投标文件的加密 </w:t>
      </w:r>
    </w:p>
    <w:p w14:paraId="02A862C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4.1.1 电子投标文件的加密：详见电子投标文件制作操作指南。 </w:t>
      </w:r>
    </w:p>
    <w:p w14:paraId="6CC7B72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4.2 投标文件的递交 </w:t>
      </w:r>
    </w:p>
    <w:p w14:paraId="4F7D45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4.2.1 供应商应在</w:t>
      </w:r>
      <w:r>
        <w:rPr>
          <w:rFonts w:hint="eastAsia" w:ascii="宋体" w:hAnsi="宋体" w:eastAsia="宋体" w:cs="宋体"/>
          <w:color w:val="auto"/>
          <w:lang w:val="en-US" w:eastAsia="zh-CN"/>
        </w:rPr>
        <w:t>投标供应商须知前附表</w:t>
      </w:r>
      <w:r>
        <w:rPr>
          <w:rFonts w:hint="eastAsia" w:ascii="宋体" w:hAnsi="宋体" w:eastAsia="宋体" w:cs="宋体"/>
          <w:color w:val="auto"/>
        </w:rPr>
        <w:t>第</w:t>
      </w:r>
      <w:r>
        <w:rPr>
          <w:rFonts w:hint="eastAsia" w:ascii="宋体" w:hAnsi="宋体" w:eastAsia="宋体" w:cs="宋体"/>
          <w:color w:val="auto"/>
          <w:sz w:val="24"/>
          <w:lang w:bidi="ar"/>
        </w:rPr>
        <w:t>22</w:t>
      </w:r>
      <w:r>
        <w:rPr>
          <w:rFonts w:hint="eastAsia" w:ascii="宋体" w:hAnsi="宋体" w:eastAsia="宋体" w:cs="宋体"/>
          <w:color w:val="auto"/>
        </w:rPr>
        <w:t>项规定的投标截止时间前递交投标文件。</w:t>
      </w:r>
    </w:p>
    <w:p w14:paraId="3E6084D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4.2.2 电子招标投标文件递交异常的处理方式</w:t>
      </w:r>
    </w:p>
    <w:p w14:paraId="1A5886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当电子投标（文件打包、上传、解密异常）操作出现异常时，应及时联系平台技术支持人员解决。</w:t>
      </w:r>
    </w:p>
    <w:p w14:paraId="41C6EB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招标人有权对供应商提供的证明材料进行核实，如果发现供应商提供虚假信息，将追究提供虚假信息的责任。</w:t>
      </w:r>
    </w:p>
    <w:p w14:paraId="444449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4.2.3评标委员会不向落标方解释落标原因，不退还投标文件。</w:t>
      </w:r>
    </w:p>
    <w:p w14:paraId="0FCA35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4.3.1 在规定的投标截止时间前，供应商可以修改或撤回已递交的投标文件。</w:t>
      </w:r>
    </w:p>
    <w:p w14:paraId="44795FF6">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 w:val="32"/>
          <w:szCs w:val="24"/>
        </w:rPr>
      </w:pPr>
      <w:r>
        <w:rPr>
          <w:rFonts w:hint="eastAsia" w:ascii="宋体" w:hAnsi="宋体" w:eastAsia="宋体" w:cs="宋体"/>
          <w:color w:val="auto"/>
          <w:sz w:val="32"/>
          <w:szCs w:val="24"/>
        </w:rPr>
        <w:t xml:space="preserve">5. 开标 </w:t>
      </w:r>
    </w:p>
    <w:p w14:paraId="0650B6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5.1 开标时间和地点 </w:t>
      </w:r>
    </w:p>
    <w:p w14:paraId="7C86DAE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采购人在供应商须知前附表规定的投标截止时间（开标时间）和规定的地点公开开标。 </w:t>
      </w:r>
    </w:p>
    <w:p w14:paraId="066CF85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 开标程序</w:t>
      </w:r>
    </w:p>
    <w:p w14:paraId="0E5E657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5.2.1开标由招标代理机构主持；</w:t>
      </w:r>
    </w:p>
    <w:p w14:paraId="01B330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5.2.2宣布开标会议纪律；</w:t>
      </w:r>
    </w:p>
    <w:p w14:paraId="18548B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5.2.3开标时，电子招标投标交易平台自动提取所有投标文件，按时在线解密。解密全部完成后，向所有投标供应商公布投标供应商名称、投标价格和招标文件规定的其他内容。</w:t>
      </w:r>
    </w:p>
    <w:p w14:paraId="4F6D071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5.2.4采购人在招标文件要求提交投标文件的截止时间前收到的投标文件，开标时都应当众予以解密、宣读。</w:t>
      </w:r>
    </w:p>
    <w:p w14:paraId="5694EE4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5.3采购人对开标过程进行记录，并存档备查。</w:t>
      </w:r>
    </w:p>
    <w:p w14:paraId="3412E36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5.4投标文件的有效性</w:t>
      </w:r>
    </w:p>
    <w:p w14:paraId="708E8C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5.4.1投标文件有下列情形之一的为无效投标文件，采购人不予受理：</w:t>
      </w:r>
    </w:p>
    <w:p w14:paraId="1180080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1)逾期上传的；</w:t>
      </w:r>
    </w:p>
    <w:p w14:paraId="382DBB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0F51233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.4.2若投标文件解密后，有效电子投标文件不足三家的，本项目应予废标。</w:t>
      </w:r>
    </w:p>
    <w:p w14:paraId="48ED00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lang w:val="en-US" w:eastAsia="zh-CN"/>
        </w:rPr>
        <w:t>5</w:t>
      </w:r>
      <w:r>
        <w:rPr>
          <w:rFonts w:hint="eastAsia" w:ascii="宋体" w:hAnsi="宋体" w:eastAsia="宋体" w:cs="宋体"/>
          <w:color w:val="auto"/>
        </w:rPr>
        <w:t>.5由采购人对各投标人的投标文件进行资格审查,未通过资格审查的投标文件为无效投标文件，通过资格审查的投标文件可进入评标环节；有效投标文件由评标委员会进行评审、比较。</w:t>
      </w:r>
    </w:p>
    <w:p w14:paraId="4117650C">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.评标</w:t>
      </w:r>
      <w:bookmarkEnd w:id="60"/>
      <w:bookmarkEnd w:id="61"/>
      <w:bookmarkEnd w:id="62"/>
      <w:bookmarkEnd w:id="63"/>
      <w:bookmarkEnd w:id="64"/>
      <w:bookmarkEnd w:id="65"/>
      <w:bookmarkEnd w:id="66"/>
      <w:bookmarkEnd w:id="67"/>
      <w:bookmarkEnd w:id="68"/>
    </w:p>
    <w:p w14:paraId="7BC2246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69" w:name="_Toc307905069"/>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 评标委员会</w:t>
      </w:r>
      <w:bookmarkEnd w:id="69"/>
    </w:p>
    <w:p w14:paraId="45730A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.1.1 评标由</w:t>
      </w:r>
      <w:r>
        <w:rPr>
          <w:rFonts w:hint="eastAsia" w:ascii="宋体" w:hAnsi="宋体" w:eastAsia="宋体" w:cs="宋体"/>
          <w:color w:val="auto"/>
          <w:sz w:val="24"/>
          <w:lang w:eastAsia="zh-CN"/>
        </w:rPr>
        <w:t>采购人</w:t>
      </w:r>
      <w:r>
        <w:rPr>
          <w:rFonts w:hint="eastAsia" w:ascii="宋体" w:hAnsi="宋体" w:eastAsia="宋体" w:cs="宋体"/>
          <w:color w:val="auto"/>
          <w:sz w:val="24"/>
        </w:rPr>
        <w:t>依法组建的评标委员会负责。评标委员会成员人数以及技术、经济等方面专家的确定方式见</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w:t>
      </w:r>
    </w:p>
    <w:p w14:paraId="731A89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.1.2 评标委员会成员有下列情形之一的，应当回避：</w:t>
      </w:r>
    </w:p>
    <w:p w14:paraId="7FF559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szCs w:val="21"/>
          <w:lang w:eastAsia="zh-CN"/>
        </w:rPr>
        <w:t>供应商</w:t>
      </w:r>
      <w:r>
        <w:rPr>
          <w:rFonts w:hint="eastAsia" w:ascii="宋体" w:hAnsi="宋体" w:eastAsia="宋体" w:cs="宋体"/>
          <w:color w:val="auto"/>
          <w:sz w:val="24"/>
        </w:rPr>
        <w:t>或</w:t>
      </w:r>
      <w:r>
        <w:rPr>
          <w:rFonts w:hint="eastAsia" w:ascii="宋体" w:hAnsi="宋体" w:cs="宋体"/>
          <w:color w:val="auto"/>
          <w:sz w:val="24"/>
          <w:szCs w:val="21"/>
          <w:lang w:eastAsia="zh-CN"/>
        </w:rPr>
        <w:t>供应商</w:t>
      </w:r>
      <w:r>
        <w:rPr>
          <w:rFonts w:hint="eastAsia" w:ascii="宋体" w:hAnsi="宋体" w:eastAsia="宋体" w:cs="宋体"/>
          <w:color w:val="auto"/>
          <w:sz w:val="24"/>
        </w:rPr>
        <w:t>的主要负责人的近亲属；</w:t>
      </w:r>
    </w:p>
    <w:p w14:paraId="56BAC2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(2）项目主管部门或者行政监督部门的人员：</w:t>
      </w:r>
    </w:p>
    <w:p w14:paraId="254CBF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(3）与</w:t>
      </w:r>
      <w:r>
        <w:rPr>
          <w:rFonts w:hint="eastAsia" w:ascii="宋体" w:hAnsi="宋体" w:cs="宋体"/>
          <w:color w:val="auto"/>
          <w:sz w:val="24"/>
          <w:szCs w:val="21"/>
          <w:lang w:eastAsia="zh-CN"/>
        </w:rPr>
        <w:t>供应商</w:t>
      </w:r>
      <w:r>
        <w:rPr>
          <w:rFonts w:hint="eastAsia" w:ascii="宋体" w:hAnsi="宋体" w:eastAsia="宋体" w:cs="宋体"/>
          <w:color w:val="auto"/>
          <w:sz w:val="24"/>
        </w:rPr>
        <w:t>有经济利益关系，可能影响对投标公正评审的；</w:t>
      </w:r>
    </w:p>
    <w:p w14:paraId="5753D3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(4）曾因在招标、评标以及其他与招标投标有关活动中从事违法行为而受过行政处罚或刑事处罚的。</w:t>
      </w:r>
    </w:p>
    <w:p w14:paraId="4B9231A3">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70" w:name="_Toc307905070"/>
      <w:r>
        <w:rPr>
          <w:rFonts w:hint="eastAsia" w:ascii="宋体" w:hAnsi="宋体" w:cs="宋体"/>
          <w:color w:val="auto"/>
          <w:sz w:val="24"/>
          <w:szCs w:val="24"/>
          <w:lang w:val="en-US" w:eastAsia="zh-CN"/>
        </w:rPr>
        <w:t>6</w:t>
      </w:r>
      <w:r>
        <w:rPr>
          <w:rFonts w:hint="eastAsia" w:ascii="宋体" w:hAnsi="宋体" w:eastAsia="宋体" w:cs="宋体"/>
          <w:color w:val="auto"/>
          <w:sz w:val="24"/>
          <w:szCs w:val="24"/>
        </w:rPr>
        <w:t>.2 评标原则</w:t>
      </w:r>
      <w:bookmarkEnd w:id="70"/>
    </w:p>
    <w:p w14:paraId="039467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评标活动遵循公平、公正、科学和择优的原则。</w:t>
      </w:r>
    </w:p>
    <w:p w14:paraId="2CD3C816">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71" w:name="_Toc307905071"/>
      <w:r>
        <w:rPr>
          <w:rFonts w:hint="eastAsia" w:ascii="宋体" w:hAnsi="宋体" w:cs="宋体"/>
          <w:color w:val="auto"/>
          <w:sz w:val="24"/>
          <w:szCs w:val="24"/>
          <w:lang w:val="en-US" w:eastAsia="zh-CN"/>
        </w:rPr>
        <w:t>6</w:t>
      </w:r>
      <w:r>
        <w:rPr>
          <w:rFonts w:hint="eastAsia" w:ascii="宋体" w:hAnsi="宋体" w:eastAsia="宋体" w:cs="宋体"/>
          <w:color w:val="auto"/>
          <w:sz w:val="24"/>
          <w:szCs w:val="24"/>
        </w:rPr>
        <w:t>.3 评标</w:t>
      </w:r>
      <w:bookmarkEnd w:id="71"/>
    </w:p>
    <w:p w14:paraId="68D0B4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评标委员会按照第三章“评标办法”规定的方法、评审因素、标准和程序对投标文件进行评审。第三章“评标办法”没有规定的方法、评审因素和标准，不作为评标依据。</w:t>
      </w:r>
    </w:p>
    <w:p w14:paraId="34B1F992">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72" w:name="_Toc322792294"/>
      <w:bookmarkStart w:id="73" w:name="_Toc322791374"/>
      <w:bookmarkStart w:id="74" w:name="_Toc404096920"/>
      <w:bookmarkStart w:id="75" w:name="_Toc184635077"/>
      <w:bookmarkStart w:id="76" w:name="_Toc322792552"/>
      <w:bookmarkStart w:id="77" w:name="_Toc358045605"/>
      <w:bookmarkStart w:id="78" w:name="_Toc324426331"/>
      <w:bookmarkStart w:id="79" w:name="_Toc307905276"/>
      <w:bookmarkStart w:id="80" w:name="_Toc307905072"/>
      <w:r>
        <w:rPr>
          <w:rFonts w:hint="eastAsia" w:ascii="宋体" w:hAnsi="宋体" w:eastAsia="宋体" w:cs="宋体"/>
          <w:color w:val="auto"/>
          <w:szCs w:val="24"/>
          <w:lang w:val="en-US" w:eastAsia="zh-CN"/>
        </w:rPr>
        <w:t>7</w:t>
      </w:r>
      <w:r>
        <w:rPr>
          <w:rFonts w:hint="eastAsia" w:ascii="宋体" w:hAnsi="宋体" w:eastAsia="宋体" w:cs="宋体"/>
          <w:color w:val="auto"/>
          <w:szCs w:val="24"/>
        </w:rPr>
        <w:t>.合同授予</w:t>
      </w:r>
      <w:bookmarkEnd w:id="72"/>
      <w:bookmarkEnd w:id="73"/>
      <w:bookmarkEnd w:id="74"/>
      <w:bookmarkEnd w:id="75"/>
      <w:bookmarkEnd w:id="76"/>
      <w:bookmarkEnd w:id="77"/>
      <w:bookmarkEnd w:id="78"/>
      <w:bookmarkEnd w:id="79"/>
      <w:bookmarkEnd w:id="80"/>
    </w:p>
    <w:p w14:paraId="745DCB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本招标项目的合同将授予按本评标办法确定的中标供应商。</w:t>
      </w:r>
    </w:p>
    <w:p w14:paraId="32CFA5C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中标或者成交供应商拒绝与采购人签订合同的，采购人可以按照评审报告推荐的中标或者成交候选人名单排序，确定下一候选人为中标或者成交供应商，也可以重新开展政府采购活动。</w:t>
      </w:r>
    </w:p>
    <w:p w14:paraId="2399E1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采购人不承诺将合同授予报价最低的或最高的中标候选人。</w:t>
      </w:r>
    </w:p>
    <w:p w14:paraId="1BD6D53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 xml:space="preserve">7.1 定标办法 </w:t>
      </w:r>
    </w:p>
    <w:p w14:paraId="0003B9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7.1.1响应单位的排名按得分顺序从高到低排列；得分相同的，按响应报价由低到高顺序排列；得分且响应报价相同的，按技术指标优劣顺序排列。</w:t>
      </w:r>
    </w:p>
    <w:p w14:paraId="36C1AE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7.1.2采购人按评标小组写出评标报告确定排序第一的响应单位为成交人。</w:t>
      </w:r>
    </w:p>
    <w:p w14:paraId="18711B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7.2 中标通知 </w:t>
      </w:r>
    </w:p>
    <w:p w14:paraId="7FE75A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7.2.1 采购代理机构应当在评标结束后 2 个工作日内将评标报告送采购人。</w:t>
      </w:r>
    </w:p>
    <w:p w14:paraId="4F761A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7.2.2 采购人应当自收到评标报告之日起 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70A251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采购人或者采购代理机构应当自中标人确定之日起 2 个工作日内，在省级以上财政部门指定的媒体上公告中标结果，招标文件应当随中标结果同时公告。 </w:t>
      </w:r>
    </w:p>
    <w:p w14:paraId="1DD9BF3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中标结果公告内容应当包括采购人及其委托的采购代理机构的名称、地址、联系方式，项目名称和项目编号，中标人名称、地址和中标金额，主要中标标的的名称、规格型号、数量、单价，中标公告期限以及评审专家名单。 </w:t>
      </w:r>
    </w:p>
    <w:p w14:paraId="61522A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中标公告期限为 1 个工作日。 </w:t>
      </w:r>
    </w:p>
    <w:p w14:paraId="15A15E3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在公告中标结果的同时，采购人或者采购代理机构应当向中标人发出中标通知书；对未通过资格审查的供应商，应当告知其未通过的原因。 </w:t>
      </w:r>
    </w:p>
    <w:p w14:paraId="1608187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中标通知书发出后，采购人不得违法改变中标结果，中标人无正当理由不得放弃中标。 </w:t>
      </w:r>
    </w:p>
    <w:p w14:paraId="7E32B3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7.3 签订合同</w:t>
      </w:r>
      <w:r>
        <w:rPr>
          <w:rFonts w:hint="eastAsia" w:ascii="宋体" w:hAnsi="宋体" w:eastAsia="宋体" w:cs="宋体"/>
          <w:color w:val="auto"/>
          <w:sz w:val="24"/>
        </w:rPr>
        <w:t xml:space="preserve"> </w:t>
      </w:r>
    </w:p>
    <w:p w14:paraId="76A462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7.3.1 采购人应当自中标通知书发出之日起 30 日内，按照招标文件和中标人投标文件的规定，与中标人签订书面合同。所签订的合同不得对招标文件确定的事项和中标人投标文件作实质性修改。 </w:t>
      </w:r>
    </w:p>
    <w:p w14:paraId="468434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7.3.2 采购人不得向中标人提出任何不合理的要求作为签订合同的条件。 </w:t>
      </w:r>
    </w:p>
    <w:p w14:paraId="221BA25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7.3.3 发出中标通知书后，采购人无正当理由拒签合同的，给中标人造成损失的，还应当赔偿损失。</w:t>
      </w:r>
    </w:p>
    <w:p w14:paraId="5143AEDF">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81" w:name="_Toc324426332"/>
      <w:bookmarkStart w:id="82" w:name="_Toc322792553"/>
      <w:bookmarkStart w:id="83" w:name="_Toc358045606"/>
      <w:bookmarkStart w:id="84" w:name="_Toc404096921"/>
      <w:bookmarkStart w:id="85" w:name="_Toc322791375"/>
      <w:bookmarkStart w:id="86" w:name="_Toc184635078"/>
      <w:bookmarkStart w:id="87" w:name="_Toc307905277"/>
      <w:bookmarkStart w:id="88" w:name="_Toc322792295"/>
      <w:bookmarkStart w:id="89" w:name="_Toc307905077"/>
      <w:r>
        <w:rPr>
          <w:rFonts w:hint="eastAsia" w:ascii="宋体" w:hAnsi="宋体" w:eastAsia="宋体" w:cs="宋体"/>
          <w:color w:val="auto"/>
          <w:szCs w:val="24"/>
          <w:lang w:val="en-US" w:eastAsia="zh-CN"/>
        </w:rPr>
        <w:t>8</w:t>
      </w:r>
      <w:r>
        <w:rPr>
          <w:rFonts w:hint="eastAsia" w:ascii="宋体" w:hAnsi="宋体" w:eastAsia="宋体" w:cs="宋体"/>
          <w:color w:val="auto"/>
          <w:szCs w:val="24"/>
        </w:rPr>
        <w:t>.重新招标和不再招标</w:t>
      </w:r>
      <w:bookmarkEnd w:id="81"/>
      <w:bookmarkEnd w:id="82"/>
      <w:bookmarkEnd w:id="83"/>
      <w:bookmarkEnd w:id="84"/>
      <w:bookmarkEnd w:id="85"/>
      <w:bookmarkEnd w:id="86"/>
      <w:bookmarkEnd w:id="87"/>
      <w:bookmarkEnd w:id="88"/>
      <w:bookmarkEnd w:id="89"/>
    </w:p>
    <w:p w14:paraId="2946EDB0">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90" w:name="_Toc307905078"/>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 重新招标</w:t>
      </w:r>
      <w:bookmarkEnd w:id="90"/>
    </w:p>
    <w:p w14:paraId="0B9B5C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有下列情形之一的，</w:t>
      </w:r>
      <w:r>
        <w:rPr>
          <w:rFonts w:hint="eastAsia" w:ascii="宋体" w:hAnsi="宋体" w:eastAsia="宋体" w:cs="宋体"/>
          <w:color w:val="auto"/>
          <w:sz w:val="24"/>
          <w:lang w:eastAsia="zh-CN"/>
        </w:rPr>
        <w:t>供应商</w:t>
      </w:r>
      <w:r>
        <w:rPr>
          <w:rFonts w:hint="eastAsia" w:ascii="宋体" w:hAnsi="宋体" w:eastAsia="宋体" w:cs="宋体"/>
          <w:color w:val="auto"/>
          <w:sz w:val="24"/>
        </w:rPr>
        <w:t>将重新招标：</w:t>
      </w:r>
    </w:p>
    <w:p w14:paraId="6C1838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(l）投标截止时间止，</w:t>
      </w:r>
      <w:r>
        <w:rPr>
          <w:rFonts w:hint="eastAsia" w:ascii="宋体" w:hAnsi="宋体" w:eastAsia="宋体" w:cs="宋体"/>
          <w:color w:val="auto"/>
          <w:sz w:val="24"/>
          <w:lang w:eastAsia="zh-CN"/>
        </w:rPr>
        <w:t>供应商</w:t>
      </w:r>
      <w:r>
        <w:rPr>
          <w:rFonts w:hint="eastAsia" w:ascii="宋体" w:hAnsi="宋体" w:eastAsia="宋体" w:cs="宋体"/>
          <w:color w:val="auto"/>
          <w:sz w:val="24"/>
        </w:rPr>
        <w:t>少于3个的；</w:t>
      </w:r>
    </w:p>
    <w:p w14:paraId="051786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通过资格性审查的</w:t>
      </w:r>
      <w:r>
        <w:rPr>
          <w:rFonts w:hint="eastAsia" w:ascii="宋体" w:hAnsi="宋体" w:eastAsia="宋体" w:cs="宋体"/>
          <w:color w:val="auto"/>
          <w:sz w:val="24"/>
          <w:lang w:eastAsia="zh-CN"/>
        </w:rPr>
        <w:t>供应商</w:t>
      </w:r>
      <w:r>
        <w:rPr>
          <w:rFonts w:hint="eastAsia" w:ascii="宋体" w:hAnsi="宋体" w:eastAsia="宋体" w:cs="宋体"/>
          <w:color w:val="auto"/>
          <w:sz w:val="24"/>
          <w:lang w:val="en-US" w:eastAsia="zh-CN"/>
        </w:rPr>
        <w:t>不足三家的</w:t>
      </w:r>
      <w:r>
        <w:rPr>
          <w:rFonts w:hint="eastAsia" w:ascii="宋体" w:hAnsi="宋体" w:eastAsia="宋体" w:cs="宋体"/>
          <w:color w:val="auto"/>
          <w:sz w:val="24"/>
        </w:rPr>
        <w:t>。</w:t>
      </w:r>
    </w:p>
    <w:p w14:paraId="7E1E259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91" w:name="_Toc307905079"/>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 不再招标</w:t>
      </w:r>
      <w:bookmarkEnd w:id="91"/>
    </w:p>
    <w:p w14:paraId="679D025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重新招标后</w:t>
      </w:r>
      <w:r>
        <w:rPr>
          <w:rFonts w:hint="eastAsia" w:ascii="宋体" w:hAnsi="宋体" w:eastAsia="宋体" w:cs="宋体"/>
          <w:color w:val="auto"/>
          <w:sz w:val="24"/>
          <w:lang w:eastAsia="zh-CN"/>
        </w:rPr>
        <w:t>供应商</w:t>
      </w:r>
      <w:r>
        <w:rPr>
          <w:rFonts w:hint="eastAsia" w:ascii="宋体" w:hAnsi="宋体" w:eastAsia="宋体" w:cs="宋体"/>
          <w:color w:val="auto"/>
          <w:sz w:val="24"/>
        </w:rPr>
        <w:t>仍少于3个或者所有投标被否决的，</w:t>
      </w:r>
      <w:r>
        <w:rPr>
          <w:rFonts w:hint="eastAsia" w:ascii="宋体" w:hAnsi="宋体" w:eastAsia="宋体" w:cs="宋体"/>
          <w:color w:val="auto"/>
          <w:sz w:val="24"/>
          <w:lang w:eastAsia="zh-CN"/>
        </w:rPr>
        <w:t>供应商</w:t>
      </w:r>
      <w:r>
        <w:rPr>
          <w:rFonts w:hint="eastAsia" w:ascii="宋体" w:hAnsi="宋体" w:eastAsia="宋体" w:cs="宋体"/>
          <w:color w:val="auto"/>
          <w:sz w:val="24"/>
        </w:rPr>
        <w:t>可以不再进行招标。</w:t>
      </w:r>
    </w:p>
    <w:p w14:paraId="126F6619">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92" w:name="_Toc322791376"/>
      <w:bookmarkStart w:id="93" w:name="_Toc307905278"/>
      <w:bookmarkStart w:id="94" w:name="_Toc404096922"/>
      <w:bookmarkStart w:id="95" w:name="_Toc322792296"/>
      <w:bookmarkStart w:id="96" w:name="_Toc322792554"/>
      <w:bookmarkStart w:id="97" w:name="_Toc184635079"/>
      <w:bookmarkStart w:id="98" w:name="_Toc358045607"/>
      <w:bookmarkStart w:id="99" w:name="_Toc324426333"/>
      <w:bookmarkStart w:id="100" w:name="_Toc307905080"/>
      <w:r>
        <w:rPr>
          <w:rFonts w:hint="eastAsia" w:ascii="宋体" w:hAnsi="宋体" w:eastAsia="宋体" w:cs="宋体"/>
          <w:color w:val="auto"/>
          <w:szCs w:val="24"/>
          <w:lang w:val="en-US" w:eastAsia="zh-CN"/>
        </w:rPr>
        <w:t>9</w:t>
      </w:r>
      <w:r>
        <w:rPr>
          <w:rFonts w:hint="eastAsia" w:ascii="宋体" w:hAnsi="宋体" w:eastAsia="宋体" w:cs="宋体"/>
          <w:color w:val="auto"/>
          <w:szCs w:val="24"/>
        </w:rPr>
        <w:t>.纪律和监督</w:t>
      </w:r>
      <w:bookmarkEnd w:id="92"/>
      <w:bookmarkEnd w:id="93"/>
      <w:bookmarkEnd w:id="94"/>
      <w:bookmarkEnd w:id="95"/>
      <w:bookmarkEnd w:id="96"/>
      <w:bookmarkEnd w:id="97"/>
      <w:bookmarkEnd w:id="98"/>
      <w:bookmarkEnd w:id="99"/>
      <w:bookmarkEnd w:id="100"/>
    </w:p>
    <w:p w14:paraId="2EFC80CC">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1" w:name="_Toc307905081"/>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对</w:t>
      </w:r>
      <w:r>
        <w:rPr>
          <w:rFonts w:hint="eastAsia" w:ascii="宋体" w:hAnsi="宋体" w:eastAsia="宋体" w:cs="宋体"/>
          <w:color w:val="auto"/>
          <w:sz w:val="24"/>
          <w:lang w:eastAsia="zh-CN"/>
        </w:rPr>
        <w:t>采购人</w:t>
      </w:r>
      <w:r>
        <w:rPr>
          <w:rFonts w:hint="eastAsia" w:ascii="宋体" w:hAnsi="宋体" w:eastAsia="宋体" w:cs="宋体"/>
          <w:color w:val="auto"/>
          <w:sz w:val="24"/>
          <w:szCs w:val="24"/>
        </w:rPr>
        <w:t>的纪律要求</w:t>
      </w:r>
      <w:bookmarkEnd w:id="101"/>
    </w:p>
    <w:p w14:paraId="458018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采购人</w:t>
      </w:r>
      <w:r>
        <w:rPr>
          <w:rFonts w:hint="eastAsia" w:ascii="宋体" w:hAnsi="宋体" w:eastAsia="宋体" w:cs="宋体"/>
          <w:color w:val="auto"/>
          <w:sz w:val="24"/>
        </w:rPr>
        <w:t>不得泄漏招标投标活动中应当保密的情况和资料，不得与</w:t>
      </w:r>
      <w:r>
        <w:rPr>
          <w:rFonts w:hint="eastAsia" w:ascii="宋体" w:hAnsi="宋体" w:eastAsia="宋体" w:cs="宋体"/>
          <w:color w:val="auto"/>
          <w:sz w:val="24"/>
          <w:lang w:eastAsia="zh-CN"/>
        </w:rPr>
        <w:t>供应商</w:t>
      </w:r>
      <w:r>
        <w:rPr>
          <w:rFonts w:hint="eastAsia" w:ascii="宋体" w:hAnsi="宋体" w:eastAsia="宋体" w:cs="宋体"/>
          <w:color w:val="auto"/>
          <w:sz w:val="24"/>
        </w:rPr>
        <w:t>串通损害国家利益、社会公共利益或者他人合法权益。</w:t>
      </w:r>
    </w:p>
    <w:p w14:paraId="0CD73538">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2" w:name="_Toc307905082"/>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对</w:t>
      </w:r>
      <w:r>
        <w:rPr>
          <w:rFonts w:hint="eastAsia" w:ascii="宋体" w:hAnsi="宋体" w:eastAsia="宋体" w:cs="宋体"/>
          <w:color w:val="auto"/>
          <w:sz w:val="24"/>
          <w:lang w:eastAsia="zh-CN"/>
        </w:rPr>
        <w:t>供应商</w:t>
      </w:r>
      <w:r>
        <w:rPr>
          <w:rFonts w:hint="eastAsia" w:ascii="宋体" w:hAnsi="宋体" w:eastAsia="宋体" w:cs="宋体"/>
          <w:color w:val="auto"/>
          <w:sz w:val="24"/>
          <w:szCs w:val="24"/>
        </w:rPr>
        <w:t>的纪律要求</w:t>
      </w:r>
      <w:bookmarkEnd w:id="102"/>
    </w:p>
    <w:p w14:paraId="0D3E4C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不得相互串通投标或者与</w:t>
      </w:r>
      <w:r>
        <w:rPr>
          <w:rFonts w:hint="eastAsia" w:ascii="宋体" w:hAnsi="宋体" w:eastAsia="宋体" w:cs="宋体"/>
          <w:color w:val="auto"/>
          <w:sz w:val="24"/>
          <w:lang w:eastAsia="zh-CN"/>
        </w:rPr>
        <w:t>采购人</w:t>
      </w:r>
      <w:r>
        <w:rPr>
          <w:rFonts w:hint="eastAsia" w:ascii="宋体" w:hAnsi="宋体" w:eastAsia="宋体" w:cs="宋体"/>
          <w:color w:val="auto"/>
          <w:sz w:val="24"/>
        </w:rPr>
        <w:t>串通投标，不得向</w:t>
      </w:r>
      <w:r>
        <w:rPr>
          <w:rFonts w:hint="eastAsia" w:ascii="宋体" w:hAnsi="宋体" w:eastAsia="宋体" w:cs="宋体"/>
          <w:color w:val="auto"/>
          <w:sz w:val="24"/>
          <w:lang w:eastAsia="zh-CN"/>
        </w:rPr>
        <w:t>采购人</w:t>
      </w:r>
      <w:r>
        <w:rPr>
          <w:rFonts w:hint="eastAsia" w:ascii="宋体" w:hAnsi="宋体" w:eastAsia="宋体" w:cs="宋体"/>
          <w:color w:val="auto"/>
          <w:sz w:val="24"/>
        </w:rPr>
        <w:t>或者评标委员会成员行贿谋取中标，不得以他人名义投标或者以其他方式弄虚作假骗取中标；</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不得以任何方式干扰、影响评标工作。</w:t>
      </w:r>
    </w:p>
    <w:p w14:paraId="1DFE3E1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3" w:name="_Toc307905083"/>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对评标委员会成员的纪律要求</w:t>
      </w:r>
      <w:bookmarkEnd w:id="103"/>
    </w:p>
    <w:p w14:paraId="30CBD9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C03B08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4" w:name="_Toc307905084"/>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 对与评标活动有关的工作人员的纪律要求</w:t>
      </w:r>
      <w:bookmarkEnd w:id="104"/>
    </w:p>
    <w:p w14:paraId="45B61C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6AAF5">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5" w:name="_Toc307905085"/>
      <w:r>
        <w:rPr>
          <w:rFonts w:hint="eastAsia" w:ascii="宋体" w:hAnsi="宋体" w:cs="宋体"/>
          <w:color w:val="auto"/>
          <w:sz w:val="24"/>
          <w:szCs w:val="24"/>
          <w:lang w:val="en-US" w:eastAsia="zh-CN"/>
        </w:rPr>
        <w:t>9</w:t>
      </w:r>
      <w:r>
        <w:rPr>
          <w:rFonts w:hint="eastAsia" w:ascii="宋体" w:hAnsi="宋体" w:eastAsia="宋体" w:cs="宋体"/>
          <w:color w:val="auto"/>
          <w:sz w:val="24"/>
          <w:szCs w:val="24"/>
        </w:rPr>
        <w:t>.5 投诉</w:t>
      </w:r>
      <w:bookmarkEnd w:id="105"/>
    </w:p>
    <w:p w14:paraId="702FC44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和其他利害关系人认为本次招标活动违反法律、法规和规章规定的，有权向有关行政监督部门投诉。</w:t>
      </w:r>
    </w:p>
    <w:p w14:paraId="432DC682">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106" w:name="_Toc307905279"/>
      <w:bookmarkStart w:id="107" w:name="_Toc324426334"/>
      <w:bookmarkStart w:id="108" w:name="_Toc322792555"/>
      <w:bookmarkStart w:id="109" w:name="_Toc184635080"/>
      <w:bookmarkStart w:id="110" w:name="_Toc358045608"/>
      <w:bookmarkStart w:id="111" w:name="_Toc307905086"/>
      <w:bookmarkStart w:id="112" w:name="_Toc322791377"/>
      <w:bookmarkStart w:id="113" w:name="_Toc404096923"/>
      <w:bookmarkStart w:id="114" w:name="_Toc322792297"/>
      <w:r>
        <w:rPr>
          <w:rFonts w:hint="eastAsia" w:ascii="宋体" w:hAnsi="宋体" w:eastAsia="宋体" w:cs="宋体"/>
          <w:color w:val="auto"/>
          <w:szCs w:val="24"/>
          <w:lang w:val="en-US" w:eastAsia="zh-CN"/>
        </w:rPr>
        <w:t>9</w:t>
      </w:r>
      <w:r>
        <w:rPr>
          <w:rFonts w:hint="eastAsia" w:ascii="宋体" w:hAnsi="宋体" w:eastAsia="宋体" w:cs="宋体"/>
          <w:color w:val="auto"/>
          <w:szCs w:val="24"/>
        </w:rPr>
        <w:t>.需要补充的其他内容</w:t>
      </w:r>
      <w:bookmarkEnd w:id="106"/>
      <w:bookmarkEnd w:id="107"/>
      <w:bookmarkEnd w:id="108"/>
      <w:bookmarkEnd w:id="109"/>
      <w:bookmarkEnd w:id="110"/>
      <w:bookmarkEnd w:id="111"/>
      <w:bookmarkEnd w:id="112"/>
      <w:bookmarkEnd w:id="113"/>
      <w:bookmarkEnd w:id="114"/>
    </w:p>
    <w:p w14:paraId="3EB5CF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需要补充的其他内容：见</w:t>
      </w:r>
      <w:r>
        <w:rPr>
          <w:rFonts w:hint="eastAsia" w:ascii="宋体" w:hAnsi="宋体" w:eastAsia="宋体" w:cs="宋体"/>
          <w:color w:val="auto"/>
          <w:sz w:val="24"/>
          <w:lang w:eastAsia="zh-CN"/>
        </w:rPr>
        <w:t>供应商</w:t>
      </w:r>
      <w:r>
        <w:rPr>
          <w:rFonts w:hint="eastAsia" w:ascii="宋体" w:hAnsi="宋体" w:eastAsia="宋体" w:cs="宋体"/>
          <w:color w:val="auto"/>
          <w:sz w:val="24"/>
        </w:rPr>
        <w:t>须知前附表。</w:t>
      </w:r>
    </w:p>
    <w:p w14:paraId="7AD4B6BD">
      <w:pPr>
        <w:pStyle w:val="30"/>
        <w:spacing w:line="240" w:lineRule="auto"/>
        <w:rPr>
          <w:rFonts w:hint="eastAsia" w:ascii="宋体" w:hAnsi="宋体" w:eastAsia="宋体" w:cs="宋体"/>
          <w:color w:val="auto"/>
          <w:sz w:val="24"/>
          <w:szCs w:val="24"/>
        </w:rPr>
      </w:pPr>
    </w:p>
    <w:p w14:paraId="75AA11B6">
      <w:pPr>
        <w:pStyle w:val="30"/>
        <w:spacing w:line="240" w:lineRule="auto"/>
        <w:rPr>
          <w:rFonts w:hint="eastAsia" w:ascii="宋体" w:hAnsi="宋体" w:eastAsia="宋体" w:cs="宋体"/>
          <w:color w:val="auto"/>
          <w:sz w:val="24"/>
          <w:szCs w:val="24"/>
        </w:rPr>
      </w:pPr>
    </w:p>
    <w:p w14:paraId="5B944A69">
      <w:pPr>
        <w:pStyle w:val="30"/>
        <w:spacing w:line="240" w:lineRule="auto"/>
        <w:rPr>
          <w:rFonts w:hint="eastAsia" w:ascii="宋体" w:hAnsi="宋体" w:eastAsia="宋体" w:cs="宋体"/>
          <w:color w:val="auto"/>
          <w:sz w:val="24"/>
          <w:szCs w:val="24"/>
        </w:rPr>
      </w:pPr>
    </w:p>
    <w:p w14:paraId="54131EDE">
      <w:pPr>
        <w:pStyle w:val="30"/>
        <w:jc w:val="center"/>
        <w:outlineLvl w:val="0"/>
        <w:rPr>
          <w:rFonts w:hint="eastAsia" w:ascii="宋体" w:hAnsi="宋体" w:eastAsia="宋体" w:cs="宋体"/>
          <w:b/>
          <w:bCs/>
          <w:color w:val="auto"/>
          <w:sz w:val="32"/>
          <w:szCs w:val="36"/>
        </w:rPr>
      </w:pPr>
      <w:r>
        <w:rPr>
          <w:rFonts w:hint="eastAsia" w:ascii="宋体" w:hAnsi="宋体" w:eastAsia="宋体" w:cs="宋体"/>
          <w:b/>
          <w:color w:val="auto"/>
        </w:rPr>
        <w:br w:type="page"/>
      </w:r>
      <w:bookmarkStart w:id="115" w:name="_Toc31777"/>
      <w:bookmarkStart w:id="116" w:name="_Toc437348438"/>
      <w:bookmarkStart w:id="117" w:name="_Toc261074832"/>
      <w:bookmarkStart w:id="118" w:name="_Toc259297787"/>
      <w:bookmarkStart w:id="119" w:name="_Toc16382"/>
      <w:bookmarkStart w:id="120" w:name="_Toc12590"/>
      <w:bookmarkStart w:id="121" w:name="_Toc14157"/>
      <w:r>
        <w:rPr>
          <w:rStyle w:val="31"/>
          <w:rFonts w:hint="eastAsia"/>
          <w:color w:val="auto"/>
        </w:rPr>
        <w:t>第三章 评标办法</w:t>
      </w:r>
      <w:bookmarkEnd w:id="115"/>
      <w:bookmarkEnd w:id="116"/>
      <w:bookmarkEnd w:id="117"/>
      <w:bookmarkEnd w:id="118"/>
      <w:bookmarkEnd w:id="119"/>
      <w:bookmarkEnd w:id="120"/>
      <w:bookmarkEnd w:id="121"/>
    </w:p>
    <w:p w14:paraId="7801743D">
      <w:pPr>
        <w:bidi w:val="0"/>
        <w:rPr>
          <w:rFonts w:hint="eastAsia"/>
        </w:rPr>
      </w:pPr>
      <w:r>
        <w:rPr>
          <w:rFonts w:hint="eastAsia"/>
        </w:rPr>
        <w:t>1. 投标文件的评审、比较和否决</w:t>
      </w:r>
    </w:p>
    <w:p w14:paraId="47D4B2C1">
      <w:pPr>
        <w:bidi w:val="0"/>
        <w:rPr>
          <w:rFonts w:hint="eastAsia"/>
        </w:rPr>
      </w:pPr>
      <w:r>
        <w:rPr>
          <w:rFonts w:hint="eastAsia"/>
        </w:rPr>
        <w:t>1.1评标委员会将按照招标文件的规定，仅对在实质上响应招标文件要求的投标文件进行评估和比较。</w:t>
      </w:r>
    </w:p>
    <w:p w14:paraId="47194E1E">
      <w:pPr>
        <w:bidi w:val="0"/>
        <w:rPr>
          <w:rFonts w:hint="eastAsia"/>
        </w:rPr>
      </w:pPr>
      <w:r>
        <w:rPr>
          <w:rFonts w:hint="eastAsia"/>
        </w:rPr>
        <w:t>1.2根据相关法律法规及有关招投标文件规定，结合本项目具体情况，制定本次招标评标办法。并按照“公平、公正、科学、择优”的原则进行评标。采用综合评分法进行评比。</w:t>
      </w:r>
    </w:p>
    <w:p w14:paraId="57BF83BD">
      <w:pPr>
        <w:bidi w:val="0"/>
        <w:rPr>
          <w:rFonts w:hint="eastAsia"/>
        </w:rPr>
      </w:pPr>
      <w:r>
        <w:rPr>
          <w:rFonts w:hint="eastAsia"/>
        </w:rPr>
        <w:t>1.3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23CC6AD0">
      <w:pPr>
        <w:bidi w:val="0"/>
        <w:rPr>
          <w:rFonts w:hint="eastAsia"/>
        </w:rPr>
      </w:pPr>
      <w:r>
        <w:rPr>
          <w:rFonts w:hint="eastAsia"/>
        </w:rPr>
        <w:t>1.4评标时，投标报价是评标的重要依据，但不是唯一依据，采购人不承诺将合同授予报价最低或最高的投标供应商。</w:t>
      </w:r>
    </w:p>
    <w:p w14:paraId="0CD5FFAF">
      <w:pPr>
        <w:bidi w:val="0"/>
        <w:rPr>
          <w:rFonts w:hint="eastAsia"/>
        </w:rPr>
      </w:pPr>
      <w:r>
        <w:rPr>
          <w:rFonts w:hint="eastAsia"/>
        </w:rPr>
        <w:t>1.5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p>
    <w:p w14:paraId="6393BB05">
      <w:pPr>
        <w:bidi w:val="0"/>
        <w:rPr>
          <w:rFonts w:hint="eastAsia"/>
        </w:rPr>
      </w:pPr>
      <w:r>
        <w:rPr>
          <w:rFonts w:hint="eastAsia"/>
        </w:rPr>
        <w:t>1.6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A0D9CB1">
      <w:pPr>
        <w:bidi w:val="0"/>
        <w:rPr>
          <w:rFonts w:hint="eastAsia"/>
        </w:rPr>
      </w:pPr>
      <w:r>
        <w:rPr>
          <w:rFonts w:hint="eastAsia"/>
        </w:rPr>
        <w:t>1.7供应商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方式确定，其他同品牌投标人不作为中标候选人。</w:t>
      </w:r>
    </w:p>
    <w:p w14:paraId="48B0A33F">
      <w:pPr>
        <w:pStyle w:val="8"/>
        <w:kinsoku w:val="0"/>
        <w:overflowPunct w:val="0"/>
        <w:spacing w:before="212" w:after="2" w:line="360" w:lineRule="auto"/>
        <w:ind w:left="22"/>
        <w:jc w:val="both"/>
        <w:rPr>
          <w:rFonts w:hint="eastAsia" w:ascii="宋体" w:hAnsi="宋体" w:eastAsia="宋体" w:cs="宋体"/>
          <w:color w:val="auto"/>
        </w:rPr>
      </w:pPr>
      <w:r>
        <w:rPr>
          <w:rFonts w:hint="eastAsia"/>
        </w:rPr>
        <w:t>2．评分标准</w:t>
      </w:r>
      <w:r>
        <w:rPr>
          <w:rFonts w:hint="eastAsia"/>
          <w:lang w:eastAsia="zh-CN"/>
        </w:rPr>
        <w:t>（</w:t>
      </w:r>
      <w:r>
        <w:rPr>
          <w:rFonts w:hint="eastAsia"/>
        </w:rPr>
        <w:t>采用综合评分法</w:t>
      </w:r>
      <w:r>
        <w:rPr>
          <w:rFonts w:hint="eastAsia"/>
          <w:lang w:eastAsia="zh-CN"/>
        </w:rPr>
        <w:t>）</w:t>
      </w:r>
    </w:p>
    <w:p w14:paraId="007B3C2B">
      <w:pPr>
        <w:pStyle w:val="8"/>
        <w:kinsoku w:val="0"/>
        <w:overflowPunct w:val="0"/>
        <w:spacing w:before="212" w:after="2" w:line="360" w:lineRule="auto"/>
        <w:ind w:left="22"/>
        <w:jc w:val="center"/>
        <w:rPr>
          <w:rFonts w:hint="eastAsia" w:ascii="宋体" w:hAnsi="宋体" w:eastAsia="宋体" w:cs="宋体"/>
          <w:color w:val="auto"/>
        </w:rPr>
      </w:pPr>
      <w:r>
        <w:rPr>
          <w:rFonts w:hint="eastAsia" w:ascii="宋体" w:hAnsi="宋体" w:eastAsia="宋体" w:cs="宋体"/>
          <w:color w:val="auto"/>
        </w:rPr>
        <w:t>评标办法前附表</w:t>
      </w:r>
    </w:p>
    <w:tbl>
      <w:tblPr>
        <w:tblStyle w:val="16"/>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56"/>
        <w:gridCol w:w="570"/>
        <w:gridCol w:w="350"/>
        <w:gridCol w:w="997"/>
        <w:gridCol w:w="976"/>
        <w:gridCol w:w="6421"/>
      </w:tblGrid>
      <w:tr w14:paraId="009DF89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1676" w:type="dxa"/>
            <w:gridSpan w:val="3"/>
            <w:tcBorders>
              <w:top w:val="single" w:color="auto" w:sz="4" w:space="0"/>
              <w:left w:val="single" w:color="auto" w:sz="4" w:space="0"/>
              <w:bottom w:val="single" w:color="000000" w:sz="4" w:space="0"/>
              <w:right w:val="single" w:color="000000" w:sz="4" w:space="0"/>
            </w:tcBorders>
            <w:noWrap w:val="0"/>
            <w:vAlign w:val="center"/>
          </w:tcPr>
          <w:p w14:paraId="05175458">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条款号</w:t>
            </w:r>
          </w:p>
        </w:tc>
        <w:tc>
          <w:tcPr>
            <w:tcW w:w="1973" w:type="dxa"/>
            <w:gridSpan w:val="2"/>
            <w:tcBorders>
              <w:top w:val="single" w:color="auto" w:sz="4" w:space="0"/>
              <w:left w:val="nil"/>
              <w:bottom w:val="single" w:color="000000" w:sz="4" w:space="0"/>
              <w:right w:val="single" w:color="000000" w:sz="4" w:space="0"/>
            </w:tcBorders>
            <w:noWrap w:val="0"/>
            <w:vAlign w:val="center"/>
          </w:tcPr>
          <w:p w14:paraId="4A1B9EAD">
            <w:pPr>
              <w:autoSpaceDE w:val="0"/>
              <w:autoSpaceDN w:val="0"/>
              <w:spacing w:line="320" w:lineRule="exact"/>
              <w:jc w:val="center"/>
              <w:rPr>
                <w:rFonts w:ascii="宋体" w:hAnsi="宋体" w:eastAsia="宋体"/>
                <w:color w:val="auto"/>
                <w:sz w:val="24"/>
                <w:szCs w:val="28"/>
              </w:rPr>
            </w:pPr>
            <w:r>
              <w:rPr>
                <w:rFonts w:hint="eastAsia" w:ascii="宋体" w:hAnsi="宋体" w:eastAsia="宋体"/>
                <w:color w:val="auto"/>
                <w:sz w:val="24"/>
                <w:szCs w:val="28"/>
              </w:rPr>
              <w:t>评审因素</w:t>
            </w:r>
          </w:p>
        </w:tc>
        <w:tc>
          <w:tcPr>
            <w:tcW w:w="6421" w:type="dxa"/>
            <w:tcBorders>
              <w:top w:val="single" w:color="auto" w:sz="4" w:space="0"/>
              <w:left w:val="nil"/>
              <w:bottom w:val="single" w:color="000000" w:sz="4" w:space="0"/>
              <w:right w:val="single" w:color="000000" w:sz="4" w:space="0"/>
            </w:tcBorders>
            <w:noWrap w:val="0"/>
            <w:vAlign w:val="center"/>
          </w:tcPr>
          <w:p w14:paraId="663A145F">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评审标准</w:t>
            </w:r>
          </w:p>
        </w:tc>
      </w:tr>
      <w:tr w14:paraId="224073D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56" w:type="dxa"/>
            <w:vMerge w:val="restart"/>
            <w:tcBorders>
              <w:top w:val="nil"/>
              <w:left w:val="single" w:color="auto" w:sz="4" w:space="0"/>
              <w:bottom w:val="single" w:color="000000" w:sz="4" w:space="0"/>
              <w:right w:val="single" w:color="000000" w:sz="4" w:space="0"/>
            </w:tcBorders>
            <w:noWrap w:val="0"/>
            <w:vAlign w:val="center"/>
          </w:tcPr>
          <w:p w14:paraId="62B33A19">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1.1</w:t>
            </w:r>
          </w:p>
        </w:tc>
        <w:tc>
          <w:tcPr>
            <w:tcW w:w="920" w:type="dxa"/>
            <w:gridSpan w:val="2"/>
            <w:vMerge w:val="restart"/>
            <w:tcBorders>
              <w:top w:val="nil"/>
              <w:left w:val="nil"/>
              <w:bottom w:val="single" w:color="000000" w:sz="4" w:space="0"/>
              <w:right w:val="single" w:color="000000" w:sz="4" w:space="0"/>
            </w:tcBorders>
            <w:noWrap w:val="0"/>
            <w:vAlign w:val="center"/>
          </w:tcPr>
          <w:p w14:paraId="27DA74CB">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符合性评审标准</w:t>
            </w:r>
          </w:p>
        </w:tc>
        <w:tc>
          <w:tcPr>
            <w:tcW w:w="1973" w:type="dxa"/>
            <w:gridSpan w:val="2"/>
            <w:tcBorders>
              <w:top w:val="nil"/>
              <w:left w:val="nil"/>
              <w:bottom w:val="single" w:color="000000" w:sz="4" w:space="0"/>
              <w:right w:val="single" w:color="000000" w:sz="4" w:space="0"/>
            </w:tcBorders>
            <w:noWrap w:val="0"/>
            <w:vAlign w:val="center"/>
          </w:tcPr>
          <w:p w14:paraId="760E76EA">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供应商名称</w:t>
            </w:r>
          </w:p>
        </w:tc>
        <w:tc>
          <w:tcPr>
            <w:tcW w:w="6421" w:type="dxa"/>
            <w:tcBorders>
              <w:top w:val="nil"/>
              <w:left w:val="nil"/>
              <w:bottom w:val="single" w:color="000000" w:sz="4" w:space="0"/>
              <w:right w:val="single" w:color="000000" w:sz="4" w:space="0"/>
            </w:tcBorders>
            <w:noWrap w:val="0"/>
            <w:vAlign w:val="center"/>
          </w:tcPr>
          <w:p w14:paraId="2071D8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与营业执照一致</w:t>
            </w:r>
          </w:p>
        </w:tc>
      </w:tr>
      <w:tr w14:paraId="705608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23C3A450">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09D40C78">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FE6D643">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签字、盖章</w:t>
            </w:r>
          </w:p>
        </w:tc>
        <w:tc>
          <w:tcPr>
            <w:tcW w:w="6421" w:type="dxa"/>
            <w:tcBorders>
              <w:top w:val="nil"/>
              <w:left w:val="nil"/>
              <w:bottom w:val="single" w:color="000000" w:sz="4" w:space="0"/>
              <w:right w:val="single" w:color="000000" w:sz="4" w:space="0"/>
            </w:tcBorders>
            <w:noWrap w:val="0"/>
            <w:vAlign w:val="center"/>
          </w:tcPr>
          <w:p w14:paraId="4E9497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有法定代表人或其委托代理人签字或盖章并加盖单位公章</w:t>
            </w:r>
          </w:p>
        </w:tc>
      </w:tr>
      <w:tr w14:paraId="3F6C627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1"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00B853AF">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54748CE3">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48FCB7F7">
            <w:pPr>
              <w:snapToGri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报价唯一</w:t>
            </w:r>
          </w:p>
        </w:tc>
        <w:tc>
          <w:tcPr>
            <w:tcW w:w="6421" w:type="dxa"/>
            <w:tcBorders>
              <w:top w:val="nil"/>
              <w:left w:val="nil"/>
              <w:bottom w:val="single" w:color="000000" w:sz="4" w:space="0"/>
              <w:right w:val="single" w:color="000000" w:sz="4" w:space="0"/>
            </w:tcBorders>
            <w:noWrap w:val="0"/>
            <w:vAlign w:val="center"/>
          </w:tcPr>
          <w:p w14:paraId="2FB72672">
            <w:pPr>
              <w:snapToGrid w:val="0"/>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只能有一个有效报价，且不超过控制价</w:t>
            </w:r>
          </w:p>
        </w:tc>
      </w:tr>
      <w:tr w14:paraId="79C6D1F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756" w:type="dxa"/>
            <w:vMerge w:val="restart"/>
            <w:tcBorders>
              <w:top w:val="nil"/>
              <w:left w:val="single" w:color="auto" w:sz="4" w:space="0"/>
              <w:right w:val="single" w:color="000000" w:sz="4" w:space="0"/>
            </w:tcBorders>
            <w:noWrap w:val="0"/>
            <w:vAlign w:val="center"/>
          </w:tcPr>
          <w:p w14:paraId="4321DDBD">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1.2</w:t>
            </w:r>
          </w:p>
        </w:tc>
        <w:tc>
          <w:tcPr>
            <w:tcW w:w="920" w:type="dxa"/>
            <w:gridSpan w:val="2"/>
            <w:vMerge w:val="restart"/>
            <w:tcBorders>
              <w:top w:val="nil"/>
              <w:left w:val="nil"/>
              <w:right w:val="single" w:color="000000" w:sz="4" w:space="0"/>
            </w:tcBorders>
            <w:noWrap w:val="0"/>
            <w:vAlign w:val="center"/>
          </w:tcPr>
          <w:p w14:paraId="4446B18E">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资格评审标准</w:t>
            </w:r>
          </w:p>
        </w:tc>
        <w:tc>
          <w:tcPr>
            <w:tcW w:w="1973" w:type="dxa"/>
            <w:gridSpan w:val="2"/>
            <w:tcBorders>
              <w:top w:val="nil"/>
              <w:left w:val="nil"/>
              <w:bottom w:val="single" w:color="000000" w:sz="4" w:space="0"/>
              <w:right w:val="single" w:color="000000" w:sz="4" w:space="0"/>
            </w:tcBorders>
            <w:noWrap w:val="0"/>
            <w:vAlign w:val="center"/>
          </w:tcPr>
          <w:p w14:paraId="135F178F">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满足《中华人民共和国政府采购法》第二十二条的规定</w:t>
            </w:r>
          </w:p>
        </w:tc>
        <w:tc>
          <w:tcPr>
            <w:tcW w:w="6421" w:type="dxa"/>
            <w:tcBorders>
              <w:top w:val="nil"/>
              <w:left w:val="nil"/>
              <w:bottom w:val="single" w:color="000000" w:sz="4" w:space="0"/>
              <w:right w:val="single" w:color="000000" w:sz="4" w:space="0"/>
            </w:tcBorders>
            <w:noWrap w:val="0"/>
            <w:vAlign w:val="center"/>
          </w:tcPr>
          <w:p w14:paraId="5D8E279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（一）具有独立承担民事责任的能力；</w:t>
            </w:r>
          </w:p>
          <w:p w14:paraId="0A8B21D2">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（二）具有良好的商业信誉和健全的财务会计制度；</w:t>
            </w:r>
          </w:p>
          <w:p w14:paraId="679BBCE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（三）具有履行合同所必需的设备和专业技术能力；</w:t>
            </w:r>
          </w:p>
          <w:p w14:paraId="2192B14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（四）有依法缴纳税收和社会保障资金的良好记录；</w:t>
            </w:r>
          </w:p>
          <w:p w14:paraId="5D27EB7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（五）参加政府采购活动前三年内，在经营活动中没有重大违法记录；</w:t>
            </w:r>
          </w:p>
          <w:p w14:paraId="0C37B45F">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（六）法律、行政法规规定的其他条件。</w:t>
            </w:r>
          </w:p>
          <w:p w14:paraId="49ECBA68">
            <w:pPr>
              <w:spacing w:line="360" w:lineRule="auto"/>
              <w:ind w:left="0" w:leftChars="-51" w:hanging="122" w:hangingChars="51"/>
              <w:jc w:val="left"/>
              <w:rPr>
                <w:rFonts w:ascii="宋体" w:hAnsi="宋体" w:eastAsia="宋体"/>
                <w:color w:val="auto"/>
                <w:sz w:val="24"/>
                <w:szCs w:val="28"/>
              </w:rPr>
            </w:pPr>
            <w:r>
              <w:rPr>
                <w:rFonts w:hint="eastAsia" w:ascii="宋体" w:hAnsi="宋体" w:eastAsia="宋体"/>
                <w:color w:val="auto"/>
                <w:sz w:val="24"/>
                <w:szCs w:val="28"/>
              </w:rPr>
              <w:t>注：供应商在投标（响应）时，提供相关承诺函，无需提供上述证明材料；采购人有权在签订合同前要求成交供应商提供相关证明材料以核实成交供应商承诺事项的真实性。</w:t>
            </w:r>
          </w:p>
        </w:tc>
      </w:tr>
      <w:tr w14:paraId="3465080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756" w:type="dxa"/>
            <w:vMerge w:val="continue"/>
            <w:tcBorders>
              <w:left w:val="single" w:color="auto" w:sz="4" w:space="0"/>
              <w:right w:val="single" w:color="000000" w:sz="4" w:space="0"/>
            </w:tcBorders>
            <w:noWrap w:val="0"/>
            <w:vAlign w:val="center"/>
          </w:tcPr>
          <w:p w14:paraId="72BE89C8">
            <w:pPr>
              <w:autoSpaceDE w:val="0"/>
              <w:autoSpaceDN w:val="0"/>
              <w:spacing w:line="320" w:lineRule="exact"/>
              <w:jc w:val="center"/>
              <w:rPr>
                <w:rFonts w:ascii="宋体" w:hAnsi="宋体" w:eastAsia="宋体"/>
                <w:color w:val="auto"/>
                <w:kern w:val="0"/>
                <w:sz w:val="24"/>
                <w:szCs w:val="22"/>
              </w:rPr>
            </w:pPr>
          </w:p>
        </w:tc>
        <w:tc>
          <w:tcPr>
            <w:tcW w:w="920" w:type="dxa"/>
            <w:gridSpan w:val="2"/>
            <w:vMerge w:val="continue"/>
            <w:tcBorders>
              <w:left w:val="nil"/>
              <w:right w:val="single" w:color="000000" w:sz="4" w:space="0"/>
            </w:tcBorders>
            <w:noWrap w:val="0"/>
            <w:vAlign w:val="center"/>
          </w:tcPr>
          <w:p w14:paraId="34BA6036">
            <w:pPr>
              <w:autoSpaceDE w:val="0"/>
              <w:autoSpaceDN w:val="0"/>
              <w:spacing w:line="320" w:lineRule="exac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42B6891">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营业执照</w:t>
            </w:r>
          </w:p>
        </w:tc>
        <w:tc>
          <w:tcPr>
            <w:tcW w:w="6421" w:type="dxa"/>
            <w:tcBorders>
              <w:top w:val="nil"/>
              <w:left w:val="nil"/>
              <w:bottom w:val="single" w:color="000000" w:sz="4" w:space="0"/>
              <w:right w:val="single" w:color="000000" w:sz="4" w:space="0"/>
            </w:tcBorders>
            <w:noWrap w:val="0"/>
            <w:vAlign w:val="center"/>
          </w:tcPr>
          <w:p w14:paraId="03F2AF49">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eastAsia="宋体"/>
                <w:color w:val="auto"/>
                <w:sz w:val="24"/>
                <w:szCs w:val="28"/>
              </w:rPr>
            </w:pPr>
            <w:r>
              <w:rPr>
                <w:rFonts w:hint="eastAsia" w:ascii="宋体" w:hAnsi="宋体" w:eastAsia="宋体"/>
                <w:color w:val="auto"/>
                <w:sz w:val="24"/>
                <w:szCs w:val="28"/>
              </w:rPr>
              <w:t>供应商须具有有效的营业执照</w:t>
            </w:r>
          </w:p>
        </w:tc>
      </w:tr>
      <w:tr w14:paraId="597E2A9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756" w:type="dxa"/>
            <w:vMerge w:val="continue"/>
            <w:tcBorders>
              <w:top w:val="single" w:color="auto" w:sz="4" w:space="0"/>
              <w:left w:val="single" w:color="auto" w:sz="4" w:space="0"/>
              <w:bottom w:val="single" w:color="auto" w:sz="4" w:space="0"/>
              <w:right w:val="single" w:color="000000" w:sz="4" w:space="0"/>
            </w:tcBorders>
            <w:noWrap w:val="0"/>
            <w:vAlign w:val="center"/>
          </w:tcPr>
          <w:p w14:paraId="71EE6CD0">
            <w:pPr>
              <w:widowControl/>
              <w:jc w:val="left"/>
              <w:rPr>
                <w:rFonts w:ascii="宋体" w:hAnsi="宋体" w:eastAsia="宋体"/>
                <w:color w:val="auto"/>
                <w:kern w:val="0"/>
                <w:sz w:val="24"/>
                <w:szCs w:val="22"/>
              </w:rPr>
            </w:pPr>
          </w:p>
        </w:tc>
        <w:tc>
          <w:tcPr>
            <w:tcW w:w="920" w:type="dxa"/>
            <w:gridSpan w:val="2"/>
            <w:vMerge w:val="continue"/>
            <w:tcBorders>
              <w:top w:val="single" w:color="auto" w:sz="4" w:space="0"/>
              <w:left w:val="nil"/>
              <w:bottom w:val="single" w:color="auto" w:sz="4" w:space="0"/>
              <w:right w:val="single" w:color="auto" w:sz="4" w:space="0"/>
            </w:tcBorders>
            <w:noWrap w:val="0"/>
            <w:vAlign w:val="center"/>
          </w:tcPr>
          <w:p w14:paraId="4739F680">
            <w:pPr>
              <w:widowControl/>
              <w:jc w:val="left"/>
              <w:rPr>
                <w:rFonts w:ascii="宋体" w:hAnsi="宋体" w:eastAsia="宋体"/>
                <w:color w:val="auto"/>
                <w:kern w:val="0"/>
                <w:sz w:val="24"/>
                <w:szCs w:val="22"/>
              </w:rPr>
            </w:pP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7FCA389A">
            <w:pPr>
              <w:widowControl/>
              <w:spacing w:line="480" w:lineRule="exact"/>
              <w:jc w:val="center"/>
              <w:textAlignment w:val="baseline"/>
              <w:rPr>
                <w:rFonts w:ascii="宋体" w:hAnsi="宋体" w:eastAsia="宋体"/>
                <w:color w:val="auto"/>
                <w:sz w:val="24"/>
                <w:szCs w:val="28"/>
              </w:rPr>
            </w:pPr>
            <w:r>
              <w:rPr>
                <w:rFonts w:hint="eastAsia" w:ascii="宋体" w:hAnsi="宋体" w:eastAsia="宋体" w:cs="宋体"/>
                <w:color w:val="auto"/>
                <w:sz w:val="24"/>
                <w:lang w:eastAsia="zh-CN"/>
              </w:rPr>
              <w:t>供应商</w:t>
            </w:r>
            <w:r>
              <w:rPr>
                <w:rFonts w:hint="eastAsia" w:ascii="宋体" w:hAnsi="宋体" w:eastAsia="宋体"/>
                <w:color w:val="auto"/>
                <w:sz w:val="24"/>
                <w:szCs w:val="24"/>
              </w:rPr>
              <w:t>无行贿犯罪记录</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0FA64148">
            <w:pPr>
              <w:spacing w:line="480" w:lineRule="exact"/>
              <w:jc w:val="left"/>
              <w:rPr>
                <w:rFonts w:ascii="宋体" w:hAnsi="宋体" w:eastAsia="宋体"/>
                <w:color w:val="auto"/>
                <w:sz w:val="24"/>
                <w:szCs w:val="28"/>
              </w:rPr>
            </w:pPr>
            <w:r>
              <w:rPr>
                <w:rFonts w:hint="eastAsia" w:ascii="宋体" w:hAnsi="宋体" w:eastAsia="宋体"/>
                <w:color w:val="auto"/>
                <w:sz w:val="24"/>
                <w:szCs w:val="28"/>
              </w:rPr>
              <w:t>供应商无行贿犯罪记录，（提供《中国裁判文书网》查询结果网页截图（查询时间应在招标公告发布后）或企业自行承诺的无行贿犯罪承诺书，查询&lt;承诺&gt;对象为“企业，法定代表人”）；</w:t>
            </w:r>
          </w:p>
        </w:tc>
      </w:tr>
      <w:tr w14:paraId="778E408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506"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19845F13">
            <w:pPr>
              <w:autoSpaceDE w:val="0"/>
              <w:autoSpaceDN w:val="0"/>
              <w:spacing w:line="320" w:lineRule="exact"/>
              <w:jc w:val="center"/>
              <w:rPr>
                <w:rFonts w:ascii="宋体" w:hAnsi="宋体" w:eastAsia="宋体"/>
                <w:color w:val="auto"/>
                <w:kern w:val="0"/>
                <w:sz w:val="24"/>
                <w:szCs w:val="22"/>
              </w:rPr>
            </w:pPr>
          </w:p>
        </w:tc>
        <w:tc>
          <w:tcPr>
            <w:tcW w:w="920" w:type="dxa"/>
            <w:gridSpan w:val="2"/>
            <w:vMerge w:val="restart"/>
            <w:tcBorders>
              <w:top w:val="single" w:color="auto" w:sz="4" w:space="0"/>
              <w:left w:val="nil"/>
              <w:right w:val="single" w:color="000000" w:sz="4" w:space="0"/>
            </w:tcBorders>
            <w:noWrap w:val="0"/>
            <w:vAlign w:val="center"/>
          </w:tcPr>
          <w:p w14:paraId="71078430">
            <w:pPr>
              <w:autoSpaceDE w:val="0"/>
              <w:autoSpaceDN w:val="0"/>
              <w:spacing w:line="320" w:lineRule="exact"/>
              <w:rPr>
                <w:rFonts w:ascii="宋体" w:hAnsi="宋体" w:eastAsia="宋体"/>
                <w:color w:val="auto"/>
                <w:kern w:val="0"/>
                <w:sz w:val="24"/>
                <w:szCs w:val="22"/>
              </w:rPr>
            </w:pPr>
          </w:p>
        </w:tc>
        <w:tc>
          <w:tcPr>
            <w:tcW w:w="1973" w:type="dxa"/>
            <w:gridSpan w:val="2"/>
            <w:tcBorders>
              <w:top w:val="single" w:color="auto" w:sz="4" w:space="0"/>
              <w:left w:val="nil"/>
              <w:bottom w:val="single" w:color="auto" w:sz="4" w:space="0"/>
              <w:right w:val="single" w:color="000000" w:sz="4" w:space="0"/>
            </w:tcBorders>
            <w:noWrap w:val="0"/>
            <w:vAlign w:val="center"/>
          </w:tcPr>
          <w:p w14:paraId="57FAA93E">
            <w:pPr>
              <w:widowControl/>
              <w:spacing w:line="480" w:lineRule="exact"/>
              <w:jc w:val="center"/>
              <w:textAlignment w:val="baseline"/>
              <w:rPr>
                <w:rFonts w:ascii="宋体" w:hAnsi="宋体" w:eastAsia="宋体"/>
                <w:color w:val="auto"/>
                <w:sz w:val="24"/>
                <w:szCs w:val="28"/>
              </w:rPr>
            </w:pPr>
            <w:r>
              <w:rPr>
                <w:bCs/>
                <w:color w:val="auto"/>
                <w:sz w:val="24"/>
              </w:rPr>
              <w:t>无商业贿赂及无不正当竞争行为</w:t>
            </w:r>
          </w:p>
        </w:tc>
        <w:tc>
          <w:tcPr>
            <w:tcW w:w="6421" w:type="dxa"/>
            <w:tcBorders>
              <w:top w:val="single" w:color="auto" w:sz="4" w:space="0"/>
              <w:left w:val="nil"/>
              <w:bottom w:val="single" w:color="auto" w:sz="4" w:space="0"/>
              <w:right w:val="single" w:color="000000" w:sz="4" w:space="0"/>
            </w:tcBorders>
            <w:noWrap w:val="0"/>
            <w:vAlign w:val="center"/>
          </w:tcPr>
          <w:p w14:paraId="1AC6434B">
            <w:pPr>
              <w:spacing w:line="480" w:lineRule="exact"/>
              <w:jc w:val="left"/>
              <w:rPr>
                <w:rFonts w:ascii="宋体" w:hAnsi="宋体" w:eastAsia="宋体"/>
                <w:color w:val="auto"/>
                <w:sz w:val="24"/>
                <w:szCs w:val="28"/>
              </w:rPr>
            </w:pPr>
            <w:r>
              <w:rPr>
                <w:rFonts w:hint="eastAsia" w:ascii="宋体" w:hAnsi="宋体" w:eastAsia="宋体" w:cs="宋体"/>
                <w:color w:val="auto"/>
                <w:sz w:val="24"/>
                <w:lang w:eastAsia="zh-CN"/>
              </w:rPr>
              <w:t>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8"/>
              </w:rPr>
              <w:t>；</w:t>
            </w:r>
          </w:p>
        </w:tc>
      </w:tr>
      <w:tr w14:paraId="6A61156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0FD158B9">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35F2CD54">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07069025">
            <w:pPr>
              <w:widowControl/>
              <w:spacing w:line="480" w:lineRule="exact"/>
              <w:jc w:val="center"/>
              <w:textAlignment w:val="baseline"/>
              <w:rPr>
                <w:rFonts w:ascii="宋体" w:hAnsi="宋体" w:eastAsia="宋体"/>
                <w:color w:val="auto"/>
                <w:sz w:val="24"/>
                <w:szCs w:val="28"/>
              </w:rPr>
            </w:pPr>
            <w:r>
              <w:rPr>
                <w:rFonts w:ascii="宋体" w:hAnsi="宋体" w:eastAsia="宋体"/>
                <w:color w:val="auto"/>
                <w:sz w:val="24"/>
                <w:szCs w:val="28"/>
              </w:rPr>
              <w:t>信用查询</w:t>
            </w:r>
          </w:p>
        </w:tc>
        <w:tc>
          <w:tcPr>
            <w:tcW w:w="6421" w:type="dxa"/>
            <w:tcBorders>
              <w:top w:val="nil"/>
              <w:left w:val="nil"/>
              <w:bottom w:val="single" w:color="auto" w:sz="4" w:space="0"/>
              <w:right w:val="single" w:color="000000" w:sz="4" w:space="0"/>
            </w:tcBorders>
            <w:noWrap w:val="0"/>
            <w:vAlign w:val="center"/>
          </w:tcPr>
          <w:p w14:paraId="37B778C1">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r>
              <w:rPr>
                <w:rFonts w:hint="eastAsia" w:ascii="宋体" w:hAnsi="宋体" w:eastAsia="宋体"/>
                <w:color w:val="auto"/>
                <w:sz w:val="24"/>
                <w:szCs w:val="28"/>
              </w:rPr>
              <w:t>；</w:t>
            </w:r>
          </w:p>
        </w:tc>
      </w:tr>
      <w:tr w14:paraId="180A5DF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3792B65B">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71CE1F1B">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2D2490A3">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控股、管理关系</w:t>
            </w:r>
          </w:p>
        </w:tc>
        <w:tc>
          <w:tcPr>
            <w:tcW w:w="6421" w:type="dxa"/>
            <w:tcBorders>
              <w:top w:val="nil"/>
              <w:left w:val="nil"/>
              <w:bottom w:val="single" w:color="auto" w:sz="4" w:space="0"/>
              <w:right w:val="single" w:color="000000" w:sz="4" w:space="0"/>
            </w:tcBorders>
            <w:noWrap w:val="0"/>
            <w:vAlign w:val="center"/>
          </w:tcPr>
          <w:p w14:paraId="7CD74632">
            <w:pPr>
              <w:snapToGrid w:val="0"/>
              <w:spacing w:line="480" w:lineRule="exact"/>
              <w:ind w:right="192" w:rightChars="80"/>
              <w:rPr>
                <w:rFonts w:ascii="宋体" w:hAnsi="宋体" w:eastAsia="宋体"/>
                <w:color w:val="auto"/>
                <w:sz w:val="24"/>
                <w:szCs w:val="28"/>
              </w:rPr>
            </w:pPr>
            <w:r>
              <w:rPr>
                <w:rFonts w:hint="eastAsia" w:ascii="宋体" w:hAnsi="宋体" w:eastAsia="宋体" w:cs="宋体"/>
                <w:color w:val="auto"/>
                <w:kern w:val="0"/>
                <w:sz w:val="24"/>
                <w:szCs w:val="24"/>
                <w:lang w:val="en-US" w:eastAsia="zh-CN"/>
              </w:rPr>
              <w:t>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r>
              <w:rPr>
                <w:rFonts w:hint="eastAsia" w:ascii="宋体" w:hAnsi="宋体" w:eastAsia="宋体"/>
                <w:color w:val="auto"/>
                <w:sz w:val="24"/>
                <w:szCs w:val="28"/>
              </w:rPr>
              <w:t>；</w:t>
            </w:r>
          </w:p>
        </w:tc>
      </w:tr>
      <w:tr w14:paraId="33D845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42765A56">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6AC79001">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52C7309C">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非联合体承诺</w:t>
            </w:r>
          </w:p>
        </w:tc>
        <w:tc>
          <w:tcPr>
            <w:tcW w:w="6421" w:type="dxa"/>
            <w:tcBorders>
              <w:top w:val="nil"/>
              <w:left w:val="nil"/>
              <w:bottom w:val="single" w:color="auto" w:sz="4" w:space="0"/>
              <w:right w:val="single" w:color="000000" w:sz="4" w:space="0"/>
            </w:tcBorders>
            <w:noWrap w:val="0"/>
            <w:vAlign w:val="center"/>
          </w:tcPr>
          <w:p w14:paraId="47F07F82">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8"/>
              </w:rPr>
              <w:t>本项目不接受联合体投标，提供非联合体承诺，格式自拟。</w:t>
            </w:r>
          </w:p>
        </w:tc>
      </w:tr>
      <w:tr w14:paraId="505981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428CF33A">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1.3</w:t>
            </w:r>
          </w:p>
        </w:tc>
        <w:tc>
          <w:tcPr>
            <w:tcW w:w="920" w:type="dxa"/>
            <w:gridSpan w:val="2"/>
            <w:vMerge w:val="restart"/>
            <w:tcBorders>
              <w:top w:val="single" w:color="auto" w:sz="4" w:space="0"/>
              <w:left w:val="nil"/>
              <w:right w:val="single" w:color="auto" w:sz="4" w:space="0"/>
            </w:tcBorders>
            <w:noWrap w:val="0"/>
            <w:vAlign w:val="center"/>
          </w:tcPr>
          <w:p w14:paraId="4235D691">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实质性响应</w:t>
            </w:r>
          </w:p>
          <w:p w14:paraId="20EE9E3B">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评审标准</w:t>
            </w:r>
          </w:p>
        </w:tc>
        <w:tc>
          <w:tcPr>
            <w:tcW w:w="1973" w:type="dxa"/>
            <w:gridSpan w:val="2"/>
            <w:tcBorders>
              <w:top w:val="single" w:color="auto" w:sz="4" w:space="0"/>
              <w:left w:val="single" w:color="auto" w:sz="4" w:space="0"/>
              <w:bottom w:val="single" w:color="000000" w:sz="4" w:space="0"/>
              <w:right w:val="single" w:color="000000" w:sz="4" w:space="0"/>
            </w:tcBorders>
            <w:noWrap w:val="0"/>
            <w:vAlign w:val="center"/>
          </w:tcPr>
          <w:p w14:paraId="71AD9B99">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投标有效期</w:t>
            </w:r>
          </w:p>
        </w:tc>
        <w:tc>
          <w:tcPr>
            <w:tcW w:w="6421" w:type="dxa"/>
            <w:tcBorders>
              <w:top w:val="single" w:color="auto" w:sz="4" w:space="0"/>
              <w:left w:val="nil"/>
              <w:bottom w:val="single" w:color="000000" w:sz="4" w:space="0"/>
              <w:right w:val="single" w:color="000000" w:sz="4" w:space="0"/>
            </w:tcBorders>
            <w:noWrap w:val="0"/>
            <w:vAlign w:val="center"/>
          </w:tcPr>
          <w:p w14:paraId="076AA81D">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8F1FAC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3335FBEA">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2F4CE24C">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225F868C">
            <w:pPr>
              <w:widowControl/>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交货期</w:t>
            </w:r>
          </w:p>
        </w:tc>
        <w:tc>
          <w:tcPr>
            <w:tcW w:w="6421" w:type="dxa"/>
            <w:tcBorders>
              <w:top w:val="nil"/>
              <w:left w:val="nil"/>
              <w:bottom w:val="single" w:color="000000" w:sz="4" w:space="0"/>
              <w:right w:val="single" w:color="000000" w:sz="4" w:space="0"/>
            </w:tcBorders>
            <w:noWrap w:val="0"/>
            <w:vAlign w:val="center"/>
          </w:tcPr>
          <w:p w14:paraId="50D34FA2">
            <w:pPr>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lang w:eastAsia="zh-CN"/>
              </w:rPr>
              <w:t>合同签订后</w:t>
            </w:r>
            <w:r>
              <w:rPr>
                <w:rFonts w:hint="eastAsia" w:ascii="宋体" w:hAnsi="宋体" w:eastAsia="宋体"/>
                <w:color w:val="auto"/>
                <w:sz w:val="24"/>
                <w:szCs w:val="28"/>
                <w:lang w:val="en-US" w:eastAsia="zh-CN"/>
              </w:rPr>
              <w:t>45</w:t>
            </w:r>
            <w:r>
              <w:rPr>
                <w:rFonts w:hint="eastAsia" w:ascii="宋体" w:hAnsi="宋体" w:eastAsia="宋体"/>
                <w:color w:val="auto"/>
                <w:sz w:val="24"/>
                <w:szCs w:val="28"/>
                <w:lang w:eastAsia="zh-CN"/>
              </w:rPr>
              <w:t>日历天安装调试完毕</w:t>
            </w:r>
          </w:p>
        </w:tc>
      </w:tr>
      <w:tr w14:paraId="5F61F47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1229829B">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6ED5A102">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3535F0E2">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质量要求</w:t>
            </w:r>
          </w:p>
        </w:tc>
        <w:tc>
          <w:tcPr>
            <w:tcW w:w="6421" w:type="dxa"/>
            <w:tcBorders>
              <w:top w:val="nil"/>
              <w:left w:val="nil"/>
              <w:bottom w:val="single" w:color="000000" w:sz="4" w:space="0"/>
              <w:right w:val="single" w:color="000000" w:sz="4" w:space="0"/>
            </w:tcBorders>
            <w:noWrap w:val="0"/>
            <w:vAlign w:val="center"/>
          </w:tcPr>
          <w:p w14:paraId="0F844424">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符合国家规定，达到正常运行条件</w:t>
            </w:r>
          </w:p>
        </w:tc>
      </w:tr>
      <w:tr w14:paraId="0564B92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528651D0">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020260ED">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51BB027A">
            <w:pPr>
              <w:widowControl/>
              <w:autoSpaceDE w:val="0"/>
              <w:autoSpaceDN w:val="0"/>
              <w:adjustRightInd w:val="0"/>
              <w:spacing w:line="480" w:lineRule="exact"/>
              <w:jc w:val="center"/>
              <w:rPr>
                <w:rFonts w:hint="eastAsia" w:ascii="宋体" w:hAnsi="宋体" w:eastAsia="宋体"/>
                <w:color w:val="auto"/>
                <w:sz w:val="24"/>
                <w:szCs w:val="28"/>
              </w:rPr>
            </w:pPr>
            <w:r>
              <w:rPr>
                <w:rFonts w:hint="eastAsia" w:ascii="宋体" w:hAnsi="宋体" w:eastAsia="宋体"/>
                <w:color w:val="auto"/>
                <w:sz w:val="24"/>
                <w:szCs w:val="28"/>
                <w:lang w:val="en-US" w:eastAsia="zh-CN"/>
              </w:rPr>
              <w:t>其他实质性要求</w:t>
            </w:r>
          </w:p>
        </w:tc>
        <w:tc>
          <w:tcPr>
            <w:tcW w:w="6421" w:type="dxa"/>
            <w:tcBorders>
              <w:top w:val="nil"/>
              <w:left w:val="nil"/>
              <w:bottom w:val="single" w:color="000000" w:sz="4" w:space="0"/>
              <w:right w:val="single" w:color="000000" w:sz="4" w:space="0"/>
            </w:tcBorders>
            <w:noWrap w:val="0"/>
            <w:vAlign w:val="center"/>
          </w:tcPr>
          <w:p w14:paraId="20D9B9E0">
            <w:pPr>
              <w:widowControl/>
              <w:snapToGrid w:val="0"/>
              <w:spacing w:line="480" w:lineRule="exact"/>
              <w:jc w:val="center"/>
              <w:textAlignment w:val="baseline"/>
              <w:rPr>
                <w:rFonts w:hint="eastAsia" w:ascii="宋体" w:hAnsi="宋体" w:eastAsia="宋体"/>
                <w:color w:val="auto"/>
                <w:sz w:val="24"/>
                <w:szCs w:val="28"/>
                <w:lang w:val="en-US" w:eastAsia="zh-CN"/>
              </w:rPr>
            </w:pPr>
            <w:r>
              <w:rPr>
                <w:rFonts w:hint="eastAsia" w:ascii="宋体" w:hAnsi="宋体" w:eastAsia="宋体"/>
                <w:color w:val="auto"/>
                <w:sz w:val="24"/>
                <w:szCs w:val="28"/>
                <w:lang w:val="en-US" w:eastAsia="zh-CN"/>
              </w:rPr>
              <w:t>招标文件规定的其他实质性要求</w:t>
            </w:r>
          </w:p>
        </w:tc>
      </w:tr>
      <w:tr w14:paraId="6B0D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70" w:type="dxa"/>
            <w:gridSpan w:val="6"/>
            <w:tcBorders>
              <w:top w:val="single" w:color="auto" w:sz="4" w:space="0"/>
              <w:left w:val="single" w:color="auto" w:sz="4" w:space="0"/>
              <w:bottom w:val="single" w:color="auto" w:sz="4" w:space="0"/>
              <w:right w:val="single" w:color="auto" w:sz="4" w:space="0"/>
            </w:tcBorders>
            <w:noWrap w:val="0"/>
            <w:vAlign w:val="center"/>
          </w:tcPr>
          <w:p w14:paraId="630F8F06">
            <w:pPr>
              <w:spacing w:line="276" w:lineRule="auto"/>
              <w:jc w:val="left"/>
              <w:rPr>
                <w:rFonts w:ascii="宋体" w:hAnsi="宋体" w:eastAsia="宋体"/>
                <w:b/>
                <w:color w:val="auto"/>
                <w:sz w:val="24"/>
                <w:szCs w:val="24"/>
              </w:rPr>
            </w:pPr>
            <w:r>
              <w:rPr>
                <w:rFonts w:hint="eastAsia" w:ascii="宋体" w:hAnsi="宋体" w:eastAsia="宋体"/>
                <w:b/>
                <w:bCs/>
                <w:color w:val="auto"/>
                <w:sz w:val="24"/>
                <w:szCs w:val="24"/>
              </w:rPr>
              <w:t>应中华人民共和国财政部令第87号《政府采购货物和服务招标投标管理办法》第四十四条</w:t>
            </w:r>
            <w:r>
              <w:rPr>
                <w:rFonts w:hint="eastAsia" w:ascii="宋体" w:hAnsi="宋体" w:eastAsia="宋体"/>
                <w:b/>
                <w:color w:val="auto"/>
                <w:sz w:val="24"/>
                <w:szCs w:val="24"/>
              </w:rPr>
              <w:t>公开招标采购项目开标结束后，采购人或者采购代理机构应当依法对投标供应商的资格进行审查。合格投标供应商不足3家的，不得评标。</w:t>
            </w:r>
          </w:p>
          <w:p w14:paraId="0881661C">
            <w:pPr>
              <w:autoSpaceDE w:val="0"/>
              <w:autoSpaceDN w:val="0"/>
              <w:spacing w:line="360" w:lineRule="auto"/>
              <w:jc w:val="left"/>
              <w:rPr>
                <w:rFonts w:ascii="宋体" w:hAnsi="宋体" w:eastAsia="宋体"/>
                <w:color w:val="auto"/>
                <w:szCs w:val="21"/>
              </w:rPr>
            </w:pPr>
            <w:r>
              <w:rPr>
                <w:rFonts w:hint="eastAsia" w:ascii="宋体" w:hAnsi="宋体" w:eastAsia="宋体"/>
                <w:b/>
                <w:color w:val="auto"/>
                <w:sz w:val="24"/>
                <w:szCs w:val="24"/>
              </w:rPr>
              <w:t>资格评审以投标文件为准，其上传资料真实性由</w:t>
            </w:r>
            <w:r>
              <w:rPr>
                <w:rFonts w:hint="eastAsia" w:ascii="宋体" w:hAnsi="宋体" w:eastAsia="宋体"/>
                <w:b/>
                <w:color w:val="auto"/>
                <w:sz w:val="24"/>
                <w:szCs w:val="24"/>
                <w:lang w:eastAsia="zh-CN"/>
              </w:rPr>
              <w:t>供应商</w:t>
            </w:r>
            <w:r>
              <w:rPr>
                <w:rFonts w:hint="eastAsia" w:ascii="宋体" w:hAnsi="宋体" w:eastAsia="宋体"/>
                <w:b/>
                <w:color w:val="auto"/>
                <w:sz w:val="24"/>
                <w:szCs w:val="24"/>
              </w:rPr>
              <w:t>自行承担。</w:t>
            </w:r>
          </w:p>
        </w:tc>
      </w:tr>
      <w:tr w14:paraId="47F1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49053A97">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条款内容</w:t>
            </w:r>
          </w:p>
        </w:tc>
        <w:tc>
          <w:tcPr>
            <w:tcW w:w="7397" w:type="dxa"/>
            <w:gridSpan w:val="2"/>
            <w:tcBorders>
              <w:top w:val="single" w:color="auto" w:sz="4" w:space="0"/>
              <w:left w:val="nil"/>
              <w:bottom w:val="single" w:color="auto" w:sz="4" w:space="0"/>
              <w:right w:val="single" w:color="auto" w:sz="4" w:space="0"/>
            </w:tcBorders>
            <w:noWrap w:val="0"/>
            <w:vAlign w:val="center"/>
          </w:tcPr>
          <w:p w14:paraId="50E47239">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r>
      <w:tr w14:paraId="783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281ED63F">
            <w:pPr>
              <w:spacing w:line="360" w:lineRule="auto"/>
              <w:rPr>
                <w:rFonts w:ascii="宋体" w:hAnsi="宋体" w:eastAsia="宋体"/>
                <w:color w:val="auto"/>
                <w:sz w:val="24"/>
                <w:szCs w:val="24"/>
              </w:rPr>
            </w:pPr>
            <w:r>
              <w:rPr>
                <w:rFonts w:hint="eastAsia" w:ascii="宋体" w:hAnsi="宋体" w:eastAsia="宋体"/>
                <w:color w:val="auto"/>
                <w:sz w:val="24"/>
                <w:szCs w:val="24"/>
              </w:rPr>
              <w:t>分值构成（总分100分）</w:t>
            </w:r>
          </w:p>
        </w:tc>
        <w:tc>
          <w:tcPr>
            <w:tcW w:w="7397" w:type="dxa"/>
            <w:gridSpan w:val="2"/>
            <w:tcBorders>
              <w:top w:val="single" w:color="auto" w:sz="4" w:space="0"/>
              <w:left w:val="nil"/>
              <w:bottom w:val="single" w:color="auto" w:sz="4" w:space="0"/>
              <w:right w:val="single" w:color="auto" w:sz="4" w:space="0"/>
            </w:tcBorders>
            <w:noWrap w:val="0"/>
            <w:vAlign w:val="center"/>
          </w:tcPr>
          <w:p w14:paraId="77E87CA4">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投标报价：30分</w:t>
            </w:r>
          </w:p>
          <w:p w14:paraId="265FA211">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技术部分：</w:t>
            </w:r>
            <w:r>
              <w:rPr>
                <w:rFonts w:hint="eastAsia" w:ascii="宋体" w:hAnsi="宋体" w:eastAsia="宋体"/>
                <w:color w:val="auto"/>
                <w:sz w:val="24"/>
                <w:szCs w:val="24"/>
                <w:lang w:val="en-US" w:eastAsia="zh-CN"/>
              </w:rPr>
              <w:t>45</w:t>
            </w:r>
            <w:r>
              <w:rPr>
                <w:rFonts w:hint="eastAsia" w:ascii="宋体" w:hAnsi="宋体" w:eastAsia="宋体"/>
                <w:color w:val="auto"/>
                <w:sz w:val="24"/>
                <w:szCs w:val="24"/>
              </w:rPr>
              <w:t>分</w:t>
            </w:r>
          </w:p>
          <w:p w14:paraId="03300E7E">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分</w:t>
            </w:r>
          </w:p>
        </w:tc>
      </w:tr>
      <w:tr w14:paraId="0B2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8A282C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2.2评审项</w:t>
            </w:r>
          </w:p>
        </w:tc>
        <w:tc>
          <w:tcPr>
            <w:tcW w:w="1347" w:type="dxa"/>
            <w:gridSpan w:val="2"/>
            <w:tcBorders>
              <w:top w:val="single" w:color="auto" w:sz="4" w:space="0"/>
              <w:left w:val="nil"/>
              <w:bottom w:val="single" w:color="auto" w:sz="4" w:space="0"/>
              <w:right w:val="single" w:color="auto" w:sz="4" w:space="0"/>
            </w:tcBorders>
            <w:noWrap w:val="0"/>
            <w:vAlign w:val="center"/>
          </w:tcPr>
          <w:p w14:paraId="4914E38E">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c>
          <w:tcPr>
            <w:tcW w:w="7397" w:type="dxa"/>
            <w:gridSpan w:val="2"/>
            <w:tcBorders>
              <w:top w:val="single" w:color="auto" w:sz="4" w:space="0"/>
              <w:left w:val="nil"/>
              <w:bottom w:val="single" w:color="auto" w:sz="4" w:space="0"/>
              <w:right w:val="single" w:color="auto" w:sz="4" w:space="0"/>
            </w:tcBorders>
            <w:noWrap w:val="0"/>
            <w:vAlign w:val="center"/>
          </w:tcPr>
          <w:p w14:paraId="02F19F4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评审方法</w:t>
            </w:r>
          </w:p>
        </w:tc>
      </w:tr>
      <w:tr w14:paraId="57B7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26" w:type="dxa"/>
            <w:gridSpan w:val="2"/>
            <w:tcBorders>
              <w:top w:val="single" w:color="auto" w:sz="4" w:space="0"/>
              <w:left w:val="single" w:color="auto" w:sz="4" w:space="0"/>
              <w:right w:val="single" w:color="auto" w:sz="4" w:space="0"/>
            </w:tcBorders>
            <w:noWrap w:val="0"/>
            <w:vAlign w:val="center"/>
          </w:tcPr>
          <w:p w14:paraId="4D7D2E6E">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投标报价（30分）</w:t>
            </w:r>
          </w:p>
        </w:tc>
        <w:tc>
          <w:tcPr>
            <w:tcW w:w="1347" w:type="dxa"/>
            <w:gridSpan w:val="2"/>
            <w:tcBorders>
              <w:top w:val="single" w:color="auto" w:sz="4" w:space="0"/>
              <w:left w:val="single" w:color="auto" w:sz="4" w:space="0"/>
              <w:right w:val="single" w:color="auto" w:sz="4" w:space="0"/>
            </w:tcBorders>
            <w:noWrap w:val="0"/>
            <w:vAlign w:val="center"/>
          </w:tcPr>
          <w:p w14:paraId="15875B6C">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tc>
        <w:tc>
          <w:tcPr>
            <w:tcW w:w="7397" w:type="dxa"/>
            <w:gridSpan w:val="2"/>
            <w:tcBorders>
              <w:top w:val="single" w:color="auto" w:sz="4" w:space="0"/>
              <w:left w:val="nil"/>
              <w:right w:val="single" w:color="auto" w:sz="4" w:space="0"/>
            </w:tcBorders>
            <w:noWrap w:val="0"/>
            <w:vAlign w:val="center"/>
          </w:tcPr>
          <w:p w14:paraId="7FF2B2D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1、超出采购人最高限价的投标报价为无效报价、按废标处理。</w:t>
            </w:r>
          </w:p>
          <w:p w14:paraId="02364CA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2、所有未进入详细评审的投标为无效投标，其报价不作为评分依据。</w:t>
            </w:r>
          </w:p>
          <w:p w14:paraId="5C9D49B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3、价格分统一采用低价优先法计算，既满足招标文件要求且投标价格最低的投标报价为评标基准价，其价格分为满分。其他供应商的价格分统一按照下列公式计算：</w:t>
            </w:r>
          </w:p>
          <w:p w14:paraId="230CAE32">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供应商报价得分=（评标基准价/供应商投标报价）×30</w:t>
            </w:r>
          </w:p>
          <w:p w14:paraId="4D7C80D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5FB585A9">
            <w:pPr>
              <w:widowControl/>
              <w:spacing w:line="360" w:lineRule="auto"/>
              <w:textAlignment w:val="baseline"/>
              <w:rPr>
                <w:rFonts w:ascii="宋体" w:hAnsi="宋体" w:eastAsia="宋体"/>
                <w:color w:val="auto"/>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03D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326" w:type="dxa"/>
            <w:gridSpan w:val="2"/>
            <w:vMerge w:val="restart"/>
            <w:tcBorders>
              <w:top w:val="single" w:color="auto" w:sz="4" w:space="0"/>
              <w:left w:val="single" w:color="auto" w:sz="4" w:space="0"/>
              <w:right w:val="single" w:color="auto" w:sz="4" w:space="0"/>
            </w:tcBorders>
            <w:noWrap w:val="0"/>
            <w:vAlign w:val="center"/>
          </w:tcPr>
          <w:p w14:paraId="6E619065">
            <w:pPr>
              <w:spacing w:line="360" w:lineRule="auto"/>
              <w:jc w:val="center"/>
              <w:rPr>
                <w:rFonts w:ascii="宋体" w:hAnsi="宋体" w:eastAsia="宋体"/>
                <w:color w:val="auto"/>
                <w:sz w:val="24"/>
                <w:szCs w:val="24"/>
              </w:rPr>
            </w:pPr>
            <w:r>
              <w:rPr>
                <w:rFonts w:hint="eastAsia" w:ascii="宋体" w:hAnsi="宋体" w:eastAsia="宋体"/>
                <w:color w:val="auto"/>
                <w:sz w:val="24"/>
                <w:szCs w:val="24"/>
              </w:rPr>
              <w:t>技术部分</w:t>
            </w:r>
          </w:p>
          <w:p w14:paraId="0711F0D6">
            <w:pPr>
              <w:wordWrap w:val="0"/>
              <w:spacing w:line="360" w:lineRule="auto"/>
              <w:jc w:val="center"/>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45</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2188AC11">
            <w:pPr>
              <w:pStyle w:val="2"/>
              <w:jc w:val="center"/>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技术参数</w:t>
            </w:r>
          </w:p>
          <w:p w14:paraId="6F050916">
            <w:pPr>
              <w:pStyle w:val="2"/>
              <w:jc w:val="center"/>
              <w:rPr>
                <w:color w:val="auto"/>
              </w:rPr>
            </w:pPr>
            <w:r>
              <w:rPr>
                <w:rFonts w:hint="eastAsia" w:ascii="宋体" w:hAnsi="宋体" w:eastAsia="宋体" w:cstheme="minorBidi"/>
                <w:color w:val="auto"/>
                <w:kern w:val="2"/>
                <w:sz w:val="24"/>
                <w:szCs w:val="24"/>
                <w:lang w:val="en-US" w:eastAsia="zh-CN" w:bidi="ar-SA"/>
              </w:rPr>
              <w:t>（2</w:t>
            </w:r>
            <w:r>
              <w:rPr>
                <w:rFonts w:hint="eastAsia" w:ascii="宋体" w:hAnsi="宋体" w:cstheme="minorBidi"/>
                <w:color w:val="auto"/>
                <w:kern w:val="2"/>
                <w:sz w:val="24"/>
                <w:szCs w:val="24"/>
                <w:lang w:val="en-US" w:eastAsia="zh-CN" w:bidi="ar-SA"/>
              </w:rPr>
              <w:t>0</w:t>
            </w:r>
            <w:r>
              <w:rPr>
                <w:rFonts w:hint="eastAsia" w:ascii="宋体" w:hAnsi="宋体" w:eastAsia="宋体" w:cstheme="minorBidi"/>
                <w:color w:val="auto"/>
                <w:kern w:val="2"/>
                <w:sz w:val="24"/>
                <w:szCs w:val="24"/>
                <w:lang w:val="en-US" w:eastAsia="zh-CN" w:bidi="ar-SA"/>
              </w:rPr>
              <w:t>分）</w:t>
            </w:r>
          </w:p>
        </w:tc>
        <w:tc>
          <w:tcPr>
            <w:tcW w:w="7397" w:type="dxa"/>
            <w:gridSpan w:val="2"/>
            <w:tcBorders>
              <w:top w:val="single" w:color="auto" w:sz="4" w:space="0"/>
              <w:left w:val="nil"/>
              <w:right w:val="single" w:color="auto" w:sz="4" w:space="0"/>
            </w:tcBorders>
            <w:noWrap w:val="0"/>
            <w:vAlign w:val="center"/>
          </w:tcPr>
          <w:p w14:paraId="388F5611">
            <w:pPr>
              <w:widowControl/>
              <w:spacing w:line="360" w:lineRule="auto"/>
              <w:textAlignment w:val="baseline"/>
              <w:rPr>
                <w:rFonts w:hint="eastAsia" w:ascii="宋体" w:hAnsi="宋体" w:eastAsia="宋体"/>
                <w:color w:val="auto"/>
                <w:sz w:val="24"/>
                <w:szCs w:val="24"/>
              </w:rPr>
            </w:pPr>
            <w:r>
              <w:rPr>
                <w:rFonts w:hint="eastAsia" w:ascii="宋体" w:hAnsi="宋体" w:eastAsia="宋体"/>
                <w:color w:val="auto"/>
                <w:sz w:val="24"/>
                <w:szCs w:val="24"/>
              </w:rPr>
              <w:t>技术参数全部满足</w:t>
            </w:r>
            <w:r>
              <w:rPr>
                <w:rFonts w:hint="eastAsia" w:ascii="宋体" w:hAnsi="宋体" w:eastAsia="宋体"/>
                <w:color w:val="auto"/>
                <w:sz w:val="24"/>
                <w:szCs w:val="24"/>
                <w:lang w:val="en-US" w:eastAsia="zh-CN"/>
              </w:rPr>
              <w:t>或优于</w:t>
            </w:r>
            <w:r>
              <w:rPr>
                <w:rFonts w:hint="eastAsia" w:ascii="宋体" w:hAnsi="宋体" w:eastAsia="宋体"/>
                <w:color w:val="auto"/>
                <w:sz w:val="24"/>
                <w:szCs w:val="24"/>
              </w:rPr>
              <w:t>招标文件要求的得</w:t>
            </w:r>
            <w:r>
              <w:rPr>
                <w:rFonts w:hint="eastAsia" w:ascii="宋体" w:hAnsi="宋体" w:eastAsia="宋体"/>
                <w:color w:val="auto"/>
                <w:sz w:val="24"/>
                <w:szCs w:val="24"/>
                <w:lang w:val="en-US" w:eastAsia="zh-CN"/>
              </w:rPr>
              <w:t>20</w:t>
            </w:r>
            <w:r>
              <w:rPr>
                <w:rFonts w:hint="eastAsia" w:ascii="宋体" w:hAnsi="宋体" w:eastAsia="宋体"/>
                <w:color w:val="auto"/>
                <w:sz w:val="24"/>
                <w:szCs w:val="24"/>
              </w:rPr>
              <w:t>分；技术参数属负偏离或缺漏项的每条扣</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分，扣完为止。</w:t>
            </w:r>
          </w:p>
        </w:tc>
      </w:tr>
      <w:tr w14:paraId="225B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0F88C73B">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3DE7ADFD">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实施方案</w:t>
            </w:r>
          </w:p>
          <w:p w14:paraId="0126CBEE">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25分）</w:t>
            </w:r>
          </w:p>
        </w:tc>
        <w:tc>
          <w:tcPr>
            <w:tcW w:w="7397" w:type="dxa"/>
            <w:gridSpan w:val="2"/>
            <w:tcBorders>
              <w:top w:val="single" w:color="auto" w:sz="4" w:space="0"/>
              <w:left w:val="nil"/>
              <w:right w:val="single" w:color="auto" w:sz="4" w:space="0"/>
            </w:tcBorders>
            <w:noWrap w:val="0"/>
            <w:vAlign w:val="center"/>
          </w:tcPr>
          <w:p w14:paraId="39E7A31C">
            <w:pPr>
              <w:widowControl/>
              <w:numPr>
                <w:ilvl w:val="0"/>
                <w:numId w:val="1"/>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w:t>
            </w:r>
            <w:r>
              <w:rPr>
                <w:rFonts w:hint="eastAsia" w:ascii="宋体" w:hAnsi="宋体" w:eastAsia="宋体" w:cs="宋体"/>
                <w:color w:val="auto"/>
                <w:sz w:val="24"/>
                <w:lang w:eastAsia="zh-CN"/>
              </w:rPr>
              <w:t>供应商</w:t>
            </w:r>
            <w:r>
              <w:rPr>
                <w:rFonts w:hint="eastAsia" w:ascii="宋体" w:hAnsi="宋体" w:eastAsia="宋体" w:cstheme="minorBidi"/>
                <w:color w:val="auto"/>
                <w:kern w:val="2"/>
                <w:sz w:val="24"/>
                <w:szCs w:val="24"/>
                <w:lang w:val="en-US" w:eastAsia="zh-CN" w:bidi="ar-SA"/>
              </w:rPr>
              <w:t>提供的总体部署、准备计划、供货、安装、调试及验收方案的完整性、科学性、合理性和可操作性进行评分,</w:t>
            </w:r>
          </w:p>
          <w:p w14:paraId="0D915386">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方案科学合理、执行力强的得9分；</w:t>
            </w:r>
          </w:p>
          <w:p w14:paraId="0E45713B">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方案较为科学合理、有实质性措施的得5分；</w:t>
            </w:r>
          </w:p>
          <w:p w14:paraId="4D11AC8C">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方案有欠缺、执行力弱的得3分；</w:t>
            </w:r>
          </w:p>
          <w:p w14:paraId="397AF778">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p w14:paraId="783A7706">
            <w:pPr>
              <w:widowControl/>
              <w:numPr>
                <w:ilvl w:val="0"/>
                <w:numId w:val="1"/>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w:t>
            </w:r>
            <w:r>
              <w:rPr>
                <w:rFonts w:hint="eastAsia" w:ascii="宋体" w:hAnsi="宋体" w:eastAsia="宋体" w:cs="宋体"/>
                <w:color w:val="auto"/>
                <w:sz w:val="24"/>
                <w:lang w:eastAsia="zh-CN"/>
              </w:rPr>
              <w:t>供应商</w:t>
            </w:r>
            <w:r>
              <w:rPr>
                <w:rFonts w:hint="eastAsia" w:ascii="宋体" w:hAnsi="宋体" w:eastAsia="宋体" w:cstheme="minorBidi"/>
                <w:color w:val="auto"/>
                <w:kern w:val="2"/>
                <w:sz w:val="24"/>
                <w:szCs w:val="24"/>
                <w:lang w:val="en-US" w:eastAsia="zh-CN" w:bidi="ar-SA"/>
              </w:rPr>
              <w:t>提供的确保产品质量、进度保障措施的完整性、科学性、合理性和可操作性进行评分,</w:t>
            </w:r>
          </w:p>
          <w:p w14:paraId="18E10E90">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方案科学合理、执行力强的得8分；</w:t>
            </w:r>
          </w:p>
          <w:p w14:paraId="0D1C9231">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方案较为科学合理、有实质性措施的得5分；</w:t>
            </w:r>
          </w:p>
          <w:p w14:paraId="236B218B">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方案有欠缺、执行力弱的得3分；</w:t>
            </w:r>
          </w:p>
          <w:p w14:paraId="5E0E9196">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p w14:paraId="1343C6B3">
            <w:pPr>
              <w:widowControl/>
              <w:numPr>
                <w:ilvl w:val="0"/>
                <w:numId w:val="1"/>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培训计划包括培训方案、培训内容、培训人员等内容。培训方案的完整性、科学性、合理性和可操作性进行评分,</w:t>
            </w:r>
          </w:p>
          <w:p w14:paraId="18D77DD1">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方案科学合理、执行力强的得8分；</w:t>
            </w:r>
          </w:p>
          <w:p w14:paraId="0D55C0A3">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方案较为科学合理、有实质性措施的得5分；</w:t>
            </w:r>
          </w:p>
          <w:p w14:paraId="0EA08A3E">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方案有欠缺、执行力弱的得3分；</w:t>
            </w:r>
          </w:p>
          <w:p w14:paraId="1B2B5471">
            <w:pPr>
              <w:widowControl/>
              <w:numPr>
                <w:ilvl w:val="0"/>
                <w:numId w:val="0"/>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tc>
      </w:tr>
      <w:tr w14:paraId="002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restart"/>
            <w:tcBorders>
              <w:left w:val="single" w:color="auto" w:sz="4" w:space="0"/>
              <w:right w:val="single" w:color="auto" w:sz="4" w:space="0"/>
            </w:tcBorders>
            <w:noWrap w:val="0"/>
            <w:vAlign w:val="center"/>
          </w:tcPr>
          <w:p w14:paraId="7429A97D">
            <w:pPr>
              <w:spacing w:line="360" w:lineRule="auto"/>
              <w:textAlignment w:val="baseline"/>
              <w:rPr>
                <w:rFonts w:ascii="宋体" w:hAnsi="宋体" w:eastAsia="宋体"/>
                <w:color w:val="auto"/>
                <w:sz w:val="22"/>
                <w:szCs w:val="22"/>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4A7242B7">
            <w:pPr>
              <w:spacing w:line="360" w:lineRule="auto"/>
              <w:rPr>
                <w:rFonts w:hint="default" w:ascii="宋体" w:hAnsi="宋体" w:eastAsiaTheme="minorEastAsia"/>
                <w:bCs/>
                <w:color w:val="auto"/>
                <w:sz w:val="24"/>
                <w:szCs w:val="24"/>
                <w:lang w:val="en-US" w:eastAsia="zh-CN"/>
              </w:rPr>
            </w:pPr>
            <w:r>
              <w:rPr>
                <w:rFonts w:hint="eastAsia" w:ascii="宋体" w:hAnsi="宋体" w:eastAsia="宋体" w:cs="宋体"/>
                <w:color w:val="auto"/>
                <w:sz w:val="24"/>
                <w:lang w:eastAsia="zh-CN"/>
              </w:rPr>
              <w:t>供应商</w:t>
            </w:r>
            <w:r>
              <w:rPr>
                <w:rFonts w:hint="eastAsia" w:ascii="宋体" w:hAnsi="宋体"/>
                <w:color w:val="auto"/>
                <w:sz w:val="24"/>
              </w:rPr>
              <w:t>业绩</w:t>
            </w:r>
            <w:r>
              <w:rPr>
                <w:rFonts w:hint="eastAsia" w:ascii="宋体" w:hAnsi="宋体"/>
                <w:color w:val="auto"/>
                <w:sz w:val="24"/>
                <w:lang w:eastAsia="zh-CN"/>
              </w:rPr>
              <w:t>（</w:t>
            </w:r>
            <w:r>
              <w:rPr>
                <w:rFonts w:hint="eastAsia" w:ascii="宋体" w:hAnsi="宋体"/>
                <w:color w:val="auto"/>
                <w:sz w:val="24"/>
                <w:lang w:val="en-US" w:eastAsia="zh-CN"/>
              </w:rPr>
              <w:t>4分）</w:t>
            </w:r>
          </w:p>
        </w:tc>
        <w:tc>
          <w:tcPr>
            <w:tcW w:w="7397" w:type="dxa"/>
            <w:gridSpan w:val="2"/>
            <w:tcBorders>
              <w:top w:val="single" w:color="auto" w:sz="4" w:space="0"/>
              <w:left w:val="nil"/>
              <w:right w:val="single" w:color="auto" w:sz="4" w:space="0"/>
            </w:tcBorders>
            <w:noWrap w:val="0"/>
            <w:vAlign w:val="center"/>
          </w:tcPr>
          <w:p w14:paraId="1DC23214">
            <w:pPr>
              <w:spacing w:line="360" w:lineRule="auto"/>
              <w:rPr>
                <w:rFonts w:ascii="仿宋" w:hAnsi="仿宋" w:eastAsia="仿宋" w:cs="仿宋"/>
                <w:color w:val="auto"/>
                <w:sz w:val="21"/>
                <w:szCs w:val="21"/>
              </w:rPr>
            </w:pPr>
            <w:r>
              <w:rPr>
                <w:rFonts w:hint="eastAsia" w:ascii="宋体" w:hAnsi="宋体" w:eastAsia="宋体" w:cs="宋体"/>
                <w:color w:val="auto"/>
                <w:sz w:val="24"/>
                <w:lang w:eastAsia="zh-CN"/>
              </w:rPr>
              <w:t>供应商</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1</w:t>
            </w:r>
            <w:r>
              <w:rPr>
                <w:rFonts w:ascii="宋体" w:hAnsi="宋体"/>
                <w:color w:val="auto"/>
                <w:sz w:val="24"/>
              </w:rPr>
              <w:t>年</w:t>
            </w:r>
            <w:r>
              <w:rPr>
                <w:rFonts w:hint="eastAsia" w:ascii="宋体" w:hAnsi="宋体"/>
                <w:color w:val="auto"/>
                <w:sz w:val="24"/>
              </w:rPr>
              <w:t>1月1日以来承担过</w:t>
            </w:r>
            <w:r>
              <w:rPr>
                <w:rFonts w:hint="eastAsia" w:ascii="宋体" w:hAnsi="宋体"/>
                <w:color w:val="auto"/>
                <w:sz w:val="24"/>
                <w:lang w:eastAsia="zh-CN"/>
              </w:rPr>
              <w:t>类似</w:t>
            </w:r>
            <w:r>
              <w:rPr>
                <w:rFonts w:hint="eastAsia" w:ascii="宋体" w:hAnsi="宋体"/>
                <w:color w:val="auto"/>
                <w:sz w:val="24"/>
              </w:rPr>
              <w:t>项目的每个得</w:t>
            </w:r>
            <w:r>
              <w:rPr>
                <w:rFonts w:hint="eastAsia" w:ascii="宋体" w:hAnsi="宋体"/>
                <w:color w:val="auto"/>
                <w:sz w:val="24"/>
                <w:lang w:val="en-US" w:eastAsia="zh-CN"/>
              </w:rPr>
              <w:t>2</w:t>
            </w:r>
            <w:r>
              <w:rPr>
                <w:rFonts w:hint="eastAsia" w:ascii="宋体" w:hAnsi="宋体"/>
                <w:color w:val="auto"/>
                <w:sz w:val="24"/>
              </w:rPr>
              <w:t>分，最多得</w:t>
            </w:r>
            <w:r>
              <w:rPr>
                <w:rFonts w:hint="eastAsia" w:ascii="宋体" w:hAnsi="宋体"/>
                <w:color w:val="auto"/>
                <w:sz w:val="24"/>
                <w:lang w:val="en-US" w:eastAsia="zh-CN"/>
              </w:rPr>
              <w:t>4</w:t>
            </w:r>
            <w:r>
              <w:rPr>
                <w:rFonts w:hint="eastAsia" w:ascii="宋体" w:hAnsi="宋体"/>
                <w:color w:val="auto"/>
                <w:sz w:val="24"/>
              </w:rPr>
              <w:t>分</w:t>
            </w:r>
            <w:r>
              <w:rPr>
                <w:rFonts w:hint="eastAsia" w:ascii="宋体" w:hAnsi="宋体"/>
                <w:b/>
                <w:color w:val="auto"/>
                <w:sz w:val="24"/>
              </w:rPr>
              <w:t>（提供中标通知书</w:t>
            </w:r>
            <w:r>
              <w:rPr>
                <w:rFonts w:hint="eastAsia" w:ascii="宋体" w:hAnsi="宋体"/>
                <w:b/>
                <w:color w:val="auto"/>
                <w:sz w:val="24"/>
                <w:lang w:val="en-US" w:eastAsia="zh-CN"/>
              </w:rPr>
              <w:t>及</w:t>
            </w:r>
            <w:r>
              <w:rPr>
                <w:rFonts w:hint="eastAsia" w:ascii="宋体" w:hAnsi="宋体"/>
                <w:b/>
                <w:color w:val="auto"/>
                <w:sz w:val="24"/>
              </w:rPr>
              <w:t>采购合同，</w:t>
            </w:r>
            <w:r>
              <w:rPr>
                <w:rFonts w:hint="eastAsia" w:ascii="宋体" w:hAnsi="宋体"/>
                <w:b/>
                <w:color w:val="auto"/>
                <w:sz w:val="24"/>
                <w:lang w:eastAsia="zh-CN"/>
              </w:rPr>
              <w:t>原件扫描件</w:t>
            </w:r>
            <w:r>
              <w:rPr>
                <w:rFonts w:hint="eastAsia" w:ascii="宋体" w:hAnsi="宋体"/>
                <w:b/>
                <w:color w:val="auto"/>
                <w:sz w:val="24"/>
              </w:rPr>
              <w:t>）</w:t>
            </w:r>
          </w:p>
        </w:tc>
      </w:tr>
      <w:tr w14:paraId="245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498CFD87">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798D5AA5">
            <w:pPr>
              <w:spacing w:line="480" w:lineRule="exact"/>
              <w:jc w:val="center"/>
              <w:rPr>
                <w:rFonts w:ascii="宋体" w:hAnsi="宋体" w:eastAsia="宋体"/>
                <w:color w:val="auto"/>
                <w:sz w:val="24"/>
                <w:szCs w:val="24"/>
              </w:rPr>
            </w:pPr>
            <w:r>
              <w:rPr>
                <w:rFonts w:hint="eastAsia" w:ascii="宋体" w:hAnsi="宋体" w:eastAsia="宋体"/>
                <w:color w:val="auto"/>
                <w:sz w:val="24"/>
                <w:szCs w:val="24"/>
              </w:rPr>
              <w:t>售后服务方案（</w:t>
            </w:r>
            <w:r>
              <w:rPr>
                <w:rFonts w:ascii="宋体" w:hAnsi="宋体" w:eastAsia="宋体"/>
                <w:color w:val="auto"/>
                <w:sz w:val="24"/>
                <w:szCs w:val="24"/>
              </w:rPr>
              <w:t>10分）</w:t>
            </w:r>
          </w:p>
        </w:tc>
        <w:tc>
          <w:tcPr>
            <w:tcW w:w="7397" w:type="dxa"/>
            <w:gridSpan w:val="2"/>
            <w:tcBorders>
              <w:top w:val="single" w:color="auto" w:sz="4" w:space="0"/>
              <w:left w:val="nil"/>
              <w:right w:val="single" w:color="auto" w:sz="4" w:space="0"/>
            </w:tcBorders>
            <w:noWrap w:val="0"/>
            <w:vAlign w:val="center"/>
          </w:tcPr>
          <w:p w14:paraId="7175CFD4">
            <w:pPr>
              <w:spacing w:line="480" w:lineRule="exact"/>
              <w:jc w:val="left"/>
              <w:rPr>
                <w:rFonts w:hint="eastAsia" w:ascii="宋体" w:hAnsi="宋体" w:eastAsia="宋体"/>
                <w:color w:val="auto"/>
                <w:sz w:val="24"/>
                <w:szCs w:val="24"/>
              </w:rPr>
            </w:pPr>
            <w:r>
              <w:rPr>
                <w:rFonts w:hint="eastAsia" w:ascii="宋体" w:hAnsi="宋体" w:eastAsia="宋体" w:cs="宋体"/>
                <w:color w:val="auto"/>
                <w:sz w:val="24"/>
                <w:lang w:eastAsia="zh-CN"/>
              </w:rPr>
              <w:t>供应商</w:t>
            </w:r>
            <w:r>
              <w:rPr>
                <w:rFonts w:hint="eastAsia" w:ascii="宋体" w:hAnsi="宋体" w:eastAsia="宋体"/>
                <w:color w:val="auto"/>
                <w:sz w:val="24"/>
                <w:szCs w:val="24"/>
              </w:rPr>
              <w:t>结合采购需求，针对本项目的实际情况，提供详细的售后服务方案，主要内容包含但不仅限于：售后服务内容、故障响应修复时间方式及保障措施、保修部件范围，保修、服务标准，人员配备，报修方式、定期巡检、应急预案</w:t>
            </w:r>
            <w:r>
              <w:rPr>
                <w:rFonts w:hint="eastAsia" w:ascii="宋体" w:hAnsi="宋体" w:eastAsia="宋体"/>
                <w:color w:val="auto"/>
                <w:sz w:val="24"/>
                <w:szCs w:val="24"/>
                <w:lang w:eastAsia="zh-CN"/>
              </w:rPr>
              <w:t>等</w:t>
            </w:r>
            <w:r>
              <w:rPr>
                <w:rFonts w:hint="eastAsia" w:ascii="宋体" w:hAnsi="宋体" w:eastAsia="宋体"/>
                <w:color w:val="auto"/>
                <w:sz w:val="24"/>
                <w:szCs w:val="24"/>
              </w:rPr>
              <w:t>售后服务承诺）等进行打分。</w:t>
            </w:r>
          </w:p>
          <w:p w14:paraId="648750FC">
            <w:pPr>
              <w:spacing w:line="480" w:lineRule="exact"/>
              <w:jc w:val="left"/>
              <w:rPr>
                <w:rFonts w:ascii="宋体" w:hAnsi="宋体" w:eastAsia="宋体"/>
                <w:color w:val="auto"/>
                <w:sz w:val="24"/>
                <w:szCs w:val="24"/>
              </w:rPr>
            </w:pPr>
            <w:r>
              <w:rPr>
                <w:rFonts w:hint="eastAsia" w:ascii="宋体" w:hAnsi="宋体" w:eastAsia="宋体"/>
                <w:color w:val="auto"/>
                <w:sz w:val="24"/>
                <w:szCs w:val="24"/>
              </w:rPr>
              <w:t>等相关工作内容。评标委员会根据</w:t>
            </w:r>
            <w:r>
              <w:rPr>
                <w:rFonts w:hint="eastAsia" w:ascii="宋体" w:hAnsi="宋体" w:eastAsia="宋体" w:cs="宋体"/>
                <w:color w:val="auto"/>
                <w:sz w:val="24"/>
                <w:lang w:eastAsia="zh-CN"/>
              </w:rPr>
              <w:t>供应商</w:t>
            </w:r>
            <w:r>
              <w:rPr>
                <w:rFonts w:hint="eastAsia" w:ascii="宋体" w:hAnsi="宋体" w:eastAsia="宋体"/>
                <w:color w:val="auto"/>
                <w:sz w:val="24"/>
                <w:szCs w:val="24"/>
              </w:rPr>
              <w:t>提供的售后服务方案的完整性、可行性等进行综合评价：</w:t>
            </w:r>
          </w:p>
          <w:p w14:paraId="629F0630">
            <w:pPr>
              <w:spacing w:line="480" w:lineRule="exact"/>
              <w:jc w:val="left"/>
              <w:rPr>
                <w:rFonts w:ascii="宋体" w:hAnsi="宋体" w:eastAsia="宋体"/>
                <w:color w:val="auto"/>
                <w:sz w:val="24"/>
                <w:szCs w:val="24"/>
              </w:rPr>
            </w:pPr>
            <w:r>
              <w:rPr>
                <w:rFonts w:hint="eastAsia" w:ascii="宋体" w:hAnsi="宋体" w:eastAsia="宋体"/>
                <w:color w:val="auto"/>
                <w:sz w:val="24"/>
                <w:szCs w:val="24"/>
              </w:rPr>
              <w:t>（1）综合考虑各方面需求，服务方案内容详尽、完整可行，优于项目建设和采购需求，得</w:t>
            </w:r>
            <w:r>
              <w:rPr>
                <w:rFonts w:ascii="宋体" w:hAnsi="宋体" w:eastAsia="宋体"/>
                <w:color w:val="auto"/>
                <w:sz w:val="24"/>
                <w:szCs w:val="24"/>
              </w:rPr>
              <w:t>10</w:t>
            </w:r>
            <w:r>
              <w:rPr>
                <w:rFonts w:hint="eastAsia" w:ascii="宋体" w:hAnsi="宋体" w:eastAsia="宋体"/>
                <w:color w:val="auto"/>
                <w:sz w:val="24"/>
                <w:szCs w:val="24"/>
              </w:rPr>
              <w:t>分；</w:t>
            </w:r>
          </w:p>
          <w:p w14:paraId="2B177E51">
            <w:pPr>
              <w:spacing w:line="480" w:lineRule="exact"/>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）服务方案内容基本完整、不够详尽，能够基本满足项目基本要求，得</w:t>
            </w:r>
            <w:r>
              <w:rPr>
                <w:rFonts w:ascii="宋体" w:hAnsi="宋体" w:eastAsia="宋体"/>
                <w:color w:val="auto"/>
                <w:sz w:val="24"/>
                <w:szCs w:val="24"/>
              </w:rPr>
              <w:t>7</w:t>
            </w:r>
            <w:r>
              <w:rPr>
                <w:rFonts w:hint="eastAsia" w:ascii="宋体" w:hAnsi="宋体" w:eastAsia="宋体"/>
                <w:color w:val="auto"/>
                <w:sz w:val="24"/>
                <w:szCs w:val="24"/>
              </w:rPr>
              <w:t xml:space="preserve">分； </w:t>
            </w:r>
          </w:p>
          <w:p w14:paraId="4229114E">
            <w:pPr>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）服务方案内容不够完整，有部分缺项，不符合本项目实际服务需要，得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p w14:paraId="3593D396">
            <w:pPr>
              <w:spacing w:line="480" w:lineRule="exact"/>
              <w:jc w:val="left"/>
              <w:rPr>
                <w:color w:val="auto"/>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）服务方案内容</w:t>
            </w:r>
            <w:r>
              <w:rPr>
                <w:rFonts w:hint="eastAsia" w:ascii="宋体" w:hAnsi="宋体" w:eastAsia="宋体"/>
                <w:color w:val="auto"/>
                <w:sz w:val="24"/>
                <w:szCs w:val="24"/>
                <w:lang w:eastAsia="zh-CN"/>
              </w:rPr>
              <w:t>差</w:t>
            </w:r>
            <w:r>
              <w:rPr>
                <w:rFonts w:hint="eastAsia" w:ascii="宋体" w:hAnsi="宋体" w:eastAsia="宋体"/>
                <w:color w:val="auto"/>
                <w:sz w:val="24"/>
                <w:szCs w:val="24"/>
              </w:rPr>
              <w:t>，有部分缺项，不符合本项目实际服务需要，得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p>
          <w:p w14:paraId="236B2A61">
            <w:pPr>
              <w:widowControl/>
              <w:spacing w:line="480" w:lineRule="exact"/>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）未提供方案，不得分。</w:t>
            </w:r>
          </w:p>
        </w:tc>
      </w:tr>
      <w:tr w14:paraId="5E16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6743B08E">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158C0503">
            <w:pPr>
              <w:spacing w:line="480" w:lineRule="exac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优惠条件（</w:t>
            </w:r>
            <w:r>
              <w:rPr>
                <w:rFonts w:hint="eastAsia" w:ascii="宋体" w:hAnsi="宋体" w:eastAsia="宋体"/>
                <w:color w:val="auto"/>
                <w:sz w:val="24"/>
                <w:szCs w:val="24"/>
                <w:lang w:val="en-US" w:eastAsia="zh-CN"/>
              </w:rPr>
              <w:t>3分）</w:t>
            </w:r>
          </w:p>
        </w:tc>
        <w:tc>
          <w:tcPr>
            <w:tcW w:w="7397" w:type="dxa"/>
            <w:gridSpan w:val="2"/>
            <w:tcBorders>
              <w:top w:val="single" w:color="auto" w:sz="4" w:space="0"/>
              <w:left w:val="nil"/>
              <w:right w:val="single" w:color="auto" w:sz="4" w:space="0"/>
            </w:tcBorders>
            <w:noWrap w:val="0"/>
            <w:vAlign w:val="center"/>
          </w:tcPr>
          <w:p w14:paraId="269FEF7A">
            <w:pPr>
              <w:widowControl/>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根据供应商提供的其他服务及优惠条件综合评价。方案完整、详实、可行性强的得3分,方案完整、具有可行性的得2分，方案不完整、可行性不强的得1分，不提供不得分。</w:t>
            </w:r>
          </w:p>
        </w:tc>
      </w:tr>
      <w:tr w14:paraId="1D1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1545989D">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377DAF9F">
            <w:pPr>
              <w:spacing w:line="480" w:lineRule="exact"/>
              <w:jc w:val="center"/>
              <w:rPr>
                <w:rFonts w:hint="eastAsia" w:ascii="宋体" w:hAnsi="宋体" w:eastAsia="宋体"/>
                <w:color w:val="auto"/>
                <w:sz w:val="24"/>
                <w:szCs w:val="24"/>
              </w:rPr>
            </w:pPr>
            <w:r>
              <w:rPr>
                <w:rFonts w:hint="eastAsia" w:ascii="宋体" w:hAnsi="宋体" w:eastAsia="宋体"/>
                <w:color w:val="auto"/>
                <w:sz w:val="24"/>
                <w:szCs w:val="24"/>
              </w:rPr>
              <w:t>质保期</w:t>
            </w:r>
          </w:p>
          <w:p w14:paraId="4113B51D">
            <w:pPr>
              <w:spacing w:line="480" w:lineRule="exac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4分）</w:t>
            </w:r>
          </w:p>
        </w:tc>
        <w:tc>
          <w:tcPr>
            <w:tcW w:w="7397" w:type="dxa"/>
            <w:gridSpan w:val="2"/>
            <w:tcBorders>
              <w:top w:val="single" w:color="auto" w:sz="4" w:space="0"/>
              <w:left w:val="nil"/>
              <w:right w:val="single" w:color="auto" w:sz="4" w:space="0"/>
            </w:tcBorders>
            <w:noWrap w:val="0"/>
            <w:vAlign w:val="center"/>
          </w:tcPr>
          <w:p w14:paraId="7AF8C164">
            <w:pPr>
              <w:widowControl/>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在满足招标文件质保期基础上，每增加一年质保期，加</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分，最多加</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w:t>
            </w:r>
          </w:p>
        </w:tc>
      </w:tr>
      <w:tr w14:paraId="413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156AC2A8">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4CA75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jc w:val="left"/>
              <w:rPr>
                <w:rFonts w:ascii="宋体" w:hAnsi="宋体" w:eastAsia="宋体"/>
                <w:color w:val="auto"/>
                <w:sz w:val="24"/>
                <w:szCs w:val="24"/>
              </w:rPr>
            </w:pPr>
            <w:r>
              <w:rPr>
                <w:rFonts w:hint="eastAsia" w:ascii="宋体" w:hAnsi="宋体" w:eastAsia="宋体"/>
                <w:color w:val="auto"/>
                <w:sz w:val="24"/>
                <w:szCs w:val="24"/>
                <w:lang w:eastAsia="zh-CN"/>
              </w:rPr>
              <w:t>综合评价</w:t>
            </w:r>
            <w:r>
              <w:rPr>
                <w:rFonts w:hint="eastAsia" w:ascii="宋体" w:hAnsi="宋体" w:eastAsia="宋体"/>
                <w:color w:val="auto"/>
                <w:sz w:val="24"/>
                <w:szCs w:val="24"/>
              </w:rPr>
              <w:t>（</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w:t>
            </w:r>
          </w:p>
        </w:tc>
        <w:tc>
          <w:tcPr>
            <w:tcW w:w="7397" w:type="dxa"/>
            <w:gridSpan w:val="2"/>
            <w:tcBorders>
              <w:top w:val="single" w:color="auto" w:sz="4" w:space="0"/>
              <w:left w:val="nil"/>
              <w:right w:val="single" w:color="auto" w:sz="4" w:space="0"/>
            </w:tcBorders>
            <w:noWrap w:val="0"/>
            <w:vAlign w:val="center"/>
          </w:tcPr>
          <w:p w14:paraId="21A3A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jc w:val="left"/>
              <w:rPr>
                <w:rFonts w:ascii="宋体" w:hAnsi="宋体" w:eastAsia="宋体"/>
                <w:color w:val="auto"/>
                <w:sz w:val="24"/>
                <w:szCs w:val="24"/>
              </w:rPr>
            </w:pPr>
            <w:r>
              <w:rPr>
                <w:rFonts w:hint="eastAsia" w:ascii="宋体" w:hAnsi="宋体" w:eastAsia="宋体"/>
                <w:color w:val="auto"/>
                <w:sz w:val="24"/>
                <w:szCs w:val="24"/>
              </w:rPr>
              <w:t>对本项目的整体理解透彻，认识充分，对工作内容表述准确、指导思想清晰、目的明确，所提供的方案内容全面合理，完全满足工作要求</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得</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分；对本项目的整体理解基本透彻，认识基本充分，对工作内容表述一般、指导思想一般、目的一般，所提供的方案内容基本合理，基本满足工作要求</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得2分；未提供不得分；</w:t>
            </w:r>
          </w:p>
        </w:tc>
      </w:tr>
      <w:tr w14:paraId="184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070" w:type="dxa"/>
            <w:gridSpan w:val="6"/>
            <w:tcBorders>
              <w:left w:val="single" w:color="auto" w:sz="4" w:space="0"/>
              <w:right w:val="single" w:color="auto" w:sz="4" w:space="0"/>
            </w:tcBorders>
            <w:noWrap w:val="0"/>
            <w:vAlign w:val="center"/>
          </w:tcPr>
          <w:p w14:paraId="73C74735">
            <w:pPr>
              <w:widowControl/>
              <w:spacing w:line="360" w:lineRule="auto"/>
              <w:textAlignment w:val="baseline"/>
              <w:rPr>
                <w:rFonts w:ascii="宋体" w:hAnsi="宋体" w:eastAsia="宋体"/>
                <w:b/>
                <w:bCs/>
                <w:color w:val="auto"/>
                <w:sz w:val="24"/>
                <w:szCs w:val="24"/>
              </w:rPr>
            </w:pPr>
            <w:r>
              <w:rPr>
                <w:rFonts w:hint="eastAsia" w:ascii="宋体" w:hAnsi="宋体" w:eastAsia="宋体"/>
                <w:bCs/>
                <w:color w:val="auto"/>
                <w:sz w:val="24"/>
                <w:szCs w:val="24"/>
              </w:rPr>
              <w:t>评标打分部分仍按照100分制原则进行，涉及到资格审查、企业荣誉等计分部分时，以投标</w:t>
            </w:r>
            <w:r>
              <w:rPr>
                <w:rFonts w:hint="eastAsia" w:ascii="宋体" w:hAnsi="宋体" w:eastAsia="宋体"/>
                <w:color w:val="auto"/>
                <w:sz w:val="24"/>
                <w:szCs w:val="24"/>
                <w:lang w:eastAsia="zh-CN"/>
              </w:rPr>
              <w:t>投</w:t>
            </w:r>
            <w:r>
              <w:rPr>
                <w:rFonts w:hint="eastAsia" w:ascii="宋体" w:hAnsi="宋体" w:eastAsia="宋体" w:cs="宋体"/>
                <w:color w:val="auto"/>
                <w:sz w:val="24"/>
                <w:lang w:eastAsia="zh-CN"/>
              </w:rPr>
              <w:t>供应商</w:t>
            </w:r>
            <w:r>
              <w:rPr>
                <w:rFonts w:hint="eastAsia" w:ascii="宋体" w:hAnsi="宋体" w:eastAsia="宋体"/>
                <w:bCs/>
                <w:color w:val="auto"/>
                <w:sz w:val="24"/>
                <w:szCs w:val="24"/>
              </w:rPr>
              <w:t>自行上传到投标文件中的相应内容为准。</w:t>
            </w:r>
          </w:p>
        </w:tc>
      </w:tr>
    </w:tbl>
    <w:p w14:paraId="51A3712E">
      <w:pPr>
        <w:rPr>
          <w:rFonts w:hint="eastAsia"/>
          <w:color w:val="auto"/>
        </w:rPr>
      </w:pPr>
    </w:p>
    <w:p w14:paraId="3F149B94">
      <w:pPr>
        <w:spacing w:line="360" w:lineRule="auto"/>
        <w:rPr>
          <w:rFonts w:hint="eastAsia" w:cs="宋体"/>
          <w:sz w:val="24"/>
          <w:szCs w:val="24"/>
        </w:rPr>
      </w:pPr>
      <w:bookmarkStart w:id="122" w:name="1._评审方法"/>
      <w:bookmarkEnd w:id="122"/>
      <w:bookmarkStart w:id="123" w:name="_Toc3678"/>
      <w:r>
        <w:rPr>
          <w:sz w:val="24"/>
          <w:szCs w:val="24"/>
        </w:rPr>
        <w:t>1. </w:t>
      </w:r>
      <w:r>
        <w:rPr>
          <w:rFonts w:hint="eastAsia" w:cs="宋体"/>
          <w:sz w:val="24"/>
          <w:szCs w:val="24"/>
        </w:rPr>
        <w:t>投标文件的评审、比较和否决</w:t>
      </w:r>
    </w:p>
    <w:p w14:paraId="5E974A85">
      <w:pPr>
        <w:spacing w:line="360" w:lineRule="auto"/>
        <w:ind w:firstLine="480" w:firstLineChars="200"/>
        <w:rPr>
          <w:rFonts w:hint="eastAsia"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37AE2A5B">
      <w:pPr>
        <w:spacing w:line="360" w:lineRule="auto"/>
        <w:ind w:firstLine="480" w:firstLineChars="200"/>
        <w:rPr>
          <w:rFonts w:hint="eastAsia"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17BC11BF">
      <w:pPr>
        <w:spacing w:line="360" w:lineRule="auto"/>
        <w:ind w:firstLine="480" w:firstLineChars="200"/>
        <w:rPr>
          <w:rFonts w:hint="eastAsia"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536085DB">
      <w:pPr>
        <w:spacing w:line="360" w:lineRule="auto"/>
        <w:ind w:firstLine="480" w:firstLineChars="200"/>
        <w:rPr>
          <w:rFonts w:hint="eastAsia"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6647ABFB">
      <w:pPr>
        <w:spacing w:line="360" w:lineRule="auto"/>
        <w:ind w:firstLine="480" w:firstLineChars="200"/>
        <w:rPr>
          <w:rFonts w:hint="eastAsia" w:cs="宋体"/>
          <w:sz w:val="24"/>
          <w:szCs w:val="24"/>
        </w:rPr>
      </w:pPr>
      <w:r>
        <w:rPr>
          <w:sz w:val="24"/>
          <w:szCs w:val="24"/>
        </w:rPr>
        <w:t>1.5</w:t>
      </w:r>
      <w:r>
        <w:rPr>
          <w:rFonts w:hint="eastAsia" w:cs="宋体"/>
          <w:sz w:val="24"/>
          <w:szCs w:val="24"/>
        </w:rPr>
        <w:t>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p>
    <w:p w14:paraId="06F8F0FE">
      <w:pPr>
        <w:spacing w:line="360" w:lineRule="auto"/>
        <w:ind w:firstLine="480" w:firstLineChars="200"/>
        <w:rPr>
          <w:rFonts w:hint="eastAsia"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A8E0B82">
      <w:pPr>
        <w:spacing w:line="360" w:lineRule="auto"/>
        <w:ind w:firstLine="480" w:firstLineChars="200"/>
        <w:rPr>
          <w:rFonts w:hint="eastAsia" w:ascii="宋体" w:hAnsi="宋体" w:eastAsia="宋体" w:cs="宋体"/>
          <w:b/>
          <w:bCs/>
          <w:color w:val="auto"/>
          <w:sz w:val="24"/>
          <w:szCs w:val="24"/>
        </w:rPr>
      </w:pPr>
      <w:r>
        <w:rPr>
          <w:sz w:val="24"/>
          <w:szCs w:val="24"/>
        </w:rPr>
        <w:t>1.7</w:t>
      </w:r>
      <w:r>
        <w:rPr>
          <w:rFonts w:hint="eastAsia"/>
          <w:sz w:val="24"/>
          <w:szCs w:val="24"/>
        </w:rPr>
        <w:t>供应</w:t>
      </w:r>
      <w:r>
        <w:rPr>
          <w:sz w:val="24"/>
          <w:szCs w:val="24"/>
        </w:rPr>
        <w:t>商</w:t>
      </w:r>
      <w:r>
        <w:rPr>
          <w:rFonts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方式确定，其他同品牌投标人不作为中标候选人。</w:t>
      </w:r>
    </w:p>
    <w:p w14:paraId="3A4702D6">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1.评审方法</w:t>
      </w:r>
      <w:bookmarkEnd w:id="123"/>
    </w:p>
    <w:p w14:paraId="2839D36F">
      <w:pPr>
        <w:spacing w:line="360" w:lineRule="auto"/>
        <w:ind w:firstLine="480" w:firstLineChars="200"/>
        <w:rPr>
          <w:rFonts w:hint="eastAsia" w:ascii="宋体" w:hAnsi="宋体" w:eastAsia="宋体" w:cs="宋体"/>
          <w:color w:val="auto"/>
          <w:sz w:val="24"/>
          <w:lang w:eastAsia="zh-CN"/>
        </w:rPr>
      </w:pPr>
      <w:bookmarkStart w:id="124" w:name="_Toc414112655"/>
      <w:bookmarkEnd w:id="124"/>
      <w:bookmarkStart w:id="125" w:name="_Toc414277167"/>
      <w:bookmarkEnd w:id="125"/>
      <w:bookmarkStart w:id="126" w:name="_Toc152042381"/>
      <w:bookmarkEnd w:id="126"/>
      <w:bookmarkStart w:id="127" w:name="_Toc152045604"/>
      <w:bookmarkEnd w:id="127"/>
      <w:bookmarkStart w:id="128" w:name="_Toc144974571"/>
      <w:bookmarkEnd w:id="128"/>
      <w:bookmarkStart w:id="129" w:name="_Toc19571"/>
      <w:bookmarkStart w:id="130" w:name="_Toc3516"/>
      <w:r>
        <w:rPr>
          <w:rFonts w:hint="eastAsia" w:ascii="宋体" w:hAnsi="宋体" w:eastAsia="宋体" w:cs="宋体"/>
          <w:color w:val="auto"/>
          <w:sz w:val="24"/>
        </w:rPr>
        <w:t>本项目采用综合评分法，评标结果按评审后得分由高到低顺序排列。得分相同的，按响应报价由低到高顺序排列；得分且响应报价相同的，按技术指标优劣顺序排列</w:t>
      </w:r>
      <w:r>
        <w:rPr>
          <w:rFonts w:hint="eastAsia" w:ascii="宋体" w:hAnsi="宋体" w:eastAsia="宋体" w:cs="宋体"/>
          <w:color w:val="auto"/>
          <w:sz w:val="24"/>
          <w:lang w:eastAsia="zh-CN"/>
        </w:rPr>
        <w:t>。</w:t>
      </w:r>
    </w:p>
    <w:p w14:paraId="7ABF65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投标文件满足招标文件全部实质性要求，且按照评审因素的量化指标评审得分最高的</w:t>
      </w:r>
      <w:r>
        <w:rPr>
          <w:rFonts w:hint="eastAsia" w:ascii="宋体" w:hAnsi="宋体" w:eastAsia="宋体" w:cs="宋体"/>
          <w:color w:val="auto"/>
          <w:sz w:val="24"/>
          <w:lang w:eastAsia="zh-CN"/>
        </w:rPr>
        <w:t>供应商</w:t>
      </w:r>
      <w:r>
        <w:rPr>
          <w:rFonts w:hint="eastAsia" w:ascii="宋体" w:hAnsi="宋体" w:eastAsia="宋体" w:cs="宋体"/>
          <w:color w:val="auto"/>
          <w:sz w:val="24"/>
        </w:rPr>
        <w:t>为排名第一的中标候选人。</w:t>
      </w:r>
    </w:p>
    <w:bookmarkEnd w:id="129"/>
    <w:bookmarkEnd w:id="130"/>
    <w:p w14:paraId="06388C5E">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评审标准</w:t>
      </w:r>
    </w:p>
    <w:p w14:paraId="1B6B387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p>
    <w:p w14:paraId="3179CBE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14:paraId="3A542D4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资格评审标准：见评标办法前附表。</w:t>
      </w:r>
    </w:p>
    <w:p w14:paraId="13D27F0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响应性评审标准：见评标办法前附表。</w:t>
      </w:r>
    </w:p>
    <w:p w14:paraId="7CC65AC7">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分值构成与评分标准</w:t>
      </w:r>
    </w:p>
    <w:p w14:paraId="7A46B2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技术部分：见评标办法前附表；</w:t>
      </w:r>
    </w:p>
    <w:p w14:paraId="4391A7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 综合标：见评标办法前附表；</w:t>
      </w:r>
    </w:p>
    <w:p w14:paraId="2B45F5C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 投标报价：见评标办法前附表；</w:t>
      </w:r>
    </w:p>
    <w:p w14:paraId="10A46A9D">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评标程序</w:t>
      </w:r>
    </w:p>
    <w:p w14:paraId="11099491">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 初步评审</w:t>
      </w:r>
    </w:p>
    <w:p w14:paraId="404977A4">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3.1 初步评审</w:t>
      </w:r>
    </w:p>
    <w:p w14:paraId="364F1E0E">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w:t>
      </w:r>
      <w:r>
        <w:rPr>
          <w:rFonts w:hint="eastAsia" w:asciiTheme="minorEastAsia" w:hAnsiTheme="minorEastAsia" w:cstheme="minorEastAsia"/>
          <w:color w:val="000000" w:themeColor="text1"/>
          <w:kern w:val="0"/>
          <w:sz w:val="24"/>
          <w:szCs w:val="24"/>
          <w14:textFill>
            <w14:solidFill>
              <w14:schemeClr w14:val="tx1"/>
            </w14:solidFill>
          </w14:textFill>
        </w:rPr>
        <w:t>采购人或招标代理机构</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eastAsia="zh-CN"/>
        </w:rPr>
        <w:t>按照</w:t>
      </w:r>
      <w:r>
        <w:rPr>
          <w:rFonts w:hint="eastAsia" w:ascii="宋体" w:hAnsi="宋体" w:eastAsia="宋体" w:cs="宋体"/>
          <w:color w:val="auto"/>
          <w:sz w:val="24"/>
          <w:szCs w:val="24"/>
        </w:rPr>
        <w:t>评标办法前附表中资格评审标准</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核查，</w:t>
      </w:r>
      <w:r>
        <w:rPr>
          <w:rFonts w:hint="eastAsia" w:ascii="宋体" w:hAnsi="宋体" w:eastAsia="宋体" w:cs="宋体"/>
          <w:color w:val="auto"/>
          <w:sz w:val="24"/>
          <w:highlight w:val="none"/>
          <w:lang w:val="en-US" w:eastAsia="zh-CN"/>
        </w:rPr>
        <w:t>以投标文件为准，其上传资料真实性由供应商自行承担</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视为未通过资格审查，合格供应商不足3家的，不得评标。符合的进入下一评标程序。</w:t>
      </w:r>
    </w:p>
    <w:p w14:paraId="1E3531D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3.1.2评标委员会按照招标文件要求对通过资格审查的供应商进行进一步</w:t>
      </w:r>
      <w:r>
        <w:rPr>
          <w:rFonts w:hint="eastAsia" w:ascii="宋体" w:hAnsi="宋体" w:eastAsia="宋体" w:cs="宋体"/>
          <w:color w:val="auto"/>
          <w:sz w:val="24"/>
          <w:szCs w:val="24"/>
        </w:rPr>
        <w:t>形式评审</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响应性评审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视为未通过审查，不得进入下一评标程序。</w:t>
      </w:r>
    </w:p>
    <w:p w14:paraId="61CA8875">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详细评审</w:t>
      </w:r>
    </w:p>
    <w:p w14:paraId="4E2506C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评标委员会按本章规定的量化因素和分值进行打分，并计算出综合评估得分。</w:t>
      </w:r>
    </w:p>
    <w:p w14:paraId="00F29F76">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按本章规定的评审因素和分值对技术因素计算出得分A ；</w:t>
      </w:r>
    </w:p>
    <w:p w14:paraId="3616305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按本章规定的评审因素和分值对综合因素计算出得分B；</w:t>
      </w:r>
    </w:p>
    <w:p w14:paraId="061CC6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按本章规定的评审因素和分值对投标报价计算出得分C 。</w:t>
      </w:r>
    </w:p>
    <w:p w14:paraId="7A4103C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6533E88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 供应商得分＝A+B+C。供应商的最终得分为各评委所评定分数的算术平均值。</w:t>
      </w:r>
    </w:p>
    <w:p w14:paraId="1FE1EFB4">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 评标委员会发现供应商的报价明显低于其他投标报价，或者明显低于最高投标限价，使得其投标报价可能低于其个别成本的，应当要求该供应商作出书面说明并提供相应的证明材料。供应商不能合理说明或者不能提供相应证明材料的，由评标委员会认定该供应商以低于成本报价竞标，其投标作无效标处理。</w:t>
      </w:r>
    </w:p>
    <w:p w14:paraId="1292B5F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3.3 投标文件的澄清和补正</w:t>
      </w:r>
    </w:p>
    <w:p w14:paraId="0CCFCBB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在评标过程中，评标委员会可以书面形式要求供应商对所提交投标文件中不明确的内容进行书面澄清或说明，或者对细微偏差进行补正。评标委员会不接受供应商主动提出的澄清、说明或补正。</w:t>
      </w:r>
    </w:p>
    <w:p w14:paraId="76CBFA3D">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澄清、说明和补正不得改变投标文件的实质性内容（算术性错误修正的除外）。供应商的书面澄清、说明和补正属于投标文件的组成部分。</w:t>
      </w:r>
    </w:p>
    <w:p w14:paraId="2AD724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评标委员会对供应商提交的澄清、说明或补正有疑问的，可以要求供应商进一步澄清、说明或补正，直至满足评标委员会的要求。</w:t>
      </w:r>
    </w:p>
    <w:p w14:paraId="34F3691A">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评标结果</w:t>
      </w:r>
    </w:p>
    <w:p w14:paraId="2C94971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bookmarkStart w:id="131" w:name="_Toc13665"/>
      <w:bookmarkStart w:id="132" w:name="_Toc6048"/>
      <w:bookmarkStart w:id="133" w:name="_Toc13278"/>
    </w:p>
    <w:p w14:paraId="6DEAF1E0">
      <w:pPr>
        <w:rPr>
          <w:rStyle w:val="31"/>
          <w:rFonts w:hint="eastAsia"/>
          <w:color w:val="auto"/>
        </w:rPr>
      </w:pPr>
      <w:r>
        <w:rPr>
          <w:rStyle w:val="31"/>
          <w:rFonts w:hint="eastAsia"/>
          <w:color w:val="auto"/>
        </w:rPr>
        <w:br w:type="page"/>
      </w:r>
    </w:p>
    <w:p w14:paraId="2538A2B2">
      <w:pPr>
        <w:keepNext w:val="0"/>
        <w:keepLines w:val="0"/>
        <w:pageBreakBefore w:val="0"/>
        <w:widowControl w:val="0"/>
        <w:kinsoku/>
        <w:wordWrap/>
        <w:overflowPunct/>
        <w:topLinePunct w:val="0"/>
        <w:bidi w:val="0"/>
        <w:adjustRightInd/>
        <w:snapToGrid/>
        <w:spacing w:line="360" w:lineRule="auto"/>
        <w:jc w:val="center"/>
        <w:textAlignment w:val="auto"/>
        <w:rPr>
          <w:rStyle w:val="31"/>
          <w:rFonts w:hint="eastAsia"/>
          <w:color w:val="auto"/>
        </w:rPr>
      </w:pPr>
      <w:bookmarkStart w:id="134" w:name="_Toc3820"/>
      <w:r>
        <w:rPr>
          <w:rStyle w:val="31"/>
          <w:rFonts w:hint="eastAsia"/>
          <w:color w:val="auto"/>
        </w:rPr>
        <w:t xml:space="preserve">第四章 </w:t>
      </w:r>
      <w:bookmarkEnd w:id="131"/>
      <w:bookmarkEnd w:id="132"/>
      <w:bookmarkEnd w:id="133"/>
      <w:r>
        <w:rPr>
          <w:rStyle w:val="31"/>
          <w:rFonts w:hint="eastAsia"/>
          <w:color w:val="auto"/>
        </w:rPr>
        <w:t>采购清单及要求</w:t>
      </w:r>
    </w:p>
    <w:bookmarkEnd w:id="134"/>
    <w:p w14:paraId="0EDB4E59">
      <w:pPr>
        <w:rPr>
          <w:rFonts w:hint="eastAsia" w:ascii="宋体" w:hAnsi="宋体"/>
          <w:b/>
          <w:bCs w:val="0"/>
          <w:color w:val="auto"/>
          <w:sz w:val="24"/>
        </w:rPr>
      </w:pPr>
      <w:bookmarkStart w:id="135" w:name="_Toc30515"/>
      <w:bookmarkStart w:id="136" w:name="_Toc18352"/>
      <w:bookmarkStart w:id="137" w:name="_Toc29304"/>
    </w:p>
    <w:p w14:paraId="7200FB13">
      <w:pPr>
        <w:rPr>
          <w:rFonts w:hint="eastAsia" w:ascii="宋体" w:hAnsi="宋体"/>
          <w:b/>
          <w:bCs w:val="0"/>
          <w:color w:val="auto"/>
          <w:sz w:val="24"/>
        </w:rPr>
      </w:pPr>
      <w:r>
        <w:rPr>
          <w:rFonts w:hint="eastAsia" w:ascii="宋体" w:hAnsi="宋体"/>
          <w:b/>
          <w:bCs w:val="0"/>
          <w:color w:val="auto"/>
          <w:sz w:val="24"/>
        </w:rPr>
        <w:t>核心产品：热解、分拣设备</w:t>
      </w:r>
    </w:p>
    <w:p w14:paraId="7C3EC1EA">
      <w:pPr>
        <w:spacing w:line="360" w:lineRule="auto"/>
        <w:jc w:val="left"/>
        <w:outlineLvl w:val="1"/>
        <w:rPr>
          <w:rFonts w:hint="eastAsia" w:ascii="宋体" w:hAnsi="宋体"/>
          <w:b/>
          <w:color w:val="auto"/>
          <w:sz w:val="24"/>
          <w:lang w:val="en-US" w:eastAsia="zh-CN"/>
        </w:rPr>
      </w:pPr>
      <w:r>
        <w:rPr>
          <w:rFonts w:hint="eastAsia" w:ascii="宋体" w:hAnsi="宋体"/>
          <w:b/>
          <w:color w:val="auto"/>
          <w:sz w:val="24"/>
          <w:lang w:val="en-US" w:eastAsia="zh-CN"/>
        </w:rPr>
        <w:t>一、采购清单</w:t>
      </w:r>
    </w:p>
    <w:tbl>
      <w:tblPr>
        <w:tblStyle w:val="16"/>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732"/>
        <w:gridCol w:w="5143"/>
        <w:gridCol w:w="416"/>
        <w:gridCol w:w="416"/>
        <w:gridCol w:w="737"/>
        <w:gridCol w:w="1063"/>
        <w:gridCol w:w="782"/>
      </w:tblGrid>
      <w:tr w14:paraId="715B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635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2B0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264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9BD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使用标准及技术参数描述</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93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7E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330"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74A6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额(元)</w:t>
            </w:r>
          </w:p>
        </w:tc>
      </w:tr>
      <w:tr w14:paraId="7F4E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AC766">
            <w:pPr>
              <w:jc w:val="center"/>
              <w:rPr>
                <w:rFonts w:hint="eastAsia" w:ascii="宋体" w:hAnsi="宋体" w:eastAsia="宋体" w:cs="宋体"/>
                <w:b/>
                <w:bCs/>
                <w:i w:val="0"/>
                <w:iCs w:val="0"/>
                <w:color w:val="000000"/>
                <w:sz w:val="20"/>
                <w:szCs w:val="20"/>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0FFA3F">
            <w:pPr>
              <w:jc w:val="center"/>
              <w:rPr>
                <w:rFonts w:hint="eastAsia" w:ascii="宋体" w:hAnsi="宋体" w:eastAsia="宋体" w:cs="宋体"/>
                <w:b/>
                <w:bCs/>
                <w:i w:val="0"/>
                <w:iCs w:val="0"/>
                <w:color w:val="000000"/>
                <w:sz w:val="20"/>
                <w:szCs w:val="20"/>
                <w:u w:val="none"/>
              </w:rPr>
            </w:pPr>
          </w:p>
        </w:tc>
        <w:tc>
          <w:tcPr>
            <w:tcW w:w="264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D88FA">
            <w:pPr>
              <w:jc w:val="center"/>
              <w:rPr>
                <w:rFonts w:hint="eastAsia" w:ascii="宋体" w:hAnsi="宋体" w:eastAsia="宋体" w:cs="宋体"/>
                <w:b/>
                <w:bCs/>
                <w:i w:val="0"/>
                <w:iCs w:val="0"/>
                <w:color w:val="000000"/>
                <w:sz w:val="20"/>
                <w:szCs w:val="20"/>
                <w:u w:val="none"/>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E7586">
            <w:pPr>
              <w:jc w:val="center"/>
              <w:rPr>
                <w:rFonts w:hint="eastAsia" w:ascii="宋体" w:hAnsi="宋体" w:eastAsia="宋体" w:cs="宋体"/>
                <w:b/>
                <w:bCs/>
                <w:i w:val="0"/>
                <w:iCs w:val="0"/>
                <w:color w:val="000000"/>
                <w:sz w:val="20"/>
                <w:szCs w:val="20"/>
                <w:u w:val="none"/>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31710">
            <w:pPr>
              <w:jc w:val="center"/>
              <w:rPr>
                <w:rFonts w:hint="eastAsia" w:ascii="宋体" w:hAnsi="宋体" w:eastAsia="宋体" w:cs="宋体"/>
                <w:b/>
                <w:bCs/>
                <w:i w:val="0"/>
                <w:iCs w:val="0"/>
                <w:color w:val="000000"/>
                <w:sz w:val="20"/>
                <w:szCs w:val="20"/>
                <w:u w:val="none"/>
              </w:rPr>
            </w:pPr>
          </w:p>
        </w:tc>
        <w:tc>
          <w:tcPr>
            <w:tcW w:w="37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D22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6A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价</w:t>
            </w:r>
          </w:p>
        </w:tc>
        <w:tc>
          <w:tcPr>
            <w:tcW w:w="4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2CE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4BC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F5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62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热解、分拣设备（日处理量50吨）</w:t>
            </w:r>
          </w:p>
        </w:tc>
        <w:tc>
          <w:tcPr>
            <w:tcW w:w="2649" w:type="pct"/>
            <w:tcBorders>
              <w:top w:val="single" w:color="000000" w:sz="4" w:space="0"/>
              <w:left w:val="single" w:color="000000" w:sz="4" w:space="0"/>
              <w:bottom w:val="single" w:color="000000" w:sz="4" w:space="0"/>
              <w:right w:val="single" w:color="000000" w:sz="4" w:space="0"/>
            </w:tcBorders>
            <w:shd w:val="clear" w:color="auto" w:fill="FFFFFF"/>
            <w:vAlign w:val="top"/>
          </w:tcPr>
          <w:p w14:paraId="0AA716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1.处理量:混合生活垃圾(可回收物)处理量50吨/天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2.处理工艺:人工分选+机械分选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3.分选原料:秸秆、玻璃瓶、农药瓶、薄膜塑料等(以现场实际情况提供为准)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流程描述:混合生活垃圾转运至分拣中心原料堆场后，先由人工进行堆场预分拣，将长秸秆等分拣出，由皮带机输送至人工分拣台。人工分拣台的皮带机两侧分别设置2-3个分拣工位(可根据实际情况调整工位数量)，由人工将玻璃酒瓶、长薄膜、秸秆等进行分拣并分类，后经破袋机将袋装物进行破碎拆开，经滚筒筛筛分粒径小于80mm的泥土(渣土)等，后经风选机对初步筛分处理的物质进一步进行分选，分选出塑料农膜轻物质，重物质再经一次人工分拣台，进行分工分拣出农药瓶、碎玻璃等其他杂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5.轻型板链输送机：①处理量：≥10t/h；②功率：≥7.5kw；③有效输送宽度：≥1200mm；④输送载荷：≥200kg/㎡；⑤链板材质：镀锌板式链板；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6.人工分拣平台：①分选能力：≥4种；②工位：≥6个；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7.破袋机：①处理量：≥6t/h；②腔体尺寸：≥1500*1100mm；③功率：≥55Kw*2 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8.滚筒筛：①处理量：≥20m³/h；②总功率：≥15kw；③滚筒直径：≥1800mm；④滚筒长度：≥6000mm；⑤筛孔尺寸：80mm；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9.风选机：①处理量：≥20m³/h；②总功率：≥50kw；③风向方式：正负风压相结合；④处理风量：≥10000m³/h；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10.皮带输送机：①有效带宽：1200/1000mm；②输送长度/安装角度：根据实际工艺布置图要求设计；③输送能力：≥20m³/h；④皮带材质：PVC；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气控制系统：①配置急停按钮；②本工程用电负荷均为380/220VAC，50Hz的低压设备，业主提供动力电源接入至设备方所提供电控柜内。设备方负责设备启停、逻辑顺序控制、调速控制等。③低压开关柜：采用国标固定式开关柜，且设置总进线断路器保护等，母线铜排采用国标铜排。④电缆及导线：电力电缆推荐采用0.6/1KV采用YJV型电缆，控制电缆与开关量型号电缆采用KVV型电缆，模拟量电缆KVVP型屏蔽电缆。电气设计和安装应符合相应的电气规范,所有连接电缆应为铜导体。⑤电气PLC控制系统主要元器件，采用确保质量稳定耐久可靠的产品；生产线自动化控制，具备单机起停、联锁控制、故障诊断显示、事故应急操作等功能。</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CD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4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25ED">
            <w:pPr>
              <w:jc w:val="center"/>
              <w:rPr>
                <w:rFonts w:hint="eastAsia" w:ascii="宋体" w:hAnsi="宋体" w:eastAsia="宋体" w:cs="宋体"/>
                <w:i w:val="0"/>
                <w:iCs w:val="0"/>
                <w:color w:val="000000"/>
                <w:sz w:val="20"/>
                <w:szCs w:val="20"/>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B9CB">
            <w:pPr>
              <w:jc w:val="center"/>
              <w:rPr>
                <w:rFonts w:hint="eastAsia" w:ascii="宋体" w:hAnsi="宋体" w:eastAsia="宋体" w:cs="宋体"/>
                <w:i w:val="0"/>
                <w:iCs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96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英豪镇</w:t>
            </w:r>
          </w:p>
        </w:tc>
      </w:tr>
      <w:tr w14:paraId="2F5F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049"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8D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B8A8B">
            <w:pPr>
              <w:jc w:val="center"/>
              <w:rPr>
                <w:rFonts w:hint="eastAsia" w:ascii="宋体" w:hAnsi="宋体" w:eastAsia="宋体" w:cs="宋体"/>
                <w:i w:val="0"/>
                <w:iCs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C29B">
            <w:pPr>
              <w:rPr>
                <w:rFonts w:hint="eastAsia" w:ascii="宋体" w:hAnsi="宋体" w:eastAsia="宋体" w:cs="宋体"/>
                <w:b/>
                <w:bCs/>
                <w:i w:val="0"/>
                <w:iCs w:val="0"/>
                <w:color w:val="000000"/>
                <w:sz w:val="20"/>
                <w:szCs w:val="20"/>
                <w:u w:val="none"/>
              </w:rPr>
            </w:pPr>
          </w:p>
        </w:tc>
      </w:tr>
    </w:tbl>
    <w:p w14:paraId="0FC231C3">
      <w:pPr>
        <w:numPr>
          <w:ilvl w:val="0"/>
          <w:numId w:val="0"/>
        </w:numPr>
        <w:rPr>
          <w:rFonts w:hint="default" w:ascii="宋体" w:hAnsi="宋体"/>
          <w:bCs/>
          <w:color w:val="auto"/>
          <w:sz w:val="24"/>
          <w:lang w:val="en-US" w:eastAsia="zh-CN"/>
        </w:rPr>
      </w:pPr>
    </w:p>
    <w:p w14:paraId="07A7BD3B">
      <w:pPr>
        <w:spacing w:line="360" w:lineRule="auto"/>
        <w:jc w:val="left"/>
        <w:outlineLvl w:val="1"/>
        <w:rPr>
          <w:rFonts w:hint="eastAsia" w:ascii="宋体" w:hAnsi="宋体"/>
          <w:b/>
          <w:color w:val="auto"/>
          <w:sz w:val="24"/>
        </w:rPr>
      </w:pPr>
      <w:bookmarkStart w:id="138" w:name="_Toc534621201"/>
      <w:bookmarkStart w:id="139" w:name="_Toc150787525"/>
      <w:bookmarkStart w:id="140" w:name="_Toc57708780"/>
      <w:r>
        <w:rPr>
          <w:rFonts w:hint="eastAsia" w:ascii="宋体" w:hAnsi="宋体"/>
          <w:b/>
          <w:color w:val="auto"/>
          <w:sz w:val="24"/>
          <w:lang w:val="en-US" w:eastAsia="zh-CN"/>
        </w:rPr>
        <w:t>二</w:t>
      </w:r>
      <w:r>
        <w:rPr>
          <w:rFonts w:hint="eastAsia" w:ascii="宋体" w:hAnsi="宋体"/>
          <w:b/>
          <w:color w:val="auto"/>
          <w:sz w:val="24"/>
        </w:rPr>
        <w:t>、</w:t>
      </w:r>
      <w:bookmarkEnd w:id="138"/>
      <w:bookmarkEnd w:id="139"/>
      <w:bookmarkEnd w:id="140"/>
      <w:r>
        <w:rPr>
          <w:rFonts w:hint="eastAsia" w:ascii="宋体" w:hAnsi="宋体"/>
          <w:b/>
          <w:color w:val="auto"/>
          <w:sz w:val="24"/>
        </w:rPr>
        <w:t>货物基本要求</w:t>
      </w:r>
    </w:p>
    <w:p w14:paraId="7D12E7CB">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供应商</w:t>
      </w:r>
      <w:r>
        <w:rPr>
          <w:rFonts w:hint="eastAsia" w:ascii="宋体" w:hAnsi="宋体"/>
          <w:color w:val="auto"/>
          <w:sz w:val="24"/>
        </w:rPr>
        <w:t>所提供的产品必须为投标货物生产厂家提供的原厂设备，包装未开封，而且设备（包括零部件）应是交付前最新生产或技术较为先进的且未被使用过的全新设备，同时必须在中国境内具有合法使用权。</w:t>
      </w:r>
    </w:p>
    <w:p w14:paraId="72B16069">
      <w:pPr>
        <w:spacing w:line="360" w:lineRule="auto"/>
        <w:ind w:firstLine="480" w:firstLineChars="200"/>
        <w:rPr>
          <w:rFonts w:hint="eastAsia" w:ascii="宋体" w:hAnsi="宋体"/>
          <w:color w:val="auto"/>
          <w:sz w:val="24"/>
        </w:rPr>
      </w:pPr>
      <w:r>
        <w:rPr>
          <w:rFonts w:hint="eastAsia" w:ascii="宋体" w:hAnsi="宋体"/>
          <w:color w:val="auto"/>
          <w:sz w:val="24"/>
        </w:rPr>
        <w:t>②招标文件中没有列出，而对产品的正常运行和维护必不可少的备件、专用工具和消耗品，</w:t>
      </w:r>
      <w:r>
        <w:rPr>
          <w:rFonts w:hint="eastAsia" w:ascii="宋体" w:hAnsi="宋体" w:eastAsia="宋体" w:cs="宋体"/>
          <w:color w:val="auto"/>
          <w:sz w:val="24"/>
          <w:lang w:eastAsia="zh-CN"/>
        </w:rPr>
        <w:t>供应商</w:t>
      </w:r>
      <w:r>
        <w:rPr>
          <w:rFonts w:hint="eastAsia" w:ascii="宋体" w:hAnsi="宋体"/>
          <w:color w:val="auto"/>
          <w:sz w:val="24"/>
        </w:rPr>
        <w:t>有责任予以补充。</w:t>
      </w:r>
    </w:p>
    <w:p w14:paraId="6E64432C">
      <w:pPr>
        <w:spacing w:line="360" w:lineRule="auto"/>
        <w:ind w:firstLine="480" w:firstLineChars="200"/>
        <w:rPr>
          <w:rFonts w:hint="eastAsia" w:ascii="宋体" w:hAnsi="宋体"/>
          <w:color w:val="auto"/>
          <w:sz w:val="24"/>
        </w:rPr>
      </w:pPr>
      <w:r>
        <w:rPr>
          <w:rFonts w:hint="eastAsia" w:ascii="宋体" w:hAnsi="宋体"/>
          <w:color w:val="auto"/>
          <w:sz w:val="24"/>
        </w:rPr>
        <w:t>③如果</w:t>
      </w:r>
      <w:r>
        <w:rPr>
          <w:rFonts w:hint="eastAsia" w:ascii="宋体" w:hAnsi="宋体" w:eastAsia="宋体" w:cs="宋体"/>
          <w:color w:val="auto"/>
          <w:sz w:val="24"/>
          <w:lang w:eastAsia="zh-CN"/>
        </w:rPr>
        <w:t>供应商</w:t>
      </w:r>
      <w:r>
        <w:rPr>
          <w:rFonts w:hint="eastAsia" w:ascii="宋体" w:hAnsi="宋体"/>
          <w:color w:val="auto"/>
          <w:sz w:val="24"/>
        </w:rPr>
        <w:t>在中标并签署合同后，在供货时出现软、硬件的任何遗漏，均由中标人免费提供，</w:t>
      </w:r>
      <w:r>
        <w:rPr>
          <w:rFonts w:hint="eastAsia" w:ascii="宋体" w:hAnsi="宋体" w:eastAsia="宋体" w:cs="宋体"/>
          <w:color w:val="auto"/>
          <w:sz w:val="24"/>
          <w:lang w:eastAsia="zh-CN"/>
        </w:rPr>
        <w:t>采购人</w:t>
      </w:r>
      <w:r>
        <w:rPr>
          <w:rFonts w:hint="eastAsia" w:ascii="宋体" w:hAnsi="宋体"/>
          <w:color w:val="auto"/>
          <w:sz w:val="24"/>
        </w:rPr>
        <w:t>将不再支付任何费用。</w:t>
      </w:r>
    </w:p>
    <w:p w14:paraId="786825D5">
      <w:pPr>
        <w:spacing w:line="360" w:lineRule="auto"/>
        <w:ind w:firstLine="480" w:firstLineChars="200"/>
        <w:rPr>
          <w:rFonts w:hint="eastAsia" w:ascii="宋体" w:hAnsi="宋体"/>
          <w:color w:val="auto"/>
          <w:sz w:val="24"/>
        </w:rPr>
      </w:pPr>
      <w:r>
        <w:rPr>
          <w:rFonts w:hint="eastAsia" w:ascii="宋体" w:hAnsi="宋体"/>
          <w:color w:val="auto"/>
          <w:sz w:val="24"/>
        </w:rPr>
        <w:t>④运行要求：产品安装后能够接通并正常运转、如涉及到软件产品的须能够在</w:t>
      </w:r>
      <w:r>
        <w:rPr>
          <w:rFonts w:hint="eastAsia" w:ascii="宋体" w:hAnsi="宋体" w:eastAsia="宋体" w:cs="宋体"/>
          <w:color w:val="auto"/>
          <w:sz w:val="24"/>
          <w:lang w:eastAsia="zh-CN"/>
        </w:rPr>
        <w:t>采购人</w:t>
      </w:r>
      <w:r>
        <w:rPr>
          <w:rFonts w:hint="eastAsia" w:ascii="宋体" w:hAnsi="宋体"/>
          <w:color w:val="auto"/>
          <w:sz w:val="24"/>
        </w:rPr>
        <w:t>相应平台上正常运行，并达到招标文件要求的性能和产品技术规格中的性能。</w:t>
      </w:r>
      <w:bookmarkStart w:id="141" w:name="_Toc267581945"/>
    </w:p>
    <w:bookmarkEnd w:id="141"/>
    <w:p w14:paraId="2028B601">
      <w:pPr>
        <w:spacing w:line="360" w:lineRule="auto"/>
        <w:jc w:val="left"/>
        <w:outlineLvl w:val="1"/>
        <w:rPr>
          <w:rFonts w:hint="eastAsia" w:ascii="宋体" w:hAnsi="宋体"/>
          <w:b/>
          <w:color w:val="auto"/>
          <w:sz w:val="24"/>
        </w:rPr>
      </w:pPr>
      <w:bookmarkStart w:id="142" w:name="_Toc267581946"/>
      <w:bookmarkStart w:id="143" w:name="_Toc57708781"/>
      <w:bookmarkStart w:id="144" w:name="_Toc150787526"/>
      <w:bookmarkStart w:id="145" w:name="_Toc516499660"/>
      <w:bookmarkStart w:id="146" w:name="_Toc534621202"/>
      <w:r>
        <w:rPr>
          <w:rFonts w:hint="eastAsia" w:ascii="宋体" w:hAnsi="宋体"/>
          <w:b/>
          <w:color w:val="auto"/>
          <w:sz w:val="24"/>
          <w:lang w:val="en-US" w:eastAsia="zh-CN"/>
        </w:rPr>
        <w:t>三</w:t>
      </w:r>
      <w:r>
        <w:rPr>
          <w:rFonts w:hint="eastAsia" w:ascii="宋体" w:hAnsi="宋体"/>
          <w:b/>
          <w:color w:val="auto"/>
          <w:sz w:val="24"/>
        </w:rPr>
        <w:t>、安装调试、验收要求</w:t>
      </w:r>
      <w:bookmarkEnd w:id="142"/>
      <w:bookmarkEnd w:id="143"/>
      <w:bookmarkEnd w:id="144"/>
      <w:bookmarkEnd w:id="145"/>
      <w:bookmarkEnd w:id="146"/>
    </w:p>
    <w:p w14:paraId="520DF8F6">
      <w:pPr>
        <w:spacing w:line="360" w:lineRule="auto"/>
        <w:ind w:left="48" w:leftChars="20" w:firstLine="355" w:firstLineChars="148"/>
        <w:rPr>
          <w:rFonts w:hint="eastAsia" w:ascii="宋体" w:hAnsi="宋体"/>
          <w:b/>
          <w:color w:val="auto"/>
          <w:sz w:val="24"/>
        </w:rPr>
      </w:pPr>
      <w:r>
        <w:rPr>
          <w:rFonts w:hint="eastAsia" w:ascii="宋体" w:hAnsi="宋体"/>
          <w:b/>
          <w:color w:val="auto"/>
          <w:sz w:val="24"/>
        </w:rPr>
        <w:t>1、安装、调试要求</w:t>
      </w:r>
    </w:p>
    <w:p w14:paraId="00CCEACA">
      <w:pPr>
        <w:spacing w:line="360" w:lineRule="auto"/>
        <w:ind w:firstLine="480" w:firstLineChars="200"/>
        <w:rPr>
          <w:rFonts w:hint="eastAsia" w:ascii="宋体" w:hAnsi="宋体"/>
          <w:color w:val="auto"/>
          <w:sz w:val="24"/>
        </w:rPr>
      </w:pPr>
      <w:r>
        <w:rPr>
          <w:rFonts w:hint="eastAsia" w:ascii="宋体" w:hAnsi="宋体"/>
          <w:color w:val="auto"/>
          <w:sz w:val="24"/>
        </w:rPr>
        <w:t>①中标人应及时向</w:t>
      </w:r>
      <w:r>
        <w:rPr>
          <w:rFonts w:hint="eastAsia" w:ascii="宋体" w:hAnsi="宋体" w:eastAsia="宋体" w:cs="宋体"/>
          <w:color w:val="auto"/>
          <w:sz w:val="24"/>
          <w:lang w:eastAsia="zh-CN"/>
        </w:rPr>
        <w:t>采购人</w:t>
      </w:r>
      <w:r>
        <w:rPr>
          <w:rFonts w:hint="eastAsia" w:ascii="宋体" w:hAnsi="宋体"/>
          <w:color w:val="auto"/>
          <w:sz w:val="24"/>
        </w:rPr>
        <w:t>提供设备及服务，并承诺与</w:t>
      </w:r>
      <w:r>
        <w:rPr>
          <w:rFonts w:hint="eastAsia" w:ascii="宋体" w:hAnsi="宋体" w:eastAsia="宋体" w:cs="宋体"/>
          <w:color w:val="auto"/>
          <w:sz w:val="24"/>
          <w:lang w:eastAsia="zh-CN"/>
        </w:rPr>
        <w:t>采购人</w:t>
      </w:r>
      <w:r>
        <w:rPr>
          <w:rFonts w:hint="eastAsia" w:ascii="宋体" w:hAnsi="宋体"/>
          <w:color w:val="auto"/>
          <w:sz w:val="24"/>
        </w:rPr>
        <w:t>进行积极主动的合作，中标人必须服从</w:t>
      </w:r>
      <w:r>
        <w:rPr>
          <w:rFonts w:hint="eastAsia" w:ascii="宋体" w:hAnsi="宋体" w:eastAsia="宋体" w:cs="宋体"/>
          <w:color w:val="auto"/>
          <w:sz w:val="24"/>
          <w:lang w:eastAsia="zh-CN"/>
        </w:rPr>
        <w:t>采购人</w:t>
      </w:r>
      <w:r>
        <w:rPr>
          <w:rFonts w:hint="eastAsia" w:ascii="宋体" w:hAnsi="宋体"/>
          <w:color w:val="auto"/>
          <w:sz w:val="24"/>
        </w:rPr>
        <w:t>的统一协调，在设备供货、技术支持、运行维护等方面相互配合；</w:t>
      </w:r>
    </w:p>
    <w:p w14:paraId="7BEBFF8F">
      <w:pPr>
        <w:spacing w:line="360" w:lineRule="auto"/>
        <w:ind w:firstLine="480" w:firstLineChars="200"/>
        <w:rPr>
          <w:rFonts w:hint="eastAsia" w:ascii="宋体" w:hAnsi="宋体"/>
          <w:color w:val="auto"/>
          <w:sz w:val="24"/>
        </w:rPr>
      </w:pPr>
      <w:r>
        <w:rPr>
          <w:rFonts w:hint="eastAsia" w:ascii="宋体" w:hAnsi="宋体"/>
          <w:color w:val="auto"/>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79D83CD6">
      <w:pPr>
        <w:spacing w:line="360" w:lineRule="auto"/>
        <w:ind w:firstLine="480" w:firstLineChars="200"/>
        <w:rPr>
          <w:rFonts w:hint="eastAsia" w:ascii="宋体" w:hAnsi="宋体"/>
          <w:color w:val="auto"/>
          <w:sz w:val="24"/>
        </w:rPr>
      </w:pPr>
      <w:r>
        <w:rPr>
          <w:rFonts w:hint="eastAsia" w:ascii="宋体" w:hAnsi="宋体"/>
          <w:color w:val="auto"/>
          <w:sz w:val="24"/>
        </w:rPr>
        <w:t>③产品未经验收时，由中标人负责保管至采购项目交货结束，其间发生的损坏、遗失由中标人负责；</w:t>
      </w:r>
    </w:p>
    <w:p w14:paraId="486AE617">
      <w:pPr>
        <w:spacing w:line="360" w:lineRule="auto"/>
        <w:ind w:firstLine="480" w:firstLineChars="200"/>
        <w:rPr>
          <w:rFonts w:hint="eastAsia" w:ascii="宋体" w:hAnsi="宋体"/>
          <w:color w:val="auto"/>
          <w:sz w:val="24"/>
        </w:rPr>
      </w:pPr>
      <w:r>
        <w:rPr>
          <w:rFonts w:hint="eastAsia" w:ascii="宋体" w:hAnsi="宋体"/>
          <w:color w:val="auto"/>
          <w:sz w:val="24"/>
        </w:rPr>
        <w:t>④设备到货后中标人应免费派技术人员在现场安装、调试；</w:t>
      </w:r>
    </w:p>
    <w:p w14:paraId="0540A3C0">
      <w:pPr>
        <w:spacing w:line="360" w:lineRule="auto"/>
        <w:ind w:firstLine="480" w:firstLineChars="200"/>
        <w:rPr>
          <w:rFonts w:hint="eastAsia" w:ascii="宋体" w:hAnsi="宋体"/>
          <w:color w:val="auto"/>
          <w:sz w:val="24"/>
        </w:rPr>
      </w:pPr>
      <w:r>
        <w:rPr>
          <w:rFonts w:hint="eastAsia" w:ascii="宋体" w:hAnsi="宋体"/>
          <w:color w:val="auto"/>
          <w:sz w:val="24"/>
        </w:rPr>
        <w:t>⑤中标人应遵守</w:t>
      </w:r>
      <w:r>
        <w:rPr>
          <w:rFonts w:hint="eastAsia" w:ascii="宋体" w:hAnsi="宋体" w:eastAsia="宋体" w:cs="宋体"/>
          <w:color w:val="auto"/>
          <w:sz w:val="24"/>
          <w:lang w:eastAsia="zh-CN"/>
        </w:rPr>
        <w:t>采购人</w:t>
      </w:r>
      <w:r>
        <w:rPr>
          <w:rFonts w:hint="eastAsia" w:ascii="宋体" w:hAnsi="宋体"/>
          <w:color w:val="auto"/>
          <w:sz w:val="24"/>
        </w:rPr>
        <w:t>安装现场的一切规章制度；</w:t>
      </w:r>
    </w:p>
    <w:p w14:paraId="47D2EA94">
      <w:pPr>
        <w:spacing w:line="360" w:lineRule="auto"/>
        <w:ind w:firstLine="480" w:firstLineChars="200"/>
        <w:rPr>
          <w:rFonts w:hint="eastAsia" w:ascii="宋体" w:hAnsi="宋体"/>
          <w:color w:val="auto"/>
          <w:sz w:val="24"/>
        </w:rPr>
      </w:pPr>
      <w:r>
        <w:rPr>
          <w:rFonts w:hint="eastAsia" w:ascii="宋体" w:hAnsi="宋体"/>
          <w:color w:val="auto"/>
          <w:sz w:val="24"/>
        </w:rPr>
        <w:t>⑥中标人在设备全部安装完工并通过</w:t>
      </w:r>
      <w:r>
        <w:rPr>
          <w:rFonts w:hint="eastAsia" w:ascii="宋体" w:hAnsi="宋体" w:eastAsia="宋体" w:cs="宋体"/>
          <w:color w:val="auto"/>
          <w:sz w:val="24"/>
          <w:lang w:eastAsia="zh-CN"/>
        </w:rPr>
        <w:t>采购人</w:t>
      </w:r>
      <w:r>
        <w:rPr>
          <w:rFonts w:hint="eastAsia" w:ascii="宋体" w:hAnsi="宋体"/>
          <w:color w:val="auto"/>
          <w:sz w:val="24"/>
        </w:rPr>
        <w:t>的验收之前应对安装好的设备及设备的安装工具等提供适当的保护、包装或覆盖等处理，直至验收合格，以免设备受损；</w:t>
      </w:r>
    </w:p>
    <w:p w14:paraId="34AF7AE5">
      <w:pPr>
        <w:spacing w:line="360" w:lineRule="auto"/>
        <w:ind w:firstLine="480" w:firstLineChars="200"/>
        <w:rPr>
          <w:rFonts w:hint="eastAsia" w:ascii="宋体" w:hAnsi="宋体"/>
          <w:color w:val="auto"/>
          <w:sz w:val="24"/>
        </w:rPr>
      </w:pPr>
      <w:r>
        <w:rPr>
          <w:rFonts w:hint="eastAsia" w:ascii="宋体" w:hAnsi="宋体"/>
          <w:color w:val="auto"/>
          <w:sz w:val="24"/>
        </w:rPr>
        <w:t>⑦安装调试人员在安装中对其他邻近设备、管线等造成损坏，应负责修复及承担一切费用；</w:t>
      </w:r>
    </w:p>
    <w:p w14:paraId="59659457">
      <w:pPr>
        <w:spacing w:line="360" w:lineRule="auto"/>
        <w:ind w:firstLine="480" w:firstLineChars="200"/>
        <w:rPr>
          <w:rFonts w:hint="eastAsia" w:ascii="宋体" w:hAnsi="宋体"/>
          <w:color w:val="auto"/>
          <w:sz w:val="24"/>
        </w:rPr>
      </w:pPr>
      <w:r>
        <w:rPr>
          <w:rFonts w:hint="eastAsia" w:ascii="宋体" w:hAnsi="宋体"/>
          <w:color w:val="auto"/>
          <w:sz w:val="24"/>
        </w:rPr>
        <w:t>⑧调试期间或保修过程中，中标人负责及时清理垃圾，并将包装物及垃圾堆放至</w:t>
      </w:r>
      <w:r>
        <w:rPr>
          <w:rFonts w:hint="eastAsia" w:ascii="宋体" w:hAnsi="宋体" w:eastAsia="宋体" w:cs="宋体"/>
          <w:color w:val="auto"/>
          <w:sz w:val="24"/>
          <w:lang w:eastAsia="zh-CN"/>
        </w:rPr>
        <w:t>采购人</w:t>
      </w:r>
      <w:r>
        <w:rPr>
          <w:rFonts w:hint="eastAsia" w:ascii="宋体" w:hAnsi="宋体"/>
          <w:color w:val="auto"/>
          <w:sz w:val="24"/>
        </w:rPr>
        <w:t>指定地点。</w:t>
      </w:r>
    </w:p>
    <w:p w14:paraId="1B58FFBF">
      <w:pPr>
        <w:spacing w:line="360" w:lineRule="auto"/>
        <w:ind w:left="48" w:leftChars="20" w:firstLine="355" w:firstLineChars="148"/>
        <w:rPr>
          <w:rFonts w:hint="eastAsia" w:ascii="宋体" w:hAnsi="宋体"/>
          <w:b/>
          <w:color w:val="auto"/>
          <w:sz w:val="24"/>
        </w:rPr>
      </w:pPr>
      <w:r>
        <w:rPr>
          <w:rFonts w:hint="eastAsia" w:ascii="宋体" w:hAnsi="宋体"/>
          <w:b/>
          <w:color w:val="auto"/>
          <w:sz w:val="24"/>
        </w:rPr>
        <w:t>2、产品验收要求：</w:t>
      </w:r>
    </w:p>
    <w:p w14:paraId="5FF77A09">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采购人</w:t>
      </w:r>
      <w:r>
        <w:rPr>
          <w:rFonts w:hint="eastAsia" w:ascii="宋体" w:hAnsi="宋体"/>
          <w:color w:val="auto"/>
          <w:sz w:val="24"/>
        </w:rPr>
        <w:t>将依招标文件及</w:t>
      </w:r>
      <w:r>
        <w:rPr>
          <w:rFonts w:hint="eastAsia" w:ascii="宋体" w:hAnsi="宋体" w:eastAsia="宋体" w:cs="宋体"/>
          <w:color w:val="auto"/>
          <w:sz w:val="24"/>
          <w:lang w:eastAsia="zh-CN"/>
        </w:rPr>
        <w:t>供应商</w:t>
      </w:r>
      <w:r>
        <w:rPr>
          <w:rFonts w:hint="eastAsia" w:ascii="宋体" w:hAnsi="宋体"/>
          <w:color w:val="auto"/>
          <w:sz w:val="24"/>
        </w:rPr>
        <w:t>的投标文件的要求对全部交货设备的型号、规格、数量、外型、包装及资料、文件（如装箱单、保修单、随箱介质等）进行随机抽取验收。验收主要包括：</w:t>
      </w:r>
      <w:r>
        <w:rPr>
          <w:rFonts w:hint="eastAsia" w:ascii="宋体" w:hAnsi="宋体" w:eastAsia="宋体" w:cs="宋体"/>
          <w:color w:val="auto"/>
          <w:sz w:val="24"/>
          <w:lang w:eastAsia="zh-CN"/>
        </w:rPr>
        <w:t>采购人</w:t>
      </w:r>
      <w:r>
        <w:rPr>
          <w:rFonts w:hint="eastAsia" w:ascii="宋体" w:hAnsi="宋体"/>
          <w:color w:val="auto"/>
          <w:sz w:val="24"/>
        </w:rPr>
        <w:t>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w:t>
      </w:r>
      <w:r>
        <w:rPr>
          <w:rFonts w:hint="eastAsia" w:ascii="宋体" w:hAnsi="宋体" w:eastAsia="宋体" w:cs="宋体"/>
          <w:color w:val="auto"/>
          <w:sz w:val="24"/>
          <w:lang w:eastAsia="zh-CN"/>
        </w:rPr>
        <w:t>采购人</w:t>
      </w:r>
      <w:r>
        <w:rPr>
          <w:rFonts w:hint="eastAsia" w:ascii="宋体" w:hAnsi="宋体"/>
          <w:color w:val="auto"/>
          <w:sz w:val="24"/>
        </w:rPr>
        <w:t>允许不得私自拆毁原包装，否则，</w:t>
      </w:r>
      <w:r>
        <w:rPr>
          <w:rFonts w:hint="eastAsia" w:ascii="宋体" w:hAnsi="宋体" w:eastAsia="宋体" w:cs="宋体"/>
          <w:color w:val="auto"/>
          <w:sz w:val="24"/>
          <w:lang w:eastAsia="zh-CN"/>
        </w:rPr>
        <w:t>采购人</w:t>
      </w:r>
      <w:r>
        <w:rPr>
          <w:rFonts w:hint="eastAsia" w:ascii="宋体" w:hAnsi="宋体"/>
          <w:color w:val="auto"/>
          <w:sz w:val="24"/>
        </w:rPr>
        <w:t>有权不予验收，供方产品质量问题负责包退、包换和包修，由此发生的费用由供方负责；</w:t>
      </w:r>
    </w:p>
    <w:p w14:paraId="1DB2046E">
      <w:pPr>
        <w:spacing w:line="360" w:lineRule="auto"/>
        <w:ind w:firstLine="480" w:firstLineChars="200"/>
        <w:rPr>
          <w:rFonts w:hint="eastAsia" w:ascii="宋体" w:hAnsi="宋体"/>
          <w:color w:val="auto"/>
          <w:sz w:val="24"/>
        </w:rPr>
      </w:pPr>
      <w:r>
        <w:rPr>
          <w:rFonts w:hint="eastAsia" w:ascii="宋体" w:hAnsi="宋体"/>
          <w:color w:val="auto"/>
          <w:sz w:val="24"/>
        </w:rPr>
        <w:t>②验收中设备出现性能指标或功能上不符合招标文件和合同要求时，</w:t>
      </w:r>
      <w:r>
        <w:rPr>
          <w:rFonts w:hint="eastAsia" w:ascii="宋体" w:hAnsi="宋体" w:eastAsia="宋体" w:cs="宋体"/>
          <w:color w:val="auto"/>
          <w:sz w:val="24"/>
          <w:lang w:eastAsia="zh-CN"/>
        </w:rPr>
        <w:t>采购人</w:t>
      </w:r>
      <w:r>
        <w:rPr>
          <w:rFonts w:hint="eastAsia" w:ascii="宋体" w:hAnsi="宋体"/>
          <w:color w:val="auto"/>
          <w:sz w:val="24"/>
        </w:rPr>
        <w:t>有拒收的权利；</w:t>
      </w:r>
    </w:p>
    <w:p w14:paraId="7778648E">
      <w:pPr>
        <w:spacing w:line="360" w:lineRule="auto"/>
        <w:ind w:firstLine="480" w:firstLineChars="200"/>
        <w:rPr>
          <w:rFonts w:hint="eastAsia" w:ascii="宋体" w:hAnsi="宋体"/>
          <w:color w:val="auto"/>
          <w:sz w:val="24"/>
        </w:rPr>
      </w:pPr>
      <w:r>
        <w:rPr>
          <w:rFonts w:hint="eastAsia" w:ascii="宋体" w:hAnsi="宋体"/>
          <w:color w:val="auto"/>
          <w:sz w:val="24"/>
        </w:rPr>
        <w:t>③验收中出现不符合招标文件和合同要求的严重质量问题时，</w:t>
      </w:r>
      <w:r>
        <w:rPr>
          <w:rFonts w:hint="eastAsia" w:ascii="宋体" w:hAnsi="宋体" w:eastAsia="宋体" w:cs="宋体"/>
          <w:color w:val="auto"/>
          <w:sz w:val="24"/>
          <w:lang w:eastAsia="zh-CN"/>
        </w:rPr>
        <w:t>采购人</w:t>
      </w:r>
      <w:r>
        <w:rPr>
          <w:rFonts w:hint="eastAsia" w:ascii="宋体" w:hAnsi="宋体"/>
          <w:color w:val="auto"/>
          <w:sz w:val="24"/>
        </w:rPr>
        <w:t>保留索赔的权利；</w:t>
      </w:r>
    </w:p>
    <w:p w14:paraId="572C78C0">
      <w:pPr>
        <w:spacing w:line="360" w:lineRule="auto"/>
        <w:ind w:firstLine="480" w:firstLineChars="200"/>
        <w:rPr>
          <w:rFonts w:hint="eastAsia" w:ascii="宋体" w:hAnsi="宋体"/>
          <w:color w:val="auto"/>
          <w:sz w:val="24"/>
        </w:rPr>
      </w:pPr>
      <w:r>
        <w:rPr>
          <w:rFonts w:hint="eastAsia" w:ascii="宋体" w:hAnsi="宋体"/>
          <w:color w:val="auto"/>
          <w:sz w:val="24"/>
        </w:rPr>
        <w:t>④在安装现场直至进行最终验收所发生的一切费用均由中标人承担；</w:t>
      </w:r>
    </w:p>
    <w:p w14:paraId="5B7AD564">
      <w:pPr>
        <w:spacing w:line="360" w:lineRule="auto"/>
        <w:ind w:firstLine="480" w:firstLineChars="200"/>
        <w:rPr>
          <w:rFonts w:hint="eastAsia" w:ascii="宋体" w:hAnsi="宋体"/>
          <w:color w:val="auto"/>
          <w:sz w:val="24"/>
        </w:rPr>
      </w:pPr>
      <w:r>
        <w:rPr>
          <w:rFonts w:hint="eastAsia" w:ascii="宋体" w:hAnsi="宋体"/>
          <w:color w:val="auto"/>
          <w:sz w:val="24"/>
        </w:rPr>
        <w:t>⑤</w:t>
      </w:r>
      <w:r>
        <w:rPr>
          <w:rFonts w:hint="eastAsia" w:ascii="宋体" w:hAnsi="宋体" w:eastAsia="宋体" w:cs="宋体"/>
          <w:color w:val="auto"/>
          <w:sz w:val="24"/>
          <w:lang w:eastAsia="zh-CN"/>
        </w:rPr>
        <w:t>供应商</w:t>
      </w:r>
      <w:r>
        <w:rPr>
          <w:rFonts w:hint="eastAsia" w:ascii="宋体" w:hAnsi="宋体"/>
          <w:color w:val="auto"/>
          <w:sz w:val="24"/>
        </w:rPr>
        <w:t>所提供的货物/工程须符合国家强制性规定或相关法律法规要求；</w:t>
      </w:r>
    </w:p>
    <w:p w14:paraId="0D723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lang w:eastAsia="zh-CN"/>
        </w:rPr>
      </w:pPr>
      <w:r>
        <w:rPr>
          <w:rFonts w:hint="eastAsia" w:ascii="宋体" w:hAnsi="宋体"/>
          <w:color w:val="auto"/>
          <w:sz w:val="24"/>
        </w:rPr>
        <w:t>⑥验收时间和地点：</w:t>
      </w:r>
      <w:r>
        <w:rPr>
          <w:rFonts w:hint="eastAsia" w:ascii="宋体" w:hAnsi="宋体" w:eastAsia="宋体" w:cs="宋体"/>
          <w:color w:val="auto"/>
          <w:sz w:val="24"/>
          <w:lang w:eastAsia="zh-CN"/>
        </w:rPr>
        <w:t>供应商</w:t>
      </w:r>
      <w:r>
        <w:rPr>
          <w:rFonts w:hint="eastAsia" w:ascii="宋体" w:hAnsi="宋体"/>
          <w:color w:val="auto"/>
          <w:sz w:val="24"/>
        </w:rPr>
        <w:t>中标后须按照招标文件的交货要求分别交货至</w:t>
      </w:r>
      <w:r>
        <w:rPr>
          <w:rFonts w:hint="eastAsia" w:ascii="宋体" w:hAnsi="宋体" w:eastAsia="宋体" w:cs="宋体"/>
          <w:color w:val="auto"/>
          <w:sz w:val="24"/>
          <w:lang w:eastAsia="zh-CN"/>
        </w:rPr>
        <w:t>采购人</w:t>
      </w:r>
      <w:r>
        <w:rPr>
          <w:rFonts w:hint="eastAsia" w:ascii="宋体" w:hAnsi="宋体"/>
          <w:color w:val="auto"/>
          <w:sz w:val="24"/>
        </w:rPr>
        <w:t>指定地点，设备全部交货并布线完毕后由</w:t>
      </w:r>
      <w:r>
        <w:rPr>
          <w:rFonts w:hint="eastAsia" w:ascii="宋体" w:hAnsi="宋体" w:eastAsia="宋体" w:cs="宋体"/>
          <w:color w:val="auto"/>
          <w:sz w:val="24"/>
          <w:lang w:eastAsia="zh-CN"/>
        </w:rPr>
        <w:t>采购人</w:t>
      </w:r>
      <w:r>
        <w:rPr>
          <w:rFonts w:hint="eastAsia" w:ascii="宋体" w:hAnsi="宋体"/>
          <w:color w:val="auto"/>
          <w:sz w:val="24"/>
        </w:rPr>
        <w:t>进行现场验收并最终填写验收报告。基本标准为：是否按交货要求及时完成设备的到货、安装、调试工作，</w:t>
      </w:r>
      <w:r>
        <w:rPr>
          <w:rFonts w:hint="eastAsia" w:ascii="宋体" w:hAnsi="宋体" w:eastAsia="宋体" w:cs="宋体"/>
          <w:color w:val="auto"/>
          <w:sz w:val="24"/>
          <w:lang w:eastAsia="zh-CN"/>
        </w:rPr>
        <w:t>供应商</w:t>
      </w:r>
      <w:r>
        <w:rPr>
          <w:rFonts w:hint="eastAsia" w:ascii="宋体" w:hAnsi="宋体"/>
          <w:color w:val="auto"/>
          <w:sz w:val="24"/>
        </w:rPr>
        <w:t>提供的设备质量情况是否确保达到招标文件要</w:t>
      </w:r>
      <w:r>
        <w:rPr>
          <w:rFonts w:hint="eastAsia" w:ascii="宋体" w:hAnsi="宋体"/>
          <w:color w:val="auto"/>
          <w:sz w:val="24"/>
          <w:lang w:eastAsia="zh-CN"/>
        </w:rPr>
        <w:t>求。</w:t>
      </w:r>
    </w:p>
    <w:p w14:paraId="03FF2907">
      <w:pPr>
        <w:spacing w:line="360" w:lineRule="auto"/>
        <w:ind w:firstLine="480" w:firstLineChars="200"/>
        <w:rPr>
          <w:rFonts w:hint="default" w:ascii="宋体" w:hAnsi="宋体"/>
          <w:color w:val="auto"/>
          <w:sz w:val="24"/>
          <w:lang w:val="en-US" w:eastAsia="zh-CN"/>
        </w:rPr>
        <w:sectPr>
          <w:headerReference r:id="rId7" w:type="default"/>
          <w:footerReference r:id="rId8" w:type="default"/>
          <w:pgSz w:w="11906" w:h="16838"/>
          <w:pgMar w:top="1440" w:right="1418" w:bottom="1440" w:left="1418" w:header="851" w:footer="851" w:gutter="0"/>
          <w:pgNumType w:fmt="decimal" w:start="1"/>
          <w:cols w:space="720" w:num="1"/>
          <w:docGrid w:type="linesAndChars" w:linePitch="312" w:charSpace="0"/>
        </w:sectPr>
      </w:pPr>
    </w:p>
    <w:p w14:paraId="40CB2ED8">
      <w:pPr>
        <w:jc w:val="center"/>
        <w:outlineLvl w:val="0"/>
        <w:rPr>
          <w:rFonts w:hint="eastAsia" w:ascii="宋体" w:hAnsi="宋体" w:eastAsia="宋体" w:cs="宋体"/>
          <w:color w:val="auto"/>
        </w:rPr>
      </w:pPr>
      <w:bookmarkStart w:id="147" w:name="_Toc23728"/>
      <w:r>
        <w:rPr>
          <w:rStyle w:val="31"/>
          <w:rFonts w:hint="eastAsia"/>
          <w:color w:val="auto"/>
          <w:lang w:val="en-US" w:eastAsia="zh-CN"/>
        </w:rPr>
        <w:t xml:space="preserve">第五章 </w:t>
      </w:r>
      <w:r>
        <w:rPr>
          <w:rStyle w:val="31"/>
          <w:rFonts w:hint="eastAsia"/>
          <w:color w:val="auto"/>
        </w:rPr>
        <w:t xml:space="preserve">  合同条款及格式</w:t>
      </w:r>
      <w:bookmarkEnd w:id="147"/>
    </w:p>
    <w:p w14:paraId="6DE55458">
      <w:pPr>
        <w:bidi w:val="0"/>
        <w:jc w:val="center"/>
        <w:rPr>
          <w:rFonts w:hint="eastAsia"/>
          <w:b/>
          <w:bCs/>
        </w:rPr>
      </w:pPr>
      <w:bookmarkStart w:id="148" w:name="_Toc5002"/>
      <w:r>
        <w:rPr>
          <w:rFonts w:hint="eastAsia"/>
          <w:b/>
          <w:bCs/>
          <w:lang w:val="en-US" w:eastAsia="zh-CN"/>
        </w:rPr>
        <w:t>（此合同条款仅做参考以签订正式合同时为准）</w:t>
      </w:r>
      <w:bookmarkEnd w:id="148"/>
    </w:p>
    <w:p w14:paraId="5784336E">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甲方（全称）： </w:t>
      </w:r>
      <w:r>
        <w:rPr>
          <w:rFonts w:hint="eastAsia" w:ascii="宋体" w:hAnsi="宋体" w:cs="宋体"/>
          <w:b/>
          <w:color w:val="auto"/>
          <w:sz w:val="24"/>
          <w:u w:val="single"/>
        </w:rPr>
        <w:t>                      </w:t>
      </w:r>
    </w:p>
    <w:p w14:paraId="4D171866">
      <w:pPr>
        <w:spacing w:line="360" w:lineRule="auto"/>
        <w:ind w:firstLine="482" w:firstLineChars="200"/>
        <w:rPr>
          <w:rFonts w:ascii="宋体" w:hAnsi="宋体" w:cs="宋体"/>
          <w:b/>
          <w:color w:val="auto"/>
          <w:sz w:val="24"/>
          <w:u w:val="single"/>
        </w:rPr>
      </w:pPr>
      <w:r>
        <w:rPr>
          <w:rFonts w:hint="eastAsia" w:ascii="宋体" w:hAnsi="宋体" w:cs="宋体"/>
          <w:b/>
          <w:color w:val="auto"/>
          <w:sz w:val="24"/>
        </w:rPr>
        <w:t>乙方（全称）：</w:t>
      </w:r>
      <w:r>
        <w:rPr>
          <w:rFonts w:hint="eastAsia" w:ascii="宋体" w:hAnsi="宋体" w:cs="宋体"/>
          <w:b/>
          <w:color w:val="auto"/>
          <w:sz w:val="24"/>
          <w:u w:val="single"/>
        </w:rPr>
        <w:t>                      </w:t>
      </w:r>
    </w:p>
    <w:p w14:paraId="26028FF0">
      <w:pPr>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根据《中华人民共和国合同法》及有关法律规定，遵循平等、自愿、公平和诚实信用的原则，双方就</w:t>
      </w:r>
      <w:r>
        <w:rPr>
          <w:rFonts w:hint="eastAsia" w:ascii="宋体" w:hAnsi="宋体" w:cs="宋体"/>
          <w:b/>
          <w:color w:val="auto"/>
          <w:sz w:val="24"/>
          <w:u w:val="single"/>
        </w:rPr>
        <w:t>                      </w:t>
      </w:r>
      <w:r>
        <w:rPr>
          <w:rFonts w:hint="eastAsia" w:ascii="宋体" w:hAnsi="宋体" w:cs="宋体"/>
          <w:color w:val="auto"/>
          <w:sz w:val="24"/>
        </w:rPr>
        <w:t>及有关事项协商一致，共同达成如下协议：</w:t>
      </w:r>
    </w:p>
    <w:p w14:paraId="0DE5E2DD">
      <w:pPr>
        <w:spacing w:line="360" w:lineRule="auto"/>
        <w:ind w:firstLine="482" w:firstLineChars="200"/>
        <w:rPr>
          <w:rFonts w:ascii="宋体" w:hAnsi="宋体" w:cs="宋体"/>
          <w:b/>
          <w:color w:val="auto"/>
          <w:sz w:val="24"/>
        </w:rPr>
      </w:pPr>
      <w:r>
        <w:rPr>
          <w:rFonts w:hint="eastAsia" w:ascii="宋体" w:hAnsi="宋体" w:cs="宋体"/>
          <w:b/>
          <w:color w:val="auto"/>
          <w:sz w:val="24"/>
        </w:rPr>
        <w:t>合同文件</w:t>
      </w:r>
    </w:p>
    <w:p w14:paraId="1250C9E0">
      <w:pPr>
        <w:spacing w:line="360" w:lineRule="auto"/>
        <w:ind w:firstLine="480" w:firstLineChars="200"/>
        <w:rPr>
          <w:rFonts w:ascii="宋体" w:hAnsi="宋体" w:cs="宋体"/>
          <w:color w:val="auto"/>
          <w:sz w:val="24"/>
        </w:rPr>
      </w:pPr>
      <w:r>
        <w:rPr>
          <w:rFonts w:hint="eastAsia" w:ascii="宋体" w:hAnsi="宋体" w:cs="宋体"/>
          <w:color w:val="auto"/>
          <w:sz w:val="24"/>
        </w:rPr>
        <w:t>下列与本次采购活动有关的文件及附件是本合同不可分割的组成部分，与本合同具有同等法律效力，这些文件包括但不限于：</w:t>
      </w:r>
    </w:p>
    <w:p w14:paraId="0DA70608">
      <w:pPr>
        <w:spacing w:line="360" w:lineRule="auto"/>
        <w:ind w:firstLine="480" w:firstLineChars="200"/>
        <w:rPr>
          <w:rFonts w:ascii="宋体" w:hAnsi="宋体" w:cs="宋体"/>
          <w:color w:val="auto"/>
          <w:sz w:val="24"/>
        </w:rPr>
      </w:pPr>
      <w:r>
        <w:rPr>
          <w:rFonts w:hint="eastAsia" w:ascii="宋体" w:hAnsi="宋体" w:cs="宋体"/>
          <w:color w:val="auto"/>
          <w:sz w:val="24"/>
        </w:rPr>
        <w:t>1.招标采购文件</w:t>
      </w:r>
    </w:p>
    <w:p w14:paraId="7018E6AD">
      <w:pPr>
        <w:spacing w:line="360" w:lineRule="auto"/>
        <w:ind w:firstLine="480" w:firstLineChars="200"/>
        <w:rPr>
          <w:rFonts w:ascii="宋体" w:hAnsi="宋体" w:cs="宋体"/>
          <w:color w:val="auto"/>
          <w:sz w:val="24"/>
        </w:rPr>
      </w:pPr>
      <w:r>
        <w:rPr>
          <w:rFonts w:hint="eastAsia" w:ascii="宋体" w:hAnsi="宋体" w:cs="宋体"/>
          <w:color w:val="auto"/>
          <w:sz w:val="24"/>
        </w:rPr>
        <w:t>2.投标文件</w:t>
      </w:r>
    </w:p>
    <w:p w14:paraId="146A984B">
      <w:pPr>
        <w:spacing w:line="360" w:lineRule="auto"/>
        <w:ind w:firstLine="480" w:firstLineChars="200"/>
        <w:rPr>
          <w:rFonts w:ascii="宋体" w:hAnsi="宋体" w:cs="宋体"/>
          <w:color w:val="auto"/>
          <w:sz w:val="24"/>
        </w:rPr>
      </w:pPr>
      <w:r>
        <w:rPr>
          <w:rFonts w:hint="eastAsia" w:ascii="宋体" w:hAnsi="宋体" w:cs="宋体"/>
          <w:color w:val="auto"/>
          <w:sz w:val="24"/>
        </w:rPr>
        <w:t>3.乙方在投标时的书面承诺</w:t>
      </w:r>
    </w:p>
    <w:p w14:paraId="3C511BC6">
      <w:pPr>
        <w:spacing w:line="360" w:lineRule="auto"/>
        <w:ind w:firstLine="480" w:firstLineChars="200"/>
        <w:rPr>
          <w:rFonts w:ascii="宋体" w:hAnsi="宋体" w:cs="宋体"/>
          <w:color w:val="auto"/>
          <w:sz w:val="24"/>
        </w:rPr>
      </w:pPr>
      <w:r>
        <w:rPr>
          <w:rFonts w:hint="eastAsia" w:ascii="宋体" w:hAnsi="宋体" w:cs="宋体"/>
          <w:color w:val="auto"/>
          <w:sz w:val="24"/>
        </w:rPr>
        <w:t>4.中标通知书</w:t>
      </w:r>
    </w:p>
    <w:p w14:paraId="0B3327DB">
      <w:pPr>
        <w:spacing w:line="360" w:lineRule="auto"/>
        <w:ind w:firstLine="480" w:firstLineChars="200"/>
        <w:rPr>
          <w:rFonts w:ascii="宋体" w:hAnsi="宋体" w:cs="宋体"/>
          <w:color w:val="auto"/>
          <w:sz w:val="24"/>
        </w:rPr>
      </w:pPr>
      <w:r>
        <w:rPr>
          <w:rFonts w:hint="eastAsia" w:ascii="宋体" w:hAnsi="宋体" w:cs="宋体"/>
          <w:color w:val="auto"/>
          <w:sz w:val="24"/>
        </w:rPr>
        <w:t>5.合同补充条款或说明</w:t>
      </w:r>
    </w:p>
    <w:p w14:paraId="2877C423">
      <w:pPr>
        <w:spacing w:line="360" w:lineRule="auto"/>
        <w:ind w:firstLine="480" w:firstLineChars="200"/>
        <w:rPr>
          <w:rFonts w:ascii="宋体" w:hAnsi="宋体" w:cs="宋体"/>
          <w:color w:val="auto"/>
          <w:sz w:val="24"/>
        </w:rPr>
      </w:pPr>
      <w:r>
        <w:rPr>
          <w:rFonts w:hint="eastAsia" w:ascii="宋体" w:hAnsi="宋体" w:cs="宋体"/>
          <w:color w:val="auto"/>
          <w:sz w:val="24"/>
        </w:rPr>
        <w:t>6.保密协议或条款</w:t>
      </w:r>
    </w:p>
    <w:p w14:paraId="523B8487">
      <w:pPr>
        <w:spacing w:line="360" w:lineRule="auto"/>
        <w:ind w:firstLine="480" w:firstLineChars="200"/>
        <w:rPr>
          <w:rFonts w:ascii="宋体" w:hAnsi="宋体" w:cs="宋体"/>
          <w:color w:val="auto"/>
          <w:sz w:val="24"/>
        </w:rPr>
      </w:pPr>
      <w:r>
        <w:rPr>
          <w:rFonts w:hint="eastAsia" w:ascii="宋体" w:hAnsi="宋体" w:cs="宋体"/>
          <w:color w:val="auto"/>
          <w:sz w:val="24"/>
        </w:rPr>
        <w:t>7.相关附件、图纸及电子版资料</w:t>
      </w:r>
    </w:p>
    <w:p w14:paraId="19A20080">
      <w:pPr>
        <w:spacing w:line="360" w:lineRule="auto"/>
        <w:ind w:firstLine="482" w:firstLineChars="200"/>
        <w:rPr>
          <w:rFonts w:ascii="宋体" w:hAnsi="宋体" w:cs="宋体"/>
          <w:b/>
          <w:color w:val="auto"/>
          <w:sz w:val="24"/>
        </w:rPr>
      </w:pPr>
      <w:r>
        <w:rPr>
          <w:rFonts w:hint="eastAsia" w:ascii="宋体" w:hAnsi="宋体" w:cs="宋体"/>
          <w:b/>
          <w:color w:val="auto"/>
          <w:sz w:val="24"/>
        </w:rPr>
        <w:t>第二条  合同内容</w:t>
      </w:r>
    </w:p>
    <w:p w14:paraId="50E7B3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服务名称：详见合同附件中《服务明细一览表》  </w:t>
      </w:r>
    </w:p>
    <w:p w14:paraId="26DC6C7C">
      <w:pPr>
        <w:spacing w:line="360" w:lineRule="auto"/>
        <w:ind w:firstLine="482" w:firstLineChars="200"/>
        <w:rPr>
          <w:rFonts w:ascii="宋体" w:hAnsi="宋体" w:cs="宋体"/>
          <w:b/>
          <w:color w:val="auto"/>
          <w:sz w:val="24"/>
        </w:rPr>
      </w:pPr>
      <w:r>
        <w:rPr>
          <w:rFonts w:hint="eastAsia" w:ascii="宋体" w:hAnsi="宋体" w:cs="宋体"/>
          <w:b/>
          <w:color w:val="auto"/>
          <w:sz w:val="24"/>
        </w:rPr>
        <w:t>第三条  合同总价款</w:t>
      </w:r>
    </w:p>
    <w:p w14:paraId="192F9A31">
      <w:pPr>
        <w:spacing w:line="360" w:lineRule="auto"/>
        <w:ind w:firstLine="480" w:firstLineChars="200"/>
        <w:rPr>
          <w:rFonts w:ascii="宋体" w:hAnsi="宋体" w:cs="宋体"/>
          <w:color w:val="auto"/>
          <w:sz w:val="24"/>
        </w:rPr>
      </w:pPr>
      <w:r>
        <w:rPr>
          <w:rFonts w:hint="eastAsia" w:ascii="宋体" w:hAnsi="宋体" w:cs="宋体"/>
          <w:color w:val="auto"/>
          <w:sz w:val="24"/>
        </w:rPr>
        <w:t>1.本合同服务总价款：￥</w:t>
      </w:r>
      <w:r>
        <w:rPr>
          <w:rFonts w:hint="eastAsia" w:ascii="宋体" w:hAnsi="宋体" w:cs="宋体"/>
          <w:color w:val="auto"/>
          <w:sz w:val="24"/>
          <w:u w:val="single"/>
        </w:rPr>
        <w:t xml:space="preserve">                   </w:t>
      </w:r>
      <w:r>
        <w:rPr>
          <w:rFonts w:hint="eastAsia" w:ascii="宋体" w:hAnsi="宋体" w:cs="宋体"/>
          <w:color w:val="auto"/>
          <w:sz w:val="24"/>
        </w:rPr>
        <w:t>元。</w:t>
      </w:r>
    </w:p>
    <w:p w14:paraId="3AEF052B">
      <w:pPr>
        <w:spacing w:line="360" w:lineRule="auto"/>
        <w:ind w:firstLine="480" w:firstLineChars="200"/>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元。</w:t>
      </w:r>
    </w:p>
    <w:p w14:paraId="33C1C17F">
      <w:pPr>
        <w:spacing w:line="360" w:lineRule="auto"/>
        <w:ind w:firstLine="480" w:firstLineChars="200"/>
        <w:rPr>
          <w:rFonts w:ascii="宋体" w:hAnsi="宋体" w:cs="宋体"/>
          <w:color w:val="auto"/>
          <w:sz w:val="24"/>
        </w:rPr>
      </w:pPr>
      <w:r>
        <w:rPr>
          <w:rFonts w:hint="eastAsia" w:ascii="宋体" w:hAnsi="宋体" w:cs="宋体"/>
          <w:color w:val="auto"/>
          <w:sz w:val="24"/>
        </w:rPr>
        <w:t>2.分项价款在《服务一览表》中有明确规定。</w:t>
      </w:r>
    </w:p>
    <w:p w14:paraId="6EEBD8BB">
      <w:pPr>
        <w:spacing w:line="360" w:lineRule="auto"/>
        <w:ind w:firstLine="480" w:firstLineChars="200"/>
        <w:rPr>
          <w:rFonts w:ascii="宋体" w:hAnsi="宋体" w:cs="宋体"/>
          <w:color w:val="auto"/>
          <w:sz w:val="24"/>
        </w:rPr>
      </w:pPr>
      <w:r>
        <w:rPr>
          <w:rFonts w:hint="eastAsia" w:ascii="宋体" w:hAnsi="宋体" w:cs="宋体"/>
          <w:color w:val="auto"/>
          <w:sz w:val="24"/>
        </w:rPr>
        <w:t>3.本合同总价款包括委托服务期限间必须的日常物料、易耗品、工具、调试费、培训费等相关费用。</w:t>
      </w:r>
    </w:p>
    <w:p w14:paraId="0FC82690">
      <w:pPr>
        <w:spacing w:line="360" w:lineRule="auto"/>
        <w:ind w:firstLine="480" w:firstLineChars="200"/>
        <w:rPr>
          <w:rFonts w:ascii="宋体" w:hAnsi="宋体" w:cs="宋体"/>
          <w:color w:val="auto"/>
          <w:sz w:val="24"/>
        </w:rPr>
      </w:pPr>
      <w:r>
        <w:rPr>
          <w:rFonts w:hint="eastAsia" w:ascii="宋体" w:hAnsi="宋体" w:cs="宋体"/>
          <w:color w:val="auto"/>
          <w:sz w:val="24"/>
        </w:rPr>
        <w:t>4.本合同执行期内因工作量变化而引起的服务费用的变动，在双方事先协商一致的前提下签订补充合同，但因此而增加的服务费用不得超过原中标金额的10%。</w:t>
      </w:r>
    </w:p>
    <w:p w14:paraId="2A2EA86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 xml:space="preserve">第四条  </w:t>
      </w:r>
      <w:r>
        <w:rPr>
          <w:rFonts w:hint="eastAsia" w:ascii="宋体" w:hAnsi="宋体" w:cs="宋体"/>
          <w:b/>
          <w:bCs/>
          <w:color w:val="auto"/>
          <w:kern w:val="0"/>
          <w:sz w:val="24"/>
        </w:rPr>
        <w:t>双方一般权利和义务</w:t>
      </w:r>
    </w:p>
    <w:p w14:paraId="38F21BAA">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1.甲方的义务</w:t>
      </w:r>
    </w:p>
    <w:p w14:paraId="72B1CF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1.1 委托工作的具体范围和内容：</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5B98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1.2 甲方应按约定的时间和要求完成下列工作：</w:t>
      </w:r>
    </w:p>
    <w:p w14:paraId="117201E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（1）向乙方提供保证履行合同所需的全部资料的时间：</w:t>
      </w:r>
      <w:r>
        <w:rPr>
          <w:rFonts w:hint="eastAsia" w:ascii="宋体" w:hAnsi="宋体" w:cs="宋体"/>
          <w:color w:val="auto"/>
          <w:kern w:val="0"/>
          <w:sz w:val="24"/>
          <w:u w:val="single"/>
        </w:rPr>
        <w:t xml:space="preserve">合同签订后   个工作日内 </w:t>
      </w:r>
      <w:r>
        <w:rPr>
          <w:rFonts w:hint="eastAsia" w:ascii="宋体" w:hAnsi="宋体" w:cs="宋体"/>
          <w:color w:val="auto"/>
          <w:kern w:val="0"/>
          <w:sz w:val="24"/>
        </w:rPr>
        <w:t>。</w:t>
      </w:r>
    </w:p>
    <w:p w14:paraId="2EE1CB1D">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（2）向乙方提供保证履行合同顺利完成的条件：</w:t>
      </w:r>
      <w:r>
        <w:rPr>
          <w:rFonts w:hint="eastAsia" w:ascii="宋体" w:hAnsi="宋体" w:cs="宋体"/>
          <w:color w:val="auto"/>
          <w:kern w:val="0"/>
          <w:sz w:val="24"/>
          <w:u w:val="single"/>
        </w:rPr>
        <w:t xml:space="preserve">                       。</w:t>
      </w:r>
    </w:p>
    <w:p w14:paraId="78EF4008">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（3）需要与第三方协调的工作：</w:t>
      </w:r>
      <w:r>
        <w:rPr>
          <w:rFonts w:hint="eastAsia" w:ascii="宋体" w:hAnsi="宋体" w:cs="宋体"/>
          <w:color w:val="auto"/>
          <w:kern w:val="0"/>
          <w:sz w:val="24"/>
          <w:u w:val="single"/>
        </w:rPr>
        <w:t xml:space="preserve">无 </w:t>
      </w:r>
      <w:r>
        <w:rPr>
          <w:rFonts w:hint="eastAsia" w:ascii="宋体" w:hAnsi="宋体" w:cs="宋体"/>
          <w:color w:val="auto"/>
          <w:kern w:val="0"/>
          <w:sz w:val="24"/>
        </w:rPr>
        <w:t>。</w:t>
      </w:r>
    </w:p>
    <w:p w14:paraId="04DAF94E">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1.3 甲方有义务保守履约合同过程中有关的商业秘密。</w:t>
      </w:r>
    </w:p>
    <w:p w14:paraId="393B6E4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2.乙方的义务</w:t>
      </w:r>
    </w:p>
    <w:p w14:paraId="7AEE76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 乙方应按约定的时间和要求完全下列工作：</w:t>
      </w:r>
    </w:p>
    <w:p w14:paraId="1C3FBD41">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（1）保证履行合同的内容和时间：</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4C7AA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（2）为甲方提供的为保证履行合同的相关咨询服务：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24296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（3）应尽的其他义务：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2EE149">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2.2乙方有义务保守履约合同过程中有关的商业秘密。</w:t>
      </w:r>
    </w:p>
    <w:p w14:paraId="319159F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 甲方的权利</w:t>
      </w:r>
    </w:p>
    <w:p w14:paraId="7CF4DD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 按合同约定，接收项目成果；</w:t>
      </w:r>
    </w:p>
    <w:p w14:paraId="4B4254F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 向乙方询问履行合同工作进展情况和相关内容或提出不违反法律、行政法规的建议；</w:t>
      </w:r>
    </w:p>
    <w:p w14:paraId="60E851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3.3与乙方协商，建议更换其不称职的工作人员；</w:t>
      </w:r>
    </w:p>
    <w:p w14:paraId="4C06CC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3.4本合同履行期间，由于乙方不履行合同约定的内容，给甲方造成损失或影响工作正常进行的，甲方有权终止本合同，并依法向乙方追索经济赔偿，直至追究法律责任；</w:t>
      </w:r>
    </w:p>
    <w:p w14:paraId="66BB99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3.5 甲方有权利对乙方在合同履行期间的行为进行监督。</w:t>
      </w:r>
    </w:p>
    <w:p w14:paraId="7574986D">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4. 乙方的权利</w:t>
      </w:r>
    </w:p>
    <w:p w14:paraId="7CCCA8D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4.1按合同约定收取报酬；</w:t>
      </w:r>
    </w:p>
    <w:p w14:paraId="16B26F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4.2对履行合同中应由甲方做出的决定，乙方有权提出建议；</w:t>
      </w:r>
    </w:p>
    <w:p w14:paraId="077FCD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4.3当甲方提供的资料不足或不明确时，有权要求甲方补足资料或作出明确的答复；</w:t>
      </w:r>
    </w:p>
    <w:p w14:paraId="43D462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4.4拒绝甲方提出的违反法律、行政法规的要求，并向甲方作出解释。</w:t>
      </w:r>
    </w:p>
    <w:p w14:paraId="4CE795B9">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第五条  质量保证</w:t>
      </w:r>
    </w:p>
    <w:p w14:paraId="7C4B99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乙方保证服务不存在危及人身及财产安全的隐患，不存在违反国家法规、法令、法律以及行业规范所要求的有关安全条款，否则应承担全部法律责任。保证所提供的服务或其任何一部分均不会侵犯任何第三方的专利权、商标权或著作权。一旦出现侵权，索赔或诉讼，乙方应承担全部责任。</w:t>
      </w:r>
    </w:p>
    <w:p w14:paraId="618D226F">
      <w:pPr>
        <w:spacing w:line="360" w:lineRule="auto"/>
        <w:ind w:firstLine="482" w:firstLineChars="200"/>
        <w:rPr>
          <w:rFonts w:ascii="宋体" w:hAnsi="宋体" w:cs="宋体"/>
          <w:b/>
          <w:color w:val="auto"/>
          <w:sz w:val="24"/>
        </w:rPr>
      </w:pPr>
      <w:r>
        <w:rPr>
          <w:rFonts w:hint="eastAsia" w:ascii="宋体" w:hAnsi="宋体" w:cs="宋体"/>
          <w:b/>
          <w:color w:val="auto"/>
          <w:sz w:val="24"/>
        </w:rPr>
        <w:t>第六条  付款方式</w:t>
      </w:r>
    </w:p>
    <w:p w14:paraId="27DD2BF3">
      <w:pPr>
        <w:spacing w:line="360" w:lineRule="auto"/>
        <w:ind w:firstLine="480" w:firstLineChars="200"/>
        <w:rPr>
          <w:rFonts w:ascii="宋体" w:hAnsi="宋体" w:cs="宋体"/>
          <w:color w:val="auto"/>
          <w:sz w:val="24"/>
        </w:rPr>
      </w:pPr>
      <w:r>
        <w:rPr>
          <w:rFonts w:hint="eastAsia" w:ascii="宋体" w:hAnsi="宋体" w:cs="宋体"/>
          <w:color w:val="auto"/>
          <w:sz w:val="24"/>
        </w:rPr>
        <w:t>1.本合同项下所有款项均以人民币支付。</w:t>
      </w:r>
    </w:p>
    <w:p w14:paraId="01BEEF38">
      <w:pPr>
        <w:spacing w:line="360" w:lineRule="auto"/>
        <w:ind w:firstLine="480" w:firstLineChars="200"/>
        <w:rPr>
          <w:rFonts w:ascii="宋体" w:hAnsi="宋体" w:cs="宋体"/>
          <w:color w:val="auto"/>
          <w:sz w:val="24"/>
        </w:rPr>
      </w:pPr>
      <w:r>
        <w:rPr>
          <w:rFonts w:hint="eastAsia" w:ascii="宋体" w:hAnsi="宋体" w:cs="宋体"/>
          <w:color w:val="auto"/>
          <w:sz w:val="24"/>
        </w:rPr>
        <w:t>2.乙方向甲方提交下列文件材料，经甲方审核无误后支付采购价款：</w:t>
      </w:r>
    </w:p>
    <w:p w14:paraId="476017A4">
      <w:pPr>
        <w:spacing w:line="360" w:lineRule="auto"/>
        <w:ind w:firstLine="480" w:firstLineChars="200"/>
        <w:rPr>
          <w:rFonts w:ascii="宋体" w:hAnsi="宋体" w:cs="宋体"/>
          <w:color w:val="auto"/>
          <w:sz w:val="24"/>
        </w:rPr>
      </w:pPr>
      <w:r>
        <w:rPr>
          <w:rFonts w:hint="eastAsia" w:ascii="宋体" w:hAnsi="宋体" w:cs="宋体"/>
          <w:color w:val="auto"/>
          <w:sz w:val="24"/>
        </w:rPr>
        <w:t>（1）经甲方确认的发票；</w:t>
      </w:r>
    </w:p>
    <w:p w14:paraId="454EBF6D">
      <w:pPr>
        <w:spacing w:line="360" w:lineRule="auto"/>
        <w:ind w:firstLine="480" w:firstLineChars="200"/>
        <w:rPr>
          <w:rFonts w:ascii="宋体" w:hAnsi="宋体" w:cs="宋体"/>
          <w:color w:val="auto"/>
          <w:sz w:val="24"/>
        </w:rPr>
      </w:pPr>
      <w:r>
        <w:rPr>
          <w:rFonts w:hint="eastAsia" w:ascii="宋体" w:hAnsi="宋体" w:cs="宋体"/>
          <w:color w:val="auto"/>
          <w:sz w:val="24"/>
        </w:rPr>
        <w:t>（2）经甲乙双方确认签署的《验收报告》；</w:t>
      </w:r>
    </w:p>
    <w:p w14:paraId="3657D189">
      <w:pPr>
        <w:spacing w:line="360" w:lineRule="auto"/>
        <w:ind w:firstLine="480" w:firstLineChars="200"/>
        <w:rPr>
          <w:rFonts w:ascii="宋体" w:hAnsi="宋体" w:cs="宋体"/>
          <w:color w:val="auto"/>
          <w:sz w:val="24"/>
        </w:rPr>
      </w:pPr>
      <w:r>
        <w:rPr>
          <w:rFonts w:hint="eastAsia" w:ascii="宋体" w:hAnsi="宋体" w:cs="宋体"/>
          <w:color w:val="auto"/>
          <w:sz w:val="24"/>
        </w:rPr>
        <w:t>（3）其他材料。</w:t>
      </w:r>
    </w:p>
    <w:p w14:paraId="72D00021">
      <w:pPr>
        <w:spacing w:line="360" w:lineRule="auto"/>
        <w:ind w:firstLine="480" w:firstLineChars="200"/>
        <w:rPr>
          <w:rFonts w:ascii="宋体" w:hAnsi="宋体" w:cs="宋体"/>
          <w:color w:val="auto"/>
          <w:sz w:val="24"/>
        </w:rPr>
      </w:pPr>
      <w:r>
        <w:rPr>
          <w:rFonts w:hint="eastAsia" w:ascii="宋体" w:hAnsi="宋体" w:cs="宋体"/>
          <w:color w:val="auto"/>
          <w:sz w:val="24"/>
        </w:rPr>
        <w:t>3.款项的支付进度以招标采购文件的有关规定为准。如招标采购文件未作特别规定，则付款进度按如下约定履行：</w:t>
      </w:r>
    </w:p>
    <w:p w14:paraId="4B521867">
      <w:pPr>
        <w:spacing w:line="360" w:lineRule="auto"/>
        <w:ind w:firstLine="480" w:firstLineChars="200"/>
        <w:rPr>
          <w:rFonts w:ascii="宋体" w:hAnsi="宋体" w:cs="宋体"/>
          <w:color w:val="auto"/>
          <w:sz w:val="24"/>
        </w:rPr>
      </w:pPr>
      <w:r>
        <w:rPr>
          <w:rFonts w:hint="eastAsia" w:ascii="宋体" w:hAnsi="宋体" w:cs="宋体"/>
          <w:color w:val="auto"/>
          <w:sz w:val="24"/>
        </w:rPr>
        <w:t>签订合同后预付合同总额的50%，履行合同结束经验收合格后付清余款。</w:t>
      </w:r>
    </w:p>
    <w:p w14:paraId="41E3832B">
      <w:pPr>
        <w:spacing w:line="360" w:lineRule="auto"/>
        <w:ind w:firstLine="482" w:firstLineChars="200"/>
        <w:rPr>
          <w:rFonts w:ascii="宋体" w:hAnsi="宋体" w:cs="宋体"/>
          <w:b/>
          <w:color w:val="auto"/>
          <w:sz w:val="24"/>
        </w:rPr>
      </w:pPr>
      <w:r>
        <w:rPr>
          <w:rFonts w:hint="eastAsia" w:ascii="宋体" w:hAnsi="宋体" w:cs="宋体"/>
          <w:b/>
          <w:color w:val="auto"/>
          <w:sz w:val="24"/>
        </w:rPr>
        <w:t>第七条  履约保证金</w:t>
      </w:r>
    </w:p>
    <w:p w14:paraId="3790BDE2">
      <w:pPr>
        <w:spacing w:line="360" w:lineRule="auto"/>
        <w:ind w:firstLine="482" w:firstLineChars="200"/>
        <w:rPr>
          <w:rFonts w:ascii="宋体" w:hAnsi="宋体" w:cs="宋体"/>
          <w:b/>
          <w:color w:val="auto"/>
          <w:sz w:val="24"/>
        </w:rPr>
      </w:pPr>
      <w:r>
        <w:rPr>
          <w:rFonts w:hint="eastAsia" w:ascii="宋体" w:hAnsi="宋体" w:cs="宋体"/>
          <w:b/>
          <w:color w:val="auto"/>
          <w:sz w:val="24"/>
        </w:rPr>
        <w:t>第八条  验收</w:t>
      </w:r>
    </w:p>
    <w:p w14:paraId="5C29A1A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1.委托服务期限： </w:t>
      </w:r>
      <w:r>
        <w:rPr>
          <w:rFonts w:hint="eastAsia" w:ascii="宋体" w:hAnsi="宋体" w:cs="宋体"/>
          <w:color w:val="auto"/>
          <w:sz w:val="24"/>
          <w:u w:val="single"/>
        </w:rPr>
        <w:t xml:space="preserve">                   </w:t>
      </w:r>
      <w:r>
        <w:rPr>
          <w:rFonts w:hint="eastAsia" w:ascii="宋体" w:hAnsi="宋体" w:cs="宋体"/>
          <w:color w:val="auto"/>
          <w:sz w:val="24"/>
        </w:rPr>
        <w:t xml:space="preserve"> 至 </w:t>
      </w:r>
      <w:r>
        <w:rPr>
          <w:rFonts w:hint="eastAsia" w:ascii="宋体" w:hAnsi="宋体" w:cs="宋体"/>
          <w:color w:val="auto"/>
          <w:sz w:val="24"/>
          <w:u w:val="single"/>
        </w:rPr>
        <w:t xml:space="preserve">                 </w:t>
      </w:r>
      <w:r>
        <w:rPr>
          <w:rFonts w:hint="eastAsia" w:ascii="宋体" w:hAnsi="宋体" w:cs="宋体"/>
          <w:color w:val="auto"/>
          <w:sz w:val="24"/>
        </w:rPr>
        <w:t>。</w:t>
      </w:r>
    </w:p>
    <w:p w14:paraId="1F91732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服务地点： </w:t>
      </w:r>
      <w:r>
        <w:rPr>
          <w:rFonts w:hint="eastAsia" w:ascii="宋体" w:hAnsi="宋体" w:cs="宋体"/>
          <w:color w:val="auto"/>
          <w:sz w:val="24"/>
          <w:u w:val="single"/>
        </w:rPr>
        <w:t xml:space="preserve">                                        </w:t>
      </w:r>
      <w:r>
        <w:rPr>
          <w:rFonts w:hint="eastAsia" w:ascii="宋体" w:hAnsi="宋体" w:cs="宋体"/>
          <w:color w:val="auto"/>
          <w:sz w:val="24"/>
        </w:rPr>
        <w:t>。</w:t>
      </w:r>
    </w:p>
    <w:p w14:paraId="25823FFD">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验收时间： </w:t>
      </w:r>
      <w:r>
        <w:rPr>
          <w:rFonts w:hint="eastAsia" w:ascii="宋体" w:hAnsi="宋体" w:cs="宋体"/>
          <w:color w:val="auto"/>
          <w:sz w:val="24"/>
          <w:u w:val="single"/>
        </w:rPr>
        <w:t xml:space="preserve">                                        </w:t>
      </w:r>
      <w:r>
        <w:rPr>
          <w:rFonts w:hint="eastAsia" w:ascii="宋体" w:hAnsi="宋体" w:cs="宋体"/>
          <w:color w:val="auto"/>
          <w:sz w:val="24"/>
        </w:rPr>
        <w:t>。</w:t>
      </w:r>
    </w:p>
    <w:p w14:paraId="790D2E4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验收地点： </w:t>
      </w:r>
      <w:r>
        <w:rPr>
          <w:rFonts w:hint="eastAsia" w:ascii="宋体" w:hAnsi="宋体" w:cs="宋体"/>
          <w:color w:val="auto"/>
          <w:sz w:val="24"/>
          <w:u w:val="single"/>
        </w:rPr>
        <w:t xml:space="preserve">                                        </w:t>
      </w:r>
      <w:r>
        <w:rPr>
          <w:rFonts w:hint="eastAsia" w:ascii="宋体" w:hAnsi="宋体" w:cs="宋体"/>
          <w:color w:val="auto"/>
          <w:sz w:val="24"/>
        </w:rPr>
        <w:t>。</w:t>
      </w:r>
    </w:p>
    <w:p w14:paraId="239167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乙方应对提供的服务成果作出全面自查和整理，并列出清单，作为甲方验收和使用的服务条件依据，清单应随提供的服务成果交给甲方。</w:t>
      </w:r>
    </w:p>
    <w:p w14:paraId="65A005E7">
      <w:pPr>
        <w:spacing w:line="360" w:lineRule="auto"/>
        <w:ind w:firstLine="480" w:firstLineChars="200"/>
        <w:rPr>
          <w:rFonts w:ascii="宋体" w:hAnsi="宋体" w:cs="宋体"/>
          <w:color w:val="auto"/>
          <w:sz w:val="24"/>
        </w:rPr>
      </w:pPr>
      <w:r>
        <w:rPr>
          <w:rFonts w:hint="eastAsia" w:ascii="宋体" w:hAnsi="宋体" w:cs="宋体"/>
          <w:color w:val="auto"/>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5B880E39">
      <w:pPr>
        <w:spacing w:line="360" w:lineRule="auto"/>
        <w:ind w:firstLine="480" w:firstLineChars="200"/>
        <w:rPr>
          <w:rFonts w:ascii="宋体" w:hAnsi="宋体" w:cs="宋体"/>
          <w:color w:val="auto"/>
          <w:sz w:val="24"/>
        </w:rPr>
      </w:pPr>
      <w:r>
        <w:rPr>
          <w:rFonts w:hint="eastAsia" w:ascii="宋体" w:hAnsi="宋体" w:cs="宋体"/>
          <w:color w:val="auto"/>
          <w:sz w:val="24"/>
        </w:rPr>
        <w:t>4.甲方可以视项目规模或复杂情况聘请专业人员参与验收，大型或复杂项目，以及涉及专业招标范围的应当邀请国家认可的第三方质量检测机构参与验收。</w:t>
      </w:r>
    </w:p>
    <w:p w14:paraId="3040913D">
      <w:pPr>
        <w:spacing w:line="360" w:lineRule="auto"/>
        <w:ind w:firstLine="480" w:firstLineChars="200"/>
        <w:rPr>
          <w:rFonts w:ascii="宋体" w:hAnsi="宋体" w:cs="宋体"/>
          <w:color w:val="auto"/>
          <w:sz w:val="24"/>
        </w:rPr>
      </w:pPr>
      <w:r>
        <w:rPr>
          <w:rFonts w:hint="eastAsia" w:ascii="宋体" w:hAnsi="宋体" w:cs="宋体"/>
          <w:color w:val="auto"/>
          <w:sz w:val="24"/>
        </w:rPr>
        <w:t>5.如根据项目实施情况需要分阶段验收，则双方分阶段签署《验收报告》。</w:t>
      </w:r>
    </w:p>
    <w:p w14:paraId="771D3F0E">
      <w:pPr>
        <w:spacing w:line="360" w:lineRule="auto"/>
        <w:ind w:firstLine="480" w:firstLineChars="200"/>
        <w:rPr>
          <w:rFonts w:ascii="宋体" w:hAnsi="宋体" w:cs="宋体"/>
          <w:color w:val="auto"/>
          <w:sz w:val="24"/>
        </w:rPr>
      </w:pPr>
      <w:r>
        <w:rPr>
          <w:rFonts w:hint="eastAsia" w:ascii="宋体" w:hAnsi="宋体" w:cs="宋体"/>
          <w:color w:val="auto"/>
          <w:sz w:val="24"/>
        </w:rPr>
        <w:t>6.如果合同双方对《验收报告》有分歧，双方须于出现分歧后</w:t>
      </w:r>
      <w:r>
        <w:rPr>
          <w:rFonts w:hint="eastAsia" w:ascii="宋体" w:hAnsi="宋体" w:cs="宋体"/>
          <w:color w:val="auto"/>
          <w:sz w:val="24"/>
          <w:u w:val="single"/>
        </w:rPr>
        <w:t xml:space="preserve">    </w:t>
      </w:r>
      <w:r>
        <w:rPr>
          <w:rFonts w:hint="eastAsia" w:ascii="宋体" w:hAnsi="宋体" w:cs="宋体"/>
          <w:color w:val="auto"/>
          <w:sz w:val="24"/>
        </w:rPr>
        <w:t>天内给对方书面声明，以陈述己方的理由及要求，并附有关证据。分歧应通过协商解决。</w:t>
      </w:r>
    </w:p>
    <w:p w14:paraId="445A4882">
      <w:pPr>
        <w:spacing w:line="360" w:lineRule="auto"/>
        <w:ind w:firstLine="482" w:firstLineChars="200"/>
        <w:rPr>
          <w:rFonts w:ascii="宋体" w:hAnsi="宋体" w:cs="宋体"/>
          <w:b/>
          <w:color w:val="auto"/>
          <w:sz w:val="24"/>
        </w:rPr>
      </w:pPr>
      <w:r>
        <w:rPr>
          <w:rFonts w:hint="eastAsia" w:ascii="宋体" w:hAnsi="宋体" w:cs="宋体"/>
          <w:b/>
          <w:color w:val="auto"/>
          <w:sz w:val="24"/>
        </w:rPr>
        <w:t>第九条  项目管理服务</w:t>
      </w:r>
    </w:p>
    <w:p w14:paraId="172433A5">
      <w:pPr>
        <w:spacing w:line="360" w:lineRule="auto"/>
        <w:ind w:firstLine="480" w:firstLineChars="200"/>
        <w:rPr>
          <w:rFonts w:ascii="宋体" w:hAnsi="宋体" w:cs="宋体"/>
          <w:color w:val="auto"/>
          <w:sz w:val="24"/>
        </w:rPr>
      </w:pPr>
      <w:r>
        <w:rPr>
          <w:rFonts w:hint="eastAsia" w:ascii="宋体" w:hAnsi="宋体" w:cs="宋体"/>
          <w:color w:val="auto"/>
          <w:sz w:val="24"/>
        </w:rPr>
        <w:t>乙方要指定不少于一人全权全程负责本项目服务的落实，包括服务的咨询、执行和后续工作。</w:t>
      </w:r>
    </w:p>
    <w:p w14:paraId="6E1592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项目负责人姓名： </w:t>
      </w:r>
      <w:r>
        <w:rPr>
          <w:rFonts w:hint="eastAsia" w:ascii="宋体" w:hAnsi="宋体" w:cs="宋体"/>
          <w:color w:val="auto"/>
          <w:sz w:val="24"/>
          <w:u w:val="single" w:color="000000"/>
        </w:rPr>
        <w:t xml:space="preserve">              </w:t>
      </w:r>
      <w:r>
        <w:rPr>
          <w:rFonts w:hint="eastAsia" w:ascii="宋体" w:hAnsi="宋体" w:cs="宋体"/>
          <w:color w:val="auto"/>
          <w:sz w:val="24"/>
        </w:rPr>
        <w:t>； 联系电话：</w:t>
      </w:r>
      <w:r>
        <w:rPr>
          <w:rFonts w:hint="eastAsia" w:ascii="宋体" w:hAnsi="宋体" w:cs="宋体"/>
          <w:color w:val="auto"/>
          <w:sz w:val="24"/>
          <w:u w:val="single" w:color="000000"/>
        </w:rPr>
        <w:t xml:space="preserve">                      </w:t>
      </w:r>
      <w:r>
        <w:rPr>
          <w:rFonts w:hint="eastAsia" w:ascii="宋体" w:hAnsi="宋体" w:cs="宋体"/>
          <w:color w:val="auto"/>
          <w:sz w:val="24"/>
        </w:rPr>
        <w:t>。</w:t>
      </w:r>
    </w:p>
    <w:p w14:paraId="2B33DD59">
      <w:pPr>
        <w:spacing w:line="360" w:lineRule="auto"/>
        <w:ind w:firstLine="482" w:firstLineChars="200"/>
        <w:rPr>
          <w:rFonts w:ascii="宋体" w:hAnsi="宋体" w:cs="宋体"/>
          <w:b/>
          <w:color w:val="auto"/>
          <w:sz w:val="24"/>
        </w:rPr>
      </w:pPr>
      <w:r>
        <w:rPr>
          <w:rFonts w:hint="eastAsia" w:ascii="宋体" w:hAnsi="宋体" w:cs="宋体"/>
          <w:b/>
          <w:color w:val="auto"/>
          <w:sz w:val="24"/>
        </w:rPr>
        <w:t>第十条  售后服务</w:t>
      </w:r>
    </w:p>
    <w:p w14:paraId="33B7F2CC">
      <w:pPr>
        <w:spacing w:line="360" w:lineRule="auto"/>
        <w:ind w:firstLine="480" w:firstLineChars="200"/>
        <w:rPr>
          <w:rFonts w:ascii="宋体" w:hAnsi="宋体" w:cs="宋体"/>
          <w:color w:val="auto"/>
          <w:sz w:val="24"/>
        </w:rPr>
      </w:pPr>
      <w:r>
        <w:rPr>
          <w:rFonts w:hint="eastAsia" w:ascii="宋体" w:hAnsi="宋体" w:cs="宋体"/>
          <w:color w:val="auto"/>
          <w:sz w:val="24"/>
        </w:rPr>
        <w:t>1.乙方提供服务的质量保证期为自服务通过最终验收之日起</w:t>
      </w:r>
      <w:r>
        <w:rPr>
          <w:rFonts w:hint="eastAsia" w:ascii="宋体" w:hAnsi="宋体" w:cs="宋体"/>
          <w:color w:val="auto"/>
          <w:sz w:val="24"/>
          <w:u w:val="single"/>
        </w:rPr>
        <w:t xml:space="preserve">    </w:t>
      </w:r>
      <w:r>
        <w:rPr>
          <w:rFonts w:hint="eastAsia" w:ascii="宋体" w:hAnsi="宋体" w:cs="宋体"/>
          <w:color w:val="auto"/>
          <w:sz w:val="24"/>
        </w:rPr>
        <w:t>个月。若国家有明确规定的质量保证期高于此质量保证期的，执行国家规定。</w:t>
      </w:r>
    </w:p>
    <w:p w14:paraId="0A4D74A1">
      <w:pPr>
        <w:spacing w:line="360" w:lineRule="auto"/>
        <w:ind w:firstLine="480" w:firstLineChars="200"/>
        <w:rPr>
          <w:rFonts w:ascii="宋体" w:hAnsi="宋体" w:cs="宋体"/>
          <w:color w:val="auto"/>
          <w:sz w:val="24"/>
        </w:rPr>
      </w:pPr>
      <w:r>
        <w:rPr>
          <w:rFonts w:hint="eastAsia" w:ascii="宋体" w:hAnsi="宋体" w:cs="宋体"/>
          <w:color w:val="auto"/>
          <w:sz w:val="24"/>
        </w:rPr>
        <w:t>2.委托服务期限内，乙方应提供相关服务支持。对甲方所反映的任何服务问题在</w:t>
      </w:r>
      <w:r>
        <w:rPr>
          <w:rFonts w:hint="eastAsia" w:ascii="宋体" w:hAnsi="宋体" w:cs="宋体"/>
          <w:color w:val="auto"/>
          <w:sz w:val="24"/>
          <w:u w:val="single"/>
        </w:rPr>
        <w:t xml:space="preserve">   </w:t>
      </w:r>
      <w:r>
        <w:rPr>
          <w:rFonts w:hint="eastAsia" w:ascii="宋体" w:hAnsi="宋体" w:cs="宋体"/>
          <w:color w:val="auto"/>
          <w:sz w:val="24"/>
        </w:rPr>
        <w:t>日（小时）之内做出及时响应，在</w:t>
      </w:r>
      <w:r>
        <w:rPr>
          <w:rFonts w:hint="eastAsia" w:ascii="宋体" w:hAnsi="宋体" w:cs="宋体"/>
          <w:color w:val="auto"/>
          <w:sz w:val="24"/>
          <w:u w:val="single"/>
        </w:rPr>
        <w:t xml:space="preserve">    </w:t>
      </w:r>
      <w:r>
        <w:rPr>
          <w:rFonts w:hint="eastAsia" w:ascii="宋体" w:hAnsi="宋体" w:cs="宋体"/>
          <w:color w:val="auto"/>
          <w:sz w:val="24"/>
        </w:rPr>
        <w:t>日（小时）之内赶到现场实地解决问题。若问题在</w:t>
      </w:r>
      <w:r>
        <w:rPr>
          <w:rFonts w:hint="eastAsia" w:ascii="宋体" w:hAnsi="宋体" w:cs="宋体"/>
          <w:color w:val="auto"/>
          <w:sz w:val="24"/>
          <w:u w:val="single"/>
        </w:rPr>
        <w:t xml:space="preserve">    </w:t>
      </w:r>
      <w:r>
        <w:rPr>
          <w:rFonts w:hint="eastAsia" w:ascii="宋体" w:hAnsi="宋体" w:cs="宋体"/>
          <w:color w:val="auto"/>
          <w:sz w:val="24"/>
        </w:rPr>
        <w:t>工作日（小时）后仍无法解决，乙方应在</w:t>
      </w:r>
      <w:r>
        <w:rPr>
          <w:rFonts w:hint="eastAsia" w:ascii="宋体" w:hAnsi="宋体" w:cs="宋体"/>
          <w:color w:val="auto"/>
          <w:sz w:val="24"/>
          <w:u w:val="single"/>
        </w:rPr>
        <w:t xml:space="preserve">     </w:t>
      </w:r>
      <w:r>
        <w:rPr>
          <w:rFonts w:hint="eastAsia" w:ascii="宋体" w:hAnsi="宋体" w:cs="宋体"/>
          <w:color w:val="auto"/>
          <w:sz w:val="24"/>
        </w:rPr>
        <w:t>日（小时）内免费提供服务的补偿、替换方案，直至服务恢复正常。</w:t>
      </w:r>
    </w:p>
    <w:p w14:paraId="0C6B8107">
      <w:pPr>
        <w:spacing w:line="360" w:lineRule="auto"/>
        <w:ind w:firstLine="480" w:firstLineChars="200"/>
        <w:rPr>
          <w:rFonts w:ascii="宋体" w:hAnsi="宋体" w:cs="宋体"/>
          <w:color w:val="auto"/>
          <w:sz w:val="24"/>
        </w:rPr>
      </w:pPr>
      <w:r>
        <w:rPr>
          <w:rFonts w:hint="eastAsia" w:ascii="宋体" w:hAnsi="宋体" w:cs="宋体"/>
          <w:color w:val="auto"/>
          <w:sz w:val="24"/>
        </w:rPr>
        <w:t>3.乙方必须遵守甲方的有关管理制度、操作规程。对于乙方违规操作造成甲方损失的，由乙方按照本合同第十二条的约定承担赔偿责任。</w:t>
      </w:r>
    </w:p>
    <w:p w14:paraId="59FD4862">
      <w:pPr>
        <w:spacing w:line="360" w:lineRule="auto"/>
        <w:ind w:firstLine="482" w:firstLineChars="200"/>
        <w:rPr>
          <w:rFonts w:ascii="宋体" w:hAnsi="宋体" w:cs="宋体"/>
          <w:b/>
          <w:color w:val="auto"/>
          <w:sz w:val="24"/>
        </w:rPr>
      </w:pPr>
      <w:r>
        <w:rPr>
          <w:rFonts w:hint="eastAsia" w:ascii="宋体" w:hAnsi="宋体" w:cs="宋体"/>
          <w:b/>
          <w:color w:val="auto"/>
          <w:sz w:val="24"/>
        </w:rPr>
        <w:t>第十一条  分包和转包</w:t>
      </w:r>
    </w:p>
    <w:p w14:paraId="0330A0C0">
      <w:pPr>
        <w:spacing w:line="360" w:lineRule="auto"/>
        <w:ind w:firstLine="480" w:firstLineChars="200"/>
        <w:rPr>
          <w:rFonts w:ascii="宋体" w:hAnsi="宋体" w:cs="宋体"/>
          <w:strike/>
          <w:color w:val="auto"/>
          <w:sz w:val="24"/>
        </w:rPr>
      </w:pPr>
      <w:r>
        <w:rPr>
          <w:rFonts w:hint="eastAsia" w:ascii="宋体" w:hAnsi="宋体" w:cs="宋体"/>
          <w:color w:val="auto"/>
          <w:sz w:val="24"/>
        </w:rPr>
        <w:t>除招标采购文件事先说明、且经甲方事先书面同意外，乙方不得分包、转包其应履行的合同义务。</w:t>
      </w:r>
    </w:p>
    <w:p w14:paraId="6EB1A22E">
      <w:pPr>
        <w:spacing w:line="360" w:lineRule="auto"/>
        <w:ind w:firstLine="482" w:firstLineChars="200"/>
        <w:rPr>
          <w:rFonts w:ascii="宋体" w:hAnsi="宋体" w:cs="宋体"/>
          <w:b/>
          <w:color w:val="auto"/>
          <w:sz w:val="24"/>
        </w:rPr>
      </w:pPr>
      <w:r>
        <w:rPr>
          <w:rFonts w:hint="eastAsia" w:ascii="宋体" w:hAnsi="宋体" w:cs="宋体"/>
          <w:b/>
          <w:color w:val="auto"/>
          <w:sz w:val="24"/>
        </w:rPr>
        <w:t>第十二条  合同的生效</w:t>
      </w:r>
    </w:p>
    <w:p w14:paraId="5836D74D">
      <w:pPr>
        <w:spacing w:line="360" w:lineRule="auto"/>
        <w:ind w:firstLine="480" w:firstLineChars="200"/>
        <w:rPr>
          <w:rFonts w:ascii="宋体" w:hAnsi="宋体" w:cs="宋体"/>
          <w:color w:val="auto"/>
          <w:sz w:val="24"/>
        </w:rPr>
      </w:pPr>
      <w:r>
        <w:rPr>
          <w:rFonts w:hint="eastAsia" w:ascii="宋体" w:hAnsi="宋体" w:cs="宋体"/>
          <w:color w:val="auto"/>
          <w:sz w:val="24"/>
        </w:rPr>
        <w:t>1.本合同经甲乙双方或授权代表签字并加盖公章或合同专用章后生效。</w:t>
      </w:r>
    </w:p>
    <w:p w14:paraId="427B96B8">
      <w:pPr>
        <w:spacing w:line="360" w:lineRule="auto"/>
        <w:ind w:firstLine="480" w:firstLineChars="200"/>
        <w:rPr>
          <w:rFonts w:ascii="宋体" w:hAnsi="宋体" w:cs="宋体"/>
          <w:color w:val="auto"/>
          <w:sz w:val="24"/>
        </w:rPr>
      </w:pPr>
      <w:r>
        <w:rPr>
          <w:rFonts w:hint="eastAsia" w:ascii="宋体" w:hAnsi="宋体" w:cs="宋体"/>
          <w:color w:val="auto"/>
          <w:sz w:val="24"/>
        </w:rPr>
        <w:t>2.生效后，除《中华人民共和国政府采购法》第49条、第50条第二款规定的情形外，甲乙双方不得擅自变更、中止或终止合同。</w:t>
      </w:r>
    </w:p>
    <w:p w14:paraId="770ABF0C">
      <w:pPr>
        <w:spacing w:line="360" w:lineRule="auto"/>
        <w:ind w:firstLine="482" w:firstLineChars="200"/>
        <w:rPr>
          <w:rFonts w:ascii="宋体" w:hAnsi="宋体" w:cs="宋体"/>
          <w:b/>
          <w:color w:val="auto"/>
          <w:sz w:val="24"/>
        </w:rPr>
      </w:pPr>
      <w:r>
        <w:rPr>
          <w:rFonts w:hint="eastAsia" w:ascii="宋体" w:hAnsi="宋体" w:cs="宋体"/>
          <w:b/>
          <w:color w:val="auto"/>
          <w:sz w:val="24"/>
        </w:rPr>
        <w:t>第十三条  违约责任</w:t>
      </w:r>
    </w:p>
    <w:p w14:paraId="1D4EB937">
      <w:pPr>
        <w:spacing w:line="360" w:lineRule="auto"/>
        <w:ind w:firstLine="480" w:firstLineChars="200"/>
        <w:rPr>
          <w:rFonts w:ascii="宋体" w:hAnsi="宋体" w:cs="宋体"/>
          <w:color w:val="auto"/>
          <w:sz w:val="24"/>
        </w:rPr>
      </w:pPr>
      <w:r>
        <w:rPr>
          <w:rFonts w:hint="eastAsia" w:ascii="宋体" w:hAnsi="宋体" w:cs="宋体"/>
          <w:color w:val="auto"/>
          <w:sz w:val="24"/>
        </w:rPr>
        <w:t>1.乙方所交付服务成果不符合本合同规定的，甲方有权拒收，乙方在得到甲方通知之日起</w:t>
      </w:r>
      <w:r>
        <w:rPr>
          <w:rFonts w:hint="eastAsia" w:ascii="宋体" w:hAnsi="宋体" w:cs="宋体"/>
          <w:color w:val="auto"/>
          <w:sz w:val="24"/>
          <w:u w:val="single"/>
        </w:rPr>
        <w:t xml:space="preserve">     </w:t>
      </w:r>
      <w:r>
        <w:rPr>
          <w:rFonts w:hint="eastAsia" w:ascii="宋体" w:hAnsi="宋体" w:cs="宋体"/>
          <w:color w:val="auto"/>
          <w:sz w:val="24"/>
        </w:rPr>
        <w:t>个工作日内采取补救措施，逾期仍未采取有效措施的，甲方有权要求乙方赔偿因此造成的损失或扣留履约保证金；同时乙方应向甲方支付合同总价</w:t>
      </w:r>
      <w:r>
        <w:rPr>
          <w:rFonts w:hint="eastAsia" w:ascii="宋体" w:hAnsi="宋体" w:cs="宋体"/>
          <w:color w:val="auto"/>
          <w:sz w:val="24"/>
          <w:u w:val="single"/>
        </w:rPr>
        <w:t xml:space="preserve">      </w:t>
      </w:r>
      <w:r>
        <w:rPr>
          <w:rFonts w:hint="eastAsia" w:ascii="宋体" w:hAnsi="宋体" w:cs="宋体"/>
          <w:color w:val="auto"/>
          <w:sz w:val="24"/>
        </w:rPr>
        <w:t>％的违约金。</w:t>
      </w:r>
    </w:p>
    <w:p w14:paraId="08ED8EB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2.甲方无正当理由拒收服务，甲方应向乙方偿付拒付服务费用 </w:t>
      </w:r>
      <w:r>
        <w:rPr>
          <w:rFonts w:hint="eastAsia" w:ascii="宋体" w:hAnsi="宋体" w:cs="宋体"/>
          <w:color w:val="auto"/>
          <w:sz w:val="24"/>
          <w:u w:val="single"/>
        </w:rPr>
        <w:t xml:space="preserve">    </w:t>
      </w:r>
      <w:r>
        <w:rPr>
          <w:rFonts w:hint="eastAsia" w:ascii="宋体" w:hAnsi="宋体" w:cs="宋体"/>
          <w:color w:val="auto"/>
          <w:sz w:val="24"/>
        </w:rPr>
        <w:t>％的违约金。</w:t>
      </w:r>
    </w:p>
    <w:p w14:paraId="3351E9F0">
      <w:pPr>
        <w:spacing w:line="360" w:lineRule="auto"/>
        <w:ind w:firstLine="480" w:firstLineChars="200"/>
        <w:rPr>
          <w:rFonts w:ascii="宋体" w:hAnsi="宋体" w:cs="宋体"/>
          <w:color w:val="auto"/>
          <w:sz w:val="24"/>
        </w:rPr>
      </w:pPr>
      <w:r>
        <w:rPr>
          <w:rFonts w:hint="eastAsia" w:ascii="宋体" w:hAnsi="宋体" w:cs="宋体"/>
          <w:color w:val="auto"/>
          <w:sz w:val="24"/>
        </w:rPr>
        <w:t>3.乙方无正当理由逾期交付服务的，每逾期1天，乙方向甲方偿付合同总额的</w:t>
      </w:r>
      <w:r>
        <w:rPr>
          <w:rFonts w:hint="eastAsia" w:ascii="宋体" w:hAnsi="宋体" w:cs="宋体"/>
          <w:color w:val="auto"/>
          <w:sz w:val="24"/>
          <w:u w:val="single"/>
        </w:rPr>
        <w:t xml:space="preserve">    </w:t>
      </w:r>
      <w:r>
        <w:rPr>
          <w:rFonts w:hint="eastAsia" w:ascii="宋体" w:hAnsi="宋体" w:cs="宋体"/>
          <w:color w:val="auto"/>
          <w:sz w:val="24"/>
        </w:rPr>
        <w:t>‰的违约金。如乙方逾期达</w:t>
      </w:r>
      <w:r>
        <w:rPr>
          <w:rFonts w:hint="eastAsia" w:ascii="宋体" w:hAnsi="宋体" w:cs="宋体"/>
          <w:color w:val="auto"/>
          <w:sz w:val="24"/>
          <w:u w:val="single"/>
        </w:rPr>
        <w:t xml:space="preserve">    </w:t>
      </w:r>
      <w:r>
        <w:rPr>
          <w:rFonts w:hint="eastAsia" w:ascii="宋体" w:hAnsi="宋体" w:cs="宋体"/>
          <w:color w:val="auto"/>
          <w:sz w:val="24"/>
        </w:rPr>
        <w:t>天，甲方有权解除合同，甲方解除合同的通知自到达乙方时生效。在此情况下，乙方给甲方造成的实际损失高于违约金的，对高出违约金的部分乙方应予以赔偿。</w:t>
      </w:r>
    </w:p>
    <w:p w14:paraId="0284BBAF">
      <w:pPr>
        <w:spacing w:line="360" w:lineRule="auto"/>
        <w:ind w:firstLine="480" w:firstLineChars="200"/>
        <w:rPr>
          <w:rFonts w:ascii="宋体" w:hAnsi="宋体" w:cs="宋体"/>
          <w:color w:val="auto"/>
          <w:sz w:val="24"/>
        </w:rPr>
      </w:pPr>
      <w:r>
        <w:rPr>
          <w:rFonts w:hint="eastAsia" w:ascii="宋体" w:hAnsi="宋体" w:cs="宋体"/>
          <w:color w:val="auto"/>
          <w:sz w:val="24"/>
        </w:rPr>
        <w:t>4.甲方未按合同规定的期限向乙方支付合同款的，每逾期1天甲方向乙方偿付欠款总额的</w:t>
      </w:r>
      <w:r>
        <w:rPr>
          <w:rFonts w:hint="eastAsia" w:ascii="宋体" w:hAnsi="宋体" w:cs="宋体"/>
          <w:color w:val="auto"/>
          <w:sz w:val="24"/>
          <w:u w:val="single"/>
        </w:rPr>
        <w:t xml:space="preserve">    </w:t>
      </w:r>
      <w:r>
        <w:rPr>
          <w:rFonts w:hint="eastAsia" w:ascii="宋体" w:hAnsi="宋体" w:cs="宋体"/>
          <w:color w:val="auto"/>
          <w:sz w:val="24"/>
        </w:rPr>
        <w:t>‰违约金，但累计违约金总额不超过欠款总额的</w:t>
      </w:r>
      <w:r>
        <w:rPr>
          <w:rFonts w:hint="eastAsia" w:ascii="宋体" w:hAnsi="宋体" w:cs="宋体"/>
          <w:color w:val="auto"/>
          <w:sz w:val="24"/>
          <w:u w:val="single"/>
        </w:rPr>
        <w:t xml:space="preserve">    </w:t>
      </w:r>
      <w:r>
        <w:rPr>
          <w:rFonts w:hint="eastAsia" w:ascii="宋体" w:hAnsi="宋体" w:cs="宋体"/>
          <w:color w:val="auto"/>
          <w:sz w:val="24"/>
        </w:rPr>
        <w:t>％。</w:t>
      </w:r>
    </w:p>
    <w:p w14:paraId="62CDFC5C">
      <w:pPr>
        <w:spacing w:line="360" w:lineRule="auto"/>
        <w:ind w:firstLine="480" w:firstLineChars="200"/>
        <w:rPr>
          <w:rFonts w:ascii="宋体" w:hAnsi="宋体" w:cs="宋体"/>
          <w:color w:val="auto"/>
          <w:sz w:val="24"/>
        </w:rPr>
      </w:pPr>
      <w:r>
        <w:rPr>
          <w:rFonts w:hint="eastAsia" w:ascii="宋体" w:hAnsi="宋体" w:cs="宋体"/>
          <w:color w:val="auto"/>
          <w:sz w:val="24"/>
        </w:rPr>
        <w:t>5.因乙方原因导致违约、本合同无法履行等情形造成甲方损失的，乙方除承担违约责任外还应支付甲方一切相关费用，包括但不限于诉讼费、保全费、鉴定费、律师费、交通费。</w:t>
      </w:r>
    </w:p>
    <w:p w14:paraId="38691792">
      <w:pPr>
        <w:spacing w:line="360" w:lineRule="auto"/>
        <w:ind w:firstLine="480" w:firstLineChars="200"/>
        <w:rPr>
          <w:rFonts w:ascii="宋体" w:hAnsi="宋体" w:cs="宋体"/>
          <w:color w:val="auto"/>
          <w:sz w:val="24"/>
        </w:rPr>
      </w:pPr>
      <w:r>
        <w:rPr>
          <w:rFonts w:hint="eastAsia" w:ascii="宋体" w:hAnsi="宋体" w:cs="宋体"/>
          <w:color w:val="auto"/>
          <w:sz w:val="24"/>
        </w:rPr>
        <w:t>6.其它未尽事宜，以《合同法》和《中华人民共和国政府采购法》等有关法律法规规定为准，无相关规定的，双方协商解决。</w:t>
      </w:r>
    </w:p>
    <w:p w14:paraId="5D0CDDA7">
      <w:pPr>
        <w:spacing w:line="360" w:lineRule="auto"/>
        <w:ind w:firstLine="482" w:firstLineChars="200"/>
        <w:rPr>
          <w:rFonts w:ascii="宋体" w:hAnsi="宋体" w:cs="宋体"/>
          <w:b/>
          <w:color w:val="auto"/>
          <w:sz w:val="24"/>
        </w:rPr>
      </w:pPr>
      <w:r>
        <w:rPr>
          <w:rFonts w:hint="eastAsia" w:ascii="宋体" w:hAnsi="宋体" w:cs="宋体"/>
          <w:b/>
          <w:color w:val="auto"/>
          <w:sz w:val="24"/>
        </w:rPr>
        <w:t>第十四条  不可抗力</w:t>
      </w:r>
    </w:p>
    <w:p w14:paraId="1AB94634">
      <w:pPr>
        <w:spacing w:line="360" w:lineRule="auto"/>
        <w:ind w:firstLine="480" w:firstLineChars="200"/>
        <w:rPr>
          <w:rFonts w:ascii="宋体" w:hAnsi="宋体" w:cs="宋体"/>
          <w:color w:val="auto"/>
          <w:sz w:val="24"/>
        </w:rPr>
      </w:pPr>
      <w:r>
        <w:rPr>
          <w:rFonts w:hint="eastAsia" w:ascii="宋体" w:hAnsi="宋体" w:cs="宋体"/>
          <w:color w:val="auto"/>
          <w:sz w:val="24"/>
        </w:rPr>
        <w:t>甲、乙方中任何一方，因不可抗力不能按时或完全履行合同的，应及时通知对方，并在</w:t>
      </w:r>
      <w:r>
        <w:rPr>
          <w:rFonts w:hint="eastAsia" w:ascii="宋体" w:hAnsi="宋体" w:cs="宋体"/>
          <w:color w:val="auto"/>
          <w:sz w:val="24"/>
          <w:u w:val="single"/>
        </w:rPr>
        <w:t xml:space="preserve">    </w:t>
      </w:r>
      <w:r>
        <w:rPr>
          <w:rFonts w:hint="eastAsia" w:ascii="宋体" w:hAnsi="宋体" w:cs="宋体"/>
          <w:color w:val="auto"/>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06CF83DC">
      <w:pPr>
        <w:spacing w:line="360" w:lineRule="auto"/>
        <w:ind w:firstLine="482" w:firstLineChars="200"/>
        <w:rPr>
          <w:rFonts w:ascii="宋体" w:hAnsi="宋体" w:cs="宋体"/>
          <w:b/>
          <w:color w:val="auto"/>
          <w:sz w:val="24"/>
        </w:rPr>
      </w:pPr>
      <w:r>
        <w:rPr>
          <w:rFonts w:hint="eastAsia" w:ascii="宋体" w:hAnsi="宋体" w:cs="宋体"/>
          <w:b/>
          <w:color w:val="auto"/>
          <w:sz w:val="24"/>
        </w:rPr>
        <w:t>第十五条  争议的解决方式</w:t>
      </w:r>
    </w:p>
    <w:p w14:paraId="5225B488">
      <w:pPr>
        <w:spacing w:line="360" w:lineRule="auto"/>
        <w:ind w:firstLine="480" w:firstLineChars="200"/>
        <w:rPr>
          <w:rFonts w:ascii="宋体" w:hAnsi="宋体" w:cs="宋体"/>
          <w:color w:val="auto"/>
          <w:sz w:val="24"/>
        </w:rPr>
      </w:pPr>
      <w:r>
        <w:rPr>
          <w:rFonts w:hint="eastAsia" w:ascii="宋体" w:hAnsi="宋体" w:cs="宋体"/>
          <w:color w:val="auto"/>
          <w:sz w:val="24"/>
        </w:rPr>
        <w:t>1.因服务质量问题发生争议的，应当邀请国家认可的质量检测机构对服务进行鉴定。服务符合标准的，鉴定费由甲方承担；不符合质量标准的，鉴定费由乙方承担。</w:t>
      </w:r>
    </w:p>
    <w:p w14:paraId="2523B39A">
      <w:pPr>
        <w:spacing w:line="360" w:lineRule="auto"/>
        <w:ind w:firstLine="480" w:firstLineChars="200"/>
        <w:rPr>
          <w:rFonts w:ascii="宋体" w:hAnsi="宋体" w:cs="宋体"/>
          <w:color w:val="auto"/>
          <w:sz w:val="24"/>
        </w:rPr>
      </w:pPr>
      <w:r>
        <w:rPr>
          <w:rFonts w:hint="eastAsia" w:ascii="宋体" w:hAnsi="宋体" w:cs="宋体"/>
          <w:color w:val="auto"/>
          <w:sz w:val="24"/>
        </w:rPr>
        <w:t>2.在解释或者执行本合同的过程中发生争议时，双方应通过协商方式解决。</w:t>
      </w:r>
    </w:p>
    <w:p w14:paraId="588BF5A7">
      <w:pPr>
        <w:spacing w:line="360" w:lineRule="auto"/>
        <w:ind w:firstLine="480" w:firstLineChars="200"/>
        <w:rPr>
          <w:rFonts w:ascii="宋体" w:hAnsi="宋体" w:cs="宋体"/>
          <w:color w:val="auto"/>
          <w:sz w:val="24"/>
        </w:rPr>
      </w:pPr>
      <w:r>
        <w:rPr>
          <w:rFonts w:hint="eastAsia" w:ascii="宋体" w:hAnsi="宋体" w:cs="宋体"/>
          <w:color w:val="auto"/>
          <w:sz w:val="24"/>
        </w:rPr>
        <w:t>3.经协商不能解决的争议，双方可选择以下第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68F108A1">
      <w:pPr>
        <w:spacing w:line="360" w:lineRule="auto"/>
        <w:ind w:firstLine="480" w:firstLineChars="200"/>
        <w:rPr>
          <w:rFonts w:ascii="宋体" w:hAnsi="宋体" w:cs="宋体"/>
          <w:color w:val="auto"/>
          <w:sz w:val="24"/>
        </w:rPr>
      </w:pPr>
      <w:r>
        <w:rPr>
          <w:rFonts w:hint="eastAsia" w:ascii="宋体" w:hAnsi="宋体" w:cs="宋体"/>
          <w:color w:val="auto"/>
          <w:sz w:val="24"/>
        </w:rPr>
        <w:t>①向</w:t>
      </w:r>
      <w:r>
        <w:rPr>
          <w:rFonts w:hint="eastAsia" w:ascii="宋体" w:hAnsi="宋体" w:cs="宋体"/>
          <w:color w:val="auto"/>
          <w:sz w:val="24"/>
          <w:u w:val="single"/>
        </w:rPr>
        <w:t xml:space="preserve"> 甲方住所地 </w:t>
      </w:r>
      <w:r>
        <w:rPr>
          <w:rFonts w:hint="eastAsia" w:ascii="宋体" w:hAnsi="宋体" w:cs="宋体"/>
          <w:color w:val="auto"/>
          <w:sz w:val="24"/>
        </w:rPr>
        <w:t>有管辖权的法院提起诉讼；</w:t>
      </w:r>
    </w:p>
    <w:p w14:paraId="22CD89B1">
      <w:pPr>
        <w:spacing w:line="360" w:lineRule="auto"/>
        <w:ind w:firstLine="480" w:firstLineChars="200"/>
        <w:rPr>
          <w:rFonts w:ascii="宋体" w:hAnsi="宋体" w:cs="宋体"/>
          <w:color w:val="auto"/>
          <w:sz w:val="24"/>
        </w:rPr>
      </w:pPr>
      <w:r>
        <w:rPr>
          <w:rFonts w:hint="eastAsia" w:ascii="宋体" w:hAnsi="宋体" w:cs="宋体"/>
          <w:color w:val="auto"/>
          <w:sz w:val="24"/>
        </w:rPr>
        <w:t>②向</w:t>
      </w:r>
      <w:r>
        <w:rPr>
          <w:rFonts w:hint="eastAsia" w:ascii="宋体" w:hAnsi="宋体" w:cs="宋体"/>
          <w:color w:val="auto"/>
          <w:sz w:val="24"/>
          <w:u w:val="single"/>
        </w:rPr>
        <w:t xml:space="preserve">        </w:t>
      </w:r>
      <w:r>
        <w:rPr>
          <w:rFonts w:hint="eastAsia" w:ascii="宋体" w:hAnsi="宋体" w:cs="宋体"/>
          <w:color w:val="auto"/>
          <w:sz w:val="24"/>
        </w:rPr>
        <w:t>仲裁委员会提出仲裁。</w:t>
      </w:r>
    </w:p>
    <w:p w14:paraId="0599508A">
      <w:pPr>
        <w:spacing w:line="360" w:lineRule="auto"/>
        <w:ind w:firstLine="480" w:firstLineChars="200"/>
        <w:rPr>
          <w:rFonts w:ascii="宋体" w:hAnsi="宋体" w:cs="宋体"/>
          <w:color w:val="auto"/>
          <w:sz w:val="24"/>
        </w:rPr>
      </w:pPr>
      <w:r>
        <w:rPr>
          <w:rFonts w:hint="eastAsia" w:ascii="宋体" w:hAnsi="宋体" w:cs="宋体"/>
          <w:color w:val="auto"/>
          <w:sz w:val="24"/>
        </w:rPr>
        <w:t>4.在法院审理和仲裁期间，除有争议部分外，本合同其他部分可以履行的仍应按合同条款继续履行。</w:t>
      </w:r>
    </w:p>
    <w:p w14:paraId="6103EF76">
      <w:pPr>
        <w:spacing w:line="360" w:lineRule="auto"/>
        <w:ind w:firstLine="482" w:firstLineChars="200"/>
        <w:rPr>
          <w:rFonts w:ascii="宋体" w:hAnsi="宋体" w:cs="宋体"/>
          <w:b/>
          <w:color w:val="auto"/>
          <w:sz w:val="24"/>
        </w:rPr>
      </w:pPr>
      <w:r>
        <w:rPr>
          <w:rFonts w:hint="eastAsia" w:ascii="宋体" w:hAnsi="宋体" w:cs="宋体"/>
          <w:b/>
          <w:color w:val="auto"/>
          <w:sz w:val="24"/>
        </w:rPr>
        <w:t>第十六条  其他</w:t>
      </w:r>
    </w:p>
    <w:p w14:paraId="3E4D5B8F">
      <w:pPr>
        <w:spacing w:line="360" w:lineRule="auto"/>
        <w:ind w:firstLine="480" w:firstLineChars="200"/>
        <w:rPr>
          <w:rFonts w:ascii="宋体" w:hAnsi="宋体" w:cs="宋体"/>
          <w:color w:val="auto"/>
          <w:sz w:val="24"/>
        </w:rPr>
      </w:pPr>
      <w:r>
        <w:rPr>
          <w:rFonts w:hint="eastAsia" w:ascii="宋体" w:hAnsi="宋体" w:cs="宋体"/>
          <w:color w:val="auto"/>
          <w:sz w:val="24"/>
        </w:rPr>
        <w:t>符合《中华人民共和国政府采购法》第49条规定的，经双方协商，办理政府采购手续后，可签订补充合同，所签订的补充合同与本合同具有同等法律效力。</w:t>
      </w:r>
    </w:p>
    <w:p w14:paraId="3433EEC5">
      <w:pPr>
        <w:spacing w:line="360" w:lineRule="auto"/>
        <w:ind w:firstLine="480" w:firstLineChars="200"/>
        <w:rPr>
          <w:rFonts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w:t>
      </w:r>
      <w:r>
        <w:rPr>
          <w:rFonts w:hint="eastAsia" w:ascii="宋体" w:hAnsi="宋体" w:cs="宋体"/>
          <w:color w:val="auto"/>
          <w:sz w:val="24"/>
        </w:rPr>
        <w:t>份，甲、乙双方各执</w:t>
      </w:r>
      <w:r>
        <w:rPr>
          <w:rFonts w:hint="eastAsia" w:ascii="宋体" w:hAnsi="宋体" w:cs="宋体"/>
          <w:color w:val="auto"/>
          <w:sz w:val="24"/>
          <w:u w:val="single"/>
        </w:rPr>
        <w:t xml:space="preserve">    </w:t>
      </w:r>
      <w:r>
        <w:rPr>
          <w:rFonts w:hint="eastAsia" w:ascii="宋体" w:hAnsi="宋体" w:cs="宋体"/>
          <w:color w:val="auto"/>
          <w:sz w:val="24"/>
        </w:rPr>
        <w:t>份。</w:t>
      </w:r>
    </w:p>
    <w:p w14:paraId="436F3662">
      <w:pPr>
        <w:rPr>
          <w:rFonts w:hint="eastAsia" w:ascii="宋体" w:hAnsi="宋体" w:cs="宋体"/>
          <w:color w:val="auto"/>
          <w:sz w:val="24"/>
        </w:rPr>
      </w:pPr>
    </w:p>
    <w:p w14:paraId="16091877">
      <w:pPr>
        <w:rPr>
          <w:rFonts w:hint="eastAsia" w:ascii="宋体" w:hAnsi="宋体" w:cs="宋体"/>
          <w:color w:val="auto"/>
          <w:sz w:val="24"/>
        </w:rPr>
      </w:pPr>
    </w:p>
    <w:p w14:paraId="256D4909">
      <w:pPr>
        <w:rPr>
          <w:rFonts w:hint="eastAsia" w:ascii="宋体" w:hAnsi="宋体" w:cs="宋体"/>
          <w:color w:val="auto"/>
          <w:sz w:val="24"/>
        </w:rPr>
      </w:pPr>
    </w:p>
    <w:p w14:paraId="22993E05">
      <w:pPr>
        <w:rPr>
          <w:rFonts w:hint="eastAsia" w:ascii="宋体" w:hAnsi="宋体" w:cs="宋体"/>
          <w:color w:val="auto"/>
          <w:sz w:val="24"/>
        </w:rPr>
      </w:pPr>
    </w:p>
    <w:p w14:paraId="4D68ACCF">
      <w:pPr>
        <w:rPr>
          <w:rFonts w:ascii="宋体" w:hAnsi="宋体" w:cs="宋体"/>
          <w:color w:val="auto"/>
          <w:sz w:val="24"/>
        </w:rPr>
      </w:pPr>
    </w:p>
    <w:p w14:paraId="1D7B893D">
      <w:pPr>
        <w:spacing w:line="360" w:lineRule="auto"/>
        <w:rPr>
          <w:rFonts w:ascii="宋体" w:hAnsi="宋体" w:cs="宋体"/>
          <w:color w:val="auto"/>
          <w:sz w:val="24"/>
        </w:rPr>
      </w:pPr>
      <w:r>
        <w:rPr>
          <w:rFonts w:hint="eastAsia" w:ascii="宋体" w:hAnsi="宋体" w:cs="宋体"/>
          <w:color w:val="auto"/>
          <w:sz w:val="24"/>
        </w:rPr>
        <w:t>甲   方：                        乙   方：</w:t>
      </w:r>
    </w:p>
    <w:p w14:paraId="45D2F16C">
      <w:pPr>
        <w:spacing w:line="360" w:lineRule="auto"/>
        <w:rPr>
          <w:rFonts w:ascii="宋体" w:hAnsi="宋体" w:cs="宋体"/>
          <w:color w:val="auto"/>
          <w:sz w:val="24"/>
        </w:rPr>
      </w:pPr>
      <w:r>
        <w:rPr>
          <w:rFonts w:hint="eastAsia" w:ascii="宋体" w:hAnsi="宋体" w:cs="宋体"/>
          <w:color w:val="auto"/>
          <w:sz w:val="24"/>
        </w:rPr>
        <w:t>名称：（盖章）                   名称：（盖章）</w:t>
      </w:r>
    </w:p>
    <w:p w14:paraId="74B51161">
      <w:pPr>
        <w:spacing w:line="360" w:lineRule="auto"/>
        <w:rPr>
          <w:rFonts w:ascii="宋体" w:hAnsi="宋体" w:cs="宋体"/>
          <w:color w:val="auto"/>
          <w:sz w:val="24"/>
        </w:rPr>
      </w:pPr>
      <w:r>
        <w:rPr>
          <w:rFonts w:hint="eastAsia" w:ascii="宋体" w:hAnsi="宋体" w:cs="宋体"/>
          <w:color w:val="auto"/>
          <w:sz w:val="24"/>
        </w:rPr>
        <w:t>地址：                           地址：</w:t>
      </w:r>
    </w:p>
    <w:p w14:paraId="6AC2007C">
      <w:pPr>
        <w:spacing w:line="360" w:lineRule="auto"/>
        <w:rPr>
          <w:rFonts w:ascii="宋体" w:hAnsi="宋体" w:cs="宋体"/>
          <w:color w:val="auto"/>
          <w:sz w:val="24"/>
        </w:rPr>
      </w:pPr>
      <w:r>
        <w:rPr>
          <w:rFonts w:hint="eastAsia" w:ascii="宋体" w:hAnsi="宋体" w:cs="宋体"/>
          <w:color w:val="auto"/>
          <w:sz w:val="24"/>
        </w:rPr>
        <w:t>法定代表人（签字）：             法定代表人（签字）：</w:t>
      </w:r>
    </w:p>
    <w:p w14:paraId="3268A5EF">
      <w:pPr>
        <w:spacing w:line="360" w:lineRule="auto"/>
        <w:rPr>
          <w:rFonts w:ascii="宋体" w:hAnsi="宋体" w:cs="宋体"/>
          <w:color w:val="auto"/>
          <w:sz w:val="24"/>
        </w:rPr>
      </w:pPr>
      <w:r>
        <w:rPr>
          <w:rFonts w:hint="eastAsia" w:ascii="宋体" w:hAnsi="宋体" w:cs="宋体"/>
          <w:color w:val="auto"/>
          <w:sz w:val="24"/>
        </w:rPr>
        <w:t>授权代表（签字）：               授权代表（签字）：</w:t>
      </w:r>
    </w:p>
    <w:p w14:paraId="7151B337">
      <w:pPr>
        <w:spacing w:line="360" w:lineRule="auto"/>
        <w:rPr>
          <w:rFonts w:ascii="宋体" w:hAnsi="宋体" w:cs="宋体"/>
          <w:color w:val="auto"/>
          <w:sz w:val="24"/>
        </w:rPr>
      </w:pPr>
      <w:r>
        <w:rPr>
          <w:rFonts w:hint="eastAsia" w:ascii="宋体" w:hAnsi="宋体" w:cs="宋体"/>
          <w:color w:val="auto"/>
          <w:sz w:val="24"/>
        </w:rPr>
        <w:t>开户银行：                       开户银行：</w:t>
      </w:r>
    </w:p>
    <w:p w14:paraId="04912422">
      <w:pPr>
        <w:spacing w:line="360" w:lineRule="auto"/>
        <w:rPr>
          <w:rFonts w:ascii="宋体" w:hAnsi="宋体" w:cs="宋体"/>
          <w:color w:val="auto"/>
          <w:sz w:val="24"/>
        </w:rPr>
      </w:pPr>
      <w:r>
        <w:rPr>
          <w:rFonts w:hint="eastAsia" w:ascii="宋体" w:hAnsi="宋体" w:cs="宋体"/>
          <w:color w:val="auto"/>
          <w:sz w:val="24"/>
        </w:rPr>
        <w:t>银行帐号：                       银行帐号：</w:t>
      </w:r>
    </w:p>
    <w:p w14:paraId="5479A147">
      <w:pPr>
        <w:spacing w:line="360" w:lineRule="auto"/>
        <w:rPr>
          <w:rFonts w:hint="eastAsia" w:ascii="宋体" w:hAnsi="宋体" w:cs="宋体"/>
          <w:color w:val="auto"/>
          <w:sz w:val="24"/>
        </w:rPr>
      </w:pPr>
    </w:p>
    <w:p w14:paraId="44449FD1">
      <w:pPr>
        <w:spacing w:line="360" w:lineRule="auto"/>
        <w:jc w:val="both"/>
        <w:rPr>
          <w:rFonts w:hint="eastAsia" w:ascii="宋体" w:hAnsi="宋体"/>
          <w:color w:val="auto"/>
          <w:sz w:val="24"/>
        </w:rPr>
      </w:pPr>
      <w:r>
        <w:rPr>
          <w:rFonts w:hint="eastAsia" w:ascii="宋体" w:hAnsi="宋体" w:cs="宋体"/>
          <w:color w:val="auto"/>
          <w:sz w:val="24"/>
        </w:rPr>
        <w:t>时间：         年     月     日</w:t>
      </w:r>
    </w:p>
    <w:p w14:paraId="25B7624E">
      <w:pPr>
        <w:pStyle w:val="4"/>
        <w:jc w:val="left"/>
        <w:outlineLvl w:val="9"/>
        <w:rPr>
          <w:rFonts w:hint="eastAsia" w:ascii="宋体" w:hAnsi="宋体" w:eastAsia="宋体" w:cs="宋体"/>
          <w:color w:val="auto"/>
        </w:rPr>
      </w:pPr>
    </w:p>
    <w:p w14:paraId="03F8C5BA">
      <w:pPr>
        <w:pStyle w:val="4"/>
        <w:jc w:val="left"/>
        <w:outlineLvl w:val="9"/>
        <w:rPr>
          <w:rFonts w:hint="eastAsia" w:ascii="宋体" w:hAnsi="宋体" w:eastAsia="宋体" w:cs="宋体"/>
          <w:color w:val="auto"/>
        </w:rPr>
      </w:pPr>
    </w:p>
    <w:p w14:paraId="397B16E6">
      <w:pPr>
        <w:pStyle w:val="4"/>
        <w:jc w:val="left"/>
        <w:outlineLvl w:val="9"/>
        <w:rPr>
          <w:rFonts w:hint="eastAsia" w:ascii="宋体" w:hAnsi="宋体" w:eastAsia="宋体" w:cs="宋体"/>
          <w:color w:val="auto"/>
        </w:rPr>
      </w:pPr>
    </w:p>
    <w:p w14:paraId="106B4519">
      <w:pPr>
        <w:pStyle w:val="4"/>
        <w:outlineLvl w:val="9"/>
        <w:rPr>
          <w:rFonts w:hint="eastAsia" w:ascii="宋体" w:hAnsi="宋体" w:eastAsia="宋体" w:cs="宋体"/>
          <w:color w:val="auto"/>
        </w:rPr>
      </w:pPr>
    </w:p>
    <w:p w14:paraId="1F1065E2">
      <w:pPr>
        <w:rPr>
          <w:rFonts w:hint="eastAsia" w:ascii="宋体" w:hAnsi="宋体" w:eastAsia="宋体" w:cs="宋体"/>
          <w:color w:val="auto"/>
        </w:rPr>
      </w:pPr>
    </w:p>
    <w:bookmarkEnd w:id="135"/>
    <w:bookmarkEnd w:id="136"/>
    <w:bookmarkEnd w:id="137"/>
    <w:p w14:paraId="0FFE4602">
      <w:pPr>
        <w:spacing w:after="120"/>
        <w:ind w:left="480" w:leftChars="200" w:firstLine="480" w:firstLineChars="200"/>
        <w:jc w:val="left"/>
        <w:rPr>
          <w:rFonts w:hint="eastAsia" w:ascii="宋体" w:hAnsi="宋体" w:eastAsia="宋体" w:cs="宋体"/>
          <w:color w:val="auto"/>
          <w:szCs w:val="22"/>
        </w:rPr>
      </w:pPr>
    </w:p>
    <w:p w14:paraId="072CCE57">
      <w:pPr>
        <w:pStyle w:val="4"/>
        <w:outlineLvl w:val="9"/>
        <w:rPr>
          <w:rFonts w:hint="eastAsia" w:ascii="宋体" w:hAnsi="宋体" w:eastAsia="宋体" w:cs="宋体"/>
          <w:color w:val="auto"/>
        </w:rPr>
      </w:pPr>
    </w:p>
    <w:p w14:paraId="4DE57820">
      <w:pPr>
        <w:rPr>
          <w:rFonts w:hint="eastAsia" w:ascii="宋体" w:hAnsi="宋体" w:eastAsia="宋体" w:cs="宋体"/>
          <w:color w:val="auto"/>
        </w:rPr>
      </w:pPr>
    </w:p>
    <w:p w14:paraId="534A44DA">
      <w:pPr>
        <w:pStyle w:val="4"/>
        <w:outlineLvl w:val="9"/>
        <w:rPr>
          <w:rFonts w:hint="eastAsia" w:ascii="宋体" w:hAnsi="宋体" w:eastAsia="宋体" w:cs="宋体"/>
          <w:color w:val="auto"/>
        </w:rPr>
      </w:pPr>
    </w:p>
    <w:p w14:paraId="034C07C7">
      <w:pPr>
        <w:pStyle w:val="4"/>
        <w:outlineLvl w:val="9"/>
        <w:rPr>
          <w:rFonts w:hint="eastAsia" w:ascii="宋体" w:hAnsi="宋体" w:eastAsia="宋体" w:cs="宋体"/>
          <w:color w:val="auto"/>
        </w:rPr>
      </w:pPr>
    </w:p>
    <w:p w14:paraId="5CDE2B30">
      <w:pPr>
        <w:rPr>
          <w:rFonts w:hint="eastAsia" w:ascii="宋体" w:hAnsi="宋体" w:eastAsia="宋体" w:cs="宋体"/>
          <w:color w:val="auto"/>
        </w:rPr>
      </w:pPr>
    </w:p>
    <w:p w14:paraId="17749106">
      <w:pPr>
        <w:pStyle w:val="4"/>
        <w:jc w:val="center"/>
        <w:rPr>
          <w:rFonts w:hint="eastAsia" w:ascii="宋体" w:hAnsi="宋体" w:eastAsia="宋体" w:cs="宋体"/>
          <w:color w:val="auto"/>
          <w:szCs w:val="48"/>
        </w:rPr>
      </w:pPr>
      <w:bookmarkStart w:id="149" w:name="_Toc15404"/>
      <w:r>
        <w:rPr>
          <w:rFonts w:hint="eastAsia" w:ascii="宋体" w:hAnsi="宋体" w:eastAsia="宋体" w:cs="宋体"/>
          <w:color w:val="auto"/>
        </w:rPr>
        <w:t xml:space="preserve">第六章 </w:t>
      </w:r>
      <w:r>
        <w:rPr>
          <w:rFonts w:hint="eastAsia" w:ascii="宋体" w:hAnsi="宋体" w:eastAsia="宋体" w:cs="宋体"/>
          <w:color w:val="auto"/>
          <w:lang w:val="en-US" w:eastAsia="zh-CN"/>
        </w:rPr>
        <w:t>投标</w:t>
      </w:r>
      <w:r>
        <w:rPr>
          <w:rFonts w:hint="eastAsia" w:ascii="宋体" w:hAnsi="宋体" w:eastAsia="宋体" w:cs="宋体"/>
          <w:color w:val="auto"/>
        </w:rPr>
        <w:t>文件格式</w:t>
      </w:r>
      <w:bookmarkEnd w:id="149"/>
    </w:p>
    <w:p w14:paraId="78668539">
      <w:pPr>
        <w:pStyle w:val="4"/>
        <w:jc w:val="center"/>
        <w:outlineLvl w:val="9"/>
        <w:rPr>
          <w:rFonts w:hint="eastAsia" w:ascii="宋体" w:hAnsi="宋体" w:eastAsia="宋体" w:cs="宋体"/>
          <w:color w:val="auto"/>
        </w:rPr>
      </w:pPr>
    </w:p>
    <w:p w14:paraId="699D1C49">
      <w:pPr>
        <w:pStyle w:val="3"/>
        <w:ind w:firstLine="0" w:firstLineChars="0"/>
        <w:rPr>
          <w:rFonts w:hint="eastAsia" w:ascii="宋体" w:hAnsi="宋体" w:eastAsia="宋体" w:cs="宋体"/>
          <w:color w:val="auto"/>
        </w:rPr>
      </w:pPr>
    </w:p>
    <w:p w14:paraId="3DEE8F90">
      <w:pPr>
        <w:rPr>
          <w:rFonts w:hint="eastAsia" w:ascii="宋体" w:hAnsi="宋体" w:eastAsia="宋体" w:cs="宋体"/>
          <w:color w:val="auto"/>
          <w:szCs w:val="21"/>
        </w:rPr>
      </w:pPr>
    </w:p>
    <w:p w14:paraId="5640E23F">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（项目名称）</w:t>
      </w:r>
      <w:r>
        <w:rPr>
          <w:rFonts w:hint="eastAsia" w:ascii="宋体" w:hAnsi="宋体" w:eastAsia="宋体" w:cs="宋体"/>
          <w:color w:val="auto"/>
          <w:sz w:val="28"/>
          <w:szCs w:val="28"/>
          <w:u w:val="single"/>
          <w:lang w:val="en-US" w:eastAsia="zh-CN"/>
        </w:rPr>
        <w:t xml:space="preserve">  包</w:t>
      </w:r>
      <w:r>
        <w:rPr>
          <w:rFonts w:hint="eastAsia" w:ascii="宋体" w:hAnsi="宋体" w:eastAsia="宋体" w:cs="宋体"/>
          <w:color w:val="auto"/>
          <w:sz w:val="28"/>
          <w:szCs w:val="28"/>
          <w:u w:val="single"/>
        </w:rPr>
        <w:t xml:space="preserve"> </w:t>
      </w:r>
    </w:p>
    <w:p w14:paraId="31E22FE2">
      <w:pPr>
        <w:spacing w:before="312" w:beforeLines="100"/>
        <w:rPr>
          <w:rFonts w:hint="eastAsia" w:ascii="宋体" w:hAnsi="宋体" w:eastAsia="宋体" w:cs="宋体"/>
          <w:b/>
          <w:bCs/>
          <w:color w:val="auto"/>
          <w:sz w:val="40"/>
          <w:szCs w:val="40"/>
        </w:rPr>
      </w:pPr>
    </w:p>
    <w:p w14:paraId="14B1BCC7">
      <w:pPr>
        <w:spacing w:before="312" w:beforeLines="100"/>
        <w:rPr>
          <w:rFonts w:hint="eastAsia" w:ascii="宋体" w:hAnsi="宋体" w:eastAsia="宋体" w:cs="宋体"/>
          <w:b/>
          <w:bCs/>
          <w:color w:val="auto"/>
          <w:sz w:val="40"/>
          <w:szCs w:val="40"/>
        </w:rPr>
      </w:pPr>
    </w:p>
    <w:p w14:paraId="793E78FA">
      <w:pPr>
        <w:pStyle w:val="3"/>
        <w:ind w:firstLine="210"/>
        <w:rPr>
          <w:rFonts w:hint="eastAsia" w:ascii="宋体" w:hAnsi="宋体" w:eastAsia="宋体" w:cs="宋体"/>
          <w:color w:val="auto"/>
        </w:rPr>
      </w:pPr>
    </w:p>
    <w:p w14:paraId="201C019B">
      <w:pPr>
        <w:jc w:val="center"/>
        <w:rPr>
          <w:rFonts w:hint="eastAsia" w:ascii="宋体" w:hAnsi="宋体" w:eastAsia="宋体" w:cs="宋体"/>
          <w:b/>
          <w:bCs/>
          <w:color w:val="auto"/>
          <w:sz w:val="28"/>
          <w:szCs w:val="28"/>
        </w:rPr>
      </w:pPr>
      <w:r>
        <w:rPr>
          <w:rFonts w:hint="eastAsia" w:ascii="宋体" w:hAnsi="宋体" w:eastAsia="宋体" w:cs="宋体"/>
          <w:b/>
          <w:bCs/>
          <w:color w:val="auto"/>
          <w:sz w:val="72"/>
          <w:szCs w:val="72"/>
        </w:rPr>
        <w:t xml:space="preserve"> 投 标 文 件</w:t>
      </w:r>
    </w:p>
    <w:p w14:paraId="4DFE9030">
      <w:pPr>
        <w:jc w:val="center"/>
        <w:rPr>
          <w:rFonts w:hint="eastAsia" w:ascii="宋体" w:hAnsi="宋体" w:eastAsia="宋体" w:cs="宋体"/>
          <w:color w:val="auto"/>
          <w:sz w:val="28"/>
          <w:szCs w:val="28"/>
        </w:rPr>
      </w:pPr>
    </w:p>
    <w:p w14:paraId="0E613552">
      <w:pPr>
        <w:ind w:firstLine="3640" w:firstLineChars="13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编号：</w:t>
      </w:r>
    </w:p>
    <w:p w14:paraId="3551BD6D">
      <w:pPr>
        <w:rPr>
          <w:rFonts w:hint="eastAsia" w:ascii="宋体" w:hAnsi="宋体" w:eastAsia="宋体" w:cs="宋体"/>
          <w:color w:val="auto"/>
          <w:sz w:val="28"/>
          <w:szCs w:val="28"/>
        </w:rPr>
      </w:pPr>
    </w:p>
    <w:p w14:paraId="2650454C">
      <w:pPr>
        <w:pStyle w:val="3"/>
        <w:ind w:firstLine="280"/>
        <w:rPr>
          <w:rFonts w:hint="eastAsia" w:ascii="宋体" w:hAnsi="宋体" w:eastAsia="宋体" w:cs="宋体"/>
          <w:color w:val="auto"/>
          <w:sz w:val="28"/>
          <w:szCs w:val="28"/>
        </w:rPr>
      </w:pPr>
    </w:p>
    <w:p w14:paraId="76AB1D92">
      <w:pPr>
        <w:pStyle w:val="15"/>
        <w:rPr>
          <w:rFonts w:hint="eastAsia" w:ascii="宋体" w:hAnsi="宋体" w:eastAsia="宋体" w:cs="宋体"/>
          <w:color w:val="auto"/>
        </w:rPr>
      </w:pPr>
    </w:p>
    <w:p w14:paraId="0E5AF461">
      <w:pPr>
        <w:rPr>
          <w:rFonts w:hint="eastAsia" w:ascii="宋体" w:hAnsi="宋体" w:eastAsia="宋体" w:cs="宋体"/>
          <w:color w:val="auto"/>
          <w:sz w:val="28"/>
          <w:szCs w:val="28"/>
        </w:rPr>
      </w:pPr>
    </w:p>
    <w:p w14:paraId="56CF9F0A">
      <w:pPr>
        <w:jc w:val="center"/>
        <w:rPr>
          <w:rFonts w:hint="eastAsia" w:ascii="宋体" w:hAnsi="宋体" w:eastAsia="宋体" w:cs="宋体"/>
          <w:color w:val="auto"/>
          <w:sz w:val="28"/>
          <w:szCs w:val="28"/>
        </w:rPr>
      </w:pPr>
    </w:p>
    <w:p w14:paraId="7562FF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6EFA7E7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07068E83">
      <w:pPr>
        <w:spacing w:line="360" w:lineRule="auto"/>
        <w:jc w:val="center"/>
        <w:rPr>
          <w:rFonts w:hint="eastAsia" w:ascii="宋体" w:hAnsi="宋体" w:eastAsia="宋体" w:cs="宋体"/>
          <w:color w:val="auto"/>
          <w:sz w:val="24"/>
        </w:rPr>
      </w:pPr>
    </w:p>
    <w:p w14:paraId="260F4267">
      <w:pPr>
        <w:jc w:val="center"/>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6B99B98">
      <w:pPr>
        <w:rPr>
          <w:rFonts w:hint="eastAsia" w:ascii="宋体" w:hAnsi="宋体" w:eastAsia="宋体" w:cs="宋体"/>
          <w:color w:val="auto"/>
          <w:szCs w:val="21"/>
        </w:rPr>
      </w:pPr>
      <w:bookmarkStart w:id="150" w:name="_Toc414862754"/>
      <w:bookmarkStart w:id="151" w:name="_Toc144974856"/>
      <w:bookmarkStart w:id="152" w:name="_Toc22333"/>
      <w:bookmarkStart w:id="153" w:name="_Toc152045787"/>
      <w:bookmarkStart w:id="154" w:name="_Toc6971"/>
      <w:bookmarkStart w:id="155" w:name="_Toc16319"/>
      <w:bookmarkStart w:id="156" w:name="_Toc425581742"/>
      <w:bookmarkStart w:id="157" w:name="_Toc339627986"/>
      <w:bookmarkStart w:id="158" w:name="_Toc339378277"/>
      <w:bookmarkStart w:id="159" w:name="_Toc152042576"/>
    </w:p>
    <w:p w14:paraId="31414D8E">
      <w:pPr>
        <w:jc w:val="center"/>
        <w:rPr>
          <w:rFonts w:hint="eastAsia" w:ascii="宋体" w:hAnsi="宋体" w:eastAsia="宋体" w:cs="宋体"/>
          <w:color w:val="auto"/>
          <w:szCs w:val="21"/>
        </w:rPr>
      </w:pPr>
    </w:p>
    <w:p w14:paraId="32A825D4">
      <w:pPr>
        <w:jc w:val="center"/>
        <w:rPr>
          <w:rFonts w:hint="eastAsia" w:ascii="宋体" w:hAnsi="宋体" w:eastAsia="宋体" w:cs="宋体"/>
          <w:color w:val="auto"/>
          <w:szCs w:val="21"/>
        </w:rPr>
      </w:pPr>
    </w:p>
    <w:p w14:paraId="3F7F6FA9">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bookmarkEnd w:id="150"/>
      <w:bookmarkEnd w:id="151"/>
      <w:bookmarkEnd w:id="152"/>
      <w:bookmarkEnd w:id="153"/>
      <w:bookmarkEnd w:id="154"/>
      <w:bookmarkEnd w:id="155"/>
      <w:bookmarkEnd w:id="156"/>
      <w:bookmarkEnd w:id="157"/>
      <w:bookmarkEnd w:id="158"/>
      <w:bookmarkEnd w:id="159"/>
    </w:p>
    <w:p w14:paraId="453D6968">
      <w:pPr>
        <w:pStyle w:val="3"/>
        <w:jc w:val="center"/>
        <w:rPr>
          <w:rFonts w:hint="eastAsia" w:eastAsia="宋体"/>
          <w:color w:val="auto"/>
          <w:lang w:eastAsia="zh-CN"/>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格式自拟</w:t>
      </w:r>
      <w:r>
        <w:rPr>
          <w:rFonts w:hint="eastAsia" w:ascii="宋体" w:hAnsi="宋体" w:eastAsia="宋体" w:cs="宋体"/>
          <w:b/>
          <w:bCs/>
          <w:color w:val="auto"/>
          <w:sz w:val="30"/>
          <w:szCs w:val="30"/>
          <w:lang w:eastAsia="zh-CN"/>
        </w:rPr>
        <w:t>）</w:t>
      </w:r>
    </w:p>
    <w:p w14:paraId="38216F50">
      <w:pPr>
        <w:rPr>
          <w:rFonts w:hint="eastAsia" w:ascii="宋体" w:hAnsi="宋体" w:eastAsia="宋体" w:cs="宋体"/>
          <w:color w:val="auto"/>
          <w:sz w:val="28"/>
          <w:szCs w:val="28"/>
        </w:rPr>
      </w:pPr>
    </w:p>
    <w:p w14:paraId="31014717">
      <w:pPr>
        <w:rPr>
          <w:rFonts w:hint="eastAsia" w:ascii="宋体" w:hAnsi="宋体" w:eastAsia="宋体" w:cs="宋体"/>
          <w:color w:val="auto"/>
          <w:sz w:val="28"/>
          <w:szCs w:val="28"/>
        </w:rPr>
      </w:pPr>
    </w:p>
    <w:p w14:paraId="474D76D7">
      <w:pPr>
        <w:rPr>
          <w:rFonts w:hint="eastAsia" w:ascii="宋体" w:hAnsi="宋体" w:eastAsia="宋体" w:cs="宋体"/>
          <w:color w:val="auto"/>
          <w:sz w:val="28"/>
          <w:szCs w:val="28"/>
        </w:rPr>
      </w:pPr>
    </w:p>
    <w:p w14:paraId="4532F4AB">
      <w:pPr>
        <w:rPr>
          <w:rFonts w:hint="eastAsia" w:ascii="宋体" w:hAnsi="宋体" w:eastAsia="宋体" w:cs="宋体"/>
          <w:color w:val="auto"/>
          <w:sz w:val="28"/>
          <w:szCs w:val="28"/>
        </w:rPr>
      </w:pPr>
    </w:p>
    <w:p w14:paraId="7524581C">
      <w:pPr>
        <w:rPr>
          <w:rFonts w:hint="eastAsia" w:ascii="宋体" w:hAnsi="宋体" w:eastAsia="宋体" w:cs="宋体"/>
          <w:color w:val="auto"/>
          <w:sz w:val="28"/>
          <w:szCs w:val="28"/>
        </w:rPr>
      </w:pPr>
    </w:p>
    <w:p w14:paraId="2BF6018E">
      <w:pPr>
        <w:pStyle w:val="3"/>
        <w:ind w:firstLine="280"/>
        <w:rPr>
          <w:rFonts w:hint="eastAsia" w:ascii="宋体" w:hAnsi="宋体" w:eastAsia="宋体" w:cs="宋体"/>
          <w:color w:val="auto"/>
          <w:sz w:val="28"/>
          <w:szCs w:val="28"/>
        </w:rPr>
      </w:pPr>
    </w:p>
    <w:p w14:paraId="6E28DAB5">
      <w:pPr>
        <w:pStyle w:val="15"/>
        <w:rPr>
          <w:rFonts w:hint="eastAsia" w:ascii="宋体" w:hAnsi="宋体" w:eastAsia="宋体" w:cs="宋体"/>
          <w:color w:val="auto"/>
        </w:rPr>
      </w:pPr>
    </w:p>
    <w:p w14:paraId="71AC8420">
      <w:pPr>
        <w:rPr>
          <w:rFonts w:hint="eastAsia" w:ascii="宋体" w:hAnsi="宋体" w:eastAsia="宋体" w:cs="宋体"/>
          <w:color w:val="auto"/>
          <w:sz w:val="28"/>
          <w:szCs w:val="28"/>
        </w:rPr>
      </w:pPr>
    </w:p>
    <w:p w14:paraId="0E69C0E9">
      <w:pPr>
        <w:rPr>
          <w:rFonts w:hint="eastAsia" w:ascii="宋体" w:hAnsi="宋体" w:eastAsia="宋体" w:cs="宋体"/>
          <w:color w:val="auto"/>
        </w:rPr>
      </w:pPr>
      <w:bookmarkStart w:id="160" w:name="_Toc152045789"/>
      <w:bookmarkStart w:id="161" w:name="_Toc36045331"/>
      <w:bookmarkStart w:id="162" w:name="_Toc152042578"/>
      <w:bookmarkStart w:id="163" w:name="_Toc144974858"/>
    </w:p>
    <w:bookmarkEnd w:id="160"/>
    <w:bookmarkEnd w:id="161"/>
    <w:bookmarkEnd w:id="162"/>
    <w:bookmarkEnd w:id="163"/>
    <w:p w14:paraId="691ABBAD">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一、投标函及投标函附录</w:t>
      </w:r>
    </w:p>
    <w:p w14:paraId="136E3A94">
      <w:pPr>
        <w:pStyle w:val="5"/>
        <w:spacing w:line="38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投标函</w:t>
      </w:r>
    </w:p>
    <w:p w14:paraId="28B75A9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采购人</w:t>
      </w:r>
      <w:r>
        <w:rPr>
          <w:rFonts w:hint="eastAsia" w:ascii="宋体" w:hAnsi="宋体" w:eastAsia="宋体" w:cs="宋体"/>
          <w:color w:val="auto"/>
          <w:sz w:val="24"/>
          <w:u w:val="single"/>
        </w:rPr>
        <w:t>名称）</w:t>
      </w:r>
      <w:r>
        <w:rPr>
          <w:rFonts w:hint="eastAsia" w:ascii="宋体" w:hAnsi="宋体" w:eastAsia="宋体" w:cs="宋体"/>
          <w:color w:val="auto"/>
          <w:sz w:val="24"/>
        </w:rPr>
        <w:t>：</w:t>
      </w:r>
    </w:p>
    <w:p w14:paraId="54B345A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根据贵方</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u w:val="single"/>
          <w:lang w:val="en-US" w:eastAsia="zh-CN"/>
        </w:rPr>
        <w:t xml:space="preserve">  包 </w:t>
      </w:r>
      <w:r>
        <w:rPr>
          <w:rFonts w:hint="eastAsia" w:ascii="宋体" w:hAnsi="宋体" w:eastAsia="宋体" w:cs="宋体"/>
          <w:color w:val="auto"/>
          <w:sz w:val="24"/>
        </w:rPr>
        <w:t>招标文件，我方授权</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代表姓名）</w:t>
      </w:r>
      <w:r>
        <w:rPr>
          <w:rFonts w:hint="eastAsia" w:ascii="宋体" w:hAnsi="宋体" w:eastAsia="宋体" w:cs="宋体"/>
          <w:color w:val="auto"/>
          <w:sz w:val="24"/>
        </w:rPr>
        <w:t>代表我方</w:t>
      </w:r>
      <w:r>
        <w:rPr>
          <w:rFonts w:hint="eastAsia" w:ascii="宋体" w:hAnsi="宋体" w:eastAsia="宋体" w:cs="宋体"/>
          <w:color w:val="auto"/>
          <w:sz w:val="24"/>
          <w:u w:val="single"/>
        </w:rPr>
        <w:t>（投标单位的名称）</w:t>
      </w:r>
      <w:r>
        <w:rPr>
          <w:rFonts w:hint="eastAsia" w:ascii="宋体" w:hAnsi="宋体" w:eastAsia="宋体" w:cs="宋体"/>
          <w:color w:val="auto"/>
          <w:sz w:val="24"/>
        </w:rPr>
        <w:t>全权处理本项目投标的有关事宜。</w:t>
      </w:r>
    </w:p>
    <w:p w14:paraId="3B37C6F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14:paraId="590B99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1、所附详细报价表中规定的应提供和交付的货物及服务报价总价为人民币大写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237DD3A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已详细审查全部招标文件，包括修改、澄清文件（如有的话）和有关附件，将自行承担因对全部招标文件理解不正确或误解而产生的相应后果。</w:t>
      </w:r>
    </w:p>
    <w:p w14:paraId="0655BCC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保证遵守招标文件的全部规定，</w:t>
      </w:r>
      <w:r>
        <w:rPr>
          <w:rFonts w:hint="eastAsia" w:ascii="宋体" w:hAnsi="宋体" w:eastAsia="宋体" w:cs="宋体"/>
          <w:color w:val="auto"/>
          <w:sz w:val="24"/>
          <w:lang w:eastAsia="zh-CN"/>
        </w:rPr>
        <w:t>供应商</w:t>
      </w:r>
      <w:r>
        <w:rPr>
          <w:rFonts w:hint="eastAsia" w:ascii="宋体" w:hAnsi="宋体" w:eastAsia="宋体" w:cs="宋体"/>
          <w:color w:val="auto"/>
          <w:sz w:val="24"/>
        </w:rPr>
        <w:t>所提交的材料中所含的信息均为真实、准确、完整，且不具有任何误导性。</w:t>
      </w:r>
    </w:p>
    <w:p w14:paraId="1EB3240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将按招标文件的规定履行合同责任和义务。</w:t>
      </w:r>
    </w:p>
    <w:p w14:paraId="76EE1BA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5、本投标文件自开标日起投标有</w:t>
      </w:r>
      <w:r>
        <w:rPr>
          <w:rFonts w:hint="eastAsia" w:ascii="宋体" w:hAnsi="宋体" w:eastAsia="宋体" w:cs="宋体"/>
          <w:color w:val="auto"/>
          <w:sz w:val="24"/>
          <w:highlight w:val="none"/>
        </w:rPr>
        <w:t>效期为：</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0日历天</w:t>
      </w:r>
    </w:p>
    <w:p w14:paraId="001B5DB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同意提供按照招标采购单位可能要求的与其投标有关的一切数据或资料。</w:t>
      </w:r>
    </w:p>
    <w:p w14:paraId="0445A14A">
      <w:pPr>
        <w:spacing w:line="360" w:lineRule="auto"/>
        <w:jc w:val="left"/>
        <w:rPr>
          <w:rFonts w:hint="eastAsia" w:ascii="宋体" w:hAnsi="宋体" w:eastAsia="宋体" w:cs="宋体"/>
          <w:color w:val="auto"/>
          <w:sz w:val="24"/>
        </w:rPr>
      </w:pPr>
    </w:p>
    <w:p w14:paraId="682B894B">
      <w:pPr>
        <w:spacing w:line="360" w:lineRule="auto"/>
        <w:jc w:val="left"/>
        <w:rPr>
          <w:rFonts w:hint="eastAsia" w:ascii="宋体" w:hAnsi="宋体" w:eastAsia="宋体" w:cs="宋体"/>
          <w:color w:val="auto"/>
          <w:sz w:val="24"/>
        </w:rPr>
      </w:pPr>
    </w:p>
    <w:p w14:paraId="0A7F09C1">
      <w:pPr>
        <w:pStyle w:val="15"/>
        <w:ind w:firstLine="480"/>
        <w:rPr>
          <w:rFonts w:hint="eastAsia" w:ascii="宋体" w:hAnsi="宋体" w:eastAsia="宋体" w:cs="宋体"/>
          <w:color w:val="auto"/>
          <w:sz w:val="24"/>
        </w:rPr>
      </w:pPr>
    </w:p>
    <w:p w14:paraId="45999F5E">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9489965">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46312A34">
      <w:pPr>
        <w:pStyle w:val="3"/>
        <w:ind w:left="0" w:leftChars="0" w:firstLine="0" w:firstLineChars="0"/>
        <w:rPr>
          <w:rFonts w:hint="eastAsia" w:ascii="宋体" w:hAnsi="宋体" w:eastAsia="宋体" w:cs="宋体"/>
          <w:color w:val="auto"/>
          <w:u w:val="single"/>
          <w:lang w:val="en-US" w:eastAsia="zh-CN"/>
        </w:rPr>
      </w:pPr>
      <w:r>
        <w:rPr>
          <w:rFonts w:hint="eastAsia" w:ascii="宋体" w:hAnsi="宋体" w:eastAsia="宋体" w:cs="宋体"/>
          <w:color w:val="auto"/>
          <w:sz w:val="24"/>
          <w:u w:val="none"/>
          <w:lang w:val="en-US" w:eastAsia="zh-CN"/>
        </w:rPr>
        <w:t>联系方式：</w:t>
      </w:r>
      <w:r>
        <w:rPr>
          <w:rFonts w:hint="eastAsia" w:ascii="宋体" w:hAnsi="宋体" w:eastAsia="宋体" w:cs="宋体"/>
          <w:color w:val="auto"/>
          <w:sz w:val="24"/>
          <w:u w:val="single"/>
          <w:lang w:val="en-US" w:eastAsia="zh-CN"/>
        </w:rPr>
        <w:t xml:space="preserve">               </w:t>
      </w:r>
    </w:p>
    <w:p w14:paraId="7705BA76">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Start w:id="164" w:name="_Toc10467"/>
      <w:bookmarkStart w:id="165" w:name="_Toc525062114"/>
    </w:p>
    <w:p w14:paraId="65AC48AE">
      <w:pPr>
        <w:spacing w:line="360" w:lineRule="auto"/>
        <w:jc w:val="center"/>
        <w:rPr>
          <w:rFonts w:hint="eastAsia" w:ascii="宋体" w:hAnsi="宋体" w:eastAsia="宋体" w:cs="宋体"/>
          <w:b/>
          <w:bCs/>
          <w:color w:val="auto"/>
          <w:sz w:val="28"/>
          <w:szCs w:val="28"/>
        </w:rPr>
      </w:pPr>
    </w:p>
    <w:p w14:paraId="23D04032">
      <w:pPr>
        <w:pStyle w:val="3"/>
        <w:ind w:firstLine="281"/>
        <w:rPr>
          <w:rFonts w:hint="eastAsia" w:ascii="宋体" w:hAnsi="宋体" w:eastAsia="宋体" w:cs="宋体"/>
          <w:b/>
          <w:bCs/>
          <w:color w:val="auto"/>
          <w:sz w:val="28"/>
          <w:szCs w:val="28"/>
        </w:rPr>
      </w:pPr>
    </w:p>
    <w:p w14:paraId="5DA499D6">
      <w:pPr>
        <w:pStyle w:val="15"/>
        <w:ind w:firstLine="562"/>
        <w:rPr>
          <w:rFonts w:hint="eastAsia" w:ascii="宋体" w:hAnsi="宋体" w:eastAsia="宋体" w:cs="宋体"/>
          <w:b/>
          <w:bCs/>
          <w:color w:val="auto"/>
          <w:sz w:val="28"/>
          <w:szCs w:val="28"/>
        </w:rPr>
      </w:pPr>
    </w:p>
    <w:bookmarkEnd w:id="164"/>
    <w:bookmarkEnd w:id="165"/>
    <w:p w14:paraId="6D11F116">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投标函附录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14:paraId="2C4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53E4C7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660" w:type="dxa"/>
            <w:noWrap w:val="0"/>
            <w:vAlign w:val="center"/>
          </w:tcPr>
          <w:p w14:paraId="19AE794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AF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6867EF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包段名称</w:t>
            </w:r>
          </w:p>
        </w:tc>
        <w:tc>
          <w:tcPr>
            <w:tcW w:w="6660" w:type="dxa"/>
            <w:noWrap w:val="0"/>
            <w:vAlign w:val="center"/>
          </w:tcPr>
          <w:p w14:paraId="4CAD4D28">
            <w:pPr>
              <w:spacing w:line="360" w:lineRule="auto"/>
              <w:jc w:val="center"/>
              <w:rPr>
                <w:rFonts w:hint="eastAsia" w:ascii="宋体" w:hAnsi="宋体" w:eastAsia="宋体" w:cs="宋体"/>
                <w:color w:val="auto"/>
                <w:sz w:val="24"/>
              </w:rPr>
            </w:pPr>
          </w:p>
        </w:tc>
      </w:tr>
      <w:tr w14:paraId="75F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7D28B8F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p>
        </w:tc>
        <w:tc>
          <w:tcPr>
            <w:tcW w:w="6660" w:type="dxa"/>
            <w:noWrap w:val="0"/>
            <w:vAlign w:val="center"/>
          </w:tcPr>
          <w:p w14:paraId="75C2BD8A">
            <w:pPr>
              <w:spacing w:line="360" w:lineRule="auto"/>
              <w:jc w:val="center"/>
              <w:rPr>
                <w:rFonts w:hint="eastAsia" w:ascii="宋体" w:hAnsi="宋体" w:eastAsia="宋体" w:cs="宋体"/>
                <w:color w:val="auto"/>
                <w:sz w:val="24"/>
              </w:rPr>
            </w:pPr>
          </w:p>
        </w:tc>
      </w:tr>
      <w:tr w14:paraId="15F6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520" w:type="dxa"/>
            <w:noWrap w:val="0"/>
            <w:vAlign w:val="center"/>
          </w:tcPr>
          <w:p w14:paraId="238E78CC">
            <w:pPr>
              <w:spacing w:line="360" w:lineRule="auto"/>
              <w:jc w:val="center"/>
              <w:rPr>
                <w:rFonts w:hint="eastAsia" w:ascii="宋体" w:hAnsi="宋体" w:eastAsia="宋体" w:cs="宋体"/>
                <w:color w:val="auto"/>
              </w:rPr>
            </w:pPr>
            <w:r>
              <w:rPr>
                <w:rFonts w:hint="eastAsia" w:ascii="宋体" w:hAnsi="宋体" w:eastAsia="宋体" w:cs="宋体"/>
                <w:color w:val="auto"/>
                <w:sz w:val="24"/>
              </w:rPr>
              <w:t>投标报价</w:t>
            </w:r>
          </w:p>
        </w:tc>
        <w:tc>
          <w:tcPr>
            <w:tcW w:w="6660" w:type="dxa"/>
            <w:noWrap w:val="0"/>
            <w:vAlign w:val="center"/>
          </w:tcPr>
          <w:p w14:paraId="6090ADE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大写：</w:t>
            </w:r>
          </w:p>
          <w:p w14:paraId="107AC98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 xml:space="preserve">小写：                                </w:t>
            </w:r>
          </w:p>
        </w:tc>
      </w:tr>
      <w:tr w14:paraId="7EA0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DD95EB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交货期</w:t>
            </w:r>
          </w:p>
        </w:tc>
        <w:tc>
          <w:tcPr>
            <w:tcW w:w="6660" w:type="dxa"/>
            <w:noWrap w:val="0"/>
            <w:vAlign w:val="center"/>
          </w:tcPr>
          <w:p w14:paraId="11CB2CA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7A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D70FF4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质量要求 </w:t>
            </w:r>
          </w:p>
        </w:tc>
        <w:tc>
          <w:tcPr>
            <w:tcW w:w="6660" w:type="dxa"/>
            <w:noWrap w:val="0"/>
            <w:vAlign w:val="center"/>
          </w:tcPr>
          <w:p w14:paraId="1F934BEB">
            <w:pPr>
              <w:spacing w:line="360" w:lineRule="auto"/>
              <w:jc w:val="center"/>
              <w:rPr>
                <w:rFonts w:hint="eastAsia" w:ascii="宋体" w:hAnsi="宋体" w:eastAsia="宋体" w:cs="宋体"/>
                <w:color w:val="auto"/>
                <w:sz w:val="24"/>
              </w:rPr>
            </w:pPr>
          </w:p>
        </w:tc>
      </w:tr>
      <w:tr w14:paraId="3593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3D41EFD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投标有效期</w:t>
            </w:r>
          </w:p>
        </w:tc>
        <w:tc>
          <w:tcPr>
            <w:tcW w:w="6660" w:type="dxa"/>
            <w:noWrap w:val="0"/>
            <w:vAlign w:val="center"/>
          </w:tcPr>
          <w:p w14:paraId="23238409">
            <w:pPr>
              <w:spacing w:line="360" w:lineRule="auto"/>
              <w:jc w:val="center"/>
              <w:rPr>
                <w:rFonts w:hint="eastAsia" w:ascii="宋体" w:hAnsi="宋体" w:eastAsia="宋体" w:cs="宋体"/>
                <w:color w:val="auto"/>
                <w:sz w:val="24"/>
              </w:rPr>
            </w:pPr>
          </w:p>
        </w:tc>
      </w:tr>
      <w:tr w14:paraId="5D17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E24369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质保期</w:t>
            </w:r>
          </w:p>
        </w:tc>
        <w:tc>
          <w:tcPr>
            <w:tcW w:w="6660" w:type="dxa"/>
            <w:noWrap w:val="0"/>
            <w:vAlign w:val="center"/>
          </w:tcPr>
          <w:p w14:paraId="11C01753">
            <w:pPr>
              <w:spacing w:line="360" w:lineRule="auto"/>
              <w:jc w:val="center"/>
              <w:rPr>
                <w:rFonts w:hint="eastAsia" w:ascii="宋体" w:hAnsi="宋体" w:eastAsia="宋体" w:cs="宋体"/>
                <w:color w:val="auto"/>
                <w:sz w:val="24"/>
              </w:rPr>
            </w:pPr>
          </w:p>
        </w:tc>
      </w:tr>
      <w:tr w14:paraId="373C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B32B5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其它说明</w:t>
            </w:r>
          </w:p>
        </w:tc>
        <w:tc>
          <w:tcPr>
            <w:tcW w:w="6660" w:type="dxa"/>
            <w:noWrap w:val="0"/>
            <w:vAlign w:val="center"/>
          </w:tcPr>
          <w:p w14:paraId="0C48BE84">
            <w:pPr>
              <w:spacing w:line="360" w:lineRule="auto"/>
              <w:jc w:val="center"/>
              <w:rPr>
                <w:rFonts w:hint="eastAsia" w:ascii="宋体" w:hAnsi="宋体" w:eastAsia="宋体" w:cs="宋体"/>
                <w:color w:val="auto"/>
                <w:sz w:val="24"/>
              </w:rPr>
            </w:pPr>
          </w:p>
        </w:tc>
      </w:tr>
    </w:tbl>
    <w:p w14:paraId="44A648E5">
      <w:pPr>
        <w:spacing w:line="360" w:lineRule="auto"/>
        <w:ind w:firstLine="480"/>
        <w:rPr>
          <w:rFonts w:hint="eastAsia" w:ascii="宋体" w:hAnsi="宋体" w:eastAsia="宋体" w:cs="宋体"/>
          <w:color w:val="auto"/>
          <w:sz w:val="24"/>
        </w:rPr>
      </w:pPr>
    </w:p>
    <w:p w14:paraId="3B9BA339">
      <w:pPr>
        <w:spacing w:line="360" w:lineRule="auto"/>
        <w:jc w:val="left"/>
        <w:rPr>
          <w:rFonts w:hint="eastAsia" w:ascii="宋体" w:hAnsi="宋体" w:eastAsia="宋体" w:cs="宋体"/>
          <w:color w:val="auto"/>
          <w:sz w:val="24"/>
        </w:rPr>
      </w:pPr>
    </w:p>
    <w:p w14:paraId="4C2B2189">
      <w:pPr>
        <w:pStyle w:val="3"/>
        <w:ind w:firstLine="210"/>
        <w:rPr>
          <w:rFonts w:hint="eastAsia" w:ascii="宋体" w:hAnsi="宋体" w:eastAsia="宋体" w:cs="宋体"/>
          <w:color w:val="auto"/>
        </w:rPr>
      </w:pPr>
    </w:p>
    <w:p w14:paraId="64A0C74D">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7D89FA58">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69ADF05C">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BA4E904">
      <w:pPr>
        <w:pStyle w:val="5"/>
        <w:bidi w:val="0"/>
        <w:jc w:val="center"/>
        <w:rPr>
          <w:rFonts w:hint="eastAsia" w:ascii="宋体" w:hAnsi="宋体" w:eastAsia="宋体" w:cs="宋体"/>
          <w:color w:val="auto"/>
        </w:rPr>
      </w:pPr>
      <w:bookmarkStart w:id="166" w:name="_Toc525062115"/>
      <w:bookmarkStart w:id="167" w:name="_Toc31019"/>
      <w:r>
        <w:rPr>
          <w:rFonts w:hint="eastAsia" w:ascii="宋体" w:hAnsi="宋体" w:eastAsia="宋体" w:cs="宋体"/>
          <w:b w:val="0"/>
          <w:bCs w:val="0"/>
          <w:color w:val="auto"/>
          <w:sz w:val="24"/>
          <w:szCs w:val="24"/>
        </w:rPr>
        <w:br w:type="page"/>
      </w:r>
      <w:bookmarkEnd w:id="166"/>
      <w:bookmarkEnd w:id="167"/>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法定代表人身份证明</w:t>
      </w:r>
    </w:p>
    <w:p w14:paraId="23EEA76A">
      <w:pPr>
        <w:pStyle w:val="5"/>
        <w:spacing w:line="400" w:lineRule="exact"/>
        <w:jc w:val="center"/>
        <w:outlineLvl w:val="9"/>
        <w:rPr>
          <w:rFonts w:hint="eastAsia" w:ascii="宋体" w:hAnsi="宋体" w:eastAsia="宋体" w:cs="宋体"/>
          <w:color w:val="auto"/>
          <w:sz w:val="24"/>
        </w:rPr>
      </w:pPr>
    </w:p>
    <w:p w14:paraId="343C41E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FE9CE11">
      <w:pPr>
        <w:spacing w:line="360" w:lineRule="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1AD3F69">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14:paraId="4FCEFC80">
      <w:pPr>
        <w:spacing w:line="360" w:lineRule="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13869430">
      <w:pPr>
        <w:spacing w:line="360" w:lineRule="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65DADF53">
      <w:pPr>
        <w:spacing w:line="360" w:lineRule="auto"/>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69B78FEC">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14:paraId="0A92E6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特此证明。</w:t>
      </w:r>
    </w:p>
    <w:p w14:paraId="0B566EDB">
      <w:pPr>
        <w:spacing w:line="360" w:lineRule="auto"/>
        <w:rPr>
          <w:rFonts w:hint="eastAsia" w:ascii="宋体" w:hAnsi="宋体" w:eastAsia="宋体" w:cs="宋体"/>
          <w:color w:val="auto"/>
          <w:sz w:val="24"/>
        </w:rPr>
      </w:pPr>
    </w:p>
    <w:p w14:paraId="52CF7B1A">
      <w:pPr>
        <w:pStyle w:val="3"/>
        <w:ind w:firstLine="240"/>
        <w:rPr>
          <w:rFonts w:hint="eastAsia" w:ascii="宋体" w:hAnsi="宋体" w:eastAsia="宋体" w:cs="宋体"/>
          <w:color w:val="auto"/>
          <w:sz w:val="24"/>
        </w:rPr>
      </w:pPr>
    </w:p>
    <w:p w14:paraId="165A736B">
      <w:pPr>
        <w:pStyle w:val="15"/>
        <w:rPr>
          <w:rFonts w:hint="eastAsia" w:ascii="宋体" w:hAnsi="宋体" w:eastAsia="宋体" w:cs="宋体"/>
          <w:color w:val="auto"/>
        </w:rPr>
      </w:pPr>
    </w:p>
    <w:p w14:paraId="7EE0750B">
      <w:pPr>
        <w:spacing w:line="360" w:lineRule="auto"/>
        <w:rPr>
          <w:rFonts w:hint="eastAsia" w:ascii="宋体" w:hAnsi="宋体" w:eastAsia="宋体" w:cs="宋体"/>
          <w:color w:val="auto"/>
          <w:sz w:val="24"/>
        </w:rPr>
      </w:pPr>
    </w:p>
    <w:p w14:paraId="053296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39F2983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4D8CDA3A">
      <w:pPr>
        <w:spacing w:line="360" w:lineRule="auto"/>
        <w:rPr>
          <w:rFonts w:hint="eastAsia" w:ascii="宋体" w:hAnsi="宋体" w:eastAsia="宋体" w:cs="宋体"/>
          <w:color w:val="auto"/>
          <w:sz w:val="24"/>
        </w:rPr>
      </w:pPr>
    </w:p>
    <w:p w14:paraId="75EBEF4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附：法定代表人身份证复印件</w:t>
      </w:r>
    </w:p>
    <w:p w14:paraId="4FCFBDE7">
      <w:pPr>
        <w:spacing w:line="360" w:lineRule="auto"/>
        <w:jc w:val="left"/>
        <w:rPr>
          <w:rFonts w:hint="eastAsia" w:ascii="宋体" w:hAnsi="宋体" w:eastAsia="宋体" w:cs="宋体"/>
          <w:color w:val="auto"/>
          <w:sz w:val="24"/>
        </w:rPr>
      </w:pPr>
    </w:p>
    <w:p w14:paraId="1DA2EE47">
      <w:pPr>
        <w:pStyle w:val="3"/>
        <w:ind w:firstLine="240"/>
        <w:rPr>
          <w:rFonts w:hint="eastAsia" w:ascii="宋体" w:hAnsi="宋体" w:eastAsia="宋体" w:cs="宋体"/>
          <w:color w:val="auto"/>
          <w:sz w:val="24"/>
        </w:rPr>
      </w:pPr>
    </w:p>
    <w:p w14:paraId="073F677C">
      <w:pPr>
        <w:pStyle w:val="15"/>
        <w:ind w:firstLine="480"/>
        <w:rPr>
          <w:rFonts w:hint="eastAsia" w:ascii="宋体" w:hAnsi="宋体" w:eastAsia="宋体" w:cs="宋体"/>
          <w:color w:val="auto"/>
          <w:sz w:val="24"/>
        </w:rPr>
      </w:pPr>
    </w:p>
    <w:p w14:paraId="5F739576">
      <w:pPr>
        <w:rPr>
          <w:rFonts w:hint="eastAsia" w:ascii="宋体" w:hAnsi="宋体" w:eastAsia="宋体" w:cs="宋体"/>
          <w:color w:val="auto"/>
          <w:sz w:val="24"/>
        </w:rPr>
      </w:pPr>
    </w:p>
    <w:p w14:paraId="52386551">
      <w:pPr>
        <w:pStyle w:val="3"/>
        <w:ind w:firstLine="240"/>
        <w:rPr>
          <w:rFonts w:hint="eastAsia" w:ascii="宋体" w:hAnsi="宋体" w:eastAsia="宋体" w:cs="宋体"/>
          <w:color w:val="auto"/>
          <w:sz w:val="24"/>
        </w:rPr>
      </w:pPr>
    </w:p>
    <w:p w14:paraId="6516E118">
      <w:pPr>
        <w:pStyle w:val="15"/>
        <w:ind w:firstLine="480"/>
        <w:rPr>
          <w:rFonts w:hint="eastAsia" w:ascii="宋体" w:hAnsi="宋体" w:eastAsia="宋体" w:cs="宋体"/>
          <w:color w:val="auto"/>
          <w:sz w:val="24"/>
        </w:rPr>
      </w:pPr>
    </w:p>
    <w:p w14:paraId="44E79066">
      <w:pPr>
        <w:rPr>
          <w:rFonts w:hint="eastAsia" w:ascii="宋体" w:hAnsi="宋体" w:eastAsia="宋体" w:cs="宋体"/>
          <w:color w:val="auto"/>
          <w:sz w:val="24"/>
        </w:rPr>
      </w:pPr>
    </w:p>
    <w:p w14:paraId="1046FB26">
      <w:pPr>
        <w:pStyle w:val="3"/>
        <w:ind w:firstLine="240"/>
        <w:rPr>
          <w:rFonts w:hint="eastAsia" w:ascii="宋体" w:hAnsi="宋体" w:eastAsia="宋体" w:cs="宋体"/>
          <w:color w:val="auto"/>
          <w:sz w:val="24"/>
        </w:rPr>
      </w:pPr>
    </w:p>
    <w:p w14:paraId="76223DB3">
      <w:pPr>
        <w:pStyle w:val="15"/>
        <w:ind w:firstLine="480"/>
        <w:rPr>
          <w:rFonts w:hint="eastAsia" w:ascii="宋体" w:hAnsi="宋体" w:eastAsia="宋体" w:cs="宋体"/>
          <w:color w:val="auto"/>
          <w:sz w:val="24"/>
        </w:rPr>
      </w:pPr>
    </w:p>
    <w:p w14:paraId="1BAE15A4">
      <w:pPr>
        <w:pStyle w:val="5"/>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HYPERLINK \l "_Toc14910"</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授权</w:t>
      </w:r>
      <w:r>
        <w:rPr>
          <w:rFonts w:hint="eastAsia" w:ascii="宋体" w:hAnsi="宋体" w:eastAsia="宋体" w:cs="宋体"/>
          <w:b/>
          <w:bCs/>
          <w:color w:val="auto"/>
          <w:sz w:val="28"/>
          <w:szCs w:val="28"/>
          <w:lang w:val="en-US" w:eastAsia="zh-CN"/>
        </w:rPr>
        <w:t>委托</w:t>
      </w:r>
      <w:r>
        <w:rPr>
          <w:rFonts w:hint="eastAsia" w:ascii="宋体" w:hAnsi="宋体" w:eastAsia="宋体" w:cs="宋体"/>
          <w:b/>
          <w:bCs/>
          <w:color w:val="auto"/>
          <w:sz w:val="28"/>
          <w:szCs w:val="28"/>
        </w:rPr>
        <w:t>书</w:t>
      </w:r>
      <w:r>
        <w:rPr>
          <w:rFonts w:hint="eastAsia" w:ascii="宋体" w:hAnsi="宋体" w:eastAsia="宋体" w:cs="宋体"/>
          <w:b/>
          <w:bCs/>
          <w:color w:val="auto"/>
          <w:sz w:val="28"/>
          <w:szCs w:val="28"/>
        </w:rPr>
        <w:fldChar w:fldCharType="end"/>
      </w:r>
    </w:p>
    <w:p w14:paraId="0447D16F">
      <w:pPr>
        <w:spacing w:line="360" w:lineRule="auto"/>
        <w:rPr>
          <w:rFonts w:hint="eastAsia" w:ascii="宋体" w:hAnsi="宋体" w:eastAsia="宋体" w:cs="宋体"/>
          <w:color w:val="auto"/>
          <w:sz w:val="24"/>
        </w:rPr>
      </w:pPr>
    </w:p>
    <w:p w14:paraId="298E3BFF">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本人 </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名称）的法定代表人，现委托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（姓名）为我方代理人。代理人根据授权，以我方名义签署、澄清、说明、补正、递交、撤回、修改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包 投标</w:t>
      </w:r>
      <w:r>
        <w:rPr>
          <w:rFonts w:hint="eastAsia" w:ascii="宋体" w:hAnsi="宋体" w:eastAsia="宋体" w:cs="宋体"/>
          <w:color w:val="auto"/>
          <w:sz w:val="24"/>
        </w:rPr>
        <w:t>文件、签订合同和处理有关事宜，其法律后果由我方承担。</w:t>
      </w:r>
    </w:p>
    <w:p w14:paraId="244B06EB">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08886CE">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w:t>
      </w:r>
    </w:p>
    <w:p w14:paraId="19E143B2">
      <w:pPr>
        <w:autoSpaceDE w:val="0"/>
        <w:autoSpaceDN w:val="0"/>
        <w:adjustRightInd w:val="0"/>
        <w:spacing w:line="360" w:lineRule="auto"/>
        <w:ind w:firstLine="480" w:firstLineChars="200"/>
        <w:rPr>
          <w:rFonts w:hint="eastAsia" w:ascii="宋体" w:hAnsi="宋体" w:eastAsia="宋体" w:cs="宋体"/>
          <w:color w:val="auto"/>
          <w:sz w:val="22"/>
          <w:szCs w:val="22"/>
        </w:rPr>
      </w:pPr>
      <w:r>
        <w:rPr>
          <w:rFonts w:hint="eastAsia" w:ascii="宋体" w:hAnsi="宋体" w:eastAsia="宋体" w:cs="宋体"/>
          <w:color w:val="auto"/>
          <w:sz w:val="24"/>
        </w:rPr>
        <w:t>附：法定代表人身份证复印件及代理人身份证复印件</w:t>
      </w:r>
    </w:p>
    <w:p w14:paraId="37A6520E">
      <w:pPr>
        <w:pStyle w:val="30"/>
        <w:rPr>
          <w:rFonts w:hint="eastAsia" w:ascii="宋体" w:hAnsi="宋体" w:eastAsia="宋体" w:cs="宋体"/>
          <w:color w:val="auto"/>
          <w:sz w:val="24"/>
        </w:rPr>
      </w:pPr>
    </w:p>
    <w:p w14:paraId="496A5B6F">
      <w:pPr>
        <w:pStyle w:val="30"/>
        <w:rPr>
          <w:rFonts w:hint="eastAsia" w:ascii="宋体" w:hAnsi="宋体" w:eastAsia="宋体" w:cs="宋体"/>
          <w:color w:val="auto"/>
          <w:sz w:val="24"/>
        </w:rPr>
      </w:pPr>
    </w:p>
    <w:p w14:paraId="3E0B6786">
      <w:pPr>
        <w:pStyle w:val="30"/>
        <w:rPr>
          <w:rFonts w:hint="eastAsia" w:ascii="宋体" w:hAnsi="宋体" w:eastAsia="宋体" w:cs="宋体"/>
          <w:color w:val="auto"/>
          <w:sz w:val="24"/>
        </w:rPr>
      </w:pPr>
    </w:p>
    <w:p w14:paraId="303FB4AE">
      <w:pPr>
        <w:pStyle w:val="30"/>
        <w:rPr>
          <w:rFonts w:hint="eastAsia" w:ascii="宋体" w:hAnsi="宋体" w:eastAsia="宋体" w:cs="宋体"/>
          <w:color w:val="auto"/>
          <w:sz w:val="24"/>
        </w:rPr>
      </w:pPr>
    </w:p>
    <w:p w14:paraId="1555DFCE">
      <w:pPr>
        <w:pStyle w:val="30"/>
        <w:rPr>
          <w:rFonts w:hint="eastAsia" w:ascii="宋体" w:hAnsi="宋体" w:eastAsia="宋体" w:cs="宋体"/>
          <w:color w:val="auto"/>
          <w:sz w:val="24"/>
        </w:rPr>
      </w:pPr>
    </w:p>
    <w:p w14:paraId="0EA5F6F5">
      <w:pPr>
        <w:pStyle w:val="30"/>
        <w:rPr>
          <w:rFonts w:hint="eastAsia" w:ascii="宋体" w:hAnsi="宋体" w:eastAsia="宋体" w:cs="宋体"/>
          <w:color w:val="auto"/>
          <w:sz w:val="24"/>
        </w:rPr>
      </w:pPr>
    </w:p>
    <w:p w14:paraId="2A4A1F67">
      <w:pPr>
        <w:pStyle w:val="30"/>
        <w:rPr>
          <w:rFonts w:hint="eastAsia" w:ascii="宋体" w:hAnsi="宋体" w:eastAsia="宋体" w:cs="宋体"/>
          <w:color w:val="auto"/>
          <w:sz w:val="24"/>
        </w:rPr>
      </w:pPr>
    </w:p>
    <w:p w14:paraId="3D0F6DB1">
      <w:pPr>
        <w:pStyle w:val="30"/>
        <w:rPr>
          <w:rFonts w:hint="eastAsia" w:ascii="宋体" w:hAnsi="宋体" w:eastAsia="宋体" w:cs="宋体"/>
          <w:color w:val="auto"/>
          <w:sz w:val="24"/>
        </w:rPr>
      </w:pPr>
    </w:p>
    <w:p w14:paraId="1858ACB0">
      <w:pPr>
        <w:pStyle w:val="30"/>
        <w:rPr>
          <w:rFonts w:hint="eastAsia" w:ascii="宋体" w:hAnsi="宋体" w:eastAsia="宋体" w:cs="宋体"/>
          <w:color w:val="auto"/>
          <w:sz w:val="24"/>
        </w:rPr>
      </w:pPr>
    </w:p>
    <w:p w14:paraId="36F030ED">
      <w:pPr>
        <w:pStyle w:val="30"/>
        <w:rPr>
          <w:rFonts w:hint="eastAsia" w:ascii="宋体" w:hAnsi="宋体" w:eastAsia="宋体" w:cs="宋体"/>
          <w:color w:val="auto"/>
          <w:sz w:val="24"/>
        </w:rPr>
      </w:pPr>
    </w:p>
    <w:p w14:paraId="6B5EAB52">
      <w:pPr>
        <w:pStyle w:val="30"/>
        <w:rPr>
          <w:rFonts w:hint="eastAsia" w:ascii="宋体" w:hAnsi="宋体" w:eastAsia="宋体" w:cs="宋体"/>
          <w:color w:val="auto"/>
          <w:sz w:val="24"/>
        </w:rPr>
      </w:pPr>
    </w:p>
    <w:p w14:paraId="02B76424">
      <w:pPr>
        <w:pStyle w:val="30"/>
        <w:rPr>
          <w:rFonts w:hint="eastAsia" w:ascii="宋体" w:hAnsi="宋体" w:eastAsia="宋体" w:cs="宋体"/>
          <w:color w:val="auto"/>
          <w:sz w:val="24"/>
        </w:rPr>
      </w:pPr>
    </w:p>
    <w:p w14:paraId="5A7D4181">
      <w:pPr>
        <w:pStyle w:val="30"/>
        <w:rPr>
          <w:rFonts w:hint="eastAsia" w:ascii="宋体" w:hAnsi="宋体" w:eastAsia="宋体" w:cs="宋体"/>
          <w:color w:val="auto"/>
          <w:sz w:val="24"/>
        </w:rPr>
      </w:pPr>
    </w:p>
    <w:p w14:paraId="1574713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供  应  商：</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1181012">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65D10D9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BABF338">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4AB929AE">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FB6130B">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4E97CF2">
      <w:pPr>
        <w:spacing w:line="360" w:lineRule="auto"/>
        <w:ind w:firstLine="720" w:firstLineChars="300"/>
        <w:rPr>
          <w:rFonts w:hint="eastAsia" w:ascii="宋体" w:hAnsi="宋体" w:eastAsia="宋体" w:cs="宋体"/>
          <w:color w:val="auto"/>
          <w:sz w:val="24"/>
        </w:rPr>
      </w:pPr>
    </w:p>
    <w:p w14:paraId="42E0BA58">
      <w:pPr>
        <w:widowControl/>
        <w:adjustRightInd w:val="0"/>
        <w:spacing w:line="360" w:lineRule="auto"/>
        <w:jc w:val="left"/>
        <w:rPr>
          <w:rFonts w:hint="eastAsia" w:ascii="宋体" w:hAnsi="宋体" w:eastAsia="宋体" w:cs="宋体"/>
          <w:b/>
          <w:bCs/>
          <w:color w:val="auto"/>
          <w:kern w:val="0"/>
          <w:sz w:val="24"/>
          <w:highlight w:val="none"/>
        </w:rPr>
      </w:pPr>
      <w:bookmarkStart w:id="168" w:name="_Toc10140"/>
      <w:bookmarkStart w:id="169" w:name="_Toc525062116"/>
      <w:r>
        <w:rPr>
          <w:rFonts w:hint="eastAsia" w:ascii="宋体" w:hAnsi="宋体" w:eastAsia="宋体" w:cs="宋体"/>
          <w:b/>
          <w:bCs/>
          <w:color w:val="auto"/>
          <w:kern w:val="0"/>
          <w:sz w:val="24"/>
          <w:highlight w:val="none"/>
        </w:rPr>
        <w:t>注：因投标文件中授权委托书授权代理人无法手写签字，可以以印刷体代替（印刷体为电脑打出的字体）或者法定代表人电子签章代替。</w:t>
      </w:r>
    </w:p>
    <w:p w14:paraId="4CDE9E98">
      <w:pPr>
        <w:pStyle w:val="5"/>
        <w:bidi w:val="0"/>
        <w:jc w:val="center"/>
        <w:rPr>
          <w:rFonts w:hint="eastAsia" w:ascii="宋体" w:hAnsi="宋体" w:eastAsia="宋体" w:cs="宋体"/>
          <w:color w:val="auto"/>
          <w:sz w:val="28"/>
          <w:szCs w:val="28"/>
        </w:rPr>
      </w:pPr>
      <w:r>
        <w:rPr>
          <w:rFonts w:hint="eastAsia" w:ascii="宋体" w:hAnsi="宋体" w:eastAsia="宋体" w:cs="宋体"/>
          <w:b w:val="0"/>
          <w:bCs w:val="0"/>
          <w:color w:val="auto"/>
          <w:sz w:val="24"/>
          <w:szCs w:val="24"/>
        </w:rPr>
        <w:br w:type="page"/>
      </w:r>
      <w:bookmarkEnd w:id="168"/>
      <w:bookmarkEnd w:id="169"/>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报价明细表</w:t>
      </w:r>
    </w:p>
    <w:p w14:paraId="6535349C">
      <w:pPr>
        <w:pStyle w:val="5"/>
        <w:spacing w:line="400" w:lineRule="exact"/>
        <w:outlineLvl w:val="9"/>
        <w:rPr>
          <w:rFonts w:hint="eastAsia" w:ascii="宋体" w:hAnsi="宋体" w:eastAsia="宋体" w:cs="宋体"/>
          <w:color w:val="auto"/>
          <w:sz w:val="28"/>
          <w:szCs w:val="28"/>
        </w:rPr>
      </w:pPr>
    </w:p>
    <w:p w14:paraId="707DC64A">
      <w:pPr>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金额单位：人民币元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58"/>
        <w:gridCol w:w="883"/>
        <w:gridCol w:w="898"/>
        <w:gridCol w:w="858"/>
        <w:gridCol w:w="922"/>
        <w:gridCol w:w="890"/>
        <w:gridCol w:w="1431"/>
        <w:gridCol w:w="887"/>
      </w:tblGrid>
      <w:tr w14:paraId="0F90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AFBCE7B">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2D7452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产品名称</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0EC14B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B1098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0DDBC0E">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EED82A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613D692">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E0BF5F">
            <w:pPr>
              <w:snapToGrid w:val="0"/>
              <w:spacing w:line="4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总价</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100EDC">
            <w:pPr>
              <w:snapToGrid w:val="0"/>
              <w:spacing w:line="40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016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DCEB35">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86E631D">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F031DAA">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610946">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369B8CCA">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2D4FAA2F">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B4CD964">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F3405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B85262">
            <w:pPr>
              <w:snapToGrid w:val="0"/>
              <w:spacing w:line="400" w:lineRule="exact"/>
              <w:jc w:val="center"/>
              <w:rPr>
                <w:rFonts w:hint="eastAsia" w:ascii="宋体" w:hAnsi="宋体" w:eastAsia="宋体" w:cs="宋体"/>
                <w:color w:val="auto"/>
                <w:sz w:val="24"/>
              </w:rPr>
            </w:pPr>
          </w:p>
        </w:tc>
      </w:tr>
      <w:tr w14:paraId="350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54B2E9A">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223858B">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C3627D6">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E1AC83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0283BBD">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28E0CC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031A1D1">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9B133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D00B2A">
            <w:pPr>
              <w:snapToGrid w:val="0"/>
              <w:spacing w:line="400" w:lineRule="exact"/>
              <w:jc w:val="center"/>
              <w:rPr>
                <w:rFonts w:hint="eastAsia" w:ascii="宋体" w:hAnsi="宋体" w:eastAsia="宋体" w:cs="宋体"/>
                <w:color w:val="auto"/>
                <w:sz w:val="24"/>
              </w:rPr>
            </w:pPr>
          </w:p>
        </w:tc>
      </w:tr>
      <w:tr w14:paraId="01D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F9C97AE">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8FF34A6">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B83BE4D">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12BDDB2F">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09A7EF9C">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3B344F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5ED06056">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9FBC1BA">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A43DCA">
            <w:pPr>
              <w:snapToGrid w:val="0"/>
              <w:spacing w:line="400" w:lineRule="exact"/>
              <w:jc w:val="center"/>
              <w:rPr>
                <w:rFonts w:hint="eastAsia" w:ascii="宋体" w:hAnsi="宋体" w:eastAsia="宋体" w:cs="宋体"/>
                <w:color w:val="auto"/>
                <w:sz w:val="24"/>
              </w:rPr>
            </w:pPr>
          </w:p>
        </w:tc>
      </w:tr>
      <w:tr w14:paraId="531E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A442B5F">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508554A">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7C18F4F">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79241E9">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40A6A9A3">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AD45D70">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45FB2C">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5C67B7">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6F891CD">
            <w:pPr>
              <w:snapToGrid w:val="0"/>
              <w:spacing w:line="400" w:lineRule="exact"/>
              <w:jc w:val="center"/>
              <w:rPr>
                <w:rFonts w:hint="eastAsia" w:ascii="宋体" w:hAnsi="宋体" w:eastAsia="宋体" w:cs="宋体"/>
                <w:color w:val="auto"/>
                <w:sz w:val="24"/>
              </w:rPr>
            </w:pPr>
          </w:p>
        </w:tc>
      </w:tr>
      <w:tr w14:paraId="20D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28F8056">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6EB9F1C">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A080D59">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E8BA97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097255">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66A9C1DC">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B5DDEE">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9DFED5D">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05457A">
            <w:pPr>
              <w:snapToGrid w:val="0"/>
              <w:spacing w:line="400" w:lineRule="exact"/>
              <w:jc w:val="center"/>
              <w:rPr>
                <w:rFonts w:hint="eastAsia" w:ascii="宋体" w:hAnsi="宋体" w:eastAsia="宋体" w:cs="宋体"/>
                <w:color w:val="auto"/>
                <w:sz w:val="24"/>
              </w:rPr>
            </w:pPr>
          </w:p>
        </w:tc>
      </w:tr>
      <w:tr w14:paraId="566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051" w:type="dxa"/>
            <w:gridSpan w:val="9"/>
            <w:tcBorders>
              <w:top w:val="single" w:color="auto" w:sz="4" w:space="0"/>
              <w:left w:val="single" w:color="auto" w:sz="4" w:space="0"/>
              <w:bottom w:val="single" w:color="auto" w:sz="4" w:space="0"/>
              <w:right w:val="single" w:color="auto" w:sz="4" w:space="0"/>
            </w:tcBorders>
            <w:noWrap w:val="0"/>
            <w:vAlign w:val="center"/>
          </w:tcPr>
          <w:p w14:paraId="390F6541">
            <w:pPr>
              <w:tabs>
                <w:tab w:val="left" w:pos="6041"/>
              </w:tabs>
              <w:snapToGrid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总价： </w:t>
            </w:r>
          </w:p>
        </w:tc>
      </w:tr>
    </w:tbl>
    <w:p w14:paraId="3A4D14F7">
      <w:pPr>
        <w:spacing w:line="480" w:lineRule="exact"/>
        <w:rPr>
          <w:rFonts w:hint="eastAsia" w:ascii="宋体" w:hAnsi="宋体" w:cs="宋体"/>
          <w:sz w:val="24"/>
          <w:szCs w:val="20"/>
          <w:lang w:eastAsia="zh-CN"/>
        </w:rPr>
      </w:pPr>
      <w:r>
        <w:rPr>
          <w:rFonts w:hint="eastAsia" w:ascii="宋体" w:hAnsi="宋体" w:cs="宋体"/>
          <w:sz w:val="24"/>
          <w:szCs w:val="20"/>
        </w:rPr>
        <w:t>注：</w:t>
      </w:r>
      <w:r>
        <w:rPr>
          <w:rFonts w:hint="eastAsia" w:ascii="宋体" w:hAnsi="宋体" w:cs="宋体"/>
          <w:sz w:val="24"/>
          <w:szCs w:val="20"/>
          <w:lang w:val="en-US" w:eastAsia="zh-CN"/>
        </w:rPr>
        <w:t>1、</w:t>
      </w:r>
      <w:r>
        <w:rPr>
          <w:rFonts w:hint="eastAsia" w:ascii="宋体" w:hAnsi="宋体" w:cs="宋体"/>
          <w:sz w:val="24"/>
          <w:szCs w:val="20"/>
        </w:rPr>
        <w:t>供应商根据需要可在本表中自行增加更为详细的产品说明（图片）及报价说明</w:t>
      </w:r>
      <w:r>
        <w:rPr>
          <w:rFonts w:hint="eastAsia" w:ascii="宋体" w:hAnsi="宋体" w:cs="宋体"/>
          <w:sz w:val="24"/>
          <w:szCs w:val="20"/>
          <w:lang w:eastAsia="zh-CN"/>
        </w:rPr>
        <w:t>；</w:t>
      </w:r>
    </w:p>
    <w:p w14:paraId="7541D5F7">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2、成套设备包含多种品牌型号产品的，以核心或主要设备填写产品品牌；</w:t>
      </w:r>
    </w:p>
    <w:p w14:paraId="157D41B0">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3、低值易耗品或辅材可以不报品牌。</w:t>
      </w:r>
    </w:p>
    <w:p w14:paraId="16438D10">
      <w:pPr>
        <w:numPr>
          <w:ilvl w:val="0"/>
          <w:numId w:val="0"/>
        </w:numPr>
        <w:spacing w:line="480" w:lineRule="exact"/>
        <w:ind w:leftChars="0"/>
        <w:rPr>
          <w:rFonts w:hint="default" w:ascii="宋体" w:hAnsi="宋体" w:cs="宋体"/>
          <w:sz w:val="24"/>
          <w:szCs w:val="20"/>
          <w:lang w:val="en-US" w:eastAsia="zh-CN"/>
        </w:rPr>
      </w:pPr>
      <w:r>
        <w:rPr>
          <w:rFonts w:hint="eastAsia" w:ascii="宋体" w:hAnsi="宋体" w:cs="宋体"/>
          <w:sz w:val="24"/>
          <w:szCs w:val="20"/>
          <w:lang w:val="en-US" w:eastAsia="zh-CN"/>
        </w:rPr>
        <w:t>4、此表格若不够用，可根据实际自行扩展表格。</w:t>
      </w:r>
    </w:p>
    <w:p w14:paraId="58C08385">
      <w:pPr>
        <w:spacing w:line="360" w:lineRule="auto"/>
        <w:ind w:firstLine="480"/>
        <w:rPr>
          <w:rFonts w:hint="eastAsia" w:ascii="宋体" w:hAnsi="宋体" w:eastAsia="宋体" w:cs="宋体"/>
          <w:color w:val="auto"/>
          <w:sz w:val="24"/>
        </w:rPr>
      </w:pPr>
    </w:p>
    <w:p w14:paraId="184F6498">
      <w:pPr>
        <w:spacing w:line="360" w:lineRule="auto"/>
        <w:ind w:firstLine="480"/>
        <w:rPr>
          <w:rFonts w:hint="eastAsia" w:ascii="宋体" w:hAnsi="宋体" w:eastAsia="宋体" w:cs="宋体"/>
          <w:color w:val="auto"/>
          <w:sz w:val="24"/>
        </w:rPr>
      </w:pPr>
    </w:p>
    <w:p w14:paraId="73915485">
      <w:pPr>
        <w:spacing w:line="360" w:lineRule="auto"/>
        <w:rPr>
          <w:rFonts w:hint="eastAsia" w:ascii="宋体" w:hAnsi="宋体" w:eastAsia="宋体" w:cs="宋体"/>
          <w:color w:val="auto"/>
          <w:sz w:val="24"/>
        </w:rPr>
      </w:pPr>
    </w:p>
    <w:p w14:paraId="702E7CE3">
      <w:pPr>
        <w:spacing w:line="360" w:lineRule="auto"/>
        <w:ind w:firstLine="480"/>
        <w:rPr>
          <w:rFonts w:hint="eastAsia" w:ascii="宋体" w:hAnsi="宋体" w:eastAsia="宋体" w:cs="宋体"/>
          <w:color w:val="auto"/>
          <w:sz w:val="24"/>
        </w:rPr>
      </w:pPr>
    </w:p>
    <w:p w14:paraId="5F73A904">
      <w:pPr>
        <w:spacing w:line="360" w:lineRule="auto"/>
        <w:jc w:val="left"/>
        <w:rPr>
          <w:rFonts w:hint="eastAsia" w:ascii="宋体" w:hAnsi="宋体" w:eastAsia="宋体" w:cs="宋体"/>
          <w:color w:val="auto"/>
          <w:sz w:val="24"/>
        </w:rPr>
      </w:pPr>
      <w:bookmarkStart w:id="170" w:name="_Toc525062117"/>
      <w:bookmarkStart w:id="171" w:name="_Toc10843"/>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C0032E3">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35F27AC9">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F70F3C3">
      <w:pPr>
        <w:pStyle w:val="5"/>
        <w:bidi w:val="0"/>
        <w:jc w:val="center"/>
        <w:rPr>
          <w:rStyle w:val="35"/>
          <w:rFonts w:hint="eastAsia" w:ascii="宋体" w:hAnsi="宋体" w:eastAsia="宋体" w:cs="宋体"/>
          <w:bCs/>
          <w:color w:val="auto"/>
          <w:kern w:val="0"/>
          <w:sz w:val="24"/>
        </w:rPr>
      </w:pPr>
      <w:r>
        <w:rPr>
          <w:rFonts w:hint="eastAsia" w:ascii="宋体" w:hAnsi="宋体" w:eastAsia="宋体" w:cs="宋体"/>
          <w:b w:val="0"/>
          <w:color w:val="auto"/>
          <w:kern w:val="2"/>
          <w:sz w:val="24"/>
          <w:szCs w:val="24"/>
        </w:rPr>
        <w:br w:type="page"/>
      </w:r>
      <w:r>
        <w:rPr>
          <w:rFonts w:hint="eastAsia" w:ascii="宋体" w:hAnsi="宋体" w:eastAsia="宋体" w:cs="宋体"/>
          <w:b/>
          <w:bCs/>
          <w:color w:val="auto"/>
          <w:kern w:val="2"/>
          <w:sz w:val="28"/>
          <w:szCs w:val="28"/>
          <w:lang w:val="en-US" w:eastAsia="zh-CN" w:bidi="ar-SA"/>
        </w:rPr>
        <w:t>五、技术规格偏离表</w:t>
      </w:r>
    </w:p>
    <w:tbl>
      <w:tblPr>
        <w:tblStyle w:val="1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9"/>
        <w:gridCol w:w="2250"/>
        <w:gridCol w:w="1732"/>
        <w:gridCol w:w="1750"/>
        <w:gridCol w:w="801"/>
      </w:tblGrid>
      <w:tr w14:paraId="6413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5D186D">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序号</w:t>
            </w:r>
          </w:p>
        </w:tc>
        <w:tc>
          <w:tcPr>
            <w:tcW w:w="1829" w:type="dxa"/>
            <w:tcBorders>
              <w:top w:val="single" w:color="000000" w:sz="4" w:space="0"/>
              <w:left w:val="nil"/>
              <w:bottom w:val="single" w:color="000000" w:sz="4" w:space="0"/>
              <w:right w:val="single" w:color="000000" w:sz="4" w:space="0"/>
            </w:tcBorders>
            <w:noWrap w:val="0"/>
            <w:vAlign w:val="center"/>
          </w:tcPr>
          <w:p w14:paraId="5FE6333E">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货物名称</w:t>
            </w:r>
          </w:p>
        </w:tc>
        <w:tc>
          <w:tcPr>
            <w:tcW w:w="2250" w:type="dxa"/>
            <w:tcBorders>
              <w:top w:val="single" w:color="000000" w:sz="4" w:space="0"/>
              <w:left w:val="nil"/>
              <w:bottom w:val="single" w:color="000000" w:sz="4" w:space="0"/>
              <w:right w:val="single" w:color="000000" w:sz="4" w:space="0"/>
            </w:tcBorders>
            <w:noWrap w:val="0"/>
            <w:vAlign w:val="center"/>
          </w:tcPr>
          <w:p w14:paraId="3C3FED97">
            <w:pPr>
              <w:snapToGrid w:val="0"/>
              <w:spacing w:line="480" w:lineRule="exact"/>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招标文件要求规格或参数</w:t>
            </w:r>
          </w:p>
        </w:tc>
        <w:tc>
          <w:tcPr>
            <w:tcW w:w="1732" w:type="dxa"/>
            <w:tcBorders>
              <w:top w:val="single" w:color="000000" w:sz="4" w:space="0"/>
              <w:left w:val="nil"/>
              <w:bottom w:val="single" w:color="000000" w:sz="4" w:space="0"/>
              <w:right w:val="single" w:color="000000" w:sz="4" w:space="0"/>
            </w:tcBorders>
            <w:noWrap w:val="0"/>
            <w:vAlign w:val="center"/>
          </w:tcPr>
          <w:p w14:paraId="6AB6C002">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响应货物规格或参数</w:t>
            </w:r>
          </w:p>
        </w:tc>
        <w:tc>
          <w:tcPr>
            <w:tcW w:w="1750" w:type="dxa"/>
            <w:tcBorders>
              <w:top w:val="single" w:color="000000" w:sz="4" w:space="0"/>
              <w:left w:val="nil"/>
              <w:bottom w:val="single" w:color="000000" w:sz="4" w:space="0"/>
              <w:right w:val="single" w:color="000000" w:sz="4" w:space="0"/>
            </w:tcBorders>
            <w:noWrap w:val="0"/>
            <w:vAlign w:val="center"/>
          </w:tcPr>
          <w:p w14:paraId="5665F818">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偏离</w:t>
            </w:r>
          </w:p>
          <w:p w14:paraId="20A19A1A">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(正/</w:t>
            </w:r>
            <w:r>
              <w:rPr>
                <w:rStyle w:val="35"/>
                <w:rFonts w:hint="eastAsia" w:ascii="宋体" w:hAnsi="宋体" w:eastAsia="宋体" w:cs="宋体"/>
                <w:color w:val="auto"/>
                <w:sz w:val="24"/>
                <w:lang w:val="en-US"/>
              </w:rPr>
              <w:t>无/</w:t>
            </w:r>
            <w:r>
              <w:rPr>
                <w:rStyle w:val="35"/>
                <w:rFonts w:hint="eastAsia" w:ascii="宋体" w:hAnsi="宋体" w:eastAsia="宋体" w:cs="宋体"/>
                <w:color w:val="auto"/>
                <w:sz w:val="24"/>
              </w:rPr>
              <w:t>负)</w:t>
            </w:r>
          </w:p>
        </w:tc>
        <w:tc>
          <w:tcPr>
            <w:tcW w:w="801" w:type="dxa"/>
            <w:tcBorders>
              <w:top w:val="single" w:color="000000" w:sz="4" w:space="0"/>
              <w:left w:val="nil"/>
              <w:bottom w:val="single" w:color="000000" w:sz="4" w:space="0"/>
              <w:right w:val="single" w:color="000000" w:sz="4" w:space="0"/>
            </w:tcBorders>
            <w:noWrap w:val="0"/>
            <w:vAlign w:val="center"/>
          </w:tcPr>
          <w:p w14:paraId="0C1DC0C7">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说明</w:t>
            </w:r>
          </w:p>
        </w:tc>
      </w:tr>
      <w:tr w14:paraId="0220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57628CA">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1</w:t>
            </w:r>
          </w:p>
        </w:tc>
        <w:tc>
          <w:tcPr>
            <w:tcW w:w="1829" w:type="dxa"/>
            <w:tcBorders>
              <w:top w:val="single" w:color="000000" w:sz="4" w:space="0"/>
              <w:left w:val="nil"/>
              <w:bottom w:val="single" w:color="000000" w:sz="4" w:space="0"/>
              <w:right w:val="single" w:color="000000" w:sz="4" w:space="0"/>
            </w:tcBorders>
            <w:noWrap w:val="0"/>
            <w:vAlign w:val="center"/>
          </w:tcPr>
          <w:p w14:paraId="15CA3C56">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044A2A">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69F51DF3">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2CDA8DBB">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4B2BF34">
            <w:pPr>
              <w:snapToGrid w:val="0"/>
              <w:spacing w:line="480" w:lineRule="exact"/>
              <w:jc w:val="center"/>
              <w:textAlignment w:val="baseline"/>
              <w:rPr>
                <w:rStyle w:val="35"/>
                <w:rFonts w:hint="eastAsia" w:ascii="宋体" w:hAnsi="宋体" w:eastAsia="宋体" w:cs="宋体"/>
                <w:color w:val="auto"/>
                <w:sz w:val="24"/>
              </w:rPr>
            </w:pPr>
          </w:p>
        </w:tc>
      </w:tr>
      <w:tr w14:paraId="016B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912A3FE">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2</w:t>
            </w:r>
          </w:p>
        </w:tc>
        <w:tc>
          <w:tcPr>
            <w:tcW w:w="1829" w:type="dxa"/>
            <w:tcBorders>
              <w:top w:val="single" w:color="000000" w:sz="4" w:space="0"/>
              <w:left w:val="nil"/>
              <w:bottom w:val="single" w:color="000000" w:sz="4" w:space="0"/>
              <w:right w:val="single" w:color="000000" w:sz="4" w:space="0"/>
            </w:tcBorders>
            <w:noWrap w:val="0"/>
            <w:vAlign w:val="center"/>
          </w:tcPr>
          <w:p w14:paraId="192CA5CB">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1AC9B1">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4A9BA83E">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401527">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768D094">
            <w:pPr>
              <w:snapToGrid w:val="0"/>
              <w:spacing w:line="480" w:lineRule="exact"/>
              <w:jc w:val="center"/>
              <w:textAlignment w:val="baseline"/>
              <w:rPr>
                <w:rStyle w:val="35"/>
                <w:rFonts w:hint="eastAsia" w:ascii="宋体" w:hAnsi="宋体" w:eastAsia="宋体" w:cs="宋体"/>
                <w:color w:val="auto"/>
                <w:sz w:val="24"/>
              </w:rPr>
            </w:pPr>
          </w:p>
        </w:tc>
      </w:tr>
      <w:tr w14:paraId="42C5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BBB7AC">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3</w:t>
            </w:r>
          </w:p>
        </w:tc>
        <w:tc>
          <w:tcPr>
            <w:tcW w:w="1829" w:type="dxa"/>
            <w:tcBorders>
              <w:top w:val="single" w:color="000000" w:sz="4" w:space="0"/>
              <w:left w:val="nil"/>
              <w:bottom w:val="single" w:color="000000" w:sz="4" w:space="0"/>
              <w:right w:val="single" w:color="000000" w:sz="4" w:space="0"/>
            </w:tcBorders>
            <w:noWrap w:val="0"/>
            <w:vAlign w:val="center"/>
          </w:tcPr>
          <w:p w14:paraId="5831EDAD">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F73ECD">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9032467">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08C57D">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C71563A">
            <w:pPr>
              <w:snapToGrid w:val="0"/>
              <w:spacing w:line="480" w:lineRule="exact"/>
              <w:jc w:val="center"/>
              <w:textAlignment w:val="baseline"/>
              <w:rPr>
                <w:rStyle w:val="35"/>
                <w:rFonts w:hint="eastAsia" w:ascii="宋体" w:hAnsi="宋体" w:eastAsia="宋体" w:cs="宋体"/>
                <w:color w:val="auto"/>
                <w:sz w:val="24"/>
              </w:rPr>
            </w:pPr>
          </w:p>
        </w:tc>
      </w:tr>
      <w:tr w14:paraId="488B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1D891C">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w:t>
            </w:r>
          </w:p>
        </w:tc>
        <w:tc>
          <w:tcPr>
            <w:tcW w:w="1829" w:type="dxa"/>
            <w:tcBorders>
              <w:top w:val="single" w:color="000000" w:sz="4" w:space="0"/>
              <w:left w:val="nil"/>
              <w:bottom w:val="single" w:color="000000" w:sz="4" w:space="0"/>
              <w:right w:val="single" w:color="000000" w:sz="4" w:space="0"/>
            </w:tcBorders>
            <w:noWrap w:val="0"/>
            <w:vAlign w:val="center"/>
          </w:tcPr>
          <w:p w14:paraId="1C08C575">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7CB49ED1">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9A78269">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3B49FCF">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F62E6F">
            <w:pPr>
              <w:snapToGrid w:val="0"/>
              <w:spacing w:line="480" w:lineRule="exact"/>
              <w:jc w:val="center"/>
              <w:textAlignment w:val="baseline"/>
              <w:rPr>
                <w:rStyle w:val="35"/>
                <w:rFonts w:hint="eastAsia" w:ascii="宋体" w:hAnsi="宋体" w:eastAsia="宋体" w:cs="宋体"/>
                <w:color w:val="auto"/>
                <w:sz w:val="24"/>
              </w:rPr>
            </w:pPr>
          </w:p>
        </w:tc>
      </w:tr>
      <w:tr w14:paraId="4D37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C1A7B24">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F18444B">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25421372">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809B7C8">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A840B60">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DC8664D">
            <w:pPr>
              <w:snapToGrid w:val="0"/>
              <w:spacing w:line="480" w:lineRule="exact"/>
              <w:jc w:val="center"/>
              <w:textAlignment w:val="baseline"/>
              <w:rPr>
                <w:rStyle w:val="35"/>
                <w:rFonts w:hint="eastAsia" w:ascii="宋体" w:hAnsi="宋体" w:eastAsia="宋体" w:cs="宋体"/>
                <w:color w:val="auto"/>
                <w:sz w:val="24"/>
              </w:rPr>
            </w:pPr>
          </w:p>
        </w:tc>
      </w:tr>
      <w:tr w14:paraId="6F45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01381F7">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14EAFE9A">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6CBE485F">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1569469E">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7583838B">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796DAA9">
            <w:pPr>
              <w:snapToGrid w:val="0"/>
              <w:spacing w:line="480" w:lineRule="exact"/>
              <w:jc w:val="center"/>
              <w:textAlignment w:val="baseline"/>
              <w:rPr>
                <w:rStyle w:val="35"/>
                <w:rFonts w:hint="eastAsia" w:ascii="宋体" w:hAnsi="宋体" w:eastAsia="宋体" w:cs="宋体"/>
                <w:color w:val="auto"/>
                <w:sz w:val="24"/>
              </w:rPr>
            </w:pPr>
          </w:p>
        </w:tc>
      </w:tr>
      <w:tr w14:paraId="5EFC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22C8A1B">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693D5370">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72F915">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025FBF40">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0EFE7F6">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9FED93">
            <w:pPr>
              <w:snapToGrid w:val="0"/>
              <w:spacing w:line="480" w:lineRule="exact"/>
              <w:jc w:val="center"/>
              <w:textAlignment w:val="baseline"/>
              <w:rPr>
                <w:rStyle w:val="35"/>
                <w:rFonts w:hint="eastAsia" w:ascii="宋体" w:hAnsi="宋体" w:eastAsia="宋体" w:cs="宋体"/>
                <w:color w:val="auto"/>
                <w:sz w:val="24"/>
              </w:rPr>
            </w:pPr>
          </w:p>
        </w:tc>
      </w:tr>
      <w:tr w14:paraId="21F1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82B5A5">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B0CDB82">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52FCEE3">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5FC97C8A">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0991311">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2D1FDE7">
            <w:pPr>
              <w:snapToGrid w:val="0"/>
              <w:spacing w:line="480" w:lineRule="exact"/>
              <w:jc w:val="center"/>
              <w:textAlignment w:val="baseline"/>
              <w:rPr>
                <w:rStyle w:val="35"/>
                <w:rFonts w:hint="eastAsia" w:ascii="宋体" w:hAnsi="宋体" w:eastAsia="宋体" w:cs="宋体"/>
                <w:color w:val="auto"/>
                <w:sz w:val="24"/>
              </w:rPr>
            </w:pPr>
          </w:p>
        </w:tc>
      </w:tr>
      <w:tr w14:paraId="4FE0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E51DC4C">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71352D15">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3B22CBEE">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BB9FC4F">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133779BF">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47DB4A5">
            <w:pPr>
              <w:snapToGrid w:val="0"/>
              <w:spacing w:line="480" w:lineRule="exact"/>
              <w:jc w:val="center"/>
              <w:textAlignment w:val="baseline"/>
              <w:rPr>
                <w:rStyle w:val="35"/>
                <w:rFonts w:hint="eastAsia" w:ascii="宋体" w:hAnsi="宋体" w:eastAsia="宋体" w:cs="宋体"/>
                <w:color w:val="auto"/>
                <w:sz w:val="24"/>
              </w:rPr>
            </w:pPr>
          </w:p>
        </w:tc>
      </w:tr>
    </w:tbl>
    <w:p w14:paraId="6B50257C">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1C501D4C">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18310F18">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F79DB63">
      <w:pPr>
        <w:snapToGrid w:val="0"/>
        <w:spacing w:line="480" w:lineRule="exact"/>
        <w:textAlignment w:val="baseline"/>
        <w:rPr>
          <w:rFonts w:hint="eastAsia" w:ascii="宋体" w:hAnsi="宋体" w:eastAsia="宋体" w:cs="宋体"/>
          <w:color w:val="auto"/>
          <w:sz w:val="28"/>
          <w:szCs w:val="28"/>
        </w:rPr>
      </w:pPr>
      <w:r>
        <w:rPr>
          <w:rStyle w:val="35"/>
          <w:rFonts w:hint="eastAsia" w:ascii="宋体" w:hAnsi="宋体" w:eastAsia="宋体" w:cs="宋体"/>
          <w:color w:val="auto"/>
          <w:sz w:val="24"/>
        </w:rPr>
        <w:t>注：</w:t>
      </w:r>
      <w:r>
        <w:rPr>
          <w:rFonts w:hint="eastAsia" w:ascii="宋体" w:hAnsi="宋体" w:eastAsia="宋体" w:cs="宋体"/>
          <w:color w:val="auto"/>
          <w:sz w:val="24"/>
          <w:lang w:eastAsia="zh-CN"/>
        </w:rPr>
        <w:t>供应商</w:t>
      </w:r>
      <w:r>
        <w:rPr>
          <w:rStyle w:val="35"/>
          <w:rFonts w:hint="eastAsia" w:ascii="宋体" w:hAnsi="宋体" w:eastAsia="宋体" w:cs="宋体"/>
          <w:color w:val="auto"/>
          <w:sz w:val="24"/>
        </w:rPr>
        <w:t>应对照招标文件技术规格要求，反映所提供货物和服务对招标文件的技术规格要求的全部正/负</w:t>
      </w:r>
      <w:r>
        <w:rPr>
          <w:rStyle w:val="35"/>
          <w:rFonts w:hint="eastAsia" w:ascii="宋体" w:hAnsi="宋体" w:eastAsia="宋体" w:cs="宋体"/>
          <w:color w:val="auto"/>
          <w:sz w:val="24"/>
          <w:lang w:val="en-US"/>
        </w:rPr>
        <w:t>/无</w:t>
      </w:r>
      <w:r>
        <w:rPr>
          <w:rStyle w:val="35"/>
          <w:rFonts w:hint="eastAsia" w:ascii="宋体" w:hAnsi="宋体" w:eastAsia="宋体" w:cs="宋体"/>
          <w:color w:val="auto"/>
          <w:sz w:val="24"/>
        </w:rPr>
        <w:t>偏离（优于招标文件要求的为正偏离、低于招标文件要求得为负偏离）情况。未在本表中做出偏离说明的项目，视为与招标文件要求一致；在本表中做出偏离说明的项目，</w:t>
      </w:r>
      <w:r>
        <w:rPr>
          <w:rFonts w:hint="eastAsia" w:ascii="宋体" w:hAnsi="宋体" w:eastAsia="宋体" w:cs="宋体"/>
          <w:color w:val="auto"/>
          <w:sz w:val="24"/>
          <w:lang w:eastAsia="zh-CN"/>
        </w:rPr>
        <w:t>供应商</w:t>
      </w:r>
      <w:r>
        <w:rPr>
          <w:rStyle w:val="35"/>
          <w:rFonts w:hint="eastAsia" w:ascii="宋体" w:hAnsi="宋体" w:eastAsia="宋体" w:cs="宋体"/>
          <w:color w:val="auto"/>
          <w:sz w:val="24"/>
        </w:rPr>
        <w:t>必须提供所投设备的具体参数值，并在技术标中提供详细资料。</w:t>
      </w:r>
    </w:p>
    <w:p w14:paraId="3AF6908F">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实施方案及</w:t>
      </w:r>
      <w:r>
        <w:rPr>
          <w:rFonts w:hint="eastAsia" w:ascii="宋体" w:hAnsi="宋体" w:eastAsia="宋体" w:cs="宋体"/>
          <w:color w:val="auto"/>
          <w:sz w:val="28"/>
          <w:szCs w:val="28"/>
        </w:rPr>
        <w:t>服务承诺</w:t>
      </w:r>
    </w:p>
    <w:p w14:paraId="5B343EEA">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（格式自拟）</w:t>
      </w:r>
    </w:p>
    <w:p w14:paraId="0B245719">
      <w:pPr>
        <w:rPr>
          <w:rFonts w:hint="eastAsia" w:ascii="宋体" w:hAnsi="宋体" w:eastAsia="宋体" w:cs="宋体"/>
          <w:color w:val="auto"/>
        </w:rPr>
      </w:pPr>
    </w:p>
    <w:p w14:paraId="61C0E5E3">
      <w:pPr>
        <w:pStyle w:val="30"/>
        <w:rPr>
          <w:rFonts w:hint="eastAsia" w:ascii="宋体" w:hAnsi="宋体" w:eastAsia="宋体" w:cs="宋体"/>
          <w:color w:val="auto"/>
        </w:rPr>
      </w:pPr>
    </w:p>
    <w:p w14:paraId="1B0BA812">
      <w:pPr>
        <w:pStyle w:val="30"/>
        <w:rPr>
          <w:rFonts w:hint="eastAsia" w:ascii="宋体" w:hAnsi="宋体" w:eastAsia="宋体" w:cs="宋体"/>
          <w:color w:val="auto"/>
        </w:rPr>
      </w:pPr>
    </w:p>
    <w:p w14:paraId="45440B68">
      <w:pPr>
        <w:pStyle w:val="30"/>
        <w:rPr>
          <w:rFonts w:hint="eastAsia" w:ascii="宋体" w:hAnsi="宋体" w:eastAsia="宋体" w:cs="宋体"/>
          <w:color w:val="auto"/>
        </w:rPr>
      </w:pPr>
    </w:p>
    <w:p w14:paraId="17F36734">
      <w:pPr>
        <w:pStyle w:val="30"/>
        <w:rPr>
          <w:rFonts w:hint="eastAsia" w:ascii="宋体" w:hAnsi="宋体" w:eastAsia="宋体" w:cs="宋体"/>
          <w:color w:val="auto"/>
        </w:rPr>
      </w:pPr>
    </w:p>
    <w:p w14:paraId="2AEA0A4C">
      <w:pPr>
        <w:pStyle w:val="30"/>
        <w:rPr>
          <w:rFonts w:hint="eastAsia" w:ascii="宋体" w:hAnsi="宋体" w:eastAsia="宋体" w:cs="宋体"/>
          <w:color w:val="auto"/>
        </w:rPr>
      </w:pPr>
    </w:p>
    <w:p w14:paraId="10635A6A">
      <w:pPr>
        <w:pStyle w:val="30"/>
        <w:rPr>
          <w:rFonts w:hint="eastAsia" w:ascii="宋体" w:hAnsi="宋体" w:eastAsia="宋体" w:cs="宋体"/>
          <w:color w:val="auto"/>
        </w:rPr>
      </w:pPr>
    </w:p>
    <w:p w14:paraId="0DDAFE11">
      <w:pPr>
        <w:pStyle w:val="30"/>
        <w:rPr>
          <w:rFonts w:hint="eastAsia" w:ascii="宋体" w:hAnsi="宋体" w:eastAsia="宋体" w:cs="宋体"/>
          <w:color w:val="auto"/>
        </w:rPr>
      </w:pPr>
    </w:p>
    <w:p w14:paraId="730201F0">
      <w:pPr>
        <w:pStyle w:val="30"/>
        <w:rPr>
          <w:rFonts w:hint="eastAsia" w:ascii="宋体" w:hAnsi="宋体" w:eastAsia="宋体" w:cs="宋体"/>
          <w:color w:val="auto"/>
        </w:rPr>
      </w:pPr>
    </w:p>
    <w:p w14:paraId="14A20DCF">
      <w:pPr>
        <w:pStyle w:val="30"/>
        <w:rPr>
          <w:rFonts w:hint="eastAsia" w:ascii="宋体" w:hAnsi="宋体" w:eastAsia="宋体" w:cs="宋体"/>
          <w:color w:val="auto"/>
        </w:rPr>
      </w:pPr>
    </w:p>
    <w:p w14:paraId="7EE3E5E9">
      <w:pPr>
        <w:pStyle w:val="30"/>
        <w:rPr>
          <w:rFonts w:hint="eastAsia" w:ascii="宋体" w:hAnsi="宋体" w:eastAsia="宋体" w:cs="宋体"/>
          <w:color w:val="auto"/>
        </w:rPr>
      </w:pPr>
    </w:p>
    <w:p w14:paraId="510A1446">
      <w:pPr>
        <w:pStyle w:val="30"/>
        <w:rPr>
          <w:rFonts w:hint="eastAsia" w:ascii="宋体" w:hAnsi="宋体" w:eastAsia="宋体" w:cs="宋体"/>
          <w:color w:val="auto"/>
        </w:rPr>
      </w:pPr>
    </w:p>
    <w:p w14:paraId="08073B8A">
      <w:pPr>
        <w:pStyle w:val="30"/>
        <w:rPr>
          <w:rFonts w:hint="eastAsia" w:ascii="宋体" w:hAnsi="宋体" w:eastAsia="宋体" w:cs="宋体"/>
          <w:color w:val="auto"/>
        </w:rPr>
      </w:pPr>
    </w:p>
    <w:p w14:paraId="43E7C57E">
      <w:pPr>
        <w:pStyle w:val="30"/>
        <w:rPr>
          <w:rFonts w:hint="eastAsia" w:ascii="宋体" w:hAnsi="宋体" w:eastAsia="宋体" w:cs="宋体"/>
          <w:color w:val="auto"/>
        </w:rPr>
      </w:pPr>
    </w:p>
    <w:p w14:paraId="6172D33C">
      <w:pPr>
        <w:pStyle w:val="30"/>
        <w:rPr>
          <w:rFonts w:hint="eastAsia" w:ascii="宋体" w:hAnsi="宋体" w:eastAsia="宋体" w:cs="宋体"/>
          <w:color w:val="auto"/>
        </w:rPr>
      </w:pPr>
    </w:p>
    <w:p w14:paraId="22F55989">
      <w:pPr>
        <w:pStyle w:val="30"/>
        <w:rPr>
          <w:rFonts w:hint="eastAsia" w:ascii="宋体" w:hAnsi="宋体" w:eastAsia="宋体" w:cs="宋体"/>
          <w:color w:val="auto"/>
        </w:rPr>
      </w:pPr>
    </w:p>
    <w:p w14:paraId="456C683B">
      <w:pPr>
        <w:pStyle w:val="30"/>
        <w:rPr>
          <w:rFonts w:hint="eastAsia" w:ascii="宋体" w:hAnsi="宋体" w:eastAsia="宋体" w:cs="宋体"/>
          <w:color w:val="auto"/>
        </w:rPr>
      </w:pPr>
    </w:p>
    <w:p w14:paraId="7EC0D7AC">
      <w:pPr>
        <w:pStyle w:val="30"/>
        <w:rPr>
          <w:rFonts w:hint="eastAsia" w:ascii="宋体" w:hAnsi="宋体" w:eastAsia="宋体" w:cs="宋体"/>
          <w:color w:val="auto"/>
        </w:rPr>
      </w:pPr>
    </w:p>
    <w:p w14:paraId="265FB3D3">
      <w:pPr>
        <w:pStyle w:val="30"/>
        <w:rPr>
          <w:rFonts w:hint="eastAsia" w:ascii="宋体" w:hAnsi="宋体" w:eastAsia="宋体" w:cs="宋体"/>
          <w:color w:val="auto"/>
        </w:rPr>
      </w:pPr>
    </w:p>
    <w:p w14:paraId="78309A49">
      <w:pPr>
        <w:pStyle w:val="30"/>
        <w:rPr>
          <w:rFonts w:hint="eastAsia" w:ascii="宋体" w:hAnsi="宋体" w:eastAsia="宋体" w:cs="宋体"/>
          <w:color w:val="auto"/>
        </w:rPr>
      </w:pPr>
    </w:p>
    <w:p w14:paraId="70A044AB">
      <w:pPr>
        <w:pStyle w:val="30"/>
        <w:rPr>
          <w:rFonts w:hint="eastAsia" w:ascii="宋体" w:hAnsi="宋体" w:eastAsia="宋体" w:cs="宋体"/>
          <w:color w:val="auto"/>
        </w:rPr>
      </w:pPr>
    </w:p>
    <w:p w14:paraId="7EA5E599">
      <w:pPr>
        <w:pStyle w:val="30"/>
        <w:rPr>
          <w:rFonts w:hint="eastAsia" w:ascii="宋体" w:hAnsi="宋体" w:eastAsia="宋体" w:cs="宋体"/>
          <w:color w:val="auto"/>
        </w:rPr>
      </w:pPr>
    </w:p>
    <w:p w14:paraId="5978190C">
      <w:pPr>
        <w:pStyle w:val="30"/>
        <w:rPr>
          <w:rFonts w:hint="eastAsia" w:ascii="宋体" w:hAnsi="宋体" w:eastAsia="宋体" w:cs="宋体"/>
          <w:color w:val="auto"/>
        </w:rPr>
      </w:pPr>
    </w:p>
    <w:p w14:paraId="052E833F">
      <w:pPr>
        <w:pStyle w:val="30"/>
        <w:rPr>
          <w:rFonts w:hint="eastAsia" w:ascii="宋体" w:hAnsi="宋体" w:eastAsia="宋体" w:cs="宋体"/>
          <w:color w:val="auto"/>
        </w:rPr>
      </w:pPr>
    </w:p>
    <w:p w14:paraId="614D97B9">
      <w:pPr>
        <w:pStyle w:val="30"/>
        <w:rPr>
          <w:rFonts w:hint="eastAsia" w:ascii="宋体" w:hAnsi="宋体" w:eastAsia="宋体" w:cs="宋体"/>
          <w:color w:val="auto"/>
        </w:rPr>
      </w:pPr>
    </w:p>
    <w:p w14:paraId="3E0988CB">
      <w:pPr>
        <w:pStyle w:val="30"/>
        <w:rPr>
          <w:rFonts w:hint="eastAsia" w:ascii="宋体" w:hAnsi="宋体" w:eastAsia="宋体" w:cs="宋体"/>
          <w:color w:val="auto"/>
        </w:rPr>
      </w:pPr>
    </w:p>
    <w:p w14:paraId="05A02DD6">
      <w:pPr>
        <w:pStyle w:val="30"/>
        <w:rPr>
          <w:rFonts w:hint="eastAsia" w:ascii="宋体" w:hAnsi="宋体" w:eastAsia="宋体" w:cs="宋体"/>
          <w:color w:val="auto"/>
        </w:rPr>
      </w:pPr>
    </w:p>
    <w:p w14:paraId="2592EAAF">
      <w:pPr>
        <w:pStyle w:val="30"/>
        <w:rPr>
          <w:rFonts w:hint="eastAsia" w:ascii="宋体" w:hAnsi="宋体" w:eastAsia="宋体" w:cs="宋体"/>
          <w:color w:val="auto"/>
        </w:rPr>
      </w:pPr>
    </w:p>
    <w:p w14:paraId="49F23AAA">
      <w:pPr>
        <w:pStyle w:val="30"/>
        <w:rPr>
          <w:rFonts w:hint="eastAsia" w:ascii="宋体" w:hAnsi="宋体" w:eastAsia="宋体" w:cs="宋体"/>
          <w:color w:val="auto"/>
        </w:rPr>
      </w:pPr>
    </w:p>
    <w:p w14:paraId="37908D1E">
      <w:pPr>
        <w:pStyle w:val="30"/>
        <w:rPr>
          <w:rFonts w:hint="eastAsia" w:ascii="宋体" w:hAnsi="宋体" w:eastAsia="宋体" w:cs="宋体"/>
          <w:color w:val="auto"/>
        </w:rPr>
      </w:pPr>
    </w:p>
    <w:p w14:paraId="51032995">
      <w:pPr>
        <w:pStyle w:val="30"/>
        <w:rPr>
          <w:rFonts w:hint="eastAsia" w:ascii="宋体" w:hAnsi="宋体" w:eastAsia="宋体" w:cs="宋体"/>
          <w:color w:val="auto"/>
        </w:rPr>
      </w:pPr>
    </w:p>
    <w:p w14:paraId="671F88F1">
      <w:pPr>
        <w:pStyle w:val="30"/>
        <w:rPr>
          <w:rFonts w:hint="eastAsia" w:ascii="宋体" w:hAnsi="宋体" w:eastAsia="宋体" w:cs="宋体"/>
          <w:color w:val="auto"/>
        </w:rPr>
      </w:pPr>
    </w:p>
    <w:p w14:paraId="79D04226">
      <w:pPr>
        <w:pStyle w:val="30"/>
        <w:rPr>
          <w:rFonts w:hint="eastAsia" w:ascii="宋体" w:hAnsi="宋体" w:eastAsia="宋体" w:cs="宋体"/>
          <w:color w:val="auto"/>
        </w:rPr>
      </w:pPr>
    </w:p>
    <w:p w14:paraId="20333FB9">
      <w:pPr>
        <w:pStyle w:val="30"/>
        <w:rPr>
          <w:rFonts w:hint="eastAsia" w:ascii="宋体" w:hAnsi="宋体" w:eastAsia="宋体" w:cs="宋体"/>
          <w:color w:val="auto"/>
        </w:rPr>
      </w:pPr>
    </w:p>
    <w:p w14:paraId="4A8F7C9B">
      <w:pPr>
        <w:pStyle w:val="30"/>
        <w:rPr>
          <w:rFonts w:hint="eastAsia" w:ascii="宋体" w:hAnsi="宋体" w:eastAsia="宋体" w:cs="宋体"/>
          <w:color w:val="auto"/>
        </w:rPr>
      </w:pPr>
    </w:p>
    <w:p w14:paraId="1F44F5F2">
      <w:pPr>
        <w:pStyle w:val="30"/>
        <w:rPr>
          <w:rFonts w:hint="eastAsia" w:ascii="宋体" w:hAnsi="宋体" w:eastAsia="宋体" w:cs="宋体"/>
          <w:color w:val="auto"/>
        </w:rPr>
      </w:pPr>
    </w:p>
    <w:p w14:paraId="28067268">
      <w:pPr>
        <w:pStyle w:val="30"/>
        <w:rPr>
          <w:rFonts w:hint="eastAsia" w:ascii="宋体" w:hAnsi="宋体" w:eastAsia="宋体" w:cs="宋体"/>
          <w:color w:val="auto"/>
        </w:rPr>
      </w:pPr>
    </w:p>
    <w:p w14:paraId="3F49F080">
      <w:pPr>
        <w:pStyle w:val="30"/>
        <w:rPr>
          <w:rFonts w:hint="eastAsia" w:ascii="宋体" w:hAnsi="宋体" w:eastAsia="宋体" w:cs="宋体"/>
          <w:color w:val="auto"/>
        </w:rPr>
      </w:pPr>
    </w:p>
    <w:p w14:paraId="64EDB91A">
      <w:pPr>
        <w:pStyle w:val="30"/>
        <w:rPr>
          <w:rFonts w:hint="eastAsia" w:ascii="宋体" w:hAnsi="宋体" w:eastAsia="宋体" w:cs="宋体"/>
          <w:color w:val="auto"/>
        </w:rPr>
      </w:pPr>
    </w:p>
    <w:p w14:paraId="52442ED8">
      <w:pPr>
        <w:pStyle w:val="30"/>
        <w:rPr>
          <w:rFonts w:hint="eastAsia" w:ascii="宋体" w:hAnsi="宋体" w:eastAsia="宋体" w:cs="宋体"/>
          <w:color w:val="auto"/>
        </w:rPr>
      </w:pPr>
    </w:p>
    <w:bookmarkEnd w:id="170"/>
    <w:bookmarkEnd w:id="171"/>
    <w:p w14:paraId="680245B2">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、资格审查资料</w:t>
      </w:r>
    </w:p>
    <w:p w14:paraId="76D52842">
      <w:pPr>
        <w:adjustRightInd w:val="0"/>
        <w:spacing w:line="400" w:lineRule="exact"/>
        <w:jc w:val="left"/>
        <w:rPr>
          <w:rFonts w:hint="eastAsia" w:ascii="宋体" w:hAnsi="宋体" w:eastAsia="宋体" w:cs="宋体"/>
          <w:color w:val="auto"/>
          <w:sz w:val="24"/>
        </w:rPr>
      </w:pPr>
    </w:p>
    <w:p w14:paraId="52DBD69F">
      <w:pPr>
        <w:pStyle w:val="3"/>
        <w:ind w:firstLine="210"/>
        <w:rPr>
          <w:rFonts w:hint="eastAsia" w:ascii="宋体" w:hAnsi="宋体" w:eastAsia="宋体" w:cs="宋体"/>
          <w:color w:val="auto"/>
        </w:rPr>
      </w:pPr>
    </w:p>
    <w:p w14:paraId="2A41403D">
      <w:pPr>
        <w:adjustRightInd w:val="0"/>
        <w:spacing w:line="400" w:lineRule="exact"/>
        <w:jc w:val="left"/>
        <w:rPr>
          <w:rFonts w:hint="eastAsia" w:ascii="宋体" w:hAnsi="宋体" w:eastAsia="宋体" w:cs="宋体"/>
          <w:color w:val="auto"/>
          <w:sz w:val="24"/>
        </w:rPr>
      </w:pPr>
    </w:p>
    <w:p w14:paraId="5E7C7337">
      <w:pPr>
        <w:adjustRightInd w:val="0"/>
        <w:spacing w:line="400" w:lineRule="exact"/>
        <w:jc w:val="left"/>
        <w:rPr>
          <w:rFonts w:hint="eastAsia" w:ascii="宋体" w:hAnsi="宋体" w:eastAsia="宋体" w:cs="宋体"/>
          <w:color w:val="auto"/>
          <w:sz w:val="24"/>
        </w:rPr>
      </w:pPr>
    </w:p>
    <w:p w14:paraId="6624CA7B">
      <w:pPr>
        <w:adjustRightInd w:val="0"/>
        <w:spacing w:line="400" w:lineRule="exact"/>
        <w:jc w:val="left"/>
        <w:rPr>
          <w:rFonts w:hint="eastAsia" w:ascii="宋体" w:hAnsi="宋体" w:eastAsia="宋体" w:cs="宋体"/>
          <w:color w:val="auto"/>
          <w:sz w:val="24"/>
        </w:rPr>
      </w:pPr>
    </w:p>
    <w:p w14:paraId="52BFF09B">
      <w:pPr>
        <w:pStyle w:val="30"/>
        <w:rPr>
          <w:rFonts w:hint="eastAsia" w:ascii="宋体" w:hAnsi="宋体" w:eastAsia="宋体" w:cs="宋体"/>
          <w:color w:val="auto"/>
          <w:sz w:val="24"/>
          <w:szCs w:val="24"/>
        </w:rPr>
      </w:pPr>
    </w:p>
    <w:p w14:paraId="7EB0AD1E">
      <w:pPr>
        <w:pStyle w:val="30"/>
        <w:rPr>
          <w:rFonts w:hint="eastAsia" w:ascii="宋体" w:hAnsi="宋体" w:eastAsia="宋体" w:cs="宋体"/>
          <w:color w:val="auto"/>
          <w:sz w:val="24"/>
          <w:szCs w:val="24"/>
        </w:rPr>
      </w:pPr>
    </w:p>
    <w:p w14:paraId="68F7E112">
      <w:pPr>
        <w:pStyle w:val="30"/>
        <w:rPr>
          <w:rFonts w:hint="eastAsia" w:ascii="宋体" w:hAnsi="宋体" w:eastAsia="宋体" w:cs="宋体"/>
          <w:color w:val="auto"/>
          <w:sz w:val="24"/>
          <w:szCs w:val="24"/>
        </w:rPr>
      </w:pPr>
    </w:p>
    <w:p w14:paraId="317A8FD5">
      <w:pPr>
        <w:pStyle w:val="30"/>
        <w:rPr>
          <w:rFonts w:hint="eastAsia" w:ascii="宋体" w:hAnsi="宋体" w:eastAsia="宋体" w:cs="宋体"/>
          <w:color w:val="auto"/>
          <w:sz w:val="24"/>
          <w:szCs w:val="24"/>
        </w:rPr>
      </w:pPr>
    </w:p>
    <w:p w14:paraId="00256B3D">
      <w:pPr>
        <w:pStyle w:val="5"/>
        <w:spacing w:line="400" w:lineRule="exact"/>
        <w:jc w:val="center"/>
        <w:outlineLvl w:val="9"/>
        <w:rPr>
          <w:rFonts w:hint="eastAsia" w:ascii="宋体" w:hAnsi="宋体" w:eastAsia="宋体" w:cs="宋体"/>
          <w:color w:val="auto"/>
          <w:sz w:val="28"/>
          <w:szCs w:val="28"/>
        </w:rPr>
      </w:pPr>
    </w:p>
    <w:p w14:paraId="63EC4BC3">
      <w:pPr>
        <w:pStyle w:val="5"/>
        <w:spacing w:line="400" w:lineRule="exact"/>
        <w:jc w:val="center"/>
        <w:outlineLvl w:val="9"/>
        <w:rPr>
          <w:rFonts w:hint="eastAsia" w:ascii="宋体" w:hAnsi="宋体" w:eastAsia="宋体" w:cs="宋体"/>
          <w:color w:val="auto"/>
          <w:sz w:val="28"/>
          <w:szCs w:val="28"/>
        </w:rPr>
      </w:pPr>
    </w:p>
    <w:p w14:paraId="25595218">
      <w:pPr>
        <w:pStyle w:val="5"/>
        <w:spacing w:line="400" w:lineRule="exact"/>
        <w:jc w:val="center"/>
        <w:outlineLvl w:val="9"/>
        <w:rPr>
          <w:rFonts w:hint="eastAsia" w:ascii="宋体" w:hAnsi="宋体" w:eastAsia="宋体" w:cs="宋体"/>
          <w:color w:val="auto"/>
          <w:sz w:val="28"/>
          <w:szCs w:val="28"/>
        </w:rPr>
      </w:pPr>
    </w:p>
    <w:p w14:paraId="4D87965E">
      <w:pPr>
        <w:pStyle w:val="5"/>
        <w:spacing w:line="400" w:lineRule="exact"/>
        <w:jc w:val="center"/>
        <w:outlineLvl w:val="9"/>
        <w:rPr>
          <w:rFonts w:hint="eastAsia" w:ascii="宋体" w:hAnsi="宋体" w:eastAsia="宋体" w:cs="宋体"/>
          <w:color w:val="auto"/>
          <w:sz w:val="28"/>
          <w:szCs w:val="28"/>
        </w:rPr>
      </w:pPr>
    </w:p>
    <w:p w14:paraId="220A89AB">
      <w:pPr>
        <w:pStyle w:val="5"/>
        <w:spacing w:line="400" w:lineRule="exact"/>
        <w:outlineLvl w:val="9"/>
        <w:rPr>
          <w:rFonts w:hint="eastAsia" w:ascii="宋体" w:hAnsi="宋体" w:eastAsia="宋体" w:cs="宋体"/>
          <w:color w:val="auto"/>
          <w:sz w:val="28"/>
          <w:szCs w:val="28"/>
        </w:rPr>
      </w:pPr>
    </w:p>
    <w:p w14:paraId="114FB1A4">
      <w:pPr>
        <w:rPr>
          <w:rFonts w:hint="eastAsia" w:ascii="宋体" w:hAnsi="宋体" w:eastAsia="宋体" w:cs="宋体"/>
          <w:color w:val="auto"/>
          <w:sz w:val="28"/>
          <w:szCs w:val="28"/>
        </w:rPr>
      </w:pPr>
    </w:p>
    <w:p w14:paraId="04EDA8BE">
      <w:pPr>
        <w:pStyle w:val="3"/>
        <w:ind w:firstLine="280"/>
        <w:rPr>
          <w:rFonts w:hint="eastAsia" w:ascii="宋体" w:hAnsi="宋体" w:eastAsia="宋体" w:cs="宋体"/>
          <w:color w:val="auto"/>
          <w:sz w:val="28"/>
          <w:szCs w:val="28"/>
        </w:rPr>
      </w:pPr>
    </w:p>
    <w:p w14:paraId="7A022973">
      <w:pPr>
        <w:pStyle w:val="15"/>
        <w:ind w:firstLine="560"/>
        <w:rPr>
          <w:rFonts w:hint="eastAsia" w:ascii="宋体" w:hAnsi="宋体" w:eastAsia="宋体" w:cs="宋体"/>
          <w:color w:val="auto"/>
          <w:sz w:val="28"/>
          <w:szCs w:val="28"/>
        </w:rPr>
      </w:pPr>
    </w:p>
    <w:p w14:paraId="60CA24D3">
      <w:pPr>
        <w:rPr>
          <w:rFonts w:hint="eastAsia" w:ascii="宋体" w:hAnsi="宋体" w:eastAsia="宋体" w:cs="宋体"/>
          <w:color w:val="auto"/>
          <w:sz w:val="28"/>
          <w:szCs w:val="28"/>
        </w:rPr>
      </w:pPr>
    </w:p>
    <w:p w14:paraId="4C59C933">
      <w:pPr>
        <w:pStyle w:val="3"/>
        <w:ind w:firstLine="280"/>
        <w:rPr>
          <w:rFonts w:hint="eastAsia" w:ascii="宋体" w:hAnsi="宋体" w:eastAsia="宋体" w:cs="宋体"/>
          <w:color w:val="auto"/>
          <w:sz w:val="28"/>
          <w:szCs w:val="28"/>
        </w:rPr>
      </w:pPr>
    </w:p>
    <w:p w14:paraId="306E5792">
      <w:pPr>
        <w:pStyle w:val="15"/>
        <w:ind w:firstLine="560"/>
        <w:rPr>
          <w:rFonts w:hint="eastAsia" w:ascii="宋体" w:hAnsi="宋体" w:eastAsia="宋体" w:cs="宋体"/>
          <w:color w:val="auto"/>
          <w:sz w:val="28"/>
          <w:szCs w:val="28"/>
        </w:rPr>
      </w:pPr>
    </w:p>
    <w:p w14:paraId="2B4AF340">
      <w:pPr>
        <w:rPr>
          <w:rFonts w:hint="eastAsia" w:ascii="宋体" w:hAnsi="宋体" w:eastAsia="宋体" w:cs="宋体"/>
          <w:color w:val="auto"/>
          <w:sz w:val="28"/>
          <w:szCs w:val="28"/>
        </w:rPr>
      </w:pPr>
    </w:p>
    <w:p w14:paraId="55344A19">
      <w:pPr>
        <w:pStyle w:val="3"/>
        <w:ind w:firstLine="210"/>
        <w:rPr>
          <w:rFonts w:hint="eastAsia" w:ascii="宋体" w:hAnsi="宋体" w:eastAsia="宋体" w:cs="宋体"/>
          <w:color w:val="auto"/>
        </w:rPr>
      </w:pPr>
    </w:p>
    <w:p w14:paraId="503C51AE">
      <w:pPr>
        <w:pStyle w:val="3"/>
        <w:ind w:firstLine="210"/>
        <w:rPr>
          <w:rFonts w:hint="eastAsia" w:ascii="宋体" w:hAnsi="宋体" w:eastAsia="宋体" w:cs="宋体"/>
          <w:color w:val="auto"/>
        </w:rPr>
      </w:pPr>
    </w:p>
    <w:p w14:paraId="53EBF11F">
      <w:pPr>
        <w:spacing w:line="360" w:lineRule="auto"/>
        <w:jc w:val="center"/>
        <w:rPr>
          <w:rFonts w:hint="eastAsia" w:ascii="宋体" w:hAnsi="宋体" w:eastAsia="宋体" w:cs="宋体"/>
          <w:b/>
          <w:bCs/>
          <w:color w:val="auto"/>
          <w:sz w:val="28"/>
          <w:szCs w:val="28"/>
          <w:lang w:val="en-US" w:eastAsia="zh-CN"/>
        </w:rPr>
      </w:pPr>
    </w:p>
    <w:p w14:paraId="47882AC2">
      <w:pPr>
        <w:pStyle w:val="5"/>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、其他材料</w:t>
      </w:r>
    </w:p>
    <w:p w14:paraId="3D15DB6F">
      <w:pPr>
        <w:pStyle w:val="3"/>
        <w:ind w:firstLine="211"/>
        <w:jc w:val="center"/>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CN"/>
        </w:rPr>
        <w:t>供应商</w:t>
      </w:r>
      <w:r>
        <w:rPr>
          <w:rFonts w:hint="eastAsia" w:ascii="宋体" w:hAnsi="宋体" w:eastAsia="宋体" w:cs="宋体"/>
          <w:b/>
          <w:bCs/>
          <w:color w:val="auto"/>
        </w:rPr>
        <w:t>认为有必要提交的其他资料）</w:t>
      </w:r>
    </w:p>
    <w:p w14:paraId="1744326D">
      <w:pPr>
        <w:pStyle w:val="3"/>
        <w:ind w:firstLine="210"/>
        <w:rPr>
          <w:rFonts w:hint="eastAsia" w:ascii="宋体" w:hAnsi="宋体" w:eastAsia="宋体" w:cs="宋体"/>
          <w:color w:val="auto"/>
        </w:rPr>
      </w:pPr>
    </w:p>
    <w:p w14:paraId="79D472A3">
      <w:pPr>
        <w:rPr>
          <w:rFonts w:hint="eastAsia" w:ascii="宋体" w:hAnsi="宋体" w:eastAsia="宋体" w:cs="宋体"/>
          <w:color w:val="auto"/>
        </w:rPr>
      </w:pPr>
    </w:p>
    <w:p w14:paraId="32113CEF">
      <w:pPr>
        <w:spacing w:line="580" w:lineRule="exact"/>
        <w:rPr>
          <w:rFonts w:hint="eastAsia" w:ascii="宋体" w:hAnsi="宋体" w:eastAsia="宋体" w:cs="宋体"/>
          <w:color w:val="auto"/>
          <w:spacing w:val="-4"/>
          <w:sz w:val="24"/>
        </w:rPr>
      </w:pPr>
    </w:p>
    <w:p w14:paraId="16CC0F12">
      <w:pPr>
        <w:spacing w:line="580" w:lineRule="exact"/>
        <w:rPr>
          <w:rFonts w:hint="eastAsia" w:ascii="宋体" w:hAnsi="宋体" w:eastAsia="宋体" w:cs="宋体"/>
          <w:color w:val="auto"/>
          <w:spacing w:val="-4"/>
          <w:sz w:val="24"/>
        </w:rPr>
      </w:pPr>
    </w:p>
    <w:p w14:paraId="78C5149C">
      <w:pPr>
        <w:pStyle w:val="15"/>
        <w:rPr>
          <w:rFonts w:hint="eastAsia" w:ascii="宋体" w:hAnsi="宋体" w:eastAsia="宋体" w:cs="宋体"/>
          <w:color w:val="auto"/>
        </w:rPr>
      </w:pPr>
    </w:p>
    <w:p w14:paraId="093DCE3F">
      <w:pPr>
        <w:spacing w:line="580" w:lineRule="exact"/>
        <w:rPr>
          <w:rFonts w:hint="eastAsia" w:ascii="宋体" w:hAnsi="宋体" w:eastAsia="宋体" w:cs="宋体"/>
          <w:color w:val="auto"/>
          <w:spacing w:val="-4"/>
          <w:sz w:val="24"/>
        </w:rPr>
      </w:pPr>
    </w:p>
    <w:p w14:paraId="5BD5A2CA">
      <w:pPr>
        <w:pStyle w:val="5"/>
        <w:spacing w:line="360" w:lineRule="auto"/>
        <w:jc w:val="both"/>
        <w:outlineLvl w:val="9"/>
        <w:rPr>
          <w:rFonts w:hint="eastAsia" w:ascii="宋体" w:hAnsi="宋体" w:eastAsia="宋体" w:cs="宋体"/>
          <w:color w:val="auto"/>
          <w:sz w:val="28"/>
          <w:szCs w:val="28"/>
          <w:lang w:val="en-US" w:eastAsia="zh-CN"/>
        </w:rPr>
      </w:pPr>
      <w:bookmarkStart w:id="172" w:name="_Toc27735"/>
      <w:bookmarkStart w:id="173" w:name="_Toc525062119"/>
      <w:bookmarkStart w:id="174" w:name="_Toc17345"/>
    </w:p>
    <w:p w14:paraId="270365F5">
      <w:pPr>
        <w:pStyle w:val="5"/>
        <w:spacing w:line="360" w:lineRule="auto"/>
        <w:jc w:val="both"/>
        <w:outlineLvl w:val="9"/>
        <w:rPr>
          <w:rFonts w:hint="eastAsia" w:ascii="宋体" w:hAnsi="宋体" w:eastAsia="宋体" w:cs="宋体"/>
          <w:color w:val="auto"/>
          <w:sz w:val="28"/>
          <w:szCs w:val="28"/>
          <w:lang w:val="en-US" w:eastAsia="zh-CN"/>
        </w:rPr>
      </w:pPr>
    </w:p>
    <w:p w14:paraId="15E4AF94">
      <w:pPr>
        <w:pStyle w:val="5"/>
        <w:spacing w:line="360" w:lineRule="auto"/>
        <w:jc w:val="both"/>
        <w:outlineLvl w:val="9"/>
        <w:rPr>
          <w:rFonts w:hint="eastAsia" w:ascii="宋体" w:hAnsi="宋体" w:eastAsia="宋体" w:cs="宋体"/>
          <w:color w:val="auto"/>
          <w:sz w:val="28"/>
          <w:szCs w:val="28"/>
          <w:lang w:val="en-US" w:eastAsia="zh-CN"/>
        </w:rPr>
      </w:pPr>
    </w:p>
    <w:p w14:paraId="4934905F">
      <w:pPr>
        <w:pStyle w:val="5"/>
        <w:spacing w:line="360" w:lineRule="auto"/>
        <w:jc w:val="both"/>
        <w:outlineLvl w:val="9"/>
        <w:rPr>
          <w:rFonts w:hint="eastAsia" w:ascii="宋体" w:hAnsi="宋体" w:eastAsia="宋体" w:cs="宋体"/>
          <w:color w:val="auto"/>
          <w:sz w:val="28"/>
          <w:szCs w:val="28"/>
          <w:lang w:val="en-US" w:eastAsia="zh-CN"/>
        </w:rPr>
      </w:pPr>
    </w:p>
    <w:p w14:paraId="026DB0F9">
      <w:pPr>
        <w:pStyle w:val="5"/>
        <w:spacing w:line="360" w:lineRule="auto"/>
        <w:jc w:val="both"/>
        <w:outlineLvl w:val="9"/>
        <w:rPr>
          <w:rFonts w:hint="eastAsia" w:ascii="宋体" w:hAnsi="宋体" w:eastAsia="宋体" w:cs="宋体"/>
          <w:color w:val="auto"/>
          <w:sz w:val="28"/>
          <w:szCs w:val="28"/>
          <w:lang w:val="en-US" w:eastAsia="zh-CN"/>
        </w:rPr>
      </w:pPr>
    </w:p>
    <w:p w14:paraId="787A766F">
      <w:pPr>
        <w:pStyle w:val="5"/>
        <w:spacing w:line="360" w:lineRule="auto"/>
        <w:jc w:val="both"/>
        <w:outlineLvl w:val="9"/>
        <w:rPr>
          <w:rFonts w:hint="eastAsia" w:ascii="宋体" w:hAnsi="宋体" w:eastAsia="宋体" w:cs="宋体"/>
          <w:color w:val="auto"/>
          <w:sz w:val="28"/>
          <w:szCs w:val="28"/>
          <w:lang w:val="en-US" w:eastAsia="zh-CN"/>
        </w:rPr>
      </w:pPr>
    </w:p>
    <w:p w14:paraId="35B6AF9A">
      <w:pPr>
        <w:pStyle w:val="5"/>
        <w:spacing w:line="360" w:lineRule="auto"/>
        <w:jc w:val="both"/>
        <w:outlineLvl w:val="9"/>
        <w:rPr>
          <w:rFonts w:hint="eastAsia" w:ascii="宋体" w:hAnsi="宋体" w:eastAsia="宋体" w:cs="宋体"/>
          <w:color w:val="auto"/>
          <w:sz w:val="28"/>
          <w:szCs w:val="28"/>
          <w:lang w:val="en-US" w:eastAsia="zh-CN"/>
        </w:rPr>
      </w:pPr>
    </w:p>
    <w:p w14:paraId="67FBB839">
      <w:pPr>
        <w:pStyle w:val="5"/>
        <w:spacing w:line="360" w:lineRule="auto"/>
        <w:jc w:val="both"/>
        <w:outlineLvl w:val="9"/>
        <w:rPr>
          <w:rFonts w:hint="eastAsia" w:ascii="宋体" w:hAnsi="宋体" w:eastAsia="宋体" w:cs="宋体"/>
          <w:color w:val="auto"/>
          <w:sz w:val="28"/>
          <w:szCs w:val="28"/>
          <w:lang w:val="en-US" w:eastAsia="zh-CN"/>
        </w:rPr>
      </w:pPr>
    </w:p>
    <w:p w14:paraId="37F9454A">
      <w:pPr>
        <w:pStyle w:val="5"/>
        <w:spacing w:line="360" w:lineRule="auto"/>
        <w:jc w:val="both"/>
        <w:outlineLvl w:val="9"/>
        <w:rPr>
          <w:rFonts w:hint="eastAsia" w:ascii="宋体" w:hAnsi="宋体" w:eastAsia="宋体" w:cs="宋体"/>
          <w:color w:val="auto"/>
          <w:sz w:val="28"/>
          <w:szCs w:val="28"/>
          <w:lang w:val="en-US" w:eastAsia="zh-CN"/>
        </w:rPr>
      </w:pPr>
    </w:p>
    <w:p w14:paraId="505E184A">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8"/>
          <w:szCs w:val="28"/>
          <w:lang w:val="en-US" w:eastAsia="zh-CN"/>
        </w:rPr>
      </w:pPr>
    </w:p>
    <w:bookmarkEnd w:id="172"/>
    <w:bookmarkEnd w:id="173"/>
    <w:bookmarkEnd w:id="174"/>
    <w:p w14:paraId="5AB85F4C">
      <w:pPr>
        <w:pStyle w:val="5"/>
        <w:bidi w:val="0"/>
        <w:jc w:val="center"/>
      </w:pPr>
      <w:bookmarkStart w:id="175" w:name="_Toc32434"/>
      <w:r>
        <w:rPr>
          <w:rFonts w:hint="eastAsia"/>
          <w:lang w:val="en-US" w:eastAsia="zh-CN"/>
        </w:rPr>
        <w:t>九</w:t>
      </w:r>
      <w:r>
        <w:rPr>
          <w:rFonts w:hint="eastAsia"/>
        </w:rPr>
        <w:t>、中小企业声明函</w:t>
      </w:r>
      <w:bookmarkEnd w:id="175"/>
    </w:p>
    <w:p w14:paraId="250E2DA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center"/>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（属于中小企业的填写，不属于的无需填写此项内容）</w:t>
      </w:r>
    </w:p>
    <w:p w14:paraId="3EFCCD4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本公司（联合体）郑重声明，根据《政府采购促进中小企业发展管理办法》（财库[2020]46 号）的规定，本公司（联合体）参加______（单位名称）的</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（项目名称）</w:t>
      </w:r>
      <w:r>
        <w:rPr>
          <w:rFonts w:hint="eastAsia" w:ascii="宋体" w:hAnsi="Courier New" w:eastAsia="宋体" w:cs="Times New Roman"/>
          <w:color w:val="auto"/>
          <w:kern w:val="0"/>
          <w:sz w:val="24"/>
          <w:szCs w:val="24"/>
          <w:u w:val="single"/>
          <w:lang w:val="en-US" w:eastAsia="zh-CN"/>
        </w:rPr>
        <w:t xml:space="preserve">  包</w:t>
      </w:r>
      <w:r>
        <w:rPr>
          <w:rFonts w:hint="eastAsia" w:ascii="宋体" w:hAnsi="Courier New" w:eastAsia="宋体" w:cs="Times New Roman"/>
          <w:color w:val="auto"/>
          <w:kern w:val="0"/>
          <w:sz w:val="24"/>
          <w:szCs w:val="24"/>
          <w:lang w:val="en-US" w:eastAsia="zh-CN"/>
        </w:rPr>
        <w:t xml:space="preserve"> </w:t>
      </w:r>
      <w:r>
        <w:rPr>
          <w:rFonts w:hint="eastAsia" w:ascii="宋体" w:hAnsi="Courier New" w:eastAsia="宋体" w:cs="Times New Roman"/>
          <w:color w:val="auto"/>
          <w:kern w:val="0"/>
          <w:sz w:val="24"/>
          <w:szCs w:val="24"/>
        </w:rPr>
        <w:t>采购活动，提供的货物全部由符合政策要求的中小企业制造。相关企业（含联合体中的中小企业、签订分包意向协议的中小企业）的具体情况如下：</w:t>
      </w:r>
    </w:p>
    <w:p w14:paraId="09D8ED2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1、</w:t>
      </w:r>
      <w:r>
        <w:rPr>
          <w:rFonts w:hint="eastAsia" w:ascii="宋体" w:hAnsi="Courier New" w:eastAsia="宋体" w:cs="Times New Roman"/>
          <w:color w:val="auto"/>
          <w:kern w:val="0"/>
          <w:sz w:val="24"/>
          <w:szCs w:val="24"/>
          <w:u w:val="single"/>
        </w:rPr>
        <w:t xml:space="preserve">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（标的名称），属于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 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万元，资产总额为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4DACAC7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2、</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（标的名称），属于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万元，资产总额为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15B5038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 </w:t>
      </w:r>
    </w:p>
    <w:p w14:paraId="5DE8DCD8">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以上企业，不属于大企业的分支机构，不存在控股股东为大企业的情形，也不存在</w:t>
      </w:r>
    </w:p>
    <w:p w14:paraId="2E3F1F6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与大企业的负责人为同一人的情形。</w:t>
      </w:r>
    </w:p>
    <w:p w14:paraId="6AE9773C">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本公司对上述声明的真实性负责。如有虚假，将依法承担相应责任。</w:t>
      </w:r>
    </w:p>
    <w:p w14:paraId="3780D13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供应商[盖单位章]：</w:t>
      </w:r>
    </w:p>
    <w:p w14:paraId="037191CE">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日 期：</w:t>
      </w:r>
    </w:p>
    <w:p w14:paraId="31DF2BF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44799C4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283EAC2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注：从业人员、营业收入、资产总额填报上一年度数据，无上一年度数据的新成立企业可不填报。 </w:t>
      </w:r>
    </w:p>
    <w:p w14:paraId="5477B98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根据最新《政府采购促进中小企业发展管理办法》规定，所有中小企业声明函必须使用最新格式。</w:t>
      </w:r>
    </w:p>
    <w:p w14:paraId="1E1AB54D">
      <w:pPr>
        <w:keepNext w:val="0"/>
        <w:keepLines w:val="0"/>
        <w:pageBreakBefore w:val="0"/>
        <w:widowControl w:val="0"/>
        <w:kinsoku/>
        <w:wordWrap w:val="0"/>
        <w:overflowPunct/>
        <w:topLinePunct w:val="0"/>
        <w:autoSpaceDE/>
        <w:autoSpaceDN/>
        <w:bidi w:val="0"/>
        <w:adjustRightInd/>
        <w:snapToGrid/>
        <w:spacing w:line="460" w:lineRule="exact"/>
        <w:ind w:firstLine="4080" w:firstLineChars="1700"/>
        <w:textAlignment w:val="auto"/>
        <w:rPr>
          <w:rFonts w:ascii="宋体" w:hAnsi="Courier New" w:eastAsia="宋体" w:cs="Times New Roman"/>
          <w:color w:val="auto"/>
          <w:kern w:val="0"/>
          <w:sz w:val="24"/>
          <w:szCs w:val="24"/>
        </w:rPr>
      </w:pPr>
    </w:p>
    <w:p w14:paraId="359D4787">
      <w:pPr>
        <w:keepNext w:val="0"/>
        <w:keepLines w:val="0"/>
        <w:pageBreakBefore w:val="0"/>
        <w:widowControl w:val="0"/>
        <w:kinsoku/>
        <w:overflowPunct/>
        <w:topLinePunct w:val="0"/>
        <w:autoSpaceDE/>
        <w:autoSpaceDN/>
        <w:bidi w:val="0"/>
        <w:adjustRightInd w:val="0"/>
        <w:snapToGrid w:val="0"/>
        <w:spacing w:line="460" w:lineRule="exact"/>
        <w:textAlignment w:val="auto"/>
        <w:rPr>
          <w:rFonts w:hint="eastAsia" w:ascii="宋体" w:hAnsi="宋体" w:cs="宋体"/>
          <w:color w:val="auto"/>
          <w:spacing w:val="6"/>
          <w:kern w:val="0"/>
          <w:szCs w:val="21"/>
        </w:rPr>
      </w:pPr>
    </w:p>
    <w:p w14:paraId="0B2AFB17">
      <w:pPr>
        <w:keepNext w:val="0"/>
        <w:keepLines w:val="0"/>
        <w:pageBreakBefore w:val="0"/>
        <w:widowControl/>
        <w:kinsoku/>
        <w:wordWrap/>
        <w:overflowPunct/>
        <w:topLinePunct w:val="0"/>
        <w:bidi w:val="0"/>
        <w:adjustRightInd w:val="0"/>
        <w:snapToGrid w:val="0"/>
        <w:spacing w:line="360" w:lineRule="auto"/>
        <w:textAlignment w:val="auto"/>
        <w:rPr>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C50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2531">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569D">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5A569D">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0063">
    <w:pPr>
      <w:pStyle w:val="12"/>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94E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EE10A"/>
    <w:multiLevelType w:val="singleLevel"/>
    <w:tmpl w:val="3FEEE1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4AB86064"/>
    <w:rsid w:val="14611230"/>
    <w:rsid w:val="172E437B"/>
    <w:rsid w:val="1A7C3568"/>
    <w:rsid w:val="1B4D642D"/>
    <w:rsid w:val="1ED352CD"/>
    <w:rsid w:val="1F231557"/>
    <w:rsid w:val="239F5888"/>
    <w:rsid w:val="268052F8"/>
    <w:rsid w:val="27876959"/>
    <w:rsid w:val="2B275C9E"/>
    <w:rsid w:val="2B8154A1"/>
    <w:rsid w:val="2BAA6270"/>
    <w:rsid w:val="2CE96C53"/>
    <w:rsid w:val="2D91366B"/>
    <w:rsid w:val="2E4D710C"/>
    <w:rsid w:val="2EF541FA"/>
    <w:rsid w:val="385F3C6F"/>
    <w:rsid w:val="3C131A3E"/>
    <w:rsid w:val="3FF658AB"/>
    <w:rsid w:val="415853DB"/>
    <w:rsid w:val="435E7A42"/>
    <w:rsid w:val="4AB86064"/>
    <w:rsid w:val="4F311AFC"/>
    <w:rsid w:val="53B860CE"/>
    <w:rsid w:val="5710645B"/>
    <w:rsid w:val="578A726B"/>
    <w:rsid w:val="5AAB5506"/>
    <w:rsid w:val="5B817E09"/>
    <w:rsid w:val="5CBF79D7"/>
    <w:rsid w:val="5E6D038A"/>
    <w:rsid w:val="65AA7A07"/>
    <w:rsid w:val="6BC766A5"/>
    <w:rsid w:val="6BFE5597"/>
    <w:rsid w:val="6C2F0EF3"/>
    <w:rsid w:val="6C5936DB"/>
    <w:rsid w:val="71F74F1E"/>
    <w:rsid w:val="73FB12F3"/>
    <w:rsid w:val="74B55797"/>
    <w:rsid w:val="786D163E"/>
    <w:rsid w:val="78B853B9"/>
    <w:rsid w:val="79FE105C"/>
    <w:rsid w:val="7F67677D"/>
    <w:rsid w:val="7FCE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4">
    <w:name w:val="heading 1"/>
    <w:basedOn w:val="1"/>
    <w:next w:val="1"/>
    <w:link w:val="31"/>
    <w:autoRedefine/>
    <w:qFormat/>
    <w:uiPriority w:val="0"/>
    <w:pPr>
      <w:keepNext/>
      <w:keepLines/>
      <w:widowControl w:val="0"/>
      <w:spacing w:line="360" w:lineRule="auto"/>
      <w:jc w:val="both"/>
      <w:outlineLvl w:val="0"/>
    </w:pPr>
    <w:rPr>
      <w:rFonts w:ascii="Times New Roman" w:hAnsi="Times New Roman" w:eastAsia="宋体" w:cs="Times New Roman"/>
      <w:b/>
      <w:bCs/>
      <w:kern w:val="44"/>
      <w:sz w:val="32"/>
      <w:szCs w:val="44"/>
      <w:lang w:val="en-US" w:eastAsia="zh-CN" w:bidi="ar-SA"/>
    </w:rPr>
  </w:style>
  <w:style w:type="paragraph" w:styleId="5">
    <w:name w:val="heading 2"/>
    <w:basedOn w:val="1"/>
    <w:next w:val="1"/>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First Indent"/>
    <w:basedOn w:val="2"/>
    <w:next w:val="1"/>
    <w:autoRedefine/>
    <w:unhideWhenUsed/>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unhideWhenUsed/>
    <w:qFormat/>
    <w:uiPriority w:val="99"/>
    <w:pPr>
      <w:widowControl w:val="0"/>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autoRedefine/>
    <w:qFormat/>
    <w:uiPriority w:val="1"/>
    <w:pPr>
      <w:spacing w:before="385"/>
      <w:ind w:left="251"/>
    </w:pPr>
    <w:rPr>
      <w:rFonts w:ascii="宋体" w:hAnsi="宋体" w:eastAsia="宋体" w:cs="宋体"/>
      <w:b/>
      <w:bCs/>
      <w:sz w:val="28"/>
      <w:szCs w:val="28"/>
    </w:rPr>
  </w:style>
  <w:style w:type="paragraph" w:styleId="14">
    <w:name w:val="Body Text 2"/>
    <w:basedOn w:val="1"/>
    <w:autoRedefine/>
    <w:unhideWhenUsed/>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5">
    <w:name w:val="Body Text First Indent 2"/>
    <w:basedOn w:val="1"/>
    <w:next w:val="1"/>
    <w:autoRedefine/>
    <w:qFormat/>
    <w:uiPriority w:val="0"/>
    <w:pPr>
      <w:ind w:firstLine="420" w:firstLineChars="200"/>
    </w:pPr>
  </w:style>
  <w:style w:type="table" w:styleId="17">
    <w:name w:val="Table Grid"/>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unhideWhenUsed/>
    <w:qFormat/>
    <w:uiPriority w:val="99"/>
    <w:rPr>
      <w:color w:val="000000"/>
      <w:u w:val="non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Default"/>
    <w:next w:val="1"/>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标题 1 Char"/>
    <w:link w:val="4"/>
    <w:autoRedefine/>
    <w:qFormat/>
    <w:uiPriority w:val="0"/>
    <w:rPr>
      <w:rFonts w:ascii="Times New Roman" w:hAnsi="Times New Roman" w:eastAsia="宋体" w:cs="Times New Roman"/>
      <w:b/>
      <w:bCs/>
      <w:kern w:val="44"/>
      <w:sz w:val="32"/>
      <w:szCs w:val="44"/>
      <w:lang w:val="en-US" w:eastAsia="zh-CN" w:bidi="ar-SA"/>
    </w:rPr>
  </w:style>
  <w:style w:type="character" w:customStyle="1" w:styleId="32">
    <w:name w:val="font91"/>
    <w:basedOn w:val="18"/>
    <w:autoRedefine/>
    <w:qFormat/>
    <w:uiPriority w:val="0"/>
    <w:rPr>
      <w:rFonts w:hint="eastAsia" w:ascii="宋体" w:hAnsi="宋体" w:eastAsia="宋体" w:cs="宋体"/>
      <w:color w:val="000000"/>
      <w:sz w:val="20"/>
      <w:szCs w:val="20"/>
      <w:u w:val="none"/>
    </w:rPr>
  </w:style>
  <w:style w:type="character" w:customStyle="1" w:styleId="33">
    <w:name w:val="font101"/>
    <w:basedOn w:val="18"/>
    <w:autoRedefine/>
    <w:qFormat/>
    <w:uiPriority w:val="0"/>
    <w:rPr>
      <w:rFonts w:ascii="Arial" w:hAnsi="Arial" w:cs="Arial"/>
      <w:color w:val="000000"/>
      <w:sz w:val="20"/>
      <w:szCs w:val="20"/>
      <w:u w:val="none"/>
    </w:rPr>
  </w:style>
  <w:style w:type="paragraph" w:customStyle="1" w:styleId="34">
    <w:name w:val="Heading3"/>
    <w:basedOn w:val="1"/>
    <w:next w:val="1"/>
    <w:autoRedefine/>
    <w:qFormat/>
    <w:uiPriority w:val="0"/>
    <w:pPr>
      <w:keepNext/>
      <w:keepLines/>
      <w:spacing w:before="260" w:after="260" w:line="415" w:lineRule="auto"/>
      <w:jc w:val="both"/>
      <w:textAlignment w:val="baseline"/>
    </w:pPr>
    <w:rPr>
      <w:rFonts w:ascii="Times New Roman" w:hAnsi="Times New Roman"/>
      <w:b/>
      <w:kern w:val="0"/>
      <w:sz w:val="32"/>
      <w:szCs w:val="32"/>
      <w:lang w:bidi="ar-SA"/>
    </w:rPr>
  </w:style>
  <w:style w:type="character" w:customStyle="1" w:styleId="35">
    <w:name w:val="NormalCharacter"/>
    <w:autoRedefine/>
    <w:semiHidden/>
    <w:qFormat/>
    <w:uiPriority w:val="0"/>
    <w:rPr>
      <w:kern w:val="2"/>
      <w:sz w:val="21"/>
      <w:szCs w:val="24"/>
      <w:lang w:val="en-US" w:eastAsia="zh-CN" w:bidi="ar-SA"/>
    </w:rPr>
  </w:style>
  <w:style w:type="character" w:customStyle="1" w:styleId="36">
    <w:name w:val="layui-layer-tabnow"/>
    <w:basedOn w:val="18"/>
    <w:autoRedefine/>
    <w:qFormat/>
    <w:uiPriority w:val="0"/>
    <w:rPr>
      <w:bdr w:val="single" w:color="CCCCCC" w:sz="6" w:space="0"/>
      <w:shd w:val="clear" w:fill="FFFFFF"/>
    </w:rPr>
  </w:style>
  <w:style w:type="character" w:customStyle="1" w:styleId="37">
    <w:name w:val="first-child"/>
    <w:basedOn w:val="18"/>
    <w:autoRedefine/>
    <w:qFormat/>
    <w:uiPriority w:val="0"/>
  </w:style>
  <w:style w:type="character" w:customStyle="1" w:styleId="38">
    <w:name w:val="desc_bv8az"/>
    <w:basedOn w:val="18"/>
    <w:qFormat/>
    <w:uiPriority w:val="0"/>
    <w:rPr>
      <w:color w:val="333333"/>
    </w:rPr>
  </w:style>
  <w:style w:type="character" w:customStyle="1" w:styleId="39">
    <w:name w:val="type_hy_75"/>
    <w:basedOn w:val="18"/>
    <w:qFormat/>
    <w:uiPriority w:val="0"/>
    <w:rPr>
      <w:color w:val="999999"/>
    </w:rPr>
  </w:style>
  <w:style w:type="character" w:customStyle="1" w:styleId="40">
    <w:name w:val="first-child1"/>
    <w:basedOn w:val="18"/>
    <w:qFormat/>
    <w:uiPriority w:val="0"/>
  </w:style>
  <w:style w:type="character" w:customStyle="1" w:styleId="41">
    <w:name w:val="font01"/>
    <w:basedOn w:val="18"/>
    <w:qFormat/>
    <w:uiPriority w:val="0"/>
    <w:rPr>
      <w:rFonts w:hint="default" w:ascii="Arial" w:hAnsi="Arial" w:cs="Arial"/>
      <w:color w:val="000000"/>
      <w:sz w:val="22"/>
      <w:szCs w:val="22"/>
      <w:u w:val="none"/>
    </w:rPr>
  </w:style>
  <w:style w:type="character" w:customStyle="1" w:styleId="42">
    <w:name w:val="font31"/>
    <w:basedOn w:val="18"/>
    <w:qFormat/>
    <w:uiPriority w:val="0"/>
    <w:rPr>
      <w:rFonts w:hint="eastAsia" w:ascii="宋体" w:hAnsi="宋体" w:eastAsia="宋体" w:cs="宋体"/>
      <w:color w:val="000000"/>
      <w:sz w:val="22"/>
      <w:szCs w:val="22"/>
      <w:u w:val="none"/>
    </w:rPr>
  </w:style>
  <w:style w:type="character" w:customStyle="1" w:styleId="43">
    <w:name w:val="font51"/>
    <w:basedOn w:val="18"/>
    <w:qFormat/>
    <w:uiPriority w:val="0"/>
    <w:rPr>
      <w:rFonts w:ascii="宋体" w:hAnsi="宋体" w:eastAsia="宋体" w:cs="宋体"/>
      <w:color w:val="44494D"/>
      <w:sz w:val="22"/>
      <w:szCs w:val="22"/>
      <w:u w:val="none"/>
    </w:rPr>
  </w:style>
  <w:style w:type="paragraph" w:customStyle="1" w:styleId="4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24656</Words>
  <Characters>26370</Characters>
  <Lines>0</Lines>
  <Paragraphs>0</Paragraphs>
  <TotalTime>1</TotalTime>
  <ScaleCrop>false</ScaleCrop>
  <LinksUpToDate>false</LinksUpToDate>
  <CharactersWithSpaces>28649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2024-06-06T20:09:00Z</dcterms:created>
  <dc:creator>涙染萱哗惹半夏</dc:creator>
  <cp:lastModifiedBy>花开半夏</cp:lastModifiedBy>
  <dcterms:modified xsi:type="dcterms:W3CDTF">2024-08-28T07:40:42Z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84E042692FF149748F995AD259CC9559_13</vt:lpwstr>
  </property>
</Properties>
</file>