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E384B">
      <w:pPr>
        <w:jc w:val="center"/>
        <w:rPr>
          <w:rFonts w:hint="eastAsia" w:ascii="黑体" w:hAnsi="黑体" w:eastAsia="黑体" w:cs="Times New Roman"/>
          <w:bCs/>
          <w:color w:val="000000" w:themeColor="text1"/>
          <w:sz w:val="52"/>
          <w:szCs w:val="52"/>
          <w:lang w:eastAsia="zh-CN"/>
          <w14:textFill>
            <w14:solidFill>
              <w14:schemeClr w14:val="tx1"/>
            </w14:solidFill>
          </w14:textFill>
        </w:rPr>
      </w:pPr>
    </w:p>
    <w:p w14:paraId="13B59BB4">
      <w:pPr>
        <w:jc w:val="center"/>
        <w:rPr>
          <w:rFonts w:hint="eastAsia" w:ascii="黑体" w:hAnsi="黑体" w:eastAsia="黑体" w:cs="Times New Roman"/>
          <w:bCs/>
          <w:color w:val="000000" w:themeColor="text1"/>
          <w:sz w:val="52"/>
          <w:szCs w:val="52"/>
          <w:lang w:eastAsia="zh-CN"/>
          <w14:textFill>
            <w14:solidFill>
              <w14:schemeClr w14:val="tx1"/>
            </w14:solidFill>
          </w14:textFill>
        </w:rPr>
      </w:pPr>
      <w:r>
        <w:rPr>
          <w:rFonts w:hint="eastAsia" w:ascii="黑体" w:hAnsi="黑体" w:eastAsia="黑体" w:cs="Times New Roman"/>
          <w:bCs/>
          <w:color w:val="000000" w:themeColor="text1"/>
          <w:sz w:val="52"/>
          <w:szCs w:val="52"/>
          <w:lang w:eastAsia="zh-CN"/>
          <w14:textFill>
            <w14:solidFill>
              <w14:schemeClr w14:val="tx1"/>
            </w14:solidFill>
          </w14:textFill>
        </w:rPr>
        <w:t>三门峡市陕州区第二实验幼儿园设备购置项目</w:t>
      </w:r>
    </w:p>
    <w:p w14:paraId="54EFDB95">
      <w:pPr>
        <w:jc w:val="center"/>
        <w:rPr>
          <w:rFonts w:ascii="黑体" w:hAnsi="黑体" w:eastAsia="黑体" w:cs="Times New Roman"/>
          <w:bCs/>
          <w:color w:val="000000" w:themeColor="text1"/>
          <w:sz w:val="52"/>
          <w:szCs w:val="52"/>
          <w14:textFill>
            <w14:solidFill>
              <w14:schemeClr w14:val="tx1"/>
            </w14:solidFill>
          </w14:textFill>
        </w:rPr>
      </w:pPr>
      <w:r>
        <w:rPr>
          <w:rFonts w:hint="eastAsia" w:ascii="黑体" w:hAnsi="黑体" w:eastAsia="黑体" w:cs="Times New Roman"/>
          <w:bCs/>
          <w:color w:val="000000" w:themeColor="text1"/>
          <w:sz w:val="52"/>
          <w:szCs w:val="52"/>
          <w14:textFill>
            <w14:solidFill>
              <w14:schemeClr w14:val="tx1"/>
            </w14:solidFill>
          </w14:textFill>
        </w:rPr>
        <w:t>竞争性磋商文件</w:t>
      </w:r>
    </w:p>
    <w:p w14:paraId="422F699D">
      <w:pPr>
        <w:jc w:val="center"/>
        <w:rPr>
          <w:rFonts w:hAnsi="黑体" w:eastAsia="黑体"/>
          <w:szCs w:val="28"/>
        </w:rPr>
      </w:pPr>
    </w:p>
    <w:p w14:paraId="11B89B00">
      <w:pPr>
        <w:ind w:firstLine="1260" w:firstLineChars="450"/>
        <w:jc w:val="center"/>
        <w:rPr>
          <w:rFonts w:hint="eastAsia" w:ascii="黑体" w:hAnsi="黑体" w:eastAsia="黑体" w:cs="Times New Roman"/>
          <w:color w:val="000000" w:themeColor="text1"/>
          <w:sz w:val="28"/>
          <w:szCs w:val="28"/>
          <w:lang w:val="en-US" w:eastAsia="zh-CN"/>
          <w14:textFill>
            <w14:solidFill>
              <w14:schemeClr w14:val="tx1"/>
            </w14:solidFill>
          </w14:textFill>
        </w:rPr>
      </w:pPr>
      <w:r>
        <w:rPr>
          <w:rFonts w:hint="eastAsia" w:ascii="黑体" w:hAnsi="黑体" w:eastAsia="黑体" w:cs="Times New Roman"/>
          <w:color w:val="000000" w:themeColor="text1"/>
          <w:sz w:val="28"/>
          <w:szCs w:val="28"/>
          <w:lang w:val="en-US" w:eastAsia="zh-CN"/>
          <w14:textFill>
            <w14:solidFill>
              <w14:schemeClr w14:val="tx1"/>
            </w14:solidFill>
          </w14:textFill>
        </w:rPr>
        <w:t>项目编号：陕州竞磋采购-2025-50</w:t>
      </w:r>
    </w:p>
    <w:p w14:paraId="2DC64B68">
      <w:pPr>
        <w:ind w:firstLine="1260" w:firstLineChars="450"/>
        <w:jc w:val="center"/>
        <w:rPr>
          <w:rFonts w:hint="default" w:ascii="黑体" w:hAnsi="黑体" w:eastAsia="黑体" w:cs="Times New Roman"/>
          <w:color w:val="000000" w:themeColor="text1"/>
          <w:sz w:val="28"/>
          <w:szCs w:val="28"/>
          <w:lang w:val="en-US" w:eastAsia="zh-CN"/>
          <w14:textFill>
            <w14:solidFill>
              <w14:schemeClr w14:val="tx1"/>
            </w14:solidFill>
          </w14:textFill>
        </w:rPr>
      </w:pPr>
      <w:r>
        <w:rPr>
          <w:rFonts w:hint="eastAsia" w:ascii="黑体" w:hAnsi="黑体" w:eastAsia="黑体" w:cs="Times New Roman"/>
          <w:color w:val="000000" w:themeColor="text1"/>
          <w:sz w:val="28"/>
          <w:szCs w:val="28"/>
          <w:lang w:val="en-US" w:eastAsia="zh-CN"/>
          <w14:textFill>
            <w14:solidFill>
              <w14:schemeClr w14:val="tx1"/>
            </w14:solidFill>
          </w14:textFill>
        </w:rPr>
        <w:t>SZGZ[2025]083-ZC054</w:t>
      </w:r>
    </w:p>
    <w:p w14:paraId="0E0FEADE">
      <w:pPr>
        <w:jc w:val="center"/>
        <w:rPr>
          <w:rFonts w:hAnsi="黑体" w:eastAsia="黑体"/>
          <w:szCs w:val="28"/>
        </w:rPr>
      </w:pPr>
    </w:p>
    <w:p w14:paraId="793F5504">
      <w:pPr>
        <w:jc w:val="center"/>
        <w:rPr>
          <w:rFonts w:hAnsi="黑体" w:eastAsia="黑体"/>
          <w:szCs w:val="28"/>
        </w:rPr>
      </w:pPr>
    </w:p>
    <w:p w14:paraId="397E344D">
      <w:pPr>
        <w:jc w:val="center"/>
        <w:rPr>
          <w:rFonts w:ascii="黑体" w:hAnsi="黑体" w:eastAsia="黑体" w:cs="Times New Roman"/>
          <w:bCs/>
          <w:color w:val="000000" w:themeColor="text1"/>
          <w:sz w:val="28"/>
          <w:szCs w:val="28"/>
          <w14:textFill>
            <w14:solidFill>
              <w14:schemeClr w14:val="tx1"/>
            </w14:solidFill>
          </w14:textFill>
        </w:rPr>
      </w:pPr>
      <w:r>
        <w:rPr>
          <w:rFonts w:hAnsi="黑体" w:eastAsia="黑体"/>
          <w:szCs w:val="28"/>
        </w:rPr>
        <w:drawing>
          <wp:inline distT="0" distB="0" distL="0" distR="0">
            <wp:extent cx="2637155" cy="1930400"/>
            <wp:effectExtent l="0" t="0" r="10795" b="12700"/>
            <wp:docPr id="2" name="图片 15" descr="微信图片_2020041413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微信图片_20200414133327"/>
                    <pic:cNvPicPr>
                      <a:picLocks noChangeAspect="1" noChangeArrowheads="1"/>
                    </pic:cNvPicPr>
                  </pic:nvPicPr>
                  <pic:blipFill>
                    <a:blip r:embed="rId5"/>
                    <a:srcRect/>
                    <a:stretch>
                      <a:fillRect/>
                    </a:stretch>
                  </pic:blipFill>
                  <pic:spPr>
                    <a:xfrm>
                      <a:off x="0" y="0"/>
                      <a:ext cx="2637155" cy="1930400"/>
                    </a:xfrm>
                    <a:prstGeom prst="rect">
                      <a:avLst/>
                    </a:prstGeom>
                    <a:noFill/>
                    <a:ln w="9525">
                      <a:noFill/>
                      <a:miter lim="800000"/>
                      <a:headEnd/>
                      <a:tailEnd/>
                    </a:ln>
                  </pic:spPr>
                </pic:pic>
              </a:graphicData>
            </a:graphic>
          </wp:inline>
        </w:drawing>
      </w:r>
    </w:p>
    <w:p w14:paraId="1A014903">
      <w:pPr>
        <w:widowControl/>
        <w:shd w:val="clear" w:color="auto" w:fill="FFFFFF"/>
        <w:spacing w:line="390" w:lineRule="atLeast"/>
        <w:jc w:val="center"/>
        <w:rPr>
          <w:rFonts w:hint="default" w:ascii="黑体" w:hAnsi="黑体" w:eastAsia="黑体" w:cs="Times New Roman"/>
          <w:color w:val="000000" w:themeColor="text1"/>
          <w:sz w:val="28"/>
          <w:szCs w:val="28"/>
          <w:lang w:val="en-US" w:eastAsia="zh-CN"/>
          <w14:textFill>
            <w14:solidFill>
              <w14:schemeClr w14:val="tx1"/>
            </w14:solidFill>
          </w14:textFill>
        </w:rPr>
      </w:pPr>
    </w:p>
    <w:p w14:paraId="0389D23F">
      <w:pPr>
        <w:ind w:firstLine="1820" w:firstLineChars="650"/>
        <w:rPr>
          <w:rFonts w:ascii="黑体" w:hAnsi="黑体" w:eastAsia="黑体" w:cs="Times New Roman"/>
          <w:color w:val="000000" w:themeColor="text1"/>
          <w:sz w:val="28"/>
          <w:szCs w:val="28"/>
          <w14:textFill>
            <w14:solidFill>
              <w14:schemeClr w14:val="tx1"/>
            </w14:solidFill>
          </w14:textFill>
        </w:rPr>
      </w:pPr>
    </w:p>
    <w:p w14:paraId="61256D3E">
      <w:pPr>
        <w:rPr>
          <w:rFonts w:ascii="黑体" w:hAnsi="黑体" w:eastAsia="黑体" w:cs="Times New Roman"/>
          <w:color w:val="000000" w:themeColor="text1"/>
          <w:sz w:val="28"/>
          <w:szCs w:val="28"/>
          <w14:textFill>
            <w14:solidFill>
              <w14:schemeClr w14:val="tx1"/>
            </w14:solidFill>
          </w14:textFill>
        </w:rPr>
      </w:pPr>
    </w:p>
    <w:p w14:paraId="5609AC71">
      <w:pPr>
        <w:pStyle w:val="11"/>
      </w:pPr>
    </w:p>
    <w:p w14:paraId="6C2D523D">
      <w:pPr>
        <w:ind w:firstLine="1260" w:firstLineChars="450"/>
        <w:rPr>
          <w:rFonts w:hint="eastAsia" w:ascii="黑体" w:hAnsi="黑体" w:eastAsia="黑体" w:cs="Times New Roman"/>
          <w:color w:val="000000" w:themeColor="text1"/>
          <w:sz w:val="28"/>
          <w:szCs w:val="28"/>
          <w:lang w:eastAsia="zh-CN"/>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采  购  人：</w:t>
      </w:r>
      <w:r>
        <w:rPr>
          <w:rFonts w:hint="eastAsia" w:ascii="黑体" w:hAnsi="黑体" w:eastAsia="黑体" w:cs="Times New Roman"/>
          <w:color w:val="000000" w:themeColor="text1"/>
          <w:sz w:val="28"/>
          <w:szCs w:val="28"/>
          <w:lang w:eastAsia="zh-CN"/>
          <w14:textFill>
            <w14:solidFill>
              <w14:schemeClr w14:val="tx1"/>
            </w14:solidFill>
          </w14:textFill>
        </w:rPr>
        <w:t>三门峡市陕州区第二实验幼儿园</w:t>
      </w:r>
    </w:p>
    <w:p w14:paraId="7FDCFB9E">
      <w:pPr>
        <w:ind w:firstLine="1260" w:firstLineChars="45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代 理 机 构：河南晨宇咨询有限公司</w:t>
      </w:r>
    </w:p>
    <w:p w14:paraId="41EEB1DC">
      <w:pPr>
        <w:ind w:firstLine="1260" w:firstLineChars="45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日       期：二〇二</w:t>
      </w:r>
      <w:r>
        <w:rPr>
          <w:rFonts w:hint="eastAsia" w:ascii="黑体" w:hAnsi="黑体" w:eastAsia="黑体" w:cs="Times New Roman"/>
          <w:color w:val="000000" w:themeColor="text1"/>
          <w:sz w:val="28"/>
          <w:szCs w:val="28"/>
          <w:lang w:eastAsia="zh-CN"/>
          <w14:textFill>
            <w14:solidFill>
              <w14:schemeClr w14:val="tx1"/>
            </w14:solidFill>
          </w14:textFill>
        </w:rPr>
        <w:t>五</w:t>
      </w:r>
      <w:r>
        <w:rPr>
          <w:rFonts w:hint="eastAsia" w:ascii="黑体" w:hAnsi="黑体" w:eastAsia="黑体" w:cs="Times New Roman"/>
          <w:color w:val="000000" w:themeColor="text1"/>
          <w:sz w:val="28"/>
          <w:szCs w:val="28"/>
          <w14:textFill>
            <w14:solidFill>
              <w14:schemeClr w14:val="tx1"/>
            </w14:solidFill>
          </w14:textFill>
        </w:rPr>
        <w:t>年</w:t>
      </w:r>
      <w:r>
        <w:rPr>
          <w:rFonts w:hint="eastAsia" w:ascii="黑体" w:hAnsi="黑体" w:eastAsia="黑体" w:cs="Times New Roman"/>
          <w:color w:val="000000" w:themeColor="text1"/>
          <w:sz w:val="28"/>
          <w:szCs w:val="28"/>
          <w:lang w:eastAsia="zh-CN"/>
          <w14:textFill>
            <w14:solidFill>
              <w14:schemeClr w14:val="tx1"/>
            </w14:solidFill>
          </w14:textFill>
        </w:rPr>
        <w:t>五</w:t>
      </w:r>
      <w:r>
        <w:rPr>
          <w:rFonts w:hint="eastAsia" w:ascii="黑体" w:hAnsi="黑体" w:eastAsia="黑体" w:cs="Times New Roman"/>
          <w:color w:val="000000" w:themeColor="text1"/>
          <w:sz w:val="28"/>
          <w:szCs w:val="28"/>
          <w14:textFill>
            <w14:solidFill>
              <w14:schemeClr w14:val="tx1"/>
            </w14:solidFill>
          </w14:textFill>
        </w:rPr>
        <w:t>月</w:t>
      </w:r>
    </w:p>
    <w:p w14:paraId="79518C1F">
      <w:pPr>
        <w:jc w:val="center"/>
        <w:rPr>
          <w:rFonts w:ascii="Calibri" w:hAnsi="Calibri" w:eastAsia="宋体" w:cs="Times New Roman"/>
          <w:b/>
          <w:color w:val="000000" w:themeColor="text1"/>
          <w:sz w:val="28"/>
          <w:szCs w:val="28"/>
          <w14:textFill>
            <w14:solidFill>
              <w14:schemeClr w14:val="tx1"/>
            </w14:solidFill>
          </w14:textFill>
        </w:rPr>
        <w:sectPr>
          <w:pgSz w:w="11906" w:h="16838"/>
          <w:pgMar w:top="1440" w:right="1689" w:bottom="1440" w:left="1689" w:header="851" w:footer="992" w:gutter="0"/>
          <w:cols w:space="0" w:num="1"/>
          <w:docGrid w:type="lines" w:linePitch="312" w:charSpace="0"/>
        </w:sectPr>
      </w:pPr>
    </w:p>
    <w:p w14:paraId="1F23349F">
      <w:pPr>
        <w:jc w:val="center"/>
        <w:rPr>
          <w:rFonts w:ascii="Calibri" w:hAnsi="Calibri" w:eastAsia="宋体" w:cs="Times New Roman"/>
          <w:b/>
          <w:color w:val="000000" w:themeColor="text1"/>
          <w:sz w:val="28"/>
          <w:szCs w:val="28"/>
          <w14:textFill>
            <w14:solidFill>
              <w14:schemeClr w14:val="tx1"/>
            </w14:solidFill>
          </w14:textFill>
        </w:rPr>
      </w:pPr>
      <w:r>
        <w:rPr>
          <w:rFonts w:hint="eastAsia" w:ascii="Calibri" w:hAnsi="Calibri" w:eastAsia="宋体" w:cs="Times New Roman"/>
          <w:b/>
          <w:color w:val="000000" w:themeColor="text1"/>
          <w:sz w:val="28"/>
          <w:szCs w:val="28"/>
          <w14:textFill>
            <w14:solidFill>
              <w14:schemeClr w14:val="tx1"/>
            </w14:solidFill>
          </w14:textFill>
        </w:rPr>
        <w:t>目  录</w:t>
      </w:r>
    </w:p>
    <w:p w14:paraId="6F51C863">
      <w:pPr>
        <w:pStyle w:val="14"/>
        <w:tabs>
          <w:tab w:val="right" w:leader="dot" w:pos="8300"/>
        </w:tabs>
      </w:pPr>
      <w:r>
        <w:rPr>
          <w:rFonts w:ascii="仿宋_GB2312" w:hAnsi="Times New Roman" w:eastAsia="仿宋_GB2312"/>
          <w:bCs/>
          <w:color w:val="000000" w:themeColor="text1"/>
          <w:kern w:val="0"/>
          <w:sz w:val="28"/>
          <w:szCs w:val="28"/>
          <w14:textFill>
            <w14:solidFill>
              <w14:schemeClr w14:val="tx1"/>
            </w14:solidFill>
          </w14:textFill>
        </w:rPr>
        <w:fldChar w:fldCharType="begin"/>
      </w:r>
      <w:r>
        <w:rPr>
          <w:rFonts w:ascii="仿宋_GB2312" w:hAnsi="Times New Roman" w:eastAsia="仿宋_GB2312"/>
          <w:bCs/>
          <w:color w:val="000000" w:themeColor="text1"/>
          <w:kern w:val="0"/>
          <w:sz w:val="28"/>
          <w:szCs w:val="28"/>
          <w14:textFill>
            <w14:solidFill>
              <w14:schemeClr w14:val="tx1"/>
            </w14:solidFill>
          </w14:textFill>
        </w:rPr>
        <w:instrText xml:space="preserve"> TOC \o "1-2" \h \z \u </w:instrText>
      </w:r>
      <w:r>
        <w:rPr>
          <w:rFonts w:ascii="仿宋_GB2312" w:hAnsi="Times New Roman" w:eastAsia="仿宋_GB2312"/>
          <w:bCs/>
          <w:color w:val="000000" w:themeColor="text1"/>
          <w:kern w:val="0"/>
          <w:sz w:val="28"/>
          <w:szCs w:val="28"/>
          <w14:textFill>
            <w14:solidFill>
              <w14:schemeClr w14:val="tx1"/>
            </w14:solidFill>
          </w14:textFill>
        </w:rPr>
        <w:fldChar w:fldCharType="separate"/>
      </w:r>
      <w:r>
        <w:rPr>
          <w:rFonts w:ascii="仿宋_GB2312" w:hAnsi="Times New Roman" w:eastAsia="仿宋_GB2312"/>
          <w:bCs/>
          <w:color w:val="000000" w:themeColor="text1"/>
          <w:kern w:val="0"/>
          <w:szCs w:val="28"/>
          <w14:textFill>
            <w14:solidFill>
              <w14:schemeClr w14:val="tx1"/>
            </w14:solidFill>
          </w14:textFill>
        </w:rPr>
        <w:fldChar w:fldCharType="begin"/>
      </w:r>
      <w:r>
        <w:rPr>
          <w:rFonts w:ascii="仿宋_GB2312" w:hAnsi="Times New Roman" w:eastAsia="仿宋_GB2312"/>
          <w:bCs/>
          <w:kern w:val="0"/>
          <w:szCs w:val="28"/>
        </w:rPr>
        <w:instrText xml:space="preserve"> HYPERLINK \l _Toc21608 </w:instrText>
      </w:r>
      <w:r>
        <w:rPr>
          <w:rFonts w:ascii="仿宋_GB2312" w:hAnsi="Times New Roman" w:eastAsia="仿宋_GB2312"/>
          <w:bCs/>
          <w:kern w:val="0"/>
          <w:szCs w:val="28"/>
        </w:rPr>
        <w:fldChar w:fldCharType="separate"/>
      </w:r>
      <w:r>
        <w:rPr>
          <w:rFonts w:hint="default" w:ascii="宋体" w:hAnsi="宋体" w:eastAsia="宋体" w:cs="宋体"/>
          <w:bCs/>
          <w:kern w:val="0"/>
          <w:szCs w:val="36"/>
        </w:rPr>
        <w:t xml:space="preserve">第一章 </w:t>
      </w:r>
      <w:r>
        <w:rPr>
          <w:rFonts w:hint="eastAsia" w:ascii="宋体" w:hAnsi="宋体" w:eastAsia="宋体" w:cs="宋体"/>
          <w:bCs/>
          <w:kern w:val="0"/>
          <w:szCs w:val="36"/>
        </w:rPr>
        <w:t>竞争性磋商公告</w:t>
      </w:r>
      <w:r>
        <w:tab/>
      </w:r>
      <w:r>
        <w:fldChar w:fldCharType="begin"/>
      </w:r>
      <w:r>
        <w:instrText xml:space="preserve"> PAGEREF _Toc21608 \h </w:instrText>
      </w:r>
      <w:r>
        <w:fldChar w:fldCharType="separate"/>
      </w:r>
      <w:r>
        <w:t>3</w:t>
      </w:r>
      <w:r>
        <w:fldChar w:fldCharType="end"/>
      </w:r>
      <w:r>
        <w:rPr>
          <w:rFonts w:ascii="仿宋_GB2312" w:hAnsi="Times New Roman" w:eastAsia="仿宋_GB2312"/>
          <w:bCs/>
          <w:color w:val="000000" w:themeColor="text1"/>
          <w:kern w:val="0"/>
          <w:szCs w:val="28"/>
          <w14:textFill>
            <w14:solidFill>
              <w14:schemeClr w14:val="tx1"/>
            </w14:solidFill>
          </w14:textFill>
        </w:rPr>
        <w:fldChar w:fldCharType="end"/>
      </w:r>
    </w:p>
    <w:p w14:paraId="2D53DD88">
      <w:pPr>
        <w:pStyle w:val="14"/>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_Toc9793 </w:instrText>
      </w:r>
      <w:r>
        <w:rPr>
          <w:rFonts w:ascii="仿宋_GB2312" w:eastAsia="仿宋_GB2312"/>
          <w:kern w:val="0"/>
        </w:rPr>
        <w:fldChar w:fldCharType="separate"/>
      </w:r>
      <w:r>
        <w:rPr>
          <w:rFonts w:hint="eastAsia" w:ascii="宋体" w:hAnsi="宋体" w:eastAsia="宋体" w:cs="Times New Roman"/>
          <w:bCs/>
          <w:szCs w:val="36"/>
        </w:rPr>
        <w:t>第二章  供应商须知</w:t>
      </w:r>
      <w:r>
        <w:tab/>
      </w:r>
      <w:r>
        <w:fldChar w:fldCharType="begin"/>
      </w:r>
      <w:r>
        <w:instrText xml:space="preserve"> PAGEREF _Toc9793 \h </w:instrText>
      </w:r>
      <w:r>
        <w:fldChar w:fldCharType="separate"/>
      </w:r>
      <w:r>
        <w:t>8</w:t>
      </w:r>
      <w:r>
        <w:fldChar w:fldCharType="end"/>
      </w:r>
      <w:r>
        <w:rPr>
          <w:rFonts w:ascii="仿宋_GB2312" w:eastAsia="仿宋_GB2312"/>
          <w:color w:val="000000" w:themeColor="text1"/>
          <w:kern w:val="0"/>
          <w14:textFill>
            <w14:solidFill>
              <w14:schemeClr w14:val="tx1"/>
            </w14:solidFill>
          </w14:textFill>
        </w:rPr>
        <w:fldChar w:fldCharType="end"/>
      </w:r>
    </w:p>
    <w:p w14:paraId="6255050A">
      <w:pPr>
        <w:pStyle w:val="14"/>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_Toc19275 </w:instrText>
      </w:r>
      <w:r>
        <w:rPr>
          <w:rFonts w:ascii="仿宋_GB2312" w:eastAsia="仿宋_GB2312"/>
          <w:kern w:val="0"/>
        </w:rPr>
        <w:fldChar w:fldCharType="separate"/>
      </w:r>
      <w:r>
        <w:rPr>
          <w:rFonts w:hint="eastAsia" w:ascii="宋体" w:hAnsi="宋体" w:eastAsia="宋体" w:cs="Times New Roman"/>
          <w:bCs/>
          <w:szCs w:val="36"/>
        </w:rPr>
        <w:t>第三章 采购需求</w:t>
      </w:r>
      <w:r>
        <w:tab/>
      </w:r>
      <w:r>
        <w:fldChar w:fldCharType="begin"/>
      </w:r>
      <w:r>
        <w:instrText xml:space="preserve"> PAGEREF _Toc19275 \h </w:instrText>
      </w:r>
      <w:r>
        <w:fldChar w:fldCharType="separate"/>
      </w:r>
      <w:r>
        <w:t>26</w:t>
      </w:r>
      <w:r>
        <w:fldChar w:fldCharType="end"/>
      </w:r>
      <w:r>
        <w:rPr>
          <w:rFonts w:ascii="仿宋_GB2312" w:eastAsia="仿宋_GB2312"/>
          <w:color w:val="000000" w:themeColor="text1"/>
          <w:kern w:val="0"/>
          <w14:textFill>
            <w14:solidFill>
              <w14:schemeClr w14:val="tx1"/>
            </w14:solidFill>
          </w14:textFill>
        </w:rPr>
        <w:fldChar w:fldCharType="end"/>
      </w:r>
    </w:p>
    <w:p w14:paraId="0D8432E8">
      <w:pPr>
        <w:pStyle w:val="14"/>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_Toc4315 </w:instrText>
      </w:r>
      <w:r>
        <w:rPr>
          <w:rFonts w:ascii="仿宋_GB2312" w:eastAsia="仿宋_GB2312"/>
          <w:kern w:val="0"/>
        </w:rPr>
        <w:fldChar w:fldCharType="separate"/>
      </w:r>
      <w:r>
        <w:rPr>
          <w:rFonts w:hint="eastAsia" w:ascii="宋体" w:hAnsi="宋体" w:eastAsia="宋体" w:cs="Times New Roman"/>
          <w:bCs/>
          <w:szCs w:val="36"/>
        </w:rPr>
        <w:t>第四章  合同条款及合同文件格式</w:t>
      </w:r>
      <w:r>
        <w:tab/>
      </w:r>
      <w:r>
        <w:fldChar w:fldCharType="begin"/>
      </w:r>
      <w:r>
        <w:instrText xml:space="preserve"> PAGEREF _Toc4315 \h </w:instrText>
      </w:r>
      <w:r>
        <w:fldChar w:fldCharType="separate"/>
      </w:r>
      <w:r>
        <w:t>36</w:t>
      </w:r>
      <w:r>
        <w:fldChar w:fldCharType="end"/>
      </w:r>
      <w:r>
        <w:rPr>
          <w:rFonts w:ascii="仿宋_GB2312" w:eastAsia="仿宋_GB2312"/>
          <w:color w:val="000000" w:themeColor="text1"/>
          <w:kern w:val="0"/>
          <w14:textFill>
            <w14:solidFill>
              <w14:schemeClr w14:val="tx1"/>
            </w14:solidFill>
          </w14:textFill>
        </w:rPr>
        <w:fldChar w:fldCharType="end"/>
      </w:r>
    </w:p>
    <w:p w14:paraId="2018D022">
      <w:pPr>
        <w:pStyle w:val="14"/>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_Toc21716 </w:instrText>
      </w:r>
      <w:r>
        <w:rPr>
          <w:rFonts w:ascii="仿宋_GB2312" w:eastAsia="仿宋_GB2312"/>
          <w:kern w:val="0"/>
        </w:rPr>
        <w:fldChar w:fldCharType="separate"/>
      </w:r>
      <w:r>
        <w:rPr>
          <w:rFonts w:hint="eastAsia" w:ascii="宋体" w:hAnsi="宋体" w:eastAsia="宋体" w:cs="Times New Roman"/>
          <w:szCs w:val="32"/>
        </w:rPr>
        <w:t>第五章  评审标准</w:t>
      </w:r>
      <w:r>
        <w:tab/>
      </w:r>
      <w:r>
        <w:fldChar w:fldCharType="begin"/>
      </w:r>
      <w:r>
        <w:instrText xml:space="preserve"> PAGEREF _Toc21716 \h </w:instrText>
      </w:r>
      <w:r>
        <w:fldChar w:fldCharType="separate"/>
      </w:r>
      <w:r>
        <w:t>40</w:t>
      </w:r>
      <w:r>
        <w:fldChar w:fldCharType="end"/>
      </w:r>
      <w:r>
        <w:rPr>
          <w:rFonts w:ascii="仿宋_GB2312" w:eastAsia="仿宋_GB2312"/>
          <w:color w:val="000000" w:themeColor="text1"/>
          <w:kern w:val="0"/>
          <w14:textFill>
            <w14:solidFill>
              <w14:schemeClr w14:val="tx1"/>
            </w14:solidFill>
          </w14:textFill>
        </w:rPr>
        <w:fldChar w:fldCharType="end"/>
      </w:r>
    </w:p>
    <w:p w14:paraId="47D2BBDE">
      <w:pPr>
        <w:pStyle w:val="14"/>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_Toc29406 </w:instrText>
      </w:r>
      <w:r>
        <w:rPr>
          <w:rFonts w:ascii="仿宋_GB2312" w:eastAsia="仿宋_GB2312"/>
          <w:kern w:val="0"/>
        </w:rPr>
        <w:fldChar w:fldCharType="separate"/>
      </w:r>
      <w:r>
        <w:rPr>
          <w:rFonts w:hint="eastAsia" w:ascii="Calibri" w:hAnsi="宋体" w:eastAsia="宋体" w:cs="Times New Roman"/>
          <w:szCs w:val="32"/>
        </w:rPr>
        <w:t>第六章 磋商文件格式</w:t>
      </w:r>
      <w:r>
        <w:tab/>
      </w:r>
      <w:r>
        <w:fldChar w:fldCharType="begin"/>
      </w:r>
      <w:r>
        <w:instrText xml:space="preserve"> PAGEREF _Toc29406 \h </w:instrText>
      </w:r>
      <w:r>
        <w:fldChar w:fldCharType="separate"/>
      </w:r>
      <w:r>
        <w:t>48</w:t>
      </w:r>
      <w:r>
        <w:fldChar w:fldCharType="end"/>
      </w:r>
      <w:r>
        <w:rPr>
          <w:rFonts w:ascii="仿宋_GB2312" w:eastAsia="仿宋_GB2312"/>
          <w:color w:val="000000" w:themeColor="text1"/>
          <w:kern w:val="0"/>
          <w14:textFill>
            <w14:solidFill>
              <w14:schemeClr w14:val="tx1"/>
            </w14:solidFill>
          </w14:textFill>
        </w:rPr>
        <w:fldChar w:fldCharType="end"/>
      </w:r>
    </w:p>
    <w:p w14:paraId="4C88981D">
      <w:pPr>
        <w:pStyle w:val="15"/>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_Toc8977 </w:instrText>
      </w:r>
      <w:r>
        <w:rPr>
          <w:rFonts w:ascii="仿宋_GB2312" w:eastAsia="仿宋_GB2312"/>
          <w:kern w:val="0"/>
        </w:rPr>
        <w:fldChar w:fldCharType="separate"/>
      </w:r>
      <w:r>
        <w:rPr>
          <w:rFonts w:hint="eastAsia"/>
        </w:rPr>
        <w:t>一、法定代表人身份证明书</w:t>
      </w:r>
      <w:r>
        <w:tab/>
      </w:r>
      <w:r>
        <w:fldChar w:fldCharType="begin"/>
      </w:r>
      <w:r>
        <w:instrText xml:space="preserve"> PAGEREF _Toc8977 \h </w:instrText>
      </w:r>
      <w:r>
        <w:fldChar w:fldCharType="separate"/>
      </w:r>
      <w:r>
        <w:t>50</w:t>
      </w:r>
      <w:r>
        <w:fldChar w:fldCharType="end"/>
      </w:r>
      <w:r>
        <w:rPr>
          <w:rFonts w:ascii="仿宋_GB2312" w:eastAsia="仿宋_GB2312"/>
          <w:color w:val="000000" w:themeColor="text1"/>
          <w:kern w:val="0"/>
          <w14:textFill>
            <w14:solidFill>
              <w14:schemeClr w14:val="tx1"/>
            </w14:solidFill>
          </w14:textFill>
        </w:rPr>
        <w:fldChar w:fldCharType="end"/>
      </w:r>
    </w:p>
    <w:p w14:paraId="037E8B08">
      <w:pPr>
        <w:pStyle w:val="15"/>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_Toc23280 </w:instrText>
      </w:r>
      <w:r>
        <w:rPr>
          <w:rFonts w:ascii="仿宋_GB2312" w:eastAsia="仿宋_GB2312"/>
          <w:kern w:val="0"/>
        </w:rPr>
        <w:fldChar w:fldCharType="separate"/>
      </w:r>
      <w:r>
        <w:rPr>
          <w:rFonts w:hint="eastAsia"/>
        </w:rPr>
        <w:t>二、授权委托书</w:t>
      </w:r>
      <w:r>
        <w:tab/>
      </w:r>
      <w:r>
        <w:fldChar w:fldCharType="begin"/>
      </w:r>
      <w:r>
        <w:instrText xml:space="preserve"> PAGEREF _Toc23280 \h </w:instrText>
      </w:r>
      <w:r>
        <w:fldChar w:fldCharType="separate"/>
      </w:r>
      <w:r>
        <w:t>51</w:t>
      </w:r>
      <w:r>
        <w:fldChar w:fldCharType="end"/>
      </w:r>
      <w:r>
        <w:rPr>
          <w:rFonts w:ascii="仿宋_GB2312" w:eastAsia="仿宋_GB2312"/>
          <w:color w:val="000000" w:themeColor="text1"/>
          <w:kern w:val="0"/>
          <w14:textFill>
            <w14:solidFill>
              <w14:schemeClr w14:val="tx1"/>
            </w14:solidFill>
          </w14:textFill>
        </w:rPr>
        <w:fldChar w:fldCharType="end"/>
      </w:r>
    </w:p>
    <w:p w14:paraId="5758CC7B">
      <w:pPr>
        <w:pStyle w:val="15"/>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_Toc25502 </w:instrText>
      </w:r>
      <w:r>
        <w:rPr>
          <w:rFonts w:ascii="仿宋_GB2312" w:eastAsia="仿宋_GB2312"/>
          <w:kern w:val="0"/>
        </w:rPr>
        <w:fldChar w:fldCharType="separate"/>
      </w:r>
      <w:r>
        <w:rPr>
          <w:rFonts w:hint="eastAsia"/>
        </w:rPr>
        <w:t>三、磋 商 函</w:t>
      </w:r>
      <w:r>
        <w:tab/>
      </w:r>
      <w:r>
        <w:fldChar w:fldCharType="begin"/>
      </w:r>
      <w:r>
        <w:instrText xml:space="preserve"> PAGEREF _Toc25502 \h </w:instrText>
      </w:r>
      <w:r>
        <w:fldChar w:fldCharType="separate"/>
      </w:r>
      <w:r>
        <w:t>52</w:t>
      </w:r>
      <w:r>
        <w:fldChar w:fldCharType="end"/>
      </w:r>
      <w:r>
        <w:rPr>
          <w:rFonts w:ascii="仿宋_GB2312" w:eastAsia="仿宋_GB2312"/>
          <w:color w:val="000000" w:themeColor="text1"/>
          <w:kern w:val="0"/>
          <w14:textFill>
            <w14:solidFill>
              <w14:schemeClr w14:val="tx1"/>
            </w14:solidFill>
          </w14:textFill>
        </w:rPr>
        <w:fldChar w:fldCharType="end"/>
      </w:r>
    </w:p>
    <w:p w14:paraId="58B7F87E">
      <w:pPr>
        <w:pStyle w:val="15"/>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_Toc23456 </w:instrText>
      </w:r>
      <w:r>
        <w:rPr>
          <w:rFonts w:ascii="仿宋_GB2312" w:eastAsia="仿宋_GB2312"/>
          <w:kern w:val="0"/>
        </w:rPr>
        <w:fldChar w:fldCharType="separate"/>
      </w:r>
      <w:r>
        <w:rPr>
          <w:rFonts w:hint="eastAsia"/>
        </w:rPr>
        <w:t>四、磋商函附表</w:t>
      </w:r>
      <w:r>
        <w:tab/>
      </w:r>
      <w:r>
        <w:fldChar w:fldCharType="begin"/>
      </w:r>
      <w:r>
        <w:instrText xml:space="preserve"> PAGEREF _Toc23456 \h </w:instrText>
      </w:r>
      <w:r>
        <w:fldChar w:fldCharType="separate"/>
      </w:r>
      <w:r>
        <w:t>53</w:t>
      </w:r>
      <w:r>
        <w:fldChar w:fldCharType="end"/>
      </w:r>
      <w:r>
        <w:rPr>
          <w:rFonts w:ascii="仿宋_GB2312" w:eastAsia="仿宋_GB2312"/>
          <w:color w:val="000000" w:themeColor="text1"/>
          <w:kern w:val="0"/>
          <w14:textFill>
            <w14:solidFill>
              <w14:schemeClr w14:val="tx1"/>
            </w14:solidFill>
          </w14:textFill>
        </w:rPr>
        <w:fldChar w:fldCharType="end"/>
      </w:r>
    </w:p>
    <w:p w14:paraId="171DF914">
      <w:pPr>
        <w:pStyle w:val="15"/>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_Toc5287 </w:instrText>
      </w:r>
      <w:r>
        <w:rPr>
          <w:rFonts w:ascii="仿宋_GB2312" w:eastAsia="仿宋_GB2312"/>
          <w:kern w:val="0"/>
        </w:rPr>
        <w:fldChar w:fldCharType="separate"/>
      </w:r>
      <w:r>
        <w:rPr>
          <w:rFonts w:hint="eastAsia"/>
        </w:rPr>
        <w:t>五、参数一览表</w:t>
      </w:r>
      <w:r>
        <w:tab/>
      </w:r>
      <w:r>
        <w:fldChar w:fldCharType="begin"/>
      </w:r>
      <w:r>
        <w:instrText xml:space="preserve"> PAGEREF _Toc5287 \h </w:instrText>
      </w:r>
      <w:r>
        <w:fldChar w:fldCharType="separate"/>
      </w:r>
      <w:r>
        <w:t>54</w:t>
      </w:r>
      <w:r>
        <w:fldChar w:fldCharType="end"/>
      </w:r>
      <w:r>
        <w:rPr>
          <w:rFonts w:ascii="仿宋_GB2312" w:eastAsia="仿宋_GB2312"/>
          <w:color w:val="000000" w:themeColor="text1"/>
          <w:kern w:val="0"/>
          <w14:textFill>
            <w14:solidFill>
              <w14:schemeClr w14:val="tx1"/>
            </w14:solidFill>
          </w14:textFill>
        </w:rPr>
        <w:fldChar w:fldCharType="end"/>
      </w:r>
    </w:p>
    <w:p w14:paraId="6287F4CE">
      <w:pPr>
        <w:pStyle w:val="15"/>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_Toc16607 </w:instrText>
      </w:r>
      <w:r>
        <w:rPr>
          <w:rFonts w:ascii="仿宋_GB2312" w:eastAsia="仿宋_GB2312"/>
          <w:kern w:val="0"/>
        </w:rPr>
        <w:fldChar w:fldCharType="separate"/>
      </w:r>
      <w:r>
        <w:rPr>
          <w:rFonts w:hint="eastAsia"/>
        </w:rPr>
        <w:t>六、供应商基本情况表</w:t>
      </w:r>
      <w:r>
        <w:tab/>
      </w:r>
      <w:r>
        <w:fldChar w:fldCharType="begin"/>
      </w:r>
      <w:r>
        <w:instrText xml:space="preserve"> PAGEREF _Toc16607 \h </w:instrText>
      </w:r>
      <w:r>
        <w:fldChar w:fldCharType="separate"/>
      </w:r>
      <w:r>
        <w:t>56</w:t>
      </w:r>
      <w:r>
        <w:fldChar w:fldCharType="end"/>
      </w:r>
      <w:r>
        <w:rPr>
          <w:rFonts w:ascii="仿宋_GB2312" w:eastAsia="仿宋_GB2312"/>
          <w:color w:val="000000" w:themeColor="text1"/>
          <w:kern w:val="0"/>
          <w14:textFill>
            <w14:solidFill>
              <w14:schemeClr w14:val="tx1"/>
            </w14:solidFill>
          </w14:textFill>
        </w:rPr>
        <w:fldChar w:fldCharType="end"/>
      </w:r>
    </w:p>
    <w:p w14:paraId="76719C11">
      <w:pPr>
        <w:pStyle w:val="15"/>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_Toc18177 </w:instrText>
      </w:r>
      <w:r>
        <w:rPr>
          <w:rFonts w:ascii="仿宋_GB2312" w:eastAsia="仿宋_GB2312"/>
          <w:kern w:val="0"/>
        </w:rPr>
        <w:fldChar w:fldCharType="separate"/>
      </w:r>
      <w:r>
        <w:rPr>
          <w:rFonts w:hint="eastAsia"/>
        </w:rPr>
        <w:t>七、项目实施方案</w:t>
      </w:r>
      <w:r>
        <w:tab/>
      </w:r>
      <w:r>
        <w:fldChar w:fldCharType="begin"/>
      </w:r>
      <w:r>
        <w:instrText xml:space="preserve"> PAGEREF _Toc18177 \h </w:instrText>
      </w:r>
      <w:r>
        <w:fldChar w:fldCharType="separate"/>
      </w:r>
      <w:r>
        <w:t>58</w:t>
      </w:r>
      <w:r>
        <w:fldChar w:fldCharType="end"/>
      </w:r>
      <w:r>
        <w:rPr>
          <w:rFonts w:ascii="仿宋_GB2312" w:eastAsia="仿宋_GB2312"/>
          <w:color w:val="000000" w:themeColor="text1"/>
          <w:kern w:val="0"/>
          <w14:textFill>
            <w14:solidFill>
              <w14:schemeClr w14:val="tx1"/>
            </w14:solidFill>
          </w14:textFill>
        </w:rPr>
        <w:fldChar w:fldCharType="end"/>
      </w:r>
    </w:p>
    <w:p w14:paraId="57FF8941">
      <w:pPr>
        <w:pStyle w:val="15"/>
        <w:tabs>
          <w:tab w:val="right" w:leader="dot" w:pos="8300"/>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_Toc8748 </w:instrText>
      </w:r>
      <w:r>
        <w:rPr>
          <w:rFonts w:ascii="仿宋_GB2312" w:eastAsia="仿宋_GB2312"/>
          <w:kern w:val="0"/>
        </w:rPr>
        <w:fldChar w:fldCharType="separate"/>
      </w:r>
      <w:r>
        <w:rPr>
          <w:rFonts w:hint="eastAsia"/>
          <w:lang w:val="en-US" w:eastAsia="zh-CN"/>
        </w:rPr>
        <w:t>八</w:t>
      </w:r>
      <w:r>
        <w:rPr>
          <w:rFonts w:hint="eastAsia"/>
        </w:rPr>
        <w:t>、</w:t>
      </w:r>
      <w:r>
        <w:rPr>
          <w:rFonts w:hint="eastAsia"/>
          <w:lang w:val="zh-CN"/>
        </w:rPr>
        <w:t>其他资料</w:t>
      </w:r>
      <w:r>
        <w:tab/>
      </w:r>
      <w:r>
        <w:fldChar w:fldCharType="begin"/>
      </w:r>
      <w:r>
        <w:instrText xml:space="preserve"> PAGEREF _Toc8748 \h </w:instrText>
      </w:r>
      <w:r>
        <w:fldChar w:fldCharType="separate"/>
      </w:r>
      <w:r>
        <w:t>59</w:t>
      </w:r>
      <w:r>
        <w:fldChar w:fldCharType="end"/>
      </w:r>
      <w:r>
        <w:rPr>
          <w:rFonts w:ascii="仿宋_GB2312" w:eastAsia="仿宋_GB2312"/>
          <w:color w:val="000000" w:themeColor="text1"/>
          <w:kern w:val="0"/>
          <w14:textFill>
            <w14:solidFill>
              <w14:schemeClr w14:val="tx1"/>
            </w14:solidFill>
          </w14:textFill>
        </w:rPr>
        <w:fldChar w:fldCharType="end"/>
      </w:r>
    </w:p>
    <w:p w14:paraId="5AA93805">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r>
        <w:rPr>
          <w:rFonts w:ascii="仿宋_GB2312" w:eastAsia="仿宋_GB2312"/>
          <w:color w:val="000000" w:themeColor="text1"/>
          <w:kern w:val="0"/>
          <w14:textFill>
            <w14:solidFill>
              <w14:schemeClr w14:val="tx1"/>
            </w14:solidFill>
          </w14:textFill>
        </w:rPr>
        <w:fldChar w:fldCharType="end"/>
      </w:r>
    </w:p>
    <w:p w14:paraId="7ED01A47">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56AD5890">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6E7F4271">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3E2CF17D">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4762C7FB">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6D80A39B">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3BDA50E5">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057723C8">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67D5240">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694D5C43">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70F53C32">
      <w:pPr>
        <w:spacing w:line="520" w:lineRule="exact"/>
        <w:rPr>
          <w:color w:val="000000" w:themeColor="text1"/>
          <w14:textFill>
            <w14:solidFill>
              <w14:schemeClr w14:val="tx1"/>
            </w14:solidFill>
          </w14:textFill>
        </w:rPr>
      </w:pPr>
      <w:r>
        <w:rPr>
          <w:rFonts w:ascii="仿宋_GB2312" w:hAnsi="宋体" w:eastAsia="仿宋_GB2312" w:cs="Times New Roman"/>
          <w:color w:val="000000" w:themeColor="text1"/>
          <w:kern w:val="0"/>
          <w:sz w:val="28"/>
          <w:szCs w:val="24"/>
          <w14:textFill>
            <w14:solidFill>
              <w14:schemeClr w14:val="tx1"/>
            </w14:solidFill>
          </w14:textFill>
        </w:rPr>
        <w:br w:type="textWrapping"/>
      </w:r>
    </w:p>
    <w:p w14:paraId="3A53F5A7">
      <w:pPr>
        <w:rPr>
          <w:rFonts w:ascii="仿宋_GB2312" w:hAnsi="宋体" w:eastAsia="仿宋_GB2312" w:cs="Times New Roman"/>
          <w:color w:val="000000" w:themeColor="text1"/>
          <w:kern w:val="0"/>
          <w:sz w:val="28"/>
          <w:szCs w:val="24"/>
          <w14:textFill>
            <w14:solidFill>
              <w14:schemeClr w14:val="tx1"/>
            </w14:solidFill>
          </w14:textFill>
        </w:rPr>
      </w:pPr>
      <w:r>
        <w:rPr>
          <w:rFonts w:ascii="仿宋_GB2312" w:hAnsi="宋体" w:eastAsia="仿宋_GB2312" w:cs="Times New Roman"/>
          <w:color w:val="000000" w:themeColor="text1"/>
          <w:kern w:val="0"/>
          <w:sz w:val="28"/>
          <w:szCs w:val="24"/>
          <w14:textFill>
            <w14:solidFill>
              <w14:schemeClr w14:val="tx1"/>
            </w14:solidFill>
          </w14:textFill>
        </w:rPr>
        <w:br w:type="page"/>
      </w:r>
    </w:p>
    <w:p w14:paraId="5AC91CE7">
      <w:pPr>
        <w:pStyle w:val="32"/>
        <w:ind w:firstLine="420"/>
      </w:pPr>
    </w:p>
    <w:p w14:paraId="7923CC8D">
      <w:pPr>
        <w:widowControl/>
        <w:numPr>
          <w:ilvl w:val="0"/>
          <w:numId w:val="2"/>
        </w:numPr>
        <w:shd w:val="clear" w:color="auto" w:fill="FFFFFF"/>
        <w:spacing w:line="420" w:lineRule="atLeast"/>
        <w:jc w:val="center"/>
        <w:outlineLvl w:val="0"/>
        <w:rPr>
          <w:rFonts w:ascii="宋体" w:hAnsi="宋体" w:eastAsia="宋体" w:cs="宋体"/>
          <w:b/>
          <w:bCs/>
          <w:color w:val="000000" w:themeColor="text1"/>
          <w:kern w:val="0"/>
          <w:sz w:val="36"/>
          <w:szCs w:val="36"/>
          <w14:textFill>
            <w14:solidFill>
              <w14:schemeClr w14:val="tx1"/>
            </w14:solidFill>
          </w14:textFill>
        </w:rPr>
      </w:pPr>
      <w:bookmarkStart w:id="0" w:name="_Toc109675032"/>
      <w:bookmarkStart w:id="1" w:name="_Toc21608"/>
      <w:r>
        <w:rPr>
          <w:rFonts w:hint="eastAsia" w:ascii="宋体" w:hAnsi="宋体" w:eastAsia="宋体" w:cs="宋体"/>
          <w:b/>
          <w:bCs/>
          <w:color w:val="000000" w:themeColor="text1"/>
          <w:kern w:val="0"/>
          <w:sz w:val="36"/>
          <w:szCs w:val="36"/>
          <w14:textFill>
            <w14:solidFill>
              <w14:schemeClr w14:val="tx1"/>
            </w14:solidFill>
          </w14:textFill>
        </w:rPr>
        <w:t>竞争性磋商公告</w:t>
      </w:r>
      <w:bookmarkEnd w:id="0"/>
      <w:bookmarkEnd w:id="1"/>
    </w:p>
    <w:p w14:paraId="449FCF55">
      <w:pPr>
        <w:bidi w:val="0"/>
        <w:rPr>
          <w:sz w:val="28"/>
          <w:szCs w:val="28"/>
        </w:rPr>
      </w:pPr>
      <w:r>
        <w:rPr>
          <w:sz w:val="28"/>
          <w:szCs w:val="28"/>
        </w:rPr>
        <w:t>项目概况</w:t>
      </w:r>
    </w:p>
    <w:p w14:paraId="569BFC1E">
      <w:pPr>
        <w:bidi w:val="0"/>
        <w:ind w:firstLine="560" w:firstLineChars="200"/>
        <w:rPr>
          <w:sz w:val="28"/>
          <w:szCs w:val="28"/>
        </w:rPr>
      </w:pPr>
      <w:r>
        <w:rPr>
          <w:rFonts w:hint="eastAsia"/>
          <w:sz w:val="28"/>
          <w:szCs w:val="28"/>
          <w:lang w:eastAsia="zh-CN"/>
        </w:rPr>
        <w:t>三门峡市陕州区第二实验幼儿园设备购置项目</w:t>
      </w:r>
      <w:r>
        <w:rPr>
          <w:rFonts w:hint="eastAsia"/>
          <w:sz w:val="28"/>
          <w:szCs w:val="28"/>
        </w:rPr>
        <w:t>的潜在投标人应在三门峡市公共资源交易中心网获取磋商文件，并于202</w:t>
      </w:r>
      <w:r>
        <w:rPr>
          <w:rFonts w:hint="eastAsia"/>
          <w:sz w:val="28"/>
          <w:szCs w:val="28"/>
          <w:lang w:val="en-US" w:eastAsia="zh-CN"/>
        </w:rPr>
        <w:t>5</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6</w:t>
      </w:r>
      <w:r>
        <w:rPr>
          <w:rFonts w:hint="eastAsia"/>
          <w:sz w:val="28"/>
          <w:szCs w:val="28"/>
        </w:rPr>
        <w:t>日08时30分（北京时间）前递交响应文件。</w:t>
      </w:r>
    </w:p>
    <w:p w14:paraId="0402CB32">
      <w:pPr>
        <w:bidi w:val="0"/>
        <w:rPr>
          <w:sz w:val="28"/>
          <w:szCs w:val="28"/>
        </w:rPr>
      </w:pPr>
      <w:r>
        <w:rPr>
          <w:rFonts w:hint="eastAsia"/>
          <w:sz w:val="28"/>
          <w:szCs w:val="28"/>
        </w:rPr>
        <w:t>一</w:t>
      </w:r>
      <w:r>
        <w:rPr>
          <w:sz w:val="28"/>
          <w:szCs w:val="28"/>
        </w:rPr>
        <w:t>、项目基本情况</w:t>
      </w:r>
    </w:p>
    <w:p w14:paraId="6A1921A0">
      <w:pPr>
        <w:bidi w:val="0"/>
        <w:rPr>
          <w:rFonts w:hint="default"/>
          <w:sz w:val="28"/>
          <w:szCs w:val="28"/>
          <w:lang w:val="en-US" w:eastAsia="zh-CN"/>
        </w:rPr>
      </w:pPr>
      <w:r>
        <w:rPr>
          <w:rFonts w:hint="eastAsia"/>
          <w:sz w:val="28"/>
          <w:szCs w:val="28"/>
        </w:rPr>
        <w:t>1.项目</w:t>
      </w:r>
      <w:r>
        <w:rPr>
          <w:sz w:val="28"/>
          <w:szCs w:val="28"/>
        </w:rPr>
        <w:t>编</w:t>
      </w:r>
      <w:r>
        <w:rPr>
          <w:rFonts w:hint="eastAsia"/>
          <w:sz w:val="28"/>
          <w:szCs w:val="28"/>
        </w:rPr>
        <w:t>号</w:t>
      </w:r>
      <w:r>
        <w:rPr>
          <w:rFonts w:hint="eastAsia"/>
          <w:sz w:val="28"/>
          <w:szCs w:val="28"/>
        </w:rPr>
        <w:t>:</w:t>
      </w:r>
      <w:r>
        <w:rPr>
          <w:rFonts w:hint="eastAsia"/>
          <w:sz w:val="28"/>
          <w:szCs w:val="28"/>
          <w:lang w:val="en-US" w:eastAsia="zh-CN"/>
        </w:rPr>
        <w:t xml:space="preserve"> 陕州竞磋采购-2025-50、SZGZ[2025]083-ZC054</w:t>
      </w:r>
    </w:p>
    <w:p w14:paraId="4F2588A4">
      <w:pPr>
        <w:bidi w:val="0"/>
        <w:rPr>
          <w:rFonts w:hint="eastAsia"/>
          <w:sz w:val="28"/>
          <w:szCs w:val="28"/>
          <w:lang w:eastAsia="zh-CN"/>
        </w:rPr>
      </w:pPr>
      <w:r>
        <w:rPr>
          <w:sz w:val="28"/>
          <w:szCs w:val="28"/>
        </w:rPr>
        <w:t>2.</w:t>
      </w:r>
      <w:r>
        <w:rPr>
          <w:rFonts w:hint="eastAsia"/>
          <w:sz w:val="28"/>
          <w:szCs w:val="28"/>
          <w:lang w:eastAsia="zh-CN"/>
        </w:rPr>
        <w:t>项目名称：三门峡市陕州区第二实验幼儿园设备购置项目</w:t>
      </w:r>
    </w:p>
    <w:p w14:paraId="2680D9B7">
      <w:pPr>
        <w:bidi w:val="0"/>
        <w:rPr>
          <w:rFonts w:hint="eastAsia"/>
          <w:sz w:val="28"/>
          <w:szCs w:val="28"/>
          <w:lang w:eastAsia="zh-CN"/>
        </w:rPr>
      </w:pPr>
      <w:r>
        <w:rPr>
          <w:rFonts w:hint="eastAsia"/>
          <w:sz w:val="28"/>
          <w:szCs w:val="28"/>
          <w:lang w:eastAsia="zh-CN"/>
        </w:rPr>
        <w:t>3.采购方式：竞争性磋商</w:t>
      </w:r>
    </w:p>
    <w:p w14:paraId="3FE677B7">
      <w:pPr>
        <w:bidi w:val="0"/>
        <w:rPr>
          <w:rFonts w:hint="eastAsia"/>
          <w:sz w:val="28"/>
          <w:szCs w:val="28"/>
          <w:lang w:eastAsia="zh-CN"/>
        </w:rPr>
      </w:pPr>
      <w:r>
        <w:rPr>
          <w:rFonts w:hint="eastAsia"/>
          <w:sz w:val="28"/>
          <w:szCs w:val="28"/>
          <w:lang w:eastAsia="zh-CN"/>
        </w:rPr>
        <w:t>4.预算金额：</w:t>
      </w:r>
      <w:r>
        <w:rPr>
          <w:rFonts w:hint="eastAsia"/>
          <w:sz w:val="28"/>
          <w:szCs w:val="28"/>
          <w:lang w:val="en-US" w:eastAsia="zh-CN"/>
        </w:rPr>
        <w:t>500000</w:t>
      </w:r>
      <w:r>
        <w:rPr>
          <w:rFonts w:hint="eastAsia"/>
          <w:sz w:val="28"/>
          <w:szCs w:val="28"/>
          <w:lang w:eastAsia="zh-CN"/>
        </w:rPr>
        <w:t>元</w:t>
      </w:r>
    </w:p>
    <w:p w14:paraId="5F974648">
      <w:pPr>
        <w:bidi w:val="0"/>
        <w:rPr>
          <w:rFonts w:hint="eastAsia"/>
          <w:sz w:val="28"/>
          <w:szCs w:val="28"/>
          <w:lang w:eastAsia="zh-CN"/>
        </w:rPr>
      </w:pPr>
      <w:r>
        <w:rPr>
          <w:rFonts w:hint="eastAsia"/>
          <w:sz w:val="28"/>
          <w:szCs w:val="28"/>
          <w:lang w:eastAsia="zh-CN"/>
        </w:rPr>
        <w:t>最高限价：</w:t>
      </w:r>
      <w:r>
        <w:rPr>
          <w:rFonts w:hint="eastAsia"/>
          <w:sz w:val="28"/>
          <w:szCs w:val="28"/>
          <w:lang w:val="en-US" w:eastAsia="zh-CN"/>
        </w:rPr>
        <w:t>500000</w:t>
      </w:r>
      <w:r>
        <w:rPr>
          <w:rFonts w:hint="eastAsia"/>
          <w:sz w:val="28"/>
          <w:szCs w:val="28"/>
          <w:lang w:eastAsia="zh-CN"/>
        </w:rPr>
        <w:t>元</w:t>
      </w:r>
    </w:p>
    <w:tbl>
      <w:tblPr>
        <w:tblStyle w:val="18"/>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95"/>
        <w:gridCol w:w="3372"/>
        <w:gridCol w:w="1626"/>
        <w:gridCol w:w="2127"/>
      </w:tblGrid>
      <w:tr w14:paraId="74E8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78" w:type="dxa"/>
            <w:vAlign w:val="center"/>
          </w:tcPr>
          <w:p w14:paraId="7C1792AF">
            <w:pPr>
              <w:bidi w:val="0"/>
              <w:rPr>
                <w:sz w:val="28"/>
                <w:szCs w:val="28"/>
              </w:rPr>
            </w:pPr>
            <w:r>
              <w:rPr>
                <w:sz w:val="28"/>
                <w:szCs w:val="28"/>
              </w:rPr>
              <w:t>序号</w:t>
            </w:r>
          </w:p>
        </w:tc>
        <w:tc>
          <w:tcPr>
            <w:tcW w:w="2295" w:type="dxa"/>
            <w:vAlign w:val="center"/>
          </w:tcPr>
          <w:p w14:paraId="10074CDB">
            <w:pPr>
              <w:bidi w:val="0"/>
              <w:rPr>
                <w:sz w:val="28"/>
                <w:szCs w:val="28"/>
              </w:rPr>
            </w:pPr>
            <w:r>
              <w:rPr>
                <w:rFonts w:hint="eastAsia"/>
                <w:sz w:val="28"/>
                <w:szCs w:val="28"/>
              </w:rPr>
              <w:t>包号</w:t>
            </w:r>
          </w:p>
        </w:tc>
        <w:tc>
          <w:tcPr>
            <w:tcW w:w="3372" w:type="dxa"/>
            <w:vAlign w:val="center"/>
          </w:tcPr>
          <w:p w14:paraId="0DB7F796">
            <w:pPr>
              <w:bidi w:val="0"/>
              <w:rPr>
                <w:sz w:val="28"/>
                <w:szCs w:val="28"/>
              </w:rPr>
            </w:pPr>
            <w:r>
              <w:rPr>
                <w:rFonts w:hint="eastAsia"/>
                <w:sz w:val="28"/>
                <w:szCs w:val="28"/>
              </w:rPr>
              <w:t>包名称</w:t>
            </w:r>
          </w:p>
        </w:tc>
        <w:tc>
          <w:tcPr>
            <w:tcW w:w="1626" w:type="dxa"/>
            <w:vAlign w:val="center"/>
          </w:tcPr>
          <w:p w14:paraId="22BD7E00">
            <w:pPr>
              <w:bidi w:val="0"/>
              <w:rPr>
                <w:sz w:val="28"/>
                <w:szCs w:val="28"/>
              </w:rPr>
            </w:pPr>
            <w:r>
              <w:rPr>
                <w:rFonts w:hint="eastAsia"/>
                <w:sz w:val="28"/>
                <w:szCs w:val="28"/>
              </w:rPr>
              <w:t>包预算（元）</w:t>
            </w:r>
          </w:p>
        </w:tc>
        <w:tc>
          <w:tcPr>
            <w:tcW w:w="2127" w:type="dxa"/>
            <w:vAlign w:val="center"/>
          </w:tcPr>
          <w:p w14:paraId="72E28CE1">
            <w:pPr>
              <w:bidi w:val="0"/>
              <w:rPr>
                <w:sz w:val="28"/>
                <w:szCs w:val="28"/>
              </w:rPr>
            </w:pPr>
            <w:r>
              <w:rPr>
                <w:rFonts w:hint="eastAsia"/>
                <w:sz w:val="28"/>
                <w:szCs w:val="28"/>
              </w:rPr>
              <w:t>包最高限价（元）</w:t>
            </w:r>
          </w:p>
        </w:tc>
      </w:tr>
      <w:tr w14:paraId="2FAD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78" w:type="dxa"/>
            <w:vAlign w:val="center"/>
          </w:tcPr>
          <w:p w14:paraId="692B0C10">
            <w:pPr>
              <w:bidi w:val="0"/>
              <w:rPr>
                <w:sz w:val="28"/>
                <w:szCs w:val="28"/>
              </w:rPr>
            </w:pPr>
            <w:r>
              <w:rPr>
                <w:rFonts w:hint="eastAsia"/>
                <w:sz w:val="28"/>
                <w:szCs w:val="28"/>
              </w:rPr>
              <w:t>1</w:t>
            </w:r>
          </w:p>
        </w:tc>
        <w:tc>
          <w:tcPr>
            <w:tcW w:w="2295" w:type="dxa"/>
            <w:vAlign w:val="center"/>
          </w:tcPr>
          <w:p w14:paraId="0D6A5E0A">
            <w:pPr>
              <w:bidi w:val="0"/>
              <w:rPr>
                <w:rFonts w:hint="eastAsia"/>
                <w:sz w:val="28"/>
                <w:szCs w:val="28"/>
                <w:lang w:eastAsia="zh-CN"/>
              </w:rPr>
            </w:pPr>
            <w:r>
              <w:rPr>
                <w:rFonts w:hint="eastAsia"/>
                <w:sz w:val="28"/>
                <w:szCs w:val="28"/>
                <w:lang w:val="en-US" w:eastAsia="zh-CN"/>
              </w:rPr>
              <w:t>SZGZ[2025]083-ZC054</w:t>
            </w:r>
          </w:p>
        </w:tc>
        <w:tc>
          <w:tcPr>
            <w:tcW w:w="3372" w:type="dxa"/>
            <w:vAlign w:val="center"/>
          </w:tcPr>
          <w:p w14:paraId="2A448F3A">
            <w:pPr>
              <w:bidi w:val="0"/>
              <w:rPr>
                <w:rFonts w:hint="eastAsia"/>
                <w:sz w:val="28"/>
                <w:szCs w:val="28"/>
                <w:lang w:eastAsia="zh-CN"/>
              </w:rPr>
            </w:pPr>
            <w:r>
              <w:rPr>
                <w:rFonts w:hint="eastAsia"/>
                <w:sz w:val="28"/>
                <w:szCs w:val="28"/>
                <w:lang w:eastAsia="zh-CN"/>
              </w:rPr>
              <w:t>三门峡市陕州区第二实验幼儿园设备购置项目</w:t>
            </w:r>
          </w:p>
        </w:tc>
        <w:tc>
          <w:tcPr>
            <w:tcW w:w="1626" w:type="dxa"/>
            <w:vAlign w:val="center"/>
          </w:tcPr>
          <w:p w14:paraId="57178B1F">
            <w:pPr>
              <w:bidi w:val="0"/>
              <w:rPr>
                <w:rFonts w:hint="eastAsia"/>
                <w:sz w:val="28"/>
                <w:szCs w:val="28"/>
                <w:lang w:eastAsia="zh-CN"/>
              </w:rPr>
            </w:pPr>
            <w:r>
              <w:rPr>
                <w:rFonts w:hint="eastAsia"/>
                <w:sz w:val="28"/>
                <w:szCs w:val="28"/>
                <w:lang w:val="en-US" w:eastAsia="zh-CN"/>
              </w:rPr>
              <w:t>500000</w:t>
            </w:r>
          </w:p>
        </w:tc>
        <w:tc>
          <w:tcPr>
            <w:tcW w:w="2127" w:type="dxa"/>
            <w:vAlign w:val="center"/>
          </w:tcPr>
          <w:p w14:paraId="4688563E">
            <w:pPr>
              <w:bidi w:val="0"/>
              <w:rPr>
                <w:rFonts w:hint="eastAsia"/>
                <w:sz w:val="28"/>
                <w:szCs w:val="28"/>
                <w:lang w:eastAsia="zh-CN"/>
              </w:rPr>
            </w:pPr>
            <w:r>
              <w:rPr>
                <w:rFonts w:hint="eastAsia"/>
                <w:sz w:val="28"/>
                <w:szCs w:val="28"/>
                <w:lang w:val="en-US" w:eastAsia="zh-CN"/>
              </w:rPr>
              <w:t>500000</w:t>
            </w:r>
          </w:p>
        </w:tc>
      </w:tr>
    </w:tbl>
    <w:p w14:paraId="0AE342E5">
      <w:pPr>
        <w:bidi w:val="0"/>
        <w:rPr>
          <w:sz w:val="28"/>
          <w:szCs w:val="28"/>
        </w:rPr>
      </w:pPr>
      <w:r>
        <w:rPr>
          <w:rFonts w:hint="eastAsia"/>
          <w:sz w:val="28"/>
          <w:szCs w:val="28"/>
        </w:rPr>
        <w:t>5、</w:t>
      </w:r>
      <w:r>
        <w:rPr>
          <w:sz w:val="28"/>
          <w:szCs w:val="28"/>
        </w:rPr>
        <w:t>采购需求（包括但不限于标的的名称、数量、简要技术需求或服务要求等）</w:t>
      </w:r>
    </w:p>
    <w:p w14:paraId="68164636">
      <w:pPr>
        <w:bidi w:val="0"/>
        <w:rPr>
          <w:sz w:val="28"/>
          <w:szCs w:val="28"/>
        </w:rPr>
      </w:pPr>
      <w:r>
        <w:rPr>
          <w:sz w:val="28"/>
          <w:szCs w:val="28"/>
        </w:rPr>
        <w:t>5.1</w:t>
      </w:r>
      <w:r>
        <w:rPr>
          <w:rFonts w:hint="eastAsia"/>
          <w:sz w:val="28"/>
          <w:szCs w:val="28"/>
        </w:rPr>
        <w:t>采购内容</w:t>
      </w:r>
      <w:r>
        <w:rPr>
          <w:sz w:val="28"/>
          <w:szCs w:val="28"/>
        </w:rPr>
        <w:t>：</w:t>
      </w:r>
      <w:r>
        <w:rPr>
          <w:rFonts w:hint="eastAsia"/>
          <w:sz w:val="28"/>
          <w:szCs w:val="28"/>
          <w:lang w:eastAsia="zh-CN"/>
        </w:rPr>
        <w:t>户外玩具、幼儿绘本、</w:t>
      </w:r>
      <w:r>
        <w:rPr>
          <w:rFonts w:hint="eastAsia"/>
          <w:sz w:val="28"/>
          <w:szCs w:val="28"/>
          <w:lang w:val="en-US" w:eastAsia="zh-CN"/>
        </w:rPr>
        <w:t>交互智能平板、笔记本电脑、</w:t>
      </w:r>
      <w:r>
        <w:rPr>
          <w:rFonts w:hint="eastAsia"/>
          <w:sz w:val="28"/>
          <w:szCs w:val="28"/>
          <w:lang w:eastAsia="zh-CN"/>
        </w:rPr>
        <w:t>直饮机及热水器的采购安装</w:t>
      </w:r>
      <w:r>
        <w:rPr>
          <w:rFonts w:hint="eastAsia"/>
          <w:sz w:val="28"/>
          <w:szCs w:val="28"/>
        </w:rPr>
        <w:t>，详见采购需求。</w:t>
      </w:r>
    </w:p>
    <w:p w14:paraId="7BB0A804">
      <w:pPr>
        <w:bidi w:val="0"/>
        <w:rPr>
          <w:sz w:val="28"/>
          <w:szCs w:val="28"/>
        </w:rPr>
      </w:pPr>
      <w:r>
        <w:rPr>
          <w:sz w:val="28"/>
          <w:szCs w:val="28"/>
        </w:rPr>
        <w:t>5.</w:t>
      </w:r>
      <w:r>
        <w:rPr>
          <w:rFonts w:hint="eastAsia"/>
          <w:sz w:val="28"/>
          <w:szCs w:val="28"/>
          <w:lang w:val="en-US" w:eastAsia="zh-CN"/>
        </w:rPr>
        <w:t>2</w:t>
      </w:r>
      <w:r>
        <w:rPr>
          <w:rFonts w:hint="eastAsia"/>
          <w:sz w:val="28"/>
          <w:szCs w:val="28"/>
        </w:rPr>
        <w:t>资金来源：财政资金，已落实。</w:t>
      </w:r>
    </w:p>
    <w:p w14:paraId="2EE01747">
      <w:pPr>
        <w:bidi w:val="0"/>
        <w:rPr>
          <w:rFonts w:hint="eastAsia"/>
          <w:sz w:val="28"/>
          <w:szCs w:val="28"/>
        </w:rPr>
      </w:pPr>
      <w:r>
        <w:rPr>
          <w:rFonts w:hint="eastAsia"/>
          <w:sz w:val="28"/>
          <w:szCs w:val="28"/>
        </w:rPr>
        <w:t>5.</w:t>
      </w:r>
      <w:r>
        <w:rPr>
          <w:rFonts w:hint="eastAsia"/>
          <w:sz w:val="28"/>
          <w:szCs w:val="28"/>
          <w:lang w:val="en-US" w:eastAsia="zh-CN"/>
        </w:rPr>
        <w:t>3</w:t>
      </w:r>
      <w:r>
        <w:rPr>
          <w:rFonts w:hint="eastAsia"/>
          <w:sz w:val="28"/>
          <w:szCs w:val="28"/>
        </w:rPr>
        <w:t>交货期：合同签订之日起</w:t>
      </w:r>
      <w:r>
        <w:rPr>
          <w:rFonts w:hint="eastAsia"/>
          <w:sz w:val="28"/>
          <w:szCs w:val="28"/>
          <w:lang w:val="en-US" w:eastAsia="zh-CN"/>
        </w:rPr>
        <w:t>30</w:t>
      </w:r>
      <w:r>
        <w:rPr>
          <w:rFonts w:hint="eastAsia"/>
          <w:sz w:val="28"/>
          <w:szCs w:val="28"/>
        </w:rPr>
        <w:t>日历天内</w:t>
      </w:r>
      <w:r>
        <w:rPr>
          <w:rFonts w:hint="eastAsia"/>
          <w:sz w:val="28"/>
          <w:szCs w:val="28"/>
          <w:lang w:eastAsia="zh-CN"/>
        </w:rPr>
        <w:t>完成</w:t>
      </w:r>
      <w:r>
        <w:rPr>
          <w:rFonts w:hint="eastAsia"/>
          <w:sz w:val="28"/>
          <w:szCs w:val="28"/>
        </w:rPr>
        <w:t>供货安装</w:t>
      </w:r>
    </w:p>
    <w:p w14:paraId="3E8C5A9A">
      <w:pPr>
        <w:bidi w:val="0"/>
        <w:rPr>
          <w:rFonts w:hint="default" w:eastAsiaTheme="minorEastAsia"/>
          <w:sz w:val="28"/>
          <w:szCs w:val="28"/>
          <w:lang w:val="en-US" w:eastAsia="zh-CN"/>
        </w:rPr>
      </w:pPr>
      <w:r>
        <w:rPr>
          <w:sz w:val="28"/>
          <w:szCs w:val="28"/>
        </w:rPr>
        <w:t>5.</w:t>
      </w:r>
      <w:r>
        <w:rPr>
          <w:rFonts w:hint="eastAsia"/>
          <w:sz w:val="28"/>
          <w:szCs w:val="28"/>
          <w:lang w:val="en-US" w:eastAsia="zh-CN"/>
        </w:rPr>
        <w:t>4</w:t>
      </w:r>
      <w:r>
        <w:rPr>
          <w:rFonts w:hint="eastAsia"/>
          <w:sz w:val="28"/>
          <w:szCs w:val="28"/>
        </w:rPr>
        <w:t>质量要求：符合国家及行业现行标准、规范</w:t>
      </w:r>
      <w:r>
        <w:rPr>
          <w:rFonts w:hint="eastAsia"/>
          <w:sz w:val="28"/>
          <w:szCs w:val="28"/>
          <w:lang w:eastAsia="zh-CN"/>
        </w:rPr>
        <w:t>，</w:t>
      </w:r>
      <w:r>
        <w:rPr>
          <w:rFonts w:hint="eastAsia"/>
          <w:sz w:val="28"/>
          <w:szCs w:val="28"/>
        </w:rPr>
        <w:t>达到采购人要求。</w:t>
      </w:r>
    </w:p>
    <w:p w14:paraId="6033BACB">
      <w:pPr>
        <w:bidi w:val="0"/>
        <w:rPr>
          <w:sz w:val="28"/>
          <w:szCs w:val="28"/>
        </w:rPr>
      </w:pPr>
      <w:r>
        <w:rPr>
          <w:sz w:val="28"/>
          <w:szCs w:val="28"/>
        </w:rPr>
        <w:t>6</w:t>
      </w:r>
      <w:r>
        <w:rPr>
          <w:rFonts w:hint="eastAsia"/>
          <w:sz w:val="28"/>
          <w:szCs w:val="28"/>
        </w:rPr>
        <w:t>、</w:t>
      </w:r>
      <w:r>
        <w:rPr>
          <w:sz w:val="28"/>
          <w:szCs w:val="28"/>
        </w:rPr>
        <w:t>合同履行期限：</w:t>
      </w:r>
      <w:r>
        <w:rPr>
          <w:rFonts w:hint="eastAsia"/>
          <w:sz w:val="28"/>
          <w:szCs w:val="28"/>
        </w:rPr>
        <w:t>按合同约定执行。</w:t>
      </w:r>
    </w:p>
    <w:p w14:paraId="4A14630F">
      <w:pPr>
        <w:bidi w:val="0"/>
        <w:rPr>
          <w:sz w:val="28"/>
          <w:szCs w:val="28"/>
        </w:rPr>
      </w:pPr>
      <w:r>
        <w:rPr>
          <w:sz w:val="28"/>
          <w:szCs w:val="28"/>
        </w:rPr>
        <w:t>7</w:t>
      </w:r>
      <w:r>
        <w:rPr>
          <w:rFonts w:hint="eastAsia"/>
          <w:sz w:val="28"/>
          <w:szCs w:val="28"/>
        </w:rPr>
        <w:t>、</w:t>
      </w:r>
      <w:r>
        <w:rPr>
          <w:sz w:val="28"/>
          <w:szCs w:val="28"/>
        </w:rPr>
        <w:t>本项目是否接受联合体投标：否</w:t>
      </w:r>
    </w:p>
    <w:p w14:paraId="0A429201">
      <w:pPr>
        <w:bidi w:val="0"/>
        <w:rPr>
          <w:sz w:val="28"/>
          <w:szCs w:val="28"/>
        </w:rPr>
      </w:pPr>
      <w:r>
        <w:rPr>
          <w:sz w:val="28"/>
          <w:szCs w:val="28"/>
        </w:rPr>
        <w:t>8</w:t>
      </w:r>
      <w:r>
        <w:rPr>
          <w:rFonts w:hint="eastAsia"/>
          <w:sz w:val="28"/>
          <w:szCs w:val="28"/>
        </w:rPr>
        <w:t>、</w:t>
      </w:r>
      <w:r>
        <w:rPr>
          <w:sz w:val="28"/>
          <w:szCs w:val="28"/>
        </w:rPr>
        <w:t>是否接受进口产品：</w:t>
      </w:r>
      <w:r>
        <w:rPr>
          <w:rFonts w:hint="eastAsia"/>
          <w:sz w:val="28"/>
          <w:szCs w:val="28"/>
        </w:rPr>
        <w:t>否</w:t>
      </w:r>
    </w:p>
    <w:p w14:paraId="6F65F2EC">
      <w:pPr>
        <w:bidi w:val="0"/>
        <w:rPr>
          <w:sz w:val="28"/>
          <w:szCs w:val="28"/>
        </w:rPr>
      </w:pPr>
      <w:r>
        <w:rPr>
          <w:rFonts w:hint="eastAsia"/>
          <w:sz w:val="28"/>
          <w:szCs w:val="28"/>
        </w:rPr>
        <w:t>9、是否为只面向中小微企业采购：否</w:t>
      </w:r>
    </w:p>
    <w:p w14:paraId="7A91768D">
      <w:pPr>
        <w:bidi w:val="0"/>
        <w:rPr>
          <w:sz w:val="28"/>
          <w:szCs w:val="28"/>
        </w:rPr>
      </w:pPr>
      <w:r>
        <w:rPr>
          <w:sz w:val="28"/>
          <w:szCs w:val="28"/>
        </w:rPr>
        <w:t>二、申请人资格要求</w:t>
      </w:r>
    </w:p>
    <w:p w14:paraId="4C10F51E">
      <w:pPr>
        <w:bidi w:val="0"/>
        <w:rPr>
          <w:rFonts w:hint="eastAsia"/>
          <w:sz w:val="28"/>
          <w:szCs w:val="28"/>
          <w:lang w:eastAsia="zh-CN"/>
        </w:rPr>
      </w:pPr>
      <w:r>
        <w:rPr>
          <w:rFonts w:hint="eastAsia"/>
          <w:sz w:val="28"/>
          <w:szCs w:val="28"/>
          <w:lang w:eastAsia="zh-CN"/>
        </w:rPr>
        <w:t>1、满足《中华人民共和国政府采购法》第二十二条的规定：</w:t>
      </w:r>
    </w:p>
    <w:p w14:paraId="3CB912AD">
      <w:pPr>
        <w:bidi w:val="0"/>
        <w:rPr>
          <w:rFonts w:hint="eastAsia"/>
          <w:sz w:val="28"/>
          <w:szCs w:val="28"/>
          <w:lang w:eastAsia="zh-CN"/>
        </w:rPr>
      </w:pPr>
      <w:r>
        <w:rPr>
          <w:rFonts w:hint="eastAsia"/>
          <w:sz w:val="28"/>
          <w:szCs w:val="28"/>
          <w:lang w:eastAsia="zh-CN"/>
        </w:rPr>
        <w:t>（一）具有独立承担民事责任的能力；</w:t>
      </w:r>
    </w:p>
    <w:p w14:paraId="4A9D36A2">
      <w:pPr>
        <w:bidi w:val="0"/>
        <w:rPr>
          <w:rFonts w:hint="eastAsia"/>
          <w:sz w:val="28"/>
          <w:szCs w:val="28"/>
          <w:lang w:eastAsia="zh-CN"/>
        </w:rPr>
      </w:pPr>
      <w:r>
        <w:rPr>
          <w:rFonts w:hint="eastAsia"/>
          <w:sz w:val="28"/>
          <w:szCs w:val="28"/>
          <w:lang w:eastAsia="zh-CN"/>
        </w:rPr>
        <w:t>（二）具有良好的商业信誉和健全的财务会计制度；</w:t>
      </w:r>
    </w:p>
    <w:p w14:paraId="5BE3B35C">
      <w:pPr>
        <w:bidi w:val="0"/>
        <w:rPr>
          <w:rFonts w:hint="eastAsia"/>
          <w:sz w:val="28"/>
          <w:szCs w:val="28"/>
          <w:lang w:eastAsia="zh-CN"/>
        </w:rPr>
      </w:pPr>
      <w:r>
        <w:rPr>
          <w:rFonts w:hint="eastAsia"/>
          <w:sz w:val="28"/>
          <w:szCs w:val="28"/>
          <w:lang w:eastAsia="zh-CN"/>
        </w:rPr>
        <w:t>（三）具有履行合同所必需的设备和专业技术能力；</w:t>
      </w:r>
    </w:p>
    <w:p w14:paraId="28532892">
      <w:pPr>
        <w:bidi w:val="0"/>
        <w:rPr>
          <w:rFonts w:hint="eastAsia"/>
          <w:sz w:val="28"/>
          <w:szCs w:val="28"/>
          <w:lang w:eastAsia="zh-CN"/>
        </w:rPr>
      </w:pPr>
      <w:r>
        <w:rPr>
          <w:rFonts w:hint="eastAsia"/>
          <w:sz w:val="28"/>
          <w:szCs w:val="28"/>
          <w:lang w:eastAsia="zh-CN"/>
        </w:rPr>
        <w:t>（四）有依法缴纳税收和社会保障资金的良好记录；</w:t>
      </w:r>
    </w:p>
    <w:p w14:paraId="6D18D08A">
      <w:pPr>
        <w:bidi w:val="0"/>
        <w:rPr>
          <w:rFonts w:hint="eastAsia"/>
          <w:sz w:val="28"/>
          <w:szCs w:val="28"/>
          <w:lang w:eastAsia="zh-CN"/>
        </w:rPr>
      </w:pPr>
      <w:r>
        <w:rPr>
          <w:rFonts w:hint="eastAsia"/>
          <w:sz w:val="28"/>
          <w:szCs w:val="28"/>
          <w:lang w:eastAsia="zh-CN"/>
        </w:rPr>
        <w:t>（五）参加政府采购活动前三年内，在经营活动中没有重大违法记录；</w:t>
      </w:r>
    </w:p>
    <w:p w14:paraId="2E707BC7">
      <w:pPr>
        <w:bidi w:val="0"/>
        <w:rPr>
          <w:rFonts w:hint="eastAsia"/>
          <w:sz w:val="28"/>
          <w:szCs w:val="28"/>
          <w:lang w:eastAsia="zh-CN"/>
        </w:rPr>
      </w:pPr>
      <w:r>
        <w:rPr>
          <w:rFonts w:hint="eastAsia"/>
          <w:sz w:val="28"/>
          <w:szCs w:val="28"/>
          <w:lang w:eastAsia="zh-CN"/>
        </w:rPr>
        <w:t>（六）法律、行政法规规定的其他条件。</w:t>
      </w:r>
    </w:p>
    <w:p w14:paraId="2BB212E2">
      <w:pPr>
        <w:bidi w:val="0"/>
        <w:rPr>
          <w:rFonts w:hint="eastAsia"/>
          <w:sz w:val="28"/>
          <w:szCs w:val="28"/>
          <w:lang w:eastAsia="zh-CN"/>
        </w:rPr>
      </w:pPr>
      <w:r>
        <w:rPr>
          <w:rFonts w:hint="eastAsia"/>
          <w:sz w:val="28"/>
          <w:szCs w:val="28"/>
          <w:lang w:eastAsia="zh-CN"/>
        </w:rPr>
        <w:t>注：供应商在投标（响应）时，提供相关承诺函，无需提供上述证明材料；采购人有权在签订合同前要求成交供应商提供相关证明材料以核实成交供应商承诺事项的真实性。</w:t>
      </w:r>
    </w:p>
    <w:p w14:paraId="6E3A01EC">
      <w:pPr>
        <w:bidi w:val="0"/>
        <w:rPr>
          <w:rFonts w:hint="eastAsia"/>
          <w:sz w:val="28"/>
          <w:szCs w:val="28"/>
          <w:lang w:eastAsia="zh-CN"/>
        </w:rPr>
      </w:pPr>
      <w:r>
        <w:rPr>
          <w:rFonts w:hint="eastAsia"/>
          <w:sz w:val="28"/>
          <w:szCs w:val="28"/>
          <w:lang w:eastAsia="zh-CN"/>
        </w:rPr>
        <w:t>2、落实政府采购政策满足的资格要求：本项目执行促进中小型企业（残疾人福利性企业、监狱企业）发展政策、优先采购节能环保产品等政府采购政策；</w:t>
      </w:r>
    </w:p>
    <w:p w14:paraId="1E2B61F0">
      <w:pPr>
        <w:bidi w:val="0"/>
        <w:rPr>
          <w:rFonts w:hint="eastAsia"/>
          <w:sz w:val="28"/>
          <w:szCs w:val="28"/>
          <w:lang w:eastAsia="zh-CN"/>
        </w:rPr>
      </w:pPr>
      <w:r>
        <w:rPr>
          <w:rFonts w:hint="eastAsia"/>
          <w:sz w:val="28"/>
          <w:szCs w:val="28"/>
          <w:lang w:eastAsia="zh-CN"/>
        </w:rPr>
        <w:t>3、本项目的特定资格要求：</w:t>
      </w:r>
    </w:p>
    <w:p w14:paraId="14E614AD">
      <w:pPr>
        <w:bidi w:val="0"/>
        <w:rPr>
          <w:rFonts w:hint="eastAsia"/>
          <w:sz w:val="28"/>
          <w:szCs w:val="28"/>
          <w:lang w:eastAsia="zh-CN"/>
        </w:rPr>
      </w:pPr>
      <w:r>
        <w:rPr>
          <w:rFonts w:hint="eastAsia"/>
          <w:sz w:val="28"/>
          <w:szCs w:val="28"/>
          <w:lang w:eastAsia="zh-CN"/>
        </w:rPr>
        <w:t>（1）持有效的营业执照副本、税务登记证副本、组织机构代码证（若三证合一的须出具合并后的有效证件）。</w:t>
      </w:r>
    </w:p>
    <w:p w14:paraId="04BE8443">
      <w:pPr>
        <w:bidi w:val="0"/>
        <w:rPr>
          <w:rFonts w:hint="eastAsia"/>
          <w:sz w:val="28"/>
          <w:szCs w:val="28"/>
          <w:lang w:eastAsia="zh-CN"/>
        </w:rPr>
      </w:pPr>
      <w:r>
        <w:rPr>
          <w:rFonts w:hint="eastAsia"/>
          <w:sz w:val="28"/>
          <w:szCs w:val="28"/>
          <w:lang w:eastAsia="zh-CN"/>
        </w:rPr>
        <w:t>（2）提供投标人企业、法定代表人无行贿犯罪记录,在中国裁判文书网查询或自行承诺。</w:t>
      </w:r>
    </w:p>
    <w:p w14:paraId="2CACC4D7">
      <w:pPr>
        <w:bidi w:val="0"/>
        <w:rPr>
          <w:rFonts w:hint="eastAsia"/>
          <w:sz w:val="28"/>
          <w:szCs w:val="28"/>
          <w:lang w:eastAsia="zh-CN"/>
        </w:rPr>
      </w:pPr>
      <w:r>
        <w:rPr>
          <w:rFonts w:hint="eastAsia"/>
          <w:sz w:val="28"/>
          <w:szCs w:val="28"/>
          <w:lang w:eastAsia="zh-CN"/>
        </w:rPr>
        <w:t>（3）供应商出具无商业贿赂及无不正当竞争行为的承诺书。</w:t>
      </w:r>
    </w:p>
    <w:p w14:paraId="424B6C8B">
      <w:pPr>
        <w:bidi w:val="0"/>
        <w:rPr>
          <w:rFonts w:hint="eastAsia"/>
          <w:sz w:val="28"/>
          <w:szCs w:val="28"/>
          <w:lang w:eastAsia="zh-CN"/>
        </w:rPr>
      </w:pPr>
      <w:r>
        <w:rPr>
          <w:rFonts w:hint="eastAsia"/>
          <w:sz w:val="28"/>
          <w:szCs w:val="28"/>
          <w:lang w:eastAsia="zh-CN"/>
        </w:rPr>
        <w:t>（4）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37D94E84">
      <w:pPr>
        <w:bidi w:val="0"/>
        <w:rPr>
          <w:sz w:val="28"/>
          <w:szCs w:val="28"/>
        </w:rPr>
      </w:pPr>
      <w:r>
        <w:rPr>
          <w:rFonts w:hint="eastAsia"/>
          <w:sz w:val="28"/>
          <w:szCs w:val="28"/>
          <w:lang w:eastAsia="zh-CN"/>
        </w:rPr>
        <w:t>（5）本项目不接受联合体参加，提供非联合</w:t>
      </w:r>
      <w:r>
        <w:rPr>
          <w:rFonts w:hint="eastAsia"/>
          <w:sz w:val="28"/>
          <w:szCs w:val="28"/>
        </w:rPr>
        <w:t>体承诺，格式自拟。</w:t>
      </w:r>
    </w:p>
    <w:p w14:paraId="55F6A550">
      <w:pPr>
        <w:bidi w:val="0"/>
        <w:rPr>
          <w:sz w:val="28"/>
          <w:szCs w:val="28"/>
        </w:rPr>
      </w:pPr>
      <w:r>
        <w:rPr>
          <w:sz w:val="28"/>
          <w:szCs w:val="28"/>
        </w:rPr>
        <w:t>三、获取采购文件</w:t>
      </w:r>
    </w:p>
    <w:p w14:paraId="26C85504">
      <w:pPr>
        <w:bidi w:val="0"/>
        <w:rPr>
          <w:sz w:val="28"/>
          <w:szCs w:val="28"/>
        </w:rPr>
      </w:pPr>
      <w:r>
        <w:rPr>
          <w:sz w:val="28"/>
          <w:szCs w:val="28"/>
        </w:rPr>
        <w:t>1.时间：202</w:t>
      </w:r>
      <w:r>
        <w:rPr>
          <w:rFonts w:hint="eastAsia"/>
          <w:sz w:val="28"/>
          <w:szCs w:val="28"/>
          <w:lang w:val="en-US" w:eastAsia="zh-CN"/>
        </w:rPr>
        <w:t>5</w:t>
      </w:r>
      <w:r>
        <w:rPr>
          <w:sz w:val="28"/>
          <w:szCs w:val="28"/>
        </w:rPr>
        <w:t>年</w:t>
      </w:r>
      <w:r>
        <w:rPr>
          <w:rFonts w:hint="eastAsia"/>
          <w:sz w:val="28"/>
          <w:szCs w:val="28"/>
          <w:lang w:val="en-US" w:eastAsia="zh-CN"/>
        </w:rPr>
        <w:t>5</w:t>
      </w:r>
      <w:r>
        <w:rPr>
          <w:sz w:val="28"/>
          <w:szCs w:val="28"/>
        </w:rPr>
        <w:t>月</w:t>
      </w:r>
      <w:r>
        <w:rPr>
          <w:rFonts w:hint="eastAsia"/>
          <w:sz w:val="28"/>
          <w:szCs w:val="28"/>
          <w:lang w:val="en-US" w:eastAsia="zh-CN"/>
        </w:rPr>
        <w:t>27</w:t>
      </w:r>
      <w:r>
        <w:rPr>
          <w:sz w:val="28"/>
          <w:szCs w:val="28"/>
        </w:rPr>
        <w:t>日至202</w:t>
      </w:r>
      <w:r>
        <w:rPr>
          <w:rFonts w:hint="eastAsia"/>
          <w:sz w:val="28"/>
          <w:szCs w:val="28"/>
          <w:lang w:val="en-US" w:eastAsia="zh-CN"/>
        </w:rPr>
        <w:t>5</w:t>
      </w:r>
      <w:r>
        <w:rPr>
          <w:sz w:val="28"/>
          <w:szCs w:val="28"/>
        </w:rPr>
        <w:t>年</w:t>
      </w:r>
      <w:r>
        <w:rPr>
          <w:rFonts w:hint="eastAsia"/>
          <w:sz w:val="28"/>
          <w:szCs w:val="28"/>
          <w:lang w:val="en-US" w:eastAsia="zh-CN"/>
        </w:rPr>
        <w:t>6</w:t>
      </w:r>
      <w:r>
        <w:rPr>
          <w:sz w:val="28"/>
          <w:szCs w:val="28"/>
        </w:rPr>
        <w:t>月</w:t>
      </w:r>
      <w:r>
        <w:rPr>
          <w:rFonts w:hint="eastAsia"/>
          <w:sz w:val="28"/>
          <w:szCs w:val="28"/>
          <w:lang w:val="en-US" w:eastAsia="zh-CN"/>
        </w:rPr>
        <w:t>5</w:t>
      </w:r>
      <w:r>
        <w:rPr>
          <w:sz w:val="28"/>
          <w:szCs w:val="28"/>
        </w:rPr>
        <w:t>日，每天上午00:00至12:00，下午12:00至23:59（北京时间）</w:t>
      </w:r>
    </w:p>
    <w:p w14:paraId="2B8CDD9D">
      <w:pPr>
        <w:bidi w:val="0"/>
        <w:rPr>
          <w:sz w:val="28"/>
          <w:szCs w:val="28"/>
        </w:rPr>
      </w:pPr>
      <w:r>
        <w:rPr>
          <w:sz w:val="28"/>
          <w:szCs w:val="28"/>
        </w:rPr>
        <w:t>2.地点：三门峡市公共资源交易中心网</w:t>
      </w:r>
    </w:p>
    <w:p w14:paraId="2C39DA6D">
      <w:pPr>
        <w:bidi w:val="0"/>
        <w:rPr>
          <w:sz w:val="28"/>
          <w:szCs w:val="28"/>
        </w:rPr>
      </w:pPr>
      <w:r>
        <w:rPr>
          <w:rFonts w:hint="eastAsia"/>
          <w:sz w:val="28"/>
          <w:szCs w:val="28"/>
        </w:rPr>
        <w:t>3.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707F0F3B">
      <w:pPr>
        <w:bidi w:val="0"/>
        <w:rPr>
          <w:sz w:val="28"/>
          <w:szCs w:val="28"/>
        </w:rPr>
      </w:pPr>
      <w:r>
        <w:rPr>
          <w:rFonts w:hint="eastAsia"/>
          <w:sz w:val="28"/>
          <w:szCs w:val="28"/>
        </w:rPr>
        <w:t>办理</w:t>
      </w:r>
      <w:r>
        <w:rPr>
          <w:sz w:val="28"/>
          <w:szCs w:val="28"/>
        </w:rPr>
        <w:t>CA证书链接：http://gzjy.smx.gov.cn/fwzn/004003/20201019/a8fae6a0-baed-499b-bb50-8ecc8828a2ca.html</w:t>
      </w:r>
    </w:p>
    <w:p w14:paraId="34E25FE5">
      <w:pPr>
        <w:bidi w:val="0"/>
        <w:rPr>
          <w:sz w:val="28"/>
          <w:szCs w:val="28"/>
        </w:rPr>
      </w:pPr>
      <w:r>
        <w:rPr>
          <w:sz w:val="28"/>
          <w:szCs w:val="28"/>
        </w:rPr>
        <w:t>4.售价：0元</w:t>
      </w:r>
    </w:p>
    <w:p w14:paraId="0F14FD25">
      <w:pPr>
        <w:bidi w:val="0"/>
        <w:rPr>
          <w:sz w:val="28"/>
          <w:szCs w:val="28"/>
        </w:rPr>
      </w:pPr>
      <w:r>
        <w:rPr>
          <w:rFonts w:hint="eastAsia"/>
          <w:sz w:val="28"/>
          <w:szCs w:val="28"/>
        </w:rPr>
        <w:t>四</w:t>
      </w:r>
      <w:r>
        <w:rPr>
          <w:sz w:val="28"/>
          <w:szCs w:val="28"/>
        </w:rPr>
        <w:t>、响应文件提交</w:t>
      </w:r>
    </w:p>
    <w:p w14:paraId="187D2E57">
      <w:pPr>
        <w:bidi w:val="0"/>
        <w:rPr>
          <w:sz w:val="28"/>
          <w:szCs w:val="28"/>
        </w:rPr>
      </w:pPr>
      <w:r>
        <w:rPr>
          <w:sz w:val="28"/>
          <w:szCs w:val="28"/>
        </w:rPr>
        <w:t>1.时间：</w:t>
      </w:r>
      <w:r>
        <w:rPr>
          <w:rFonts w:hint="eastAsia"/>
          <w:sz w:val="28"/>
          <w:szCs w:val="28"/>
        </w:rPr>
        <w:t>202</w:t>
      </w:r>
      <w:r>
        <w:rPr>
          <w:rFonts w:hint="eastAsia"/>
          <w:sz w:val="28"/>
          <w:szCs w:val="28"/>
          <w:lang w:val="en-US" w:eastAsia="zh-CN"/>
        </w:rPr>
        <w:t>5</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6</w:t>
      </w:r>
      <w:r>
        <w:rPr>
          <w:rFonts w:hint="eastAsia"/>
          <w:sz w:val="28"/>
          <w:szCs w:val="28"/>
        </w:rPr>
        <w:t>日08时30分</w:t>
      </w:r>
      <w:r>
        <w:rPr>
          <w:sz w:val="28"/>
          <w:szCs w:val="28"/>
        </w:rPr>
        <w:t>（北京时间）</w:t>
      </w:r>
    </w:p>
    <w:p w14:paraId="2F5E3912">
      <w:pPr>
        <w:bidi w:val="0"/>
        <w:rPr>
          <w:sz w:val="28"/>
          <w:szCs w:val="28"/>
        </w:rPr>
      </w:pPr>
      <w:r>
        <w:rPr>
          <w:sz w:val="28"/>
          <w:szCs w:val="28"/>
        </w:rPr>
        <w:t>2.地点：</w:t>
      </w:r>
      <w:r>
        <w:rPr>
          <w:rFonts w:hint="eastAsia"/>
          <w:sz w:val="28"/>
          <w:szCs w:val="28"/>
        </w:rPr>
        <w:t>加密电子竞争性磋商响应文件须在磋商截止时间前通过三门峡市公共资源交易中心电子交易平台加密上传。</w:t>
      </w:r>
    </w:p>
    <w:p w14:paraId="5E0F0DE6">
      <w:pPr>
        <w:bidi w:val="0"/>
        <w:rPr>
          <w:sz w:val="28"/>
          <w:szCs w:val="28"/>
        </w:rPr>
      </w:pPr>
      <w:r>
        <w:rPr>
          <w:sz w:val="28"/>
          <w:szCs w:val="28"/>
        </w:rPr>
        <w:t>五、响应文件开启</w:t>
      </w:r>
    </w:p>
    <w:p w14:paraId="3B1B19F6">
      <w:pPr>
        <w:bidi w:val="0"/>
        <w:rPr>
          <w:sz w:val="28"/>
          <w:szCs w:val="28"/>
        </w:rPr>
      </w:pPr>
      <w:r>
        <w:rPr>
          <w:rFonts w:hint="eastAsia"/>
          <w:sz w:val="28"/>
          <w:szCs w:val="28"/>
        </w:rPr>
        <w:t>1.</w:t>
      </w:r>
      <w:r>
        <w:rPr>
          <w:sz w:val="28"/>
          <w:szCs w:val="28"/>
        </w:rPr>
        <w:t>时间：</w:t>
      </w:r>
      <w:r>
        <w:rPr>
          <w:rFonts w:hint="eastAsia"/>
          <w:sz w:val="28"/>
          <w:szCs w:val="28"/>
        </w:rPr>
        <w:t>202</w:t>
      </w:r>
      <w:r>
        <w:rPr>
          <w:rFonts w:hint="eastAsia"/>
          <w:sz w:val="28"/>
          <w:szCs w:val="28"/>
          <w:lang w:val="en-US" w:eastAsia="zh-CN"/>
        </w:rPr>
        <w:t>5</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6</w:t>
      </w:r>
      <w:r>
        <w:rPr>
          <w:rFonts w:hint="eastAsia"/>
          <w:sz w:val="28"/>
          <w:szCs w:val="28"/>
        </w:rPr>
        <w:t>日08时30分</w:t>
      </w:r>
      <w:r>
        <w:rPr>
          <w:sz w:val="28"/>
          <w:szCs w:val="28"/>
        </w:rPr>
        <w:t>（北京时间）</w:t>
      </w:r>
    </w:p>
    <w:p w14:paraId="3039C5B4">
      <w:pPr>
        <w:bidi w:val="0"/>
        <w:rPr>
          <w:sz w:val="28"/>
          <w:szCs w:val="28"/>
        </w:rPr>
      </w:pPr>
      <w:r>
        <w:rPr>
          <w:rFonts w:hint="eastAsia"/>
          <w:sz w:val="28"/>
          <w:szCs w:val="28"/>
        </w:rPr>
        <w:t>2.</w:t>
      </w:r>
      <w:r>
        <w:rPr>
          <w:sz w:val="28"/>
          <w:szCs w:val="28"/>
        </w:rPr>
        <w:t>地点：</w:t>
      </w:r>
      <w:r>
        <w:rPr>
          <w:rFonts w:hint="eastAsia"/>
          <w:sz w:val="28"/>
          <w:szCs w:val="28"/>
        </w:rPr>
        <w:t>三门峡市陕州区公共资源交易中心开标室</w:t>
      </w:r>
    </w:p>
    <w:p w14:paraId="00FC2757">
      <w:pPr>
        <w:bidi w:val="0"/>
        <w:rPr>
          <w:sz w:val="28"/>
          <w:szCs w:val="28"/>
        </w:rPr>
      </w:pPr>
      <w:r>
        <w:rPr>
          <w:sz w:val="28"/>
          <w:szCs w:val="28"/>
        </w:rPr>
        <w:t>六、发布公告的媒介</w:t>
      </w:r>
      <w:r>
        <w:rPr>
          <w:rFonts w:hint="eastAsia"/>
          <w:sz w:val="28"/>
          <w:szCs w:val="28"/>
        </w:rPr>
        <w:t>及</w:t>
      </w:r>
      <w:r>
        <w:rPr>
          <w:sz w:val="28"/>
          <w:szCs w:val="28"/>
        </w:rPr>
        <w:t>公告期限</w:t>
      </w:r>
    </w:p>
    <w:p w14:paraId="365E6ACB">
      <w:pPr>
        <w:bidi w:val="0"/>
        <w:rPr>
          <w:sz w:val="28"/>
          <w:szCs w:val="28"/>
        </w:rPr>
      </w:pPr>
      <w:r>
        <w:rPr>
          <w:rFonts w:hint="eastAsia"/>
          <w:sz w:val="28"/>
          <w:szCs w:val="28"/>
        </w:rPr>
        <w:t>本次公告在《河南省政府采购网》、《中国招标投标公共服务平台》、《三门峡市公共资源交易中心网》上发布。</w:t>
      </w:r>
    </w:p>
    <w:p w14:paraId="2FB01626">
      <w:pPr>
        <w:bidi w:val="0"/>
        <w:rPr>
          <w:sz w:val="28"/>
          <w:szCs w:val="28"/>
        </w:rPr>
      </w:pPr>
      <w:r>
        <w:rPr>
          <w:sz w:val="28"/>
          <w:szCs w:val="28"/>
        </w:rPr>
        <w:t>七、其他补充事宜</w:t>
      </w:r>
    </w:p>
    <w:p w14:paraId="41BC3EF3">
      <w:pPr>
        <w:bidi w:val="0"/>
        <w:rPr>
          <w:sz w:val="28"/>
          <w:szCs w:val="28"/>
        </w:rPr>
      </w:pPr>
      <w:r>
        <w:rPr>
          <w:sz w:val="28"/>
          <w:szCs w:val="28"/>
        </w:rPr>
        <w:t>1.本项目为不见面开标项目，开标当日，投标人无需到开标现场参加开标会</w:t>
      </w:r>
      <w:r>
        <w:rPr>
          <w:rFonts w:hint="eastAsia"/>
          <w:sz w:val="28"/>
          <w:szCs w:val="28"/>
        </w:rPr>
        <w:t>议，投标人应当在投标截止时间前，登陆不见面开标大厅选择登陆三门峡市公共资源电子招投标系统进行登陆（网址为</w:t>
      </w:r>
      <w:r>
        <w:rPr>
          <w:sz w:val="28"/>
          <w:szCs w:val="28"/>
        </w:rPr>
        <w:t>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5559B478">
      <w:pPr>
        <w:bidi w:val="0"/>
        <w:rPr>
          <w:sz w:val="28"/>
          <w:szCs w:val="28"/>
        </w:rPr>
      </w:pPr>
      <w:r>
        <w:rPr>
          <w:sz w:val="28"/>
          <w:szCs w:val="28"/>
        </w:rPr>
        <w:t>2.本项目为电子化、无纸化交易项目，开标时不再接受任何纸质资料，为保证</w:t>
      </w:r>
      <w:r>
        <w:rPr>
          <w:rFonts w:hint="eastAsia"/>
          <w:sz w:val="28"/>
          <w:szCs w:val="28"/>
        </w:rPr>
        <w:t>您能投标成功，请需仔细阅读竞争性磋商文件和三门峡市公共资源交易中心官网业务办理指南。</w:t>
      </w:r>
    </w:p>
    <w:p w14:paraId="2FE5B2DA">
      <w:pPr>
        <w:bidi w:val="0"/>
        <w:rPr>
          <w:sz w:val="28"/>
          <w:szCs w:val="28"/>
        </w:rPr>
      </w:pPr>
      <w:r>
        <w:rPr>
          <w:sz w:val="28"/>
          <w:szCs w:val="28"/>
        </w:rPr>
        <w:t>3</w:t>
      </w:r>
      <w:r>
        <w:rPr>
          <w:rFonts w:hint="eastAsia"/>
          <w:sz w:val="28"/>
          <w:szCs w:val="28"/>
        </w:rPr>
        <w:t>.根据《河南省财政厅关于优化政府采购营商环境有关问题的通知》（豫财购【2019】4号）第6条的规定，磋商保证金不再收取。</w:t>
      </w:r>
    </w:p>
    <w:p w14:paraId="04D1D012">
      <w:pPr>
        <w:bidi w:val="0"/>
        <w:rPr>
          <w:sz w:val="28"/>
          <w:szCs w:val="28"/>
        </w:rPr>
      </w:pPr>
      <w:r>
        <w:rPr>
          <w:sz w:val="28"/>
          <w:szCs w:val="28"/>
        </w:rPr>
        <w:t>4</w:t>
      </w:r>
      <w:r>
        <w:rPr>
          <w:rFonts w:hint="eastAsia"/>
          <w:sz w:val="28"/>
          <w:szCs w:val="28"/>
        </w:rPr>
        <w:t>.本项目实行资格后审，审查内容以竞争性磋商响应文件为准，其上传资料真实性由供应商自行承担，同时，供应商请完善主体库。</w:t>
      </w:r>
    </w:p>
    <w:p w14:paraId="0F522E39">
      <w:pPr>
        <w:bidi w:val="0"/>
        <w:rPr>
          <w:sz w:val="28"/>
          <w:szCs w:val="28"/>
        </w:rPr>
      </w:pPr>
      <w:r>
        <w:rPr>
          <w:rFonts w:hint="eastAsia"/>
          <w:sz w:val="28"/>
          <w:szCs w:val="28"/>
        </w:rPr>
        <w:t>5.评标打分部分：评标打分部分仍按照100分制原则进行，涉及到资格审查、企业荣誉、企业业绩等计分部分时，以投标单位自行上传到磋商响应文件中的相应内容为准。</w:t>
      </w:r>
    </w:p>
    <w:p w14:paraId="475262A0">
      <w:pPr>
        <w:bidi w:val="0"/>
        <w:rPr>
          <w:sz w:val="28"/>
          <w:szCs w:val="28"/>
        </w:rPr>
      </w:pPr>
      <w:r>
        <w:rPr>
          <w:sz w:val="28"/>
          <w:szCs w:val="28"/>
        </w:rPr>
        <w:t>6.</w:t>
      </w:r>
      <w:r>
        <w:rPr>
          <w:rFonts w:hint="eastAsia"/>
          <w:sz w:val="28"/>
          <w:szCs w:val="28"/>
        </w:rPr>
        <w:t>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74D3FDA8">
      <w:pPr>
        <w:bidi w:val="0"/>
        <w:rPr>
          <w:sz w:val="28"/>
          <w:szCs w:val="28"/>
        </w:rPr>
      </w:pPr>
      <w:r>
        <w:rPr>
          <w:rFonts w:hint="eastAsia"/>
          <w:sz w:val="28"/>
          <w:szCs w:val="28"/>
        </w:rPr>
        <w:t>八、凡对本次招标提出询问，请按照以下方式联系</w:t>
      </w:r>
    </w:p>
    <w:p w14:paraId="2ED4B2D5">
      <w:pPr>
        <w:bidi w:val="0"/>
        <w:rPr>
          <w:sz w:val="28"/>
          <w:szCs w:val="28"/>
        </w:rPr>
      </w:pPr>
      <w:r>
        <w:rPr>
          <w:rFonts w:hint="eastAsia"/>
          <w:sz w:val="28"/>
          <w:szCs w:val="28"/>
        </w:rPr>
        <w:t>1.监督单位：三门峡市陕州区财政局政府采购监督管理科</w:t>
      </w:r>
    </w:p>
    <w:p w14:paraId="7D2080E6">
      <w:pPr>
        <w:bidi w:val="0"/>
        <w:rPr>
          <w:sz w:val="28"/>
          <w:szCs w:val="28"/>
        </w:rPr>
      </w:pPr>
      <w:r>
        <w:rPr>
          <w:rFonts w:hint="eastAsia"/>
          <w:sz w:val="28"/>
          <w:szCs w:val="28"/>
        </w:rPr>
        <w:t>联系方式：0398-3839210</w:t>
      </w:r>
    </w:p>
    <w:p w14:paraId="5FB9A0BD">
      <w:pPr>
        <w:bidi w:val="0"/>
        <w:rPr>
          <w:rFonts w:hint="eastAsia" w:eastAsiaTheme="minorEastAsia"/>
          <w:sz w:val="28"/>
          <w:szCs w:val="28"/>
          <w:lang w:eastAsia="zh-CN"/>
        </w:rPr>
      </w:pPr>
      <w:r>
        <w:rPr>
          <w:rFonts w:hint="eastAsia"/>
          <w:sz w:val="28"/>
          <w:szCs w:val="28"/>
        </w:rPr>
        <w:t>2.采购人：</w:t>
      </w:r>
      <w:r>
        <w:rPr>
          <w:rFonts w:hint="eastAsia"/>
          <w:sz w:val="28"/>
          <w:szCs w:val="28"/>
          <w:lang w:eastAsia="zh-CN"/>
        </w:rPr>
        <w:t>三门峡市陕州区第二实验幼儿园</w:t>
      </w:r>
    </w:p>
    <w:p w14:paraId="5AFF0DD1">
      <w:pPr>
        <w:bidi w:val="0"/>
        <w:rPr>
          <w:rFonts w:hint="eastAsia"/>
          <w:sz w:val="28"/>
          <w:szCs w:val="28"/>
          <w:lang w:eastAsia="zh-CN"/>
        </w:rPr>
      </w:pPr>
      <w:r>
        <w:rPr>
          <w:rFonts w:hint="eastAsia"/>
          <w:sz w:val="28"/>
          <w:szCs w:val="28"/>
        </w:rPr>
        <w:t>地址：</w:t>
      </w:r>
      <w:r>
        <w:rPr>
          <w:rFonts w:hint="eastAsia"/>
          <w:sz w:val="28"/>
          <w:szCs w:val="28"/>
          <w:lang w:eastAsia="zh-CN"/>
        </w:rPr>
        <w:t>三门峡市陕州区原店镇东二区东二路西侧</w:t>
      </w:r>
    </w:p>
    <w:p w14:paraId="16426E95">
      <w:pPr>
        <w:bidi w:val="0"/>
        <w:rPr>
          <w:rFonts w:hint="eastAsia"/>
          <w:sz w:val="28"/>
          <w:szCs w:val="28"/>
          <w:lang w:eastAsia="zh-CN"/>
        </w:rPr>
      </w:pPr>
      <w:r>
        <w:rPr>
          <w:rFonts w:hint="eastAsia"/>
          <w:sz w:val="28"/>
          <w:szCs w:val="28"/>
        </w:rPr>
        <w:t>联系人</w:t>
      </w:r>
      <w:r>
        <w:rPr>
          <w:rFonts w:hint="eastAsia"/>
          <w:sz w:val="28"/>
          <w:szCs w:val="28"/>
          <w:lang w:eastAsia="zh-CN"/>
        </w:rPr>
        <w:t>：</w:t>
      </w:r>
      <w:r>
        <w:rPr>
          <w:rFonts w:hint="eastAsia"/>
          <w:sz w:val="28"/>
          <w:szCs w:val="28"/>
          <w:lang w:val="en-US" w:eastAsia="zh-CN"/>
        </w:rPr>
        <w:t>陈女士</w:t>
      </w:r>
    </w:p>
    <w:p w14:paraId="18496AA3">
      <w:pPr>
        <w:bidi w:val="0"/>
        <w:rPr>
          <w:rFonts w:hint="eastAsia"/>
          <w:sz w:val="28"/>
          <w:szCs w:val="28"/>
          <w:lang w:val="en-US" w:eastAsia="zh-CN"/>
        </w:rPr>
      </w:pPr>
      <w:r>
        <w:rPr>
          <w:rFonts w:hint="eastAsia"/>
          <w:sz w:val="28"/>
          <w:szCs w:val="28"/>
        </w:rPr>
        <w:t>联系方式</w:t>
      </w:r>
      <w:r>
        <w:rPr>
          <w:rFonts w:hint="eastAsia"/>
          <w:sz w:val="28"/>
          <w:szCs w:val="28"/>
          <w:lang w:val="en-US" w:eastAsia="zh-CN"/>
        </w:rPr>
        <w:t>：15139809834</w:t>
      </w:r>
    </w:p>
    <w:p w14:paraId="489C7828">
      <w:pPr>
        <w:bidi w:val="0"/>
        <w:rPr>
          <w:sz w:val="28"/>
          <w:szCs w:val="28"/>
        </w:rPr>
      </w:pPr>
      <w:r>
        <w:rPr>
          <w:rFonts w:hint="eastAsia"/>
          <w:sz w:val="28"/>
          <w:szCs w:val="28"/>
        </w:rPr>
        <w:t>3.采购</w:t>
      </w:r>
      <w:r>
        <w:rPr>
          <w:sz w:val="28"/>
          <w:szCs w:val="28"/>
        </w:rPr>
        <w:t>代理机构：</w:t>
      </w:r>
      <w:r>
        <w:rPr>
          <w:rFonts w:hint="eastAsia"/>
          <w:sz w:val="28"/>
          <w:szCs w:val="28"/>
        </w:rPr>
        <w:t>河南晨宇咨询有限公司</w:t>
      </w:r>
    </w:p>
    <w:p w14:paraId="38B4BFC8">
      <w:pPr>
        <w:bidi w:val="0"/>
        <w:rPr>
          <w:sz w:val="28"/>
          <w:szCs w:val="28"/>
        </w:rPr>
      </w:pPr>
      <w:r>
        <w:rPr>
          <w:rFonts w:hint="eastAsia"/>
          <w:sz w:val="28"/>
          <w:szCs w:val="28"/>
        </w:rPr>
        <w:t>地址：三门峡市陕州区新华书店办公楼212室</w:t>
      </w:r>
    </w:p>
    <w:p w14:paraId="7213E051">
      <w:pPr>
        <w:bidi w:val="0"/>
        <w:rPr>
          <w:sz w:val="28"/>
          <w:szCs w:val="28"/>
        </w:rPr>
      </w:pPr>
      <w:r>
        <w:rPr>
          <w:rFonts w:hint="eastAsia"/>
          <w:sz w:val="28"/>
          <w:szCs w:val="28"/>
        </w:rPr>
        <w:t xml:space="preserve">联系人：孙女士 </w:t>
      </w:r>
    </w:p>
    <w:p w14:paraId="54542FB1">
      <w:pPr>
        <w:bidi w:val="0"/>
        <w:rPr>
          <w:sz w:val="28"/>
          <w:szCs w:val="28"/>
        </w:rPr>
      </w:pPr>
      <w:r>
        <w:rPr>
          <w:rFonts w:hint="eastAsia"/>
          <w:sz w:val="28"/>
          <w:szCs w:val="28"/>
        </w:rPr>
        <w:t>联系方式：15939819892</w:t>
      </w:r>
    </w:p>
    <w:p w14:paraId="3CE5E96C">
      <w:pPr>
        <w:spacing w:line="520" w:lineRule="exact"/>
        <w:rPr>
          <w:rFonts w:ascii="宋体" w:hAnsi="宋体" w:eastAsia="宋体" w:cs="Times New Roman"/>
          <w:color w:val="000000" w:themeColor="text1"/>
          <w:sz w:val="24"/>
          <w:szCs w:val="24"/>
          <w14:textFill>
            <w14:solidFill>
              <w14:schemeClr w14:val="tx1"/>
            </w14:solidFill>
          </w14:textFill>
        </w:rPr>
      </w:pPr>
    </w:p>
    <w:p w14:paraId="1BD72E6D">
      <w:pPr>
        <w:pStyle w:val="11"/>
        <w:ind w:left="0" w:leftChars="0" w:firstLine="0" w:firstLineChars="0"/>
      </w:pPr>
    </w:p>
    <w:p w14:paraId="65EE79FA">
      <w:pPr>
        <w:pStyle w:val="5"/>
      </w:pPr>
    </w:p>
    <w:p w14:paraId="18FB3702">
      <w:pPr>
        <w:rPr>
          <w:rFonts w:hint="eastAsia" w:ascii="宋体" w:hAnsi="宋体" w:eastAsia="宋体" w:cs="Times New Roman"/>
          <w:b/>
          <w:bCs/>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br w:type="page"/>
      </w:r>
    </w:p>
    <w:p w14:paraId="0F362AE7">
      <w:pPr>
        <w:widowControl/>
        <w:jc w:val="center"/>
        <w:outlineLvl w:val="0"/>
        <w:rPr>
          <w:rFonts w:ascii="宋体" w:hAnsi="Calibri" w:eastAsia="宋体" w:cs="Times New Roman"/>
          <w:b/>
          <w:bCs/>
          <w:color w:val="000000" w:themeColor="text1"/>
          <w:sz w:val="36"/>
          <w:szCs w:val="36"/>
          <w14:textFill>
            <w14:solidFill>
              <w14:schemeClr w14:val="tx1"/>
            </w14:solidFill>
          </w14:textFill>
        </w:rPr>
      </w:pPr>
      <w:bookmarkStart w:id="2" w:name="_Toc9793"/>
      <w:r>
        <w:rPr>
          <w:rFonts w:hint="eastAsia" w:ascii="宋体" w:hAnsi="宋体" w:eastAsia="宋体" w:cs="Times New Roman"/>
          <w:b/>
          <w:bCs/>
          <w:color w:val="000000" w:themeColor="text1"/>
          <w:sz w:val="36"/>
          <w:szCs w:val="36"/>
          <w14:textFill>
            <w14:solidFill>
              <w14:schemeClr w14:val="tx1"/>
            </w14:solidFill>
          </w14:textFill>
        </w:rPr>
        <w:t>第二章  供应商须知</w:t>
      </w:r>
      <w:bookmarkEnd w:id="2"/>
    </w:p>
    <w:p w14:paraId="114AD00C">
      <w:pPr>
        <w:spacing w:line="360" w:lineRule="auto"/>
        <w:jc w:val="center"/>
        <w:rPr>
          <w:rFonts w:ascii="宋体" w:hAnsi="Calibri" w:eastAsia="宋体" w:cs="Times New Roman"/>
          <w:color w:val="000000" w:themeColor="text1"/>
          <w:sz w:val="32"/>
          <w:szCs w:val="32"/>
          <w14:textFill>
            <w14:solidFill>
              <w14:schemeClr w14:val="tx1"/>
            </w14:solidFill>
          </w14:textFill>
        </w:rPr>
      </w:pPr>
      <w:bookmarkStart w:id="3" w:name="_Toc518571702"/>
      <w:bookmarkStart w:id="4" w:name="_Toc109675033"/>
      <w:r>
        <w:rPr>
          <w:rFonts w:hint="eastAsia" w:ascii="宋体" w:hAnsi="宋体" w:eastAsia="宋体" w:cs="Times New Roman"/>
          <w:bCs/>
          <w:color w:val="000000" w:themeColor="text1"/>
          <w:sz w:val="28"/>
          <w:szCs w:val="28"/>
          <w14:textFill>
            <w14:solidFill>
              <w14:schemeClr w14:val="tx1"/>
            </w14:solidFill>
          </w14:textFill>
        </w:rPr>
        <w:t>须知前附表</w:t>
      </w:r>
      <w:bookmarkEnd w:id="3"/>
      <w:bookmarkEnd w:id="4"/>
    </w:p>
    <w:tbl>
      <w:tblPr>
        <w:tblStyle w:val="18"/>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701"/>
        <w:gridCol w:w="6520"/>
      </w:tblGrid>
      <w:tr w14:paraId="0A437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993" w:type="dxa"/>
            <w:tcBorders>
              <w:top w:val="single" w:color="auto" w:sz="12" w:space="0"/>
            </w:tcBorders>
            <w:vAlign w:val="center"/>
          </w:tcPr>
          <w:p w14:paraId="0267751B">
            <w:pPr>
              <w:widowControl/>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项号</w:t>
            </w:r>
          </w:p>
        </w:tc>
        <w:tc>
          <w:tcPr>
            <w:tcW w:w="1701" w:type="dxa"/>
            <w:tcBorders>
              <w:top w:val="single" w:color="auto" w:sz="12" w:space="0"/>
            </w:tcBorders>
            <w:vAlign w:val="center"/>
          </w:tcPr>
          <w:p w14:paraId="3E185B86">
            <w:pPr>
              <w:widowControl/>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内容</w:t>
            </w:r>
          </w:p>
        </w:tc>
        <w:tc>
          <w:tcPr>
            <w:tcW w:w="6520" w:type="dxa"/>
            <w:tcBorders>
              <w:top w:val="single" w:color="auto" w:sz="12" w:space="0"/>
            </w:tcBorders>
            <w:vAlign w:val="center"/>
          </w:tcPr>
          <w:p w14:paraId="26AA8ECA">
            <w:pPr>
              <w:widowControl/>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综合说明与要求</w:t>
            </w:r>
          </w:p>
        </w:tc>
      </w:tr>
      <w:tr w14:paraId="5217D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6" w:hRule="atLeast"/>
          <w:jc w:val="center"/>
        </w:trPr>
        <w:tc>
          <w:tcPr>
            <w:tcW w:w="993" w:type="dxa"/>
            <w:vAlign w:val="center"/>
          </w:tcPr>
          <w:p w14:paraId="1D900796">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w:t>
            </w:r>
          </w:p>
        </w:tc>
        <w:tc>
          <w:tcPr>
            <w:tcW w:w="1701" w:type="dxa"/>
            <w:vAlign w:val="center"/>
          </w:tcPr>
          <w:p w14:paraId="57377674">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综合说明</w:t>
            </w:r>
          </w:p>
        </w:tc>
        <w:tc>
          <w:tcPr>
            <w:tcW w:w="6520" w:type="dxa"/>
            <w:vAlign w:val="center"/>
          </w:tcPr>
          <w:p w14:paraId="0BA235F9">
            <w:pPr>
              <w:spacing w:line="360" w:lineRule="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项目名称：</w:t>
            </w:r>
            <w:r>
              <w:rPr>
                <w:rFonts w:hint="eastAsia" w:ascii="宋体" w:hAnsi="宋体" w:eastAsia="宋体" w:cs="宋体"/>
                <w:color w:val="000000"/>
                <w:sz w:val="28"/>
                <w:szCs w:val="28"/>
                <w:lang w:eastAsia="zh-CN"/>
              </w:rPr>
              <w:t>三门峡市陕州区第二实验幼儿园设备购置项目</w:t>
            </w:r>
          </w:p>
        </w:tc>
      </w:tr>
      <w:tr w14:paraId="77E01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993" w:type="dxa"/>
            <w:vAlign w:val="center"/>
          </w:tcPr>
          <w:p w14:paraId="449D21AB">
            <w:pPr>
              <w:spacing w:line="360"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w:t>
            </w:r>
          </w:p>
        </w:tc>
        <w:tc>
          <w:tcPr>
            <w:tcW w:w="1701" w:type="dxa"/>
            <w:vAlign w:val="center"/>
          </w:tcPr>
          <w:p w14:paraId="1AE046F3">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项目编号</w:t>
            </w:r>
          </w:p>
        </w:tc>
        <w:tc>
          <w:tcPr>
            <w:tcW w:w="6520" w:type="dxa"/>
            <w:vAlign w:val="center"/>
          </w:tcPr>
          <w:p w14:paraId="72FFF296">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sz w:val="28"/>
                <w:szCs w:val="28"/>
                <w:lang w:val="en-US" w:eastAsia="zh-CN"/>
              </w:rPr>
              <w:t>陕州竞磋采购-2025-50、SZGZ[2025]083-ZC054</w:t>
            </w:r>
          </w:p>
        </w:tc>
      </w:tr>
      <w:tr w14:paraId="6A79B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993" w:type="dxa"/>
            <w:vAlign w:val="center"/>
          </w:tcPr>
          <w:p w14:paraId="120594BA">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3</w:t>
            </w:r>
          </w:p>
        </w:tc>
        <w:tc>
          <w:tcPr>
            <w:tcW w:w="1701" w:type="dxa"/>
            <w:vAlign w:val="center"/>
          </w:tcPr>
          <w:p w14:paraId="75345A7F">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采购单位</w:t>
            </w:r>
          </w:p>
        </w:tc>
        <w:tc>
          <w:tcPr>
            <w:tcW w:w="6520" w:type="dxa"/>
            <w:vAlign w:val="center"/>
          </w:tcPr>
          <w:p w14:paraId="716B0184">
            <w:pPr>
              <w:spacing w:line="360" w:lineRule="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三门峡市陕州区第二实验幼儿园</w:t>
            </w:r>
          </w:p>
        </w:tc>
      </w:tr>
      <w:tr w14:paraId="3E980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993" w:type="dxa"/>
            <w:vAlign w:val="center"/>
          </w:tcPr>
          <w:p w14:paraId="419037DB">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4</w:t>
            </w:r>
          </w:p>
        </w:tc>
        <w:tc>
          <w:tcPr>
            <w:tcW w:w="1701" w:type="dxa"/>
            <w:vAlign w:val="center"/>
          </w:tcPr>
          <w:p w14:paraId="74240B80">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采购内容</w:t>
            </w:r>
          </w:p>
        </w:tc>
        <w:tc>
          <w:tcPr>
            <w:tcW w:w="6520" w:type="dxa"/>
            <w:vAlign w:val="center"/>
          </w:tcPr>
          <w:p w14:paraId="01252B80">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sz w:val="28"/>
                <w:szCs w:val="28"/>
                <w:lang w:eastAsia="zh-CN"/>
              </w:rPr>
              <w:t>户外玩具、幼儿绘本、</w:t>
            </w:r>
            <w:r>
              <w:rPr>
                <w:rFonts w:hint="eastAsia"/>
                <w:sz w:val="28"/>
                <w:szCs w:val="28"/>
                <w:lang w:val="en-US" w:eastAsia="zh-CN"/>
              </w:rPr>
              <w:t>交互智能平板、笔记本电脑、</w:t>
            </w:r>
            <w:r>
              <w:rPr>
                <w:rFonts w:hint="eastAsia"/>
                <w:sz w:val="28"/>
                <w:szCs w:val="28"/>
                <w:lang w:eastAsia="zh-CN"/>
              </w:rPr>
              <w:t>直饮机及热水器的采购安装</w:t>
            </w:r>
            <w:r>
              <w:rPr>
                <w:rFonts w:hint="eastAsia"/>
                <w:sz w:val="28"/>
                <w:szCs w:val="28"/>
              </w:rPr>
              <w:t>，详见采购需求。</w:t>
            </w:r>
          </w:p>
        </w:tc>
      </w:tr>
      <w:tr w14:paraId="7EE83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93" w:type="dxa"/>
            <w:vAlign w:val="center"/>
          </w:tcPr>
          <w:p w14:paraId="48D6ECB1">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5</w:t>
            </w:r>
          </w:p>
        </w:tc>
        <w:tc>
          <w:tcPr>
            <w:tcW w:w="1701" w:type="dxa"/>
            <w:vAlign w:val="center"/>
          </w:tcPr>
          <w:p w14:paraId="7FC8568C">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质量要求</w:t>
            </w:r>
          </w:p>
        </w:tc>
        <w:tc>
          <w:tcPr>
            <w:tcW w:w="6520" w:type="dxa"/>
            <w:vAlign w:val="center"/>
          </w:tcPr>
          <w:p w14:paraId="7DEEB5FE">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符合国家及行业现行标准、规范，达到采购人要求</w:t>
            </w:r>
          </w:p>
        </w:tc>
      </w:tr>
      <w:tr w14:paraId="29D00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93" w:type="dxa"/>
            <w:vAlign w:val="center"/>
          </w:tcPr>
          <w:p w14:paraId="0B89BB9D">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6</w:t>
            </w:r>
          </w:p>
        </w:tc>
        <w:tc>
          <w:tcPr>
            <w:tcW w:w="1701" w:type="dxa"/>
            <w:vAlign w:val="center"/>
          </w:tcPr>
          <w:p w14:paraId="6D014E74">
            <w:pPr>
              <w:spacing w:line="360" w:lineRule="auto"/>
              <w:jc w:val="center"/>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交货期</w:t>
            </w:r>
          </w:p>
        </w:tc>
        <w:tc>
          <w:tcPr>
            <w:tcW w:w="6520" w:type="dxa"/>
            <w:vAlign w:val="center"/>
          </w:tcPr>
          <w:p w14:paraId="7BA95F84">
            <w:pPr>
              <w:spacing w:line="360" w:lineRule="auto"/>
              <w:rPr>
                <w:rFonts w:hint="eastAsia" w:ascii="宋体" w:hAnsi="宋体" w:eastAsia="宋体" w:cs="Times New Roman"/>
                <w:color w:val="000000" w:themeColor="text1"/>
                <w:sz w:val="28"/>
                <w:szCs w:val="28"/>
                <w14:textFill>
                  <w14:solidFill>
                    <w14:schemeClr w14:val="tx1"/>
                  </w14:solidFill>
                </w14:textFill>
              </w:rPr>
            </w:pPr>
            <w:r>
              <w:rPr>
                <w:rFonts w:hint="eastAsia"/>
                <w:sz w:val="28"/>
                <w:szCs w:val="28"/>
              </w:rPr>
              <w:t>合同签订之日起</w:t>
            </w:r>
            <w:r>
              <w:rPr>
                <w:rFonts w:hint="eastAsia"/>
                <w:sz w:val="28"/>
                <w:szCs w:val="28"/>
                <w:lang w:val="en-US" w:eastAsia="zh-CN"/>
              </w:rPr>
              <w:t>30</w:t>
            </w:r>
            <w:r>
              <w:rPr>
                <w:rFonts w:hint="eastAsia"/>
                <w:sz w:val="28"/>
                <w:szCs w:val="28"/>
              </w:rPr>
              <w:t>日历天内</w:t>
            </w:r>
            <w:r>
              <w:rPr>
                <w:rFonts w:hint="eastAsia"/>
                <w:sz w:val="28"/>
                <w:szCs w:val="28"/>
                <w:lang w:eastAsia="zh-CN"/>
              </w:rPr>
              <w:t>完成</w:t>
            </w:r>
            <w:r>
              <w:rPr>
                <w:rFonts w:hint="eastAsia"/>
                <w:sz w:val="28"/>
                <w:szCs w:val="28"/>
              </w:rPr>
              <w:t>供货安装</w:t>
            </w:r>
          </w:p>
        </w:tc>
      </w:tr>
      <w:tr w14:paraId="103CC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993" w:type="dxa"/>
            <w:vAlign w:val="center"/>
          </w:tcPr>
          <w:p w14:paraId="5EC2862E">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7</w:t>
            </w:r>
          </w:p>
        </w:tc>
        <w:tc>
          <w:tcPr>
            <w:tcW w:w="1701" w:type="dxa"/>
            <w:vAlign w:val="center"/>
          </w:tcPr>
          <w:p w14:paraId="66091216">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资金来源</w:t>
            </w:r>
          </w:p>
        </w:tc>
        <w:tc>
          <w:tcPr>
            <w:tcW w:w="6520" w:type="dxa"/>
            <w:vAlign w:val="center"/>
          </w:tcPr>
          <w:p w14:paraId="0FCA55C7">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财政资金，已落实</w:t>
            </w:r>
          </w:p>
        </w:tc>
      </w:tr>
      <w:tr w14:paraId="51B06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993" w:type="dxa"/>
            <w:vAlign w:val="center"/>
          </w:tcPr>
          <w:p w14:paraId="0AE40FFF">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8</w:t>
            </w:r>
          </w:p>
        </w:tc>
        <w:tc>
          <w:tcPr>
            <w:tcW w:w="1701" w:type="dxa"/>
            <w:vAlign w:val="center"/>
          </w:tcPr>
          <w:p w14:paraId="0ED7CFA1">
            <w:pPr>
              <w:adjustRightInd w:val="0"/>
              <w:spacing w:line="324" w:lineRule="auto"/>
              <w:jc w:val="center"/>
              <w:rPr>
                <w:rFonts w:asciiTheme="minorEastAsia" w:hAnsiTheme="minorEastAsia" w:cstheme="minorEastAsia"/>
                <w:color w:val="000000" w:themeColor="text1"/>
                <w:spacing w:val="-40"/>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磋商供应商资格要求</w:t>
            </w:r>
          </w:p>
        </w:tc>
        <w:tc>
          <w:tcPr>
            <w:tcW w:w="6520" w:type="dxa"/>
            <w:vAlign w:val="center"/>
          </w:tcPr>
          <w:p w14:paraId="1B901E8A">
            <w:pPr>
              <w:bidi w:val="0"/>
              <w:rPr>
                <w:rFonts w:hint="eastAsia"/>
                <w:sz w:val="28"/>
                <w:szCs w:val="28"/>
                <w:lang w:eastAsia="zh-CN"/>
              </w:rPr>
            </w:pPr>
            <w:r>
              <w:rPr>
                <w:rFonts w:hint="eastAsia"/>
                <w:sz w:val="28"/>
                <w:szCs w:val="28"/>
                <w:lang w:eastAsia="zh-CN"/>
              </w:rPr>
              <w:t>1、满足《中华人民共和国政府采购法》第二十二条的规定：</w:t>
            </w:r>
          </w:p>
          <w:p w14:paraId="392F6C04">
            <w:pPr>
              <w:bidi w:val="0"/>
              <w:rPr>
                <w:rFonts w:hint="eastAsia"/>
                <w:sz w:val="28"/>
                <w:szCs w:val="28"/>
                <w:lang w:eastAsia="zh-CN"/>
              </w:rPr>
            </w:pPr>
            <w:r>
              <w:rPr>
                <w:rFonts w:hint="eastAsia"/>
                <w:sz w:val="28"/>
                <w:szCs w:val="28"/>
                <w:lang w:eastAsia="zh-CN"/>
              </w:rPr>
              <w:t>（一）具有独立承担民事责任的能力；</w:t>
            </w:r>
          </w:p>
          <w:p w14:paraId="4FEFE602">
            <w:pPr>
              <w:bidi w:val="0"/>
              <w:rPr>
                <w:rFonts w:hint="eastAsia"/>
                <w:sz w:val="28"/>
                <w:szCs w:val="28"/>
                <w:lang w:eastAsia="zh-CN"/>
              </w:rPr>
            </w:pPr>
            <w:r>
              <w:rPr>
                <w:rFonts w:hint="eastAsia"/>
                <w:sz w:val="28"/>
                <w:szCs w:val="28"/>
                <w:lang w:eastAsia="zh-CN"/>
              </w:rPr>
              <w:t>（二）具有良好的商业信誉和健全的财务会计制度；</w:t>
            </w:r>
          </w:p>
          <w:p w14:paraId="47C7DE85">
            <w:pPr>
              <w:bidi w:val="0"/>
              <w:rPr>
                <w:rFonts w:hint="eastAsia"/>
                <w:sz w:val="28"/>
                <w:szCs w:val="28"/>
                <w:lang w:eastAsia="zh-CN"/>
              </w:rPr>
            </w:pPr>
            <w:r>
              <w:rPr>
                <w:rFonts w:hint="eastAsia"/>
                <w:sz w:val="28"/>
                <w:szCs w:val="28"/>
                <w:lang w:eastAsia="zh-CN"/>
              </w:rPr>
              <w:t>（三）具有履行合同所必需的设备和专业技术能力；</w:t>
            </w:r>
          </w:p>
          <w:p w14:paraId="003F0640">
            <w:pPr>
              <w:bidi w:val="0"/>
              <w:rPr>
                <w:rFonts w:hint="eastAsia"/>
                <w:sz w:val="28"/>
                <w:szCs w:val="28"/>
                <w:lang w:eastAsia="zh-CN"/>
              </w:rPr>
            </w:pPr>
            <w:r>
              <w:rPr>
                <w:rFonts w:hint="eastAsia"/>
                <w:sz w:val="28"/>
                <w:szCs w:val="28"/>
                <w:lang w:eastAsia="zh-CN"/>
              </w:rPr>
              <w:t>（四）有依法缴纳税收和社会保障资金的良好记录；</w:t>
            </w:r>
          </w:p>
          <w:p w14:paraId="1B3C548B">
            <w:pPr>
              <w:bidi w:val="0"/>
              <w:rPr>
                <w:rFonts w:hint="eastAsia"/>
                <w:sz w:val="28"/>
                <w:szCs w:val="28"/>
                <w:lang w:eastAsia="zh-CN"/>
              </w:rPr>
            </w:pPr>
            <w:r>
              <w:rPr>
                <w:rFonts w:hint="eastAsia"/>
                <w:sz w:val="28"/>
                <w:szCs w:val="28"/>
                <w:lang w:eastAsia="zh-CN"/>
              </w:rPr>
              <w:t>（五）参加政府采购活动前三年内，在经营活动中没有重大违法记录；</w:t>
            </w:r>
          </w:p>
          <w:p w14:paraId="74B3EE6B">
            <w:pPr>
              <w:bidi w:val="0"/>
              <w:rPr>
                <w:rFonts w:hint="eastAsia"/>
                <w:sz w:val="28"/>
                <w:szCs w:val="28"/>
                <w:lang w:eastAsia="zh-CN"/>
              </w:rPr>
            </w:pPr>
            <w:r>
              <w:rPr>
                <w:rFonts w:hint="eastAsia"/>
                <w:sz w:val="28"/>
                <w:szCs w:val="28"/>
                <w:lang w:eastAsia="zh-CN"/>
              </w:rPr>
              <w:t>（六）法律、行政法规规定的其他条件。</w:t>
            </w:r>
          </w:p>
          <w:p w14:paraId="45B5C766">
            <w:pPr>
              <w:bidi w:val="0"/>
              <w:rPr>
                <w:rFonts w:hint="eastAsia"/>
                <w:sz w:val="28"/>
                <w:szCs w:val="28"/>
                <w:lang w:eastAsia="zh-CN"/>
              </w:rPr>
            </w:pPr>
            <w:r>
              <w:rPr>
                <w:rFonts w:hint="eastAsia"/>
                <w:sz w:val="28"/>
                <w:szCs w:val="28"/>
                <w:lang w:eastAsia="zh-CN"/>
              </w:rPr>
              <w:t>注：供应商在投标（响应）时，提供相关承诺函，无需提供上述证明材料；采购人有权在签订合同前要求成交供应商提供相关证明材料以核实成交供应商承诺事项的真实性。</w:t>
            </w:r>
          </w:p>
          <w:p w14:paraId="1945B0A5">
            <w:pPr>
              <w:bidi w:val="0"/>
              <w:rPr>
                <w:rFonts w:hint="eastAsia"/>
                <w:sz w:val="28"/>
                <w:szCs w:val="28"/>
                <w:lang w:eastAsia="zh-CN"/>
              </w:rPr>
            </w:pPr>
            <w:r>
              <w:rPr>
                <w:rFonts w:hint="eastAsia"/>
                <w:sz w:val="28"/>
                <w:szCs w:val="28"/>
                <w:lang w:eastAsia="zh-CN"/>
              </w:rPr>
              <w:t>2、落实政府采购政策满足的资格要求：本项目执行促进中小型企业（残疾人福利性企业、监狱企业）发展政策、优先采购节能环保产品等政府采购政策；</w:t>
            </w:r>
          </w:p>
          <w:p w14:paraId="666DD608">
            <w:pPr>
              <w:bidi w:val="0"/>
              <w:rPr>
                <w:rFonts w:hint="eastAsia"/>
                <w:sz w:val="28"/>
                <w:szCs w:val="28"/>
                <w:lang w:eastAsia="zh-CN"/>
              </w:rPr>
            </w:pPr>
            <w:r>
              <w:rPr>
                <w:rFonts w:hint="eastAsia"/>
                <w:sz w:val="28"/>
                <w:szCs w:val="28"/>
                <w:lang w:eastAsia="zh-CN"/>
              </w:rPr>
              <w:t>3、本项目的特定资格要求：</w:t>
            </w:r>
          </w:p>
          <w:p w14:paraId="4B32DB80">
            <w:pPr>
              <w:bidi w:val="0"/>
              <w:rPr>
                <w:rFonts w:hint="eastAsia"/>
                <w:sz w:val="28"/>
                <w:szCs w:val="28"/>
                <w:lang w:eastAsia="zh-CN"/>
              </w:rPr>
            </w:pPr>
            <w:r>
              <w:rPr>
                <w:rFonts w:hint="eastAsia"/>
                <w:sz w:val="28"/>
                <w:szCs w:val="28"/>
                <w:lang w:eastAsia="zh-CN"/>
              </w:rPr>
              <w:t>（1）持有效的营业执照副本、税务登记证副本、组织机构代码证（若三证合一的须出具合并后的有效证件）。</w:t>
            </w:r>
          </w:p>
          <w:p w14:paraId="73DBA131">
            <w:pPr>
              <w:bidi w:val="0"/>
              <w:rPr>
                <w:rFonts w:hint="eastAsia"/>
                <w:sz w:val="28"/>
                <w:szCs w:val="28"/>
                <w:lang w:eastAsia="zh-CN"/>
              </w:rPr>
            </w:pPr>
            <w:r>
              <w:rPr>
                <w:rFonts w:hint="eastAsia"/>
                <w:sz w:val="28"/>
                <w:szCs w:val="28"/>
                <w:lang w:eastAsia="zh-CN"/>
              </w:rPr>
              <w:t>（2）提供投标人企业、法定代表人无行贿犯罪记录,在中国裁判文书网查询或自行承诺。</w:t>
            </w:r>
          </w:p>
          <w:p w14:paraId="41FA3B00">
            <w:pPr>
              <w:bidi w:val="0"/>
              <w:rPr>
                <w:rFonts w:hint="eastAsia"/>
                <w:sz w:val="28"/>
                <w:szCs w:val="28"/>
                <w:lang w:eastAsia="zh-CN"/>
              </w:rPr>
            </w:pPr>
            <w:r>
              <w:rPr>
                <w:rFonts w:hint="eastAsia"/>
                <w:sz w:val="28"/>
                <w:szCs w:val="28"/>
                <w:lang w:eastAsia="zh-CN"/>
              </w:rPr>
              <w:t>（3）供应商出具无商业贿赂及无不正当竞争行为的承诺书。</w:t>
            </w:r>
          </w:p>
          <w:p w14:paraId="1C24A2F9">
            <w:pPr>
              <w:bidi w:val="0"/>
              <w:rPr>
                <w:rFonts w:hint="eastAsia"/>
                <w:sz w:val="28"/>
                <w:szCs w:val="28"/>
                <w:lang w:eastAsia="zh-CN"/>
              </w:rPr>
            </w:pPr>
            <w:r>
              <w:rPr>
                <w:rFonts w:hint="eastAsia"/>
                <w:sz w:val="28"/>
                <w:szCs w:val="28"/>
                <w:lang w:eastAsia="zh-CN"/>
              </w:rPr>
              <w:t>（4）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62DE3E00">
            <w:pPr>
              <w:bidi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sz w:val="28"/>
                <w:szCs w:val="28"/>
                <w:lang w:eastAsia="zh-CN"/>
              </w:rPr>
              <w:t>（5）本项目不接受联合体参加，提供非联合</w:t>
            </w:r>
            <w:r>
              <w:rPr>
                <w:rFonts w:hint="eastAsia"/>
                <w:sz w:val="28"/>
                <w:szCs w:val="28"/>
              </w:rPr>
              <w:t>体承诺，格式自拟。</w:t>
            </w:r>
          </w:p>
        </w:tc>
      </w:tr>
      <w:tr w14:paraId="78B0B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628897C9">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9</w:t>
            </w:r>
          </w:p>
        </w:tc>
        <w:tc>
          <w:tcPr>
            <w:tcW w:w="1701" w:type="dxa"/>
            <w:vAlign w:val="center"/>
          </w:tcPr>
          <w:p w14:paraId="7C82C3F8">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竞争性磋商有效</w:t>
            </w:r>
            <w:r>
              <w:rPr>
                <w:rFonts w:hint="eastAsia" w:asciiTheme="minorEastAsia" w:hAnsiTheme="minorEastAsia" w:cstheme="minorEastAsia"/>
                <w:color w:val="000000" w:themeColor="text1"/>
                <w:sz w:val="28"/>
                <w:szCs w:val="28"/>
                <w14:textFill>
                  <w14:solidFill>
                    <w14:schemeClr w14:val="tx1"/>
                  </w14:solidFill>
                </w14:textFill>
              </w:rPr>
              <w:t>期</w:t>
            </w:r>
          </w:p>
        </w:tc>
        <w:tc>
          <w:tcPr>
            <w:tcW w:w="6520" w:type="dxa"/>
            <w:vAlign w:val="center"/>
          </w:tcPr>
          <w:p w14:paraId="25BC1599">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60日历天(从磋商截止之日算起)</w:t>
            </w:r>
          </w:p>
        </w:tc>
      </w:tr>
      <w:tr w14:paraId="42BC9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993" w:type="dxa"/>
            <w:vAlign w:val="center"/>
          </w:tcPr>
          <w:p w14:paraId="758666D6">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10</w:t>
            </w:r>
          </w:p>
        </w:tc>
        <w:tc>
          <w:tcPr>
            <w:tcW w:w="1701" w:type="dxa"/>
            <w:vAlign w:val="center"/>
          </w:tcPr>
          <w:p w14:paraId="5E7D77E4">
            <w:pPr>
              <w:adjustRightInd w:val="0"/>
              <w:spacing w:line="324" w:lineRule="auto"/>
              <w:jc w:val="center"/>
              <w:rPr>
                <w:rFonts w:asciiTheme="minorEastAsia" w:hAnsiTheme="minorEastAsia" w:cstheme="minorEastAsia"/>
                <w:color w:val="000000" w:themeColor="text1"/>
                <w:spacing w:val="-10"/>
                <w:sz w:val="28"/>
                <w:szCs w:val="28"/>
                <w14:textFill>
                  <w14:solidFill>
                    <w14:schemeClr w14:val="tx1"/>
                  </w14:solidFill>
                </w14:textFill>
              </w:rPr>
            </w:pPr>
            <w:r>
              <w:rPr>
                <w:rFonts w:hint="eastAsia" w:asciiTheme="minorEastAsia" w:hAnsiTheme="minorEastAsia" w:cstheme="minorEastAsia"/>
                <w:color w:val="000000" w:themeColor="text1"/>
                <w:spacing w:val="-10"/>
                <w:sz w:val="28"/>
                <w:szCs w:val="28"/>
                <w14:textFill>
                  <w14:solidFill>
                    <w14:schemeClr w14:val="tx1"/>
                  </w14:solidFill>
                </w14:textFill>
              </w:rPr>
              <w:t>竞争性磋商保证金</w:t>
            </w:r>
          </w:p>
        </w:tc>
        <w:tc>
          <w:tcPr>
            <w:tcW w:w="6520" w:type="dxa"/>
            <w:vAlign w:val="center"/>
          </w:tcPr>
          <w:p w14:paraId="56FF7D76">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根据《河南省财政厅关于优化政府采购营商环境有关问题的通知》（豫财购【2019】4号）第6条的规定，磋商保证金不再收取。</w:t>
            </w:r>
          </w:p>
        </w:tc>
      </w:tr>
      <w:tr w14:paraId="36912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993" w:type="dxa"/>
            <w:vAlign w:val="center"/>
          </w:tcPr>
          <w:p w14:paraId="4965E1FF">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11</w:t>
            </w:r>
          </w:p>
        </w:tc>
        <w:tc>
          <w:tcPr>
            <w:tcW w:w="1701" w:type="dxa"/>
            <w:vAlign w:val="center"/>
          </w:tcPr>
          <w:p w14:paraId="5788C2CC">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付款方式</w:t>
            </w:r>
          </w:p>
        </w:tc>
        <w:tc>
          <w:tcPr>
            <w:tcW w:w="6520" w:type="dxa"/>
            <w:vAlign w:val="center"/>
          </w:tcPr>
          <w:p w14:paraId="43D2BCBD">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双方协商</w:t>
            </w:r>
          </w:p>
        </w:tc>
      </w:tr>
      <w:tr w14:paraId="5ED53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3F7591DB">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12</w:t>
            </w:r>
          </w:p>
        </w:tc>
        <w:tc>
          <w:tcPr>
            <w:tcW w:w="1701" w:type="dxa"/>
            <w:vAlign w:val="center"/>
          </w:tcPr>
          <w:p w14:paraId="60C6B887">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竞争性磋商响应文件份数</w:t>
            </w:r>
          </w:p>
        </w:tc>
        <w:tc>
          <w:tcPr>
            <w:tcW w:w="6520" w:type="dxa"/>
            <w:vAlign w:val="center"/>
          </w:tcPr>
          <w:p w14:paraId="2D8413D0">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本项目为电子化、无纸化交易项目。（不适用）</w:t>
            </w:r>
          </w:p>
        </w:tc>
      </w:tr>
      <w:tr w14:paraId="17A83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93" w:type="dxa"/>
            <w:vAlign w:val="center"/>
          </w:tcPr>
          <w:p w14:paraId="418D0662">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13</w:t>
            </w:r>
          </w:p>
        </w:tc>
        <w:tc>
          <w:tcPr>
            <w:tcW w:w="1701" w:type="dxa"/>
            <w:vAlign w:val="center"/>
          </w:tcPr>
          <w:p w14:paraId="78976C58">
            <w:pPr>
              <w:adjustRightInd w:val="0"/>
              <w:spacing w:line="324" w:lineRule="auto"/>
              <w:jc w:val="lef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磋商响应文件递交截止时间</w:t>
            </w:r>
          </w:p>
        </w:tc>
        <w:tc>
          <w:tcPr>
            <w:tcW w:w="6520" w:type="dxa"/>
            <w:vAlign w:val="center"/>
          </w:tcPr>
          <w:p w14:paraId="49FD36DA">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时间：</w:t>
            </w:r>
            <w:r>
              <w:rPr>
                <w:rFonts w:hint="eastAsia" w:asciiTheme="minorEastAsia" w:hAnsiTheme="minorEastAsia" w:cstheme="minorEastAsia"/>
                <w:bCs/>
                <w:color w:val="000000" w:themeColor="text1"/>
                <w:kern w:val="0"/>
                <w:sz w:val="28"/>
                <w:szCs w:val="28"/>
                <w14:textFill>
                  <w14:solidFill>
                    <w14:schemeClr w14:val="tx1"/>
                  </w14:solidFill>
                </w14:textFill>
              </w:rPr>
              <w:t>202</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5</w:t>
            </w:r>
            <w:r>
              <w:rPr>
                <w:rFonts w:hint="eastAsia" w:asciiTheme="minorEastAsia" w:hAnsiTheme="minorEastAsia" w:cstheme="minorEastAsia"/>
                <w:bCs/>
                <w:color w:val="000000" w:themeColor="text1"/>
                <w:kern w:val="0"/>
                <w:sz w:val="28"/>
                <w:szCs w:val="28"/>
                <w14:textFill>
                  <w14:solidFill>
                    <w14:schemeClr w14:val="tx1"/>
                  </w14:solidFill>
                </w14:textFill>
              </w:rPr>
              <w:t>年</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6</w:t>
            </w:r>
            <w:r>
              <w:rPr>
                <w:rFonts w:hint="eastAsia" w:asciiTheme="minorEastAsia" w:hAnsiTheme="minorEastAsia" w:cstheme="minorEastAsia"/>
                <w:bCs/>
                <w:color w:val="000000" w:themeColor="text1"/>
                <w:kern w:val="0"/>
                <w:sz w:val="28"/>
                <w:szCs w:val="28"/>
                <w14:textFill>
                  <w14:solidFill>
                    <w14:schemeClr w14:val="tx1"/>
                  </w14:solidFill>
                </w14:textFill>
              </w:rPr>
              <w:t>月</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6</w:t>
            </w:r>
            <w:r>
              <w:rPr>
                <w:rFonts w:hint="eastAsia" w:asciiTheme="minorEastAsia" w:hAnsiTheme="minorEastAsia" w:cstheme="minorEastAsia"/>
                <w:bCs/>
                <w:color w:val="000000" w:themeColor="text1"/>
                <w:kern w:val="0"/>
                <w:sz w:val="28"/>
                <w:szCs w:val="28"/>
                <w14:textFill>
                  <w14:solidFill>
                    <w14:schemeClr w14:val="tx1"/>
                  </w14:solidFill>
                </w14:textFill>
              </w:rPr>
              <w:t>日08时30分</w:t>
            </w:r>
          </w:p>
        </w:tc>
      </w:tr>
      <w:tr w14:paraId="6F8A2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993" w:type="dxa"/>
            <w:vAlign w:val="center"/>
          </w:tcPr>
          <w:p w14:paraId="3070078C">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14</w:t>
            </w:r>
          </w:p>
        </w:tc>
        <w:tc>
          <w:tcPr>
            <w:tcW w:w="1701" w:type="dxa"/>
            <w:vAlign w:val="center"/>
          </w:tcPr>
          <w:p w14:paraId="01ED181F">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磋商响应文件递交</w:t>
            </w:r>
          </w:p>
        </w:tc>
        <w:tc>
          <w:tcPr>
            <w:tcW w:w="6520" w:type="dxa"/>
            <w:vAlign w:val="center"/>
          </w:tcPr>
          <w:p w14:paraId="703F6C89">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电子竞争性响应文件的电子版用企业和法人CA数字证书在磋商截止时间前上传至“三门峡市公共资源交易中心网站”。</w:t>
            </w:r>
          </w:p>
        </w:tc>
      </w:tr>
      <w:tr w14:paraId="1FE8C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48FE79F4">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15</w:t>
            </w:r>
          </w:p>
        </w:tc>
        <w:tc>
          <w:tcPr>
            <w:tcW w:w="1701" w:type="dxa"/>
            <w:vAlign w:val="center"/>
          </w:tcPr>
          <w:p w14:paraId="443E0909">
            <w:pPr>
              <w:adjustRightInd w:val="0"/>
              <w:spacing w:line="324" w:lineRule="auto"/>
              <w:jc w:val="center"/>
              <w:rPr>
                <w:rFonts w:asciiTheme="minorEastAsia" w:hAnsiTheme="minorEastAsia" w:cstheme="minorEastAsia"/>
                <w:color w:val="000000" w:themeColor="text1"/>
                <w:spacing w:val="-10"/>
                <w:sz w:val="28"/>
                <w:szCs w:val="28"/>
                <w14:textFill>
                  <w14:solidFill>
                    <w14:schemeClr w14:val="tx1"/>
                  </w14:solidFill>
                </w14:textFill>
              </w:rPr>
            </w:pPr>
            <w:r>
              <w:rPr>
                <w:rFonts w:hint="eastAsia" w:asciiTheme="minorEastAsia" w:hAnsiTheme="minorEastAsia" w:cstheme="minorEastAsia"/>
                <w:color w:val="000000" w:themeColor="text1"/>
                <w:spacing w:val="-10"/>
                <w:sz w:val="28"/>
                <w:szCs w:val="28"/>
                <w14:textFill>
                  <w14:solidFill>
                    <w14:schemeClr w14:val="tx1"/>
                  </w14:solidFill>
                </w14:textFill>
              </w:rPr>
              <w:t>磋商时间及地点</w:t>
            </w:r>
          </w:p>
        </w:tc>
        <w:tc>
          <w:tcPr>
            <w:tcW w:w="6520" w:type="dxa"/>
            <w:vAlign w:val="center"/>
          </w:tcPr>
          <w:p w14:paraId="35AFF3B3">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时间：</w:t>
            </w:r>
            <w:r>
              <w:rPr>
                <w:rFonts w:hint="eastAsia" w:asciiTheme="minorEastAsia" w:hAnsiTheme="minorEastAsia" w:cstheme="minorEastAsia"/>
                <w:bCs/>
                <w:color w:val="000000" w:themeColor="text1"/>
                <w:kern w:val="0"/>
                <w:sz w:val="28"/>
                <w:szCs w:val="28"/>
                <w14:textFill>
                  <w14:solidFill>
                    <w14:schemeClr w14:val="tx1"/>
                  </w14:solidFill>
                </w14:textFill>
              </w:rPr>
              <w:t>202</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5</w:t>
            </w:r>
            <w:r>
              <w:rPr>
                <w:rFonts w:hint="eastAsia" w:asciiTheme="minorEastAsia" w:hAnsiTheme="minorEastAsia" w:cstheme="minorEastAsia"/>
                <w:bCs/>
                <w:color w:val="000000" w:themeColor="text1"/>
                <w:kern w:val="0"/>
                <w:sz w:val="28"/>
                <w:szCs w:val="28"/>
                <w14:textFill>
                  <w14:solidFill>
                    <w14:schemeClr w14:val="tx1"/>
                  </w14:solidFill>
                </w14:textFill>
              </w:rPr>
              <w:t>年</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6</w:t>
            </w:r>
            <w:r>
              <w:rPr>
                <w:rFonts w:hint="eastAsia" w:asciiTheme="minorEastAsia" w:hAnsiTheme="minorEastAsia" w:cstheme="minorEastAsia"/>
                <w:bCs/>
                <w:color w:val="000000" w:themeColor="text1"/>
                <w:kern w:val="0"/>
                <w:sz w:val="28"/>
                <w:szCs w:val="28"/>
                <w14:textFill>
                  <w14:solidFill>
                    <w14:schemeClr w14:val="tx1"/>
                  </w14:solidFill>
                </w14:textFill>
              </w:rPr>
              <w:t>月</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6</w:t>
            </w:r>
            <w:r>
              <w:rPr>
                <w:rFonts w:hint="eastAsia" w:asciiTheme="minorEastAsia" w:hAnsiTheme="minorEastAsia" w:cstheme="minorEastAsia"/>
                <w:bCs/>
                <w:color w:val="000000" w:themeColor="text1"/>
                <w:kern w:val="0"/>
                <w:sz w:val="28"/>
                <w:szCs w:val="28"/>
                <w14:textFill>
                  <w14:solidFill>
                    <w14:schemeClr w14:val="tx1"/>
                  </w14:solidFill>
                </w14:textFill>
              </w:rPr>
              <w:t>日08时30分</w:t>
            </w:r>
          </w:p>
          <w:p w14:paraId="23FFF733">
            <w:pP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地点：三门峡市陕州区公共资源交易中心开标室</w:t>
            </w:r>
          </w:p>
        </w:tc>
      </w:tr>
      <w:tr w14:paraId="2E008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0D66E515">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16</w:t>
            </w:r>
          </w:p>
        </w:tc>
        <w:tc>
          <w:tcPr>
            <w:tcW w:w="1701" w:type="dxa"/>
            <w:vAlign w:val="center"/>
          </w:tcPr>
          <w:p w14:paraId="391F87DE">
            <w:pPr>
              <w:spacing w:line="440" w:lineRule="exact"/>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磋商小组的组建</w:t>
            </w:r>
          </w:p>
        </w:tc>
        <w:tc>
          <w:tcPr>
            <w:tcW w:w="6520" w:type="dxa"/>
            <w:vAlign w:val="center"/>
          </w:tcPr>
          <w:p w14:paraId="1E25E083">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磋商小组成员为3人，采购人代表1人，其余专家2人从河南省政府采购评审专家库中随机抽取。</w:t>
            </w:r>
          </w:p>
        </w:tc>
      </w:tr>
      <w:tr w14:paraId="72B39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93" w:type="dxa"/>
            <w:vAlign w:val="center"/>
          </w:tcPr>
          <w:p w14:paraId="72DCEBE0">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17</w:t>
            </w:r>
          </w:p>
        </w:tc>
        <w:tc>
          <w:tcPr>
            <w:tcW w:w="1701" w:type="dxa"/>
            <w:vAlign w:val="center"/>
          </w:tcPr>
          <w:p w14:paraId="7716BAB4">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磋商标准及方法</w:t>
            </w:r>
          </w:p>
        </w:tc>
        <w:tc>
          <w:tcPr>
            <w:tcW w:w="6520" w:type="dxa"/>
            <w:vAlign w:val="center"/>
          </w:tcPr>
          <w:p w14:paraId="28D3B12F">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成交候选供应商的磋商方法。</w:t>
            </w:r>
          </w:p>
        </w:tc>
      </w:tr>
      <w:tr w14:paraId="0F530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93" w:type="dxa"/>
            <w:vAlign w:val="center"/>
          </w:tcPr>
          <w:p w14:paraId="4A5E237D">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18</w:t>
            </w:r>
          </w:p>
        </w:tc>
        <w:tc>
          <w:tcPr>
            <w:tcW w:w="1701" w:type="dxa"/>
            <w:vAlign w:val="center"/>
          </w:tcPr>
          <w:p w14:paraId="36FF318A">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履约保证金</w:t>
            </w:r>
          </w:p>
        </w:tc>
        <w:tc>
          <w:tcPr>
            <w:tcW w:w="6520" w:type="dxa"/>
            <w:vAlign w:val="center"/>
          </w:tcPr>
          <w:p w14:paraId="3F336266">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无</w:t>
            </w:r>
          </w:p>
        </w:tc>
      </w:tr>
      <w:tr w14:paraId="5D0ACD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3" w:hRule="atLeast"/>
          <w:jc w:val="center"/>
        </w:trPr>
        <w:tc>
          <w:tcPr>
            <w:tcW w:w="993" w:type="dxa"/>
            <w:vAlign w:val="center"/>
          </w:tcPr>
          <w:p w14:paraId="4AB5D858">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19</w:t>
            </w:r>
          </w:p>
        </w:tc>
        <w:tc>
          <w:tcPr>
            <w:tcW w:w="1701" w:type="dxa"/>
            <w:vAlign w:val="center"/>
          </w:tcPr>
          <w:p w14:paraId="08CB23EE">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预算价</w:t>
            </w:r>
          </w:p>
        </w:tc>
        <w:tc>
          <w:tcPr>
            <w:tcW w:w="6520" w:type="dxa"/>
            <w:vAlign w:val="center"/>
          </w:tcPr>
          <w:p w14:paraId="5874641E">
            <w:pP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本项目预算价：</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500000</w:t>
            </w:r>
            <w:r>
              <w:rPr>
                <w:rFonts w:hint="eastAsia" w:asciiTheme="minorEastAsia" w:hAnsiTheme="minorEastAsia" w:cstheme="minorEastAsia"/>
                <w:color w:val="000000" w:themeColor="text1"/>
                <w:spacing w:val="6"/>
                <w:sz w:val="28"/>
                <w:szCs w:val="28"/>
                <w14:textFill>
                  <w14:solidFill>
                    <w14:schemeClr w14:val="tx1"/>
                  </w14:solidFill>
                </w14:textFill>
              </w:rPr>
              <w:t>元</w:t>
            </w:r>
          </w:p>
          <w:p w14:paraId="79AAB263">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磋商供应商磋商报价超出“预算价”的，该磋商供应商按无效处理。</w:t>
            </w:r>
          </w:p>
        </w:tc>
      </w:tr>
      <w:tr w14:paraId="4AF71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993" w:type="dxa"/>
            <w:vAlign w:val="center"/>
          </w:tcPr>
          <w:p w14:paraId="2E4D0DDE">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20</w:t>
            </w:r>
          </w:p>
        </w:tc>
        <w:tc>
          <w:tcPr>
            <w:tcW w:w="1701" w:type="dxa"/>
            <w:vAlign w:val="center"/>
          </w:tcPr>
          <w:p w14:paraId="5F439F44">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报价</w:t>
            </w:r>
          </w:p>
        </w:tc>
        <w:tc>
          <w:tcPr>
            <w:tcW w:w="6520" w:type="dxa"/>
            <w:vAlign w:val="center"/>
          </w:tcPr>
          <w:p w14:paraId="2B282468">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本次磋商应以人民币报价，分两次进行报价。</w:t>
            </w:r>
          </w:p>
        </w:tc>
      </w:tr>
      <w:tr w14:paraId="2B481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993" w:type="dxa"/>
            <w:vAlign w:val="center"/>
          </w:tcPr>
          <w:p w14:paraId="5E62D302">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21</w:t>
            </w:r>
          </w:p>
        </w:tc>
        <w:tc>
          <w:tcPr>
            <w:tcW w:w="1701" w:type="dxa"/>
            <w:vAlign w:val="center"/>
          </w:tcPr>
          <w:p w14:paraId="2FC02A9B">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电子化注意事项</w:t>
            </w:r>
          </w:p>
        </w:tc>
        <w:tc>
          <w:tcPr>
            <w:tcW w:w="6520" w:type="dxa"/>
            <w:vAlign w:val="center"/>
          </w:tcPr>
          <w:p w14:paraId="7128B9B0">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具体要求：本项目为电子化、无纸化交易项目，响应文件是响应人、供应商（以下简称“响应人”）通过中心响应文件制作系统制作，并经过签章和加密后生成的电子版响应文件。</w:t>
            </w:r>
          </w:p>
          <w:p w14:paraId="1958CAA5">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电子化响应文件具体制作文件请点击https://download.bqpoint.com/download/downloadlist.html?SoftTypeCode=06进行下载。</w:t>
            </w:r>
          </w:p>
          <w:p w14:paraId="5744BB4C">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温馨提示：本项目为电子化、无纸化交易项目，为保证您能投标成功，请需仔细阅读以下条款。</w:t>
            </w:r>
          </w:p>
          <w:p w14:paraId="165D535C">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一、电子化投标</w:t>
            </w:r>
          </w:p>
          <w:p w14:paraId="7F1AF542">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（一）电子化响应文件的签章</w:t>
            </w:r>
          </w:p>
          <w:p w14:paraId="1C94F70B">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1、响应人在生成电子化响应文件后，应对电子化响应文件进行签章，未进行签章的视为无效投标。</w:t>
            </w:r>
          </w:p>
          <w:p w14:paraId="216CABD9">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2、竞争性磋商文件中要求法定代表人或授权委托人签字或盖章的，响应人在进行电子化响应文件签章时，以签盖法定代表人签章为准。</w:t>
            </w:r>
          </w:p>
          <w:p w14:paraId="515E1884">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（二）电子化响应文件的格式及上传投标</w:t>
            </w:r>
          </w:p>
          <w:p w14:paraId="5C2CE43A">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响应人所上传的电子化响应文件，应是通过中心响应文件制作系统制作的（响应文件制作工具下载地址：https://download.bqpoint.com/download/downloadlist.html?SoftTypeCode=06），经过签章和加密后生成的电子版响应文件。其中包含用于响应文件上传的主文件（后缀为.smxtf）和用于应急补救的响应文件备份文件（后缀为.nsmxtf）。备份文件主要用于电子化开标出现技术问题后的补救，请投标人随身携带。</w:t>
            </w:r>
          </w:p>
          <w:p w14:paraId="640AB879">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注：响应人投报多个标段的，需要每个标段单独制作电子响应文件。</w:t>
            </w:r>
          </w:p>
          <w:p w14:paraId="0EDD0202">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2、电子化响应文件应在磋商截止时间前成功上传至三门峡市公共资源电子化交易系统。至磋商截止时间止，仍未上传成功的电子化响应文件将不予接收。</w:t>
            </w:r>
          </w:p>
          <w:p w14:paraId="4DB7CAED">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18F05E07">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技术联系电话：0398-3117095   3117080</w:t>
            </w:r>
          </w:p>
          <w:p w14:paraId="63C179BD">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新点客服电话:4009980000</w:t>
            </w:r>
          </w:p>
          <w:p w14:paraId="38D6A85E">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（三）电子化项目开标、解密、评标</w:t>
            </w:r>
          </w:p>
          <w:p w14:paraId="4C55FBFE">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本项目采用电子化、无纸化进行磋商，开标当日，响应人无需到开标现场参加开标会议，响应人应当在磋商截止时间前，登陆不见面开标大厅选择登陆三门峡市公共资源电子招投标系统进行登陆（网址为http://122.112.246.33/BidOpening/bidopeninghallaction/hall/login）,在线准时参加开标活动并进行响应文件解密等。</w:t>
            </w:r>
          </w:p>
          <w:p w14:paraId="0E37B272">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4CCCA535">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3、电子化响应文件解密异常的处理</w:t>
            </w:r>
          </w:p>
          <w:p w14:paraId="011250F4">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如出现响应人的电子响应文件无法解密等异常情况，响应人应及时致电中介服务机构说明。响应文件异常，按以下步骤进行处理：</w:t>
            </w:r>
          </w:p>
          <w:p w14:paraId="19035080">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（1）首先由技术人员进行问题排查。</w:t>
            </w:r>
          </w:p>
          <w:p w14:paraId="7951C1DA">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（2）经技术人员排查后，是响应人文件自身问题导致响应文件无法解密的，该响应文件将不予接收、解密。开标会议继续进行。</w:t>
            </w:r>
          </w:p>
          <w:p w14:paraId="0B5A4150">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5FA3C63D">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4、待所有响应人响应文件解密完成后，由中介服务机构操作，对所有已解密响应文件进行解密。</w:t>
            </w:r>
          </w:p>
          <w:p w14:paraId="0919E2BC">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响应人应保证在磋商期间电话、电脑、网络能够正常工作，响应人因停电、电脑病毒、网络堵塞等原因，未在规定的解密时间内对响应文件进行解密的，其响应文件不予接收。</w:t>
            </w:r>
          </w:p>
          <w:p w14:paraId="1D2B63C1">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115CFAE8">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461B98D2">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7、如评标委员会对需要回复的响应人连续三次致电未接通的，视为响应人放弃回复，评标委员会将自行对需要回复的内容进行认定。</w:t>
            </w:r>
          </w:p>
          <w:p w14:paraId="5F1B0EC0">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二、资格审查资料</w:t>
            </w:r>
          </w:p>
          <w:p w14:paraId="739CE774">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本项目实行资格后审，资格评审以响应文件为准，其上传资料真实性由投标人自行承担，同时，投标人要完善主体库。提示：本项目为电子化、无纸化交易项目，为保证您能投标成功，请需仔细阅读以上条款。</w:t>
            </w:r>
          </w:p>
        </w:tc>
      </w:tr>
      <w:tr w14:paraId="4F75E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993" w:type="dxa"/>
            <w:vAlign w:val="center"/>
          </w:tcPr>
          <w:p w14:paraId="3168C0F9">
            <w:pPr>
              <w:adjustRightInd w:val="0"/>
              <w:spacing w:line="324" w:lineRule="auto"/>
              <w:jc w:val="center"/>
              <w:rPr>
                <w:rFonts w:hint="default" w:asciiTheme="minorEastAsia" w:hAnsiTheme="minorEastAsia" w:eastAsiaTheme="minorEastAsia" w:cstheme="minorEastAsia"/>
                <w:color w:val="000000" w:themeColor="text1"/>
                <w:spacing w:val="6"/>
                <w:sz w:val="28"/>
                <w:szCs w:val="28"/>
                <w:lang w:val="en-US" w:eastAsia="zh-CN"/>
                <w14:textFill>
                  <w14:solidFill>
                    <w14:schemeClr w14:val="tx1"/>
                  </w14:solidFill>
                </w14:textFill>
              </w:rPr>
            </w:pP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22</w:t>
            </w:r>
          </w:p>
        </w:tc>
        <w:tc>
          <w:tcPr>
            <w:tcW w:w="1701" w:type="dxa"/>
            <w:vAlign w:val="center"/>
          </w:tcPr>
          <w:p w14:paraId="20F1283D">
            <w:pPr>
              <w:autoSpaceDE w:val="0"/>
              <w:autoSpaceDN w:val="0"/>
              <w:adjustRightInd w:val="0"/>
              <w:jc w:val="center"/>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标的所属</w:t>
            </w:r>
            <w:r>
              <w:rPr>
                <w:rFonts w:hint="eastAsia" w:asciiTheme="minorEastAsia" w:hAnsiTheme="minorEastAsia" w:cstheme="minorEastAsia"/>
                <w:color w:val="000000" w:themeColor="text1"/>
                <w:spacing w:val="6"/>
                <w:sz w:val="28"/>
                <w:szCs w:val="28"/>
                <w:lang w:val="en-US" w:eastAsia="zh-CN"/>
                <w14:textFill>
                  <w14:solidFill>
                    <w14:schemeClr w14:val="tx1"/>
                  </w14:solidFill>
                </w14:textFill>
              </w:rPr>
              <w:t xml:space="preserve"> </w:t>
            </w:r>
            <w:r>
              <w:rPr>
                <w:rFonts w:hint="eastAsia" w:asciiTheme="minorEastAsia" w:hAnsiTheme="minorEastAsia" w:cstheme="minorEastAsia"/>
                <w:color w:val="000000" w:themeColor="text1"/>
                <w:spacing w:val="6"/>
                <w:sz w:val="28"/>
                <w:szCs w:val="28"/>
                <w14:textFill>
                  <w14:solidFill>
                    <w14:schemeClr w14:val="tx1"/>
                  </w14:solidFill>
                </w14:textFill>
              </w:rPr>
              <w:t>行业</w:t>
            </w:r>
          </w:p>
        </w:tc>
        <w:tc>
          <w:tcPr>
            <w:tcW w:w="6520" w:type="dxa"/>
            <w:vAlign w:val="center"/>
          </w:tcPr>
          <w:p w14:paraId="48F4B0BF">
            <w:pPr>
              <w:autoSpaceDE w:val="0"/>
              <w:autoSpaceDN w:val="0"/>
              <w:adjustRightInd w:val="0"/>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本项目采购标的对应的中小企业划分标准所属行业：</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制造业</w:t>
            </w:r>
          </w:p>
        </w:tc>
      </w:tr>
    </w:tbl>
    <w:p w14:paraId="7A4D8C6F">
      <w:pPr>
        <w:widowControl/>
        <w:spacing w:line="600" w:lineRule="exact"/>
        <w:jc w:val="center"/>
        <w:rPr>
          <w:rFonts w:ascii="宋体" w:hAnsi="Calibri" w:eastAsia="宋体" w:cs="黑体"/>
          <w:color w:val="000000" w:themeColor="text1"/>
          <w:w w:val="97"/>
          <w:kern w:val="0"/>
          <w:sz w:val="28"/>
          <w:szCs w:val="28"/>
          <w14:textFill>
            <w14:solidFill>
              <w14:schemeClr w14:val="tx1"/>
            </w14:solidFill>
          </w14:textFill>
        </w:rPr>
      </w:pPr>
      <w:r>
        <w:rPr>
          <w:rFonts w:hint="eastAsia" w:ascii="宋体" w:hAnsi="宋体" w:eastAsia="宋体" w:cs="黑体"/>
          <w:color w:val="000000" w:themeColor="text1"/>
          <w:w w:val="97"/>
          <w:kern w:val="0"/>
          <w:sz w:val="28"/>
          <w:szCs w:val="28"/>
          <w14:textFill>
            <w14:solidFill>
              <w14:schemeClr w14:val="tx1"/>
            </w14:solidFill>
          </w14:textFill>
        </w:rPr>
        <w:t>一、说明</w:t>
      </w:r>
    </w:p>
    <w:p w14:paraId="71287AC7">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适用范围</w:t>
      </w:r>
    </w:p>
    <w:p w14:paraId="4E978DB3">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本竞争性磋商文件仅适用于竞争性磋商公告中所叙述项目的相关采购。</w:t>
      </w:r>
    </w:p>
    <w:p w14:paraId="5727B929">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w:t>
      </w:r>
      <w:r>
        <w:rPr>
          <w:rFonts w:hint="eastAsia" w:ascii="宋体" w:hAnsi="宋体" w:eastAsia="宋体" w:cs="宋体"/>
          <w:color w:val="000000" w:themeColor="text1"/>
          <w:spacing w:val="-3"/>
          <w:kern w:val="0"/>
          <w:sz w:val="28"/>
          <w:szCs w:val="28"/>
          <w14:textFill>
            <w14:solidFill>
              <w14:schemeClr w14:val="tx1"/>
            </w14:solidFill>
          </w14:textFill>
        </w:rPr>
        <w:t>定义</w:t>
      </w:r>
    </w:p>
    <w:p w14:paraId="7B81E628">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2.1</w:t>
      </w:r>
      <w:r>
        <w:rPr>
          <w:rFonts w:hint="eastAsia" w:ascii="宋体" w:hAnsi="宋体" w:eastAsia="宋体" w:cs="宋体"/>
          <w:color w:val="000000" w:themeColor="text1"/>
          <w:spacing w:val="-3"/>
          <w:kern w:val="0"/>
          <w:sz w:val="28"/>
          <w:szCs w:val="28"/>
          <w14:textFill>
            <w14:solidFill>
              <w14:schemeClr w14:val="tx1"/>
            </w14:solidFill>
          </w14:textFill>
        </w:rPr>
        <w:t xml:space="preserve"> “采购人”系指本次采购项目的采购单位。</w:t>
      </w:r>
    </w:p>
    <w:p w14:paraId="0B45BC21">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2.2</w:t>
      </w:r>
      <w:r>
        <w:rPr>
          <w:rFonts w:hint="eastAsia" w:ascii="宋体" w:hAnsi="宋体" w:eastAsia="宋体" w:cs="宋体"/>
          <w:color w:val="000000" w:themeColor="text1"/>
          <w:spacing w:val="-3"/>
          <w:kern w:val="0"/>
          <w:sz w:val="28"/>
          <w:szCs w:val="28"/>
          <w14:textFill>
            <w14:solidFill>
              <w14:schemeClr w14:val="tx1"/>
            </w14:solidFill>
          </w14:textFill>
        </w:rPr>
        <w:t xml:space="preserve"> “采购代理机构”系指本次采购项目活动组织方。</w:t>
      </w:r>
    </w:p>
    <w:p w14:paraId="1BE0C1A0">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2.3</w:t>
      </w:r>
      <w:r>
        <w:rPr>
          <w:rFonts w:hint="eastAsia" w:ascii="宋体" w:hAnsi="宋体" w:eastAsia="宋体" w:cs="宋体"/>
          <w:color w:val="000000" w:themeColor="text1"/>
          <w:spacing w:val="-3"/>
          <w:kern w:val="0"/>
          <w:sz w:val="28"/>
          <w:szCs w:val="28"/>
          <w14:textFill>
            <w14:solidFill>
              <w14:schemeClr w14:val="tx1"/>
            </w14:solidFill>
          </w14:textFill>
        </w:rPr>
        <w:t xml:space="preserve"> “供应商”系指购买了本次竞争性磋商文件，且已经提交本次响应性文件。</w:t>
      </w:r>
    </w:p>
    <w:p w14:paraId="477C0B19">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2.4 </w:t>
      </w:r>
      <w:r>
        <w:rPr>
          <w:rFonts w:hint="eastAsia" w:ascii="宋体" w:hAnsi="宋体" w:eastAsia="宋体" w:cs="宋体"/>
          <w:color w:val="000000" w:themeColor="text1"/>
          <w:spacing w:val="-3"/>
          <w:kern w:val="0"/>
          <w:sz w:val="28"/>
          <w:szCs w:val="28"/>
          <w14:textFill>
            <w14:solidFill>
              <w14:schemeClr w14:val="tx1"/>
            </w14:solidFill>
          </w14:textFill>
        </w:rPr>
        <w:t>“供应商代表”系指代表供应商参加本次磋商活动的磋商供应商的法定代表人或其委托代理人。</w:t>
      </w:r>
    </w:p>
    <w:p w14:paraId="3E19A9E4">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2.5 </w:t>
      </w:r>
      <w:r>
        <w:rPr>
          <w:rFonts w:hint="eastAsia" w:ascii="宋体" w:hAnsi="宋体" w:eastAsia="宋体" w:cs="宋体"/>
          <w:color w:val="000000" w:themeColor="text1"/>
          <w:spacing w:val="-3"/>
          <w:kern w:val="0"/>
          <w:sz w:val="28"/>
          <w:szCs w:val="28"/>
          <w14:textFill>
            <w14:solidFill>
              <w14:schemeClr w14:val="tx1"/>
            </w14:solidFill>
          </w14:textFill>
        </w:rPr>
        <w:t>“货物”系指供应商按竞争性磋商文件规定的采购人所要求的一切项目内容。</w:t>
      </w:r>
    </w:p>
    <w:p w14:paraId="0C07B7EB">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2.6 </w:t>
      </w:r>
      <w:r>
        <w:rPr>
          <w:rFonts w:hint="eastAsia" w:ascii="宋体" w:hAnsi="宋体" w:eastAsia="宋体" w:cs="宋体"/>
          <w:color w:val="000000" w:themeColor="text1"/>
          <w:spacing w:val="-3"/>
          <w:kern w:val="0"/>
          <w:sz w:val="28"/>
          <w:szCs w:val="28"/>
          <w14:textFill>
            <w14:solidFill>
              <w14:schemeClr w14:val="tx1"/>
            </w14:solidFill>
          </w14:textFill>
        </w:rPr>
        <w:t>“相关服务”系指竞争性磋商文件规定磋商供应商须承担的与本次采购项目相关的服务、协调工作以及其他类似的义务。</w:t>
      </w:r>
    </w:p>
    <w:p w14:paraId="662A9FC0">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2.7 </w:t>
      </w:r>
      <w:r>
        <w:rPr>
          <w:rFonts w:hint="eastAsia" w:ascii="宋体" w:hAnsi="宋体" w:eastAsia="宋体" w:cs="宋体"/>
          <w:color w:val="000000" w:themeColor="text1"/>
          <w:spacing w:val="-3"/>
          <w:kern w:val="0"/>
          <w:sz w:val="28"/>
          <w:szCs w:val="28"/>
          <w14:textFill>
            <w14:solidFill>
              <w14:schemeClr w14:val="tx1"/>
            </w14:solidFill>
          </w14:textFill>
        </w:rPr>
        <w:t>“竞争性磋商文件有效期”系指本次采购项目递交响应性文件截止之日起至合同签订之日止的期限。成交供应商的竞争性磋商文件有效期至合同完全履行止。</w:t>
      </w:r>
    </w:p>
    <w:p w14:paraId="796359FC">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磋商预算价</w:t>
      </w:r>
    </w:p>
    <w:p w14:paraId="53C6711E">
      <w:pPr>
        <w:spacing w:line="600" w:lineRule="exact"/>
        <w:ind w:firstLine="548"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本次磋商预算价为：</w:t>
      </w:r>
      <w:r>
        <w:rPr>
          <w:rFonts w:hint="eastAsia" w:ascii="宋体" w:hAnsi="宋体" w:eastAsia="宋体" w:cs="宋体"/>
          <w:color w:val="000000" w:themeColor="text1"/>
          <w:spacing w:val="-3"/>
          <w:kern w:val="0"/>
          <w:sz w:val="28"/>
          <w:szCs w:val="28"/>
          <w:lang w:eastAsia="zh-CN"/>
          <w14:textFill>
            <w14:solidFill>
              <w14:schemeClr w14:val="tx1"/>
            </w14:solidFill>
          </w14:textFill>
        </w:rPr>
        <w:t>500000</w:t>
      </w:r>
      <w:r>
        <w:rPr>
          <w:rFonts w:hint="eastAsia" w:ascii="Calibri" w:hAnsi="Calibri" w:eastAsia="宋体" w:cs="Times New Roman"/>
          <w:color w:val="000000" w:themeColor="text1"/>
          <w:sz w:val="28"/>
          <w:szCs w:val="28"/>
          <w14:textFill>
            <w14:solidFill>
              <w14:schemeClr w14:val="tx1"/>
            </w14:solidFill>
          </w14:textFill>
        </w:rPr>
        <w:t>元</w:t>
      </w:r>
    </w:p>
    <w:p w14:paraId="23524C54">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4.</w:t>
      </w:r>
      <w:r>
        <w:rPr>
          <w:rFonts w:hint="eastAsia" w:ascii="宋体" w:hAnsi="宋体" w:eastAsia="宋体" w:cs="宋体"/>
          <w:color w:val="000000" w:themeColor="text1"/>
          <w:spacing w:val="-3"/>
          <w:kern w:val="0"/>
          <w:sz w:val="28"/>
          <w:szCs w:val="28"/>
          <w14:textFill>
            <w14:solidFill>
              <w14:schemeClr w14:val="tx1"/>
            </w14:solidFill>
          </w14:textFill>
        </w:rPr>
        <w:t>供应商应提交的资格证明文件</w:t>
      </w:r>
    </w:p>
    <w:p w14:paraId="71CDB55C">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详见供应商须知</w:t>
      </w:r>
    </w:p>
    <w:p w14:paraId="3F06DA4E">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联合体参加磋商</w:t>
      </w:r>
    </w:p>
    <w:p w14:paraId="701B447F">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本项目不接受联合体参加磋商。</w:t>
      </w:r>
    </w:p>
    <w:p w14:paraId="26667495">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转包与分包</w:t>
      </w:r>
    </w:p>
    <w:p w14:paraId="56822E51">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本项目不允许采取转包方式履行合同。</w:t>
      </w:r>
    </w:p>
    <w:p w14:paraId="152BABCC">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本项目不允许采取分包方式履行合同。</w:t>
      </w:r>
    </w:p>
    <w:p w14:paraId="42CD9622">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特别说明：</w:t>
      </w:r>
    </w:p>
    <w:p w14:paraId="60A6BEEB">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.1供应商</w:t>
      </w:r>
      <w:r>
        <w:rPr>
          <w:rFonts w:hint="eastAsia" w:ascii="宋体" w:hAnsi="宋体" w:eastAsia="宋体" w:cs="宋体"/>
          <w:color w:val="000000" w:themeColor="text1"/>
          <w:spacing w:val="-3"/>
          <w:kern w:val="0"/>
          <w:sz w:val="28"/>
          <w:szCs w:val="28"/>
          <w14:textFill>
            <w14:solidFill>
              <w14:schemeClr w14:val="tx1"/>
            </w14:solidFill>
          </w14:textFill>
        </w:rPr>
        <w:t>参加磋商所使用的资格、信誉、荣誉、业绩与企业认证必须为本法人所拥有。</w:t>
      </w:r>
    </w:p>
    <w:p w14:paraId="15D2158C">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.2供应商</w:t>
      </w:r>
      <w:r>
        <w:rPr>
          <w:rFonts w:hint="eastAsia" w:ascii="宋体" w:hAnsi="宋体" w:eastAsia="宋体" w:cs="宋体"/>
          <w:color w:val="000000" w:themeColor="text1"/>
          <w:spacing w:val="-3"/>
          <w:kern w:val="0"/>
          <w:sz w:val="28"/>
          <w:szCs w:val="28"/>
          <w14:textFill>
            <w14:solidFill>
              <w14:schemeClr w14:val="tx1"/>
            </w14:solidFill>
          </w14:textFill>
        </w:rPr>
        <w:t>代表只能接受一个供应商的委托参加磋商。</w:t>
      </w:r>
    </w:p>
    <w:p w14:paraId="33B80C9D">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 xml:space="preserve">.3 </w:t>
      </w:r>
      <w:r>
        <w:rPr>
          <w:rFonts w:hint="eastAsia" w:ascii="宋体" w:hAnsi="宋体" w:eastAsia="宋体" w:cs="宋体"/>
          <w:color w:val="000000" w:themeColor="text1"/>
          <w:spacing w:val="-3"/>
          <w:kern w:val="0"/>
          <w:sz w:val="28"/>
          <w:szCs w:val="28"/>
          <w14:textFill>
            <w14:solidFill>
              <w14:schemeClr w14:val="tx1"/>
            </w14:solidFill>
          </w14:textFill>
        </w:rPr>
        <w:t>供应商在磋商活动中提供虚假材料或从事其他违法活动的</w:t>
      </w:r>
      <w:r>
        <w:rPr>
          <w:rFonts w:ascii="宋体" w:hAnsi="Calibri"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其响应无效，由相关部门查处。</w:t>
      </w:r>
    </w:p>
    <w:p w14:paraId="075FDED2">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质疑和投诉</w:t>
      </w:r>
    </w:p>
    <w:p w14:paraId="7D0F8F47">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.1供应商</w:t>
      </w:r>
      <w:r>
        <w:rPr>
          <w:rFonts w:hint="eastAsia" w:ascii="宋体" w:hAnsi="宋体" w:eastAsia="宋体" w:cs="宋体"/>
          <w:color w:val="000000" w:themeColor="text1"/>
          <w:spacing w:val="-3"/>
          <w:kern w:val="0"/>
          <w:sz w:val="28"/>
          <w:szCs w:val="28"/>
          <w14:textFill>
            <w14:solidFill>
              <w14:schemeClr w14:val="tx1"/>
            </w14:solidFill>
          </w14:textFill>
        </w:rPr>
        <w:t>认为磋商过程和成交结果使自己的合法权益受到损害的，应当在知道或者应知其权益受到损害之日起</w:t>
      </w:r>
      <w:r>
        <w:rPr>
          <w:rFonts w:ascii="宋体" w:hAnsi="宋体" w:eastAsia="宋体" w:cs="宋体"/>
          <w:color w:val="000000" w:themeColor="text1"/>
          <w:spacing w:val="-3"/>
          <w:kern w:val="0"/>
          <w:sz w:val="28"/>
          <w:szCs w:val="28"/>
          <w14:textFill>
            <w14:solidFill>
              <w14:schemeClr w14:val="tx1"/>
            </w14:solidFill>
          </w14:textFill>
        </w:rPr>
        <w:t xml:space="preserve"> 7</w:t>
      </w:r>
      <w:r>
        <w:rPr>
          <w:rFonts w:hint="eastAsia" w:ascii="宋体" w:hAnsi="宋体" w:eastAsia="宋体" w:cs="宋体"/>
          <w:color w:val="000000" w:themeColor="text1"/>
          <w:spacing w:val="-3"/>
          <w:kern w:val="0"/>
          <w:sz w:val="28"/>
          <w:szCs w:val="28"/>
          <w14:textFill>
            <w14:solidFill>
              <w14:schemeClr w14:val="tx1"/>
            </w14:solidFill>
          </w14:textFill>
        </w:rPr>
        <w:t>个工作日内，向采购人或采购代理机构提出质疑。供应商对采购人或采购代理机构的质疑答复不满意或采购人或采购代理机构未在规定时间内作出答复的，可以在答复期满后</w:t>
      </w:r>
      <w:r>
        <w:rPr>
          <w:rFonts w:ascii="宋体" w:hAnsi="宋体" w:eastAsia="宋体" w:cs="宋体"/>
          <w:color w:val="000000" w:themeColor="text1"/>
          <w:spacing w:val="-3"/>
          <w:kern w:val="0"/>
          <w:sz w:val="28"/>
          <w:szCs w:val="28"/>
          <w14:textFill>
            <w14:solidFill>
              <w14:schemeClr w14:val="tx1"/>
            </w14:solidFill>
          </w14:textFill>
        </w:rPr>
        <w:t>15</w:t>
      </w:r>
      <w:r>
        <w:rPr>
          <w:rFonts w:hint="eastAsia" w:ascii="宋体" w:hAnsi="宋体" w:eastAsia="宋体" w:cs="宋体"/>
          <w:color w:val="000000" w:themeColor="text1"/>
          <w:spacing w:val="-3"/>
          <w:kern w:val="0"/>
          <w:sz w:val="28"/>
          <w:szCs w:val="28"/>
          <w14:textFill>
            <w14:solidFill>
              <w14:schemeClr w14:val="tx1"/>
            </w14:solidFill>
          </w14:textFill>
        </w:rPr>
        <w:t>个工作日内向同级财政部门投诉。</w:t>
      </w:r>
    </w:p>
    <w:p w14:paraId="1A23347A">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69BED5ED">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9</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供应商的风险</w:t>
      </w:r>
    </w:p>
    <w:p w14:paraId="69051B5B">
      <w:pPr>
        <w:autoSpaceDE w:val="0"/>
        <w:autoSpaceDN w:val="0"/>
        <w:adjustRightInd w:val="0"/>
        <w:spacing w:before="32" w:line="600" w:lineRule="exact"/>
        <w:ind w:right="-58" w:firstLine="548" w:firstLineChars="200"/>
        <w:rPr>
          <w:rFonts w:ascii="宋体" w:hAnsi="Calibri"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供应商没有按照竞争性磋商文件要求提供全部资料，或者供应商没有对响应性文件在各方面都做出实质性响应是供应商的风险，可能导致其响应被拒绝。</w:t>
      </w:r>
    </w:p>
    <w:p w14:paraId="3B190E30">
      <w:pPr>
        <w:autoSpaceDE w:val="0"/>
        <w:autoSpaceDN w:val="0"/>
        <w:adjustRightInd w:val="0"/>
        <w:spacing w:before="32" w:line="360" w:lineRule="auto"/>
        <w:ind w:right="-58" w:firstLine="548" w:firstLineChars="200"/>
        <w:jc w:val="center"/>
        <w:rPr>
          <w:rFonts w:ascii="宋体" w:hAnsi="Calibri" w:eastAsia="宋体" w:cs="宋体"/>
          <w:color w:val="000000" w:themeColor="text1"/>
          <w:spacing w:val="-3"/>
          <w:kern w:val="0"/>
          <w:sz w:val="28"/>
          <w:szCs w:val="28"/>
          <w14:textFill>
            <w14:solidFill>
              <w14:schemeClr w14:val="tx1"/>
            </w14:solidFill>
          </w14:textFill>
        </w:rPr>
      </w:pPr>
      <w:bookmarkStart w:id="5" w:name="_Toc109675034"/>
      <w:bookmarkStart w:id="6" w:name="_Toc518571704"/>
      <w:r>
        <w:rPr>
          <w:rFonts w:hint="eastAsia" w:ascii="宋体" w:hAnsi="宋体" w:eastAsia="宋体" w:cs="宋体"/>
          <w:color w:val="000000" w:themeColor="text1"/>
          <w:spacing w:val="-3"/>
          <w:kern w:val="0"/>
          <w:sz w:val="28"/>
          <w:szCs w:val="28"/>
          <w14:textFill>
            <w14:solidFill>
              <w14:schemeClr w14:val="tx1"/>
            </w14:solidFill>
          </w14:textFill>
        </w:rPr>
        <w:t>二、竞争性磋商文件</w:t>
      </w:r>
      <w:bookmarkEnd w:id="5"/>
      <w:bookmarkEnd w:id="6"/>
    </w:p>
    <w:p w14:paraId="6B9AD42F">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竞争性磋商文件的构成。本竞争性磋商文件由以下部分组成：</w:t>
      </w:r>
    </w:p>
    <w:p w14:paraId="40A724D3">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竞争性磋商公告</w:t>
      </w:r>
    </w:p>
    <w:p w14:paraId="1FED4DA8">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.2</w:t>
      </w:r>
      <w:r>
        <w:rPr>
          <w:rFonts w:hint="eastAsia" w:ascii="宋体" w:hAnsi="宋体" w:eastAsia="宋体" w:cs="宋体"/>
          <w:color w:val="000000" w:themeColor="text1"/>
          <w:spacing w:val="-3"/>
          <w:kern w:val="0"/>
          <w:sz w:val="28"/>
          <w:szCs w:val="28"/>
          <w14:textFill>
            <w14:solidFill>
              <w14:schemeClr w14:val="tx1"/>
            </w14:solidFill>
          </w14:textFill>
        </w:rPr>
        <w:t xml:space="preserve"> </w:t>
      </w:r>
      <w:r>
        <w:rPr>
          <w:rFonts w:ascii="宋体" w:hAnsi="宋体" w:eastAsia="宋体" w:cs="宋体"/>
          <w:color w:val="000000" w:themeColor="text1"/>
          <w:spacing w:val="-3"/>
          <w:kern w:val="0"/>
          <w:sz w:val="28"/>
          <w:szCs w:val="28"/>
          <w14:textFill>
            <w14:solidFill>
              <w14:schemeClr w14:val="tx1"/>
            </w14:solidFill>
          </w14:textFill>
        </w:rPr>
        <w:t>供应商</w:t>
      </w:r>
      <w:r>
        <w:rPr>
          <w:rFonts w:hint="eastAsia" w:ascii="宋体" w:hAnsi="宋体" w:eastAsia="宋体" w:cs="宋体"/>
          <w:color w:val="000000" w:themeColor="text1"/>
          <w:spacing w:val="-3"/>
          <w:kern w:val="0"/>
          <w:sz w:val="28"/>
          <w:szCs w:val="28"/>
          <w14:textFill>
            <w14:solidFill>
              <w14:schemeClr w14:val="tx1"/>
            </w14:solidFill>
          </w14:textFill>
        </w:rPr>
        <w:t>须知</w:t>
      </w:r>
    </w:p>
    <w:p w14:paraId="38A2BF83">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 xml:space="preserve"> 采购需求以及相关内容</w:t>
      </w:r>
    </w:p>
    <w:p w14:paraId="480B13C7">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 xml:space="preserve">.4 </w:t>
      </w:r>
      <w:r>
        <w:rPr>
          <w:rFonts w:hint="eastAsia" w:ascii="宋体" w:hAnsi="宋体" w:eastAsia="宋体" w:cs="宋体"/>
          <w:color w:val="000000" w:themeColor="text1"/>
          <w:spacing w:val="-3"/>
          <w:kern w:val="0"/>
          <w:sz w:val="28"/>
          <w:szCs w:val="28"/>
          <w14:textFill>
            <w14:solidFill>
              <w14:schemeClr w14:val="tx1"/>
            </w14:solidFill>
          </w14:textFill>
        </w:rPr>
        <w:t>合同条款及合同文件格式</w:t>
      </w:r>
    </w:p>
    <w:p w14:paraId="1A96332E">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10.5 评审标准</w:t>
      </w:r>
    </w:p>
    <w:p w14:paraId="0E72A4D4">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6磋商文件格式</w:t>
      </w:r>
    </w:p>
    <w:p w14:paraId="4179F549">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竞争性磋商文件的澄清与修改</w:t>
      </w:r>
    </w:p>
    <w:p w14:paraId="4C43818B">
      <w:pPr>
        <w:autoSpaceDE w:val="0"/>
        <w:autoSpaceDN w:val="0"/>
        <w:adjustRightInd w:val="0"/>
        <w:spacing w:before="32" w:line="600" w:lineRule="exact"/>
        <w:ind w:right="-58" w:firstLine="548" w:firstLineChars="200"/>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11.1 采购代理机构对已发出的竞争性磋商文件进行必要澄清、修改或补充的，应当在竞争性磋商文件要求提交响应性文件截止时间5日（如至原定截止时间不足5日，则需延长磋商开始时间）前，在《河南省政府采购网》、《中国招标投标公共服务平台》和《三门峡市公共资源交易中心网》等相关媒体上发布更正公告。竞争性磋商文件公示期间对竞争性磋商文件进行的澄清、修改或补充不受上述限制。</w:t>
      </w:r>
    </w:p>
    <w:p w14:paraId="67D9C006">
      <w:pPr>
        <w:autoSpaceDE w:val="0"/>
        <w:autoSpaceDN w:val="0"/>
        <w:adjustRightInd w:val="0"/>
        <w:spacing w:before="32" w:line="600" w:lineRule="exact"/>
        <w:ind w:right="-58" w:firstLine="548" w:firstLineChars="200"/>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11.2 竞争性磋商文件澄清、修改或补充的内容为竞争性磋商文件的组成部分。</w:t>
      </w:r>
    </w:p>
    <w:p w14:paraId="4540CEF1">
      <w:pPr>
        <w:autoSpaceDE w:val="0"/>
        <w:autoSpaceDN w:val="0"/>
        <w:adjustRightInd w:val="0"/>
        <w:spacing w:before="32" w:line="600" w:lineRule="exact"/>
        <w:ind w:right="-58" w:firstLine="548" w:firstLineChars="200"/>
        <w:rPr>
          <w:rFonts w:hint="eastAsia"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11.3采购代理机构可以视采购具体情况，延长递交响应性文件截止时间和开始磋商时间，但至少应当在竞争性磋商文件要求提交响应性文件的截止时间5日前，将在《河南省政府采购网》、《中国招标投标公共服务平台》和《三门峡市公共资源交易中心网》等相关媒体上发布更正公告。</w:t>
      </w:r>
    </w:p>
    <w:p w14:paraId="6572A808">
      <w:pPr>
        <w:autoSpaceDE w:val="0"/>
        <w:autoSpaceDN w:val="0"/>
        <w:adjustRightInd w:val="0"/>
        <w:spacing w:before="32" w:line="360" w:lineRule="auto"/>
        <w:ind w:right="-58" w:firstLine="548" w:firstLineChars="200"/>
        <w:jc w:val="center"/>
        <w:rPr>
          <w:rFonts w:ascii="宋体" w:hAnsi="Calibri" w:eastAsia="宋体" w:cs="宋体"/>
          <w:color w:val="000000" w:themeColor="text1"/>
          <w:spacing w:val="-3"/>
          <w:kern w:val="0"/>
          <w:sz w:val="28"/>
          <w:szCs w:val="28"/>
          <w14:textFill>
            <w14:solidFill>
              <w14:schemeClr w14:val="tx1"/>
            </w14:solidFill>
          </w14:textFill>
        </w:rPr>
      </w:pPr>
      <w:bookmarkStart w:id="7" w:name="_Toc109675035"/>
      <w:bookmarkStart w:id="8" w:name="_Toc518571705"/>
      <w:r>
        <w:rPr>
          <w:rFonts w:hint="eastAsia" w:ascii="宋体" w:hAnsi="宋体" w:eastAsia="宋体" w:cs="宋体"/>
          <w:color w:val="000000" w:themeColor="text1"/>
          <w:spacing w:val="-3"/>
          <w:kern w:val="0"/>
          <w:sz w:val="28"/>
          <w:szCs w:val="28"/>
          <w14:textFill>
            <w14:solidFill>
              <w14:schemeClr w14:val="tx1"/>
            </w14:solidFill>
          </w14:textFill>
        </w:rPr>
        <w:t>三、响应性文件的编制</w:t>
      </w:r>
      <w:bookmarkEnd w:id="7"/>
      <w:bookmarkEnd w:id="8"/>
    </w:p>
    <w:p w14:paraId="23396C04">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要求</w:t>
      </w:r>
    </w:p>
    <w:p w14:paraId="43E028DC">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3CF1676C">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响应性文件的语言和计量单位</w:t>
      </w:r>
    </w:p>
    <w:p w14:paraId="7DA95BD2">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响应性文件以及供应商与采购、代理机构就有关磋商事宜的所有来往函电均应使用简体中文书写。</w:t>
      </w:r>
    </w:p>
    <w:p w14:paraId="7D1742E3">
      <w:pPr>
        <w:autoSpaceDE w:val="0"/>
        <w:autoSpaceDN w:val="0"/>
        <w:adjustRightInd w:val="0"/>
        <w:spacing w:before="32" w:line="600" w:lineRule="exact"/>
        <w:ind w:right="-58" w:firstLine="544" w:firstLineChars="200"/>
        <w:rPr>
          <w:rFonts w:ascii="宋体" w:hAnsi="Calibri"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关于计量单位，竞争性磋商文件已有明确规定的，使用竞争性磋商文件规定的计量单位；竞争性磋商文件没有规定的，应采用中华人民共和国法定计量单位。</w:t>
      </w:r>
    </w:p>
    <w:p w14:paraId="20E8EF3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4</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响应性文件的组成。响应性文件应包括下列部分：</w:t>
      </w:r>
    </w:p>
    <w:p w14:paraId="00CA8E0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一、法定代表人身份证明书</w:t>
      </w:r>
    </w:p>
    <w:p w14:paraId="3E798EC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二、授权委托书</w:t>
      </w:r>
      <w:r>
        <w:rPr>
          <w:rFonts w:hint="eastAsia" w:ascii="宋体" w:hAnsi="宋体" w:eastAsia="宋体" w:cs="宋体"/>
          <w:color w:val="000000" w:themeColor="text1"/>
          <w:spacing w:val="-4"/>
          <w:kern w:val="0"/>
          <w:sz w:val="28"/>
          <w:szCs w:val="28"/>
          <w14:textFill>
            <w14:solidFill>
              <w14:schemeClr w14:val="tx1"/>
            </w14:solidFill>
          </w14:textFill>
        </w:rPr>
        <w:tab/>
      </w:r>
    </w:p>
    <w:p w14:paraId="3B6F99F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三、磋 商 函</w:t>
      </w:r>
    </w:p>
    <w:p w14:paraId="51E4C2F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四、磋商函附表</w:t>
      </w:r>
    </w:p>
    <w:p w14:paraId="227139A3">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五、参数一览表</w:t>
      </w:r>
    </w:p>
    <w:p w14:paraId="5D92D964">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六、供应商基本情况表</w:t>
      </w:r>
    </w:p>
    <w:p w14:paraId="5CF62427">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七、项目实施方案</w:t>
      </w:r>
    </w:p>
    <w:p w14:paraId="5F5C9D2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八、其他资料</w:t>
      </w:r>
    </w:p>
    <w:p w14:paraId="49DE1D7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响应性文件从所规定的递交响应性文件截止期之后开始生效，有效期不足将导致其响应性文件被拒绝。成交供应商的响应性文件有效期至合同完全履行止。</w:t>
      </w:r>
    </w:p>
    <w:p w14:paraId="14F34514">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ascii="宋体" w:hAnsi="宋体" w:eastAsia="宋体" w:cs="宋体"/>
          <w:color w:val="000000" w:themeColor="text1"/>
          <w:spacing w:val="-4"/>
          <w:kern w:val="0"/>
          <w:sz w:val="28"/>
          <w:szCs w:val="28"/>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特殊情况下采购代理机构可于响应性文件有效期满之前书面要求供应商同意延长有效期，供应商应在采购代理机构规定的期限内以书面形式予以答复。供应商答复不明确或者逾期未答复的，均视为拒绝上述要求。对于接受该要求的供应商，既不要求也不允许其修改响应性文件。</w:t>
      </w:r>
    </w:p>
    <w:p w14:paraId="2EBADED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磋商报价</w:t>
      </w:r>
    </w:p>
    <w:p w14:paraId="7C0A6710">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所有磋商报价均以人民币元为计算单位。供应商的报价为项目实施所需的人工费、服务费、税费及完成项目所需其他一切费用。</w:t>
      </w:r>
    </w:p>
    <w:p w14:paraId="392A6B8A">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.2供应商</w:t>
      </w:r>
      <w:r>
        <w:rPr>
          <w:rFonts w:hint="eastAsia" w:ascii="宋体" w:hAnsi="宋体" w:eastAsia="宋体" w:cs="宋体"/>
          <w:color w:val="000000" w:themeColor="text1"/>
          <w:spacing w:val="-4"/>
          <w:kern w:val="0"/>
          <w:sz w:val="28"/>
          <w:szCs w:val="28"/>
          <w14:textFill>
            <w14:solidFill>
              <w14:schemeClr w14:val="tx1"/>
            </w14:solidFill>
          </w14:textFill>
        </w:rPr>
        <w:t>要按磋商函附表的内容填写。</w:t>
      </w:r>
    </w:p>
    <w:p w14:paraId="64FE6C62">
      <w:pPr>
        <w:autoSpaceDE w:val="0"/>
        <w:autoSpaceDN w:val="0"/>
        <w:adjustRightInd w:val="0"/>
        <w:spacing w:before="32" w:line="600" w:lineRule="exact"/>
        <w:ind w:right="-58" w:firstLine="544" w:firstLineChars="200"/>
        <w:rPr>
          <w:rFonts w:ascii="宋体" w:hAnsi="Calibri"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14:textFill>
            <w14:solidFill>
              <w14:schemeClr w14:val="tx1"/>
            </w14:solidFill>
          </w14:textFill>
        </w:rPr>
        <w:t xml:space="preserve"> 本次磋商应以人民币报价，分两次进行报价。</w:t>
      </w:r>
    </w:p>
    <w:p w14:paraId="4C69638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7、磋商保证金</w:t>
      </w:r>
    </w:p>
    <w:p w14:paraId="72F9CA8B">
      <w:pPr>
        <w:spacing w:line="600" w:lineRule="exact"/>
        <w:ind w:firstLine="544" w:firstLineChars="200"/>
        <w:rPr>
          <w:rFonts w:ascii="Calibri" w:hAnsi="Calibri" w:eastAsia="宋体" w:cs="Times New Roman"/>
          <w:color w:val="000000" w:themeColor="text1"/>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w:t>
      </w:r>
      <w:r>
        <w:rPr>
          <w:rFonts w:ascii="宋体" w:hAnsi="宋体" w:eastAsia="宋体" w:cs="宋体"/>
          <w:color w:val="000000" w:themeColor="text1"/>
          <w:spacing w:val="-4"/>
          <w:kern w:val="0"/>
          <w:sz w:val="28"/>
          <w:szCs w:val="28"/>
          <w14:textFill>
            <w14:solidFill>
              <w14:schemeClr w14:val="tx1"/>
            </w14:solidFill>
          </w14:textFill>
        </w:rPr>
        <w:t>.1</w:t>
      </w:r>
      <w:r>
        <w:rPr>
          <w:rFonts w:hint="eastAsia" w:ascii="Calibri" w:hAnsi="Calibri" w:eastAsia="宋体" w:cs="Times New Roman"/>
          <w:color w:val="000000" w:themeColor="text1"/>
          <w:sz w:val="28"/>
          <w:szCs w:val="28"/>
          <w14:textFill>
            <w14:solidFill>
              <w14:schemeClr w14:val="tx1"/>
            </w14:solidFill>
          </w14:textFill>
        </w:rPr>
        <w:t>根据《河南省财政厅关于优化政府采购营商环境有关问题的通知》（豫财购【2019】4号）第6条的规定，保证金不再收取。</w:t>
      </w:r>
    </w:p>
    <w:p w14:paraId="0811E574">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 响应性文件的签署</w:t>
      </w:r>
    </w:p>
    <w:p w14:paraId="5CEA0A67">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27BB457F">
      <w:pPr>
        <w:autoSpaceDE w:val="0"/>
        <w:autoSpaceDN w:val="0"/>
        <w:adjustRightInd w:val="0"/>
        <w:spacing w:before="32" w:line="360" w:lineRule="auto"/>
        <w:ind w:right="-58" w:firstLine="544" w:firstLineChars="200"/>
        <w:jc w:val="center"/>
        <w:rPr>
          <w:rFonts w:ascii="宋体" w:hAnsi="Calibri" w:eastAsia="宋体" w:cs="宋体"/>
          <w:color w:val="000000" w:themeColor="text1"/>
          <w:spacing w:val="-4"/>
          <w:kern w:val="0"/>
          <w:sz w:val="28"/>
          <w:szCs w:val="28"/>
          <w14:textFill>
            <w14:solidFill>
              <w14:schemeClr w14:val="tx1"/>
            </w14:solidFill>
          </w14:textFill>
        </w:rPr>
      </w:pPr>
      <w:bookmarkStart w:id="9" w:name="_Toc518571706"/>
      <w:bookmarkStart w:id="10" w:name="_Toc109675036"/>
      <w:r>
        <w:rPr>
          <w:rFonts w:hint="eastAsia" w:ascii="宋体" w:hAnsi="宋体" w:eastAsia="宋体" w:cs="宋体"/>
          <w:color w:val="000000" w:themeColor="text1"/>
          <w:spacing w:val="-4"/>
          <w:kern w:val="0"/>
          <w:sz w:val="28"/>
          <w:szCs w:val="28"/>
          <w14:textFill>
            <w14:solidFill>
              <w14:schemeClr w14:val="tx1"/>
            </w14:solidFill>
          </w14:textFill>
        </w:rPr>
        <w:t>四、响应性文件的递交</w:t>
      </w:r>
      <w:bookmarkEnd w:id="9"/>
      <w:bookmarkEnd w:id="10"/>
    </w:p>
    <w:p w14:paraId="28AFCBA7">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19.响应性文件的递交</w:t>
      </w:r>
    </w:p>
    <w:p w14:paraId="0A5AEB3A">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在响应文件截止时间前上传至三门峡市公共资源交易中心系统平台。</w:t>
      </w:r>
    </w:p>
    <w:p w14:paraId="6A79A17E">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20.响应性文件的修改和撤回</w:t>
      </w:r>
    </w:p>
    <w:p w14:paraId="40DD4D10">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20.1 供应商在递交竞争性磋商文件截止时间前，可以对所提交的响应性文件进行补充、修改或者撤回。</w:t>
      </w:r>
    </w:p>
    <w:p w14:paraId="7EA4EE9B">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21.采购人或采购代理机构将拒绝接受其响应性文件：</w:t>
      </w:r>
    </w:p>
    <w:p w14:paraId="7C7CBEEA">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 1 在竞争性磋商文件规定的递交竞争性磋商文件截止时间之后上传竞争性磋商文件的。</w:t>
      </w:r>
    </w:p>
    <w:p w14:paraId="0F4DF6C4">
      <w:pPr>
        <w:autoSpaceDE w:val="0"/>
        <w:autoSpaceDN w:val="0"/>
        <w:adjustRightInd w:val="0"/>
        <w:spacing w:before="32" w:line="360" w:lineRule="auto"/>
        <w:ind w:right="-58" w:firstLine="544" w:firstLineChars="200"/>
        <w:jc w:val="center"/>
        <w:rPr>
          <w:rFonts w:ascii="宋体" w:hAnsi="Calibri" w:eastAsia="宋体" w:cs="宋体"/>
          <w:color w:val="000000" w:themeColor="text1"/>
          <w:spacing w:val="-4"/>
          <w:kern w:val="0"/>
          <w:sz w:val="28"/>
          <w:szCs w:val="28"/>
          <w14:textFill>
            <w14:solidFill>
              <w14:schemeClr w14:val="tx1"/>
            </w14:solidFill>
          </w14:textFill>
        </w:rPr>
      </w:pPr>
      <w:bookmarkStart w:id="11" w:name="_Toc109675037"/>
      <w:bookmarkStart w:id="12" w:name="_Toc518571707"/>
      <w:r>
        <w:rPr>
          <w:rFonts w:hint="eastAsia" w:ascii="宋体" w:hAnsi="宋体" w:eastAsia="宋体" w:cs="宋体"/>
          <w:color w:val="000000" w:themeColor="text1"/>
          <w:spacing w:val="-4"/>
          <w:kern w:val="0"/>
          <w:sz w:val="28"/>
          <w:szCs w:val="28"/>
          <w14:textFill>
            <w14:solidFill>
              <w14:schemeClr w14:val="tx1"/>
            </w14:solidFill>
          </w14:textFill>
        </w:rPr>
        <w:t>五、磋商</w:t>
      </w:r>
      <w:bookmarkEnd w:id="11"/>
      <w:bookmarkEnd w:id="12"/>
    </w:p>
    <w:p w14:paraId="5B22A5DC">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2、磋商仪式</w:t>
      </w:r>
    </w:p>
    <w:p w14:paraId="4FF6FC97">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22.1采购人按本须知前附表所规定的时间和地点开标，开标会议由采购代理机构主持，在有关部门监督下进行。</w:t>
      </w:r>
    </w:p>
    <w:p w14:paraId="6180D4B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22.2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501D3786">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3、磋商小组</w:t>
      </w:r>
    </w:p>
    <w:p w14:paraId="123C3B57">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采购代理机构根据采购项目的特点依法组建磋商小组。磋商小组由采购人代表和有关技术、经济等方面的专家组成，成员为</w:t>
      </w:r>
      <w:r>
        <w:rPr>
          <w:rFonts w:ascii="宋体" w:hAnsi="宋体" w:eastAsia="宋体" w:cs="宋体"/>
          <w:color w:val="000000" w:themeColor="text1"/>
          <w:spacing w:val="-4"/>
          <w:kern w:val="0"/>
          <w:sz w:val="28"/>
          <w:szCs w:val="28"/>
          <w14:textFill>
            <w14:solidFill>
              <w14:schemeClr w14:val="tx1"/>
            </w14:solidFill>
          </w14:textFill>
        </w:rPr>
        <w:t xml:space="preserve"> 3 </w:t>
      </w:r>
      <w:r>
        <w:rPr>
          <w:rFonts w:hint="eastAsia" w:ascii="宋体" w:hAnsi="宋体" w:eastAsia="宋体" w:cs="宋体"/>
          <w:color w:val="000000" w:themeColor="text1"/>
          <w:spacing w:val="-4"/>
          <w:kern w:val="0"/>
          <w:sz w:val="28"/>
          <w:szCs w:val="28"/>
          <w14:textFill>
            <w14:solidFill>
              <w14:schemeClr w14:val="tx1"/>
            </w14:solidFill>
          </w14:textFill>
        </w:rPr>
        <w:t>人。其中：技术、经济等方面的专家</w:t>
      </w:r>
      <w:r>
        <w:rPr>
          <w:rFonts w:ascii="宋体" w:hAnsi="宋体" w:eastAsia="宋体" w:cs="宋体"/>
          <w:color w:val="000000" w:themeColor="text1"/>
          <w:spacing w:val="-4"/>
          <w:kern w:val="0"/>
          <w:sz w:val="28"/>
          <w:szCs w:val="28"/>
          <w14:textFill>
            <w14:solidFill>
              <w14:schemeClr w14:val="tx1"/>
            </w14:solidFill>
          </w14:textFill>
        </w:rPr>
        <w:t xml:space="preserve"> 2 </w:t>
      </w:r>
      <w:r>
        <w:rPr>
          <w:rFonts w:hint="eastAsia" w:ascii="宋体" w:hAnsi="宋体" w:eastAsia="宋体" w:cs="宋体"/>
          <w:color w:val="000000" w:themeColor="text1"/>
          <w:spacing w:val="-4"/>
          <w:kern w:val="0"/>
          <w:sz w:val="28"/>
          <w:szCs w:val="28"/>
          <w14:textFill>
            <w14:solidFill>
              <w14:schemeClr w14:val="tx1"/>
            </w14:solidFill>
          </w14:textFill>
        </w:rPr>
        <w:t>名，采购人代表</w:t>
      </w:r>
      <w:r>
        <w:rPr>
          <w:rFonts w:ascii="宋体" w:hAnsi="宋体" w:eastAsia="宋体" w:cs="宋体"/>
          <w:color w:val="000000" w:themeColor="text1"/>
          <w:spacing w:val="-4"/>
          <w:kern w:val="0"/>
          <w:sz w:val="28"/>
          <w:szCs w:val="28"/>
          <w14:textFill>
            <w14:solidFill>
              <w14:schemeClr w14:val="tx1"/>
            </w14:solidFill>
          </w14:textFill>
        </w:rPr>
        <w:t xml:space="preserve"> 1 </w:t>
      </w:r>
      <w:r>
        <w:rPr>
          <w:rFonts w:hint="eastAsia" w:ascii="宋体" w:hAnsi="宋体" w:eastAsia="宋体" w:cs="宋体"/>
          <w:color w:val="000000" w:themeColor="text1"/>
          <w:spacing w:val="-4"/>
          <w:kern w:val="0"/>
          <w:sz w:val="28"/>
          <w:szCs w:val="28"/>
          <w14:textFill>
            <w14:solidFill>
              <w14:schemeClr w14:val="tx1"/>
            </w14:solidFill>
          </w14:textFill>
        </w:rPr>
        <w:t>名。采购人代表不得担任磋商小组组长。</w:t>
      </w:r>
    </w:p>
    <w:p w14:paraId="0E36711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4、磋商工作纪律及保密</w:t>
      </w:r>
    </w:p>
    <w:p w14:paraId="14A6D3D7">
      <w:pPr>
        <w:autoSpaceDE w:val="0"/>
        <w:autoSpaceDN w:val="0"/>
        <w:adjustRightInd w:val="0"/>
        <w:spacing w:before="32" w:line="600" w:lineRule="exact"/>
        <w:ind w:right="-58" w:firstLine="544" w:firstLineChars="200"/>
        <w:rPr>
          <w:rFonts w:ascii="宋体" w:hAnsi="Calibri"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评审专家应当遵守评审工作纪律，不得泄露评审情况和评审中获悉的商业秘密。</w:t>
      </w:r>
    </w:p>
    <w:p w14:paraId="267E598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5、磋商小组工作原则</w:t>
      </w:r>
    </w:p>
    <w:p w14:paraId="0EBB7D3F">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CCB96D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6、响应文件审查</w:t>
      </w:r>
    </w:p>
    <w:p w14:paraId="6952DD64">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50F331DD">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7、供应商澄清</w:t>
      </w:r>
    </w:p>
    <w:p w14:paraId="46FF3331">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磋商小组要求供应商澄清、说明或者更正响应文件将在电子系统作出。</w:t>
      </w:r>
    </w:p>
    <w:p w14:paraId="2666B66A">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8、磋商程序、最后报价、综合评分</w:t>
      </w:r>
    </w:p>
    <w:p w14:paraId="30BAA80B">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磋商小组所有成员应当集中与单一供应商分别进行磋商，并给予所有参加磋商的供应商平等的磋商机会。</w:t>
      </w:r>
    </w:p>
    <w:p w14:paraId="7569A262">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742CD50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磋商文件能够详细列明采购的的技术、服务要求的，磋商结束后，磋商小组将要求所有实质性响应的供应商提交最后报价。最后报价是供应商响应文件的有效组成部分。</w:t>
      </w:r>
    </w:p>
    <w:p w14:paraId="673D1EED">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已提交响应文件的供应商，在提交最后报价之前，可以根据情况退出磋商。</w:t>
      </w:r>
    </w:p>
    <w:p w14:paraId="75070AE2">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04B7108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评审时，磋商小组各成员独立对每个有效响应的文件进行评价、打分，然后汇总每个供应商每项评分因素的得分。</w:t>
      </w:r>
    </w:p>
    <w:p w14:paraId="16510FEF">
      <w:pPr>
        <w:autoSpaceDE w:val="0"/>
        <w:autoSpaceDN w:val="0"/>
        <w:adjustRightInd w:val="0"/>
        <w:spacing w:before="32" w:line="600" w:lineRule="exact"/>
        <w:ind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14:paraId="393E8CCB">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出现下列情形之一的，将终止竞争性磋商采购活动，发布项目终止公告并说明原因，重新开展采购活动：</w:t>
      </w:r>
    </w:p>
    <w:p w14:paraId="1FAEF47B">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1、不符合法律、法规和竞争性磋商文件中规定的其他实质性要求的；</w:t>
      </w:r>
    </w:p>
    <w:p w14:paraId="7A3D5B5A">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2、其他法律、法规及本竞争性磋商文件规定的属响应无效的情形。终止竞争性磋商采购活动的条款；</w:t>
      </w:r>
    </w:p>
    <w:p w14:paraId="3CEF3E81">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3、因情况变化，不再符合规定的竞争性磋商采购方式适用情形的；出现影响采购公正的违法、违规行为的；</w:t>
      </w:r>
    </w:p>
    <w:p w14:paraId="1B774C23">
      <w:pPr>
        <w:autoSpaceDE w:val="0"/>
        <w:autoSpaceDN w:val="0"/>
        <w:adjustRightInd w:val="0"/>
        <w:spacing w:before="32" w:line="360" w:lineRule="auto"/>
        <w:ind w:right="-58" w:firstLine="544" w:firstLineChars="200"/>
        <w:jc w:val="center"/>
        <w:rPr>
          <w:rFonts w:ascii="宋体" w:hAnsi="Calibri" w:eastAsia="宋体" w:cs="宋体"/>
          <w:color w:val="000000" w:themeColor="text1"/>
          <w:spacing w:val="-4"/>
          <w:kern w:val="0"/>
          <w:sz w:val="28"/>
          <w:szCs w:val="28"/>
          <w14:textFill>
            <w14:solidFill>
              <w14:schemeClr w14:val="tx1"/>
            </w14:solidFill>
          </w14:textFill>
        </w:rPr>
      </w:pPr>
      <w:bookmarkStart w:id="13" w:name="_Toc518571708"/>
      <w:bookmarkStart w:id="14" w:name="_Toc109675038"/>
      <w:r>
        <w:rPr>
          <w:rFonts w:hint="eastAsia" w:ascii="宋体" w:hAnsi="宋体" w:eastAsia="宋体" w:cs="宋体"/>
          <w:color w:val="000000" w:themeColor="text1"/>
          <w:spacing w:val="-4"/>
          <w:kern w:val="0"/>
          <w:sz w:val="28"/>
          <w:szCs w:val="28"/>
          <w14:textFill>
            <w14:solidFill>
              <w14:schemeClr w14:val="tx1"/>
            </w14:solidFill>
          </w14:textFill>
        </w:rPr>
        <w:t>六、确定成交</w:t>
      </w:r>
      <w:bookmarkEnd w:id="13"/>
      <w:bookmarkEnd w:id="14"/>
    </w:p>
    <w:p w14:paraId="3EC9DBBF">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采购人在收到评审报告后2个工作日内，从评审报告提出的成交候选供应商中，按照排序由高到低的原则确定成交供应商。</w:t>
      </w:r>
    </w:p>
    <w:p w14:paraId="2A261606">
      <w:pPr>
        <w:autoSpaceDE w:val="0"/>
        <w:autoSpaceDN w:val="0"/>
        <w:adjustRightInd w:val="0"/>
        <w:spacing w:before="32" w:line="360" w:lineRule="auto"/>
        <w:ind w:right="-58" w:firstLine="544" w:firstLineChars="200"/>
        <w:jc w:val="center"/>
        <w:rPr>
          <w:rFonts w:ascii="宋体" w:hAnsi="Calibri" w:eastAsia="宋体" w:cs="宋体"/>
          <w:color w:val="000000" w:themeColor="text1"/>
          <w:spacing w:val="-4"/>
          <w:kern w:val="0"/>
          <w:sz w:val="28"/>
          <w:szCs w:val="28"/>
          <w14:textFill>
            <w14:solidFill>
              <w14:schemeClr w14:val="tx1"/>
            </w14:solidFill>
          </w14:textFill>
        </w:rPr>
      </w:pPr>
      <w:bookmarkStart w:id="15" w:name="_Toc518571709"/>
      <w:bookmarkStart w:id="16" w:name="_Toc109675039"/>
      <w:r>
        <w:rPr>
          <w:rFonts w:hint="eastAsia" w:ascii="宋体" w:hAnsi="宋体" w:eastAsia="宋体" w:cs="宋体"/>
          <w:color w:val="000000" w:themeColor="text1"/>
          <w:spacing w:val="-4"/>
          <w:kern w:val="0"/>
          <w:sz w:val="28"/>
          <w:szCs w:val="28"/>
          <w14:textFill>
            <w14:solidFill>
              <w14:schemeClr w14:val="tx1"/>
            </w14:solidFill>
          </w14:textFill>
        </w:rPr>
        <w:t>七、授予合同</w:t>
      </w:r>
      <w:bookmarkEnd w:id="15"/>
      <w:bookmarkEnd w:id="16"/>
    </w:p>
    <w:p w14:paraId="7F3DF610">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成交供应商接到《成交通知书》后，2个工作日内按指定地点与采购人签订采购合同，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14:paraId="1D55566B">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00B33673">
      <w:pPr>
        <w:autoSpaceDE w:val="0"/>
        <w:autoSpaceDN w:val="0"/>
        <w:adjustRightInd w:val="0"/>
        <w:spacing w:before="32" w:line="600" w:lineRule="exact"/>
        <w:ind w:right="-58" w:firstLine="544" w:firstLineChars="200"/>
        <w:rPr>
          <w:rFonts w:hint="eastAsia" w:ascii="宋体" w:hAnsi="宋体" w:eastAsia="宋体" w:cs="宋体"/>
          <w:color w:val="000000" w:themeColor="text1"/>
          <w:spacing w:val="-4"/>
          <w:kern w:val="0"/>
          <w:sz w:val="28"/>
          <w:szCs w:val="28"/>
          <w14:textFill>
            <w14:solidFill>
              <w14:schemeClr w14:val="tx1"/>
            </w14:solidFill>
          </w14:textFill>
        </w:rPr>
        <w:sectPr>
          <w:footerReference r:id="rId3" w:type="default"/>
          <w:pgSz w:w="11906" w:h="16838"/>
          <w:pgMar w:top="1100" w:right="1633" w:bottom="986" w:left="1633" w:header="851" w:footer="992" w:gutter="0"/>
          <w:cols w:space="0" w:num="1"/>
          <w:rtlGutter w:val="0"/>
          <w:docGrid w:type="lines" w:linePitch="312" w:charSpace="0"/>
        </w:sectPr>
      </w:pPr>
      <w:r>
        <w:rPr>
          <w:rFonts w:hint="eastAsia" w:ascii="宋体" w:hAnsi="宋体" w:eastAsia="宋体" w:cs="宋体"/>
          <w:color w:val="000000" w:themeColor="text1"/>
          <w:spacing w:val="-4"/>
          <w:kern w:val="0"/>
          <w:sz w:val="28"/>
          <w:szCs w:val="28"/>
          <w14:textFill>
            <w14:solidFill>
              <w14:schemeClr w14:val="tx1"/>
            </w14:solidFill>
          </w14:textFill>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3D2316CC">
      <w:pPr>
        <w:ind w:firstLine="5421" w:firstLineChars="1500"/>
        <w:rPr>
          <w:rFonts w:ascii="宋体" w:hAnsi="宋体" w:eastAsia="宋体" w:cs="Times New Roman"/>
          <w:b/>
          <w:bCs/>
          <w:color w:val="000000" w:themeColor="text1"/>
          <w:sz w:val="36"/>
          <w:szCs w:val="36"/>
          <w14:textFill>
            <w14:solidFill>
              <w14:schemeClr w14:val="tx1"/>
            </w14:solidFill>
          </w14:textFill>
        </w:rPr>
      </w:pPr>
      <w:bookmarkStart w:id="17" w:name="_Toc109675040"/>
      <w:bookmarkStart w:id="18" w:name="_Toc19275"/>
      <w:r>
        <w:rPr>
          <w:rFonts w:hint="eastAsia" w:ascii="宋体" w:hAnsi="宋体" w:eastAsia="宋体" w:cs="Times New Roman"/>
          <w:b/>
          <w:bCs/>
          <w:color w:val="000000" w:themeColor="text1"/>
          <w:sz w:val="36"/>
          <w:szCs w:val="36"/>
          <w14:textFill>
            <w14:solidFill>
              <w14:schemeClr w14:val="tx1"/>
            </w14:solidFill>
          </w14:textFill>
        </w:rPr>
        <w:t>第三章</w:t>
      </w:r>
      <w:bookmarkEnd w:id="17"/>
      <w:bookmarkStart w:id="19" w:name="_Toc522547233"/>
      <w:r>
        <w:rPr>
          <w:rFonts w:hint="eastAsia" w:ascii="宋体" w:hAnsi="宋体" w:eastAsia="宋体" w:cs="Times New Roman"/>
          <w:b/>
          <w:bCs/>
          <w:color w:val="000000" w:themeColor="text1"/>
          <w:sz w:val="36"/>
          <w:szCs w:val="36"/>
          <w14:textFill>
            <w14:solidFill>
              <w14:schemeClr w14:val="tx1"/>
            </w14:solidFill>
          </w14:textFill>
        </w:rPr>
        <w:t xml:space="preserve"> 采购需求</w:t>
      </w:r>
      <w:bookmarkEnd w:id="18"/>
    </w:p>
    <w:p w14:paraId="32662447">
      <w:pPr>
        <w:pStyle w:val="10"/>
        <w:rPr>
          <w:rFonts w:hAnsi="宋体" w:eastAsia="宋体"/>
          <w:b/>
          <w:color w:val="000000" w:themeColor="text1"/>
          <w:sz w:val="36"/>
          <w:szCs w:val="36"/>
          <w14:textFill>
            <w14:solidFill>
              <w14:schemeClr w14:val="tx1"/>
            </w14:solidFill>
          </w14:textFill>
        </w:rPr>
      </w:pPr>
    </w:p>
    <w:tbl>
      <w:tblPr>
        <w:tblStyle w:val="18"/>
        <w:tblW w:w="152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2"/>
        <w:gridCol w:w="787"/>
        <w:gridCol w:w="849"/>
        <w:gridCol w:w="8896"/>
        <w:gridCol w:w="616"/>
        <w:gridCol w:w="551"/>
        <w:gridCol w:w="603"/>
        <w:gridCol w:w="620"/>
        <w:gridCol w:w="1774"/>
      </w:tblGrid>
      <w:tr w14:paraId="5D7A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9A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D14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33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28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99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C6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2A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84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参考图片</w:t>
            </w:r>
          </w:p>
        </w:tc>
      </w:tr>
      <w:tr w14:paraId="712AD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A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72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爱跑酷</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1AC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1、三角蹬8件：尺寸57*60*57cm，斜边长约80cm，里料为珍珠棉加压缩棉配重，外皮为防滑PVC；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2、半圆柱4件：尺寸30*30*15cm，里料为珍珠棉，外皮为防滑PVC；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3、波速球5件：尺寸直径58cm，优质ABS塑料底座，高弹防爆橡胶球体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4、韵律踏板4件：尺寸110*41*21cm单托尺寸为40x40x5cm ，优质ABS塑料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5、跳箱8件：尺寸80*60*（10/20/30/40）cm，里料为压缩棉，外皮为防滑PVC；                                                                   6、跳马6件：尺寸80*（35/45/55）*25cm，里料为压缩棉，外皮为防滑PVC；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7、升降单杠支架2件：尺寸93*151*151cm，具备升降功能，5cm一个调节，钢管喷塑工艺；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8、防护地垫3件：尺寸200*80*5cm 1件，加大尺寸300*80*5cm 2件，里料为珍珠棉，外皮为防滑PVC；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9、立方垫1件：加大尺寸280cm*70cm*5cm，里料为珍珠棉，外皮为防滑PVC；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10、单垫1件：尺寸60*70*8cm，里料为珍珠棉，外皮为防滑PVC；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辅材:包含（1）吊环4个，塑料；（2）敏捷梯2个，长480cm,塑料、布条；（3）标杆桶6个,直径21cm，高度30cm,塑料；（4）标志杆6个，长度148cm,直径2.5cm,塑料；（5）体能圈10个，直径54cm，PP；（6）标志碟40个，塑料；（7）投掷包22个，PU皮；（8）收纳盒1个，尺寸31.5*20.8*14cm，PP。</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并提供证明材料 检测报告中网布材料需符合(EU)No 2015/628 修订(EC)No1907/2006（即 REACH 法规)附录 17 第 63 条目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(EU)No 835/2012 修订(EC)No1907/2006（即 REACH 法规)附录 17 第 23 条目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(EU)No 2018/2005 修订(EC)No1907/2006（即 REACH 法规)附录 17 第 51 和 52 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目检验依据。检测报告中总铅含量，总镉含量，邻苯二甲酸酯总量符合要求</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1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D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BDB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3FE2">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3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45720</wp:posOffset>
                  </wp:positionH>
                  <wp:positionV relativeFrom="paragraph">
                    <wp:posOffset>69215</wp:posOffset>
                  </wp:positionV>
                  <wp:extent cx="1384300" cy="1091565"/>
                  <wp:effectExtent l="0" t="0" r="6350" b="13335"/>
                  <wp:wrapNone/>
                  <wp:docPr id="6" name="ID_92264AF6DE52440DB2FFE97FBA07F649"/>
                  <wp:cNvGraphicFramePr/>
                  <a:graphic xmlns:a="http://schemas.openxmlformats.org/drawingml/2006/main">
                    <a:graphicData uri="http://schemas.openxmlformats.org/drawingml/2006/picture">
                      <pic:pic xmlns:pic="http://schemas.openxmlformats.org/drawingml/2006/picture">
                        <pic:nvPicPr>
                          <pic:cNvPr id="6" name="ID_92264AF6DE52440DB2FFE97FBA07F649"/>
                          <pic:cNvPicPr/>
                        </pic:nvPicPr>
                        <pic:blipFill>
                          <a:blip r:embed="rId6"/>
                          <a:stretch>
                            <a:fillRect/>
                          </a:stretch>
                        </pic:blipFill>
                        <pic:spPr>
                          <a:xfrm>
                            <a:off x="0" y="0"/>
                            <a:ext cx="1384300" cy="1091565"/>
                          </a:xfrm>
                          <a:prstGeom prst="rect">
                            <a:avLst/>
                          </a:prstGeom>
                          <a:noFill/>
                          <a:ln>
                            <a:noFill/>
                          </a:ln>
                        </pic:spPr>
                      </pic:pic>
                    </a:graphicData>
                  </a:graphic>
                </wp:anchor>
              </w:drawing>
            </w:r>
          </w:p>
        </w:tc>
      </w:tr>
      <w:tr w14:paraId="7640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0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0" w:type="dxa"/>
            <w:vMerge w:val="restart"/>
            <w:tcBorders>
              <w:top w:val="single" w:color="000000" w:sz="4" w:space="0"/>
              <w:left w:val="single" w:color="000000" w:sz="4" w:space="0"/>
              <w:bottom w:val="single" w:color="000000" w:sz="4" w:space="0"/>
              <w:right w:val="nil"/>
            </w:tcBorders>
            <w:shd w:val="clear" w:color="auto" w:fill="auto"/>
            <w:vAlign w:val="center"/>
          </w:tcPr>
          <w:p w14:paraId="48579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益智玩具       （小班）</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5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喂熊宝宝</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AF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1.产品明细：大熊套盒1个、小熊套盒1个、塑料勺子套装1套、大号水果模型1套、小号水果模型1套、颜色骰子1个、大小骰子1个、大小颜色骰子1个、点子骰子1个、1和许多骰子1个、束口袋1个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2.产品材质：木质、塑料、纸质、保利龙、布质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3.外盒尺寸：外径尺寸长36cm*宽27cm*高20cm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E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4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DFA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8EE9">
            <w:pPr>
              <w:jc w:val="center"/>
              <w:rPr>
                <w:rFonts w:hint="eastAsia" w:ascii="宋体" w:hAnsi="宋体" w:eastAsia="宋体" w:cs="宋体"/>
                <w:i w:val="0"/>
                <w:iCs w:val="0"/>
                <w:color w:val="000000"/>
                <w:sz w:val="20"/>
                <w:szCs w:val="20"/>
                <w:u w:val="none"/>
              </w:rPr>
            </w:pP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FD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94485" cy="549910"/>
                  <wp:effectExtent l="0" t="0" r="5715" b="2540"/>
                  <wp:wrapNone/>
                  <wp:docPr id="8" name="图片_4"/>
                  <wp:cNvGraphicFramePr/>
                  <a:graphic xmlns:a="http://schemas.openxmlformats.org/drawingml/2006/main">
                    <a:graphicData uri="http://schemas.openxmlformats.org/drawingml/2006/picture">
                      <pic:pic xmlns:pic="http://schemas.openxmlformats.org/drawingml/2006/picture">
                        <pic:nvPicPr>
                          <pic:cNvPr id="8" name="图片_4"/>
                          <pic:cNvPicPr/>
                        </pic:nvPicPr>
                        <pic:blipFill>
                          <a:blip r:embed="rId7"/>
                          <a:stretch>
                            <a:fillRect/>
                          </a:stretch>
                        </pic:blipFill>
                        <pic:spPr>
                          <a:xfrm>
                            <a:off x="0" y="0"/>
                            <a:ext cx="1594485" cy="549910"/>
                          </a:xfrm>
                          <a:prstGeom prst="rect">
                            <a:avLst/>
                          </a:prstGeom>
                          <a:noFill/>
                          <a:ln>
                            <a:noFill/>
                          </a:ln>
                        </pic:spPr>
                      </pic:pic>
                    </a:graphicData>
                  </a:graphic>
                </wp:anchor>
              </w:drawing>
            </w:r>
          </w:p>
        </w:tc>
      </w:tr>
      <w:tr w14:paraId="31C1C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DB1B">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090B6D44">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0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玩转积木</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A3B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1.产品明细：软胶积木1套、软胶积木建构卡1套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2.产品材质：塑料、纸质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3BC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26A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48E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A2B3">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5FC49">
            <w:pPr>
              <w:jc w:val="center"/>
              <w:rPr>
                <w:rFonts w:hint="eastAsia" w:ascii="宋体" w:hAnsi="宋体" w:eastAsia="宋体" w:cs="宋体"/>
                <w:i w:val="0"/>
                <w:iCs w:val="0"/>
                <w:color w:val="000000"/>
                <w:sz w:val="22"/>
                <w:szCs w:val="22"/>
                <w:u w:val="none"/>
              </w:rPr>
            </w:pPr>
          </w:p>
        </w:tc>
      </w:tr>
      <w:tr w14:paraId="075A0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A9EB">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2CE50D82">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5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拼图游戏</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B68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1.产品明细：拼图套组1套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889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968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91B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085F">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99EAB">
            <w:pPr>
              <w:jc w:val="center"/>
              <w:rPr>
                <w:rFonts w:hint="eastAsia" w:ascii="宋体" w:hAnsi="宋体" w:eastAsia="宋体" w:cs="宋体"/>
                <w:i w:val="0"/>
                <w:iCs w:val="0"/>
                <w:color w:val="000000"/>
                <w:sz w:val="22"/>
                <w:szCs w:val="22"/>
                <w:u w:val="none"/>
              </w:rPr>
            </w:pPr>
          </w:p>
        </w:tc>
      </w:tr>
      <w:tr w14:paraId="75662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CEAB">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505930BD">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C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袜子晒一晒</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D7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1.产品明细：彩色袜子1套、塑料夹子1套、束口袋1个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2.产品材质：布质、塑料、纸质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CF2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FBF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FF8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4A9D">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28D76">
            <w:pPr>
              <w:jc w:val="center"/>
              <w:rPr>
                <w:rFonts w:hint="eastAsia" w:ascii="宋体" w:hAnsi="宋体" w:eastAsia="宋体" w:cs="宋体"/>
                <w:i w:val="0"/>
                <w:iCs w:val="0"/>
                <w:color w:val="000000"/>
                <w:sz w:val="22"/>
                <w:szCs w:val="22"/>
                <w:u w:val="none"/>
              </w:rPr>
            </w:pPr>
          </w:p>
        </w:tc>
      </w:tr>
      <w:tr w14:paraId="6522E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1052">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56C89A04">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9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美味夹心饼干</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C7A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1.产品明细：夹心饼干套组1套、厨师棋子1个、1分钟时间沙漏1个、盘子2个、摆盘图卡1套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2.产品材质：木质、塑料、纸质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49F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56E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3ED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09F0">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93BF4">
            <w:pPr>
              <w:jc w:val="center"/>
              <w:rPr>
                <w:rFonts w:hint="eastAsia" w:ascii="宋体" w:hAnsi="宋体" w:eastAsia="宋体" w:cs="宋体"/>
                <w:i w:val="0"/>
                <w:iCs w:val="0"/>
                <w:color w:val="000000"/>
                <w:sz w:val="22"/>
                <w:szCs w:val="22"/>
                <w:u w:val="none"/>
              </w:rPr>
            </w:pPr>
          </w:p>
        </w:tc>
      </w:tr>
      <w:tr w14:paraId="6C27E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CA4A">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4D2985B9">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7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可爱的毛毛虫</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CAB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1.产品明细：毛毛虫套装1套、束口袋1个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2.产品材质：木质、布质、纸质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70E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1FA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576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CCB1">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18A2F">
            <w:pPr>
              <w:jc w:val="center"/>
              <w:rPr>
                <w:rFonts w:hint="eastAsia" w:ascii="宋体" w:hAnsi="宋体" w:eastAsia="宋体" w:cs="宋体"/>
                <w:i w:val="0"/>
                <w:iCs w:val="0"/>
                <w:color w:val="000000"/>
                <w:sz w:val="22"/>
                <w:szCs w:val="22"/>
                <w:u w:val="none"/>
              </w:rPr>
            </w:pPr>
          </w:p>
        </w:tc>
      </w:tr>
      <w:tr w14:paraId="32EB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FC5B">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0B27051E">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3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小青蛙吃豆豆</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1E6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1.产品明细：场景底盒1个、青蛙操纵杆2个、颜色骰子1个、彩色绒球1套、任务卡1套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2.产品材质：木质、绒质、纸质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3.外盒尺寸：外径尺寸长36cm*宽27cm*高20cm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D18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733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4CF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7ACE">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0EDD9">
            <w:pPr>
              <w:jc w:val="center"/>
              <w:rPr>
                <w:rFonts w:hint="eastAsia" w:ascii="宋体" w:hAnsi="宋体" w:eastAsia="宋体" w:cs="宋体"/>
                <w:i w:val="0"/>
                <w:iCs w:val="0"/>
                <w:color w:val="000000"/>
                <w:sz w:val="22"/>
                <w:szCs w:val="22"/>
                <w:u w:val="none"/>
              </w:rPr>
            </w:pPr>
          </w:p>
        </w:tc>
      </w:tr>
      <w:tr w14:paraId="37EA6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C9AB">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403AF15F">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F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动物穿线板</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BFB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1.产品明细：鳄鱼穿线板1套、大象穿线板1套、蜜蜂穿线板1套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DA3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D06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812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4EA0">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D14F0">
            <w:pPr>
              <w:jc w:val="center"/>
              <w:rPr>
                <w:rFonts w:hint="eastAsia" w:ascii="宋体" w:hAnsi="宋体" w:eastAsia="宋体" w:cs="宋体"/>
                <w:i w:val="0"/>
                <w:iCs w:val="0"/>
                <w:color w:val="000000"/>
                <w:sz w:val="22"/>
                <w:szCs w:val="22"/>
                <w:u w:val="none"/>
              </w:rPr>
            </w:pPr>
          </w:p>
        </w:tc>
      </w:tr>
      <w:tr w14:paraId="471FF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0A92">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02B14191">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6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快乐接龙</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1FB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1.产品明细：接龙骨牌1套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455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9EE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59B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4BD3">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91A3A">
            <w:pPr>
              <w:jc w:val="center"/>
              <w:rPr>
                <w:rFonts w:hint="eastAsia" w:ascii="宋体" w:hAnsi="宋体" w:eastAsia="宋体" w:cs="宋体"/>
                <w:i w:val="0"/>
                <w:iCs w:val="0"/>
                <w:color w:val="000000"/>
                <w:sz w:val="22"/>
                <w:szCs w:val="22"/>
                <w:u w:val="none"/>
              </w:rPr>
            </w:pPr>
          </w:p>
        </w:tc>
      </w:tr>
      <w:tr w14:paraId="3EAE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74E8">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079D7C62">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C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小卡片找家</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E74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1.产品明细：分类底座1个、房屋插板1个、分类卡1套、任务卡1套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187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2AC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425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98FE">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52A53">
            <w:pPr>
              <w:jc w:val="center"/>
              <w:rPr>
                <w:rFonts w:hint="eastAsia" w:ascii="宋体" w:hAnsi="宋体" w:eastAsia="宋体" w:cs="宋体"/>
                <w:i w:val="0"/>
                <w:iCs w:val="0"/>
                <w:color w:val="000000"/>
                <w:sz w:val="22"/>
                <w:szCs w:val="22"/>
                <w:u w:val="none"/>
              </w:rPr>
            </w:pPr>
          </w:p>
        </w:tc>
      </w:tr>
      <w:tr w14:paraId="68C7B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C566">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3D03D0BB">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6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小火车回家</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180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1.产品明细：游戏底板1个、火车棋子2个、火车卡套组1套、点子骰子1个、颜色骰子1个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2.产品材质：纸质、木质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DB7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AC4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837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E812">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960BF">
            <w:pPr>
              <w:jc w:val="center"/>
              <w:rPr>
                <w:rFonts w:hint="eastAsia" w:ascii="宋体" w:hAnsi="宋体" w:eastAsia="宋体" w:cs="宋体"/>
                <w:i w:val="0"/>
                <w:iCs w:val="0"/>
                <w:color w:val="000000"/>
                <w:sz w:val="22"/>
                <w:szCs w:val="22"/>
                <w:u w:val="none"/>
              </w:rPr>
            </w:pPr>
          </w:p>
        </w:tc>
      </w:tr>
      <w:tr w14:paraId="5BC5E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BAAF">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11BBA41E">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E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小松鼠寻果</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C9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1.产品明细：游戏底板1个、橡果收集板2个、点子骰子1个、松鼠棋子2个、橡果棋子1套、束口袋1个、说明书1张、外箱说明贴纸1张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2.产品材质：纸质、布质、木质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061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574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D0B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6D80">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29C82">
            <w:pPr>
              <w:jc w:val="center"/>
              <w:rPr>
                <w:rFonts w:hint="eastAsia" w:ascii="宋体" w:hAnsi="宋体" w:eastAsia="宋体" w:cs="宋体"/>
                <w:i w:val="0"/>
                <w:iCs w:val="0"/>
                <w:color w:val="000000"/>
                <w:sz w:val="22"/>
                <w:szCs w:val="22"/>
                <w:u w:val="none"/>
              </w:rPr>
            </w:pPr>
          </w:p>
        </w:tc>
      </w:tr>
      <w:tr w14:paraId="5CBE3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CF4A">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04C5D5B6">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7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快乐植树</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48D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1.产品明细：洞板1套、长木棒1套、短木棒1套、树冠图卡1套、游戏卡1套、人偶积木2个、颜色骰子1个、点子骰子1个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D78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F1C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DBF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B194">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7DA65">
            <w:pPr>
              <w:jc w:val="center"/>
              <w:rPr>
                <w:rFonts w:hint="eastAsia" w:ascii="宋体" w:hAnsi="宋体" w:eastAsia="宋体" w:cs="宋体"/>
                <w:i w:val="0"/>
                <w:iCs w:val="0"/>
                <w:color w:val="000000"/>
                <w:sz w:val="22"/>
                <w:szCs w:val="22"/>
                <w:u w:val="none"/>
              </w:rPr>
            </w:pPr>
          </w:p>
        </w:tc>
      </w:tr>
      <w:tr w14:paraId="6DB5D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CABF">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43651D4F">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E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贪吃蛇</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84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1.产品明细：贪吃蛇套装1套、路径挑战卡1套、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2.产品材质：纸质、木质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994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14E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715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19C8">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63613">
            <w:pPr>
              <w:jc w:val="center"/>
              <w:rPr>
                <w:rFonts w:hint="eastAsia" w:ascii="宋体" w:hAnsi="宋体" w:eastAsia="宋体" w:cs="宋体"/>
                <w:i w:val="0"/>
                <w:iCs w:val="0"/>
                <w:color w:val="000000"/>
                <w:sz w:val="22"/>
                <w:szCs w:val="22"/>
                <w:u w:val="none"/>
              </w:rPr>
            </w:pPr>
          </w:p>
        </w:tc>
      </w:tr>
      <w:tr w14:paraId="2A2B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3647">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2785AE16">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6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方位说一说</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B2F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1.产品明细：小河底板1个、拱桥积木1个、黄汽车积木1个、人偶积木2个、小船积木1个、方位骰子1个、游戏卡1套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AD6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C10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66A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612C">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F6EE0">
            <w:pPr>
              <w:jc w:val="center"/>
              <w:rPr>
                <w:rFonts w:hint="eastAsia" w:ascii="宋体" w:hAnsi="宋体" w:eastAsia="宋体" w:cs="宋体"/>
                <w:i w:val="0"/>
                <w:iCs w:val="0"/>
                <w:color w:val="000000"/>
                <w:sz w:val="22"/>
                <w:szCs w:val="22"/>
                <w:u w:val="none"/>
              </w:rPr>
            </w:pPr>
          </w:p>
        </w:tc>
      </w:tr>
      <w:tr w14:paraId="0DEB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E321">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02A163A4">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F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乐思维</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8FB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1.产品明细：魔轮板2个、乐思维游戏卡1套、记录单1套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2.产品材质：塑料、纸质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DC6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439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025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0576">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6BDA1">
            <w:pPr>
              <w:jc w:val="center"/>
              <w:rPr>
                <w:rFonts w:hint="eastAsia" w:ascii="宋体" w:hAnsi="宋体" w:eastAsia="宋体" w:cs="宋体"/>
                <w:i w:val="0"/>
                <w:iCs w:val="0"/>
                <w:color w:val="000000"/>
                <w:sz w:val="22"/>
                <w:szCs w:val="22"/>
                <w:u w:val="none"/>
              </w:rPr>
            </w:pPr>
          </w:p>
        </w:tc>
      </w:tr>
      <w:tr w14:paraId="0BF03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D1BC">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105266CC">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0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零散子件</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EF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1.产品明细：晾衣架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2.产品材质：榉木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3.外盒尺寸：长74cm*宽25cm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476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F3B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1DE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5C78">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55615">
            <w:pPr>
              <w:jc w:val="center"/>
              <w:rPr>
                <w:rFonts w:hint="eastAsia" w:ascii="宋体" w:hAnsi="宋体" w:eastAsia="宋体" w:cs="宋体"/>
                <w:i w:val="0"/>
                <w:iCs w:val="0"/>
                <w:color w:val="000000"/>
                <w:sz w:val="22"/>
                <w:szCs w:val="22"/>
                <w:u w:val="none"/>
              </w:rPr>
            </w:pPr>
          </w:p>
        </w:tc>
      </w:tr>
      <w:tr w14:paraId="65DB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F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10" w:type="dxa"/>
            <w:vMerge w:val="restart"/>
            <w:tcBorders>
              <w:top w:val="single" w:color="000000" w:sz="4" w:space="0"/>
              <w:left w:val="single" w:color="000000" w:sz="4" w:space="0"/>
              <w:bottom w:val="single" w:color="000000" w:sz="4" w:space="0"/>
              <w:right w:val="nil"/>
            </w:tcBorders>
            <w:shd w:val="clear" w:color="auto" w:fill="auto"/>
            <w:vAlign w:val="center"/>
          </w:tcPr>
          <w:p w14:paraId="2292B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益智玩具   （中班）</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8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方块急转弯</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5B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1.产品明细：塑料收纳盒1个、游戏卡20张/1套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2.产品材质：塑料、纸质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8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9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88D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1FFC">
            <w:pPr>
              <w:jc w:val="center"/>
              <w:rPr>
                <w:rFonts w:hint="eastAsia" w:ascii="宋体" w:hAnsi="宋体" w:eastAsia="宋体" w:cs="宋体"/>
                <w:i w:val="0"/>
                <w:iCs w:val="0"/>
                <w:color w:val="000000"/>
                <w:sz w:val="20"/>
                <w:szCs w:val="20"/>
                <w:u w:val="none"/>
              </w:rPr>
            </w:pPr>
          </w:p>
        </w:tc>
        <w:tc>
          <w:tcPr>
            <w:tcW w:w="1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EB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500380</wp:posOffset>
                  </wp:positionV>
                  <wp:extent cx="1537335" cy="535940"/>
                  <wp:effectExtent l="0" t="0" r="5715" b="16510"/>
                  <wp:wrapNone/>
                  <wp:docPr id="5" name="图片_5"/>
                  <wp:cNvGraphicFramePr/>
                  <a:graphic xmlns:a="http://schemas.openxmlformats.org/drawingml/2006/main">
                    <a:graphicData uri="http://schemas.openxmlformats.org/drawingml/2006/picture">
                      <pic:pic xmlns:pic="http://schemas.openxmlformats.org/drawingml/2006/picture">
                        <pic:nvPicPr>
                          <pic:cNvPr id="5" name="图片_5"/>
                          <pic:cNvPicPr/>
                        </pic:nvPicPr>
                        <pic:blipFill>
                          <a:blip r:embed="rId8"/>
                          <a:stretch>
                            <a:fillRect/>
                          </a:stretch>
                        </pic:blipFill>
                        <pic:spPr>
                          <a:xfrm>
                            <a:off x="0" y="0"/>
                            <a:ext cx="1537335" cy="535940"/>
                          </a:xfrm>
                          <a:prstGeom prst="rect">
                            <a:avLst/>
                          </a:prstGeom>
                          <a:noFill/>
                          <a:ln>
                            <a:noFill/>
                          </a:ln>
                        </pic:spPr>
                      </pic:pic>
                    </a:graphicData>
                  </a:graphic>
                </wp:anchor>
              </w:drawing>
            </w:r>
          </w:p>
        </w:tc>
      </w:tr>
      <w:tr w14:paraId="4254E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1CFB">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62D32EE1">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E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海岛夺宝</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F59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1.产品明细：听觉筒套装、触觉片套装、束口袋、数字骰子、小船棋子4个、宝石30个/套、听觉辨识卡3张/套、听觉标记贴纸1张、游戏底板1个、藏宝拼图4套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2.产品材质：塑料、木质、纸质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283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8D8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6B7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4104">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42617">
            <w:pPr>
              <w:jc w:val="center"/>
              <w:rPr>
                <w:rFonts w:hint="eastAsia" w:ascii="宋体" w:hAnsi="宋体" w:eastAsia="宋体" w:cs="宋体"/>
                <w:i w:val="0"/>
                <w:iCs w:val="0"/>
                <w:color w:val="000000"/>
                <w:sz w:val="22"/>
                <w:szCs w:val="22"/>
                <w:u w:val="none"/>
              </w:rPr>
            </w:pPr>
          </w:p>
        </w:tc>
      </w:tr>
      <w:tr w14:paraId="7D1D2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3EE4">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48A6A43B">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0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小科学家</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96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1.产品明细：束口袋1个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2.产品材质：棉布、纸质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E65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D99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FF5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42DB">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4114B">
            <w:pPr>
              <w:jc w:val="center"/>
              <w:rPr>
                <w:rFonts w:hint="eastAsia" w:ascii="宋体" w:hAnsi="宋体" w:eastAsia="宋体" w:cs="宋体"/>
                <w:i w:val="0"/>
                <w:iCs w:val="0"/>
                <w:color w:val="000000"/>
                <w:sz w:val="22"/>
                <w:szCs w:val="22"/>
                <w:u w:val="none"/>
              </w:rPr>
            </w:pPr>
          </w:p>
        </w:tc>
      </w:tr>
      <w:tr w14:paraId="36C24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5E0A">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01EF42E3">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4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情绪变变变</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683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1.产品明细：表情积木16个/套、按铃1个、塑料收纳盒1个、游戏卡16张/套、情绪海报1张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2.产品材质：木质、塑料、纸质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88B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1B1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38A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3447">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36B59">
            <w:pPr>
              <w:jc w:val="center"/>
              <w:rPr>
                <w:rFonts w:hint="eastAsia" w:ascii="宋体" w:hAnsi="宋体" w:eastAsia="宋体" w:cs="宋体"/>
                <w:i w:val="0"/>
                <w:iCs w:val="0"/>
                <w:color w:val="000000"/>
                <w:sz w:val="22"/>
                <w:szCs w:val="22"/>
                <w:u w:val="none"/>
              </w:rPr>
            </w:pPr>
          </w:p>
        </w:tc>
      </w:tr>
      <w:tr w14:paraId="02251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F0AA">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06A13D02">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8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青蛙池塘</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A93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1.产品明细：游戏底板1个、双头吸盘敲锤4个、青蛙棋子4个、数字骰子1个、昆虫骰子、昆虫游戏卡1套、后退游戏卡1张、前进游戏卡1张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2.产品材质：纸质、木质、塑料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A00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E43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2A7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07C6">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9AD11">
            <w:pPr>
              <w:jc w:val="center"/>
              <w:rPr>
                <w:rFonts w:hint="eastAsia" w:ascii="宋体" w:hAnsi="宋体" w:eastAsia="宋体" w:cs="宋体"/>
                <w:i w:val="0"/>
                <w:iCs w:val="0"/>
                <w:color w:val="000000"/>
                <w:sz w:val="22"/>
                <w:szCs w:val="22"/>
                <w:u w:val="none"/>
              </w:rPr>
            </w:pPr>
          </w:p>
        </w:tc>
      </w:tr>
      <w:tr w14:paraId="4C963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2E1C">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71316021">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C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疯狂的章鱼</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DB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1.产品明细：章鱼套装（包含：9个章鱼套、18个杯子、24张游戏卡）、塑料收纳盒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2.产品材质：塑料、橡胶、纸质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F2C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F6F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A45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49E3">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C63D8">
            <w:pPr>
              <w:jc w:val="center"/>
              <w:rPr>
                <w:rFonts w:hint="eastAsia" w:ascii="宋体" w:hAnsi="宋体" w:eastAsia="宋体" w:cs="宋体"/>
                <w:i w:val="0"/>
                <w:iCs w:val="0"/>
                <w:color w:val="000000"/>
                <w:sz w:val="22"/>
                <w:szCs w:val="22"/>
                <w:u w:val="none"/>
              </w:rPr>
            </w:pPr>
          </w:p>
        </w:tc>
      </w:tr>
      <w:tr w14:paraId="53C32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4254">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2049C320">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F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数字找朋友</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BB9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1.产品明细：数字连接件1个、按铃1个、束口袋1个、数字卡牌1套、数字转盘纸卡1张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2.产品材质：木质、塑料、纸质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801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7B1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CF7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4536">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C5456">
            <w:pPr>
              <w:jc w:val="center"/>
              <w:rPr>
                <w:rFonts w:hint="eastAsia" w:ascii="宋体" w:hAnsi="宋体" w:eastAsia="宋体" w:cs="宋体"/>
                <w:i w:val="0"/>
                <w:iCs w:val="0"/>
                <w:color w:val="000000"/>
                <w:sz w:val="22"/>
                <w:szCs w:val="22"/>
                <w:u w:val="none"/>
              </w:rPr>
            </w:pPr>
          </w:p>
        </w:tc>
      </w:tr>
      <w:tr w14:paraId="29283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05A7">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16A85641">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0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拼图游戏</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8D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1.产品明细：拼图3套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747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E9B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352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00A5">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7E2EC">
            <w:pPr>
              <w:jc w:val="center"/>
              <w:rPr>
                <w:rFonts w:hint="eastAsia" w:ascii="宋体" w:hAnsi="宋体" w:eastAsia="宋体" w:cs="宋体"/>
                <w:i w:val="0"/>
                <w:iCs w:val="0"/>
                <w:color w:val="000000"/>
                <w:sz w:val="22"/>
                <w:szCs w:val="22"/>
                <w:u w:val="none"/>
              </w:rPr>
            </w:pPr>
          </w:p>
        </w:tc>
      </w:tr>
      <w:tr w14:paraId="3A66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B23F">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52F16285">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4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记忆挑战王</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D5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1.产品明细：掀盖记忆盒1套、沙漏1个、颜色骰子1个、游戏卡14张/套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2.产品材质：木质、塑料、纸质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4D2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3DA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538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B32F">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1177D">
            <w:pPr>
              <w:jc w:val="center"/>
              <w:rPr>
                <w:rFonts w:hint="eastAsia" w:ascii="宋体" w:hAnsi="宋体" w:eastAsia="宋体" w:cs="宋体"/>
                <w:i w:val="0"/>
                <w:iCs w:val="0"/>
                <w:color w:val="000000"/>
                <w:sz w:val="22"/>
                <w:szCs w:val="22"/>
                <w:u w:val="none"/>
              </w:rPr>
            </w:pPr>
          </w:p>
        </w:tc>
      </w:tr>
      <w:tr w14:paraId="081E9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D733">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5FF7BF9C">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A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小松鼠过河</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5E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1.产品明细：游戏底板1个、房屋终点卡4张、水果卡1张、俄罗斯方块积木4套、松鼠棋子4个、束口袋1个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2.产品材质：木质、纸质、塑料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082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48E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881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0036">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22177">
            <w:pPr>
              <w:jc w:val="center"/>
              <w:rPr>
                <w:rFonts w:hint="eastAsia" w:ascii="宋体" w:hAnsi="宋体" w:eastAsia="宋体" w:cs="宋体"/>
                <w:i w:val="0"/>
                <w:iCs w:val="0"/>
                <w:color w:val="000000"/>
                <w:sz w:val="22"/>
                <w:szCs w:val="22"/>
                <w:u w:val="none"/>
              </w:rPr>
            </w:pPr>
          </w:p>
        </w:tc>
      </w:tr>
      <w:tr w14:paraId="4AEB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9EC3">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1B8BBD39">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B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拼搭小能手</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271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游戏卡6张/套、拼搭小能手套装（包含：多孔直木条22根、四孔弯木条4根、木质立方体8个、木质圆形轮胎8个、长方形螺帽8个、六边形螺帽8个、圆形一字螺丝20个、六角形一字螺丝20个、一字起子2个、六边形扳手2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D3C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AC8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FC2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188F">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9E4DD">
            <w:pPr>
              <w:jc w:val="center"/>
              <w:rPr>
                <w:rFonts w:hint="eastAsia" w:ascii="宋体" w:hAnsi="宋体" w:eastAsia="宋体" w:cs="宋体"/>
                <w:i w:val="0"/>
                <w:iCs w:val="0"/>
                <w:color w:val="000000"/>
                <w:sz w:val="22"/>
                <w:szCs w:val="22"/>
                <w:u w:val="none"/>
              </w:rPr>
            </w:pPr>
          </w:p>
        </w:tc>
      </w:tr>
      <w:tr w14:paraId="2C602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93ED">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65539216">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A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穿针引线</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3C4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1.产品明细：塑胶洞洞板2个、塑料笔杆4个、长鞋带8根、短鞋带8根、游戏卡14张/套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2.产品材质：塑料、尼龙、纸质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AB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D9F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650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A7E1">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57026">
            <w:pPr>
              <w:jc w:val="center"/>
              <w:rPr>
                <w:rFonts w:hint="eastAsia" w:ascii="宋体" w:hAnsi="宋体" w:eastAsia="宋体" w:cs="宋体"/>
                <w:i w:val="0"/>
                <w:iCs w:val="0"/>
                <w:color w:val="000000"/>
                <w:sz w:val="22"/>
                <w:szCs w:val="22"/>
                <w:u w:val="none"/>
              </w:rPr>
            </w:pPr>
          </w:p>
        </w:tc>
      </w:tr>
      <w:tr w14:paraId="1FA0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9CA7">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49839DC6">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4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叠叠乐</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2A7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1.产品明细：叠叠乐木片54片、木锤1个、职业骰子1个、颜色骰子、工具对照表、说明书3张/套、外箱说明贴纸1张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79D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4B9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AD8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384A">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47467">
            <w:pPr>
              <w:jc w:val="center"/>
              <w:rPr>
                <w:rFonts w:hint="eastAsia" w:ascii="宋体" w:hAnsi="宋体" w:eastAsia="宋体" w:cs="宋体"/>
                <w:i w:val="0"/>
                <w:iCs w:val="0"/>
                <w:color w:val="000000"/>
                <w:sz w:val="22"/>
                <w:szCs w:val="22"/>
                <w:u w:val="none"/>
              </w:rPr>
            </w:pPr>
          </w:p>
        </w:tc>
      </w:tr>
      <w:tr w14:paraId="7341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6901">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5768E644">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A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小兔子采蘑菇</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BB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1.产品明细：游戏底板1个、蘑菇44个、兔子棋子4个、盘子4个、束口袋1个、游戏转盘卡纸1个、神奇转盘指针1个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8D3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BB1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460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DF54">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BED20">
            <w:pPr>
              <w:jc w:val="center"/>
              <w:rPr>
                <w:rFonts w:hint="eastAsia" w:ascii="宋体" w:hAnsi="宋体" w:eastAsia="宋体" w:cs="宋体"/>
                <w:i w:val="0"/>
                <w:iCs w:val="0"/>
                <w:color w:val="000000"/>
                <w:sz w:val="22"/>
                <w:szCs w:val="22"/>
                <w:u w:val="none"/>
              </w:rPr>
            </w:pPr>
          </w:p>
        </w:tc>
      </w:tr>
      <w:tr w14:paraId="69A5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CF2E">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0370492C">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9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排队坐公交</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D04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1.产品明细：公交车底座1个、动物棋子6个、塑料收纳盒1个、游戏卡26张/套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062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961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8C3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9AA5">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26D42">
            <w:pPr>
              <w:jc w:val="center"/>
              <w:rPr>
                <w:rFonts w:hint="eastAsia" w:ascii="宋体" w:hAnsi="宋体" w:eastAsia="宋体" w:cs="宋体"/>
                <w:i w:val="0"/>
                <w:iCs w:val="0"/>
                <w:color w:val="000000"/>
                <w:sz w:val="22"/>
                <w:szCs w:val="22"/>
                <w:u w:val="none"/>
              </w:rPr>
            </w:pPr>
          </w:p>
        </w:tc>
      </w:tr>
      <w:tr w14:paraId="2455A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E78F">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4DD71FD7">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6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乐思维</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89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1.产品明细：魔轮板2个、乐思维游戏卡1套、记录单1套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2.产品材质：塑料、纸质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4CC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EFE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CF5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808A">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52362">
            <w:pPr>
              <w:jc w:val="center"/>
              <w:rPr>
                <w:rFonts w:hint="eastAsia" w:ascii="宋体" w:hAnsi="宋体" w:eastAsia="宋体" w:cs="宋体"/>
                <w:i w:val="0"/>
                <w:iCs w:val="0"/>
                <w:color w:val="000000"/>
                <w:sz w:val="22"/>
                <w:szCs w:val="22"/>
                <w:u w:val="none"/>
              </w:rPr>
            </w:pPr>
          </w:p>
        </w:tc>
      </w:tr>
      <w:tr w14:paraId="4D23E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5BB9">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nil"/>
            </w:tcBorders>
            <w:shd w:val="clear" w:color="auto" w:fill="auto"/>
            <w:vAlign w:val="center"/>
          </w:tcPr>
          <w:p w14:paraId="06D0239B">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1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零散子件</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D07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1.产品明细：方块组（包含：16块大积木、16块中积木、16块小积木、1个按铃），塑料试管套装（包含：12个试管、8个红球、8个紫球、8个绿球）、游戏卡20张/套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2.产品材质：塑料、纸质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3.外盒尺寸：因零散子件过多，以实际包装尺寸为准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EF2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5F1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0E8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B05A">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3B6E0">
            <w:pPr>
              <w:jc w:val="center"/>
              <w:rPr>
                <w:rFonts w:hint="eastAsia" w:ascii="宋体" w:hAnsi="宋体" w:eastAsia="宋体" w:cs="宋体"/>
                <w:i w:val="0"/>
                <w:iCs w:val="0"/>
                <w:color w:val="000000"/>
                <w:sz w:val="22"/>
                <w:szCs w:val="22"/>
                <w:u w:val="none"/>
              </w:rPr>
            </w:pPr>
          </w:p>
        </w:tc>
      </w:tr>
      <w:tr w14:paraId="31290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7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3A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益智玩具（大班）</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D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汉诺塔</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BE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1.产品明细：汉诺塔套组2套（每套包含：1个抽拉式木盒，3根柱子，10块圆盘积木）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2.产品材质：木质、塑料、磁吸、纸质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6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3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27B1">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8FBB">
            <w:pPr>
              <w:jc w:val="center"/>
              <w:rPr>
                <w:rFonts w:hint="eastAsia" w:ascii="宋体" w:hAnsi="宋体" w:eastAsia="宋体" w:cs="宋体"/>
                <w:i w:val="0"/>
                <w:iCs w:val="0"/>
                <w:color w:val="000000"/>
                <w:sz w:val="20"/>
                <w:szCs w:val="20"/>
                <w:u w:val="none"/>
              </w:rPr>
            </w:pPr>
          </w:p>
        </w:tc>
        <w:tc>
          <w:tcPr>
            <w:tcW w:w="1955" w:type="dxa"/>
            <w:vMerge w:val="restart"/>
            <w:tcBorders>
              <w:top w:val="single" w:color="000000" w:sz="4" w:space="0"/>
              <w:left w:val="single" w:color="000000" w:sz="4" w:space="0"/>
              <w:bottom w:val="nil"/>
              <w:right w:val="single" w:color="000000" w:sz="4" w:space="0"/>
            </w:tcBorders>
            <w:shd w:val="clear" w:color="auto" w:fill="auto"/>
            <w:vAlign w:val="center"/>
          </w:tcPr>
          <w:p w14:paraId="414FD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59055</wp:posOffset>
                  </wp:positionH>
                  <wp:positionV relativeFrom="paragraph">
                    <wp:posOffset>393065</wp:posOffset>
                  </wp:positionV>
                  <wp:extent cx="1396365" cy="1669415"/>
                  <wp:effectExtent l="0" t="0" r="13335" b="6985"/>
                  <wp:wrapNone/>
                  <wp:docPr id="7" name="图片_6"/>
                  <wp:cNvGraphicFramePr/>
                  <a:graphic xmlns:a="http://schemas.openxmlformats.org/drawingml/2006/main">
                    <a:graphicData uri="http://schemas.openxmlformats.org/drawingml/2006/picture">
                      <pic:pic xmlns:pic="http://schemas.openxmlformats.org/drawingml/2006/picture">
                        <pic:nvPicPr>
                          <pic:cNvPr id="7" name="图片_6"/>
                          <pic:cNvPicPr/>
                        </pic:nvPicPr>
                        <pic:blipFill>
                          <a:blip r:embed="rId9"/>
                          <a:stretch>
                            <a:fillRect/>
                          </a:stretch>
                        </pic:blipFill>
                        <pic:spPr>
                          <a:xfrm>
                            <a:off x="0" y="0"/>
                            <a:ext cx="1396365" cy="1669415"/>
                          </a:xfrm>
                          <a:prstGeom prst="rect">
                            <a:avLst/>
                          </a:prstGeom>
                          <a:noFill/>
                          <a:ln>
                            <a:noFill/>
                          </a:ln>
                        </pic:spPr>
                      </pic:pic>
                    </a:graphicData>
                  </a:graphic>
                </wp:anchor>
              </w:drawing>
            </w:r>
          </w:p>
        </w:tc>
      </w:tr>
      <w:tr w14:paraId="64D60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42CB">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5DF17">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D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老鹰捉小鸡</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08D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1.产品明细：老鹰手偶1个、六色颜色骰子1个、木质点子骰子1个、小鸡套组1套（包含：穿绳6根，球体穿珠积木6个，小鸡穿珠积木5个，母鸡穿珠积木1个）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2.产品材质：软毛绒PP棉、塑料、尼龙绳、纸质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5A0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349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89C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0B18">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nil"/>
              <w:right w:val="single" w:color="000000" w:sz="4" w:space="0"/>
            </w:tcBorders>
            <w:shd w:val="clear" w:color="auto" w:fill="auto"/>
            <w:vAlign w:val="center"/>
          </w:tcPr>
          <w:p w14:paraId="32D85698">
            <w:pPr>
              <w:jc w:val="center"/>
              <w:rPr>
                <w:rFonts w:hint="eastAsia" w:ascii="宋体" w:hAnsi="宋体" w:eastAsia="宋体" w:cs="宋体"/>
                <w:i w:val="0"/>
                <w:iCs w:val="0"/>
                <w:color w:val="000000"/>
                <w:sz w:val="22"/>
                <w:szCs w:val="22"/>
                <w:u w:val="none"/>
              </w:rPr>
            </w:pPr>
          </w:p>
        </w:tc>
      </w:tr>
      <w:tr w14:paraId="4423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4A28">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1D683">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9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快递小能手</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115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1.产品明细：扭蛋40个、棋子组2个/套、木质点子骰子1个、宝石36个/套、塑料收纳盒2个、快递信息板1个、游戏底板1个、状况卡10张/套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2.产品材质：塑料、木质、亚克力、灰板、纸质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C3C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116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EB1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9CED">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nil"/>
              <w:right w:val="single" w:color="000000" w:sz="4" w:space="0"/>
            </w:tcBorders>
            <w:shd w:val="clear" w:color="auto" w:fill="auto"/>
            <w:vAlign w:val="center"/>
          </w:tcPr>
          <w:p w14:paraId="1657E005">
            <w:pPr>
              <w:jc w:val="center"/>
              <w:rPr>
                <w:rFonts w:hint="eastAsia" w:ascii="宋体" w:hAnsi="宋体" w:eastAsia="宋体" w:cs="宋体"/>
                <w:i w:val="0"/>
                <w:iCs w:val="0"/>
                <w:color w:val="000000"/>
                <w:sz w:val="22"/>
                <w:szCs w:val="22"/>
                <w:u w:val="none"/>
              </w:rPr>
            </w:pPr>
          </w:p>
        </w:tc>
      </w:tr>
      <w:tr w14:paraId="64B1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59B3">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2965B">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B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寿司高手</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241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1.产品明细：寿司积木套组1套（包含：彩色积木块48块、游戏卡22张、筷子2双、灰色毛毡垫2块、白色抢答器1个）、大束口袋1个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2.产品材质：木质、毛毡布、塑料、布质、纸质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97E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E45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3B6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78D9">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nil"/>
              <w:right w:val="single" w:color="000000" w:sz="4" w:space="0"/>
            </w:tcBorders>
            <w:shd w:val="clear" w:color="auto" w:fill="auto"/>
            <w:vAlign w:val="center"/>
          </w:tcPr>
          <w:p w14:paraId="6892D74A">
            <w:pPr>
              <w:jc w:val="center"/>
              <w:rPr>
                <w:rFonts w:hint="eastAsia" w:ascii="宋体" w:hAnsi="宋体" w:eastAsia="宋体" w:cs="宋体"/>
                <w:i w:val="0"/>
                <w:iCs w:val="0"/>
                <w:color w:val="000000"/>
                <w:sz w:val="22"/>
                <w:szCs w:val="22"/>
                <w:u w:val="none"/>
              </w:rPr>
            </w:pPr>
          </w:p>
        </w:tc>
      </w:tr>
      <w:tr w14:paraId="0BE34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E853">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D167F">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2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一路畅通</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D34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1.产品明细：轨道贴2个/套、铁布4个/套、发条小车4个/套、塑料收纳盒1个、公路场景卡4块/套、路径卡10张/套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2.产品材质：软磁、铁布、塑料、灰板、纸质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E9F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4F4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141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713E">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nil"/>
              <w:right w:val="single" w:color="000000" w:sz="4" w:space="0"/>
            </w:tcBorders>
            <w:shd w:val="clear" w:color="auto" w:fill="auto"/>
            <w:vAlign w:val="center"/>
          </w:tcPr>
          <w:p w14:paraId="7F9BD274">
            <w:pPr>
              <w:jc w:val="center"/>
              <w:rPr>
                <w:rFonts w:hint="eastAsia" w:ascii="宋体" w:hAnsi="宋体" w:eastAsia="宋体" w:cs="宋体"/>
                <w:i w:val="0"/>
                <w:iCs w:val="0"/>
                <w:color w:val="000000"/>
                <w:sz w:val="22"/>
                <w:szCs w:val="22"/>
                <w:u w:val="none"/>
              </w:rPr>
            </w:pPr>
          </w:p>
        </w:tc>
      </w:tr>
      <w:tr w14:paraId="3B2B8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035D">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8A903">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C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角斗士</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17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1.产品明细：塑料收纳盒4个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2.产品材质：塑料、纸质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2FE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C86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FE5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4E15">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nil"/>
              <w:right w:val="single" w:color="000000" w:sz="4" w:space="0"/>
            </w:tcBorders>
            <w:shd w:val="clear" w:color="auto" w:fill="auto"/>
            <w:vAlign w:val="center"/>
          </w:tcPr>
          <w:p w14:paraId="6AC2060D">
            <w:pPr>
              <w:jc w:val="center"/>
              <w:rPr>
                <w:rFonts w:hint="eastAsia" w:ascii="宋体" w:hAnsi="宋体" w:eastAsia="宋体" w:cs="宋体"/>
                <w:i w:val="0"/>
                <w:iCs w:val="0"/>
                <w:color w:val="000000"/>
                <w:sz w:val="22"/>
                <w:szCs w:val="22"/>
                <w:u w:val="none"/>
              </w:rPr>
            </w:pPr>
          </w:p>
        </w:tc>
      </w:tr>
      <w:tr w14:paraId="3F3D5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9563">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07932">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E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拼图游戏</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17B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1.产品明细：拼图套组3个/套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2.产品材质：灰板+磁片+铁片、纸质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E67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393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212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F41D">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nil"/>
              <w:right w:val="single" w:color="000000" w:sz="4" w:space="0"/>
            </w:tcBorders>
            <w:shd w:val="clear" w:color="auto" w:fill="auto"/>
            <w:vAlign w:val="center"/>
          </w:tcPr>
          <w:p w14:paraId="310F1C4A">
            <w:pPr>
              <w:jc w:val="center"/>
              <w:rPr>
                <w:rFonts w:hint="eastAsia" w:ascii="宋体" w:hAnsi="宋体" w:eastAsia="宋体" w:cs="宋体"/>
                <w:i w:val="0"/>
                <w:iCs w:val="0"/>
                <w:color w:val="000000"/>
                <w:sz w:val="22"/>
                <w:szCs w:val="22"/>
                <w:u w:val="none"/>
              </w:rPr>
            </w:pPr>
          </w:p>
        </w:tc>
      </w:tr>
      <w:tr w14:paraId="56DAA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FC26">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8F46B">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9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迷宫天地</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1C3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1.产品明细：迷宫底板1个、路径木片 100个/套、棋子组2个/套、束口袋1个、交通标志卡24张/套、交通标志海报1张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2.产品材质：密度板、木质、布质、纸质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E37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665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ACC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3274">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nil"/>
              <w:right w:val="single" w:color="000000" w:sz="4" w:space="0"/>
            </w:tcBorders>
            <w:shd w:val="clear" w:color="auto" w:fill="auto"/>
            <w:vAlign w:val="center"/>
          </w:tcPr>
          <w:p w14:paraId="41A64FE6">
            <w:pPr>
              <w:jc w:val="center"/>
              <w:rPr>
                <w:rFonts w:hint="eastAsia" w:ascii="宋体" w:hAnsi="宋体" w:eastAsia="宋体" w:cs="宋体"/>
                <w:i w:val="0"/>
                <w:iCs w:val="0"/>
                <w:color w:val="000000"/>
                <w:sz w:val="22"/>
                <w:szCs w:val="22"/>
                <w:u w:val="none"/>
              </w:rPr>
            </w:pPr>
          </w:p>
        </w:tc>
      </w:tr>
      <w:tr w14:paraId="2135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7C67">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051EA">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3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时间旅行</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2DC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1.产品明细：时钟1个、宝石12个/套、塑料收纳盒2个、游戏底1个、时间卡4张/套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2.产品材质：木质、亚克力、塑料、灰板、纸质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5BC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FEF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DF4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353C">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nil"/>
              <w:right w:val="single" w:color="000000" w:sz="4" w:space="0"/>
            </w:tcBorders>
            <w:shd w:val="clear" w:color="auto" w:fill="auto"/>
            <w:vAlign w:val="center"/>
          </w:tcPr>
          <w:p w14:paraId="2FEC559D">
            <w:pPr>
              <w:jc w:val="center"/>
              <w:rPr>
                <w:rFonts w:hint="eastAsia" w:ascii="宋体" w:hAnsi="宋体" w:eastAsia="宋体" w:cs="宋体"/>
                <w:i w:val="0"/>
                <w:iCs w:val="0"/>
                <w:color w:val="000000"/>
                <w:sz w:val="22"/>
                <w:szCs w:val="22"/>
                <w:u w:val="none"/>
              </w:rPr>
            </w:pPr>
          </w:p>
        </w:tc>
      </w:tr>
      <w:tr w14:paraId="76990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9FB5">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3E4BD">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2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颜色记忆棋</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C8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1.产品明细：游戏底板1个、六色棋子24个/套、六色骰子1个、说明书2张/套、外箱说明贴纸1张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234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F01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220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DCC5">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nil"/>
              <w:right w:val="single" w:color="000000" w:sz="4" w:space="0"/>
            </w:tcBorders>
            <w:shd w:val="clear" w:color="auto" w:fill="auto"/>
            <w:vAlign w:val="center"/>
          </w:tcPr>
          <w:p w14:paraId="3A879D40">
            <w:pPr>
              <w:jc w:val="center"/>
              <w:rPr>
                <w:rFonts w:hint="eastAsia" w:ascii="宋体" w:hAnsi="宋体" w:eastAsia="宋体" w:cs="宋体"/>
                <w:i w:val="0"/>
                <w:iCs w:val="0"/>
                <w:color w:val="000000"/>
                <w:sz w:val="22"/>
                <w:szCs w:val="22"/>
                <w:u w:val="none"/>
              </w:rPr>
            </w:pPr>
          </w:p>
        </w:tc>
      </w:tr>
      <w:tr w14:paraId="6C873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27D6">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E326C">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7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环保卫士</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3ED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1.产品明细：棋子组4个/套、木质点子骰子1个、垃圾车底盒4个/套、数额积分币20个/套、游戏底板1个、垃圾分类海报1张、垃圾环保卡40张/套、垃圾车底板4张/套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2.产品材质：木质、塑料、灰板、纸质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C4B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4F0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5F5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FF19">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nil"/>
              <w:right w:val="single" w:color="000000" w:sz="4" w:space="0"/>
            </w:tcBorders>
            <w:shd w:val="clear" w:color="auto" w:fill="auto"/>
            <w:vAlign w:val="center"/>
          </w:tcPr>
          <w:p w14:paraId="5D8ACBFC">
            <w:pPr>
              <w:jc w:val="center"/>
              <w:rPr>
                <w:rFonts w:hint="eastAsia" w:ascii="宋体" w:hAnsi="宋体" w:eastAsia="宋体" w:cs="宋体"/>
                <w:i w:val="0"/>
                <w:iCs w:val="0"/>
                <w:color w:val="000000"/>
                <w:sz w:val="22"/>
                <w:szCs w:val="22"/>
                <w:u w:val="none"/>
              </w:rPr>
            </w:pPr>
          </w:p>
        </w:tc>
      </w:tr>
      <w:tr w14:paraId="553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4B0F">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20F45">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2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孵小鸭</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2E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1.产品明细：插牌底座4个/套、塑料收纳盒3个、游戏卡牌2套、小鸭卡2张/套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2.产品材质：木质、塑料、灰板、纸质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1ED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194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F9C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BFD9">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nil"/>
              <w:right w:val="single" w:color="000000" w:sz="4" w:space="0"/>
            </w:tcBorders>
            <w:shd w:val="clear" w:color="auto" w:fill="auto"/>
            <w:vAlign w:val="center"/>
          </w:tcPr>
          <w:p w14:paraId="6810948C">
            <w:pPr>
              <w:jc w:val="center"/>
              <w:rPr>
                <w:rFonts w:hint="eastAsia" w:ascii="宋体" w:hAnsi="宋体" w:eastAsia="宋体" w:cs="宋体"/>
                <w:i w:val="0"/>
                <w:iCs w:val="0"/>
                <w:color w:val="000000"/>
                <w:sz w:val="22"/>
                <w:szCs w:val="22"/>
                <w:u w:val="none"/>
              </w:rPr>
            </w:pPr>
          </w:p>
        </w:tc>
      </w:tr>
      <w:tr w14:paraId="3BC07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AB81">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50072">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E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魔法空间</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FBD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1.产品明细：积木组42块/套、束口袋2个、造型卡20张/套、记录单2张/套、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2.产品材质：木质、布质、纸质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A01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809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D52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123E">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nil"/>
              <w:right w:val="single" w:color="000000" w:sz="4" w:space="0"/>
            </w:tcBorders>
            <w:shd w:val="clear" w:color="auto" w:fill="auto"/>
            <w:vAlign w:val="center"/>
          </w:tcPr>
          <w:p w14:paraId="39FEC660">
            <w:pPr>
              <w:jc w:val="center"/>
              <w:rPr>
                <w:rFonts w:hint="eastAsia" w:ascii="宋体" w:hAnsi="宋体" w:eastAsia="宋体" w:cs="宋体"/>
                <w:i w:val="0"/>
                <w:iCs w:val="0"/>
                <w:color w:val="000000"/>
                <w:sz w:val="22"/>
                <w:szCs w:val="22"/>
                <w:u w:val="none"/>
              </w:rPr>
            </w:pPr>
          </w:p>
        </w:tc>
      </w:tr>
      <w:tr w14:paraId="162F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84FA">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B8233">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4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飞向太空</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4C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1.产品明细：磁吸积木块6块/套、发射器底座1个、立方积木块100块/套、棋子组4个/套、步数骰子1个、游戏底板1个、游戏卡2套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2.产品材质：木质、灰板、纸质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FD7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211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452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7844">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nil"/>
              <w:right w:val="single" w:color="000000" w:sz="4" w:space="0"/>
            </w:tcBorders>
            <w:shd w:val="clear" w:color="auto" w:fill="auto"/>
            <w:vAlign w:val="center"/>
          </w:tcPr>
          <w:p w14:paraId="39E5D1A2">
            <w:pPr>
              <w:jc w:val="center"/>
              <w:rPr>
                <w:rFonts w:hint="eastAsia" w:ascii="宋体" w:hAnsi="宋体" w:eastAsia="宋体" w:cs="宋体"/>
                <w:i w:val="0"/>
                <w:iCs w:val="0"/>
                <w:color w:val="000000"/>
                <w:sz w:val="22"/>
                <w:szCs w:val="22"/>
                <w:u w:val="none"/>
              </w:rPr>
            </w:pPr>
          </w:p>
        </w:tc>
      </w:tr>
      <w:tr w14:paraId="346F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2DC5">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6DDD6">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C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彩虹棋</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ABD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1.产品明细：黑白积木块40块/套、棋子组4个/套、塑料收纳盒2个、游戏底板1个、路径卡36张/套、颜色点卡40张/套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2.产品材质：木质、塑料、灰板、纸质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FE2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F71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D2C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11E5">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nil"/>
              <w:right w:val="single" w:color="000000" w:sz="4" w:space="0"/>
            </w:tcBorders>
            <w:shd w:val="clear" w:color="auto" w:fill="auto"/>
            <w:vAlign w:val="center"/>
          </w:tcPr>
          <w:p w14:paraId="53D09245">
            <w:pPr>
              <w:jc w:val="center"/>
              <w:rPr>
                <w:rFonts w:hint="eastAsia" w:ascii="宋体" w:hAnsi="宋体" w:eastAsia="宋体" w:cs="宋体"/>
                <w:i w:val="0"/>
                <w:iCs w:val="0"/>
                <w:color w:val="000000"/>
                <w:sz w:val="22"/>
                <w:szCs w:val="22"/>
                <w:u w:val="none"/>
              </w:rPr>
            </w:pPr>
          </w:p>
        </w:tc>
      </w:tr>
      <w:tr w14:paraId="09071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3B74">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B7709">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9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乐思维</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68C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1.产品明细：魔轮板2个/套、乐思维游戏卡20张/套、记录单5张/套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2.产品材质：塑料、纸质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3.外盒尺寸：外径尺寸长36cm*宽27cm*高10cm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69B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4B9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4C9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F9F6">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nil"/>
              <w:right w:val="single" w:color="000000" w:sz="4" w:space="0"/>
            </w:tcBorders>
            <w:shd w:val="clear" w:color="auto" w:fill="auto"/>
            <w:vAlign w:val="center"/>
          </w:tcPr>
          <w:p w14:paraId="7CF4D39C">
            <w:pPr>
              <w:jc w:val="center"/>
              <w:rPr>
                <w:rFonts w:hint="eastAsia" w:ascii="宋体" w:hAnsi="宋体" w:eastAsia="宋体" w:cs="宋体"/>
                <w:i w:val="0"/>
                <w:iCs w:val="0"/>
                <w:color w:val="000000"/>
                <w:sz w:val="22"/>
                <w:szCs w:val="22"/>
                <w:u w:val="none"/>
              </w:rPr>
            </w:pPr>
          </w:p>
        </w:tc>
      </w:tr>
      <w:tr w14:paraId="3DBCC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F468">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EFE48">
            <w:pPr>
              <w:jc w:val="center"/>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nil"/>
              <w:right w:val="single" w:color="000000" w:sz="4" w:space="0"/>
            </w:tcBorders>
            <w:shd w:val="clear" w:color="auto" w:fill="auto"/>
            <w:vAlign w:val="center"/>
          </w:tcPr>
          <w:p w14:paraId="6F7D4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零散子件</w:t>
            </w:r>
          </w:p>
        </w:tc>
        <w:tc>
          <w:tcPr>
            <w:tcW w:w="8580" w:type="dxa"/>
            <w:tcBorders>
              <w:top w:val="single" w:color="000000" w:sz="4" w:space="0"/>
              <w:left w:val="single" w:color="000000" w:sz="4" w:space="0"/>
              <w:bottom w:val="nil"/>
              <w:right w:val="single" w:color="000000" w:sz="4" w:space="0"/>
            </w:tcBorders>
            <w:shd w:val="clear" w:color="auto" w:fill="auto"/>
            <w:vAlign w:val="center"/>
          </w:tcPr>
          <w:p w14:paraId="0203B45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1.产品明细：扭蛋机1个，角斗士套组1套（包含：棋盘1个，红、蓝、黄、绿色塑料棋子共84块）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2.产品材质：瓦楞纸+0.04cm高透硬质pvc、塑料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3.外盒尺寸：因零散子件过多，以实际包装尺寸为准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6D2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F10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027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B395">
            <w:pPr>
              <w:jc w:val="center"/>
              <w:rPr>
                <w:rFonts w:hint="eastAsia" w:ascii="宋体" w:hAnsi="宋体" w:eastAsia="宋体" w:cs="宋体"/>
                <w:i w:val="0"/>
                <w:iCs w:val="0"/>
                <w:color w:val="000000"/>
                <w:sz w:val="20"/>
                <w:szCs w:val="20"/>
                <w:u w:val="none"/>
              </w:rPr>
            </w:pPr>
          </w:p>
        </w:tc>
        <w:tc>
          <w:tcPr>
            <w:tcW w:w="1955" w:type="dxa"/>
            <w:vMerge w:val="continue"/>
            <w:tcBorders>
              <w:top w:val="single" w:color="000000" w:sz="4" w:space="0"/>
              <w:left w:val="single" w:color="000000" w:sz="4" w:space="0"/>
              <w:bottom w:val="nil"/>
              <w:right w:val="single" w:color="000000" w:sz="4" w:space="0"/>
            </w:tcBorders>
            <w:shd w:val="clear" w:color="auto" w:fill="auto"/>
            <w:vAlign w:val="center"/>
          </w:tcPr>
          <w:p w14:paraId="7E72C163">
            <w:pPr>
              <w:jc w:val="center"/>
              <w:rPr>
                <w:rFonts w:hint="eastAsia" w:ascii="宋体" w:hAnsi="宋体" w:eastAsia="宋体" w:cs="宋体"/>
                <w:i w:val="0"/>
                <w:iCs w:val="0"/>
                <w:color w:val="000000"/>
                <w:sz w:val="22"/>
                <w:szCs w:val="22"/>
                <w:u w:val="none"/>
              </w:rPr>
            </w:pPr>
          </w:p>
        </w:tc>
      </w:tr>
      <w:tr w14:paraId="52BF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9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6A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花篮</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FBB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2.产品由红、黄、蓝、绿4种颜色组成                                                                             规格（允许尺寸误差±3mm）：小花篮：58*47mm 中花篮：85*46mm   大花篮：85*57mm                                                                                          3. 件数：70件</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E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7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5EC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1C8B">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0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226060</wp:posOffset>
                  </wp:positionH>
                  <wp:positionV relativeFrom="paragraph">
                    <wp:posOffset>168910</wp:posOffset>
                  </wp:positionV>
                  <wp:extent cx="656590" cy="575945"/>
                  <wp:effectExtent l="0" t="0" r="10160" b="14605"/>
                  <wp:wrapNone/>
                  <wp:docPr id="1" name="图片_5_SpCnt_1"/>
                  <wp:cNvGraphicFramePr/>
                  <a:graphic xmlns:a="http://schemas.openxmlformats.org/drawingml/2006/main">
                    <a:graphicData uri="http://schemas.openxmlformats.org/drawingml/2006/picture">
                      <pic:pic xmlns:pic="http://schemas.openxmlformats.org/drawingml/2006/picture">
                        <pic:nvPicPr>
                          <pic:cNvPr id="1" name="图片_5_SpCnt_1"/>
                          <pic:cNvPicPr/>
                        </pic:nvPicPr>
                        <pic:blipFill>
                          <a:blip r:embed="rId10"/>
                          <a:stretch>
                            <a:fillRect/>
                          </a:stretch>
                        </pic:blipFill>
                        <pic:spPr>
                          <a:xfrm>
                            <a:off x="0" y="0"/>
                            <a:ext cx="656590" cy="575945"/>
                          </a:xfrm>
                          <a:prstGeom prst="rect">
                            <a:avLst/>
                          </a:prstGeom>
                          <a:noFill/>
                          <a:ln>
                            <a:noFill/>
                          </a:ln>
                        </pic:spPr>
                      </pic:pic>
                    </a:graphicData>
                  </a:graphic>
                </wp:anchor>
              </w:drawing>
            </w:r>
          </w:p>
        </w:tc>
      </w:tr>
      <w:tr w14:paraId="3B9AC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3"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7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68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多彩穿线</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B7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2.规格（允许尺寸误差±3mm）：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飞机51*56*4mm，汽车：50*57*4mm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轮船：62*32*4mm，鲨鱼：61*42*4mm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蝴蝶：55*43*4mm，草莓：35*44*4mm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苹果：39*41*4mm，梨子：33*47*4mm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3.件数：718件</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1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8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AEA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05EE">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4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65405</wp:posOffset>
                  </wp:positionH>
                  <wp:positionV relativeFrom="paragraph">
                    <wp:posOffset>79375</wp:posOffset>
                  </wp:positionV>
                  <wp:extent cx="852170" cy="583565"/>
                  <wp:effectExtent l="0" t="0" r="5080" b="6985"/>
                  <wp:wrapNone/>
                  <wp:docPr id="4" name="图片_21"/>
                  <wp:cNvGraphicFramePr/>
                  <a:graphic xmlns:a="http://schemas.openxmlformats.org/drawingml/2006/main">
                    <a:graphicData uri="http://schemas.openxmlformats.org/drawingml/2006/picture">
                      <pic:pic xmlns:pic="http://schemas.openxmlformats.org/drawingml/2006/picture">
                        <pic:nvPicPr>
                          <pic:cNvPr id="4" name="图片_21"/>
                          <pic:cNvPicPr/>
                        </pic:nvPicPr>
                        <pic:blipFill>
                          <a:blip r:embed="rId11"/>
                          <a:stretch>
                            <a:fillRect/>
                          </a:stretch>
                        </pic:blipFill>
                        <pic:spPr>
                          <a:xfrm>
                            <a:off x="0" y="0"/>
                            <a:ext cx="852170" cy="583565"/>
                          </a:xfrm>
                          <a:prstGeom prst="rect">
                            <a:avLst/>
                          </a:prstGeom>
                          <a:noFill/>
                          <a:ln>
                            <a:noFill/>
                          </a:ln>
                        </pic:spPr>
                      </pic:pic>
                    </a:graphicData>
                  </a:graphic>
                </wp:anchor>
              </w:drawing>
            </w:r>
          </w:p>
        </w:tc>
      </w:tr>
      <w:tr w14:paraId="75DF6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535" w:type="dxa"/>
            <w:tcBorders>
              <w:top w:val="nil"/>
              <w:left w:val="single" w:color="000000" w:sz="4" w:space="0"/>
              <w:bottom w:val="nil"/>
              <w:right w:val="single" w:color="000000" w:sz="4" w:space="0"/>
            </w:tcBorders>
            <w:shd w:val="clear" w:color="auto" w:fill="auto"/>
            <w:vAlign w:val="center"/>
          </w:tcPr>
          <w:p w14:paraId="514A4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18" w:type="dxa"/>
            <w:gridSpan w:val="2"/>
            <w:tcBorders>
              <w:top w:val="single" w:color="000000" w:sz="4" w:space="0"/>
              <w:left w:val="single" w:color="000000" w:sz="4" w:space="0"/>
              <w:bottom w:val="nil"/>
              <w:right w:val="single" w:color="000000" w:sz="4" w:space="0"/>
            </w:tcBorders>
            <w:shd w:val="clear" w:color="auto" w:fill="auto"/>
            <w:vAlign w:val="center"/>
          </w:tcPr>
          <w:p w14:paraId="07165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六人转车</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87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36KG/辆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1.规格：140*140*70cm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2.颜色:（红.黄.）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3.车身：高碳钢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4.表面处理：电花喷塑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5.轴承：轴承钢轴承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6.环保：无毒.无味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7.连接：尼龙新料 </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7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0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957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EF49">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C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177165</wp:posOffset>
                  </wp:positionH>
                  <wp:positionV relativeFrom="paragraph">
                    <wp:posOffset>109220</wp:posOffset>
                  </wp:positionV>
                  <wp:extent cx="1255395" cy="957580"/>
                  <wp:effectExtent l="0" t="0" r="1905" b="13970"/>
                  <wp:wrapNone/>
                  <wp:docPr id="9" name="图片 8"/>
                  <wp:cNvGraphicFramePr/>
                  <a:graphic xmlns:a="http://schemas.openxmlformats.org/drawingml/2006/main">
                    <a:graphicData uri="http://schemas.openxmlformats.org/drawingml/2006/picture">
                      <pic:pic xmlns:pic="http://schemas.openxmlformats.org/drawingml/2006/picture">
                        <pic:nvPicPr>
                          <pic:cNvPr id="9" name="图片 8"/>
                          <pic:cNvPicPr/>
                        </pic:nvPicPr>
                        <pic:blipFill>
                          <a:blip r:embed="rId12"/>
                          <a:stretch>
                            <a:fillRect/>
                          </a:stretch>
                        </pic:blipFill>
                        <pic:spPr>
                          <a:xfrm>
                            <a:off x="0" y="0"/>
                            <a:ext cx="1255395" cy="957580"/>
                          </a:xfrm>
                          <a:prstGeom prst="rect">
                            <a:avLst/>
                          </a:prstGeom>
                          <a:noFill/>
                          <a:ln>
                            <a:noFill/>
                          </a:ln>
                        </pic:spPr>
                      </pic:pic>
                    </a:graphicData>
                  </a:graphic>
                </wp:anchor>
              </w:drawing>
            </w:r>
          </w:p>
        </w:tc>
      </w:tr>
      <w:tr w14:paraId="0C1CD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F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6B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万能工匠</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C1D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规格：圆盘，150个；管336条。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材质：塑料；</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2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D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633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167C">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F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56515</wp:posOffset>
                  </wp:positionV>
                  <wp:extent cx="1445260" cy="750570"/>
                  <wp:effectExtent l="0" t="0" r="2540" b="11430"/>
                  <wp:wrapNone/>
                  <wp:docPr id="10" name="图片_17"/>
                  <wp:cNvGraphicFramePr/>
                  <a:graphic xmlns:a="http://schemas.openxmlformats.org/drawingml/2006/main">
                    <a:graphicData uri="http://schemas.openxmlformats.org/drawingml/2006/picture">
                      <pic:pic xmlns:pic="http://schemas.openxmlformats.org/drawingml/2006/picture">
                        <pic:nvPicPr>
                          <pic:cNvPr id="10" name="图片_17"/>
                          <pic:cNvPicPr/>
                        </pic:nvPicPr>
                        <pic:blipFill>
                          <a:blip r:embed="rId13"/>
                          <a:stretch>
                            <a:fillRect/>
                          </a:stretch>
                        </pic:blipFill>
                        <pic:spPr>
                          <a:xfrm>
                            <a:off x="0" y="0"/>
                            <a:ext cx="1445260" cy="750570"/>
                          </a:xfrm>
                          <a:prstGeom prst="rect">
                            <a:avLst/>
                          </a:prstGeom>
                          <a:noFill/>
                          <a:ln>
                            <a:noFill/>
                          </a:ln>
                        </pic:spPr>
                      </pic:pic>
                    </a:graphicData>
                  </a:graphic>
                </wp:anchor>
              </w:drawing>
            </w:r>
          </w:p>
        </w:tc>
      </w:tr>
      <w:tr w14:paraId="22B85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6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2E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雪花片</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8C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1、吹塑工艺一次成型,材质：PE食品级环保塑料、100%安全无毒，颜色艳丽，耐光照不褪色，抗压耐磨，光滑不伤手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2、产品由红、黄、蓝、绿、粉、5种颜色组成.                                                            规格：（允许尺寸误差±3mm）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36件/箱，大雪花直径：正方形：直径260mm 圆形：直径260mm  三角形：直径280mm</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5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B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BF2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2625">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C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127635</wp:posOffset>
                  </wp:positionH>
                  <wp:positionV relativeFrom="paragraph">
                    <wp:posOffset>78740</wp:posOffset>
                  </wp:positionV>
                  <wp:extent cx="1326515" cy="792480"/>
                  <wp:effectExtent l="0" t="0" r="6985" b="7620"/>
                  <wp:wrapNone/>
                  <wp:docPr id="11" name="图片_5_SpCnt_2"/>
                  <wp:cNvGraphicFramePr/>
                  <a:graphic xmlns:a="http://schemas.openxmlformats.org/drawingml/2006/main">
                    <a:graphicData uri="http://schemas.openxmlformats.org/drawingml/2006/picture">
                      <pic:pic xmlns:pic="http://schemas.openxmlformats.org/drawingml/2006/picture">
                        <pic:nvPicPr>
                          <pic:cNvPr id="11" name="图片_5_SpCnt_2"/>
                          <pic:cNvPicPr/>
                        </pic:nvPicPr>
                        <pic:blipFill>
                          <a:blip r:embed="rId14"/>
                          <a:stretch>
                            <a:fillRect/>
                          </a:stretch>
                        </pic:blipFill>
                        <pic:spPr>
                          <a:xfrm>
                            <a:off x="0" y="0"/>
                            <a:ext cx="1326515" cy="792480"/>
                          </a:xfrm>
                          <a:prstGeom prst="rect">
                            <a:avLst/>
                          </a:prstGeom>
                          <a:noFill/>
                          <a:ln>
                            <a:noFill/>
                          </a:ln>
                        </pic:spPr>
                      </pic:pic>
                    </a:graphicData>
                  </a:graphic>
                </wp:anchor>
              </w:drawing>
            </w:r>
          </w:p>
        </w:tc>
      </w:tr>
      <w:tr w14:paraId="7370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5" w:type="dxa"/>
            <w:tcBorders>
              <w:top w:val="nil"/>
              <w:left w:val="single" w:color="000000" w:sz="4" w:space="0"/>
              <w:bottom w:val="nil"/>
              <w:right w:val="single" w:color="000000" w:sz="4" w:space="0"/>
            </w:tcBorders>
            <w:shd w:val="clear" w:color="auto" w:fill="auto"/>
            <w:vAlign w:val="center"/>
          </w:tcPr>
          <w:p w14:paraId="16FFA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18" w:type="dxa"/>
            <w:gridSpan w:val="2"/>
            <w:tcBorders>
              <w:top w:val="nil"/>
              <w:left w:val="single" w:color="000000" w:sz="4" w:space="0"/>
              <w:bottom w:val="single" w:color="000000" w:sz="4" w:space="0"/>
              <w:right w:val="single" w:color="000000" w:sz="4" w:space="0"/>
            </w:tcBorders>
            <w:shd w:val="clear" w:color="auto" w:fill="auto"/>
            <w:vAlign w:val="center"/>
          </w:tcPr>
          <w:p w14:paraId="09C08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玩沙子类玩具</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75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148件沙水游戏组合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最大规格：93*43*38cm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共29个形状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环保水性漆，边缘抛圆处理，外表面和内表面以及儿童可触及的隐蔽处，均没有锐利的棱角、毛刺等露出的锐利尖锐。木材含水率和甲醛释放量符合GB6675-2014和GB/T22048-20                                                                                          148件沙水组合参数如下：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分类 产品名称 材质 尺寸（单位：毫米）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水车1 PP 长1230mm;宽430mm;高380mm 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水车2 PP 长930mm;宽430mm;高380mm 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水车3 PP 长630mm;宽430mm;高320mm 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立板1 PP 厚：15 宽1：200 宽2：280 高：366 4</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立板2 PP 厚：15  宽1：200 宽2：280  高：528 4</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立板3 PP 厚：15   宽1：200 宽2：280  高：680 4</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立板4 PP 厚：15   宽1：200 宽2：280  高：831 4</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鱼板 PP 厚：15  长：394  高：150 16</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挡水板 PP 厚：10  长：500  宽：405 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水泵1 金属 dn48 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剖面管1 pvc 长：1000 10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剖面管2 pvc 长：1500 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剖面管3 pvc 长：2000 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管道1 透明pc 长：1000 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管道2 透明pc 长：1500 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管道3 透明pc 长：2000 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水龙头连接器 塑料 4分 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钢丝软管 软管 25， 250 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硅胶管 硅胶 4分/35000，4 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双通 pvc 100*170*170 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三通 pvc 100*150*200 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塞子 pvc 100*100*80 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管帽   4</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铲子（小） 不锈钢 360*88 17</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铲子（大） 不锈钢 650*140 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筛网（小） 不锈钢 直径150 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筛网（中） 不锈钢 直径200 10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筛网（大） 不锈钢 直径280 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沙桶  直径250 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沙水 水车袋   5</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F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0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A34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5E67">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F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101600</wp:posOffset>
                  </wp:positionH>
                  <wp:positionV relativeFrom="paragraph">
                    <wp:posOffset>174625</wp:posOffset>
                  </wp:positionV>
                  <wp:extent cx="1341755" cy="1847850"/>
                  <wp:effectExtent l="0" t="0" r="10795" b="0"/>
                  <wp:wrapNone/>
                  <wp:docPr id="12" name="图片_20"/>
                  <wp:cNvGraphicFramePr/>
                  <a:graphic xmlns:a="http://schemas.openxmlformats.org/drawingml/2006/main">
                    <a:graphicData uri="http://schemas.openxmlformats.org/drawingml/2006/picture">
                      <pic:pic xmlns:pic="http://schemas.openxmlformats.org/drawingml/2006/picture">
                        <pic:nvPicPr>
                          <pic:cNvPr id="12" name="图片_20"/>
                          <pic:cNvPicPr/>
                        </pic:nvPicPr>
                        <pic:blipFill>
                          <a:blip r:embed="rId15"/>
                          <a:stretch>
                            <a:fillRect/>
                          </a:stretch>
                        </pic:blipFill>
                        <pic:spPr>
                          <a:xfrm>
                            <a:off x="0" y="0"/>
                            <a:ext cx="1341755" cy="1847850"/>
                          </a:xfrm>
                          <a:prstGeom prst="rect">
                            <a:avLst/>
                          </a:prstGeom>
                          <a:noFill/>
                          <a:ln>
                            <a:noFill/>
                          </a:ln>
                        </pic:spPr>
                      </pic:pic>
                    </a:graphicData>
                  </a:graphic>
                </wp:anchor>
              </w:drawing>
            </w:r>
          </w:p>
        </w:tc>
      </w:tr>
      <w:tr w14:paraId="2EE3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3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93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单人三轮车</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BF2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9KG/辆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1.规格：84*51*63cm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2.颜色:（红.黄.）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3.车身：高碳钢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4.表面处理：电花喷塑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5.轴承：轴承钢轴承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6.环保：无毒.无味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7.连接：尼龙新料 </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7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F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06C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CA64">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B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450215</wp:posOffset>
                  </wp:positionH>
                  <wp:positionV relativeFrom="paragraph">
                    <wp:posOffset>158115</wp:posOffset>
                  </wp:positionV>
                  <wp:extent cx="867410" cy="829945"/>
                  <wp:effectExtent l="0" t="0" r="8890" b="8255"/>
                  <wp:wrapNone/>
                  <wp:docPr id="13" name="图片 12"/>
                  <wp:cNvGraphicFramePr/>
                  <a:graphic xmlns:a="http://schemas.openxmlformats.org/drawingml/2006/main">
                    <a:graphicData uri="http://schemas.openxmlformats.org/drawingml/2006/picture">
                      <pic:pic xmlns:pic="http://schemas.openxmlformats.org/drawingml/2006/picture">
                        <pic:nvPicPr>
                          <pic:cNvPr id="13" name="图片 12"/>
                          <pic:cNvPicPr/>
                        </pic:nvPicPr>
                        <pic:blipFill>
                          <a:blip r:embed="rId16"/>
                          <a:stretch>
                            <a:fillRect/>
                          </a:stretch>
                        </pic:blipFill>
                        <pic:spPr>
                          <a:xfrm>
                            <a:off x="0" y="0"/>
                            <a:ext cx="867410" cy="829945"/>
                          </a:xfrm>
                          <a:prstGeom prst="rect">
                            <a:avLst/>
                          </a:prstGeom>
                          <a:noFill/>
                          <a:ln>
                            <a:noFill/>
                          </a:ln>
                        </pic:spPr>
                      </pic:pic>
                    </a:graphicData>
                  </a:graphic>
                </wp:anchor>
              </w:drawing>
            </w:r>
          </w:p>
        </w:tc>
      </w:tr>
      <w:tr w14:paraId="539EC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0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18" w:type="dxa"/>
            <w:gridSpan w:val="2"/>
            <w:tcBorders>
              <w:top w:val="single" w:color="000000" w:sz="4" w:space="0"/>
              <w:left w:val="single" w:color="000000" w:sz="4" w:space="0"/>
              <w:bottom w:val="nil"/>
              <w:right w:val="single" w:color="000000" w:sz="4" w:space="0"/>
            </w:tcBorders>
            <w:shd w:val="clear" w:color="auto" w:fill="auto"/>
            <w:vAlign w:val="center"/>
          </w:tcPr>
          <w:p w14:paraId="2BEE5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单人三轮车</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E8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14.5KG/辆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1.规格：115*58*66cm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2.颜色:（红.黄.）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3.车身：高碳钢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4.表面处理：电花喷塑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5.轴承：轴承钢轴承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6.环保：无毒.无味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7.连接：尼龙新料 </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B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1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500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5F16">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F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332105</wp:posOffset>
                  </wp:positionH>
                  <wp:positionV relativeFrom="paragraph">
                    <wp:posOffset>143510</wp:posOffset>
                  </wp:positionV>
                  <wp:extent cx="971550" cy="859155"/>
                  <wp:effectExtent l="0" t="0" r="0" b="17145"/>
                  <wp:wrapNone/>
                  <wp:docPr id="14" name="图片 13"/>
                  <wp:cNvGraphicFramePr/>
                  <a:graphic xmlns:a="http://schemas.openxmlformats.org/drawingml/2006/main">
                    <a:graphicData uri="http://schemas.openxmlformats.org/drawingml/2006/picture">
                      <pic:pic xmlns:pic="http://schemas.openxmlformats.org/drawingml/2006/picture">
                        <pic:nvPicPr>
                          <pic:cNvPr id="14" name="图片 13"/>
                          <pic:cNvPicPr/>
                        </pic:nvPicPr>
                        <pic:blipFill>
                          <a:blip r:embed="rId17"/>
                          <a:stretch>
                            <a:fillRect/>
                          </a:stretch>
                        </pic:blipFill>
                        <pic:spPr>
                          <a:xfrm>
                            <a:off x="0" y="0"/>
                            <a:ext cx="971550" cy="859155"/>
                          </a:xfrm>
                          <a:prstGeom prst="rect">
                            <a:avLst/>
                          </a:prstGeom>
                          <a:noFill/>
                          <a:ln>
                            <a:noFill/>
                          </a:ln>
                        </pic:spPr>
                      </pic:pic>
                    </a:graphicData>
                  </a:graphic>
                </wp:anchor>
              </w:drawing>
            </w:r>
          </w:p>
        </w:tc>
      </w:tr>
      <w:tr w14:paraId="4AA4B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535" w:type="dxa"/>
            <w:tcBorders>
              <w:top w:val="nil"/>
              <w:left w:val="single" w:color="000000" w:sz="4" w:space="0"/>
              <w:bottom w:val="nil"/>
              <w:right w:val="single" w:color="000000" w:sz="4" w:space="0"/>
            </w:tcBorders>
            <w:shd w:val="clear" w:color="auto" w:fill="auto"/>
            <w:vAlign w:val="center"/>
          </w:tcPr>
          <w:p w14:paraId="39A99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08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铲车</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ABC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7.2KG/辆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1.规格：51*43*78cm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2.颜色:（红.黄.）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3.车身：高碳钢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4.表面处理：电花喷塑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5.轴承：轴承钢轴承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6.环保：无毒.无味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7.连接：尼龙新料 </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7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E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392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02DF">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D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324485</wp:posOffset>
                  </wp:positionH>
                  <wp:positionV relativeFrom="paragraph">
                    <wp:posOffset>113030</wp:posOffset>
                  </wp:positionV>
                  <wp:extent cx="1016000" cy="953770"/>
                  <wp:effectExtent l="0" t="0" r="12700" b="17780"/>
                  <wp:wrapNone/>
                  <wp:docPr id="15" name="图片 14"/>
                  <wp:cNvGraphicFramePr/>
                  <a:graphic xmlns:a="http://schemas.openxmlformats.org/drawingml/2006/main">
                    <a:graphicData uri="http://schemas.openxmlformats.org/drawingml/2006/picture">
                      <pic:pic xmlns:pic="http://schemas.openxmlformats.org/drawingml/2006/picture">
                        <pic:nvPicPr>
                          <pic:cNvPr id="15" name="图片 14"/>
                          <pic:cNvPicPr/>
                        </pic:nvPicPr>
                        <pic:blipFill>
                          <a:blip r:embed="rId18"/>
                          <a:stretch>
                            <a:fillRect/>
                          </a:stretch>
                        </pic:blipFill>
                        <pic:spPr>
                          <a:xfrm>
                            <a:off x="0" y="0"/>
                            <a:ext cx="1016000" cy="953770"/>
                          </a:xfrm>
                          <a:prstGeom prst="rect">
                            <a:avLst/>
                          </a:prstGeom>
                          <a:noFill/>
                          <a:ln>
                            <a:noFill/>
                          </a:ln>
                        </pic:spPr>
                      </pic:pic>
                    </a:graphicData>
                  </a:graphic>
                </wp:anchor>
              </w:drawing>
            </w:r>
          </w:p>
        </w:tc>
      </w:tr>
      <w:tr w14:paraId="14F54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F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36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单人三轮车</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B7D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17.5KG/辆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1.规格：115*75*66cm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2.颜色:（红.黄.）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3.车身：高碳钢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4.表面处理：电花喷塑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5.轴承：轴承钢轴承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6.环保：无毒.无味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7.连接：尼龙新料 </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0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9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30A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90FF">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9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300355</wp:posOffset>
                  </wp:positionH>
                  <wp:positionV relativeFrom="paragraph">
                    <wp:posOffset>95250</wp:posOffset>
                  </wp:positionV>
                  <wp:extent cx="991235" cy="996950"/>
                  <wp:effectExtent l="0" t="0" r="18415" b="12700"/>
                  <wp:wrapNone/>
                  <wp:docPr id="16" name="图片 15"/>
                  <wp:cNvGraphicFramePr/>
                  <a:graphic xmlns:a="http://schemas.openxmlformats.org/drawingml/2006/main">
                    <a:graphicData uri="http://schemas.openxmlformats.org/drawingml/2006/picture">
                      <pic:pic xmlns:pic="http://schemas.openxmlformats.org/drawingml/2006/picture">
                        <pic:nvPicPr>
                          <pic:cNvPr id="16" name="图片 15"/>
                          <pic:cNvPicPr/>
                        </pic:nvPicPr>
                        <pic:blipFill>
                          <a:blip r:embed="rId19"/>
                          <a:stretch>
                            <a:fillRect/>
                          </a:stretch>
                        </pic:blipFill>
                        <pic:spPr>
                          <a:xfrm>
                            <a:off x="0" y="0"/>
                            <a:ext cx="991235" cy="996950"/>
                          </a:xfrm>
                          <a:prstGeom prst="rect">
                            <a:avLst/>
                          </a:prstGeom>
                          <a:noFill/>
                          <a:ln>
                            <a:noFill/>
                          </a:ln>
                        </pic:spPr>
                      </pic:pic>
                    </a:graphicData>
                  </a:graphic>
                </wp:anchor>
              </w:drawing>
            </w:r>
          </w:p>
        </w:tc>
      </w:tr>
      <w:tr w14:paraId="3FCF1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A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18" w:type="dxa"/>
            <w:gridSpan w:val="2"/>
            <w:tcBorders>
              <w:top w:val="nil"/>
              <w:left w:val="single" w:color="000000" w:sz="4" w:space="0"/>
              <w:bottom w:val="single" w:color="000000" w:sz="4" w:space="0"/>
              <w:right w:val="single" w:color="000000" w:sz="4" w:space="0"/>
            </w:tcBorders>
            <w:shd w:val="clear" w:color="auto" w:fill="auto"/>
            <w:vAlign w:val="center"/>
          </w:tcPr>
          <w:p w14:paraId="61CAA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儿童手推车</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28C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9.5KG/辆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1.规格：135*58*45cm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2.颜色:（红.黄.）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3.车身：高碳钢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4.表面处理：电花喷塑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5.轴承：轴承钢轴承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6.环保：无毒.无味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7.连接：尼龙新料 </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F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1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9E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2F53">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E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234950</wp:posOffset>
                  </wp:positionH>
                  <wp:positionV relativeFrom="paragraph">
                    <wp:posOffset>165735</wp:posOffset>
                  </wp:positionV>
                  <wp:extent cx="1054100" cy="901065"/>
                  <wp:effectExtent l="0" t="0" r="12700" b="13335"/>
                  <wp:wrapNone/>
                  <wp:docPr id="17" name="图片 16"/>
                  <wp:cNvGraphicFramePr/>
                  <a:graphic xmlns:a="http://schemas.openxmlformats.org/drawingml/2006/main">
                    <a:graphicData uri="http://schemas.openxmlformats.org/drawingml/2006/picture">
                      <pic:pic xmlns:pic="http://schemas.openxmlformats.org/drawingml/2006/picture">
                        <pic:nvPicPr>
                          <pic:cNvPr id="17" name="图片 16"/>
                          <pic:cNvPicPr/>
                        </pic:nvPicPr>
                        <pic:blipFill>
                          <a:blip r:embed="rId20"/>
                          <a:stretch>
                            <a:fillRect/>
                          </a:stretch>
                        </pic:blipFill>
                        <pic:spPr>
                          <a:xfrm>
                            <a:off x="0" y="0"/>
                            <a:ext cx="1054100" cy="901065"/>
                          </a:xfrm>
                          <a:prstGeom prst="rect">
                            <a:avLst/>
                          </a:prstGeom>
                          <a:noFill/>
                          <a:ln>
                            <a:noFill/>
                          </a:ln>
                        </pic:spPr>
                      </pic:pic>
                    </a:graphicData>
                  </a:graphic>
                </wp:anchor>
              </w:drawing>
            </w:r>
          </w:p>
        </w:tc>
      </w:tr>
      <w:tr w14:paraId="5D2D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0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CD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三轮货车</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C3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15KG/辆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1.规格：118*58*65cm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2.颜色:（红.黄.）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3.车身：高碳钢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4.表面处理：电花喷塑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5.轴承：轴承钢轴承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6.环保：无毒.无味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7.连接：尼龙新料 </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F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E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B2A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D62F">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1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177165</wp:posOffset>
                  </wp:positionV>
                  <wp:extent cx="1030605" cy="889635"/>
                  <wp:effectExtent l="0" t="0" r="17145" b="5715"/>
                  <wp:wrapNone/>
                  <wp:docPr id="18" name="图片 17"/>
                  <wp:cNvGraphicFramePr/>
                  <a:graphic xmlns:a="http://schemas.openxmlformats.org/drawingml/2006/main">
                    <a:graphicData uri="http://schemas.openxmlformats.org/drawingml/2006/picture">
                      <pic:pic xmlns:pic="http://schemas.openxmlformats.org/drawingml/2006/picture">
                        <pic:nvPicPr>
                          <pic:cNvPr id="18" name="图片 17"/>
                          <pic:cNvPicPr/>
                        </pic:nvPicPr>
                        <pic:blipFill>
                          <a:blip r:embed="rId21"/>
                          <a:stretch>
                            <a:fillRect/>
                          </a:stretch>
                        </pic:blipFill>
                        <pic:spPr>
                          <a:xfrm>
                            <a:off x="0" y="0"/>
                            <a:ext cx="1030605" cy="889635"/>
                          </a:xfrm>
                          <a:prstGeom prst="rect">
                            <a:avLst/>
                          </a:prstGeom>
                          <a:noFill/>
                          <a:ln>
                            <a:noFill/>
                          </a:ln>
                        </pic:spPr>
                      </pic:pic>
                    </a:graphicData>
                  </a:graphic>
                </wp:anchor>
              </w:drawing>
            </w:r>
          </w:p>
        </w:tc>
      </w:tr>
      <w:tr w14:paraId="3808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535" w:type="dxa"/>
            <w:tcBorders>
              <w:top w:val="nil"/>
              <w:left w:val="single" w:color="000000" w:sz="4" w:space="0"/>
              <w:bottom w:val="nil"/>
              <w:right w:val="single" w:color="000000" w:sz="4" w:space="0"/>
            </w:tcBorders>
            <w:shd w:val="clear" w:color="auto" w:fill="auto"/>
            <w:vAlign w:val="center"/>
          </w:tcPr>
          <w:p w14:paraId="5CE94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7A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工矿挖机</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4D9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13KG/辆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1.规格：178*72*72cm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2.颜色:（红.黄.）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3.车身：高碳钢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4.表面处理：电花喷塑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5.轴承：轴承钢轴承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6.环保：无毒.无味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7.连接：尼龙新料 </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7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0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08A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E8EE">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C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210820</wp:posOffset>
                  </wp:positionH>
                  <wp:positionV relativeFrom="paragraph">
                    <wp:posOffset>158115</wp:posOffset>
                  </wp:positionV>
                  <wp:extent cx="994410" cy="908685"/>
                  <wp:effectExtent l="0" t="0" r="15240" b="5715"/>
                  <wp:wrapNone/>
                  <wp:docPr id="19" name="图片 18"/>
                  <wp:cNvGraphicFramePr/>
                  <a:graphic xmlns:a="http://schemas.openxmlformats.org/drawingml/2006/main">
                    <a:graphicData uri="http://schemas.openxmlformats.org/drawingml/2006/picture">
                      <pic:pic xmlns:pic="http://schemas.openxmlformats.org/drawingml/2006/picture">
                        <pic:nvPicPr>
                          <pic:cNvPr id="19" name="图片 18"/>
                          <pic:cNvPicPr/>
                        </pic:nvPicPr>
                        <pic:blipFill>
                          <a:blip r:embed="rId22"/>
                          <a:stretch>
                            <a:fillRect/>
                          </a:stretch>
                        </pic:blipFill>
                        <pic:spPr>
                          <a:xfrm>
                            <a:off x="0" y="0"/>
                            <a:ext cx="994410" cy="908685"/>
                          </a:xfrm>
                          <a:prstGeom prst="rect">
                            <a:avLst/>
                          </a:prstGeom>
                          <a:noFill/>
                          <a:ln>
                            <a:noFill/>
                          </a:ln>
                        </pic:spPr>
                      </pic:pic>
                    </a:graphicData>
                  </a:graphic>
                </wp:anchor>
              </w:drawing>
            </w:r>
          </w:p>
        </w:tc>
      </w:tr>
      <w:tr w14:paraId="22B83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6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8C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滑板车</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38A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8.5KG/辆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1.规格：95*43*65cm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2.颜色:（红.黄.）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3.车身：高碳钢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4.表面处理：电花喷塑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5.轴承：轴承钢轴承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6.环保：无毒.无味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7.连接：尼龙新料 </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F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F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F5C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02D4">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1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300355</wp:posOffset>
                  </wp:positionH>
                  <wp:positionV relativeFrom="paragraph">
                    <wp:posOffset>109220</wp:posOffset>
                  </wp:positionV>
                  <wp:extent cx="1030605" cy="931545"/>
                  <wp:effectExtent l="0" t="0" r="17145" b="1905"/>
                  <wp:wrapNone/>
                  <wp:docPr id="20" name="图片 19"/>
                  <wp:cNvGraphicFramePr/>
                  <a:graphic xmlns:a="http://schemas.openxmlformats.org/drawingml/2006/main">
                    <a:graphicData uri="http://schemas.openxmlformats.org/drawingml/2006/picture">
                      <pic:pic xmlns:pic="http://schemas.openxmlformats.org/drawingml/2006/picture">
                        <pic:nvPicPr>
                          <pic:cNvPr id="20" name="图片 19"/>
                          <pic:cNvPicPr/>
                        </pic:nvPicPr>
                        <pic:blipFill>
                          <a:blip r:embed="rId23"/>
                          <a:stretch>
                            <a:fillRect/>
                          </a:stretch>
                        </pic:blipFill>
                        <pic:spPr>
                          <a:xfrm>
                            <a:off x="0" y="0"/>
                            <a:ext cx="1030605" cy="931545"/>
                          </a:xfrm>
                          <a:prstGeom prst="rect">
                            <a:avLst/>
                          </a:prstGeom>
                          <a:noFill/>
                          <a:ln>
                            <a:noFill/>
                          </a:ln>
                        </pic:spPr>
                      </pic:pic>
                    </a:graphicData>
                  </a:graphic>
                </wp:anchor>
              </w:drawing>
            </w:r>
          </w:p>
        </w:tc>
      </w:tr>
      <w:tr w14:paraId="7CC84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0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08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平衡车</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7B1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6.8KG/辆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1.规格：88*43*65cm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2.颜色:（红.黄.）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3.车身：高碳钢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4.表面处理：电花喷塑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5.轴承：轴承钢轴承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6.环保：无毒.无味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7.连接：尼龙新料 </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3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3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0AA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EAD9">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4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403225</wp:posOffset>
                  </wp:positionH>
                  <wp:positionV relativeFrom="paragraph">
                    <wp:posOffset>174625</wp:posOffset>
                  </wp:positionV>
                  <wp:extent cx="824865" cy="868680"/>
                  <wp:effectExtent l="0" t="0" r="13335" b="7620"/>
                  <wp:wrapNone/>
                  <wp:docPr id="21" name="图片 20"/>
                  <wp:cNvGraphicFramePr/>
                  <a:graphic xmlns:a="http://schemas.openxmlformats.org/drawingml/2006/main">
                    <a:graphicData uri="http://schemas.openxmlformats.org/drawingml/2006/picture">
                      <pic:pic xmlns:pic="http://schemas.openxmlformats.org/drawingml/2006/picture">
                        <pic:nvPicPr>
                          <pic:cNvPr id="21" name="图片 20"/>
                          <pic:cNvPicPr/>
                        </pic:nvPicPr>
                        <pic:blipFill>
                          <a:blip r:embed="rId24"/>
                          <a:stretch>
                            <a:fillRect/>
                          </a:stretch>
                        </pic:blipFill>
                        <pic:spPr>
                          <a:xfrm>
                            <a:off x="0" y="0"/>
                            <a:ext cx="824865" cy="868680"/>
                          </a:xfrm>
                          <a:prstGeom prst="rect">
                            <a:avLst/>
                          </a:prstGeom>
                          <a:noFill/>
                          <a:ln>
                            <a:noFill/>
                          </a:ln>
                        </pic:spPr>
                      </pic:pic>
                    </a:graphicData>
                  </a:graphic>
                </wp:anchor>
              </w:drawing>
            </w:r>
          </w:p>
        </w:tc>
      </w:tr>
      <w:tr w14:paraId="618A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3"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0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99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儿童自行车停车位</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F7E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15KG/组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1.规格：145*80*36cm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2.颜色:（红.黄.）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3.材质：高碳钢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4.表面处理：电花喷塑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5.环保：无毒.无味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6.连接：尼龙新料 </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1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7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AA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508A">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1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160655</wp:posOffset>
                  </wp:positionH>
                  <wp:positionV relativeFrom="paragraph">
                    <wp:posOffset>36195</wp:posOffset>
                  </wp:positionV>
                  <wp:extent cx="1283970" cy="897255"/>
                  <wp:effectExtent l="0" t="0" r="11430" b="17145"/>
                  <wp:wrapNone/>
                  <wp:docPr id="22" name="图片 21"/>
                  <wp:cNvGraphicFramePr/>
                  <a:graphic xmlns:a="http://schemas.openxmlformats.org/drawingml/2006/main">
                    <a:graphicData uri="http://schemas.openxmlformats.org/drawingml/2006/picture">
                      <pic:pic xmlns:pic="http://schemas.openxmlformats.org/drawingml/2006/picture">
                        <pic:nvPicPr>
                          <pic:cNvPr id="22" name="图片 21"/>
                          <pic:cNvPicPr/>
                        </pic:nvPicPr>
                        <pic:blipFill>
                          <a:blip r:embed="rId25"/>
                          <a:stretch>
                            <a:fillRect/>
                          </a:stretch>
                        </pic:blipFill>
                        <pic:spPr>
                          <a:xfrm>
                            <a:off x="0" y="0"/>
                            <a:ext cx="1283970" cy="897255"/>
                          </a:xfrm>
                          <a:prstGeom prst="rect">
                            <a:avLst/>
                          </a:prstGeom>
                          <a:noFill/>
                          <a:ln>
                            <a:noFill/>
                          </a:ln>
                        </pic:spPr>
                      </pic:pic>
                    </a:graphicData>
                  </a:graphic>
                </wp:anchor>
              </w:drawing>
            </w:r>
          </w:p>
        </w:tc>
      </w:tr>
      <w:tr w14:paraId="51F0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35" w:type="dxa"/>
            <w:tcBorders>
              <w:top w:val="nil"/>
              <w:left w:val="single" w:color="000000" w:sz="4" w:space="0"/>
              <w:bottom w:val="nil"/>
              <w:right w:val="single" w:color="000000" w:sz="4" w:space="0"/>
            </w:tcBorders>
            <w:shd w:val="clear" w:color="auto" w:fill="auto"/>
            <w:vAlign w:val="center"/>
          </w:tcPr>
          <w:p w14:paraId="55073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4B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儿童玩沙防水装备</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E1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鞋裤连体，弹力修身，加宽肩带，升级加厚材质，耐磨防刮。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9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E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5DB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B4A5">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78E1">
            <w:pPr>
              <w:jc w:val="center"/>
              <w:rPr>
                <w:rFonts w:hint="eastAsia" w:ascii="宋体" w:hAnsi="宋体" w:eastAsia="宋体" w:cs="宋体"/>
                <w:i w:val="0"/>
                <w:iCs w:val="0"/>
                <w:color w:val="000000"/>
                <w:sz w:val="22"/>
                <w:szCs w:val="22"/>
                <w:u w:val="none"/>
              </w:rPr>
            </w:pPr>
          </w:p>
        </w:tc>
      </w:tr>
      <w:tr w14:paraId="45118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A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86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实木片益智拼装玩具</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B2A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采用露底水漆，优质木材，空间搭建积木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3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4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5A3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6216">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8AE9">
            <w:pPr>
              <w:jc w:val="center"/>
              <w:rPr>
                <w:rFonts w:hint="eastAsia" w:ascii="宋体" w:hAnsi="宋体" w:eastAsia="宋体" w:cs="宋体"/>
                <w:i w:val="0"/>
                <w:iCs w:val="0"/>
                <w:color w:val="000000"/>
                <w:sz w:val="22"/>
                <w:szCs w:val="22"/>
                <w:u w:val="none"/>
              </w:rPr>
            </w:pPr>
          </w:p>
        </w:tc>
      </w:tr>
      <w:tr w14:paraId="41A3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7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62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拼插塑料积木</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30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强力支撑杆，内十字结构设计</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3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9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B8E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4E11">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702D">
            <w:pPr>
              <w:jc w:val="center"/>
              <w:rPr>
                <w:rFonts w:hint="eastAsia" w:ascii="宋体" w:hAnsi="宋体" w:eastAsia="宋体" w:cs="宋体"/>
                <w:i w:val="0"/>
                <w:iCs w:val="0"/>
                <w:color w:val="000000"/>
                <w:sz w:val="22"/>
                <w:szCs w:val="22"/>
                <w:u w:val="none"/>
              </w:rPr>
            </w:pPr>
          </w:p>
        </w:tc>
      </w:tr>
      <w:tr w14:paraId="5F64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9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88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户外水管积木车</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30B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大型构建积木，百变创意，拼搭世界，360度旋转齿轮</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D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2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2E9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A994">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4C5B">
            <w:pPr>
              <w:jc w:val="center"/>
              <w:rPr>
                <w:rFonts w:hint="eastAsia" w:ascii="宋体" w:hAnsi="宋体" w:eastAsia="宋体" w:cs="宋体"/>
                <w:i w:val="0"/>
                <w:iCs w:val="0"/>
                <w:color w:val="000000"/>
                <w:sz w:val="22"/>
                <w:szCs w:val="22"/>
                <w:u w:val="none"/>
              </w:rPr>
            </w:pPr>
          </w:p>
        </w:tc>
      </w:tr>
      <w:tr w14:paraId="51266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35" w:type="dxa"/>
            <w:tcBorders>
              <w:top w:val="nil"/>
              <w:left w:val="single" w:color="000000" w:sz="4" w:space="0"/>
              <w:bottom w:val="nil"/>
              <w:right w:val="single" w:color="000000" w:sz="4" w:space="0"/>
            </w:tcBorders>
            <w:shd w:val="clear" w:color="auto" w:fill="auto"/>
            <w:vAlign w:val="center"/>
          </w:tcPr>
          <w:p w14:paraId="47F12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4C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几何积木玩具</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E9E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原木色，高透光度，亚克力材质，</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0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5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660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2F4C">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4682">
            <w:pPr>
              <w:jc w:val="center"/>
              <w:rPr>
                <w:rFonts w:hint="eastAsia" w:ascii="宋体" w:hAnsi="宋体" w:eastAsia="宋体" w:cs="宋体"/>
                <w:i w:val="0"/>
                <w:iCs w:val="0"/>
                <w:color w:val="000000"/>
                <w:sz w:val="22"/>
                <w:szCs w:val="22"/>
                <w:u w:val="none"/>
              </w:rPr>
            </w:pPr>
          </w:p>
        </w:tc>
      </w:tr>
      <w:tr w14:paraId="5AC8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B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E3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磁力片玩具</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0AF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环保材质，升级强磁，光滑圆角，轻松吸附，搭建稳固</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E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2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23E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361D">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FD3C">
            <w:pPr>
              <w:jc w:val="center"/>
              <w:rPr>
                <w:rFonts w:hint="eastAsia" w:ascii="宋体" w:hAnsi="宋体" w:eastAsia="宋体" w:cs="宋体"/>
                <w:i w:val="0"/>
                <w:iCs w:val="0"/>
                <w:color w:val="000000"/>
                <w:sz w:val="22"/>
                <w:szCs w:val="22"/>
                <w:u w:val="none"/>
              </w:rPr>
            </w:pPr>
          </w:p>
        </w:tc>
      </w:tr>
      <w:tr w14:paraId="4EC4F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E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73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交互智能平板</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D8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一、硬件功能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1.整机屏幕采用≥75英寸超高清LED 液晶显示屏，屏幕支持≥3840*2160分辨率；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2.整机采用红外触控技术，可支持≥40点触控，便于多名孩子同时操作书写；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3.整机采用内置非独立摄像头设计，像素≥1300W，支持拍摄4K视频，视场角≥120°；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4.整机内置非独立外扩展的4阵列麦克风，可用于对教室环境音频进行采集，拾音距离≥12m;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5.整机视网膜蓝光危害（蓝光加权辐射亮度LB）满足IEC TR 62778:2014蓝光危害RG0级别。</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6.支持护眼模式，可开启/关闭护眼模式。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7.具备标准，节能，多媒体，智能模式；在智能模式下，整机可以根据显示内容自动调节，此模式可以进行开关；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8.整机支持纸质护眼模式，可以在PC通道任意画面任意软件所有显示内容下实现画面纹理的实时调整；支持纸质纹理：牛皮纸、素描纸、宣纸、水彩纸、水纹纸；支持透明度调节；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9.整机支持画屏模式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10.整机内置 ≥2.1 声道扬声器，前朝向中高音≥2*10W，背朝向低音≥20W，额定总功率≥40W；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11.整机的内置扬声器采用覆盖式透声布，防止异物进入扬声器；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12.最低书写高度≤3mm，书写延时≤30ms；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13.在任意通道下支持手势识别调出板擦工具擦除批注内容，且能根据手与屏幕的接触面积自动调整板擦工具的大小；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14.整机支持版本Wi-Fi6，满足IEEE 802.11 a/b/g/n/ac/ax标准;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15.整机内置无线传输模块，无任何外接或转接天线,网卡，即可实现Wi-Fi无线上网连接，AP无线热点发射，WIFI支持2.4G/5G频段;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16.整机支持蓝牙 Bluetooth5.2标准；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17.整机内置NFC读卡模块；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18.整机支持识别带NFC芯片的资源卡片，当资源卡片贴合整机NFC读卡区域，可以实现与整机内置资源进行交互；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19.前置接口：USB3.0*2;Type-c*1；侧置接口：HDMIIN*2，Audio out*1，touch USB*1， RS232*1，USB2.0*1；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20.整机具备前置Type-C接口，通过Type-C接口实现音视频输入，外接电脑设备经双头Type-C线连接至整机，即可把外接电脑设备画面投到整机上，同时在整机上操作画面，可实现触摸电脑的操作，无需再连接触控USB线。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21.节能模式未开启后，当设备在五分钟内处于无信号接收状态且无人操作时，设备自动关机；当打开自动节能模式后，在设备处于有信号状态下，遮住光感 1 分钟后自动息屏；在设备处于无信号状态下，1 分钟息屏，再过 2 分钟关机；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22.整机在任意信号源通道均可调出全通道触摸中控设置菜单，中控菜单具备声音、图像、设置、缩放以及亮度设置模块，其中支持开启/关闭自动节能和护眼模式；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23.支持无线智能遥控，人性化设计具备电视遥控功能和电脑键盘常用的F1—F12功能键及Alt+F4、Alt+Tab、Space、Enter、Win等快捷按键，可一键锁定/解锁触摸及整机实体按键，防止课间学生操作；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24.采用抽拉内置式模块化电脑，≥ I5 CPU，内存≥8GB DDR4内存配置，硬盘≥256 GB SSD固态硬盘。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二、多媒体课件制作展示软件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1.为教师提供可扩展，易于学校管理，安全可靠的云存储空间，根据每名教师使用时长与教学资料制作频率提供可扩展升级至不小于200G的个人云空间。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3.互动教学课件支持定向精准分享：分享者可将互动课件、课件组精准推送至指定接收方账号云空间，接收方可在云空间接收并打开分享课件；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快速录制胶囊式微课，微课可录制保存音频和课件的互动操作。录制过程中可对课件中的元素进行拖动、克隆、删除等操作，支持在录制过程中进行书写和擦除。支持按照课件页面片段剪辑和重录微课，支持一键上传至云端保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5.具备图形自由创作工具，教师可自由绘制复杂的任意多边图形及曲边图形；教师自主创作的图形可存储至个人云空间便于后续使用。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6.支持对任意课件元素自定义路径动画，可自由绘制动画移动轨迹使课件元素沿轨迹路径进行移动。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远程教学功能；一键开课：教师可一键开课生成课程海报；学生扫描课程海报微信二维码即可加入直播课堂。在直播课堂中，教师可指定授权学生远程互动，学生可在直播的课件画面进行书写、移动、擦除、参与互动活动等，学生操作过程实时同步至班级其他学生，可支持不少于5位学生同时参与远程互动；课程结束后自动生成直播回放，报名课程的学生可反复学习；回放课程自动保存在云端，支持人工删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8.为教师提供对应的移动应用平台，实现备授课过程多终端多场景一体化。移动平台与授课端账号数据联通，可在移动端选择云空间内任意课件放映，授课端同步显示课件内容。</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8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F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0ED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5E69">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50E8">
            <w:pPr>
              <w:jc w:val="center"/>
              <w:rPr>
                <w:rFonts w:hint="eastAsia" w:ascii="宋体" w:hAnsi="宋体" w:eastAsia="宋体" w:cs="宋体"/>
                <w:i w:val="0"/>
                <w:iCs w:val="0"/>
                <w:color w:val="000000"/>
                <w:sz w:val="22"/>
                <w:szCs w:val="22"/>
                <w:u w:val="none"/>
              </w:rPr>
            </w:pPr>
          </w:p>
        </w:tc>
      </w:tr>
      <w:tr w14:paraId="078DF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C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A5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直饮机</w:t>
            </w:r>
          </w:p>
        </w:tc>
        <w:tc>
          <w:tcPr>
            <w:tcW w:w="8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B12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保温，除菌，水胆13L。80L/H 2000瓦。过滤三级</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5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B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92F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032F">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0887">
            <w:pPr>
              <w:jc w:val="center"/>
              <w:rPr>
                <w:rFonts w:hint="eastAsia" w:ascii="宋体" w:hAnsi="宋体" w:eastAsia="宋体" w:cs="宋体"/>
                <w:i w:val="0"/>
                <w:iCs w:val="0"/>
                <w:color w:val="000000"/>
                <w:sz w:val="22"/>
                <w:szCs w:val="22"/>
                <w:u w:val="none"/>
              </w:rPr>
            </w:pPr>
          </w:p>
        </w:tc>
      </w:tr>
      <w:tr w14:paraId="4C4F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35" w:type="dxa"/>
            <w:tcBorders>
              <w:top w:val="nil"/>
              <w:left w:val="single" w:color="000000" w:sz="4" w:space="0"/>
              <w:bottom w:val="nil"/>
              <w:right w:val="single" w:color="000000" w:sz="4" w:space="0"/>
            </w:tcBorders>
            <w:shd w:val="clear" w:color="auto" w:fill="auto"/>
            <w:vAlign w:val="center"/>
          </w:tcPr>
          <w:p w14:paraId="73973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35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CBB1">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容量60L|额定功率2200瓦 能效1级、材质金刚三层胆、双管变频速热、防电墙保护、防干烧保护、超温保护、超压保护。</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E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B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E7B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CEDD">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75F8">
            <w:pPr>
              <w:jc w:val="center"/>
              <w:rPr>
                <w:rFonts w:hint="eastAsia" w:ascii="宋体" w:hAnsi="宋体" w:eastAsia="宋体" w:cs="宋体"/>
                <w:i w:val="0"/>
                <w:iCs w:val="0"/>
                <w:color w:val="000000"/>
                <w:sz w:val="22"/>
                <w:szCs w:val="22"/>
                <w:u w:val="none"/>
              </w:rPr>
            </w:pPr>
          </w:p>
        </w:tc>
      </w:tr>
      <w:tr w14:paraId="05FFC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5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718" w:type="dxa"/>
            <w:gridSpan w:val="2"/>
            <w:tcBorders>
              <w:top w:val="single" w:color="000000" w:sz="4" w:space="0"/>
              <w:left w:val="single" w:color="000000" w:sz="4" w:space="0"/>
              <w:bottom w:val="nil"/>
              <w:right w:val="single" w:color="000000" w:sz="4" w:space="0"/>
            </w:tcBorders>
            <w:shd w:val="clear" w:color="auto" w:fill="auto"/>
            <w:vAlign w:val="center"/>
          </w:tcPr>
          <w:p w14:paraId="0182B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水电路改造</w:t>
            </w:r>
          </w:p>
        </w:tc>
        <w:tc>
          <w:tcPr>
            <w:tcW w:w="8580" w:type="dxa"/>
            <w:tcBorders>
              <w:top w:val="single" w:color="000000" w:sz="4" w:space="0"/>
              <w:left w:val="single" w:color="000000" w:sz="4" w:space="0"/>
              <w:bottom w:val="nil"/>
              <w:right w:val="single" w:color="000000" w:sz="4" w:space="0"/>
            </w:tcBorders>
            <w:shd w:val="clear" w:color="auto" w:fill="auto"/>
            <w:vAlign w:val="center"/>
          </w:tcPr>
          <w:p w14:paraId="33086041">
            <w:pPr>
              <w:keepNext w:val="0"/>
              <w:keepLines w:val="0"/>
              <w:widowControl/>
              <w:suppressLineNumbers w:val="0"/>
              <w:spacing w:after="16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1、线路需要根据设备功率改造相应的电线。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2、项目需布局线路需使用桥架，根据线缆大小采用不同的桥架布局；</w:t>
            </w:r>
          </w:p>
        </w:tc>
        <w:tc>
          <w:tcPr>
            <w:tcW w:w="594" w:type="dxa"/>
            <w:tcBorders>
              <w:top w:val="single" w:color="000000" w:sz="4" w:space="0"/>
              <w:left w:val="single" w:color="000000" w:sz="4" w:space="0"/>
              <w:bottom w:val="nil"/>
              <w:right w:val="single" w:color="000000" w:sz="4" w:space="0"/>
            </w:tcBorders>
            <w:shd w:val="clear" w:color="auto" w:fill="auto"/>
            <w:vAlign w:val="center"/>
          </w:tcPr>
          <w:p w14:paraId="34E25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6" w:type="dxa"/>
            <w:tcBorders>
              <w:top w:val="single" w:color="000000" w:sz="4" w:space="0"/>
              <w:left w:val="single" w:color="000000" w:sz="4" w:space="0"/>
              <w:bottom w:val="nil"/>
              <w:right w:val="single" w:color="000000" w:sz="4" w:space="0"/>
            </w:tcBorders>
            <w:shd w:val="clear" w:color="auto" w:fill="auto"/>
            <w:vAlign w:val="center"/>
          </w:tcPr>
          <w:p w14:paraId="46239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25" w:type="dxa"/>
            <w:tcBorders>
              <w:top w:val="single" w:color="000000" w:sz="4" w:space="0"/>
              <w:left w:val="single" w:color="000000" w:sz="4" w:space="0"/>
              <w:bottom w:val="nil"/>
              <w:right w:val="single" w:color="000000" w:sz="4" w:space="0"/>
            </w:tcBorders>
            <w:shd w:val="clear" w:color="auto" w:fill="auto"/>
            <w:vAlign w:val="center"/>
          </w:tcPr>
          <w:p w14:paraId="2D86053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nil"/>
              <w:right w:val="single" w:color="000000" w:sz="4" w:space="0"/>
            </w:tcBorders>
            <w:shd w:val="clear" w:color="auto" w:fill="auto"/>
            <w:vAlign w:val="center"/>
          </w:tcPr>
          <w:p w14:paraId="1611A0CD">
            <w:pPr>
              <w:jc w:val="center"/>
              <w:rPr>
                <w:rFonts w:hint="eastAsia" w:ascii="宋体" w:hAnsi="宋体" w:eastAsia="宋体" w:cs="宋体"/>
                <w:i w:val="0"/>
                <w:iCs w:val="0"/>
                <w:color w:val="000000"/>
                <w:sz w:val="20"/>
                <w:szCs w:val="20"/>
                <w:u w:val="none"/>
              </w:rPr>
            </w:pPr>
          </w:p>
        </w:tc>
        <w:tc>
          <w:tcPr>
            <w:tcW w:w="1955" w:type="dxa"/>
            <w:tcBorders>
              <w:top w:val="single" w:color="000000" w:sz="4" w:space="0"/>
              <w:left w:val="single" w:color="000000" w:sz="4" w:space="0"/>
              <w:bottom w:val="nil"/>
              <w:right w:val="single" w:color="000000" w:sz="4" w:space="0"/>
            </w:tcBorders>
            <w:shd w:val="clear" w:color="auto" w:fill="auto"/>
            <w:vAlign w:val="center"/>
          </w:tcPr>
          <w:p w14:paraId="4B66751F">
            <w:pPr>
              <w:jc w:val="center"/>
              <w:rPr>
                <w:rFonts w:hint="eastAsia" w:ascii="宋体" w:hAnsi="宋体" w:eastAsia="宋体" w:cs="宋体"/>
                <w:i w:val="0"/>
                <w:iCs w:val="0"/>
                <w:color w:val="000000"/>
                <w:sz w:val="22"/>
                <w:szCs w:val="22"/>
                <w:u w:val="none"/>
              </w:rPr>
            </w:pPr>
          </w:p>
        </w:tc>
      </w:tr>
      <w:tr w14:paraId="1109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35" w:type="dxa"/>
            <w:tcBorders>
              <w:top w:val="single" w:color="000000" w:sz="4" w:space="0"/>
              <w:left w:val="single" w:color="000000" w:sz="4" w:space="0"/>
              <w:bottom w:val="nil"/>
              <w:right w:val="single" w:color="000000" w:sz="4" w:space="0"/>
            </w:tcBorders>
            <w:shd w:val="clear" w:color="auto" w:fill="auto"/>
            <w:vAlign w:val="center"/>
          </w:tcPr>
          <w:p w14:paraId="5AC93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718" w:type="dxa"/>
            <w:gridSpan w:val="2"/>
            <w:tcBorders>
              <w:top w:val="single" w:color="000000" w:sz="4" w:space="0"/>
              <w:left w:val="single" w:color="000000" w:sz="4" w:space="0"/>
              <w:bottom w:val="nil"/>
              <w:right w:val="single" w:color="000000" w:sz="4" w:space="0"/>
            </w:tcBorders>
            <w:shd w:val="clear" w:color="auto" w:fill="auto"/>
            <w:vAlign w:val="center"/>
          </w:tcPr>
          <w:p w14:paraId="26326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笔记本电脑</w:t>
            </w:r>
          </w:p>
        </w:tc>
        <w:tc>
          <w:tcPr>
            <w:tcW w:w="8580" w:type="dxa"/>
            <w:tcBorders>
              <w:top w:val="single" w:color="000000" w:sz="4" w:space="0"/>
              <w:left w:val="single" w:color="000000" w:sz="4" w:space="0"/>
              <w:bottom w:val="nil"/>
              <w:right w:val="single" w:color="000000" w:sz="4" w:space="0"/>
            </w:tcBorders>
            <w:shd w:val="clear" w:color="auto" w:fill="auto"/>
            <w:vAlign w:val="center"/>
          </w:tcPr>
          <w:p w14:paraId="07CCEB6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处理器：R7-8745H，运行内存：16G硬盘或以上；512G固态硬盘或以上；核心线程：8核16线程，主频/睿频：3.8GHz-4.9GHz 二级缓存：8MB 三级缓存：16MB；CPU功耗：85W（超能模式） </w:t>
            </w:r>
          </w:p>
        </w:tc>
        <w:tc>
          <w:tcPr>
            <w:tcW w:w="594" w:type="dxa"/>
            <w:tcBorders>
              <w:top w:val="single" w:color="000000" w:sz="4" w:space="0"/>
              <w:left w:val="single" w:color="000000" w:sz="4" w:space="0"/>
              <w:bottom w:val="nil"/>
              <w:right w:val="single" w:color="000000" w:sz="4" w:space="0"/>
            </w:tcBorders>
            <w:shd w:val="clear" w:color="auto" w:fill="auto"/>
            <w:vAlign w:val="center"/>
          </w:tcPr>
          <w:p w14:paraId="453EB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66" w:type="dxa"/>
            <w:tcBorders>
              <w:top w:val="single" w:color="000000" w:sz="4" w:space="0"/>
              <w:left w:val="single" w:color="000000" w:sz="4" w:space="0"/>
              <w:bottom w:val="nil"/>
              <w:right w:val="single" w:color="000000" w:sz="4" w:space="0"/>
            </w:tcBorders>
            <w:shd w:val="clear" w:color="auto" w:fill="auto"/>
            <w:vAlign w:val="center"/>
          </w:tcPr>
          <w:p w14:paraId="5788A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25" w:type="dxa"/>
            <w:tcBorders>
              <w:top w:val="single" w:color="000000" w:sz="4" w:space="0"/>
              <w:left w:val="single" w:color="000000" w:sz="4" w:space="0"/>
              <w:bottom w:val="nil"/>
              <w:right w:val="single" w:color="000000" w:sz="4" w:space="0"/>
            </w:tcBorders>
            <w:shd w:val="clear" w:color="auto" w:fill="auto"/>
            <w:vAlign w:val="center"/>
          </w:tcPr>
          <w:p w14:paraId="7832176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nil"/>
              <w:right w:val="single" w:color="000000" w:sz="4" w:space="0"/>
            </w:tcBorders>
            <w:shd w:val="clear" w:color="auto" w:fill="auto"/>
            <w:vAlign w:val="center"/>
          </w:tcPr>
          <w:p w14:paraId="1493E37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A15E87D">
            <w:pPr>
              <w:rPr>
                <w:rFonts w:hint="eastAsia" w:ascii="宋体" w:hAnsi="宋体" w:eastAsia="宋体" w:cs="宋体"/>
                <w:i w:val="0"/>
                <w:iCs w:val="0"/>
                <w:color w:val="000000"/>
                <w:sz w:val="24"/>
                <w:szCs w:val="24"/>
                <w:u w:val="none"/>
              </w:rPr>
            </w:pPr>
          </w:p>
        </w:tc>
      </w:tr>
      <w:tr w14:paraId="24143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0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FF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幼儿绘本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12D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幼儿绘本（具体书单详见附件）</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D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5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册</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67D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939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BBEE">
            <w:pPr>
              <w:rPr>
                <w:rFonts w:hint="eastAsia" w:ascii="宋体" w:hAnsi="宋体" w:eastAsia="宋体" w:cs="宋体"/>
                <w:i w:val="0"/>
                <w:iCs w:val="0"/>
                <w:color w:val="000000"/>
                <w:sz w:val="24"/>
                <w:szCs w:val="24"/>
                <w:u w:val="none"/>
              </w:rPr>
            </w:pPr>
          </w:p>
        </w:tc>
      </w:tr>
    </w:tbl>
    <w:p w14:paraId="71F019C6">
      <w:pPr>
        <w:jc w:val="both"/>
        <w:rPr>
          <w:rFonts w:hint="eastAsia"/>
          <w:lang w:eastAsia="zh-CN"/>
        </w:rPr>
      </w:pPr>
    </w:p>
    <w:p w14:paraId="6FC41B06">
      <w:pPr>
        <w:jc w:val="both"/>
        <w:rPr>
          <w:rFonts w:hint="eastAsia"/>
          <w:lang w:eastAsia="zh-CN"/>
        </w:rPr>
        <w:sectPr>
          <w:pgSz w:w="16838" w:h="11906" w:orient="landscape"/>
          <w:pgMar w:top="1633" w:right="1100" w:bottom="1633" w:left="986" w:header="851" w:footer="992" w:gutter="0"/>
          <w:cols w:space="0" w:num="1"/>
          <w:rtlGutter w:val="0"/>
          <w:docGrid w:type="lines" w:linePitch="320" w:charSpace="0"/>
        </w:sectPr>
      </w:pPr>
    </w:p>
    <w:p w14:paraId="2A566A02">
      <w:pPr>
        <w:pStyle w:val="32"/>
        <w:ind w:firstLine="420"/>
      </w:pPr>
    </w:p>
    <w:p w14:paraId="15687F6E">
      <w:pPr>
        <w:widowControl/>
        <w:jc w:val="center"/>
        <w:outlineLvl w:val="0"/>
        <w:rPr>
          <w:rFonts w:ascii="宋体" w:hAnsi="宋体" w:eastAsia="宋体" w:cs="Times New Roman"/>
          <w:b/>
          <w:bCs/>
          <w:color w:val="000000" w:themeColor="text1"/>
          <w:sz w:val="36"/>
          <w:szCs w:val="36"/>
          <w14:textFill>
            <w14:solidFill>
              <w14:schemeClr w14:val="tx1"/>
            </w14:solidFill>
          </w14:textFill>
        </w:rPr>
      </w:pPr>
      <w:bookmarkStart w:id="20" w:name="_Toc4315"/>
      <w:r>
        <w:rPr>
          <w:rFonts w:hint="eastAsia" w:ascii="宋体" w:hAnsi="宋体" w:eastAsia="宋体" w:cs="Times New Roman"/>
          <w:b/>
          <w:bCs/>
          <w:color w:val="000000" w:themeColor="text1"/>
          <w:sz w:val="36"/>
          <w:szCs w:val="36"/>
          <w14:textFill>
            <w14:solidFill>
              <w14:schemeClr w14:val="tx1"/>
            </w14:solidFill>
          </w14:textFill>
        </w:rPr>
        <w:t>第四章  合同条款及合同文件格式</w:t>
      </w:r>
      <w:bookmarkEnd w:id="19"/>
      <w:bookmarkEnd w:id="20"/>
    </w:p>
    <w:p w14:paraId="30ECC59F">
      <w:pPr>
        <w:widowControl/>
        <w:spacing w:line="600" w:lineRule="exact"/>
        <w:jc w:val="center"/>
        <w:rPr>
          <w:rFonts w:ascii="宋体" w:hAnsi="宋体" w:eastAsia="宋体" w:cs="宋体"/>
          <w:kern w:val="0"/>
          <w:sz w:val="28"/>
          <w:szCs w:val="28"/>
        </w:rPr>
      </w:pPr>
      <w:r>
        <w:rPr>
          <w:rFonts w:hint="eastAsia" w:ascii="宋体" w:hAnsi="宋体" w:eastAsia="宋体" w:cs="宋体"/>
          <w:kern w:val="0"/>
          <w:sz w:val="28"/>
          <w:szCs w:val="28"/>
        </w:rPr>
        <w:t>（采购人可根据采购项目的实际情况增减条款和内容）</w:t>
      </w:r>
    </w:p>
    <w:p w14:paraId="40AB4E1C">
      <w:pPr>
        <w:widowControl/>
        <w:spacing w:line="600" w:lineRule="exact"/>
        <w:jc w:val="center"/>
        <w:rPr>
          <w:rFonts w:ascii="宋体" w:hAnsi="宋体" w:eastAsia="宋体" w:cs="宋体"/>
          <w:kern w:val="0"/>
          <w:sz w:val="28"/>
          <w:szCs w:val="28"/>
        </w:rPr>
      </w:pPr>
      <w:r>
        <w:rPr>
          <w:rFonts w:hint="eastAsia" w:ascii="宋体" w:hAnsi="宋体" w:eastAsia="宋体" w:cs="宋体"/>
          <w:kern w:val="0"/>
          <w:sz w:val="28"/>
          <w:szCs w:val="28"/>
        </w:rPr>
        <w:t>（合同格式仅供参考）</w:t>
      </w:r>
    </w:p>
    <w:p w14:paraId="237BE7F2">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甲  方：</w:t>
      </w:r>
    </w:p>
    <w:p w14:paraId="75889B81">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 xml:space="preserve">乙  方： </w:t>
      </w:r>
    </w:p>
    <w:p w14:paraId="27149BF8">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 xml:space="preserve">甲方名称根据的批复，组织对***项目进行竞争性磋商，招标编号（），于年月日通过竞争性磋商，确定乙方为***项目中标人。为了保护供需各方合法权益,根据《中华人民共和国政府采购法》、《中华人民共和国民法典》等相关法律、法规的规定，并严格遵循政府采购项目采购文件的相关规定，经甲乙双方协商一致，订立本合同。 </w:t>
      </w:r>
    </w:p>
    <w:p w14:paraId="3C68A454">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一、项目概况、合同金额（详见报价表，附后）</w:t>
      </w:r>
    </w:p>
    <w:p w14:paraId="3EFA750C">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1.项目编号：。</w:t>
      </w:r>
    </w:p>
    <w:p w14:paraId="70FAE9D0">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2.项目名称：。</w:t>
      </w:r>
    </w:p>
    <w:p w14:paraId="7E8E485C">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3.具体内容：（详见乙方报价表）</w:t>
      </w:r>
    </w:p>
    <w:p w14:paraId="2D399BA9">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4.合同金额：人民币元（大写：），以上价格以人民币结算。</w:t>
      </w:r>
    </w:p>
    <w:p w14:paraId="6ED4345A">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二、付款方式</w:t>
      </w:r>
    </w:p>
    <w:p w14:paraId="32F97183">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三、交货时间、交货地点</w:t>
      </w:r>
    </w:p>
    <w:p w14:paraId="0489E7E1">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1.交货时间：     年   月   日。</w:t>
      </w:r>
    </w:p>
    <w:p w14:paraId="0C7348EC">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2.交货地点：采购人指定地点</w:t>
      </w:r>
    </w:p>
    <w:p w14:paraId="566F73C5">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四、履约验收</w:t>
      </w:r>
    </w:p>
    <w:p w14:paraId="3415C635">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1.乙方提供的产品为原装正品，各项指标符合出产国检测标准和出厂标准，各项技术参数符合竞争性磋商文件要求和乙方响应文件承诺。</w:t>
      </w:r>
    </w:p>
    <w:p w14:paraId="03FC5614">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2.乙方所交产品不符合规定或质量不合格的，由乙方负责包换，并承担换货而支付的一切费用。乙方不能调换的，按不能交货处理。</w:t>
      </w:r>
    </w:p>
    <w:p w14:paraId="1D3BF1ED">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3.乙方应保证所提供的设备不侵犯第三方的专利权、商标权、著作权或其他知识产权。若乙方的行为侵犯了第三方的前述权利，并造成了第三方追究甲方的责任，甲方为此所受到的损失，应由乙方承担。</w:t>
      </w:r>
    </w:p>
    <w:p w14:paraId="3F73074F">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4.甲方按国家相关标准和本竞争性磋商文件的相关要求自行组织有关专业人员验收。</w:t>
      </w:r>
    </w:p>
    <w:p w14:paraId="5B8586B0">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5.验收内容：所采购的数量、参数标准、规格和质量。</w:t>
      </w:r>
    </w:p>
    <w:p w14:paraId="545B4352">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五、相关权利及义务</w:t>
      </w:r>
    </w:p>
    <w:p w14:paraId="4AC97373">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1.甲方在验收时对不符合竞争性磋商文件要求的产品有权拒绝接收和追究违约责任。</w:t>
      </w:r>
    </w:p>
    <w:p w14:paraId="7A3DA7DB">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2.甲方有权监督乙方的售后服务，并对乙方的售后服务不符合响应文件承诺内容时加以指出乃至追究合同责任。</w:t>
      </w:r>
    </w:p>
    <w:p w14:paraId="12C3437F">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3.甲方在合同规定期限内协助履行付款责任。</w:t>
      </w:r>
    </w:p>
    <w:p w14:paraId="4FD1F9E3">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4.甲方对乙方的技术及商业机密予以保密。</w:t>
      </w:r>
    </w:p>
    <w:p w14:paraId="500E8A3B">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5.乙方有权按照合同要求及时支付相应合同款项。</w:t>
      </w:r>
    </w:p>
    <w:p w14:paraId="099C1B48">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6.乙方有义务按响应文件中的售后服务承诺提供良好的服务。</w:t>
      </w:r>
    </w:p>
    <w:p w14:paraId="3B6BE9EA">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七、违约责任</w:t>
      </w:r>
    </w:p>
    <w:p w14:paraId="56B4C3E3">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甲乙双方均应遵守本合同，如有违约，将赔偿因违约给对方造成的经济损失，并向对方支付本合同总额5%的违约金。若因乙方原因在合同规定期限内无法交货，甲方有权终止合同。甲方将视情况在延迟交货期内每天按合同总额3‰的标准收取违约金，并提请政府采购监管部门将其列入不良行为记录。因不可抗力所导致的交货及付款延迟等按照《中华人民共和国民法典》有关条文及本合同第八条处理。</w:t>
      </w:r>
    </w:p>
    <w:p w14:paraId="074C9433">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八、不可抗力</w:t>
      </w:r>
    </w:p>
    <w:p w14:paraId="1E5D7DB2">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74ABEE95">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九、争议</w:t>
      </w:r>
    </w:p>
    <w:p w14:paraId="5220BC38">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双方本着友好合作的态度，对合同履行过程中发生的违约行为进行及时的协商解决，如不能协商解决可向甲方所在地人民法院提起诉讼。</w:t>
      </w:r>
    </w:p>
    <w:p w14:paraId="4FB76136">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十、其它</w:t>
      </w:r>
    </w:p>
    <w:p w14:paraId="63FB049F">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1.本合同一式陆份，甲方叁份，乙方叁份。</w:t>
      </w:r>
    </w:p>
    <w:p w14:paraId="6CBAB59A">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2.本合同自双方签订之日起生效。</w:t>
      </w:r>
    </w:p>
    <w:p w14:paraId="32F0FD01">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3.本项目竞争性磋商文件、响应文件等是本合同的附件，与合同具有同等的法律效力。</w:t>
      </w:r>
    </w:p>
    <w:p w14:paraId="2111AEBD">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4.其它未尽事宜，由甲乙双方友好协商解决，并参照《中华人民共和国民法典》有关条款执行。</w:t>
      </w:r>
    </w:p>
    <w:p w14:paraId="0A0D595B">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委托人（盖章）：                     受托人（盖章）：</w:t>
      </w:r>
    </w:p>
    <w:p w14:paraId="3822A733">
      <w:pPr>
        <w:widowControl/>
        <w:spacing w:line="600" w:lineRule="exact"/>
        <w:jc w:val="left"/>
        <w:rPr>
          <w:rFonts w:ascii="宋体" w:hAnsi="宋体" w:eastAsia="宋体" w:cs="宋体"/>
          <w:kern w:val="0"/>
          <w:sz w:val="28"/>
          <w:szCs w:val="28"/>
        </w:rPr>
      </w:pPr>
      <w:r>
        <w:rPr>
          <w:rFonts w:hint="eastAsia" w:ascii="宋体" w:hAnsi="宋体" w:eastAsia="宋体" w:cs="宋体"/>
          <w:kern w:val="0"/>
          <w:sz w:val="28"/>
          <w:szCs w:val="28"/>
        </w:rPr>
        <w:t>法定代表人（签字或盖章）：           法定代表人（签字或盖章）：</w:t>
      </w:r>
    </w:p>
    <w:p w14:paraId="3B924B72">
      <w:pPr>
        <w:widowControl/>
        <w:spacing w:line="600" w:lineRule="exact"/>
        <w:jc w:val="left"/>
        <w:rPr>
          <w:rFonts w:ascii="宋体" w:hAnsi="宋体" w:eastAsia="宋体" w:cs="宋体"/>
          <w:kern w:val="0"/>
          <w:sz w:val="28"/>
          <w:szCs w:val="28"/>
        </w:rPr>
      </w:pPr>
      <w:r>
        <w:rPr>
          <w:rFonts w:hint="eastAsia" w:ascii="宋体" w:hAnsi="宋体" w:eastAsia="宋体" w:cs="宋体"/>
          <w:kern w:val="0"/>
          <w:sz w:val="28"/>
          <w:szCs w:val="28"/>
        </w:rPr>
        <w:t>或授权委托人（签字或盖章）：        或授权委托人（签字或盖章）：</w:t>
      </w:r>
    </w:p>
    <w:p w14:paraId="7E9ED968">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单位地址：                          单位地址：</w:t>
      </w:r>
    </w:p>
    <w:p w14:paraId="19EC7626">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邮政编码：                          邮政编码：</w:t>
      </w:r>
    </w:p>
    <w:p w14:paraId="29DBABA0">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联系电话：                          联系电话：</w:t>
      </w:r>
    </w:p>
    <w:p w14:paraId="7BC63E8B">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传    真：                          传    真：</w:t>
      </w:r>
    </w:p>
    <w:p w14:paraId="13E05705">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电子信箱：                          电子信箱：</w:t>
      </w:r>
    </w:p>
    <w:p w14:paraId="46EE0CF5">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开户银行：                          开户银行：</w:t>
      </w:r>
    </w:p>
    <w:p w14:paraId="0188061A">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账    号：                          账    号：</w:t>
      </w:r>
    </w:p>
    <w:p w14:paraId="6BB464AD">
      <w:pPr>
        <w:spacing w:line="50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r>
        <w:rPr>
          <w:rFonts w:hint="eastAsia" w:ascii="Times New Roman" w:hAnsi="Times New Roman" w:eastAsia="宋体" w:cs="Times New Roman"/>
          <w:sz w:val="28"/>
          <w:szCs w:val="28"/>
        </w:rPr>
        <w:br w:type="page"/>
      </w:r>
    </w:p>
    <w:p w14:paraId="3F6952D5">
      <w:pPr>
        <w:jc w:val="center"/>
        <w:outlineLvl w:val="0"/>
        <w:rPr>
          <w:rFonts w:ascii="宋体" w:hAnsi="宋体" w:eastAsia="宋体" w:cs="Times New Roman"/>
          <w:b/>
          <w:color w:val="000000" w:themeColor="text1"/>
          <w:sz w:val="32"/>
          <w:szCs w:val="32"/>
          <w14:textFill>
            <w14:solidFill>
              <w14:schemeClr w14:val="tx1"/>
            </w14:solidFill>
          </w14:textFill>
        </w:rPr>
      </w:pPr>
      <w:bookmarkStart w:id="21" w:name="_Toc21716"/>
      <w:r>
        <w:rPr>
          <w:rFonts w:hint="eastAsia" w:ascii="宋体" w:hAnsi="宋体" w:eastAsia="宋体" w:cs="Times New Roman"/>
          <w:b/>
          <w:color w:val="000000" w:themeColor="text1"/>
          <w:sz w:val="32"/>
          <w:szCs w:val="32"/>
          <w14:textFill>
            <w14:solidFill>
              <w14:schemeClr w14:val="tx1"/>
            </w14:solidFill>
          </w14:textFill>
        </w:rPr>
        <w:t>第五章  评审标准</w:t>
      </w:r>
      <w:bookmarkEnd w:id="21"/>
    </w:p>
    <w:tbl>
      <w:tblPr>
        <w:tblStyle w:val="18"/>
        <w:tblW w:w="10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930"/>
        <w:gridCol w:w="1800"/>
        <w:gridCol w:w="7105"/>
      </w:tblGrid>
      <w:tr w14:paraId="2089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901" w:type="dxa"/>
            <w:gridSpan w:val="2"/>
            <w:tcBorders>
              <w:top w:val="single" w:color="auto" w:sz="4" w:space="0"/>
              <w:left w:val="single" w:color="auto" w:sz="4" w:space="0"/>
              <w:bottom w:val="single" w:color="auto" w:sz="4" w:space="0"/>
              <w:right w:val="single" w:color="auto" w:sz="4" w:space="0"/>
            </w:tcBorders>
            <w:vAlign w:val="center"/>
          </w:tcPr>
          <w:p w14:paraId="4FF333C1">
            <w:pPr>
              <w:spacing w:line="360" w:lineRule="auto"/>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条款号</w:t>
            </w:r>
          </w:p>
        </w:tc>
        <w:tc>
          <w:tcPr>
            <w:tcW w:w="1800" w:type="dxa"/>
            <w:tcBorders>
              <w:top w:val="single" w:color="auto" w:sz="4" w:space="0"/>
              <w:left w:val="single" w:color="auto" w:sz="4" w:space="0"/>
              <w:bottom w:val="single" w:color="auto" w:sz="4" w:space="0"/>
              <w:right w:val="single" w:color="auto" w:sz="4" w:space="0"/>
            </w:tcBorders>
            <w:vAlign w:val="center"/>
          </w:tcPr>
          <w:p w14:paraId="572E5A2C">
            <w:pPr>
              <w:spacing w:line="360" w:lineRule="auto"/>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评审因素</w:t>
            </w:r>
          </w:p>
        </w:tc>
        <w:tc>
          <w:tcPr>
            <w:tcW w:w="7105" w:type="dxa"/>
            <w:tcBorders>
              <w:top w:val="single" w:color="auto" w:sz="4" w:space="0"/>
              <w:left w:val="single" w:color="auto" w:sz="4" w:space="0"/>
              <w:bottom w:val="single" w:color="auto" w:sz="4" w:space="0"/>
              <w:right w:val="single" w:color="auto" w:sz="4" w:space="0"/>
            </w:tcBorders>
            <w:vAlign w:val="center"/>
          </w:tcPr>
          <w:p w14:paraId="32FFD444">
            <w:pPr>
              <w:spacing w:line="360" w:lineRule="auto"/>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评审标准</w:t>
            </w:r>
          </w:p>
        </w:tc>
      </w:tr>
      <w:tr w14:paraId="678A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71" w:type="dxa"/>
            <w:vMerge w:val="restart"/>
            <w:tcBorders>
              <w:top w:val="single" w:color="auto" w:sz="4" w:space="0"/>
              <w:left w:val="single" w:color="auto" w:sz="4" w:space="0"/>
              <w:right w:val="single" w:color="auto" w:sz="4" w:space="0"/>
            </w:tcBorders>
            <w:vAlign w:val="center"/>
          </w:tcPr>
          <w:p w14:paraId="4C082CD2">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2.1.1</w:t>
            </w:r>
          </w:p>
        </w:tc>
        <w:tc>
          <w:tcPr>
            <w:tcW w:w="930" w:type="dxa"/>
            <w:vMerge w:val="restart"/>
            <w:tcBorders>
              <w:top w:val="single" w:color="auto" w:sz="4" w:space="0"/>
              <w:left w:val="single" w:color="auto" w:sz="4" w:space="0"/>
              <w:right w:val="single" w:color="auto" w:sz="4" w:space="0"/>
            </w:tcBorders>
            <w:vAlign w:val="center"/>
          </w:tcPr>
          <w:p w14:paraId="1687573D">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资格性</w:t>
            </w:r>
          </w:p>
          <w:p w14:paraId="22FA17AF">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审查</w:t>
            </w:r>
          </w:p>
          <w:p w14:paraId="1EE20504">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标准</w:t>
            </w:r>
          </w:p>
        </w:tc>
        <w:tc>
          <w:tcPr>
            <w:tcW w:w="1800" w:type="dxa"/>
            <w:tcBorders>
              <w:top w:val="single" w:color="auto" w:sz="4" w:space="0"/>
              <w:left w:val="single" w:color="auto" w:sz="4" w:space="0"/>
              <w:right w:val="single" w:color="auto" w:sz="4" w:space="0"/>
            </w:tcBorders>
            <w:vAlign w:val="center"/>
          </w:tcPr>
          <w:p w14:paraId="4E1B4603">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ascii="宋体" w:hAnsi="宋体" w:eastAsia="宋体" w:cs="宋体"/>
                <w:sz w:val="28"/>
                <w:szCs w:val="28"/>
              </w:rPr>
              <w:t>满足《中华人民共和国政府采购法》第二十二条的规定</w:t>
            </w:r>
          </w:p>
        </w:tc>
        <w:tc>
          <w:tcPr>
            <w:tcW w:w="7105" w:type="dxa"/>
            <w:tcBorders>
              <w:top w:val="single" w:color="auto" w:sz="4" w:space="0"/>
              <w:left w:val="single" w:color="auto" w:sz="4" w:space="0"/>
              <w:right w:val="single" w:color="auto" w:sz="4" w:space="0"/>
            </w:tcBorders>
            <w:vAlign w:val="center"/>
          </w:tcPr>
          <w:p w14:paraId="18EA4677">
            <w:pPr>
              <w:spacing w:line="50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满足《中华人民共和国政府采购法》第二十二条的规定：</w:t>
            </w:r>
          </w:p>
          <w:p w14:paraId="0402AFAC">
            <w:pPr>
              <w:spacing w:line="50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（一）具有独立承担民事责任的能力；</w:t>
            </w:r>
          </w:p>
          <w:p w14:paraId="718DD165">
            <w:pPr>
              <w:spacing w:line="50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（二）具有良好的商业信誉和健全的财务会计制度；</w:t>
            </w:r>
          </w:p>
          <w:p w14:paraId="2D62635F">
            <w:pPr>
              <w:spacing w:line="50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（三）具有履行合同所必需的设备和专业技术能力；</w:t>
            </w:r>
          </w:p>
          <w:p w14:paraId="27BB4271">
            <w:pPr>
              <w:spacing w:line="50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（四）有依法缴纳税收和社会保障资金的良好记录；</w:t>
            </w:r>
          </w:p>
          <w:p w14:paraId="614613A9">
            <w:pPr>
              <w:spacing w:line="50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（五）参加政府采购活动前三年内，在经营活动中没有重大违法记录；</w:t>
            </w:r>
          </w:p>
          <w:p w14:paraId="3395E3DF">
            <w:pPr>
              <w:spacing w:line="50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（六）法律、行政法规规定的其他条件。</w:t>
            </w:r>
          </w:p>
          <w:p w14:paraId="5AA38B0F">
            <w:pPr>
              <w:spacing w:line="500" w:lineRule="exact"/>
              <w:rPr>
                <w:rFonts w:ascii="宋体" w:hAnsi="宋体" w:eastAsia="宋体" w:cs="MingLiU"/>
                <w:color w:val="000000" w:themeColor="text1"/>
                <w:sz w:val="28"/>
                <w:szCs w:val="28"/>
                <w14:textFill>
                  <w14:solidFill>
                    <w14:schemeClr w14:val="tx1"/>
                  </w14:solidFill>
                </w14:textFill>
              </w:rPr>
            </w:pPr>
            <w:r>
              <w:rPr>
                <w:rFonts w:hint="eastAsia" w:ascii="宋体" w:hAnsi="宋体" w:eastAsia="宋体" w:cs="宋体"/>
                <w:sz w:val="28"/>
                <w:szCs w:val="28"/>
                <w:lang w:eastAsia="zh-CN"/>
              </w:rPr>
              <w:t>注：供应商在投标（响应）时，提供相关承诺函，无需提供上述证明材料；采购人有权在签订合同前要求成交供应商提供相关证明材料以核实成交供应商承诺事项的真实性。</w:t>
            </w:r>
          </w:p>
        </w:tc>
      </w:tr>
      <w:tr w14:paraId="4963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3D3BB05D">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0C87BE4A">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right w:val="single" w:color="auto" w:sz="4" w:space="0"/>
            </w:tcBorders>
            <w:vAlign w:val="center"/>
          </w:tcPr>
          <w:p w14:paraId="228ECECC">
            <w:pPr>
              <w:spacing w:line="276"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营业执照</w:t>
            </w:r>
          </w:p>
        </w:tc>
        <w:tc>
          <w:tcPr>
            <w:tcW w:w="7105" w:type="dxa"/>
            <w:tcBorders>
              <w:top w:val="single" w:color="auto" w:sz="4" w:space="0"/>
              <w:left w:val="single" w:color="auto" w:sz="4" w:space="0"/>
              <w:right w:val="single" w:color="auto" w:sz="4" w:space="0"/>
            </w:tcBorders>
            <w:vAlign w:val="center"/>
          </w:tcPr>
          <w:p w14:paraId="02B59F78">
            <w:pPr>
              <w:spacing w:line="500" w:lineRule="exact"/>
              <w:rPr>
                <w:rFonts w:ascii="宋体" w:hAnsi="宋体" w:eastAsia="宋体" w:cs="MingLiU"/>
                <w:color w:val="000000" w:themeColor="text1"/>
                <w:sz w:val="28"/>
                <w:szCs w:val="28"/>
                <w14:textFill>
                  <w14:solidFill>
                    <w14:schemeClr w14:val="tx1"/>
                  </w14:solidFill>
                </w14:textFill>
              </w:rPr>
            </w:pPr>
            <w:r>
              <w:rPr>
                <w:rFonts w:hint="eastAsia"/>
                <w:sz w:val="28"/>
                <w:szCs w:val="28"/>
                <w:lang w:eastAsia="zh-CN"/>
              </w:rPr>
              <w:t>持有效的营业执照副本、税务登记证副本、组织机构代码证（若三证合一的须出具合并后的有效证件）。</w:t>
            </w:r>
          </w:p>
        </w:tc>
      </w:tr>
      <w:tr w14:paraId="67C0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2927439C">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0A552460">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right w:val="single" w:color="auto" w:sz="4" w:space="0"/>
            </w:tcBorders>
            <w:vAlign w:val="center"/>
          </w:tcPr>
          <w:p w14:paraId="651B7DD2">
            <w:pPr>
              <w:spacing w:line="276"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无行贿犯罪记录</w:t>
            </w:r>
          </w:p>
        </w:tc>
        <w:tc>
          <w:tcPr>
            <w:tcW w:w="7105" w:type="dxa"/>
            <w:tcBorders>
              <w:top w:val="single" w:color="auto" w:sz="4" w:space="0"/>
              <w:left w:val="single" w:color="auto" w:sz="4" w:space="0"/>
              <w:right w:val="single" w:color="auto" w:sz="4" w:space="0"/>
            </w:tcBorders>
            <w:vAlign w:val="center"/>
          </w:tcPr>
          <w:p w14:paraId="71FA7E99">
            <w:pPr>
              <w:spacing w:line="500" w:lineRule="exact"/>
              <w:rPr>
                <w:rFonts w:ascii="宋体" w:hAnsi="宋体" w:eastAsia="宋体" w:cs="宋体"/>
                <w:color w:val="000000" w:themeColor="text1"/>
                <w:sz w:val="28"/>
                <w:szCs w:val="28"/>
                <w14:textFill>
                  <w14:solidFill>
                    <w14:schemeClr w14:val="tx1"/>
                  </w14:solidFill>
                </w14:textFill>
              </w:rPr>
            </w:pPr>
            <w:r>
              <w:rPr>
                <w:rFonts w:hint="eastAsia"/>
                <w:sz w:val="28"/>
                <w:szCs w:val="28"/>
                <w:lang w:eastAsia="zh-CN"/>
              </w:rPr>
              <w:t>提供投标人企业、法定代表人无行贿犯罪记录,在中国裁判文书网查询或自行承诺。</w:t>
            </w:r>
          </w:p>
        </w:tc>
      </w:tr>
      <w:tr w14:paraId="5F79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5B55AF92">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0FE932AC">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right w:val="single" w:color="auto" w:sz="4" w:space="0"/>
            </w:tcBorders>
            <w:vAlign w:val="center"/>
          </w:tcPr>
          <w:p w14:paraId="40445772">
            <w:pPr>
              <w:spacing w:line="276" w:lineRule="auto"/>
              <w:jc w:val="center"/>
              <w:rPr>
                <w:rFonts w:ascii="宋体" w:hAnsi="宋体" w:eastAsia="宋体" w:cs="宋体"/>
                <w:sz w:val="28"/>
                <w:szCs w:val="28"/>
              </w:rPr>
            </w:pPr>
            <w:r>
              <w:rPr>
                <w:rFonts w:hint="eastAsia" w:ascii="宋体" w:hAnsi="宋体" w:eastAsia="宋体" w:cs="宋体"/>
                <w:sz w:val="28"/>
                <w:szCs w:val="28"/>
              </w:rPr>
              <w:t>无商业贿赂及无不正当竞争行为</w:t>
            </w:r>
          </w:p>
        </w:tc>
        <w:tc>
          <w:tcPr>
            <w:tcW w:w="7105" w:type="dxa"/>
            <w:tcBorders>
              <w:top w:val="single" w:color="auto" w:sz="4" w:space="0"/>
              <w:left w:val="single" w:color="auto" w:sz="4" w:space="0"/>
              <w:right w:val="single" w:color="auto" w:sz="4" w:space="0"/>
            </w:tcBorders>
            <w:vAlign w:val="center"/>
          </w:tcPr>
          <w:p w14:paraId="4D49FB23">
            <w:pPr>
              <w:spacing w:line="500" w:lineRule="exact"/>
              <w:rPr>
                <w:rFonts w:ascii="宋体" w:hAnsi="宋体" w:eastAsia="宋体" w:cs="宋体"/>
                <w:sz w:val="28"/>
                <w:szCs w:val="28"/>
              </w:rPr>
            </w:pPr>
            <w:r>
              <w:rPr>
                <w:rFonts w:hint="eastAsia"/>
                <w:sz w:val="28"/>
                <w:szCs w:val="28"/>
                <w:lang w:eastAsia="zh-CN"/>
              </w:rPr>
              <w:t>供应商出具无商业贿赂及无不正当竞争行为的承诺书</w:t>
            </w:r>
          </w:p>
        </w:tc>
      </w:tr>
      <w:tr w14:paraId="7AB7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427E970A">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5C4D2F9A">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right w:val="single" w:color="auto" w:sz="4" w:space="0"/>
            </w:tcBorders>
            <w:vAlign w:val="center"/>
          </w:tcPr>
          <w:p w14:paraId="5F94B762">
            <w:pPr>
              <w:spacing w:line="276" w:lineRule="auto"/>
              <w:jc w:val="center"/>
              <w:rPr>
                <w:rFonts w:ascii="宋体" w:hAnsi="宋体" w:eastAsia="宋体" w:cs="宋体"/>
                <w:sz w:val="28"/>
                <w:szCs w:val="28"/>
              </w:rPr>
            </w:pPr>
            <w:r>
              <w:rPr>
                <w:rFonts w:hint="eastAsia" w:ascii="宋体" w:hAnsi="宋体" w:eastAsia="宋体" w:cs="宋体"/>
                <w:sz w:val="28"/>
                <w:szCs w:val="28"/>
              </w:rPr>
              <w:t>信用查询</w:t>
            </w:r>
          </w:p>
        </w:tc>
        <w:tc>
          <w:tcPr>
            <w:tcW w:w="7105" w:type="dxa"/>
            <w:tcBorders>
              <w:top w:val="single" w:color="auto" w:sz="4" w:space="0"/>
              <w:left w:val="single" w:color="auto" w:sz="4" w:space="0"/>
              <w:right w:val="single" w:color="auto" w:sz="4" w:space="0"/>
            </w:tcBorders>
            <w:vAlign w:val="center"/>
          </w:tcPr>
          <w:p w14:paraId="478179AA">
            <w:pPr>
              <w:spacing w:line="500" w:lineRule="exact"/>
              <w:rPr>
                <w:rFonts w:ascii="宋体" w:hAnsi="宋体" w:eastAsia="宋体" w:cs="宋体"/>
                <w:sz w:val="28"/>
                <w:szCs w:val="28"/>
              </w:rPr>
            </w:pPr>
            <w:r>
              <w:rPr>
                <w:rFonts w:hint="eastAsia"/>
                <w:sz w:val="28"/>
                <w:szCs w:val="28"/>
                <w:lang w:eastAsia="zh-CN"/>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1A00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4192F8E1">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65E3043C">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right w:val="single" w:color="auto" w:sz="4" w:space="0"/>
            </w:tcBorders>
            <w:vAlign w:val="center"/>
          </w:tcPr>
          <w:p w14:paraId="108312BD">
            <w:pPr>
              <w:spacing w:line="276"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不接受联合体投标</w:t>
            </w:r>
          </w:p>
        </w:tc>
        <w:tc>
          <w:tcPr>
            <w:tcW w:w="7105" w:type="dxa"/>
            <w:tcBorders>
              <w:top w:val="single" w:color="auto" w:sz="4" w:space="0"/>
              <w:left w:val="single" w:color="auto" w:sz="4" w:space="0"/>
              <w:right w:val="single" w:color="auto" w:sz="4" w:space="0"/>
            </w:tcBorders>
            <w:vAlign w:val="center"/>
          </w:tcPr>
          <w:p w14:paraId="00B02C78">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本项目不接受联合体投标。提供非联合体承诺，格式自拟。</w:t>
            </w:r>
          </w:p>
        </w:tc>
      </w:tr>
      <w:tr w14:paraId="464D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806" w:type="dxa"/>
            <w:gridSpan w:val="4"/>
            <w:tcBorders>
              <w:left w:val="single" w:color="auto" w:sz="4" w:space="0"/>
              <w:right w:val="single" w:color="auto" w:sz="4" w:space="0"/>
            </w:tcBorders>
            <w:vAlign w:val="center"/>
          </w:tcPr>
          <w:p w14:paraId="58316255">
            <w:pPr>
              <w:tabs>
                <w:tab w:val="left" w:pos="1868"/>
              </w:tabs>
              <w:jc w:val="left"/>
              <w:rPr>
                <w:rFonts w:ascii="宋体" w:hAnsi="宋体" w:eastAsia="宋体" w:cs="MingLiU"/>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资格评审以响应文件为准，其上传资料真实性由投标人自行承担，同时，投标人要完善主体库。</w:t>
            </w:r>
          </w:p>
        </w:tc>
      </w:tr>
      <w:tr w14:paraId="48C2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71" w:type="dxa"/>
            <w:vMerge w:val="restart"/>
            <w:tcBorders>
              <w:top w:val="single" w:color="auto" w:sz="4" w:space="0"/>
              <w:left w:val="single" w:color="auto" w:sz="4" w:space="0"/>
              <w:right w:val="single" w:color="auto" w:sz="4" w:space="0"/>
            </w:tcBorders>
            <w:vAlign w:val="center"/>
          </w:tcPr>
          <w:p w14:paraId="5A36500A">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2.1.2</w:t>
            </w:r>
          </w:p>
        </w:tc>
        <w:tc>
          <w:tcPr>
            <w:tcW w:w="930" w:type="dxa"/>
            <w:vMerge w:val="restart"/>
            <w:tcBorders>
              <w:top w:val="single" w:color="auto" w:sz="4" w:space="0"/>
              <w:left w:val="single" w:color="auto" w:sz="4" w:space="0"/>
              <w:right w:val="single" w:color="auto" w:sz="4" w:space="0"/>
            </w:tcBorders>
            <w:vAlign w:val="center"/>
          </w:tcPr>
          <w:p w14:paraId="08773C6F">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符合性</w:t>
            </w:r>
          </w:p>
          <w:p w14:paraId="02CB682A">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审查</w:t>
            </w:r>
          </w:p>
          <w:p w14:paraId="7C13632B">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标准</w:t>
            </w:r>
          </w:p>
        </w:tc>
        <w:tc>
          <w:tcPr>
            <w:tcW w:w="1800" w:type="dxa"/>
            <w:tcBorders>
              <w:top w:val="single" w:color="auto" w:sz="4" w:space="0"/>
              <w:left w:val="single" w:color="auto" w:sz="4" w:space="0"/>
              <w:right w:val="single" w:color="auto" w:sz="4" w:space="0"/>
            </w:tcBorders>
            <w:vAlign w:val="center"/>
          </w:tcPr>
          <w:p w14:paraId="7F6659EE">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sz w:val="28"/>
                <w:szCs w:val="28"/>
              </w:rPr>
              <w:t>交货期</w:t>
            </w:r>
          </w:p>
        </w:tc>
        <w:tc>
          <w:tcPr>
            <w:tcW w:w="7105" w:type="dxa"/>
            <w:tcBorders>
              <w:top w:val="single" w:color="auto" w:sz="4" w:space="0"/>
              <w:left w:val="single" w:color="auto" w:sz="4" w:space="0"/>
              <w:right w:val="single" w:color="auto" w:sz="4" w:space="0"/>
            </w:tcBorders>
            <w:vAlign w:val="center"/>
          </w:tcPr>
          <w:p w14:paraId="6EEB9D5E">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sz w:val="28"/>
                <w:szCs w:val="28"/>
              </w:rPr>
              <w:t>合同签订之日起</w:t>
            </w:r>
            <w:r>
              <w:rPr>
                <w:rFonts w:hint="eastAsia"/>
                <w:sz w:val="28"/>
                <w:szCs w:val="28"/>
                <w:lang w:val="en-US" w:eastAsia="zh-CN"/>
              </w:rPr>
              <w:t>30</w:t>
            </w:r>
            <w:r>
              <w:rPr>
                <w:rFonts w:hint="eastAsia"/>
                <w:sz w:val="28"/>
                <w:szCs w:val="28"/>
              </w:rPr>
              <w:t>日历天内</w:t>
            </w:r>
            <w:r>
              <w:rPr>
                <w:rFonts w:hint="eastAsia"/>
                <w:sz w:val="28"/>
                <w:szCs w:val="28"/>
                <w:lang w:eastAsia="zh-CN"/>
              </w:rPr>
              <w:t>完成</w:t>
            </w:r>
            <w:r>
              <w:rPr>
                <w:rFonts w:hint="eastAsia"/>
                <w:sz w:val="28"/>
                <w:szCs w:val="28"/>
              </w:rPr>
              <w:t>供货安装</w:t>
            </w:r>
          </w:p>
        </w:tc>
      </w:tr>
      <w:tr w14:paraId="25D6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71" w:type="dxa"/>
            <w:vMerge w:val="continue"/>
            <w:tcBorders>
              <w:left w:val="single" w:color="auto" w:sz="4" w:space="0"/>
              <w:right w:val="single" w:color="auto" w:sz="4" w:space="0"/>
            </w:tcBorders>
            <w:vAlign w:val="center"/>
          </w:tcPr>
          <w:p w14:paraId="459141D4">
            <w:pPr>
              <w:rPr>
                <w:rFonts w:ascii="宋体" w:hAnsi="宋体" w:eastAsia="宋体" w:cs="Times New Roman"/>
                <w:color w:val="000000" w:themeColor="text1"/>
                <w:sz w:val="28"/>
                <w:szCs w:val="28"/>
                <w14:textFill>
                  <w14:solidFill>
                    <w14:schemeClr w14:val="tx1"/>
                  </w14:solidFill>
                </w14:textFill>
              </w:rPr>
            </w:pPr>
            <w:bookmarkStart w:id="86" w:name="_GoBack"/>
            <w:bookmarkEnd w:id="86"/>
          </w:p>
        </w:tc>
        <w:tc>
          <w:tcPr>
            <w:tcW w:w="930" w:type="dxa"/>
            <w:vMerge w:val="continue"/>
            <w:tcBorders>
              <w:left w:val="single" w:color="auto" w:sz="4" w:space="0"/>
              <w:right w:val="single" w:color="auto" w:sz="4" w:space="0"/>
            </w:tcBorders>
            <w:vAlign w:val="center"/>
          </w:tcPr>
          <w:p w14:paraId="7534AA89">
            <w:pP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50938C10">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质量要求</w:t>
            </w:r>
          </w:p>
        </w:tc>
        <w:tc>
          <w:tcPr>
            <w:tcW w:w="7105" w:type="dxa"/>
            <w:tcBorders>
              <w:top w:val="single" w:color="auto" w:sz="4" w:space="0"/>
              <w:left w:val="single" w:color="auto" w:sz="4" w:space="0"/>
              <w:bottom w:val="single" w:color="auto" w:sz="4" w:space="0"/>
              <w:right w:val="single" w:color="auto" w:sz="4" w:space="0"/>
            </w:tcBorders>
            <w:vAlign w:val="center"/>
          </w:tcPr>
          <w:p w14:paraId="119C440D">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sz w:val="28"/>
                <w:szCs w:val="28"/>
              </w:rPr>
              <w:t>符合国家及行业现行标准、规范</w:t>
            </w:r>
            <w:r>
              <w:rPr>
                <w:rFonts w:hint="eastAsia"/>
                <w:sz w:val="28"/>
                <w:szCs w:val="28"/>
                <w:lang w:eastAsia="zh-CN"/>
              </w:rPr>
              <w:t>，</w:t>
            </w:r>
            <w:r>
              <w:rPr>
                <w:rFonts w:hint="eastAsia"/>
                <w:sz w:val="28"/>
                <w:szCs w:val="28"/>
              </w:rPr>
              <w:t>达到采购人要求</w:t>
            </w:r>
          </w:p>
        </w:tc>
      </w:tr>
      <w:tr w14:paraId="61EE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71" w:type="dxa"/>
            <w:vMerge w:val="continue"/>
            <w:tcBorders>
              <w:left w:val="single" w:color="auto" w:sz="4" w:space="0"/>
              <w:right w:val="single" w:color="auto" w:sz="4" w:space="0"/>
            </w:tcBorders>
            <w:vAlign w:val="center"/>
          </w:tcPr>
          <w:p w14:paraId="69C284E1">
            <w:pPr>
              <w:rPr>
                <w:rFonts w:ascii="宋体" w:hAnsi="宋体" w:eastAsia="宋体" w:cs="Times New Roman"/>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7742E10F">
            <w:pP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76D968BD">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磋商有效期</w:t>
            </w:r>
          </w:p>
        </w:tc>
        <w:tc>
          <w:tcPr>
            <w:tcW w:w="7105" w:type="dxa"/>
            <w:tcBorders>
              <w:top w:val="single" w:color="auto" w:sz="4" w:space="0"/>
              <w:left w:val="single" w:color="auto" w:sz="4" w:space="0"/>
              <w:bottom w:val="single" w:color="auto" w:sz="4" w:space="0"/>
              <w:right w:val="single" w:color="auto" w:sz="4" w:space="0"/>
            </w:tcBorders>
            <w:vAlign w:val="center"/>
          </w:tcPr>
          <w:p w14:paraId="1E3A90B2">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60日历天(从磋商截止之日算起)</w:t>
            </w:r>
          </w:p>
        </w:tc>
      </w:tr>
      <w:tr w14:paraId="4C55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exact"/>
          <w:jc w:val="center"/>
        </w:trPr>
        <w:tc>
          <w:tcPr>
            <w:tcW w:w="971" w:type="dxa"/>
            <w:vMerge w:val="continue"/>
            <w:tcBorders>
              <w:left w:val="single" w:color="auto" w:sz="4" w:space="0"/>
              <w:right w:val="single" w:color="auto" w:sz="4" w:space="0"/>
            </w:tcBorders>
            <w:vAlign w:val="center"/>
          </w:tcPr>
          <w:p w14:paraId="25D0D9EF">
            <w:pPr>
              <w:rPr>
                <w:rFonts w:ascii="宋体" w:hAnsi="宋体" w:eastAsia="宋体" w:cs="Times New Roman"/>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6E314798">
            <w:pP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77C902FB">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报价</w:t>
            </w:r>
          </w:p>
        </w:tc>
        <w:tc>
          <w:tcPr>
            <w:tcW w:w="7105" w:type="dxa"/>
            <w:tcBorders>
              <w:top w:val="single" w:color="auto" w:sz="4" w:space="0"/>
              <w:left w:val="single" w:color="auto" w:sz="4" w:space="0"/>
              <w:bottom w:val="single" w:color="auto" w:sz="4" w:space="0"/>
              <w:right w:val="single" w:color="auto" w:sz="4" w:space="0"/>
            </w:tcBorders>
            <w:vAlign w:val="center"/>
          </w:tcPr>
          <w:p w14:paraId="38A55947">
            <w:pPr>
              <w:jc w:val="center"/>
              <w:rPr>
                <w:sz w:val="28"/>
                <w:szCs w:val="28"/>
              </w:rPr>
            </w:pPr>
            <w:r>
              <w:rPr>
                <w:rFonts w:hint="eastAsia"/>
                <w:sz w:val="28"/>
                <w:szCs w:val="28"/>
              </w:rPr>
              <w:t>响应人磋商总报价不得高于采购人的预算价，否则其投标将予否决。</w:t>
            </w:r>
          </w:p>
        </w:tc>
      </w:tr>
      <w:tr w14:paraId="0FFB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exact"/>
          <w:jc w:val="center"/>
        </w:trPr>
        <w:tc>
          <w:tcPr>
            <w:tcW w:w="971" w:type="dxa"/>
            <w:vMerge w:val="continue"/>
            <w:tcBorders>
              <w:left w:val="single" w:color="auto" w:sz="4" w:space="0"/>
              <w:bottom w:val="single" w:color="auto" w:sz="4" w:space="0"/>
              <w:right w:val="single" w:color="auto" w:sz="4" w:space="0"/>
            </w:tcBorders>
            <w:vAlign w:val="center"/>
          </w:tcPr>
          <w:p w14:paraId="1AB4BF6A">
            <w:pPr>
              <w:rPr>
                <w:rFonts w:ascii="宋体" w:hAnsi="宋体" w:eastAsia="宋体" w:cs="Times New Roman"/>
                <w:color w:val="000000" w:themeColor="text1"/>
                <w:sz w:val="28"/>
                <w:szCs w:val="28"/>
                <w14:textFill>
                  <w14:solidFill>
                    <w14:schemeClr w14:val="tx1"/>
                  </w14:solidFill>
                </w14:textFill>
              </w:rPr>
            </w:pPr>
          </w:p>
        </w:tc>
        <w:tc>
          <w:tcPr>
            <w:tcW w:w="930" w:type="dxa"/>
            <w:vMerge w:val="continue"/>
            <w:tcBorders>
              <w:left w:val="single" w:color="auto" w:sz="4" w:space="0"/>
              <w:bottom w:val="single" w:color="auto" w:sz="4" w:space="0"/>
              <w:right w:val="single" w:color="auto" w:sz="4" w:space="0"/>
            </w:tcBorders>
            <w:vAlign w:val="center"/>
          </w:tcPr>
          <w:p w14:paraId="01C167F0">
            <w:pP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44675D55">
            <w:pPr>
              <w:spacing w:line="56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投标文件的其他响应</w:t>
            </w:r>
          </w:p>
        </w:tc>
        <w:tc>
          <w:tcPr>
            <w:tcW w:w="7105" w:type="dxa"/>
            <w:tcBorders>
              <w:top w:val="single" w:color="auto" w:sz="4" w:space="0"/>
              <w:left w:val="single" w:color="auto" w:sz="4" w:space="0"/>
              <w:bottom w:val="single" w:color="auto" w:sz="4" w:space="0"/>
              <w:right w:val="single" w:color="auto" w:sz="4" w:space="0"/>
            </w:tcBorders>
            <w:vAlign w:val="center"/>
          </w:tcPr>
          <w:p w14:paraId="429783DE">
            <w:pPr>
              <w:spacing w:line="560" w:lineRule="exact"/>
              <w:rPr>
                <w:sz w:val="28"/>
                <w:szCs w:val="28"/>
              </w:rPr>
            </w:pPr>
            <w:r>
              <w:rPr>
                <w:rFonts w:hint="eastAsia" w:ascii="宋体" w:hAnsi="宋体" w:eastAsia="宋体" w:cs="宋体"/>
                <w:sz w:val="28"/>
                <w:szCs w:val="28"/>
              </w:rPr>
              <w:t>符合法律、法规和招标文件中规定的其他实质性要求</w:t>
            </w:r>
          </w:p>
        </w:tc>
      </w:tr>
    </w:tbl>
    <w:p w14:paraId="2D73F0A9">
      <w:pPr>
        <w:spacing w:line="6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 磋商文件的评审、比较和否决</w:t>
      </w:r>
    </w:p>
    <w:p w14:paraId="267FC6FC">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1.1</w:t>
      </w:r>
      <w:r>
        <w:rPr>
          <w:rFonts w:hint="eastAsia" w:ascii="宋体" w:hAnsi="宋体" w:eastAsia="宋体" w:cs="宋体"/>
          <w:color w:val="000000" w:themeColor="text1"/>
          <w:sz w:val="28"/>
          <w:szCs w:val="28"/>
          <w14:textFill>
            <w14:solidFill>
              <w14:schemeClr w14:val="tx1"/>
            </w14:solidFill>
          </w14:textFill>
        </w:rPr>
        <w:t>磋商小组将按照竞争性磋商文件的规定，仅对在实质上响应竞争性磋商文件要求的响应文件进行评估和比较。</w:t>
      </w:r>
    </w:p>
    <w:p w14:paraId="4D4BEF52">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1.2</w:t>
      </w:r>
      <w:r>
        <w:rPr>
          <w:rFonts w:hint="eastAsia" w:ascii="宋体" w:hAnsi="宋体" w:eastAsia="宋体" w:cs="宋体"/>
          <w:color w:val="000000" w:themeColor="text1"/>
          <w:sz w:val="28"/>
          <w:szCs w:val="28"/>
          <w14:textFill>
            <w14:solidFill>
              <w14:schemeClr w14:val="tx1"/>
            </w14:solidFill>
          </w14:textFill>
        </w:rPr>
        <w:t>根据相关法律法规及有关磋商文件规定，结合本项目具体情况，制定本次采购磋商办法。并按照“公平、公正、科学、择优”的原则进行磋商。采用百分制综合评估法进行评比。</w:t>
      </w:r>
    </w:p>
    <w:p w14:paraId="5FA69EF0">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1.3</w:t>
      </w:r>
      <w:r>
        <w:rPr>
          <w:rFonts w:hint="eastAsia" w:ascii="宋体" w:hAnsi="宋体" w:eastAsia="宋体" w:cs="宋体"/>
          <w:color w:val="000000" w:themeColor="text1"/>
          <w:sz w:val="28"/>
          <w:szCs w:val="28"/>
          <w14:textFill>
            <w14:solidFill>
              <w14:schemeClr w14:val="tx1"/>
            </w14:solidFill>
          </w14:textFill>
        </w:rPr>
        <w:t>在磋商过程中，磋商小组可以以书面形式要求磋商供应商就响应文件中含义不明确的内容进行书面说明并提供相关材料；</w:t>
      </w:r>
      <w:r>
        <w:rPr>
          <w:rFonts w:hint="eastAsia" w:ascii="宋体" w:hAnsi="宋体" w:eastAsia="宋体" w:cs="宋体"/>
          <w:color w:val="000000" w:themeColor="text1"/>
          <w:spacing w:val="-12"/>
          <w:sz w:val="28"/>
          <w:szCs w:val="28"/>
          <w14:textFill>
            <w14:solidFill>
              <w14:schemeClr w14:val="tx1"/>
            </w14:solidFill>
          </w14:textFill>
        </w:rPr>
        <w:t>凡遇到响应文件中无界定或界定不清、前后不一致使评委会成员</w:t>
      </w:r>
      <w:r>
        <w:rPr>
          <w:rFonts w:hint="eastAsia" w:ascii="宋体" w:hAnsi="宋体" w:eastAsia="宋体" w:cs="宋体"/>
          <w:color w:val="000000" w:themeColor="text1"/>
          <w:sz w:val="28"/>
          <w:szCs w:val="28"/>
          <w14:textFill>
            <w14:solidFill>
              <w14:schemeClr w14:val="tx1"/>
            </w14:solidFill>
          </w14:textFill>
        </w:rPr>
        <w:t>意见</w:t>
      </w:r>
      <w:r>
        <w:rPr>
          <w:rFonts w:hint="eastAsia" w:ascii="宋体" w:hAnsi="宋体" w:eastAsia="宋体" w:cs="宋体"/>
          <w:color w:val="000000" w:themeColor="text1"/>
          <w:spacing w:val="-12"/>
          <w:sz w:val="28"/>
          <w:szCs w:val="28"/>
          <w14:textFill>
            <w14:solidFill>
              <w14:schemeClr w14:val="tx1"/>
            </w14:solidFill>
          </w14:textFill>
        </w:rPr>
        <w:t>有分歧且又难于协商一致的问题，均由评委会予以表决，获半数以上同意的即为通过，未获半数同意的即为否决</w:t>
      </w:r>
      <w:r>
        <w:rPr>
          <w:rFonts w:hint="eastAsia" w:ascii="宋体" w:hAnsi="宋体" w:eastAsia="宋体" w:cs="宋体"/>
          <w:color w:val="000000" w:themeColor="text1"/>
          <w:sz w:val="28"/>
          <w:szCs w:val="28"/>
          <w14:textFill>
            <w14:solidFill>
              <w14:schemeClr w14:val="tx1"/>
            </w14:solidFill>
          </w14:textFill>
        </w:rPr>
        <w:t>。</w:t>
      </w:r>
    </w:p>
    <w:p w14:paraId="58F49701">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1.4</w:t>
      </w:r>
      <w:r>
        <w:rPr>
          <w:rFonts w:hint="eastAsia" w:ascii="宋体" w:hAnsi="宋体" w:eastAsia="宋体" w:cs="宋体"/>
          <w:color w:val="000000" w:themeColor="text1"/>
          <w:sz w:val="28"/>
          <w:szCs w:val="28"/>
          <w14:textFill>
            <w14:solidFill>
              <w14:schemeClr w14:val="tx1"/>
            </w14:solidFill>
          </w14:textFill>
        </w:rPr>
        <w:t>磋商时，磋商报价是磋商的重要依据，但不是唯一依据，采购人不承诺将合同授予报价最低或最高的磋商供应商。</w:t>
      </w:r>
    </w:p>
    <w:p w14:paraId="1797FF2B">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磋商小组依据竞争性磋商文件中规定的磋商标准和方法，对响应文件进行评审和比较，向采购人提出书面磋商报告，并推荐合格的成交候选人。采购人根据磋商小组提出的书面磋商报告和推荐的成交候选人按序确定成交人。</w:t>
      </w:r>
    </w:p>
    <w:p w14:paraId="3F1C4990">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 磋商程序</w:t>
      </w:r>
    </w:p>
    <w:p w14:paraId="492E1F1A">
      <w:pPr>
        <w:spacing w:line="600" w:lineRule="exact"/>
        <w:ind w:firstLine="560"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 资格审查</w:t>
      </w:r>
    </w:p>
    <w:p w14:paraId="18B4A5D3">
      <w:pPr>
        <w:spacing w:line="600" w:lineRule="exact"/>
        <w:ind w:firstLine="560"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本项目采用资格后审</w:t>
      </w:r>
    </w:p>
    <w:p w14:paraId="5AC9C94D">
      <w:pPr>
        <w:spacing w:line="6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磋商小组按照竞争性磋商文件供应商资格要求，对磋商供应商的响应文件进行资格和符合性审查，有一项不符合的，按废标处理，符合的进入下一磋商程序。</w:t>
      </w:r>
    </w:p>
    <w:p w14:paraId="60742932">
      <w:pPr>
        <w:spacing w:line="600" w:lineRule="exact"/>
        <w:ind w:firstLine="562" w:firstLineChars="20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3.磋商具体方法和标准</w:t>
      </w:r>
    </w:p>
    <w:p w14:paraId="4DAE8BD3">
      <w:pPr>
        <w:spacing w:line="6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磋商小组根据磋商原则和办法对所有响应文件进行集中审核，分别评价。</w:t>
      </w:r>
    </w:p>
    <w:tbl>
      <w:tblPr>
        <w:tblStyle w:val="18"/>
        <w:tblpPr w:leftFromText="180" w:rightFromText="180" w:vertAnchor="text" w:horzAnchor="margin" w:tblpXSpec="center" w:tblpY="172"/>
        <w:tblW w:w="10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384"/>
        <w:gridCol w:w="877"/>
        <w:gridCol w:w="6716"/>
      </w:tblGrid>
      <w:tr w14:paraId="337E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44" w:type="dxa"/>
            <w:tcBorders>
              <w:top w:val="single" w:color="auto" w:sz="4" w:space="0"/>
              <w:left w:val="single" w:color="auto" w:sz="4" w:space="0"/>
              <w:bottom w:val="single" w:color="auto" w:sz="4" w:space="0"/>
              <w:right w:val="single" w:color="auto" w:sz="4" w:space="0"/>
            </w:tcBorders>
            <w:vAlign w:val="center"/>
          </w:tcPr>
          <w:p w14:paraId="0EBB45C7">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评分因素</w:t>
            </w:r>
          </w:p>
        </w:tc>
        <w:tc>
          <w:tcPr>
            <w:tcW w:w="1384" w:type="dxa"/>
            <w:tcBorders>
              <w:top w:val="single" w:color="auto" w:sz="4" w:space="0"/>
              <w:left w:val="single" w:color="auto" w:sz="4" w:space="0"/>
              <w:bottom w:val="single" w:color="auto" w:sz="4" w:space="0"/>
              <w:right w:val="single" w:color="auto" w:sz="4" w:space="0"/>
            </w:tcBorders>
            <w:vAlign w:val="center"/>
          </w:tcPr>
          <w:p w14:paraId="1701962F">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评分内容</w:t>
            </w:r>
          </w:p>
        </w:tc>
        <w:tc>
          <w:tcPr>
            <w:tcW w:w="877" w:type="dxa"/>
            <w:tcBorders>
              <w:top w:val="single" w:color="auto" w:sz="4" w:space="0"/>
              <w:left w:val="single" w:color="auto" w:sz="4" w:space="0"/>
              <w:bottom w:val="single" w:color="auto" w:sz="4" w:space="0"/>
              <w:right w:val="single" w:color="auto" w:sz="4" w:space="0"/>
            </w:tcBorders>
            <w:vAlign w:val="center"/>
          </w:tcPr>
          <w:p w14:paraId="7965CD33">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分值</w:t>
            </w:r>
          </w:p>
        </w:tc>
        <w:tc>
          <w:tcPr>
            <w:tcW w:w="6716" w:type="dxa"/>
            <w:tcBorders>
              <w:top w:val="single" w:color="auto" w:sz="4" w:space="0"/>
              <w:left w:val="single" w:color="auto" w:sz="4" w:space="0"/>
              <w:bottom w:val="single" w:color="auto" w:sz="4" w:space="0"/>
              <w:right w:val="single" w:color="auto" w:sz="4" w:space="0"/>
            </w:tcBorders>
            <w:vAlign w:val="center"/>
          </w:tcPr>
          <w:p w14:paraId="05B6BBF8">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评分标准</w:t>
            </w:r>
          </w:p>
        </w:tc>
      </w:tr>
      <w:tr w14:paraId="4C9C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4" w:type="dxa"/>
            <w:tcBorders>
              <w:top w:val="single" w:color="auto" w:sz="4" w:space="0"/>
              <w:left w:val="single" w:color="auto" w:sz="4" w:space="0"/>
              <w:bottom w:val="single" w:color="auto" w:sz="4" w:space="0"/>
              <w:right w:val="single" w:color="auto" w:sz="4" w:space="0"/>
            </w:tcBorders>
            <w:vAlign w:val="center"/>
          </w:tcPr>
          <w:p w14:paraId="5330D1C5">
            <w:pPr>
              <w:spacing w:before="156"/>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报价</w:t>
            </w:r>
          </w:p>
          <w:p w14:paraId="79C80509">
            <w:pPr>
              <w:spacing w:before="156"/>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（30）分</w:t>
            </w:r>
          </w:p>
        </w:tc>
        <w:tc>
          <w:tcPr>
            <w:tcW w:w="1384" w:type="dxa"/>
            <w:tcBorders>
              <w:top w:val="single" w:color="auto" w:sz="4" w:space="0"/>
              <w:left w:val="single" w:color="auto" w:sz="4" w:space="0"/>
              <w:bottom w:val="single" w:color="auto" w:sz="4" w:space="0"/>
              <w:right w:val="single" w:color="auto" w:sz="4" w:space="0"/>
            </w:tcBorders>
            <w:vAlign w:val="center"/>
          </w:tcPr>
          <w:p w14:paraId="3EB8AFBD">
            <w:pPr>
              <w:spacing w:before="156"/>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报价分</w:t>
            </w:r>
          </w:p>
        </w:tc>
        <w:tc>
          <w:tcPr>
            <w:tcW w:w="877" w:type="dxa"/>
            <w:tcBorders>
              <w:top w:val="single" w:color="auto" w:sz="4" w:space="0"/>
              <w:left w:val="single" w:color="auto" w:sz="4" w:space="0"/>
              <w:bottom w:val="single" w:color="auto" w:sz="4" w:space="0"/>
              <w:right w:val="single" w:color="auto" w:sz="4" w:space="0"/>
            </w:tcBorders>
            <w:vAlign w:val="center"/>
          </w:tcPr>
          <w:p w14:paraId="35E3B234">
            <w:pPr>
              <w:spacing w:before="156"/>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30</w:t>
            </w:r>
          </w:p>
        </w:tc>
        <w:tc>
          <w:tcPr>
            <w:tcW w:w="6716" w:type="dxa"/>
            <w:tcBorders>
              <w:top w:val="single" w:color="auto" w:sz="4" w:space="0"/>
              <w:left w:val="single" w:color="auto" w:sz="4" w:space="0"/>
              <w:bottom w:val="single" w:color="auto" w:sz="4" w:space="0"/>
              <w:right w:val="single" w:color="auto" w:sz="4" w:space="0"/>
            </w:tcBorders>
            <w:vAlign w:val="center"/>
          </w:tcPr>
          <w:p w14:paraId="0501CE3D">
            <w:pPr>
              <w:spacing w:line="560" w:lineRule="exac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（1）本项目磋商价超出控制价的，采购人不予接受，且报价无效；</w:t>
            </w:r>
          </w:p>
          <w:p w14:paraId="26D5F24D">
            <w:pPr>
              <w:spacing w:line="560" w:lineRule="exac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（2）有效报价计算得分：</w:t>
            </w:r>
          </w:p>
          <w:p w14:paraId="0DB12535">
            <w:pPr>
              <w:spacing w:line="560" w:lineRule="exac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在有效报价范围内，即技术参数满足磋商文件要求且报价最低的报价为报价基准价，其价格分为满分30分，其他响应供应商的报价分统一按照下列公式计算：报价得分=（磋商基准价/最后磋商报价）×30；</w:t>
            </w:r>
          </w:p>
          <w:p w14:paraId="20492E02">
            <w:pPr>
              <w:spacing w:line="560" w:lineRule="exac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29DD3CF">
            <w:pPr>
              <w:spacing w:line="560" w:lineRule="exact"/>
              <w:rPr>
                <w:rFonts w:ascii="宋体" w:hAnsi="宋体" w:eastAsia="宋体" w:cs="Times New Roman"/>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注：价格扣除：供应商根据《政府采购促进中小企业发展 管理办法》（财库[2020]46号）、财政部司法部《关于政府采购支持监狱企业发展有关问题的通知》（财库〔2014〕68 号）和财政部民政部中国残疾人联合会《关于促进残疾人就业政府采购政策的通知》（财库〔2017〕141 号）规定，本项目对小微企业、监狱企业、残疾人福利性企业作为供应商所提供的本企业生产的产品的价格给予20%的扣除。同一供应商（包括联合体），小微企业、监狱、残疾人福利性企业同一产品价格扣除优惠只享受一次，不得重复享受。</w:t>
            </w:r>
          </w:p>
        </w:tc>
      </w:tr>
      <w:tr w14:paraId="4CBF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4" w:type="dxa"/>
            <w:vMerge w:val="restart"/>
            <w:tcBorders>
              <w:top w:val="single" w:color="auto" w:sz="4" w:space="0"/>
              <w:left w:val="single" w:color="auto" w:sz="4" w:space="0"/>
              <w:right w:val="single" w:color="auto" w:sz="4" w:space="0"/>
            </w:tcBorders>
            <w:vAlign w:val="center"/>
          </w:tcPr>
          <w:p w14:paraId="12F84CDE">
            <w:pPr>
              <w:spacing w:before="156"/>
              <w:jc w:val="center"/>
              <w:rPr>
                <w:rFonts w:ascii="宋体" w:hAnsi="宋体" w:eastAsia="宋体" w:cs="Times New Roman"/>
                <w:b/>
                <w:bCs/>
                <w:color w:val="000000" w:themeColor="text1"/>
                <w:sz w:val="28"/>
                <w:szCs w:val="28"/>
                <w14:textFill>
                  <w14:solidFill>
                    <w14:schemeClr w14:val="tx1"/>
                  </w14:solidFill>
                </w14:textFill>
              </w:rPr>
            </w:pPr>
          </w:p>
          <w:p w14:paraId="5266C662">
            <w:pPr>
              <w:spacing w:before="156"/>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技术部分</w:t>
            </w:r>
            <w:r>
              <w:rPr>
                <w:rFonts w:hint="eastAsia" w:ascii="宋体" w:hAnsi="宋体" w:eastAsia="宋体" w:cs="Times New Roman"/>
                <w:b/>
                <w:color w:val="000000" w:themeColor="text1"/>
                <w:sz w:val="28"/>
                <w:szCs w:val="28"/>
                <w14:textFill>
                  <w14:solidFill>
                    <w14:schemeClr w14:val="tx1"/>
                  </w14:solidFill>
                </w14:textFill>
              </w:rPr>
              <w:t>（</w:t>
            </w:r>
            <w:r>
              <w:rPr>
                <w:rFonts w:hint="eastAsia" w:ascii="宋体" w:hAnsi="宋体" w:eastAsia="宋体" w:cs="Times New Roman"/>
                <w:b/>
                <w:color w:val="000000" w:themeColor="text1"/>
                <w:sz w:val="28"/>
                <w:szCs w:val="28"/>
                <w:lang w:val="en-US" w:eastAsia="zh-CN"/>
                <w14:textFill>
                  <w14:solidFill>
                    <w14:schemeClr w14:val="tx1"/>
                  </w14:solidFill>
                </w14:textFill>
              </w:rPr>
              <w:t>50</w:t>
            </w:r>
            <w:r>
              <w:rPr>
                <w:rFonts w:ascii="宋体" w:hAnsi="宋体" w:eastAsia="宋体" w:cs="Times New Roman"/>
                <w:b/>
                <w:color w:val="000000" w:themeColor="text1"/>
                <w:sz w:val="28"/>
                <w:szCs w:val="28"/>
                <w14:textFill>
                  <w14:solidFill>
                    <w14:schemeClr w14:val="tx1"/>
                  </w14:solidFill>
                </w14:textFill>
              </w:rPr>
              <w:t>）</w:t>
            </w:r>
            <w:r>
              <w:rPr>
                <w:rFonts w:hint="eastAsia" w:ascii="宋体" w:hAnsi="宋体" w:eastAsia="宋体" w:cs="Times New Roman"/>
                <w:b/>
                <w:color w:val="000000" w:themeColor="text1"/>
                <w:sz w:val="28"/>
                <w:szCs w:val="28"/>
                <w14:textFill>
                  <w14:solidFill>
                    <w14:schemeClr w14:val="tx1"/>
                  </w14:solidFill>
                </w14:textFill>
              </w:rPr>
              <w:t>分</w:t>
            </w:r>
          </w:p>
        </w:tc>
        <w:tc>
          <w:tcPr>
            <w:tcW w:w="1384" w:type="dxa"/>
            <w:tcBorders>
              <w:top w:val="single" w:color="auto" w:sz="4" w:space="0"/>
              <w:left w:val="single" w:color="auto" w:sz="4" w:space="0"/>
              <w:right w:val="single" w:color="auto" w:sz="4" w:space="0"/>
            </w:tcBorders>
            <w:vAlign w:val="center"/>
          </w:tcPr>
          <w:p w14:paraId="2000D63C">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宋体" w:hAnsi="宋体" w:eastAsia="宋体" w:cs="宋体"/>
                <w:sz w:val="28"/>
                <w:szCs w:val="28"/>
              </w:rPr>
              <w:t>对技术参数的响应程度</w:t>
            </w:r>
          </w:p>
        </w:tc>
        <w:tc>
          <w:tcPr>
            <w:tcW w:w="877" w:type="dxa"/>
            <w:tcBorders>
              <w:top w:val="single" w:color="auto" w:sz="4" w:space="0"/>
              <w:left w:val="single" w:color="auto" w:sz="4" w:space="0"/>
              <w:bottom w:val="single" w:color="auto" w:sz="4" w:space="0"/>
              <w:right w:val="single" w:color="auto" w:sz="4" w:space="0"/>
            </w:tcBorders>
            <w:vAlign w:val="center"/>
          </w:tcPr>
          <w:p w14:paraId="69699BDD">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30</w:t>
            </w:r>
            <w:r>
              <w:rPr>
                <w:rFonts w:hint="eastAsia" w:asciiTheme="minorEastAsia" w:hAnsiTheme="minorEastAsia" w:cstheme="minorEastAsia"/>
                <w:color w:val="000000" w:themeColor="text1"/>
                <w:sz w:val="28"/>
                <w:szCs w:val="28"/>
                <w14:textFill>
                  <w14:solidFill>
                    <w14:schemeClr w14:val="tx1"/>
                  </w14:solidFill>
                </w14:textFill>
              </w:rPr>
              <w:t>分</w:t>
            </w:r>
          </w:p>
        </w:tc>
        <w:tc>
          <w:tcPr>
            <w:tcW w:w="6716" w:type="dxa"/>
            <w:tcBorders>
              <w:top w:val="single" w:color="auto" w:sz="4" w:space="0"/>
              <w:left w:val="single" w:color="auto" w:sz="4" w:space="0"/>
              <w:bottom w:val="single" w:color="auto" w:sz="4" w:space="0"/>
              <w:right w:val="single" w:color="auto" w:sz="4" w:space="0"/>
            </w:tcBorders>
            <w:vAlign w:val="center"/>
          </w:tcPr>
          <w:p w14:paraId="4DA80439">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所投产品的技术参数能够全部满足磋商文件要求的,得基础分30分；所投核心产品“交互智能平板”技术参数“1-23项”需提供有效检测报告（未提供视为不满足相应参数）,一项不满足扣2分，其他参数一项不满足扣1分，分数扣完为止。</w:t>
            </w:r>
          </w:p>
          <w:p w14:paraId="2DC36DA3">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以上有效检测报告须是国家权威检测机构出具的带有 CNAS和CMA 标志的检测报告复印件或扫描件且加盖生产厂家印章。</w:t>
            </w:r>
          </w:p>
        </w:tc>
      </w:tr>
      <w:tr w14:paraId="252F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44" w:type="dxa"/>
            <w:vMerge w:val="continue"/>
            <w:tcBorders>
              <w:left w:val="single" w:color="auto" w:sz="4" w:space="0"/>
              <w:right w:val="single" w:color="auto" w:sz="4" w:space="0"/>
            </w:tcBorders>
            <w:vAlign w:val="center"/>
          </w:tcPr>
          <w:p w14:paraId="1BFD8353">
            <w:pPr>
              <w:spacing w:before="156"/>
              <w:jc w:val="center"/>
              <w:rPr>
                <w:rFonts w:ascii="宋体" w:hAnsi="宋体" w:eastAsia="宋体" w:cs="Times New Roman"/>
                <w:b/>
                <w:bCs/>
                <w:color w:val="000000" w:themeColor="text1"/>
                <w:sz w:val="28"/>
                <w:szCs w:val="28"/>
                <w14:textFill>
                  <w14:solidFill>
                    <w14:schemeClr w14:val="tx1"/>
                  </w14:solidFill>
                </w14:textFill>
              </w:rPr>
            </w:pPr>
          </w:p>
        </w:tc>
        <w:tc>
          <w:tcPr>
            <w:tcW w:w="1384" w:type="dxa"/>
            <w:tcBorders>
              <w:top w:val="single" w:color="auto" w:sz="4" w:space="0"/>
              <w:left w:val="single" w:color="auto" w:sz="4" w:space="0"/>
              <w:right w:val="single" w:color="auto" w:sz="4" w:space="0"/>
            </w:tcBorders>
            <w:vAlign w:val="center"/>
          </w:tcPr>
          <w:p w14:paraId="64764612">
            <w:pPr>
              <w:spacing w:line="520" w:lineRule="exact"/>
              <w:rPr>
                <w:rFonts w:hint="eastAsia" w:ascii="宋体" w:hAnsi="宋体" w:eastAsia="宋体" w:cs="宋体"/>
                <w:sz w:val="28"/>
                <w:szCs w:val="28"/>
              </w:rPr>
            </w:pPr>
            <w:r>
              <w:rPr>
                <w:rFonts w:hint="eastAsia" w:ascii="宋体" w:hAnsi="宋体" w:eastAsia="宋体" w:cs="宋体"/>
                <w:sz w:val="28"/>
                <w:szCs w:val="28"/>
                <w:lang w:eastAsia="zh-CN"/>
              </w:rPr>
              <w:t>实施</w:t>
            </w:r>
            <w:r>
              <w:rPr>
                <w:rFonts w:hint="eastAsia" w:ascii="宋体" w:hAnsi="宋体" w:eastAsia="宋体" w:cs="宋体"/>
                <w:sz w:val="28"/>
                <w:szCs w:val="28"/>
              </w:rPr>
              <w:t>方案</w:t>
            </w:r>
          </w:p>
        </w:tc>
        <w:tc>
          <w:tcPr>
            <w:tcW w:w="877" w:type="dxa"/>
            <w:tcBorders>
              <w:top w:val="single" w:color="auto" w:sz="4" w:space="0"/>
              <w:left w:val="single" w:color="auto" w:sz="4" w:space="0"/>
              <w:bottom w:val="single" w:color="auto" w:sz="4" w:space="0"/>
              <w:right w:val="single" w:color="auto" w:sz="4" w:space="0"/>
            </w:tcBorders>
            <w:vAlign w:val="center"/>
          </w:tcPr>
          <w:p w14:paraId="58445AC8">
            <w:pPr>
              <w:spacing w:line="520" w:lineRule="exac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5分</w:t>
            </w:r>
          </w:p>
        </w:tc>
        <w:tc>
          <w:tcPr>
            <w:tcW w:w="6716" w:type="dxa"/>
            <w:tcBorders>
              <w:top w:val="single" w:color="auto" w:sz="4" w:space="0"/>
              <w:left w:val="single" w:color="auto" w:sz="4" w:space="0"/>
              <w:bottom w:val="single" w:color="auto" w:sz="4" w:space="0"/>
              <w:right w:val="single" w:color="auto" w:sz="4" w:space="0"/>
            </w:tcBorders>
            <w:vAlign w:val="center"/>
          </w:tcPr>
          <w:p w14:paraId="6BBB9AB0">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一、本项目质量保障措施（5分） </w:t>
            </w:r>
          </w:p>
          <w:p w14:paraId="07560014">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1.针对本项目的质量控制措施详实、科学、合理，成品提交措施得力、考虑周全的，得5分；</w:t>
            </w:r>
          </w:p>
          <w:p w14:paraId="2AB83CAE">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2.针对本项目的质量控制措施基本完整、科学、合理，成品提交措施得力的，得3分； </w:t>
            </w:r>
          </w:p>
          <w:p w14:paraId="1B6D84DD">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3.针对本项目的质量控制措施不太全面、合理，成品提交措施不得力的，得1分； </w:t>
            </w:r>
          </w:p>
          <w:p w14:paraId="1B66CB38">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4.不提供不得分。</w:t>
            </w:r>
          </w:p>
          <w:p w14:paraId="34FB7C43">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二、本项目安装技术及人员配备服务措施（5分） </w:t>
            </w:r>
          </w:p>
          <w:p w14:paraId="1172C482">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1.内容详实，方案科学、合理、全面，考虑周全，措施到位，针对性强，得5分； </w:t>
            </w:r>
          </w:p>
          <w:p w14:paraId="5AF0FEEA">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2.内容完整，方案基本科学、合理、全面，考虑基本周全，措施基本到位，针对性较强，但有个别细节需要进一步完善或提高，得3分； </w:t>
            </w:r>
          </w:p>
          <w:p w14:paraId="0345F029">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3.内容基本完整，方案在科学、合理、全面性方面一般，考虑不周，措施不够到位，针对性不强，但有很多方面需要进一步完善甚至重新考虑，得1分； </w:t>
            </w:r>
          </w:p>
          <w:p w14:paraId="0854F03B">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4.不提供不得分。</w:t>
            </w:r>
          </w:p>
          <w:p w14:paraId="35DB382F">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三、本项目组织管理措施（5分） </w:t>
            </w:r>
          </w:p>
          <w:p w14:paraId="114CA7B0">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1.针对本项目的组织管理架构科学、合理，措施得力，配备人员专业齐全、合理的，得5分； </w:t>
            </w:r>
          </w:p>
          <w:p w14:paraId="70E521AB">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2.针对本项目的组织管理架构基本科学、合理，措施基本完整，配备人员专业基本齐全、合理的得3分； </w:t>
            </w:r>
          </w:p>
          <w:p w14:paraId="0384BBFA">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3.针对本项目的组织管理架构不科学、不合理，措施不太完整，针对性不强，配备人员专业不齐全的，得1分。 </w:t>
            </w:r>
          </w:p>
          <w:p w14:paraId="76B1F6B8">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4.不提供不得分。</w:t>
            </w:r>
          </w:p>
        </w:tc>
      </w:tr>
      <w:tr w14:paraId="2195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44" w:type="dxa"/>
            <w:vMerge w:val="continue"/>
            <w:tcBorders>
              <w:left w:val="single" w:color="auto" w:sz="4" w:space="0"/>
              <w:right w:val="single" w:color="auto" w:sz="4" w:space="0"/>
            </w:tcBorders>
            <w:vAlign w:val="center"/>
          </w:tcPr>
          <w:p w14:paraId="454E1C82">
            <w:pPr>
              <w:spacing w:before="156"/>
              <w:jc w:val="center"/>
              <w:rPr>
                <w:rFonts w:ascii="宋体" w:hAnsi="宋体" w:eastAsia="宋体" w:cs="Times New Roman"/>
                <w:b/>
                <w:bCs/>
                <w:color w:val="000000" w:themeColor="text1"/>
                <w:sz w:val="28"/>
                <w:szCs w:val="28"/>
                <w14:textFill>
                  <w14:solidFill>
                    <w14:schemeClr w14:val="tx1"/>
                  </w14:solidFill>
                </w14:textFill>
              </w:rPr>
            </w:pPr>
          </w:p>
        </w:tc>
        <w:tc>
          <w:tcPr>
            <w:tcW w:w="1384" w:type="dxa"/>
            <w:tcBorders>
              <w:top w:val="single" w:color="auto" w:sz="4" w:space="0"/>
              <w:left w:val="single" w:color="auto" w:sz="4" w:space="0"/>
              <w:right w:val="single" w:color="auto" w:sz="4" w:space="0"/>
            </w:tcBorders>
            <w:vAlign w:val="center"/>
          </w:tcPr>
          <w:p w14:paraId="01FCDE22">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项目进度计划与措施 </w:t>
            </w:r>
          </w:p>
        </w:tc>
        <w:tc>
          <w:tcPr>
            <w:tcW w:w="877" w:type="dxa"/>
            <w:tcBorders>
              <w:top w:val="single" w:color="auto" w:sz="4" w:space="0"/>
              <w:left w:val="single" w:color="auto" w:sz="4" w:space="0"/>
              <w:bottom w:val="single" w:color="auto" w:sz="4" w:space="0"/>
              <w:right w:val="single" w:color="auto" w:sz="4" w:space="0"/>
            </w:tcBorders>
            <w:vAlign w:val="center"/>
          </w:tcPr>
          <w:p w14:paraId="62C5DCEA">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5分</w:t>
            </w:r>
          </w:p>
        </w:tc>
        <w:tc>
          <w:tcPr>
            <w:tcW w:w="6716" w:type="dxa"/>
            <w:tcBorders>
              <w:top w:val="single" w:color="auto" w:sz="4" w:space="0"/>
              <w:left w:val="single" w:color="auto" w:sz="4" w:space="0"/>
              <w:bottom w:val="single" w:color="auto" w:sz="4" w:space="0"/>
              <w:right w:val="single" w:color="auto" w:sz="4" w:space="0"/>
            </w:tcBorders>
            <w:vAlign w:val="center"/>
          </w:tcPr>
          <w:p w14:paraId="5938C970">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针对本项目各阶段进度计划时间节的工作安排合理，货物组织控制措施具体明确的得5分； </w:t>
            </w:r>
          </w:p>
          <w:p w14:paraId="58C578F1">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工作安排基本合理，措施基本明确的得3分； </w:t>
            </w:r>
          </w:p>
          <w:p w14:paraId="35B99D9E">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工作安排不太合理，措施不充分，内容不明确的得1分； </w:t>
            </w:r>
          </w:p>
          <w:p w14:paraId="512FF943">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不提供者不得分。</w:t>
            </w:r>
          </w:p>
        </w:tc>
      </w:tr>
      <w:tr w14:paraId="43B3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444" w:type="dxa"/>
            <w:vMerge w:val="restart"/>
            <w:tcBorders>
              <w:top w:val="single" w:color="auto" w:sz="4" w:space="0"/>
              <w:left w:val="single" w:color="auto" w:sz="4" w:space="0"/>
              <w:right w:val="single" w:color="auto" w:sz="4" w:space="0"/>
            </w:tcBorders>
            <w:vAlign w:val="center"/>
          </w:tcPr>
          <w:p w14:paraId="628C6679">
            <w:pPr>
              <w:spacing w:before="156"/>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商务部分（</w:t>
            </w:r>
            <w:r>
              <w:rPr>
                <w:rFonts w:hint="eastAsia" w:ascii="宋体" w:hAnsi="宋体" w:eastAsia="宋体" w:cs="Times New Roman"/>
                <w:b/>
                <w:color w:val="000000" w:themeColor="text1"/>
                <w:sz w:val="28"/>
                <w:szCs w:val="28"/>
                <w:lang w:val="en-US" w:eastAsia="zh-CN"/>
                <w14:textFill>
                  <w14:solidFill>
                    <w14:schemeClr w14:val="tx1"/>
                  </w14:solidFill>
                </w14:textFill>
              </w:rPr>
              <w:t>20</w:t>
            </w:r>
            <w:r>
              <w:rPr>
                <w:rFonts w:hint="eastAsia" w:ascii="宋体" w:hAnsi="宋体" w:eastAsia="宋体" w:cs="Times New Roman"/>
                <w:b/>
                <w:color w:val="000000" w:themeColor="text1"/>
                <w:sz w:val="28"/>
                <w:szCs w:val="28"/>
                <w14:textFill>
                  <w14:solidFill>
                    <w14:schemeClr w14:val="tx1"/>
                  </w14:solidFill>
                </w14:textFill>
              </w:rPr>
              <w:t>分）</w:t>
            </w:r>
          </w:p>
        </w:tc>
        <w:tc>
          <w:tcPr>
            <w:tcW w:w="1384" w:type="dxa"/>
            <w:tcBorders>
              <w:top w:val="single" w:color="auto" w:sz="4" w:space="0"/>
              <w:left w:val="single" w:color="auto" w:sz="4" w:space="0"/>
              <w:bottom w:val="single" w:color="auto" w:sz="4" w:space="0"/>
              <w:right w:val="single" w:color="auto" w:sz="4" w:space="0"/>
            </w:tcBorders>
            <w:vAlign w:val="center"/>
          </w:tcPr>
          <w:p w14:paraId="00B40CBC">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产品实力  </w:t>
            </w:r>
          </w:p>
        </w:tc>
        <w:tc>
          <w:tcPr>
            <w:tcW w:w="877" w:type="dxa"/>
            <w:tcBorders>
              <w:top w:val="single" w:color="auto" w:sz="4" w:space="0"/>
              <w:left w:val="single" w:color="auto" w:sz="4" w:space="0"/>
              <w:bottom w:val="single" w:color="auto" w:sz="4" w:space="0"/>
              <w:right w:val="single" w:color="auto" w:sz="4" w:space="0"/>
            </w:tcBorders>
            <w:vAlign w:val="center"/>
          </w:tcPr>
          <w:p w14:paraId="0CDA664F">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11分</w:t>
            </w:r>
          </w:p>
        </w:tc>
        <w:tc>
          <w:tcPr>
            <w:tcW w:w="6716" w:type="dxa"/>
            <w:tcBorders>
              <w:top w:val="single" w:color="auto" w:sz="4" w:space="0"/>
              <w:left w:val="single" w:color="auto" w:sz="4" w:space="0"/>
              <w:bottom w:val="single" w:color="auto" w:sz="4" w:space="0"/>
              <w:right w:val="single" w:color="auto" w:sz="4" w:space="0"/>
            </w:tcBorders>
            <w:vAlign w:val="center"/>
          </w:tcPr>
          <w:p w14:paraId="37E7DCD9">
            <w:pPr>
              <w:spacing w:line="520" w:lineRule="exact"/>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w:t>
            </w:r>
            <w:r>
              <w:rPr>
                <w:rFonts w:hint="eastAsia" w:ascii="宋体" w:hAnsi="宋体" w:eastAsia="宋体" w:cs="宋体"/>
                <w:sz w:val="28"/>
                <w:szCs w:val="28"/>
                <w:lang w:val="en-US" w:eastAsia="zh-CN"/>
              </w:rPr>
              <w:t>所投益智区乐思维符合GB6675-2014标准质量检测报告，提供1份得1分。</w:t>
            </w:r>
          </w:p>
          <w:p w14:paraId="18101D36">
            <w:pPr>
              <w:spacing w:line="520" w:lineRule="exact"/>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w:t>
            </w:r>
            <w:r>
              <w:rPr>
                <w:rFonts w:hint="eastAsia" w:ascii="宋体" w:hAnsi="宋体" w:eastAsia="宋体" w:cs="宋体"/>
                <w:sz w:val="28"/>
                <w:szCs w:val="28"/>
                <w:lang w:val="en-US" w:eastAsia="zh-CN"/>
              </w:rPr>
              <w:t>所投益智区产品入编国家教育部教育发展与研究中心《幼儿园装备采购目录》证明得2分。注：提供制造商证明并加盖其公章，否则得0分。</w:t>
            </w:r>
          </w:p>
          <w:p w14:paraId="067C75F8">
            <w:pPr>
              <w:spacing w:line="520" w:lineRule="exact"/>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3、</w:t>
            </w:r>
            <w:r>
              <w:rPr>
                <w:rFonts w:hint="eastAsia" w:ascii="宋体" w:hAnsi="宋体" w:eastAsia="宋体" w:cs="宋体"/>
                <w:sz w:val="28"/>
                <w:szCs w:val="28"/>
                <w:lang w:val="en-US" w:eastAsia="zh-CN"/>
              </w:rPr>
              <w:t>所投爱跑酷系列提供符合网布材料类检测要求的提供检测报告得2分。</w:t>
            </w:r>
          </w:p>
          <w:p w14:paraId="343B2786">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4、所投交互智能平板制造商，获得SPCA软件过程及能力成熟度五级认证，提供证明文件复印件并加盖制造商公章，得2分。</w:t>
            </w:r>
          </w:p>
          <w:p w14:paraId="7F16D486">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5、所投交互智能平板制造商，获得CCRC信息安全服务资质安全应急处理三级认证，提供证明文件复印件并加盖制造商公章，得2分。</w:t>
            </w:r>
          </w:p>
          <w:p w14:paraId="5DC9CDDE">
            <w:pPr>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6、所投交互智能平板制造商，获得CCRC信息系统安全运维服务资质三级认证，提供证明文件复印件并加盖制造商公章，得2分。</w:t>
            </w:r>
          </w:p>
        </w:tc>
      </w:tr>
      <w:tr w14:paraId="6B23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1444" w:type="dxa"/>
            <w:vMerge w:val="continue"/>
            <w:tcBorders>
              <w:left w:val="single" w:color="auto" w:sz="4" w:space="0"/>
              <w:right w:val="single" w:color="auto" w:sz="4" w:space="0"/>
            </w:tcBorders>
            <w:vAlign w:val="center"/>
          </w:tcPr>
          <w:p w14:paraId="29242365">
            <w:pPr>
              <w:spacing w:before="156"/>
              <w:jc w:val="center"/>
              <w:rPr>
                <w:rFonts w:hint="eastAsia" w:ascii="宋体" w:hAnsi="宋体" w:eastAsia="宋体" w:cs="Times New Roman"/>
                <w:b/>
                <w:color w:val="000000" w:themeColor="text1"/>
                <w:sz w:val="28"/>
                <w:szCs w:val="28"/>
                <w14:textFill>
                  <w14:solidFill>
                    <w14:schemeClr w14:val="tx1"/>
                  </w14:solidFill>
                </w14:textFill>
              </w:rPr>
            </w:pPr>
          </w:p>
        </w:tc>
        <w:tc>
          <w:tcPr>
            <w:tcW w:w="1384" w:type="dxa"/>
            <w:tcBorders>
              <w:top w:val="single" w:color="auto" w:sz="4" w:space="0"/>
              <w:left w:val="single" w:color="auto" w:sz="4" w:space="0"/>
              <w:bottom w:val="single" w:color="auto" w:sz="4" w:space="0"/>
              <w:right w:val="single" w:color="auto" w:sz="4" w:space="0"/>
            </w:tcBorders>
            <w:vAlign w:val="center"/>
          </w:tcPr>
          <w:p w14:paraId="1729116E">
            <w:pPr>
              <w:spacing w:line="520" w:lineRule="exact"/>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售后服务</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宋体" w:hAnsi="宋体"/>
                <w:sz w:val="24"/>
                <w:lang w:val="en-US" w:eastAsia="zh-CN"/>
              </w:rPr>
              <w:t xml:space="preserve"> </w:t>
            </w:r>
          </w:p>
        </w:tc>
        <w:tc>
          <w:tcPr>
            <w:tcW w:w="877" w:type="dxa"/>
            <w:tcBorders>
              <w:top w:val="single" w:color="auto" w:sz="4" w:space="0"/>
              <w:left w:val="single" w:color="auto" w:sz="4" w:space="0"/>
              <w:bottom w:val="single" w:color="auto" w:sz="4" w:space="0"/>
              <w:right w:val="single" w:color="auto" w:sz="4" w:space="0"/>
            </w:tcBorders>
            <w:vAlign w:val="center"/>
          </w:tcPr>
          <w:p w14:paraId="1E5D0BD3">
            <w:pPr>
              <w:spacing w:line="520" w:lineRule="exact"/>
              <w:jc w:val="center"/>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9分</w:t>
            </w:r>
          </w:p>
        </w:tc>
        <w:tc>
          <w:tcPr>
            <w:tcW w:w="6716" w:type="dxa"/>
            <w:tcBorders>
              <w:top w:val="single" w:color="auto" w:sz="4" w:space="0"/>
              <w:left w:val="single" w:color="auto" w:sz="4" w:space="0"/>
              <w:bottom w:val="single" w:color="auto" w:sz="4" w:space="0"/>
              <w:right w:val="single" w:color="auto" w:sz="4" w:space="0"/>
            </w:tcBorders>
            <w:vAlign w:val="center"/>
          </w:tcPr>
          <w:p w14:paraId="42EF4C87">
            <w:pPr>
              <w:pStyle w:val="48"/>
              <w:numPr>
                <w:ilvl w:val="0"/>
                <w:numId w:val="3"/>
              </w:numPr>
              <w:spacing w:after="0" w:line="360" w:lineRule="auto"/>
              <w:ind w:firstLine="0" w:firstLineChars="0"/>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从售后</w:t>
            </w:r>
            <w:r>
              <w:rPr>
                <w:rFonts w:hint="eastAsia" w:ascii="宋体" w:hAnsi="宋体" w:eastAsia="宋体" w:cs="宋体"/>
                <w:kern w:val="2"/>
                <w:sz w:val="28"/>
                <w:szCs w:val="28"/>
                <w:lang w:val="en-US" w:eastAsia="zh-CN" w:bidi="ar-SA"/>
              </w:rPr>
              <w:t>服务承诺内容（包括服务计划、售后服务人员、应急方案、配件供应等）丰富全面性，科学合理性，方案措施的针对性方面对各供应</w:t>
            </w:r>
            <w:r>
              <w:rPr>
                <w:rFonts w:hint="eastAsia" w:ascii="宋体" w:hAnsi="宋体" w:eastAsia="宋体" w:cs="宋体"/>
                <w:color w:val="000000" w:themeColor="text1"/>
                <w:kern w:val="2"/>
                <w:sz w:val="28"/>
                <w:szCs w:val="28"/>
                <w:lang w:val="en-US" w:eastAsia="zh-CN" w:bidi="ar-SA"/>
                <w14:textFill>
                  <w14:solidFill>
                    <w14:schemeClr w14:val="tx1"/>
                  </w14:solidFill>
                </w14:textFill>
              </w:rPr>
              <w:t xml:space="preserve">商进行综合评价。（3分）                </w:t>
            </w:r>
          </w:p>
          <w:p w14:paraId="6593B2B3">
            <w:pPr>
              <w:pStyle w:val="48"/>
              <w:numPr>
                <w:ilvl w:val="0"/>
                <w:numId w:val="3"/>
              </w:numPr>
              <w:spacing w:after="0" w:line="360" w:lineRule="auto"/>
              <w:ind w:firstLine="0" w:firstLineChars="0"/>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 xml:space="preserve">1.方案科学、合理、可行；内容详实、全面、考虑周全，措施到位，针对性强，重点突出的，得3分； </w:t>
            </w:r>
          </w:p>
          <w:p w14:paraId="060E3C9B">
            <w:pPr>
              <w:pStyle w:val="48"/>
              <w:spacing w:after="0" w:line="360" w:lineRule="auto"/>
              <w:ind w:firstLine="0" w:firstLineChars="0"/>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 xml:space="preserve">2.方案有内容，但是方案在科学、合理、全面性方面一般，考虑不周，措施不到位，针对性不强，但有很多方面需要进一步完善甚至重新考虑的得2分； </w:t>
            </w:r>
          </w:p>
          <w:p w14:paraId="37BACC75">
            <w:pPr>
              <w:pStyle w:val="48"/>
              <w:spacing w:after="0" w:line="360" w:lineRule="auto"/>
              <w:ind w:firstLine="0" w:firstLineChars="0"/>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 xml:space="preserve">3.内容不完整，方案在科学、合理、全面性方面差，考虑非常不周，措施基本不到位，没有针对性，得1分； </w:t>
            </w:r>
          </w:p>
          <w:p w14:paraId="69B36D09">
            <w:pPr>
              <w:pStyle w:val="48"/>
              <w:spacing w:after="0" w:line="360" w:lineRule="auto"/>
              <w:ind w:firstLine="0" w:firstLineChars="0"/>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4.不提供不得分。</w:t>
            </w:r>
          </w:p>
          <w:p w14:paraId="17B19FEF">
            <w:pPr>
              <w:pStyle w:val="48"/>
              <w:spacing w:after="0" w:line="360" w:lineRule="auto"/>
              <w:ind w:firstLine="0" w:firstLineChars="0"/>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 xml:space="preserve">二、列明响应时间，到达现场时间，解决问题时间，并提供必要的后备设备或解决方案，根据供应商的方案进行综合评价。（3分） </w:t>
            </w:r>
          </w:p>
          <w:p w14:paraId="1E369D50">
            <w:pPr>
              <w:pStyle w:val="48"/>
              <w:spacing w:after="0" w:line="360" w:lineRule="auto"/>
              <w:ind w:firstLine="0" w:firstLineChars="0"/>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 xml:space="preserve">1.方案科学、合理、可行；内容详实、全面、考虑周全，措施到位，针对性强，重点突出的，得3分； </w:t>
            </w:r>
          </w:p>
          <w:p w14:paraId="3A54E581">
            <w:pPr>
              <w:pStyle w:val="48"/>
              <w:spacing w:after="0" w:line="360" w:lineRule="auto"/>
              <w:ind w:firstLine="0" w:firstLineChars="0"/>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 xml:space="preserve">2.方案有内容，但是方案在科学、合理、全面性方面一般，考虑不周，措施不到位，针对性不强，但有很多方面需要进一步完善甚至重新考虑的得2分； </w:t>
            </w:r>
          </w:p>
          <w:p w14:paraId="6C317EA3">
            <w:pPr>
              <w:pStyle w:val="48"/>
              <w:spacing w:after="0" w:line="360" w:lineRule="auto"/>
              <w:ind w:firstLine="0" w:firstLineChars="0"/>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 xml:space="preserve">3.内容不完整，方案在科学、合理、全面性方面差，考虑非常不周，措施基本不到位，没有针对性，得1分； </w:t>
            </w:r>
          </w:p>
          <w:p w14:paraId="2C6BACB2">
            <w:pPr>
              <w:pStyle w:val="48"/>
              <w:spacing w:after="0" w:line="360" w:lineRule="auto"/>
              <w:ind w:firstLine="0" w:firstLineChars="0"/>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4.不提供不得分。</w:t>
            </w:r>
          </w:p>
          <w:p w14:paraId="6E3A2812">
            <w:pPr>
              <w:pStyle w:val="48"/>
              <w:spacing w:after="0" w:line="360" w:lineRule="auto"/>
              <w:ind w:firstLine="0" w:firstLineChars="0"/>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 xml:space="preserve">三、供应商详细描述质保期内、外售后服务的具体措施、方案对各供应商进行综合评价。（3分） </w:t>
            </w:r>
          </w:p>
          <w:p w14:paraId="688ABA73">
            <w:pPr>
              <w:pStyle w:val="48"/>
              <w:spacing w:after="0" w:line="360" w:lineRule="auto"/>
              <w:ind w:firstLine="0" w:firstLineChars="0"/>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 xml:space="preserve">1.方案科学、合理、可行；内容详实、全面、考虑周全，措施到位，针对性强，重点突出的，得3分； </w:t>
            </w:r>
          </w:p>
          <w:p w14:paraId="12709D61">
            <w:pPr>
              <w:pStyle w:val="48"/>
              <w:spacing w:after="0" w:line="360" w:lineRule="auto"/>
              <w:ind w:firstLine="0" w:firstLineChars="0"/>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 xml:space="preserve">2.方案有内容，但是方案在科学、合理、全面性方面一般，考虑不周，措施不到位，针对性不强，但有很多方面需要进一步完善甚至重新考虑的得2分； </w:t>
            </w:r>
          </w:p>
          <w:p w14:paraId="552A57EC">
            <w:pPr>
              <w:pStyle w:val="48"/>
              <w:spacing w:after="0" w:line="360" w:lineRule="auto"/>
              <w:ind w:firstLine="0" w:firstLineChars="0"/>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 xml:space="preserve">3.内容不完整，方案在科学、合理、全面性方面差，考虑非常不周，措施基本不到位，没有针对性，得1分； </w:t>
            </w:r>
          </w:p>
          <w:p w14:paraId="4FD50581">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4.不提供不得分。</w:t>
            </w:r>
          </w:p>
        </w:tc>
      </w:tr>
    </w:tbl>
    <w:p w14:paraId="02EF974C">
      <w:pPr>
        <w:spacing w:line="6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注：评标过程中涉及到资格审查、企业荣誉、产品质量、企业实力等计分部分时，以投标单位自行上传到响应文件中的相应内容为准。</w:t>
      </w:r>
    </w:p>
    <w:p w14:paraId="4FD9BB22">
      <w:pPr>
        <w:rPr>
          <w:rFonts w:ascii="Calibri" w:hAnsi="宋体" w:eastAsia="宋体" w:cs="Times New Roman"/>
          <w:b/>
          <w:color w:val="000000" w:themeColor="text1"/>
          <w:sz w:val="32"/>
          <w:szCs w:val="32"/>
          <w14:textFill>
            <w14:solidFill>
              <w14:schemeClr w14:val="tx1"/>
            </w14:solidFill>
          </w14:textFill>
        </w:rPr>
      </w:pPr>
      <w:r>
        <w:rPr>
          <w:rFonts w:hint="eastAsia" w:ascii="Calibri" w:hAnsi="宋体" w:eastAsia="宋体" w:cs="Times New Roman"/>
          <w:b/>
          <w:color w:val="000000" w:themeColor="text1"/>
          <w:sz w:val="32"/>
          <w:szCs w:val="32"/>
          <w14:textFill>
            <w14:solidFill>
              <w14:schemeClr w14:val="tx1"/>
            </w14:solidFill>
          </w14:textFill>
        </w:rPr>
        <w:br w:type="page"/>
      </w:r>
    </w:p>
    <w:p w14:paraId="22A72856">
      <w:pPr>
        <w:spacing w:line="360" w:lineRule="auto"/>
        <w:jc w:val="center"/>
        <w:outlineLvl w:val="0"/>
        <w:rPr>
          <w:rFonts w:ascii="Calibri" w:hAnsi="宋体" w:eastAsia="宋体" w:cs="Times New Roman"/>
          <w:b/>
          <w:color w:val="000000" w:themeColor="text1"/>
          <w:sz w:val="32"/>
          <w:szCs w:val="32"/>
          <w14:textFill>
            <w14:solidFill>
              <w14:schemeClr w14:val="tx1"/>
            </w14:solidFill>
          </w14:textFill>
        </w:rPr>
      </w:pPr>
      <w:bookmarkStart w:id="22" w:name="_Toc29406"/>
      <w:r>
        <w:rPr>
          <w:rFonts w:hint="eastAsia" w:ascii="Calibri" w:hAnsi="宋体" w:eastAsia="宋体" w:cs="Times New Roman"/>
          <w:b/>
          <w:color w:val="000000" w:themeColor="text1"/>
          <w:sz w:val="32"/>
          <w:szCs w:val="32"/>
          <w14:textFill>
            <w14:solidFill>
              <w14:schemeClr w14:val="tx1"/>
            </w14:solidFill>
          </w14:textFill>
        </w:rPr>
        <w:t>第六章 磋商文件格式</w:t>
      </w:r>
      <w:bookmarkEnd w:id="22"/>
    </w:p>
    <w:p w14:paraId="48B01E55">
      <w:pPr>
        <w:spacing w:line="360" w:lineRule="auto"/>
        <w:jc w:val="center"/>
        <w:rPr>
          <w:rFonts w:ascii="Calibri" w:hAnsi="宋体" w:eastAsia="宋体" w:cs="Times New Roman"/>
          <w:b/>
          <w:color w:val="000000" w:themeColor="text1"/>
          <w:sz w:val="32"/>
          <w:szCs w:val="32"/>
          <w14:textFill>
            <w14:solidFill>
              <w14:schemeClr w14:val="tx1"/>
            </w14:solidFill>
          </w14:textFill>
        </w:rPr>
      </w:pPr>
      <w:r>
        <w:rPr>
          <w:rFonts w:hint="eastAsia" w:ascii="Calibri" w:hAnsi="宋体" w:eastAsia="宋体" w:cs="Times New Roman"/>
          <w:b/>
          <w:color w:val="000000" w:themeColor="text1"/>
          <w:sz w:val="32"/>
          <w:szCs w:val="32"/>
          <w14:textFill>
            <w14:solidFill>
              <w14:schemeClr w14:val="tx1"/>
            </w14:solidFill>
          </w14:textFill>
        </w:rPr>
        <w:t>封面</w:t>
      </w:r>
    </w:p>
    <w:p w14:paraId="71D66F97">
      <w:pPr>
        <w:jc w:val="center"/>
        <w:rPr>
          <w:rFonts w:ascii="黑体" w:hAnsi="Calibri" w:eastAsia="黑体" w:cs="黑体"/>
          <w:b/>
          <w:color w:val="000000" w:themeColor="text1"/>
          <w:sz w:val="48"/>
          <w:szCs w:val="48"/>
          <w14:textFill>
            <w14:solidFill>
              <w14:schemeClr w14:val="tx1"/>
            </w14:solidFill>
          </w14:textFill>
        </w:rPr>
      </w:pPr>
    </w:p>
    <w:p w14:paraId="09D534C1">
      <w:pPr>
        <w:widowControl/>
        <w:jc w:val="center"/>
        <w:rPr>
          <w:rFonts w:hint="eastAsia" w:ascii="黑体" w:hAnsi="黑体" w:eastAsia="黑体" w:cs="Times New Roman"/>
          <w:bCs/>
          <w:color w:val="000000" w:themeColor="text1"/>
          <w:sz w:val="36"/>
          <w:szCs w:val="36"/>
          <w:lang w:eastAsia="zh-CN"/>
          <w14:textFill>
            <w14:solidFill>
              <w14:schemeClr w14:val="tx1"/>
            </w14:solidFill>
          </w14:textFill>
        </w:rPr>
      </w:pPr>
      <w:r>
        <w:rPr>
          <w:rFonts w:hint="eastAsia" w:ascii="黑体" w:hAnsi="黑体" w:eastAsia="黑体" w:cs="Times New Roman"/>
          <w:bCs/>
          <w:color w:val="000000" w:themeColor="text1"/>
          <w:sz w:val="36"/>
          <w:szCs w:val="36"/>
          <w:lang w:eastAsia="zh-CN"/>
          <w14:textFill>
            <w14:solidFill>
              <w14:schemeClr w14:val="tx1"/>
            </w14:solidFill>
          </w14:textFill>
        </w:rPr>
        <w:t>三门峡市陕州区第二实验幼儿园设备购置项目</w:t>
      </w:r>
    </w:p>
    <w:p w14:paraId="01597D9E">
      <w:pPr>
        <w:widowControl/>
        <w:jc w:val="center"/>
        <w:rPr>
          <w:rFonts w:ascii="宋体" w:hAnsi="宋体" w:eastAsia="宋体" w:cs="Times New Roman"/>
          <w:b/>
          <w:bCs/>
          <w:color w:val="000000" w:themeColor="text1"/>
          <w:kern w:val="0"/>
          <w:sz w:val="72"/>
          <w:szCs w:val="72"/>
          <w14:textFill>
            <w14:solidFill>
              <w14:schemeClr w14:val="tx1"/>
            </w14:solidFill>
          </w14:textFill>
        </w:rPr>
      </w:pPr>
    </w:p>
    <w:p w14:paraId="53131034">
      <w:pPr>
        <w:widowControl/>
        <w:jc w:val="center"/>
        <w:rPr>
          <w:rFonts w:ascii="Calibri" w:hAnsi="Calibri"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b/>
          <w:bCs/>
          <w:color w:val="000000" w:themeColor="text1"/>
          <w:kern w:val="0"/>
          <w:sz w:val="72"/>
          <w:szCs w:val="72"/>
          <w14:textFill>
            <w14:solidFill>
              <w14:schemeClr w14:val="tx1"/>
            </w14:solidFill>
          </w14:textFill>
        </w:rPr>
        <w:t>响 应 文 件</w:t>
      </w:r>
      <w:bookmarkStart w:id="23" w:name="_Toc171073042"/>
      <w:bookmarkEnd w:id="23"/>
      <w:bookmarkStart w:id="24" w:name="_Toc223432387"/>
      <w:bookmarkEnd w:id="24"/>
      <w:bookmarkStart w:id="25" w:name="_Toc171073207"/>
      <w:bookmarkEnd w:id="25"/>
      <w:bookmarkStart w:id="26" w:name="_Toc169921407"/>
      <w:bookmarkEnd w:id="26"/>
    </w:p>
    <w:p w14:paraId="08F04133">
      <w:pPr>
        <w:widowControl/>
        <w:jc w:val="center"/>
        <w:rPr>
          <w:rFonts w:ascii="宋体" w:hAnsi="宋体" w:eastAsia="宋体" w:cs="Times New Roman"/>
          <w:color w:val="000000" w:themeColor="text1"/>
          <w:kern w:val="0"/>
          <w:sz w:val="72"/>
          <w:szCs w:val="72"/>
          <w14:textFill>
            <w14:solidFill>
              <w14:schemeClr w14:val="tx1"/>
            </w14:solidFill>
          </w14:textFill>
        </w:rPr>
      </w:pPr>
    </w:p>
    <w:p w14:paraId="71B15A28">
      <w:pPr>
        <w:widowControl/>
        <w:jc w:val="center"/>
        <w:rPr>
          <w:rFonts w:ascii="Calibri" w:hAnsi="Calibri" w:eastAsia="宋体" w:cs="Times New Roman"/>
          <w:color w:val="000000" w:themeColor="text1"/>
          <w:kern w:val="0"/>
          <w:sz w:val="20"/>
          <w:szCs w:val="20"/>
          <w14:textFill>
            <w14:solidFill>
              <w14:schemeClr w14:val="tx1"/>
            </w14:solidFill>
          </w14:textFill>
        </w:rPr>
      </w:pPr>
    </w:p>
    <w:p w14:paraId="3274D697">
      <w:pPr>
        <w:widowControl/>
        <w:jc w:val="center"/>
        <w:rPr>
          <w:rFonts w:ascii="宋体" w:hAnsi="宋体" w:eastAsia="宋体" w:cs="Times New Roman"/>
          <w:color w:val="000000" w:themeColor="text1"/>
          <w:kern w:val="0"/>
          <w:sz w:val="72"/>
          <w:szCs w:val="72"/>
          <w14:textFill>
            <w14:solidFill>
              <w14:schemeClr w14:val="tx1"/>
            </w14:solidFill>
          </w14:textFill>
        </w:rPr>
      </w:pPr>
    </w:p>
    <w:p w14:paraId="6A082D0C">
      <w:pPr>
        <w:widowControl/>
        <w:jc w:val="center"/>
        <w:rPr>
          <w:rFonts w:ascii="Calibri" w:hAnsi="Calibri" w:eastAsia="宋体" w:cs="Times New Roman"/>
          <w:color w:val="000000" w:themeColor="text1"/>
          <w:kern w:val="0"/>
          <w:sz w:val="20"/>
          <w:szCs w:val="20"/>
          <w14:textFill>
            <w14:solidFill>
              <w14:schemeClr w14:val="tx1"/>
            </w14:solidFill>
          </w14:textFill>
        </w:rPr>
      </w:pPr>
    </w:p>
    <w:p w14:paraId="0F614D0B">
      <w:pPr>
        <w:widowControl/>
        <w:jc w:val="left"/>
        <w:rPr>
          <w:rFonts w:ascii="宋体" w:hAnsi="宋体" w:eastAsia="宋体" w:cs="Times New Roman"/>
          <w:b/>
          <w:bCs/>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项目编号：</w:t>
      </w:r>
    </w:p>
    <w:p w14:paraId="6328563C">
      <w:pPr>
        <w:widowControl/>
        <w:spacing w:line="660" w:lineRule="auto"/>
        <w:rPr>
          <w:rFonts w:ascii="Calibri" w:hAnsi="Calibri" w:eastAsia="宋体" w:cs="Times New Roman"/>
          <w:color w:val="000000" w:themeColor="text1"/>
          <w:kern w:val="0"/>
          <w:sz w:val="27"/>
          <w:szCs w:val="27"/>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 </w:t>
      </w:r>
    </w:p>
    <w:p w14:paraId="06064E2E">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w:t>
      </w:r>
    </w:p>
    <w:p w14:paraId="23F2688D">
      <w:pPr>
        <w:widowControl/>
        <w:spacing w:line="480" w:lineRule="auto"/>
        <w:rPr>
          <w:rFonts w:ascii="Calibri" w:hAnsi="Calibri"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磋商供应商（盖公章）：</w:t>
      </w:r>
    </w:p>
    <w:p w14:paraId="1246CA19">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法定代表人（签电子章）：</w:t>
      </w:r>
    </w:p>
    <w:p w14:paraId="257A55EE">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日      期：</w:t>
      </w:r>
    </w:p>
    <w:p w14:paraId="5C1CAF21">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br w:type="page"/>
      </w:r>
    </w:p>
    <w:p w14:paraId="5EB272D8">
      <w:pPr>
        <w:jc w:val="center"/>
        <w:rPr>
          <w:b/>
          <w:bCs/>
          <w:sz w:val="32"/>
          <w:szCs w:val="32"/>
        </w:rPr>
      </w:pPr>
      <w:r>
        <w:rPr>
          <w:rFonts w:hint="eastAsia"/>
          <w:b/>
          <w:bCs/>
          <w:sz w:val="32"/>
          <w:szCs w:val="32"/>
        </w:rPr>
        <w:t>目  录</w:t>
      </w:r>
    </w:p>
    <w:p w14:paraId="7F262F93">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p>
    <w:p w14:paraId="7DB7E471">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一、法定代表人身份证明书</w:t>
      </w:r>
    </w:p>
    <w:p w14:paraId="235825FB">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二、授权委托书</w:t>
      </w:r>
    </w:p>
    <w:p w14:paraId="6655EE24">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三、磋 商 函</w:t>
      </w:r>
    </w:p>
    <w:p w14:paraId="6CB129F9">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四、磋商函附表</w:t>
      </w:r>
    </w:p>
    <w:p w14:paraId="118B4CAE">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五、参数一览表</w:t>
      </w:r>
    </w:p>
    <w:p w14:paraId="31286B50">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六、供应商基本情况表</w:t>
      </w:r>
    </w:p>
    <w:p w14:paraId="00851F0B">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七、项目实施方案</w:t>
      </w:r>
    </w:p>
    <w:p w14:paraId="390BD37A">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八</w:t>
      </w:r>
      <w:r>
        <w:rPr>
          <w:rFonts w:hint="eastAsia" w:ascii="宋体" w:hAnsi="宋体" w:eastAsia="宋体" w:cs="Times New Roman"/>
          <w:color w:val="000000" w:themeColor="text1"/>
          <w:kern w:val="0"/>
          <w:sz w:val="28"/>
          <w:szCs w:val="28"/>
          <w14:textFill>
            <w14:solidFill>
              <w14:schemeClr w14:val="tx1"/>
            </w14:solidFill>
          </w14:textFill>
        </w:rPr>
        <w:t>、其他资料</w:t>
      </w:r>
    </w:p>
    <w:p w14:paraId="2A5A212C">
      <w:pPr>
        <w:rPr>
          <w:rFonts w:ascii="宋体" w:hAnsi="宋体" w:eastAsia="宋体" w:cs="Times New Roman"/>
          <w:kern w:val="0"/>
          <w:sz w:val="24"/>
          <w:szCs w:val="24"/>
        </w:rPr>
      </w:pPr>
      <w:r>
        <w:rPr>
          <w:rFonts w:ascii="宋体" w:hAnsi="宋体" w:eastAsia="宋体" w:cs="Times New Roman"/>
          <w:kern w:val="0"/>
          <w:sz w:val="24"/>
          <w:szCs w:val="24"/>
        </w:rPr>
        <w:br w:type="page"/>
      </w:r>
    </w:p>
    <w:p w14:paraId="58915922">
      <w:pPr>
        <w:pStyle w:val="3"/>
        <w:numPr>
          <w:ilvl w:val="1"/>
          <w:numId w:val="0"/>
        </w:numPr>
      </w:pPr>
      <w:bookmarkStart w:id="27" w:name="_Toc8977"/>
      <w:r>
        <w:rPr>
          <w:rFonts w:hint="eastAsia"/>
        </w:rPr>
        <w:t>一、法定代表人身份证明书</w:t>
      </w:r>
      <w:bookmarkEnd w:id="27"/>
    </w:p>
    <w:p w14:paraId="487AC47F">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单位名称：</w:t>
      </w:r>
    </w:p>
    <w:p w14:paraId="3CBE3883">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单位性质：</w:t>
      </w:r>
    </w:p>
    <w:p w14:paraId="1E2F738A">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地    址：</w:t>
      </w:r>
    </w:p>
    <w:p w14:paraId="6C5D5098">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成立时间：年 月 日</w:t>
      </w:r>
    </w:p>
    <w:p w14:paraId="6FDDAE31">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经营期限：</w:t>
      </w:r>
    </w:p>
    <w:p w14:paraId="36395693">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姓    名：</w:t>
      </w:r>
    </w:p>
    <w:p w14:paraId="35556900">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性    别：</w:t>
      </w:r>
    </w:p>
    <w:p w14:paraId="43C76618">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年    龄：</w:t>
      </w:r>
    </w:p>
    <w:p w14:paraId="18BEC2CA">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职    务：</w:t>
      </w:r>
    </w:p>
    <w:p w14:paraId="0F59EB45">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系（</w:t>
      </w:r>
      <w:r>
        <w:rPr>
          <w:rFonts w:hint="eastAsia" w:ascii="宋体" w:hAnsi="宋体" w:eastAsia="宋体" w:cs="Times New Roman"/>
          <w:color w:val="000000" w:themeColor="text1"/>
          <w:kern w:val="0"/>
          <w:sz w:val="28"/>
          <w:szCs w:val="28"/>
          <w:u w:val="single"/>
          <w14:textFill>
            <w14:solidFill>
              <w14:schemeClr w14:val="tx1"/>
            </w14:solidFill>
          </w14:textFill>
        </w:rPr>
        <w:t>供应商单位名称</w:t>
      </w:r>
      <w:r>
        <w:rPr>
          <w:rFonts w:hint="eastAsia" w:ascii="宋体" w:hAnsi="宋体" w:eastAsia="宋体" w:cs="Times New Roman"/>
          <w:color w:val="000000" w:themeColor="text1"/>
          <w:kern w:val="0"/>
          <w:sz w:val="28"/>
          <w:szCs w:val="28"/>
          <w14:textFill>
            <w14:solidFill>
              <w14:schemeClr w14:val="tx1"/>
            </w14:solidFill>
          </w14:textFill>
        </w:rPr>
        <w:t>）的法定代表人。</w:t>
      </w:r>
    </w:p>
    <w:p w14:paraId="3E4057D1">
      <w:pPr>
        <w:spacing w:line="480" w:lineRule="auto"/>
        <w:rPr>
          <w:rFonts w:ascii="宋体" w:hAnsi="宋体" w:eastAsia="宋体" w:cs="Times New Roman"/>
          <w:color w:val="000000" w:themeColor="text1"/>
          <w:kern w:val="0"/>
          <w:sz w:val="28"/>
          <w:szCs w:val="28"/>
          <w14:textFill>
            <w14:solidFill>
              <w14:schemeClr w14:val="tx1"/>
            </w14:solidFill>
          </w14:textFill>
        </w:rPr>
      </w:pPr>
    </w:p>
    <w:p w14:paraId="24DBD054">
      <w:pPr>
        <w:spacing w:line="480" w:lineRule="auto"/>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特此证明。</w:t>
      </w:r>
    </w:p>
    <w:p w14:paraId="43ABF946">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磋商供应商(盖公章)：</w:t>
      </w:r>
    </w:p>
    <w:p w14:paraId="6E9A8788">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日  期： 年 月 日</w:t>
      </w:r>
    </w:p>
    <w:p w14:paraId="196B2156">
      <w:pPr>
        <w:spacing w:line="480" w:lineRule="auto"/>
        <w:rPr>
          <w:rFonts w:ascii="宋体" w:hAnsi="宋体" w:eastAsia="宋体" w:cs="Times New Roman"/>
          <w:color w:val="000000" w:themeColor="text1"/>
          <w:kern w:val="0"/>
          <w:sz w:val="24"/>
          <w:szCs w:val="24"/>
          <w14:textFill>
            <w14:solidFill>
              <w14:schemeClr w14:val="tx1"/>
            </w14:solidFill>
          </w14:textFill>
        </w:rPr>
      </w:pPr>
    </w:p>
    <w:p w14:paraId="2F1FDD0C">
      <w:pPr>
        <w:spacing w:line="360" w:lineRule="auto"/>
        <w:outlineLvl w:val="1"/>
        <w:rPr>
          <w:rFonts w:ascii="宋体" w:hAnsi="Calibri" w:eastAsia="宋体" w:cs="Times New Roman"/>
          <w:bCs/>
          <w:color w:val="000000" w:themeColor="text1"/>
          <w:sz w:val="28"/>
          <w:szCs w:val="28"/>
          <w14:textFill>
            <w14:solidFill>
              <w14:schemeClr w14:val="tx1"/>
            </w14:solidFill>
          </w14:textFill>
        </w:rPr>
      </w:pPr>
    </w:p>
    <w:p w14:paraId="516AADA7">
      <w:pPr>
        <w:spacing w:line="360" w:lineRule="auto"/>
        <w:outlineLvl w:val="1"/>
        <w:rPr>
          <w:rFonts w:ascii="宋体" w:hAnsi="Calibri" w:eastAsia="宋体" w:cs="Times New Roman"/>
          <w:bCs/>
          <w:color w:val="000000" w:themeColor="text1"/>
          <w:sz w:val="28"/>
          <w:szCs w:val="28"/>
          <w14:textFill>
            <w14:solidFill>
              <w14:schemeClr w14:val="tx1"/>
            </w14:solidFill>
          </w14:textFill>
        </w:rPr>
      </w:pPr>
    </w:p>
    <w:p w14:paraId="25E3EF76">
      <w:pPr>
        <w:spacing w:line="360" w:lineRule="auto"/>
        <w:rPr>
          <w:rFonts w:ascii="宋体" w:hAnsi="Calibri" w:eastAsia="宋体" w:cs="Times New Roman"/>
          <w:bCs/>
          <w:color w:val="000000" w:themeColor="text1"/>
          <w:sz w:val="28"/>
          <w:szCs w:val="28"/>
          <w14:textFill>
            <w14:solidFill>
              <w14:schemeClr w14:val="tx1"/>
            </w14:solidFill>
          </w14:textFill>
        </w:rPr>
      </w:pPr>
      <w:bookmarkStart w:id="28" w:name="_Toc109675041"/>
      <w:r>
        <w:rPr>
          <w:rFonts w:hint="eastAsia" w:ascii="宋体" w:hAnsi="宋体" w:eastAsia="宋体" w:cs="宋体"/>
          <w:color w:val="000000" w:themeColor="text1"/>
          <w:sz w:val="24"/>
          <w14:textFill>
            <w14:solidFill>
              <w14:schemeClr w14:val="tx1"/>
            </w14:solidFill>
          </w14:textFill>
        </w:rPr>
        <w:t>（后附法定代表人身份证正反面原件扫描件）</w:t>
      </w:r>
      <w:bookmarkEnd w:id="28"/>
    </w:p>
    <w:p w14:paraId="32F59786">
      <w:pPr>
        <w:pStyle w:val="3"/>
        <w:numPr>
          <w:ilvl w:val="1"/>
          <w:numId w:val="0"/>
        </w:numPr>
      </w:pPr>
      <w:r>
        <w:rPr>
          <w:rFonts w:ascii="宋体" w:hAnsi="宋体" w:eastAsia="宋体" w:cs="Times New Roman"/>
          <w:color w:val="000000" w:themeColor="text1"/>
          <w:kern w:val="0"/>
          <w:sz w:val="28"/>
          <w:szCs w:val="28"/>
          <w14:textFill>
            <w14:solidFill>
              <w14:schemeClr w14:val="tx1"/>
            </w14:solidFill>
          </w14:textFill>
        </w:rPr>
        <w:br w:type="page"/>
      </w:r>
      <w:bookmarkStart w:id="29" w:name="_Toc23280"/>
      <w:r>
        <w:rPr>
          <w:rFonts w:hint="eastAsia"/>
        </w:rPr>
        <w:t>二、授权委托书</w:t>
      </w:r>
      <w:bookmarkEnd w:id="29"/>
    </w:p>
    <w:p w14:paraId="67EB9E84">
      <w:pPr>
        <w:widowControl/>
        <w:spacing w:line="480" w:lineRule="auto"/>
        <w:ind w:firstLine="560" w:firstLineChars="200"/>
        <w:rPr>
          <w:rFonts w:ascii="Calibri" w:hAnsi="Calibri"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本授权委托书声明：我</w:t>
      </w:r>
      <w:r>
        <w:rPr>
          <w:rFonts w:hint="eastAsia" w:ascii="宋体" w:hAnsi="宋体" w:eastAsia="宋体" w:cs="Times New Roman"/>
          <w:color w:val="000000" w:themeColor="text1"/>
          <w:kern w:val="0"/>
          <w:sz w:val="28"/>
          <w:szCs w:val="28"/>
          <w:u w:val="single"/>
          <w14:textFill>
            <w14:solidFill>
              <w14:schemeClr w14:val="tx1"/>
            </w14:solidFill>
          </w14:textFill>
        </w:rPr>
        <w:t>（法定代表人）</w:t>
      </w:r>
      <w:r>
        <w:rPr>
          <w:rFonts w:hint="eastAsia" w:ascii="宋体" w:hAnsi="宋体" w:eastAsia="宋体" w:cs="Times New Roman"/>
          <w:color w:val="000000" w:themeColor="text1"/>
          <w:kern w:val="0"/>
          <w:sz w:val="28"/>
          <w:szCs w:val="28"/>
          <w14:textFill>
            <w14:solidFill>
              <w14:schemeClr w14:val="tx1"/>
            </w14:solidFill>
          </w14:textFill>
        </w:rPr>
        <w:t>（姓名）系</w:t>
      </w:r>
      <w:r>
        <w:rPr>
          <w:rFonts w:hint="eastAsia" w:ascii="宋体" w:hAnsi="宋体" w:eastAsia="宋体" w:cs="Times New Roman"/>
          <w:color w:val="000000" w:themeColor="text1"/>
          <w:kern w:val="0"/>
          <w:sz w:val="28"/>
          <w:szCs w:val="28"/>
          <w:u w:val="single"/>
          <w14:textFill>
            <w14:solidFill>
              <w14:schemeClr w14:val="tx1"/>
            </w14:solidFill>
          </w14:textFill>
        </w:rPr>
        <w:t>（供应商单位名称）</w:t>
      </w:r>
      <w:r>
        <w:rPr>
          <w:rFonts w:hint="eastAsia" w:ascii="宋体" w:hAnsi="宋体" w:eastAsia="宋体" w:cs="Times New Roman"/>
          <w:color w:val="000000" w:themeColor="text1"/>
          <w:kern w:val="0"/>
          <w:sz w:val="28"/>
          <w:szCs w:val="28"/>
          <w14:textFill>
            <w14:solidFill>
              <w14:schemeClr w14:val="tx1"/>
            </w14:solidFill>
          </w14:textFill>
        </w:rPr>
        <w:t>的法定代表人，现授权委托</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（姓名） </w:t>
      </w:r>
      <w:r>
        <w:rPr>
          <w:rFonts w:hint="eastAsia" w:ascii="宋体" w:hAnsi="宋体" w:eastAsia="宋体" w:cs="Times New Roman"/>
          <w:color w:val="000000" w:themeColor="text1"/>
          <w:kern w:val="0"/>
          <w:sz w:val="28"/>
          <w:szCs w:val="28"/>
          <w14:textFill>
            <w14:solidFill>
              <w14:schemeClr w14:val="tx1"/>
            </w14:solidFill>
          </w14:textFill>
        </w:rPr>
        <w:t>为我公司签署本项目的响应文件的法定代表人授权委托代理人，我承认代理人全权代表我所签署的项目的响应文件的内容。同时授权委托该同志代表我公司参加本项目的磋商、合同、处理有关事务等并有权签署有关文件。</w:t>
      </w:r>
    </w:p>
    <w:p w14:paraId="7E0B9FFC">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71951061">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代理人无转委托权，特此委托。</w:t>
      </w:r>
    </w:p>
    <w:p w14:paraId="714347B1">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784AB061">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0A6F70BE">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（盖公章）</w:t>
      </w:r>
    </w:p>
    <w:p w14:paraId="6A83A329">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3A91395C">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法定代表人：</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（签电子章）</w:t>
      </w:r>
    </w:p>
    <w:p w14:paraId="21CB32BB">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0B2D744E">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授权委托日期：年  月  日</w:t>
      </w:r>
      <w:bookmarkStart w:id="30" w:name="_Toc171073046"/>
      <w:bookmarkEnd w:id="30"/>
      <w:bookmarkStart w:id="31" w:name="_Toc223432391"/>
      <w:bookmarkEnd w:id="31"/>
      <w:bookmarkStart w:id="32" w:name="_Toc171073211"/>
      <w:bookmarkEnd w:id="32"/>
      <w:bookmarkStart w:id="33" w:name="_Toc169921411"/>
      <w:bookmarkEnd w:id="33"/>
    </w:p>
    <w:p w14:paraId="6127D74F">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附：法人和被授权人身份证复印件</w:t>
      </w:r>
      <w:bookmarkStart w:id="34" w:name="_Toc438305223"/>
    </w:p>
    <w:p w14:paraId="5EB04C29">
      <w:pPr>
        <w:rPr>
          <w:rFonts w:ascii="Arial" w:hAnsi="Arial" w:eastAsia="黑体"/>
          <w:b/>
          <w:sz w:val="32"/>
          <w:szCs w:val="20"/>
        </w:rPr>
      </w:pPr>
      <w:r>
        <w:rPr>
          <w:rFonts w:hint="eastAsia" w:ascii="Arial" w:hAnsi="Arial" w:eastAsia="黑体"/>
          <w:b/>
          <w:sz w:val="32"/>
          <w:szCs w:val="20"/>
        </w:rPr>
        <w:br w:type="page"/>
      </w:r>
    </w:p>
    <w:p w14:paraId="5F20F6E0">
      <w:pPr>
        <w:pStyle w:val="3"/>
        <w:numPr>
          <w:ilvl w:val="1"/>
          <w:numId w:val="0"/>
        </w:numPr>
        <w:ind w:left="419"/>
      </w:pPr>
      <w:bookmarkStart w:id="35" w:name="_Toc25502"/>
      <w:r>
        <w:rPr>
          <w:rFonts w:hint="eastAsia"/>
        </w:rPr>
        <w:t>三、磋 商 函</w:t>
      </w:r>
      <w:bookmarkEnd w:id="35"/>
    </w:p>
    <w:p w14:paraId="134623A2">
      <w:pPr>
        <w:widowControl/>
        <w:spacing w:line="480" w:lineRule="auto"/>
        <w:jc w:val="left"/>
        <w:rPr>
          <w:rFonts w:ascii="Calibri" w:hAnsi="Calibri" w:eastAsia="宋体" w:cs="Times New Roman"/>
          <w:color w:val="000000" w:themeColor="text1"/>
          <w:kern w:val="0"/>
          <w:sz w:val="28"/>
          <w:szCs w:val="28"/>
          <w14:textFill>
            <w14:solidFill>
              <w14:schemeClr w14:val="tx1"/>
            </w14:solidFill>
          </w14:textFill>
        </w:rPr>
      </w:pPr>
      <w:bookmarkStart w:id="36" w:name="OLE_LINK11"/>
      <w:bookmarkEnd w:id="36"/>
      <w:bookmarkStart w:id="37" w:name="OLE_LINK7"/>
      <w:r>
        <w:rPr>
          <w:rFonts w:hint="eastAsia" w:ascii="宋体" w:hAnsi="宋体" w:eastAsia="宋体" w:cs="Times New Roman"/>
          <w:color w:val="000000" w:themeColor="text1"/>
          <w:spacing w:val="46"/>
          <w:kern w:val="0"/>
          <w:sz w:val="28"/>
          <w:szCs w:val="28"/>
          <w14:textFill>
            <w14:solidFill>
              <w14:schemeClr w14:val="tx1"/>
            </w14:solidFill>
          </w14:textFill>
        </w:rPr>
        <w:t>致</w:t>
      </w:r>
      <w:bookmarkEnd w:id="37"/>
      <w:r>
        <w:rPr>
          <w:rFonts w:hint="eastAsia" w:ascii="宋体" w:hAnsi="宋体" w:eastAsia="宋体" w:cs="Times New Roman"/>
          <w:color w:val="000000" w:themeColor="text1"/>
          <w:spacing w:val="46"/>
          <w:kern w:val="0"/>
          <w:sz w:val="28"/>
          <w:szCs w:val="28"/>
          <w:u w:val="single"/>
          <w14:textFill>
            <w14:solidFill>
              <w14:schemeClr w14:val="tx1"/>
            </w14:solidFill>
          </w14:textFill>
        </w:rPr>
        <w:t xml:space="preserve"> （采购人） </w:t>
      </w:r>
      <w:r>
        <w:rPr>
          <w:rFonts w:hint="eastAsia" w:ascii="宋体" w:hAnsi="宋体" w:eastAsia="宋体" w:cs="Times New Roman"/>
          <w:color w:val="000000" w:themeColor="text1"/>
          <w:spacing w:val="46"/>
          <w:kern w:val="0"/>
          <w:sz w:val="28"/>
          <w:szCs w:val="28"/>
          <w14:textFill>
            <w14:solidFill>
              <w14:schemeClr w14:val="tx1"/>
            </w14:solidFill>
          </w14:textFill>
        </w:rPr>
        <w:t>：</w:t>
      </w:r>
    </w:p>
    <w:p w14:paraId="5F2E42D6">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我方已仔细研究了</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（项目名称）竞争性磋商文件的全部内容，愿意以人民币（大写）</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（小写：</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元）的投标总报价， 按合同约定完成本项目服务内容，</w:t>
      </w:r>
    </w:p>
    <w:p w14:paraId="75F2934B">
      <w:pPr>
        <w:widowControl/>
        <w:spacing w:line="480" w:lineRule="auto"/>
        <w:ind w:firstLine="560" w:firstLineChars="200"/>
        <w:jc w:val="left"/>
        <w:rPr>
          <w:rFonts w:ascii="Calibri" w:hAnsi="Calibri" w:eastAsia="宋体" w:cs="Times New Roman"/>
          <w:color w:val="000000" w:themeColor="text1"/>
          <w:kern w:val="0"/>
          <w:sz w:val="28"/>
          <w:szCs w:val="28"/>
          <w14:textFill>
            <w14:solidFill>
              <w14:schemeClr w14:val="tx1"/>
            </w14:solidFill>
          </w14:textFill>
        </w:rPr>
      </w:pPr>
      <w:r>
        <w:rPr>
          <w:rFonts w:ascii="Calibri" w:hAnsi="Calibri" w:eastAsia="宋体" w:cs="Times New Roman"/>
          <w:color w:val="000000" w:themeColor="text1"/>
          <w:kern w:val="0"/>
          <w:sz w:val="28"/>
          <w:szCs w:val="28"/>
          <w14:textFill>
            <w14:solidFill>
              <w14:schemeClr w14:val="tx1"/>
            </w14:solidFill>
          </w14:textFill>
        </w:rPr>
        <w:t>1</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我方已详细审阅全部竞争性磋商文件，包括修改文件（如果有的话），及有关附件，我方完全知道必须放弃提出含糊不清或误解的权力。</w:t>
      </w:r>
    </w:p>
    <w:p w14:paraId="476C2409">
      <w:pPr>
        <w:widowControl/>
        <w:spacing w:line="480" w:lineRule="auto"/>
        <w:ind w:firstLine="560" w:firstLineChars="200"/>
        <w:jc w:val="left"/>
        <w:rPr>
          <w:rFonts w:ascii="Calibri" w:hAnsi="Calibri"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14:textFill>
            <w14:solidFill>
              <w14:schemeClr w14:val="tx1"/>
            </w14:solidFill>
          </w14:textFill>
        </w:rPr>
        <w:t>2、</w:t>
      </w:r>
      <w:r>
        <w:rPr>
          <w:rFonts w:hint="eastAsia" w:ascii="宋体" w:hAnsi="宋体" w:eastAsia="宋体" w:cs="Times New Roman"/>
          <w:color w:val="000000" w:themeColor="text1"/>
          <w:kern w:val="0"/>
          <w:sz w:val="28"/>
          <w:szCs w:val="28"/>
          <w14:textFill>
            <w14:solidFill>
              <w14:schemeClr w14:val="tx1"/>
            </w14:solidFill>
          </w14:textFill>
        </w:rPr>
        <w:t>一旦我方成交，我们将按照</w:t>
      </w:r>
      <w:r>
        <w:rPr>
          <w:rFonts w:hint="eastAsia" w:ascii="宋体" w:hAnsi="宋体" w:eastAsia="宋体" w:cs="宋体"/>
          <w:color w:val="000000" w:themeColor="text1"/>
          <w:sz w:val="28"/>
          <w:szCs w:val="28"/>
          <w14:textFill>
            <w14:solidFill>
              <w14:schemeClr w14:val="tx1"/>
            </w14:solidFill>
          </w14:textFill>
        </w:rPr>
        <w:t>竞争性磋商文件</w:t>
      </w:r>
      <w:r>
        <w:rPr>
          <w:rFonts w:hint="eastAsia" w:ascii="宋体" w:hAnsi="宋体" w:eastAsia="宋体" w:cs="Times New Roman"/>
          <w:color w:val="000000" w:themeColor="text1"/>
          <w:kern w:val="0"/>
          <w:sz w:val="28"/>
          <w:szCs w:val="28"/>
          <w14:textFill>
            <w14:solidFill>
              <w14:schemeClr w14:val="tx1"/>
            </w14:solidFill>
          </w14:textFill>
        </w:rPr>
        <w:t>中规定的各项要求和我们的响应文件中的表述和承诺，按期、按质、按量完成成交、安装、验收、培训等义务。</w:t>
      </w:r>
    </w:p>
    <w:p w14:paraId="406DF738">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14:textFill>
            <w14:solidFill>
              <w14:schemeClr w14:val="tx1"/>
            </w14:solidFill>
          </w14:textFill>
        </w:rPr>
        <w:t>5、</w:t>
      </w:r>
      <w:r>
        <w:rPr>
          <w:rFonts w:hint="eastAsia" w:ascii="宋体" w:hAnsi="宋体" w:eastAsia="宋体" w:cs="Times New Roman"/>
          <w:color w:val="000000" w:themeColor="text1"/>
          <w:kern w:val="0"/>
          <w:sz w:val="28"/>
          <w:szCs w:val="28"/>
          <w14:textFill>
            <w14:solidFill>
              <w14:schemeClr w14:val="tx1"/>
            </w14:solidFill>
          </w14:textFill>
        </w:rPr>
        <w:t>我方同意所递交的响应文件在</w:t>
      </w:r>
      <w:r>
        <w:rPr>
          <w:rFonts w:hint="eastAsia" w:ascii="宋体" w:hAnsi="宋体" w:eastAsia="宋体" w:cs="宋体"/>
          <w:color w:val="000000" w:themeColor="text1"/>
          <w:sz w:val="28"/>
          <w:szCs w:val="28"/>
          <w14:textFill>
            <w14:solidFill>
              <w14:schemeClr w14:val="tx1"/>
            </w14:solidFill>
          </w14:textFill>
        </w:rPr>
        <w:t>竞争性磋商文件</w:t>
      </w:r>
      <w:r>
        <w:rPr>
          <w:rFonts w:hint="eastAsia" w:ascii="宋体" w:hAnsi="宋体" w:eastAsia="宋体" w:cs="Times New Roman"/>
          <w:color w:val="000000" w:themeColor="text1"/>
          <w:kern w:val="0"/>
          <w:sz w:val="28"/>
          <w:szCs w:val="28"/>
          <w14:textFill>
            <w14:solidFill>
              <w14:schemeClr w14:val="tx1"/>
            </w14:solidFill>
          </w14:textFill>
        </w:rPr>
        <w:t>规定的磋商有效期</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Calibri" w:hAnsi="宋体" w:eastAsia="宋体" w:cs="Times New Roman"/>
          <w:color w:val="000000" w:themeColor="text1"/>
          <w:spacing w:val="6"/>
          <w:sz w:val="28"/>
          <w:szCs w:val="28"/>
          <w14:textFill>
            <w14:solidFill>
              <w14:schemeClr w14:val="tx1"/>
            </w14:solidFill>
          </w14:textFill>
        </w:rPr>
        <w:t>日历天</w:t>
      </w:r>
      <w:r>
        <w:rPr>
          <w:rFonts w:hint="eastAsia" w:ascii="宋体" w:hAnsi="宋体" w:eastAsia="宋体" w:cs="Times New Roman"/>
          <w:color w:val="000000" w:themeColor="text1"/>
          <w:kern w:val="0"/>
          <w:sz w:val="28"/>
          <w:szCs w:val="28"/>
          <w14:textFill>
            <w14:solidFill>
              <w14:schemeClr w14:val="tx1"/>
            </w14:solidFill>
          </w14:textFill>
        </w:rPr>
        <w:t>内有效，在此期间我方有可能成交，我方将受此约束。</w:t>
      </w:r>
    </w:p>
    <w:p w14:paraId="6EBF1F85">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14:textFill>
            <w14:solidFill>
              <w14:schemeClr w14:val="tx1"/>
            </w14:solidFill>
          </w14:textFill>
        </w:rPr>
        <w:t>6、</w:t>
      </w:r>
      <w:r>
        <w:rPr>
          <w:rFonts w:hint="eastAsia" w:ascii="宋体" w:hAnsi="宋体" w:eastAsia="宋体" w:cs="Times New Roman"/>
          <w:color w:val="000000" w:themeColor="text1"/>
          <w:kern w:val="0"/>
          <w:sz w:val="28"/>
          <w:szCs w:val="28"/>
          <w14:textFill>
            <w14:solidFill>
              <w14:schemeClr w14:val="tx1"/>
            </w14:solidFill>
          </w14:textFill>
        </w:rPr>
        <w:t>除非另外达成协议并生效，贵方的成交通知书和本响应文件将构成约束我们双方的合同。</w:t>
      </w:r>
    </w:p>
    <w:p w14:paraId="1219A836">
      <w:pPr>
        <w:widowControl/>
        <w:spacing w:line="480" w:lineRule="auto"/>
        <w:jc w:val="left"/>
        <w:rPr>
          <w:rFonts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磋商供应商：（盖公章）</w:t>
      </w:r>
    </w:p>
    <w:p w14:paraId="17C248B1">
      <w:pPr>
        <w:widowControl/>
        <w:spacing w:line="480" w:lineRule="auto"/>
        <w:jc w:val="left"/>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法定代表人：（签电子章）</w:t>
      </w:r>
    </w:p>
    <w:p w14:paraId="3DD511FF">
      <w:pPr>
        <w:widowControl/>
        <w:spacing w:line="480" w:lineRule="auto"/>
        <w:jc w:val="right"/>
        <w:rPr>
          <w:rFonts w:ascii="宋体" w:hAnsi="宋体" w:eastAsia="宋体" w:cs="Times New Roman"/>
          <w:color w:val="000000" w:themeColor="text1"/>
          <w:spacing w:val="46"/>
          <w:kern w:val="0"/>
          <w:sz w:val="28"/>
          <w:szCs w:val="28"/>
          <w14:textFill>
            <w14:solidFill>
              <w14:schemeClr w14:val="tx1"/>
            </w14:solidFill>
          </w14:textFill>
        </w:rPr>
      </w:pPr>
    </w:p>
    <w:p w14:paraId="3CF98ABB">
      <w:pPr>
        <w:widowControl/>
        <w:spacing w:line="480" w:lineRule="auto"/>
        <w:jc w:val="right"/>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xml:space="preserve">日 期： 年 月 日 </w:t>
      </w:r>
    </w:p>
    <w:p w14:paraId="3817FCB6">
      <w:pPr>
        <w:pStyle w:val="3"/>
        <w:numPr>
          <w:ilvl w:val="1"/>
          <w:numId w:val="0"/>
        </w:numPr>
      </w:pPr>
      <w:r>
        <w:rPr>
          <w:rFonts w:ascii="宋体" w:hAnsi="宋体" w:eastAsia="宋体" w:cs="Times New Roman"/>
          <w:bCs/>
          <w:color w:val="000000" w:themeColor="text1"/>
          <w:szCs w:val="21"/>
          <w14:textFill>
            <w14:solidFill>
              <w14:schemeClr w14:val="tx1"/>
            </w14:solidFill>
          </w14:textFill>
        </w:rPr>
        <w:br w:type="page"/>
      </w:r>
      <w:bookmarkStart w:id="38" w:name="_Toc23456"/>
      <w:bookmarkStart w:id="39" w:name="_Toc109675042"/>
      <w:r>
        <w:rPr>
          <w:rFonts w:hint="eastAsia"/>
        </w:rPr>
        <w:t>四、</w:t>
      </w:r>
      <w:bookmarkEnd w:id="34"/>
      <w:r>
        <w:rPr>
          <w:rFonts w:hint="eastAsia"/>
        </w:rPr>
        <w:t>磋商函附表</w:t>
      </w:r>
      <w:bookmarkEnd w:id="38"/>
      <w:bookmarkEnd w:id="39"/>
    </w:p>
    <w:tbl>
      <w:tblPr>
        <w:tblStyle w:val="18"/>
        <w:tblpPr w:leftFromText="180" w:rightFromText="180" w:vertAnchor="text" w:horzAnchor="page" w:tblpXSpec="center" w:tblpY="294"/>
        <w:tblOverlap w:val="never"/>
        <w:tblW w:w="8789"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1985"/>
        <w:gridCol w:w="798"/>
        <w:gridCol w:w="1849"/>
        <w:gridCol w:w="1465"/>
        <w:gridCol w:w="2692"/>
      </w:tblGrid>
      <w:tr w14:paraId="4C8F2C6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4D41761D">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bookmarkStart w:id="40" w:name="_Toc25552"/>
            <w:r>
              <w:rPr>
                <w:rFonts w:hint="eastAsia" w:ascii="宋体" w:hAnsi="宋体" w:eastAsia="宋体" w:cs="Times New Roman"/>
                <w:color w:val="000000" w:themeColor="text1"/>
                <w:kern w:val="0"/>
                <w:sz w:val="28"/>
                <w:szCs w:val="28"/>
                <w14:textFill>
                  <w14:solidFill>
                    <w14:schemeClr w14:val="tx1"/>
                  </w14:solidFill>
                </w14:textFill>
              </w:rPr>
              <w:t>项目名称</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218A80C8">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37B0679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2998D617">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项目编号</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261B6125">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65B32C2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122ACCA3">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投标供应商</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4507590D">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4F66E58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955" w:hRule="atLeast"/>
          <w:jc w:val="center"/>
        </w:trPr>
        <w:tc>
          <w:tcPr>
            <w:tcW w:w="1985" w:type="dxa"/>
            <w:tcBorders>
              <w:top w:val="single" w:color="auto" w:sz="6" w:space="0"/>
              <w:left w:val="single" w:color="auto" w:sz="6" w:space="0"/>
              <w:right w:val="single" w:color="auto" w:sz="6" w:space="0"/>
            </w:tcBorders>
            <w:vAlign w:val="center"/>
          </w:tcPr>
          <w:p w14:paraId="469F678D">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投标总报价</w:t>
            </w:r>
          </w:p>
        </w:tc>
        <w:tc>
          <w:tcPr>
            <w:tcW w:w="6804" w:type="dxa"/>
            <w:gridSpan w:val="4"/>
            <w:tcBorders>
              <w:top w:val="single" w:color="auto" w:sz="6" w:space="0"/>
              <w:left w:val="single" w:color="auto" w:sz="6" w:space="0"/>
              <w:right w:val="single" w:color="auto" w:sz="6" w:space="0"/>
            </w:tcBorders>
            <w:vAlign w:val="center"/>
          </w:tcPr>
          <w:p w14:paraId="33C87B1C">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大写：</w:t>
            </w:r>
          </w:p>
          <w:p w14:paraId="73234D2E">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p w14:paraId="225C6226">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小写：</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元</w:t>
            </w:r>
          </w:p>
        </w:tc>
      </w:tr>
      <w:tr w14:paraId="05E6B5C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53279CA2">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交货期</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6F478119">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p>
        </w:tc>
      </w:tr>
      <w:tr w14:paraId="20BDA80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0174F472">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质保期</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61659759">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p>
        </w:tc>
      </w:tr>
      <w:tr w14:paraId="7433B68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0F5989A2">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质量要求</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42C6B67D">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3235450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682E6DB8">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投标有效期</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427C58DE">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7ECEC68F">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27C721D2">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项目负责人</w:t>
            </w:r>
          </w:p>
        </w:tc>
        <w:tc>
          <w:tcPr>
            <w:tcW w:w="798" w:type="dxa"/>
            <w:tcBorders>
              <w:top w:val="single" w:color="auto" w:sz="6" w:space="0"/>
              <w:left w:val="single" w:color="auto" w:sz="6" w:space="0"/>
              <w:bottom w:val="single" w:color="auto" w:sz="6" w:space="0"/>
              <w:right w:val="single" w:color="auto" w:sz="6" w:space="0"/>
            </w:tcBorders>
            <w:vAlign w:val="center"/>
          </w:tcPr>
          <w:p w14:paraId="7B84AA7E">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姓名</w:t>
            </w:r>
          </w:p>
        </w:tc>
        <w:tc>
          <w:tcPr>
            <w:tcW w:w="1849" w:type="dxa"/>
            <w:tcBorders>
              <w:top w:val="single" w:color="auto" w:sz="6" w:space="0"/>
              <w:left w:val="single" w:color="auto" w:sz="6" w:space="0"/>
              <w:bottom w:val="single" w:color="auto" w:sz="6" w:space="0"/>
              <w:right w:val="single" w:color="auto" w:sz="6" w:space="0"/>
            </w:tcBorders>
            <w:vAlign w:val="center"/>
          </w:tcPr>
          <w:p w14:paraId="33A0C974">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6" w:space="0"/>
            </w:tcBorders>
            <w:vAlign w:val="center"/>
          </w:tcPr>
          <w:p w14:paraId="18F19EC6">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联系电话</w:t>
            </w:r>
          </w:p>
        </w:tc>
        <w:tc>
          <w:tcPr>
            <w:tcW w:w="2692" w:type="dxa"/>
            <w:tcBorders>
              <w:top w:val="single" w:color="auto" w:sz="6" w:space="0"/>
              <w:left w:val="single" w:color="auto" w:sz="6" w:space="0"/>
              <w:bottom w:val="single" w:color="auto" w:sz="6" w:space="0"/>
              <w:right w:val="single" w:color="auto" w:sz="6" w:space="0"/>
            </w:tcBorders>
            <w:vAlign w:val="center"/>
          </w:tcPr>
          <w:p w14:paraId="636989FE">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77A130CF">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458"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01581188">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备注</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7C830FC6">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bl>
    <w:p w14:paraId="0052B5EF">
      <w:pPr>
        <w:rPr>
          <w:rFonts w:ascii="宋体" w:hAnsi="宋体" w:eastAsia="宋体" w:cs="宋体"/>
          <w:szCs w:val="24"/>
        </w:rPr>
      </w:pPr>
    </w:p>
    <w:p w14:paraId="2DFBCEAF">
      <w:pPr>
        <w:spacing w:line="360" w:lineRule="auto"/>
        <w:rPr>
          <w:rFonts w:ascii="宋体" w:hAnsi="宋体" w:eastAsia="宋体" w:cs="宋体"/>
          <w:szCs w:val="21"/>
        </w:rPr>
      </w:pPr>
    </w:p>
    <w:p w14:paraId="27E92043">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宋体"/>
          <w:sz w:val="24"/>
          <w:szCs w:val="24"/>
        </w:rPr>
        <w:t xml:space="preserve">                        </w:t>
      </w:r>
      <w:r>
        <w:rPr>
          <w:rFonts w:hint="eastAsia" w:ascii="宋体" w:hAnsi="宋体" w:eastAsia="宋体" w:cs="Times New Roman"/>
          <w:color w:val="000000" w:themeColor="text1"/>
          <w:kern w:val="0"/>
          <w:sz w:val="28"/>
          <w:szCs w:val="28"/>
          <w14:textFill>
            <w14:solidFill>
              <w14:schemeClr w14:val="tx1"/>
            </w14:solidFill>
          </w14:textFill>
        </w:rPr>
        <w:t xml:space="preserve">              法定代表人：（签电子章）</w:t>
      </w:r>
    </w:p>
    <w:p w14:paraId="56FF75DC">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磋商供应商：（盖公章）</w:t>
      </w:r>
    </w:p>
    <w:p w14:paraId="3095F692">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年  月  日</w:t>
      </w:r>
    </w:p>
    <w:p w14:paraId="5F279DF7">
      <w:pPr>
        <w:snapToGrid w:val="0"/>
        <w:spacing w:line="560" w:lineRule="exact"/>
        <w:ind w:firstLine="482" w:firstLineChars="200"/>
        <w:jc w:val="center"/>
        <w:outlineLvl w:val="0"/>
        <w:rPr>
          <w:rFonts w:ascii="宋体" w:hAnsi="宋体" w:eastAsia="宋体" w:cs="宋体"/>
          <w:b/>
          <w:bCs/>
          <w:sz w:val="24"/>
          <w:szCs w:val="32"/>
        </w:rPr>
      </w:pPr>
      <w:r>
        <w:rPr>
          <w:rFonts w:hint="eastAsia" w:ascii="宋体" w:hAnsi="宋体" w:eastAsia="宋体" w:cs="宋体"/>
          <w:b/>
          <w:bCs/>
          <w:color w:val="333333"/>
          <w:kern w:val="0"/>
          <w:sz w:val="24"/>
          <w:szCs w:val="24"/>
          <w:shd w:val="clear" w:color="auto" w:fill="FFFFFF"/>
        </w:rPr>
        <w:br w:type="page"/>
      </w:r>
    </w:p>
    <w:p w14:paraId="45A3F33C">
      <w:pPr>
        <w:pStyle w:val="3"/>
        <w:numPr>
          <w:ilvl w:val="1"/>
          <w:numId w:val="0"/>
        </w:numPr>
      </w:pPr>
      <w:bookmarkStart w:id="41" w:name="_Toc5287"/>
      <w:r>
        <w:rPr>
          <w:rFonts w:hint="eastAsia"/>
        </w:rPr>
        <w:t>五、参数一览表</w:t>
      </w:r>
      <w:bookmarkEnd w:id="41"/>
      <w:bookmarkStart w:id="42" w:name="_Toc20771"/>
      <w:bookmarkStart w:id="43" w:name="_Toc31313"/>
    </w:p>
    <w:p w14:paraId="45ECDE5D">
      <w:pPr>
        <w:spacing w:line="360" w:lineRule="auto"/>
        <w:ind w:firstLine="2249" w:firstLineChars="800"/>
        <w:rPr>
          <w:rFonts w:ascii="宋体" w:hAnsi="宋体" w:eastAsia="宋体" w:cs="Times New Roman"/>
          <w:b/>
          <w:bCs/>
          <w:color w:val="000000" w:themeColor="text1"/>
          <w:kern w:val="0"/>
          <w:sz w:val="32"/>
          <w:szCs w:val="32"/>
          <w14:textFill>
            <w14:solidFill>
              <w14:schemeClr w14:val="tx1"/>
            </w14:solidFill>
          </w14:textFill>
        </w:rPr>
      </w:pPr>
      <w:r>
        <w:rPr>
          <w:rFonts w:hint="eastAsia" w:ascii="宋体" w:hAnsi="宋体" w:eastAsia="宋体"/>
          <w:b/>
          <w:bCs/>
          <w:sz w:val="28"/>
          <w:szCs w:val="28"/>
        </w:rPr>
        <w:t>（一）投标货物分项一览表</w:t>
      </w:r>
      <w:bookmarkEnd w:id="42"/>
      <w:bookmarkEnd w:id="43"/>
    </w:p>
    <w:tbl>
      <w:tblPr>
        <w:tblStyle w:val="18"/>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10"/>
        <w:gridCol w:w="1680"/>
        <w:gridCol w:w="900"/>
        <w:gridCol w:w="885"/>
        <w:gridCol w:w="810"/>
        <w:gridCol w:w="1065"/>
        <w:gridCol w:w="1050"/>
        <w:gridCol w:w="805"/>
      </w:tblGrid>
      <w:tr w14:paraId="2F5A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695" w:type="dxa"/>
            <w:gridSpan w:val="2"/>
            <w:vAlign w:val="center"/>
          </w:tcPr>
          <w:p w14:paraId="6FA97E9A">
            <w:pPr>
              <w:widowControl/>
              <w:jc w:val="center"/>
              <w:rPr>
                <w:rFonts w:ascii="宋体" w:hAnsi="宋体" w:eastAsia="宋体" w:cs="宋体"/>
                <w:sz w:val="28"/>
                <w:szCs w:val="28"/>
              </w:rPr>
            </w:pPr>
            <w:r>
              <w:rPr>
                <w:rFonts w:hint="eastAsia" w:ascii="宋体" w:hAnsi="宋体" w:eastAsia="宋体" w:cs="宋体"/>
                <w:sz w:val="28"/>
                <w:szCs w:val="28"/>
              </w:rPr>
              <w:t>供应商名称</w:t>
            </w:r>
          </w:p>
        </w:tc>
        <w:tc>
          <w:tcPr>
            <w:tcW w:w="7195" w:type="dxa"/>
            <w:gridSpan w:val="7"/>
          </w:tcPr>
          <w:p w14:paraId="0133E79F">
            <w:pPr>
              <w:widowControl/>
              <w:jc w:val="center"/>
              <w:rPr>
                <w:rFonts w:ascii="宋体" w:hAnsi="宋体" w:eastAsia="宋体" w:cs="宋体"/>
                <w:sz w:val="28"/>
                <w:szCs w:val="28"/>
              </w:rPr>
            </w:pPr>
          </w:p>
        </w:tc>
      </w:tr>
      <w:tr w14:paraId="76DB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885" w:type="dxa"/>
            <w:vAlign w:val="center"/>
          </w:tcPr>
          <w:p w14:paraId="7124B9EC">
            <w:pPr>
              <w:widowControl/>
              <w:jc w:val="center"/>
              <w:rPr>
                <w:rFonts w:ascii="宋体" w:hAnsi="宋体" w:eastAsia="宋体" w:cs="宋体"/>
                <w:sz w:val="28"/>
                <w:szCs w:val="28"/>
              </w:rPr>
            </w:pPr>
            <w:r>
              <w:rPr>
                <w:rFonts w:hint="eastAsia" w:ascii="宋体" w:hAnsi="宋体" w:eastAsia="宋体" w:cs="宋体"/>
                <w:sz w:val="28"/>
                <w:szCs w:val="28"/>
              </w:rPr>
              <w:t>序号</w:t>
            </w:r>
          </w:p>
        </w:tc>
        <w:tc>
          <w:tcPr>
            <w:tcW w:w="810" w:type="dxa"/>
            <w:vAlign w:val="center"/>
          </w:tcPr>
          <w:p w14:paraId="21F6C6A6">
            <w:pPr>
              <w:spacing w:line="400" w:lineRule="exact"/>
              <w:jc w:val="center"/>
              <w:rPr>
                <w:rFonts w:ascii="Tahoma" w:hAnsi="Tahoma" w:eastAsia="微软雅黑" w:cs="黑体"/>
                <w:sz w:val="28"/>
                <w:szCs w:val="28"/>
              </w:rPr>
            </w:pPr>
            <w:r>
              <w:rPr>
                <w:rFonts w:hint="eastAsia"/>
                <w:sz w:val="28"/>
                <w:szCs w:val="28"/>
              </w:rPr>
              <w:t>产品名称</w:t>
            </w:r>
          </w:p>
        </w:tc>
        <w:tc>
          <w:tcPr>
            <w:tcW w:w="1680" w:type="dxa"/>
            <w:vAlign w:val="center"/>
          </w:tcPr>
          <w:p w14:paraId="0961E14B">
            <w:pPr>
              <w:spacing w:line="400" w:lineRule="exact"/>
              <w:jc w:val="center"/>
              <w:rPr>
                <w:sz w:val="28"/>
                <w:szCs w:val="28"/>
              </w:rPr>
            </w:pPr>
            <w:r>
              <w:rPr>
                <w:rFonts w:hint="eastAsia"/>
                <w:sz w:val="28"/>
                <w:szCs w:val="28"/>
              </w:rPr>
              <w:t>技术规格</w:t>
            </w:r>
          </w:p>
        </w:tc>
        <w:tc>
          <w:tcPr>
            <w:tcW w:w="900" w:type="dxa"/>
            <w:vAlign w:val="center"/>
          </w:tcPr>
          <w:p w14:paraId="540BAFBB">
            <w:pPr>
              <w:spacing w:line="400" w:lineRule="exact"/>
              <w:jc w:val="center"/>
              <w:rPr>
                <w:rFonts w:hint="eastAsia" w:eastAsiaTheme="minorEastAsia"/>
                <w:sz w:val="28"/>
                <w:szCs w:val="28"/>
                <w:lang w:eastAsia="zh-CN"/>
              </w:rPr>
            </w:pPr>
            <w:r>
              <w:rPr>
                <w:rFonts w:hint="eastAsia"/>
                <w:sz w:val="28"/>
                <w:szCs w:val="28"/>
              </w:rPr>
              <w:t>品牌</w:t>
            </w:r>
            <w:r>
              <w:rPr>
                <w:rFonts w:hint="eastAsia"/>
                <w:sz w:val="28"/>
                <w:szCs w:val="28"/>
                <w:lang w:eastAsia="zh-CN"/>
              </w:rPr>
              <w:t>或厂家</w:t>
            </w:r>
          </w:p>
        </w:tc>
        <w:tc>
          <w:tcPr>
            <w:tcW w:w="885" w:type="dxa"/>
            <w:vAlign w:val="center"/>
          </w:tcPr>
          <w:p w14:paraId="7F3305F9">
            <w:pPr>
              <w:spacing w:line="400" w:lineRule="exact"/>
              <w:jc w:val="center"/>
              <w:rPr>
                <w:sz w:val="28"/>
                <w:szCs w:val="28"/>
              </w:rPr>
            </w:pPr>
            <w:r>
              <w:rPr>
                <w:rFonts w:hint="eastAsia"/>
                <w:sz w:val="28"/>
                <w:szCs w:val="28"/>
              </w:rPr>
              <w:t>型号</w:t>
            </w:r>
          </w:p>
        </w:tc>
        <w:tc>
          <w:tcPr>
            <w:tcW w:w="810" w:type="dxa"/>
            <w:vAlign w:val="center"/>
          </w:tcPr>
          <w:p w14:paraId="28E6E6A4">
            <w:pPr>
              <w:spacing w:line="400" w:lineRule="exact"/>
              <w:jc w:val="center"/>
              <w:rPr>
                <w:sz w:val="28"/>
                <w:szCs w:val="28"/>
              </w:rPr>
            </w:pPr>
            <w:r>
              <w:rPr>
                <w:rFonts w:hint="eastAsia"/>
                <w:sz w:val="28"/>
                <w:szCs w:val="28"/>
              </w:rPr>
              <w:t>数量</w:t>
            </w:r>
          </w:p>
        </w:tc>
        <w:tc>
          <w:tcPr>
            <w:tcW w:w="1065" w:type="dxa"/>
            <w:vAlign w:val="center"/>
          </w:tcPr>
          <w:p w14:paraId="44584373">
            <w:pPr>
              <w:spacing w:line="400" w:lineRule="exact"/>
              <w:jc w:val="center"/>
              <w:rPr>
                <w:sz w:val="28"/>
                <w:szCs w:val="28"/>
              </w:rPr>
            </w:pPr>
            <w:r>
              <w:rPr>
                <w:rFonts w:hint="eastAsia"/>
                <w:sz w:val="28"/>
                <w:szCs w:val="28"/>
              </w:rPr>
              <w:t>单价</w:t>
            </w:r>
          </w:p>
          <w:p w14:paraId="7382866F">
            <w:pPr>
              <w:spacing w:line="400" w:lineRule="exact"/>
              <w:jc w:val="center"/>
              <w:rPr>
                <w:sz w:val="28"/>
                <w:szCs w:val="28"/>
              </w:rPr>
            </w:pPr>
            <w:r>
              <w:rPr>
                <w:rFonts w:hint="eastAsia"/>
                <w:sz w:val="28"/>
                <w:szCs w:val="28"/>
              </w:rPr>
              <w:t>（元）</w:t>
            </w:r>
          </w:p>
        </w:tc>
        <w:tc>
          <w:tcPr>
            <w:tcW w:w="1050" w:type="dxa"/>
            <w:vAlign w:val="center"/>
          </w:tcPr>
          <w:p w14:paraId="6CC06982">
            <w:pPr>
              <w:spacing w:line="400" w:lineRule="exact"/>
              <w:jc w:val="center"/>
              <w:rPr>
                <w:sz w:val="28"/>
                <w:szCs w:val="28"/>
              </w:rPr>
            </w:pPr>
            <w:r>
              <w:rPr>
                <w:rFonts w:hint="eastAsia"/>
                <w:sz w:val="28"/>
                <w:szCs w:val="28"/>
              </w:rPr>
              <w:t>合计</w:t>
            </w:r>
          </w:p>
          <w:p w14:paraId="4E0E971A">
            <w:pPr>
              <w:spacing w:line="400" w:lineRule="exact"/>
              <w:jc w:val="center"/>
              <w:rPr>
                <w:sz w:val="28"/>
                <w:szCs w:val="28"/>
              </w:rPr>
            </w:pPr>
            <w:r>
              <w:rPr>
                <w:rFonts w:hint="eastAsia"/>
                <w:sz w:val="28"/>
                <w:szCs w:val="28"/>
              </w:rPr>
              <w:t>（元）</w:t>
            </w:r>
          </w:p>
        </w:tc>
        <w:tc>
          <w:tcPr>
            <w:tcW w:w="805" w:type="dxa"/>
            <w:vAlign w:val="center"/>
          </w:tcPr>
          <w:p w14:paraId="4C973B60">
            <w:pPr>
              <w:spacing w:line="400" w:lineRule="exact"/>
              <w:jc w:val="center"/>
              <w:rPr>
                <w:sz w:val="28"/>
                <w:szCs w:val="28"/>
              </w:rPr>
            </w:pPr>
            <w:r>
              <w:rPr>
                <w:rFonts w:hint="eastAsia"/>
                <w:sz w:val="28"/>
                <w:szCs w:val="28"/>
              </w:rPr>
              <w:t>备注</w:t>
            </w:r>
          </w:p>
        </w:tc>
      </w:tr>
      <w:tr w14:paraId="2E32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5" w:type="dxa"/>
          </w:tcPr>
          <w:p w14:paraId="0890A276">
            <w:pPr>
              <w:widowControl/>
              <w:autoSpaceDE w:val="0"/>
              <w:autoSpaceDN w:val="0"/>
              <w:jc w:val="center"/>
              <w:rPr>
                <w:rFonts w:ascii="宋体" w:hAnsi="宋体" w:eastAsia="宋体" w:cs="宋体"/>
                <w:sz w:val="28"/>
                <w:szCs w:val="28"/>
              </w:rPr>
            </w:pPr>
          </w:p>
        </w:tc>
        <w:tc>
          <w:tcPr>
            <w:tcW w:w="810" w:type="dxa"/>
            <w:vAlign w:val="center"/>
          </w:tcPr>
          <w:p w14:paraId="3F7DA7AD">
            <w:pPr>
              <w:widowControl/>
              <w:autoSpaceDE w:val="0"/>
              <w:autoSpaceDN w:val="0"/>
              <w:jc w:val="center"/>
              <w:rPr>
                <w:rFonts w:ascii="宋体" w:hAnsi="宋体" w:eastAsia="宋体" w:cs="宋体"/>
                <w:sz w:val="28"/>
                <w:szCs w:val="28"/>
              </w:rPr>
            </w:pPr>
          </w:p>
        </w:tc>
        <w:tc>
          <w:tcPr>
            <w:tcW w:w="1680" w:type="dxa"/>
            <w:vAlign w:val="center"/>
          </w:tcPr>
          <w:p w14:paraId="1655BF75">
            <w:pPr>
              <w:widowControl/>
              <w:autoSpaceDE w:val="0"/>
              <w:autoSpaceDN w:val="0"/>
              <w:jc w:val="center"/>
              <w:rPr>
                <w:rFonts w:ascii="宋体" w:hAnsi="宋体" w:eastAsia="宋体" w:cs="宋体"/>
                <w:sz w:val="28"/>
                <w:szCs w:val="28"/>
              </w:rPr>
            </w:pPr>
          </w:p>
        </w:tc>
        <w:tc>
          <w:tcPr>
            <w:tcW w:w="900" w:type="dxa"/>
            <w:vAlign w:val="center"/>
          </w:tcPr>
          <w:p w14:paraId="70783A05">
            <w:pPr>
              <w:widowControl/>
              <w:autoSpaceDE w:val="0"/>
              <w:autoSpaceDN w:val="0"/>
              <w:jc w:val="center"/>
              <w:rPr>
                <w:rFonts w:ascii="宋体" w:hAnsi="宋体" w:eastAsia="宋体" w:cs="宋体"/>
                <w:sz w:val="28"/>
                <w:szCs w:val="28"/>
              </w:rPr>
            </w:pPr>
          </w:p>
        </w:tc>
        <w:tc>
          <w:tcPr>
            <w:tcW w:w="885" w:type="dxa"/>
            <w:vAlign w:val="center"/>
          </w:tcPr>
          <w:p w14:paraId="3C306FC8">
            <w:pPr>
              <w:widowControl/>
              <w:autoSpaceDE w:val="0"/>
              <w:autoSpaceDN w:val="0"/>
              <w:jc w:val="center"/>
              <w:rPr>
                <w:rFonts w:ascii="宋体" w:hAnsi="宋体" w:eastAsia="宋体" w:cs="宋体"/>
                <w:sz w:val="28"/>
                <w:szCs w:val="28"/>
              </w:rPr>
            </w:pPr>
          </w:p>
        </w:tc>
        <w:tc>
          <w:tcPr>
            <w:tcW w:w="810" w:type="dxa"/>
          </w:tcPr>
          <w:p w14:paraId="4E6EECE3">
            <w:pPr>
              <w:widowControl/>
              <w:autoSpaceDE w:val="0"/>
              <w:autoSpaceDN w:val="0"/>
              <w:jc w:val="center"/>
              <w:rPr>
                <w:rFonts w:ascii="宋体" w:hAnsi="宋体" w:eastAsia="宋体" w:cs="宋体"/>
                <w:sz w:val="28"/>
                <w:szCs w:val="28"/>
              </w:rPr>
            </w:pPr>
          </w:p>
        </w:tc>
        <w:tc>
          <w:tcPr>
            <w:tcW w:w="1065" w:type="dxa"/>
            <w:vAlign w:val="center"/>
          </w:tcPr>
          <w:p w14:paraId="177369C3">
            <w:pPr>
              <w:widowControl/>
              <w:autoSpaceDE w:val="0"/>
              <w:autoSpaceDN w:val="0"/>
              <w:jc w:val="center"/>
              <w:rPr>
                <w:rFonts w:ascii="宋体" w:hAnsi="宋体" w:eastAsia="宋体" w:cs="宋体"/>
                <w:sz w:val="28"/>
                <w:szCs w:val="28"/>
              </w:rPr>
            </w:pPr>
          </w:p>
        </w:tc>
        <w:tc>
          <w:tcPr>
            <w:tcW w:w="1050" w:type="dxa"/>
            <w:vAlign w:val="center"/>
          </w:tcPr>
          <w:p w14:paraId="7F116805">
            <w:pPr>
              <w:widowControl/>
              <w:autoSpaceDE w:val="0"/>
              <w:autoSpaceDN w:val="0"/>
              <w:jc w:val="center"/>
              <w:rPr>
                <w:rFonts w:ascii="宋体" w:hAnsi="宋体" w:eastAsia="宋体" w:cs="宋体"/>
                <w:sz w:val="28"/>
                <w:szCs w:val="28"/>
              </w:rPr>
            </w:pPr>
          </w:p>
        </w:tc>
        <w:tc>
          <w:tcPr>
            <w:tcW w:w="805" w:type="dxa"/>
            <w:vAlign w:val="center"/>
          </w:tcPr>
          <w:p w14:paraId="4B6EEB38">
            <w:pPr>
              <w:widowControl/>
              <w:autoSpaceDE w:val="0"/>
              <w:autoSpaceDN w:val="0"/>
              <w:jc w:val="center"/>
              <w:rPr>
                <w:rFonts w:ascii="宋体" w:hAnsi="宋体" w:eastAsia="宋体" w:cs="宋体"/>
                <w:sz w:val="28"/>
                <w:szCs w:val="28"/>
              </w:rPr>
            </w:pPr>
          </w:p>
        </w:tc>
      </w:tr>
      <w:tr w14:paraId="645F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5" w:type="dxa"/>
          </w:tcPr>
          <w:p w14:paraId="212A2C5B">
            <w:pPr>
              <w:widowControl/>
              <w:autoSpaceDE w:val="0"/>
              <w:autoSpaceDN w:val="0"/>
              <w:jc w:val="center"/>
              <w:rPr>
                <w:rFonts w:ascii="宋体" w:hAnsi="宋体" w:eastAsia="宋体" w:cs="宋体"/>
                <w:sz w:val="28"/>
                <w:szCs w:val="28"/>
              </w:rPr>
            </w:pPr>
          </w:p>
        </w:tc>
        <w:tc>
          <w:tcPr>
            <w:tcW w:w="810" w:type="dxa"/>
            <w:vAlign w:val="center"/>
          </w:tcPr>
          <w:p w14:paraId="261CE4A4">
            <w:pPr>
              <w:widowControl/>
              <w:autoSpaceDE w:val="0"/>
              <w:autoSpaceDN w:val="0"/>
              <w:jc w:val="center"/>
              <w:rPr>
                <w:rFonts w:ascii="宋体" w:hAnsi="宋体" w:eastAsia="宋体" w:cs="宋体"/>
                <w:sz w:val="28"/>
                <w:szCs w:val="28"/>
              </w:rPr>
            </w:pPr>
          </w:p>
        </w:tc>
        <w:tc>
          <w:tcPr>
            <w:tcW w:w="1680" w:type="dxa"/>
            <w:vAlign w:val="center"/>
          </w:tcPr>
          <w:p w14:paraId="6BF4904B">
            <w:pPr>
              <w:widowControl/>
              <w:autoSpaceDE w:val="0"/>
              <w:autoSpaceDN w:val="0"/>
              <w:jc w:val="center"/>
              <w:rPr>
                <w:rFonts w:ascii="宋体" w:hAnsi="宋体" w:eastAsia="宋体" w:cs="宋体"/>
                <w:sz w:val="28"/>
                <w:szCs w:val="28"/>
              </w:rPr>
            </w:pPr>
          </w:p>
        </w:tc>
        <w:tc>
          <w:tcPr>
            <w:tcW w:w="900" w:type="dxa"/>
            <w:vAlign w:val="center"/>
          </w:tcPr>
          <w:p w14:paraId="5F68F214">
            <w:pPr>
              <w:widowControl/>
              <w:autoSpaceDE w:val="0"/>
              <w:autoSpaceDN w:val="0"/>
              <w:jc w:val="center"/>
              <w:rPr>
                <w:rFonts w:ascii="宋体" w:hAnsi="宋体" w:eastAsia="宋体" w:cs="宋体"/>
                <w:sz w:val="28"/>
                <w:szCs w:val="28"/>
              </w:rPr>
            </w:pPr>
          </w:p>
        </w:tc>
        <w:tc>
          <w:tcPr>
            <w:tcW w:w="885" w:type="dxa"/>
            <w:vAlign w:val="center"/>
          </w:tcPr>
          <w:p w14:paraId="27C34616">
            <w:pPr>
              <w:widowControl/>
              <w:autoSpaceDE w:val="0"/>
              <w:autoSpaceDN w:val="0"/>
              <w:jc w:val="center"/>
              <w:rPr>
                <w:rFonts w:ascii="宋体" w:hAnsi="宋体" w:eastAsia="宋体" w:cs="宋体"/>
                <w:sz w:val="28"/>
                <w:szCs w:val="28"/>
              </w:rPr>
            </w:pPr>
          </w:p>
        </w:tc>
        <w:tc>
          <w:tcPr>
            <w:tcW w:w="810" w:type="dxa"/>
          </w:tcPr>
          <w:p w14:paraId="6F2E1277">
            <w:pPr>
              <w:widowControl/>
              <w:autoSpaceDE w:val="0"/>
              <w:autoSpaceDN w:val="0"/>
              <w:jc w:val="center"/>
              <w:rPr>
                <w:rFonts w:ascii="宋体" w:hAnsi="宋体" w:eastAsia="宋体" w:cs="宋体"/>
                <w:sz w:val="28"/>
                <w:szCs w:val="28"/>
              </w:rPr>
            </w:pPr>
          </w:p>
        </w:tc>
        <w:tc>
          <w:tcPr>
            <w:tcW w:w="1065" w:type="dxa"/>
            <w:vAlign w:val="center"/>
          </w:tcPr>
          <w:p w14:paraId="22274B9D">
            <w:pPr>
              <w:widowControl/>
              <w:autoSpaceDE w:val="0"/>
              <w:autoSpaceDN w:val="0"/>
              <w:jc w:val="center"/>
              <w:rPr>
                <w:rFonts w:ascii="宋体" w:hAnsi="宋体" w:eastAsia="宋体" w:cs="宋体"/>
                <w:sz w:val="28"/>
                <w:szCs w:val="28"/>
              </w:rPr>
            </w:pPr>
          </w:p>
        </w:tc>
        <w:tc>
          <w:tcPr>
            <w:tcW w:w="1050" w:type="dxa"/>
            <w:vAlign w:val="center"/>
          </w:tcPr>
          <w:p w14:paraId="598A80C6">
            <w:pPr>
              <w:widowControl/>
              <w:autoSpaceDE w:val="0"/>
              <w:autoSpaceDN w:val="0"/>
              <w:jc w:val="center"/>
              <w:rPr>
                <w:rFonts w:ascii="宋体" w:hAnsi="宋体" w:eastAsia="宋体" w:cs="宋体"/>
                <w:sz w:val="28"/>
                <w:szCs w:val="28"/>
              </w:rPr>
            </w:pPr>
          </w:p>
        </w:tc>
        <w:tc>
          <w:tcPr>
            <w:tcW w:w="805" w:type="dxa"/>
            <w:vAlign w:val="center"/>
          </w:tcPr>
          <w:p w14:paraId="28140CAA">
            <w:pPr>
              <w:widowControl/>
              <w:autoSpaceDE w:val="0"/>
              <w:autoSpaceDN w:val="0"/>
              <w:jc w:val="center"/>
              <w:rPr>
                <w:rFonts w:ascii="宋体" w:hAnsi="宋体" w:eastAsia="宋体" w:cs="宋体"/>
                <w:sz w:val="28"/>
                <w:szCs w:val="28"/>
              </w:rPr>
            </w:pPr>
          </w:p>
        </w:tc>
      </w:tr>
      <w:tr w14:paraId="50C7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5" w:type="dxa"/>
          </w:tcPr>
          <w:p w14:paraId="59402745">
            <w:pPr>
              <w:widowControl/>
              <w:autoSpaceDE w:val="0"/>
              <w:autoSpaceDN w:val="0"/>
              <w:jc w:val="center"/>
              <w:rPr>
                <w:rFonts w:ascii="宋体" w:hAnsi="宋体" w:eastAsia="宋体" w:cs="宋体"/>
                <w:sz w:val="28"/>
                <w:szCs w:val="28"/>
              </w:rPr>
            </w:pPr>
          </w:p>
        </w:tc>
        <w:tc>
          <w:tcPr>
            <w:tcW w:w="810" w:type="dxa"/>
            <w:vAlign w:val="center"/>
          </w:tcPr>
          <w:p w14:paraId="752E302F">
            <w:pPr>
              <w:widowControl/>
              <w:autoSpaceDE w:val="0"/>
              <w:autoSpaceDN w:val="0"/>
              <w:jc w:val="center"/>
              <w:rPr>
                <w:rFonts w:ascii="宋体" w:hAnsi="宋体" w:eastAsia="宋体" w:cs="宋体"/>
                <w:sz w:val="28"/>
                <w:szCs w:val="28"/>
              </w:rPr>
            </w:pPr>
          </w:p>
        </w:tc>
        <w:tc>
          <w:tcPr>
            <w:tcW w:w="1680" w:type="dxa"/>
            <w:vAlign w:val="center"/>
          </w:tcPr>
          <w:p w14:paraId="76B26FA2">
            <w:pPr>
              <w:widowControl/>
              <w:autoSpaceDE w:val="0"/>
              <w:autoSpaceDN w:val="0"/>
              <w:jc w:val="center"/>
              <w:rPr>
                <w:rFonts w:ascii="宋体" w:hAnsi="宋体" w:eastAsia="宋体" w:cs="宋体"/>
                <w:sz w:val="28"/>
                <w:szCs w:val="28"/>
              </w:rPr>
            </w:pPr>
          </w:p>
        </w:tc>
        <w:tc>
          <w:tcPr>
            <w:tcW w:w="900" w:type="dxa"/>
            <w:vAlign w:val="center"/>
          </w:tcPr>
          <w:p w14:paraId="5DF7C599">
            <w:pPr>
              <w:widowControl/>
              <w:autoSpaceDE w:val="0"/>
              <w:autoSpaceDN w:val="0"/>
              <w:jc w:val="center"/>
              <w:rPr>
                <w:rFonts w:ascii="宋体" w:hAnsi="宋体" w:eastAsia="宋体" w:cs="宋体"/>
                <w:sz w:val="28"/>
                <w:szCs w:val="28"/>
              </w:rPr>
            </w:pPr>
          </w:p>
        </w:tc>
        <w:tc>
          <w:tcPr>
            <w:tcW w:w="885" w:type="dxa"/>
            <w:vAlign w:val="center"/>
          </w:tcPr>
          <w:p w14:paraId="0538D03A">
            <w:pPr>
              <w:widowControl/>
              <w:autoSpaceDE w:val="0"/>
              <w:autoSpaceDN w:val="0"/>
              <w:rPr>
                <w:rFonts w:ascii="宋体" w:hAnsi="宋体" w:eastAsia="宋体" w:cs="宋体"/>
                <w:sz w:val="28"/>
                <w:szCs w:val="28"/>
              </w:rPr>
            </w:pPr>
          </w:p>
        </w:tc>
        <w:tc>
          <w:tcPr>
            <w:tcW w:w="810" w:type="dxa"/>
          </w:tcPr>
          <w:p w14:paraId="7E0DB93C">
            <w:pPr>
              <w:widowControl/>
              <w:autoSpaceDE w:val="0"/>
              <w:autoSpaceDN w:val="0"/>
              <w:jc w:val="center"/>
              <w:rPr>
                <w:rFonts w:ascii="宋体" w:hAnsi="宋体" w:eastAsia="宋体" w:cs="宋体"/>
                <w:sz w:val="28"/>
                <w:szCs w:val="28"/>
              </w:rPr>
            </w:pPr>
          </w:p>
        </w:tc>
        <w:tc>
          <w:tcPr>
            <w:tcW w:w="1065" w:type="dxa"/>
            <w:vAlign w:val="center"/>
          </w:tcPr>
          <w:p w14:paraId="1D8AED1A">
            <w:pPr>
              <w:widowControl/>
              <w:autoSpaceDE w:val="0"/>
              <w:autoSpaceDN w:val="0"/>
              <w:jc w:val="center"/>
              <w:rPr>
                <w:rFonts w:ascii="宋体" w:hAnsi="宋体" w:eastAsia="宋体" w:cs="宋体"/>
                <w:sz w:val="28"/>
                <w:szCs w:val="28"/>
              </w:rPr>
            </w:pPr>
          </w:p>
        </w:tc>
        <w:tc>
          <w:tcPr>
            <w:tcW w:w="1050" w:type="dxa"/>
            <w:vAlign w:val="center"/>
          </w:tcPr>
          <w:p w14:paraId="5C6F0060">
            <w:pPr>
              <w:widowControl/>
              <w:autoSpaceDE w:val="0"/>
              <w:autoSpaceDN w:val="0"/>
              <w:jc w:val="center"/>
              <w:rPr>
                <w:rFonts w:ascii="宋体" w:hAnsi="宋体" w:eastAsia="宋体" w:cs="宋体"/>
                <w:sz w:val="28"/>
                <w:szCs w:val="28"/>
              </w:rPr>
            </w:pPr>
          </w:p>
        </w:tc>
        <w:tc>
          <w:tcPr>
            <w:tcW w:w="805" w:type="dxa"/>
            <w:vAlign w:val="center"/>
          </w:tcPr>
          <w:p w14:paraId="5515BEA0">
            <w:pPr>
              <w:widowControl/>
              <w:autoSpaceDE w:val="0"/>
              <w:autoSpaceDN w:val="0"/>
              <w:jc w:val="center"/>
              <w:rPr>
                <w:rFonts w:ascii="宋体" w:hAnsi="宋体" w:eastAsia="宋体" w:cs="宋体"/>
                <w:sz w:val="28"/>
                <w:szCs w:val="28"/>
              </w:rPr>
            </w:pPr>
          </w:p>
        </w:tc>
      </w:tr>
      <w:tr w14:paraId="1B52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5" w:type="dxa"/>
          </w:tcPr>
          <w:p w14:paraId="3E568E5F">
            <w:pPr>
              <w:widowControl/>
              <w:autoSpaceDE w:val="0"/>
              <w:autoSpaceDN w:val="0"/>
              <w:jc w:val="center"/>
              <w:rPr>
                <w:rFonts w:ascii="宋体" w:hAnsi="宋体" w:eastAsia="宋体" w:cs="宋体"/>
                <w:sz w:val="28"/>
                <w:szCs w:val="28"/>
              </w:rPr>
            </w:pPr>
          </w:p>
        </w:tc>
        <w:tc>
          <w:tcPr>
            <w:tcW w:w="810" w:type="dxa"/>
            <w:vAlign w:val="center"/>
          </w:tcPr>
          <w:p w14:paraId="7CD99D03">
            <w:pPr>
              <w:widowControl/>
              <w:autoSpaceDE w:val="0"/>
              <w:autoSpaceDN w:val="0"/>
              <w:jc w:val="center"/>
              <w:rPr>
                <w:rFonts w:ascii="宋体" w:hAnsi="宋体" w:eastAsia="宋体" w:cs="宋体"/>
                <w:sz w:val="28"/>
                <w:szCs w:val="28"/>
              </w:rPr>
            </w:pPr>
          </w:p>
        </w:tc>
        <w:tc>
          <w:tcPr>
            <w:tcW w:w="1680" w:type="dxa"/>
            <w:vAlign w:val="center"/>
          </w:tcPr>
          <w:p w14:paraId="28E56B5D">
            <w:pPr>
              <w:widowControl/>
              <w:autoSpaceDE w:val="0"/>
              <w:autoSpaceDN w:val="0"/>
              <w:jc w:val="center"/>
              <w:rPr>
                <w:rFonts w:ascii="宋体" w:hAnsi="宋体" w:eastAsia="宋体" w:cs="宋体"/>
                <w:sz w:val="28"/>
                <w:szCs w:val="28"/>
              </w:rPr>
            </w:pPr>
          </w:p>
        </w:tc>
        <w:tc>
          <w:tcPr>
            <w:tcW w:w="900" w:type="dxa"/>
            <w:vAlign w:val="center"/>
          </w:tcPr>
          <w:p w14:paraId="5474A0A8">
            <w:pPr>
              <w:widowControl/>
              <w:autoSpaceDE w:val="0"/>
              <w:autoSpaceDN w:val="0"/>
              <w:jc w:val="center"/>
              <w:rPr>
                <w:rFonts w:ascii="宋体" w:hAnsi="宋体" w:eastAsia="宋体" w:cs="宋体"/>
                <w:sz w:val="28"/>
                <w:szCs w:val="28"/>
              </w:rPr>
            </w:pPr>
          </w:p>
        </w:tc>
        <w:tc>
          <w:tcPr>
            <w:tcW w:w="885" w:type="dxa"/>
            <w:vAlign w:val="center"/>
          </w:tcPr>
          <w:p w14:paraId="1C131F7B">
            <w:pPr>
              <w:widowControl/>
              <w:autoSpaceDE w:val="0"/>
              <w:autoSpaceDN w:val="0"/>
              <w:jc w:val="center"/>
              <w:rPr>
                <w:rFonts w:ascii="宋体" w:hAnsi="宋体" w:eastAsia="宋体" w:cs="宋体"/>
                <w:sz w:val="28"/>
                <w:szCs w:val="28"/>
              </w:rPr>
            </w:pPr>
          </w:p>
        </w:tc>
        <w:tc>
          <w:tcPr>
            <w:tcW w:w="810" w:type="dxa"/>
          </w:tcPr>
          <w:p w14:paraId="49C95BB1">
            <w:pPr>
              <w:widowControl/>
              <w:autoSpaceDE w:val="0"/>
              <w:autoSpaceDN w:val="0"/>
              <w:jc w:val="center"/>
              <w:rPr>
                <w:rFonts w:ascii="宋体" w:hAnsi="宋体" w:eastAsia="宋体" w:cs="宋体"/>
                <w:sz w:val="28"/>
                <w:szCs w:val="28"/>
              </w:rPr>
            </w:pPr>
          </w:p>
        </w:tc>
        <w:tc>
          <w:tcPr>
            <w:tcW w:w="1065" w:type="dxa"/>
            <w:vAlign w:val="center"/>
          </w:tcPr>
          <w:p w14:paraId="7B1BD277">
            <w:pPr>
              <w:widowControl/>
              <w:autoSpaceDE w:val="0"/>
              <w:autoSpaceDN w:val="0"/>
              <w:jc w:val="center"/>
              <w:rPr>
                <w:rFonts w:ascii="宋体" w:hAnsi="宋体" w:eastAsia="宋体" w:cs="宋体"/>
                <w:sz w:val="28"/>
                <w:szCs w:val="28"/>
              </w:rPr>
            </w:pPr>
          </w:p>
        </w:tc>
        <w:tc>
          <w:tcPr>
            <w:tcW w:w="1050" w:type="dxa"/>
            <w:vAlign w:val="center"/>
          </w:tcPr>
          <w:p w14:paraId="20B0D75B">
            <w:pPr>
              <w:widowControl/>
              <w:autoSpaceDE w:val="0"/>
              <w:autoSpaceDN w:val="0"/>
              <w:jc w:val="center"/>
              <w:rPr>
                <w:rFonts w:ascii="宋体" w:hAnsi="宋体" w:eastAsia="宋体" w:cs="宋体"/>
                <w:sz w:val="28"/>
                <w:szCs w:val="28"/>
              </w:rPr>
            </w:pPr>
          </w:p>
        </w:tc>
        <w:tc>
          <w:tcPr>
            <w:tcW w:w="805" w:type="dxa"/>
            <w:vAlign w:val="center"/>
          </w:tcPr>
          <w:p w14:paraId="06E261C4">
            <w:pPr>
              <w:widowControl/>
              <w:autoSpaceDE w:val="0"/>
              <w:autoSpaceDN w:val="0"/>
              <w:jc w:val="center"/>
              <w:rPr>
                <w:rFonts w:ascii="宋体" w:hAnsi="宋体" w:eastAsia="宋体" w:cs="宋体"/>
                <w:sz w:val="28"/>
                <w:szCs w:val="28"/>
              </w:rPr>
            </w:pPr>
          </w:p>
        </w:tc>
      </w:tr>
      <w:tr w14:paraId="3156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5" w:type="dxa"/>
          </w:tcPr>
          <w:p w14:paraId="62B36A5B">
            <w:pPr>
              <w:widowControl/>
              <w:autoSpaceDE w:val="0"/>
              <w:autoSpaceDN w:val="0"/>
              <w:jc w:val="center"/>
              <w:rPr>
                <w:rFonts w:ascii="宋体" w:hAnsi="宋体" w:eastAsia="宋体" w:cs="宋体"/>
                <w:sz w:val="28"/>
                <w:szCs w:val="28"/>
              </w:rPr>
            </w:pPr>
          </w:p>
        </w:tc>
        <w:tc>
          <w:tcPr>
            <w:tcW w:w="810" w:type="dxa"/>
            <w:vAlign w:val="center"/>
          </w:tcPr>
          <w:p w14:paraId="4F883D43">
            <w:pPr>
              <w:widowControl/>
              <w:autoSpaceDE w:val="0"/>
              <w:autoSpaceDN w:val="0"/>
              <w:jc w:val="center"/>
              <w:rPr>
                <w:rFonts w:ascii="宋体" w:hAnsi="宋体" w:eastAsia="宋体" w:cs="宋体"/>
                <w:sz w:val="28"/>
                <w:szCs w:val="28"/>
              </w:rPr>
            </w:pPr>
          </w:p>
        </w:tc>
        <w:tc>
          <w:tcPr>
            <w:tcW w:w="1680" w:type="dxa"/>
            <w:vAlign w:val="center"/>
          </w:tcPr>
          <w:p w14:paraId="279266E4">
            <w:pPr>
              <w:widowControl/>
              <w:autoSpaceDE w:val="0"/>
              <w:autoSpaceDN w:val="0"/>
              <w:jc w:val="center"/>
              <w:rPr>
                <w:rFonts w:ascii="宋体" w:hAnsi="宋体" w:eastAsia="宋体" w:cs="宋体"/>
                <w:sz w:val="28"/>
                <w:szCs w:val="28"/>
              </w:rPr>
            </w:pPr>
          </w:p>
        </w:tc>
        <w:tc>
          <w:tcPr>
            <w:tcW w:w="900" w:type="dxa"/>
            <w:vAlign w:val="center"/>
          </w:tcPr>
          <w:p w14:paraId="2E99CCD3">
            <w:pPr>
              <w:widowControl/>
              <w:autoSpaceDE w:val="0"/>
              <w:autoSpaceDN w:val="0"/>
              <w:jc w:val="center"/>
              <w:rPr>
                <w:rFonts w:ascii="宋体" w:hAnsi="宋体" w:eastAsia="宋体" w:cs="宋体"/>
                <w:sz w:val="28"/>
                <w:szCs w:val="28"/>
              </w:rPr>
            </w:pPr>
          </w:p>
        </w:tc>
        <w:tc>
          <w:tcPr>
            <w:tcW w:w="885" w:type="dxa"/>
            <w:vAlign w:val="center"/>
          </w:tcPr>
          <w:p w14:paraId="6010C151">
            <w:pPr>
              <w:widowControl/>
              <w:autoSpaceDE w:val="0"/>
              <w:autoSpaceDN w:val="0"/>
              <w:jc w:val="center"/>
              <w:rPr>
                <w:rFonts w:ascii="宋体" w:hAnsi="宋体" w:eastAsia="宋体" w:cs="宋体"/>
                <w:sz w:val="28"/>
                <w:szCs w:val="28"/>
              </w:rPr>
            </w:pPr>
          </w:p>
        </w:tc>
        <w:tc>
          <w:tcPr>
            <w:tcW w:w="810" w:type="dxa"/>
          </w:tcPr>
          <w:p w14:paraId="77134C6E">
            <w:pPr>
              <w:widowControl/>
              <w:autoSpaceDE w:val="0"/>
              <w:autoSpaceDN w:val="0"/>
              <w:jc w:val="center"/>
              <w:rPr>
                <w:rFonts w:ascii="宋体" w:hAnsi="宋体" w:eastAsia="宋体" w:cs="宋体"/>
                <w:sz w:val="28"/>
                <w:szCs w:val="28"/>
              </w:rPr>
            </w:pPr>
          </w:p>
        </w:tc>
        <w:tc>
          <w:tcPr>
            <w:tcW w:w="1065" w:type="dxa"/>
            <w:vAlign w:val="center"/>
          </w:tcPr>
          <w:p w14:paraId="3CC5B2AC">
            <w:pPr>
              <w:widowControl/>
              <w:autoSpaceDE w:val="0"/>
              <w:autoSpaceDN w:val="0"/>
              <w:jc w:val="center"/>
              <w:rPr>
                <w:rFonts w:ascii="宋体" w:hAnsi="宋体" w:eastAsia="宋体" w:cs="宋体"/>
                <w:sz w:val="28"/>
                <w:szCs w:val="28"/>
              </w:rPr>
            </w:pPr>
          </w:p>
        </w:tc>
        <w:tc>
          <w:tcPr>
            <w:tcW w:w="1050" w:type="dxa"/>
            <w:vAlign w:val="center"/>
          </w:tcPr>
          <w:p w14:paraId="4C052FFC">
            <w:pPr>
              <w:widowControl/>
              <w:autoSpaceDE w:val="0"/>
              <w:autoSpaceDN w:val="0"/>
              <w:jc w:val="center"/>
              <w:rPr>
                <w:rFonts w:ascii="宋体" w:hAnsi="宋体" w:eastAsia="宋体" w:cs="宋体"/>
                <w:sz w:val="28"/>
                <w:szCs w:val="28"/>
              </w:rPr>
            </w:pPr>
          </w:p>
        </w:tc>
        <w:tc>
          <w:tcPr>
            <w:tcW w:w="805" w:type="dxa"/>
            <w:vAlign w:val="center"/>
          </w:tcPr>
          <w:p w14:paraId="6F1F39C3">
            <w:pPr>
              <w:widowControl/>
              <w:autoSpaceDE w:val="0"/>
              <w:autoSpaceDN w:val="0"/>
              <w:jc w:val="center"/>
              <w:rPr>
                <w:rFonts w:ascii="宋体" w:hAnsi="宋体" w:eastAsia="宋体" w:cs="宋体"/>
                <w:sz w:val="28"/>
                <w:szCs w:val="28"/>
              </w:rPr>
            </w:pPr>
          </w:p>
        </w:tc>
      </w:tr>
      <w:tr w14:paraId="2B9B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90" w:type="dxa"/>
            <w:gridSpan w:val="9"/>
          </w:tcPr>
          <w:p w14:paraId="7B8FADFD">
            <w:pPr>
              <w:widowControl/>
              <w:autoSpaceDE w:val="0"/>
              <w:autoSpaceDN w:val="0"/>
              <w:jc w:val="center"/>
              <w:rPr>
                <w:rFonts w:ascii="宋体" w:hAnsi="宋体" w:eastAsia="宋体" w:cs="宋体"/>
                <w:sz w:val="28"/>
                <w:szCs w:val="28"/>
              </w:rPr>
            </w:pPr>
            <w:bookmarkStart w:id="44" w:name="_Toc18217"/>
            <w:r>
              <w:rPr>
                <w:rFonts w:hint="eastAsia" w:ascii="宋体" w:hAnsi="宋体" w:eastAsia="宋体" w:cs="宋体"/>
                <w:b/>
                <w:bCs/>
                <w:sz w:val="28"/>
                <w:szCs w:val="28"/>
              </w:rPr>
              <w:t>投标总价(人民币)</w:t>
            </w:r>
            <w:bookmarkEnd w:id="44"/>
            <w:r>
              <w:rPr>
                <w:rFonts w:hint="eastAsia" w:ascii="宋体" w:hAnsi="宋体" w:eastAsia="宋体" w:cs="宋体"/>
                <w:b/>
                <w:bCs/>
                <w:sz w:val="28"/>
                <w:szCs w:val="28"/>
              </w:rPr>
              <w:t>大写：</w:t>
            </w:r>
            <w:r>
              <w:rPr>
                <w:rFonts w:hint="eastAsia" w:ascii="宋体" w:hAnsi="宋体" w:eastAsia="宋体" w:cs="宋体"/>
                <w:b/>
                <w:bCs/>
                <w:sz w:val="28"/>
                <w:szCs w:val="28"/>
                <w:u w:val="single"/>
              </w:rPr>
              <w:t xml:space="preserve">                  （￥：         元）</w:t>
            </w:r>
          </w:p>
        </w:tc>
      </w:tr>
    </w:tbl>
    <w:p w14:paraId="56929758">
      <w:pPr>
        <w:widowControl/>
        <w:spacing w:line="520" w:lineRule="atLeast"/>
        <w:rPr>
          <w:rFonts w:ascii="宋体" w:hAnsi="宋体" w:eastAsia="宋体" w:cs="宋体"/>
          <w:sz w:val="28"/>
          <w:szCs w:val="28"/>
        </w:rPr>
      </w:pPr>
      <w:r>
        <w:rPr>
          <w:rFonts w:hint="eastAsia" w:ascii="宋体" w:hAnsi="宋体" w:eastAsia="宋体" w:cs="宋体"/>
          <w:sz w:val="28"/>
          <w:szCs w:val="28"/>
        </w:rPr>
        <w:t>注：1.投标人根据招标文件采购清单中的各项内容并按照上述格式详细填报计费项目、分项价格和投标合价，投标人可根据填报内容需要自行增减表格，但不能修改表格内实质性内容。</w:t>
      </w:r>
    </w:p>
    <w:p w14:paraId="09F3F902">
      <w:pPr>
        <w:widowControl/>
        <w:spacing w:line="520" w:lineRule="atLeast"/>
        <w:rPr>
          <w:rFonts w:ascii="宋体" w:hAnsi="宋体" w:eastAsia="宋体" w:cs="宋体"/>
          <w:sz w:val="28"/>
          <w:szCs w:val="28"/>
        </w:rPr>
      </w:pPr>
      <w:r>
        <w:rPr>
          <w:rFonts w:hint="eastAsia" w:ascii="宋体" w:hAnsi="宋体" w:eastAsia="宋体" w:cs="宋体"/>
          <w:sz w:val="28"/>
          <w:szCs w:val="28"/>
        </w:rPr>
        <w:t>2.表中的投标总价应和开标一览表中的投标总价相一致；</w:t>
      </w:r>
    </w:p>
    <w:p w14:paraId="5B0A0514">
      <w:pPr>
        <w:widowControl/>
        <w:spacing w:line="520" w:lineRule="atLeas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宋体"/>
          <w:sz w:val="28"/>
          <w:szCs w:val="28"/>
        </w:rPr>
        <w:t>3.如果按单价计算的结果与总价不一致，以单价为准修正总价，但单价金额小数点有明显错误的除外。</w:t>
      </w:r>
    </w:p>
    <w:p w14:paraId="4DDFCF0B">
      <w:pPr>
        <w:widowControl/>
        <w:spacing w:line="520" w:lineRule="atLeast"/>
        <w:ind w:firstLine="3780" w:firstLineChars="1350"/>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法定代表人：（签电子章） </w:t>
      </w:r>
    </w:p>
    <w:p w14:paraId="175F5767">
      <w:pPr>
        <w:widowControl/>
        <w:spacing w:line="520" w:lineRule="atLeast"/>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磋商供应商：（盖公章）</w:t>
      </w:r>
    </w:p>
    <w:p w14:paraId="202FABFB">
      <w:pPr>
        <w:widowControl/>
        <w:spacing w:line="520" w:lineRule="atLeast"/>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年 月 日</w:t>
      </w:r>
      <w:r>
        <w:rPr>
          <w:rFonts w:ascii="Calibri" w:hAnsi="Calibri" w:eastAsia="宋体" w:cs="Times New Roman"/>
          <w:color w:val="000000" w:themeColor="text1"/>
          <w:kern w:val="0"/>
          <w:sz w:val="28"/>
          <w:szCs w:val="28"/>
          <w14:textFill>
            <w14:solidFill>
              <w14:schemeClr w14:val="tx1"/>
            </w14:solidFill>
          </w14:textFill>
        </w:rPr>
        <w:br w:type="page"/>
      </w:r>
    </w:p>
    <w:p w14:paraId="6063BAE2">
      <w:pPr>
        <w:pStyle w:val="32"/>
        <w:ind w:firstLine="420"/>
      </w:pPr>
    </w:p>
    <w:p w14:paraId="02C84421">
      <w:pPr>
        <w:spacing w:line="480" w:lineRule="auto"/>
        <w:jc w:val="center"/>
        <w:rPr>
          <w:rFonts w:ascii="宋体" w:hAnsi="宋体" w:eastAsia="宋体" w:cs="宋体"/>
          <w:b/>
          <w:bCs/>
          <w:sz w:val="28"/>
          <w:szCs w:val="28"/>
        </w:rPr>
      </w:pPr>
      <w:bookmarkStart w:id="45" w:name="_Toc11903"/>
      <w:r>
        <w:rPr>
          <w:rFonts w:hint="eastAsia" w:ascii="宋体" w:hAnsi="宋体" w:eastAsia="宋体" w:cs="宋体"/>
          <w:b/>
          <w:bCs/>
          <w:sz w:val="28"/>
          <w:szCs w:val="28"/>
        </w:rPr>
        <w:t>（二）技术要求响应与偏差表</w:t>
      </w:r>
      <w:bookmarkEnd w:id="45"/>
    </w:p>
    <w:tbl>
      <w:tblPr>
        <w:tblStyle w:val="18"/>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366"/>
        <w:gridCol w:w="2280"/>
        <w:gridCol w:w="2252"/>
        <w:gridCol w:w="1146"/>
        <w:gridCol w:w="1107"/>
      </w:tblGrid>
      <w:tr w14:paraId="47B6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restart"/>
            <w:tcBorders>
              <w:top w:val="single" w:color="auto" w:sz="4" w:space="0"/>
              <w:left w:val="single" w:color="auto" w:sz="4" w:space="0"/>
              <w:bottom w:val="single" w:color="auto" w:sz="4" w:space="0"/>
              <w:right w:val="single" w:color="auto" w:sz="4" w:space="0"/>
            </w:tcBorders>
            <w:vAlign w:val="center"/>
          </w:tcPr>
          <w:p w14:paraId="0C3D3E1D">
            <w:pPr>
              <w:widowControl/>
              <w:autoSpaceDE w:val="0"/>
              <w:autoSpaceDN w:val="0"/>
              <w:jc w:val="center"/>
              <w:rPr>
                <w:rFonts w:ascii="宋体" w:hAnsi="宋体" w:eastAsia="宋体" w:cs="宋体"/>
                <w:sz w:val="28"/>
                <w:szCs w:val="28"/>
              </w:rPr>
            </w:pPr>
            <w:r>
              <w:rPr>
                <w:rFonts w:hint="eastAsia" w:ascii="宋体" w:hAnsi="宋体" w:eastAsia="宋体" w:cs="宋体"/>
                <w:sz w:val="28"/>
                <w:szCs w:val="28"/>
              </w:rPr>
              <w:t>序号</w:t>
            </w:r>
          </w:p>
        </w:tc>
        <w:tc>
          <w:tcPr>
            <w:tcW w:w="1366" w:type="dxa"/>
            <w:vMerge w:val="restart"/>
            <w:tcBorders>
              <w:top w:val="single" w:color="auto" w:sz="4" w:space="0"/>
              <w:left w:val="nil"/>
              <w:bottom w:val="single" w:color="auto" w:sz="4" w:space="0"/>
              <w:right w:val="single" w:color="auto" w:sz="4" w:space="0"/>
            </w:tcBorders>
            <w:vAlign w:val="center"/>
          </w:tcPr>
          <w:p w14:paraId="3448F1EA">
            <w:pPr>
              <w:widowControl/>
              <w:autoSpaceDE w:val="0"/>
              <w:autoSpaceDN w:val="0"/>
              <w:jc w:val="center"/>
              <w:rPr>
                <w:rFonts w:ascii="宋体" w:hAnsi="宋体" w:eastAsia="宋体" w:cs="宋体"/>
                <w:sz w:val="28"/>
                <w:szCs w:val="28"/>
              </w:rPr>
            </w:pPr>
            <w:r>
              <w:rPr>
                <w:rFonts w:hint="eastAsia" w:ascii="宋体" w:hAnsi="宋体" w:eastAsia="宋体" w:cs="宋体"/>
                <w:sz w:val="28"/>
                <w:szCs w:val="28"/>
              </w:rPr>
              <w:t>货物名称</w:t>
            </w:r>
          </w:p>
        </w:tc>
        <w:tc>
          <w:tcPr>
            <w:tcW w:w="4532" w:type="dxa"/>
            <w:gridSpan w:val="2"/>
            <w:tcBorders>
              <w:top w:val="single" w:color="auto" w:sz="4" w:space="0"/>
              <w:left w:val="nil"/>
              <w:right w:val="single" w:color="auto" w:sz="4" w:space="0"/>
            </w:tcBorders>
            <w:vAlign w:val="center"/>
          </w:tcPr>
          <w:p w14:paraId="1FD0BF66">
            <w:pPr>
              <w:widowControl/>
              <w:autoSpaceDE w:val="0"/>
              <w:autoSpaceDN w:val="0"/>
              <w:jc w:val="center"/>
              <w:rPr>
                <w:rFonts w:ascii="宋体" w:hAnsi="宋体" w:eastAsia="宋体" w:cs="宋体"/>
                <w:sz w:val="28"/>
                <w:szCs w:val="28"/>
              </w:rPr>
            </w:pPr>
            <w:r>
              <w:rPr>
                <w:rFonts w:hint="eastAsia" w:ascii="宋体" w:hAnsi="宋体" w:eastAsia="宋体" w:cs="宋体"/>
                <w:sz w:val="28"/>
                <w:szCs w:val="28"/>
              </w:rPr>
              <w:t>投标产品</w:t>
            </w:r>
          </w:p>
        </w:tc>
        <w:tc>
          <w:tcPr>
            <w:tcW w:w="1146" w:type="dxa"/>
            <w:vMerge w:val="restart"/>
            <w:tcBorders>
              <w:top w:val="single" w:color="auto" w:sz="4" w:space="0"/>
              <w:left w:val="nil"/>
              <w:bottom w:val="single" w:color="auto" w:sz="4" w:space="0"/>
              <w:right w:val="single" w:color="auto" w:sz="4" w:space="0"/>
            </w:tcBorders>
            <w:vAlign w:val="center"/>
          </w:tcPr>
          <w:p w14:paraId="25BB0465">
            <w:pPr>
              <w:widowControl/>
              <w:autoSpaceDE w:val="0"/>
              <w:autoSpaceDN w:val="0"/>
              <w:jc w:val="center"/>
              <w:rPr>
                <w:rFonts w:ascii="宋体" w:hAnsi="宋体" w:eastAsia="宋体" w:cs="宋体"/>
                <w:sz w:val="28"/>
                <w:szCs w:val="28"/>
              </w:rPr>
            </w:pPr>
            <w:r>
              <w:rPr>
                <w:rFonts w:hint="eastAsia" w:ascii="宋体" w:hAnsi="宋体" w:eastAsia="宋体" w:cs="宋体"/>
                <w:sz w:val="28"/>
                <w:szCs w:val="28"/>
              </w:rPr>
              <w:t>偏差描述</w:t>
            </w:r>
          </w:p>
        </w:tc>
        <w:tc>
          <w:tcPr>
            <w:tcW w:w="1107" w:type="dxa"/>
            <w:vMerge w:val="restart"/>
            <w:tcBorders>
              <w:top w:val="single" w:color="auto" w:sz="4" w:space="0"/>
              <w:left w:val="nil"/>
              <w:bottom w:val="single" w:color="auto" w:sz="4" w:space="0"/>
              <w:right w:val="single" w:color="auto" w:sz="4" w:space="0"/>
            </w:tcBorders>
            <w:vAlign w:val="center"/>
          </w:tcPr>
          <w:p w14:paraId="22601FAD">
            <w:pPr>
              <w:widowControl/>
              <w:autoSpaceDE w:val="0"/>
              <w:autoSpaceDN w:val="0"/>
              <w:jc w:val="center"/>
              <w:rPr>
                <w:rFonts w:ascii="宋体" w:hAnsi="宋体" w:eastAsia="宋体" w:cs="宋体"/>
                <w:sz w:val="28"/>
                <w:szCs w:val="28"/>
              </w:rPr>
            </w:pPr>
            <w:r>
              <w:rPr>
                <w:rFonts w:hint="eastAsia" w:ascii="宋体" w:hAnsi="宋体" w:eastAsia="宋体" w:cs="宋体"/>
                <w:sz w:val="28"/>
                <w:szCs w:val="28"/>
              </w:rPr>
              <w:t>结论</w:t>
            </w:r>
          </w:p>
        </w:tc>
      </w:tr>
      <w:tr w14:paraId="1F73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293E85EF">
            <w:pPr>
              <w:widowControl/>
              <w:autoSpaceDE w:val="0"/>
              <w:autoSpaceDN w:val="0"/>
              <w:jc w:val="center"/>
              <w:rPr>
                <w:rFonts w:ascii="宋体" w:hAnsi="宋体" w:eastAsia="宋体" w:cs="宋体"/>
                <w:sz w:val="28"/>
                <w:szCs w:val="28"/>
              </w:rPr>
            </w:pPr>
          </w:p>
        </w:tc>
        <w:tc>
          <w:tcPr>
            <w:tcW w:w="1366" w:type="dxa"/>
            <w:vMerge w:val="continue"/>
            <w:tcBorders>
              <w:top w:val="single" w:color="auto" w:sz="4" w:space="0"/>
              <w:left w:val="nil"/>
              <w:bottom w:val="single" w:color="auto" w:sz="4" w:space="0"/>
              <w:right w:val="single" w:color="auto" w:sz="4" w:space="0"/>
            </w:tcBorders>
            <w:vAlign w:val="center"/>
          </w:tcPr>
          <w:p w14:paraId="3152CCC6">
            <w:pPr>
              <w:widowControl/>
              <w:autoSpaceDE w:val="0"/>
              <w:autoSpaceDN w:val="0"/>
              <w:jc w:val="center"/>
              <w:rPr>
                <w:rFonts w:ascii="宋体" w:hAnsi="宋体" w:eastAsia="宋体" w:cs="宋体"/>
                <w:sz w:val="28"/>
                <w:szCs w:val="28"/>
              </w:rPr>
            </w:pPr>
          </w:p>
        </w:tc>
        <w:tc>
          <w:tcPr>
            <w:tcW w:w="2280" w:type="dxa"/>
            <w:tcBorders>
              <w:left w:val="nil"/>
              <w:bottom w:val="single" w:color="auto" w:sz="4" w:space="0"/>
              <w:right w:val="single" w:color="auto" w:sz="4" w:space="0"/>
            </w:tcBorders>
            <w:vAlign w:val="center"/>
          </w:tcPr>
          <w:p w14:paraId="18D872FE">
            <w:pPr>
              <w:widowControl/>
              <w:autoSpaceDE w:val="0"/>
              <w:autoSpaceDN w:val="0"/>
              <w:jc w:val="center"/>
              <w:rPr>
                <w:rFonts w:ascii="宋体" w:hAnsi="宋体" w:eastAsia="宋体" w:cs="宋体"/>
                <w:sz w:val="28"/>
                <w:szCs w:val="28"/>
              </w:rPr>
            </w:pPr>
            <w:r>
              <w:rPr>
                <w:rFonts w:hint="eastAsia" w:ascii="宋体" w:hAnsi="宋体" w:eastAsia="宋体" w:cs="宋体"/>
                <w:sz w:val="28"/>
                <w:szCs w:val="28"/>
                <w:lang w:eastAsia="zh-CN"/>
              </w:rPr>
              <w:t>磋商</w:t>
            </w:r>
            <w:r>
              <w:rPr>
                <w:rFonts w:hint="eastAsia" w:ascii="宋体" w:hAnsi="宋体" w:eastAsia="宋体" w:cs="宋体"/>
                <w:sz w:val="28"/>
                <w:szCs w:val="28"/>
              </w:rPr>
              <w:t>文件要求的技术性能指标和参数</w:t>
            </w:r>
          </w:p>
        </w:tc>
        <w:tc>
          <w:tcPr>
            <w:tcW w:w="2252" w:type="dxa"/>
            <w:tcBorders>
              <w:top w:val="single" w:color="auto" w:sz="4" w:space="0"/>
              <w:left w:val="nil"/>
              <w:bottom w:val="single" w:color="auto" w:sz="4" w:space="0"/>
              <w:right w:val="single" w:color="auto" w:sz="4" w:space="0"/>
            </w:tcBorders>
            <w:vAlign w:val="center"/>
          </w:tcPr>
          <w:p w14:paraId="7529F8B4">
            <w:pPr>
              <w:widowControl/>
              <w:autoSpaceDE w:val="0"/>
              <w:autoSpaceDN w:val="0"/>
              <w:jc w:val="center"/>
              <w:rPr>
                <w:rFonts w:ascii="宋体" w:hAnsi="宋体" w:eastAsia="宋体" w:cs="宋体"/>
                <w:sz w:val="28"/>
                <w:szCs w:val="28"/>
              </w:rPr>
            </w:pPr>
            <w:r>
              <w:rPr>
                <w:rFonts w:hint="eastAsia" w:ascii="宋体" w:hAnsi="宋体" w:eastAsia="宋体" w:cs="宋体"/>
                <w:sz w:val="28"/>
                <w:szCs w:val="28"/>
              </w:rPr>
              <w:t>实际技术性能指标和参数</w:t>
            </w:r>
          </w:p>
        </w:tc>
        <w:tc>
          <w:tcPr>
            <w:tcW w:w="1146" w:type="dxa"/>
            <w:vMerge w:val="continue"/>
            <w:tcBorders>
              <w:top w:val="single" w:color="auto" w:sz="4" w:space="0"/>
              <w:left w:val="nil"/>
              <w:bottom w:val="single" w:color="auto" w:sz="4" w:space="0"/>
              <w:right w:val="single" w:color="auto" w:sz="4" w:space="0"/>
            </w:tcBorders>
            <w:vAlign w:val="center"/>
          </w:tcPr>
          <w:p w14:paraId="72F88D0B">
            <w:pPr>
              <w:widowControl/>
              <w:autoSpaceDE w:val="0"/>
              <w:autoSpaceDN w:val="0"/>
              <w:jc w:val="center"/>
              <w:rPr>
                <w:rFonts w:ascii="宋体" w:hAnsi="宋体" w:eastAsia="宋体" w:cs="宋体"/>
                <w:sz w:val="28"/>
                <w:szCs w:val="28"/>
              </w:rPr>
            </w:pPr>
          </w:p>
        </w:tc>
        <w:tc>
          <w:tcPr>
            <w:tcW w:w="1107" w:type="dxa"/>
            <w:vMerge w:val="continue"/>
            <w:tcBorders>
              <w:top w:val="single" w:color="auto" w:sz="4" w:space="0"/>
              <w:left w:val="nil"/>
              <w:bottom w:val="single" w:color="auto" w:sz="4" w:space="0"/>
              <w:right w:val="single" w:color="auto" w:sz="4" w:space="0"/>
            </w:tcBorders>
            <w:vAlign w:val="center"/>
          </w:tcPr>
          <w:p w14:paraId="0A08C0BB">
            <w:pPr>
              <w:widowControl/>
              <w:autoSpaceDE w:val="0"/>
              <w:autoSpaceDN w:val="0"/>
              <w:jc w:val="center"/>
              <w:rPr>
                <w:rFonts w:ascii="宋体" w:hAnsi="宋体" w:eastAsia="宋体" w:cs="宋体"/>
                <w:sz w:val="28"/>
                <w:szCs w:val="28"/>
              </w:rPr>
            </w:pPr>
          </w:p>
        </w:tc>
      </w:tr>
      <w:tr w14:paraId="5E5E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7F6956E9">
            <w:pPr>
              <w:widowControl/>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5492D743">
            <w:pPr>
              <w:widowControl/>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43B315E8">
            <w:pPr>
              <w:widowControl/>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1107231A">
            <w:pPr>
              <w:widowControl/>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75EE6BE7">
            <w:pPr>
              <w:widowControl/>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4CFA25A2">
            <w:pPr>
              <w:widowControl/>
              <w:autoSpaceDE w:val="0"/>
              <w:autoSpaceDN w:val="0"/>
              <w:jc w:val="center"/>
              <w:rPr>
                <w:rFonts w:ascii="宋体" w:hAnsi="宋体" w:eastAsia="宋体" w:cs="宋体"/>
                <w:sz w:val="28"/>
                <w:szCs w:val="28"/>
              </w:rPr>
            </w:pPr>
          </w:p>
        </w:tc>
      </w:tr>
      <w:tr w14:paraId="3683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4F6DB8E0">
            <w:pPr>
              <w:widowControl/>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45269E4B">
            <w:pPr>
              <w:widowControl/>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01EC4791">
            <w:pPr>
              <w:widowControl/>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0FB66F10">
            <w:pPr>
              <w:widowControl/>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19B1093A">
            <w:pPr>
              <w:widowControl/>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4403AA6A">
            <w:pPr>
              <w:widowControl/>
              <w:autoSpaceDE w:val="0"/>
              <w:autoSpaceDN w:val="0"/>
              <w:jc w:val="center"/>
              <w:rPr>
                <w:rFonts w:ascii="宋体" w:hAnsi="宋体" w:eastAsia="宋体" w:cs="宋体"/>
                <w:sz w:val="28"/>
                <w:szCs w:val="28"/>
              </w:rPr>
            </w:pPr>
          </w:p>
        </w:tc>
      </w:tr>
      <w:tr w14:paraId="77AD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39278859">
            <w:pPr>
              <w:widowControl/>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2B717D1D">
            <w:pPr>
              <w:widowControl/>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43B0F46B">
            <w:pPr>
              <w:widowControl/>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6DDC62C7">
            <w:pPr>
              <w:widowControl/>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53C1863A">
            <w:pPr>
              <w:widowControl/>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1639023D">
            <w:pPr>
              <w:widowControl/>
              <w:autoSpaceDE w:val="0"/>
              <w:autoSpaceDN w:val="0"/>
              <w:jc w:val="center"/>
              <w:rPr>
                <w:rFonts w:ascii="宋体" w:hAnsi="宋体" w:eastAsia="宋体" w:cs="宋体"/>
                <w:sz w:val="28"/>
                <w:szCs w:val="28"/>
              </w:rPr>
            </w:pPr>
          </w:p>
        </w:tc>
      </w:tr>
      <w:tr w14:paraId="44A9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435B4329">
            <w:pPr>
              <w:widowControl/>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164BC024">
            <w:pPr>
              <w:widowControl/>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6555A278">
            <w:pPr>
              <w:widowControl/>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41F8102C">
            <w:pPr>
              <w:widowControl/>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7D9D04CD">
            <w:pPr>
              <w:widowControl/>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237CB259">
            <w:pPr>
              <w:widowControl/>
              <w:autoSpaceDE w:val="0"/>
              <w:autoSpaceDN w:val="0"/>
              <w:jc w:val="center"/>
              <w:rPr>
                <w:rFonts w:ascii="宋体" w:hAnsi="宋体" w:eastAsia="宋体" w:cs="宋体"/>
                <w:sz w:val="28"/>
                <w:szCs w:val="28"/>
              </w:rPr>
            </w:pPr>
          </w:p>
        </w:tc>
      </w:tr>
      <w:tr w14:paraId="5804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281271D3">
            <w:pPr>
              <w:widowControl/>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4D841DB1">
            <w:pPr>
              <w:widowControl/>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1BDEB566">
            <w:pPr>
              <w:widowControl/>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62EEFAC8">
            <w:pPr>
              <w:widowControl/>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2D8DB47F">
            <w:pPr>
              <w:widowControl/>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3185E135">
            <w:pPr>
              <w:widowControl/>
              <w:autoSpaceDE w:val="0"/>
              <w:autoSpaceDN w:val="0"/>
              <w:jc w:val="center"/>
              <w:rPr>
                <w:rFonts w:ascii="宋体" w:hAnsi="宋体" w:eastAsia="宋体" w:cs="宋体"/>
                <w:sz w:val="28"/>
                <w:szCs w:val="28"/>
              </w:rPr>
            </w:pPr>
          </w:p>
        </w:tc>
      </w:tr>
      <w:tr w14:paraId="5172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43970755">
            <w:pPr>
              <w:widowControl/>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19E82455">
            <w:pPr>
              <w:widowControl/>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5E9E194A">
            <w:pPr>
              <w:widowControl/>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45CE32DA">
            <w:pPr>
              <w:widowControl/>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32CF7756">
            <w:pPr>
              <w:widowControl/>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14074EA1">
            <w:pPr>
              <w:widowControl/>
              <w:autoSpaceDE w:val="0"/>
              <w:autoSpaceDN w:val="0"/>
              <w:jc w:val="center"/>
              <w:rPr>
                <w:rFonts w:ascii="宋体" w:hAnsi="宋体" w:eastAsia="宋体" w:cs="宋体"/>
                <w:sz w:val="28"/>
                <w:szCs w:val="28"/>
              </w:rPr>
            </w:pPr>
          </w:p>
        </w:tc>
      </w:tr>
    </w:tbl>
    <w:p w14:paraId="19F278DA">
      <w:pPr>
        <w:rPr>
          <w:rFonts w:ascii="宋体" w:hAnsi="宋体" w:eastAsia="宋体" w:cs="宋体"/>
          <w:sz w:val="24"/>
          <w:szCs w:val="24"/>
          <w:lang w:val="zh-CN"/>
        </w:rPr>
      </w:pPr>
    </w:p>
    <w:p w14:paraId="073435E6">
      <w:pPr>
        <w:widowControl/>
        <w:spacing w:line="480" w:lineRule="exact"/>
        <w:jc w:val="left"/>
        <w:rPr>
          <w:rFonts w:ascii="宋体" w:hAnsi="宋体" w:eastAsia="宋体" w:cs="Times New Roman"/>
          <w:color w:val="000000" w:themeColor="text1"/>
          <w:kern w:val="0"/>
          <w:sz w:val="28"/>
          <w:szCs w:val="28"/>
          <w:lang w:val="zh-CN"/>
          <w14:textFill>
            <w14:solidFill>
              <w14:schemeClr w14:val="tx1"/>
            </w14:solidFill>
          </w14:textFill>
        </w:rPr>
      </w:pPr>
      <w:r>
        <w:rPr>
          <w:rFonts w:hint="eastAsia" w:ascii="宋体" w:hAnsi="宋体" w:eastAsia="宋体" w:cs="Times New Roman"/>
          <w:color w:val="000000" w:themeColor="text1"/>
          <w:kern w:val="0"/>
          <w:sz w:val="28"/>
          <w:szCs w:val="28"/>
          <w:lang w:val="zh-CN"/>
          <w14:textFill>
            <w14:solidFill>
              <w14:schemeClr w14:val="tx1"/>
            </w14:solidFill>
          </w14:textFill>
        </w:rPr>
        <w:t>注：</w:t>
      </w:r>
    </w:p>
    <w:p w14:paraId="5C14AABC">
      <w:pPr>
        <w:widowControl/>
        <w:spacing w:line="480" w:lineRule="exact"/>
        <w:jc w:val="left"/>
        <w:rPr>
          <w:rFonts w:ascii="宋体" w:hAnsi="宋体" w:eastAsia="宋体" w:cs="Times New Roman"/>
          <w:color w:val="000000" w:themeColor="text1"/>
          <w:kern w:val="0"/>
          <w:sz w:val="28"/>
          <w:szCs w:val="28"/>
          <w:lang w:val="zh-CN"/>
          <w14:textFill>
            <w14:solidFill>
              <w14:schemeClr w14:val="tx1"/>
            </w14:solidFill>
          </w14:textFill>
        </w:rPr>
      </w:pPr>
      <w:r>
        <w:rPr>
          <w:rFonts w:hint="eastAsia" w:ascii="宋体" w:hAnsi="宋体" w:eastAsia="宋体" w:cs="Times New Roman"/>
          <w:color w:val="000000" w:themeColor="text1"/>
          <w:kern w:val="0"/>
          <w:sz w:val="28"/>
          <w:szCs w:val="28"/>
          <w:lang w:val="zh-CN"/>
          <w14:textFill>
            <w14:solidFill>
              <w14:schemeClr w14:val="tx1"/>
            </w14:solidFill>
          </w14:textFill>
        </w:rPr>
        <w:t>1、投标人应对照招标文件技术规格逐条做出说明，申明与技术规格条文的响应或偏差。对有具体参数要求的指标，投标人必须提供所投产品的具体参数值。</w:t>
      </w:r>
    </w:p>
    <w:p w14:paraId="17C25F16">
      <w:pPr>
        <w:widowControl/>
        <w:spacing w:line="480" w:lineRule="exact"/>
        <w:jc w:val="left"/>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Times New Roman"/>
          <w:color w:val="000000" w:themeColor="text1"/>
          <w:kern w:val="0"/>
          <w:sz w:val="28"/>
          <w:szCs w:val="28"/>
          <w:lang w:val="zh-CN"/>
          <w14:textFill>
            <w14:solidFill>
              <w14:schemeClr w14:val="tx1"/>
            </w14:solidFill>
          </w14:textFill>
        </w:rPr>
        <w:t>2、如果投标人承诺了没有偏差或未填报偏差项，如在评审时评标委员会认为仍存在偏差，则视为有意隐瞒事实，有可能导致废标。在本表中做出偏离说明的项目，投标人应当提供所投设备的具体参数值，并在技术标中提供详细资料。</w:t>
      </w:r>
    </w:p>
    <w:p w14:paraId="7DB9DA09">
      <w:pPr>
        <w:widowControl/>
        <w:spacing w:line="520" w:lineRule="atLeast"/>
        <w:ind w:firstLine="3780" w:firstLineChars="1350"/>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法定代表人（签电子章）： </w:t>
      </w:r>
    </w:p>
    <w:p w14:paraId="4581944C">
      <w:pPr>
        <w:widowControl/>
        <w:spacing w:line="520" w:lineRule="atLeast"/>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磋商供应商（盖公章）：</w:t>
      </w:r>
    </w:p>
    <w:p w14:paraId="2479EF98">
      <w:pPr>
        <w:widowControl/>
        <w:spacing w:line="520" w:lineRule="atLeast"/>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年 月 日</w:t>
      </w:r>
    </w:p>
    <w:p w14:paraId="2510AAC3">
      <w:pPr>
        <w:widowControl/>
        <w:spacing w:line="520" w:lineRule="atLeast"/>
        <w:rPr>
          <w:rFonts w:ascii="宋体" w:hAnsi="宋体" w:eastAsia="宋体" w:cs="宋体"/>
          <w:color w:val="000000" w:themeColor="text1"/>
          <w:kern w:val="0"/>
          <w:sz w:val="28"/>
          <w:szCs w:val="28"/>
          <w14:textFill>
            <w14:solidFill>
              <w14:schemeClr w14:val="tx1"/>
            </w14:solidFill>
          </w14:textFill>
        </w:rPr>
      </w:pPr>
    </w:p>
    <w:p w14:paraId="42AC24D6">
      <w:pPr>
        <w:pStyle w:val="3"/>
        <w:numPr>
          <w:ilvl w:val="1"/>
          <w:numId w:val="0"/>
        </w:numPr>
      </w:pPr>
      <w:r>
        <w:rPr>
          <w:rFonts w:ascii="宋体" w:hAnsi="宋体" w:eastAsia="宋体" w:cs="宋体"/>
          <w:color w:val="000000" w:themeColor="text1"/>
          <w:kern w:val="0"/>
          <w:sz w:val="28"/>
          <w:szCs w:val="28"/>
          <w14:textFill>
            <w14:solidFill>
              <w14:schemeClr w14:val="tx1"/>
            </w14:solidFill>
          </w14:textFill>
        </w:rPr>
        <w:br w:type="page"/>
      </w:r>
      <w:bookmarkStart w:id="46" w:name="_Toc16607"/>
      <w:r>
        <w:rPr>
          <w:rFonts w:hint="eastAsia"/>
        </w:rPr>
        <w:t>六、供应商基本情况表</w:t>
      </w:r>
      <w:bookmarkEnd w:id="46"/>
    </w:p>
    <w:p w14:paraId="43F9DC9E">
      <w:pPr>
        <w:widowControl/>
        <w:jc w:val="center"/>
        <w:rPr>
          <w:rFonts w:ascii="宋体" w:hAnsi="宋体" w:eastAsia="宋体" w:cs="Times New Roman"/>
          <w:b/>
          <w:bCs/>
          <w:color w:val="000000" w:themeColor="text1"/>
          <w:kern w:val="0"/>
          <w:sz w:val="32"/>
          <w:szCs w:val="32"/>
          <w14:textFill>
            <w14:solidFill>
              <w14:schemeClr w14:val="tx1"/>
            </w14:solidFill>
          </w14:textFill>
        </w:rPr>
      </w:pPr>
      <w:bookmarkStart w:id="47" w:name="_Toc30144"/>
      <w:r>
        <w:rPr>
          <w:rFonts w:hint="eastAsia" w:ascii="宋体" w:hAnsi="宋体" w:cs="宋体"/>
          <w:b/>
          <w:bCs/>
          <w:sz w:val="28"/>
          <w:szCs w:val="28"/>
        </w:rPr>
        <w:t>（一）</w:t>
      </w:r>
      <w:r>
        <w:rPr>
          <w:rFonts w:hint="eastAsia" w:ascii="宋体" w:hAnsi="宋体" w:eastAsia="宋体" w:cs="宋体"/>
          <w:b/>
          <w:bCs/>
          <w:sz w:val="28"/>
          <w:szCs w:val="28"/>
        </w:rPr>
        <w:t>投标人基本情况表</w:t>
      </w:r>
      <w:bookmarkEnd w:id="47"/>
    </w:p>
    <w:tbl>
      <w:tblPr>
        <w:tblStyle w:val="18"/>
        <w:tblW w:w="9287" w:type="dxa"/>
        <w:jc w:val="center"/>
        <w:tblLayout w:type="fixed"/>
        <w:tblCellMar>
          <w:top w:w="0" w:type="dxa"/>
          <w:left w:w="108" w:type="dxa"/>
          <w:bottom w:w="0" w:type="dxa"/>
          <w:right w:w="108" w:type="dxa"/>
        </w:tblCellMar>
      </w:tblPr>
      <w:tblGrid>
        <w:gridCol w:w="1930"/>
        <w:gridCol w:w="1048"/>
        <w:gridCol w:w="1757"/>
        <w:gridCol w:w="1222"/>
        <w:gridCol w:w="793"/>
        <w:gridCol w:w="439"/>
        <w:gridCol w:w="2098"/>
      </w:tblGrid>
      <w:tr w14:paraId="7DED59B8">
        <w:tblPrEx>
          <w:tblCellMar>
            <w:top w:w="0" w:type="dxa"/>
            <w:left w:w="108" w:type="dxa"/>
            <w:bottom w:w="0" w:type="dxa"/>
            <w:right w:w="108" w:type="dxa"/>
          </w:tblCellMar>
        </w:tblPrEx>
        <w:trPr>
          <w:trHeight w:val="525"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73B068D">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供应商名称</w:t>
            </w:r>
          </w:p>
        </w:tc>
        <w:tc>
          <w:tcPr>
            <w:tcW w:w="7357" w:type="dxa"/>
            <w:gridSpan w:val="6"/>
            <w:tcBorders>
              <w:top w:val="single" w:color="auto" w:sz="4" w:space="0"/>
              <w:left w:val="nil"/>
              <w:bottom w:val="single" w:color="auto" w:sz="4" w:space="0"/>
              <w:right w:val="single" w:color="auto" w:sz="4" w:space="0"/>
            </w:tcBorders>
            <w:vAlign w:val="center"/>
          </w:tcPr>
          <w:p w14:paraId="73EE41EF">
            <w:pPr>
              <w:widowControl/>
              <w:spacing w:line="360" w:lineRule="auto"/>
              <w:jc w:val="center"/>
              <w:rPr>
                <w:rFonts w:ascii="宋体" w:hAnsi="宋体" w:eastAsia="宋体" w:cs="Calibri"/>
                <w:sz w:val="24"/>
                <w:szCs w:val="24"/>
              </w:rPr>
            </w:pPr>
          </w:p>
        </w:tc>
      </w:tr>
      <w:tr w14:paraId="3CC6D502">
        <w:tblPrEx>
          <w:tblCellMar>
            <w:top w:w="0" w:type="dxa"/>
            <w:left w:w="108" w:type="dxa"/>
            <w:bottom w:w="0" w:type="dxa"/>
            <w:right w:w="108" w:type="dxa"/>
          </w:tblCellMar>
        </w:tblPrEx>
        <w:trPr>
          <w:trHeight w:val="84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20E50D83">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注册地址</w:t>
            </w:r>
          </w:p>
        </w:tc>
        <w:tc>
          <w:tcPr>
            <w:tcW w:w="4027" w:type="dxa"/>
            <w:gridSpan w:val="3"/>
            <w:tcBorders>
              <w:top w:val="single" w:color="auto" w:sz="4" w:space="0"/>
              <w:left w:val="nil"/>
              <w:bottom w:val="single" w:color="auto" w:sz="4" w:space="0"/>
              <w:right w:val="single" w:color="auto" w:sz="4" w:space="0"/>
            </w:tcBorders>
            <w:vAlign w:val="center"/>
          </w:tcPr>
          <w:p w14:paraId="47D8DC21">
            <w:pPr>
              <w:widowControl/>
              <w:spacing w:line="360" w:lineRule="auto"/>
              <w:jc w:val="center"/>
              <w:rPr>
                <w:rFonts w:ascii="宋体" w:hAnsi="宋体" w:eastAsia="宋体" w:cs="Calibri"/>
                <w:sz w:val="24"/>
                <w:szCs w:val="24"/>
              </w:rPr>
            </w:pPr>
          </w:p>
        </w:tc>
        <w:tc>
          <w:tcPr>
            <w:tcW w:w="1232" w:type="dxa"/>
            <w:gridSpan w:val="2"/>
            <w:tcBorders>
              <w:top w:val="single" w:color="auto" w:sz="4" w:space="0"/>
              <w:left w:val="nil"/>
              <w:bottom w:val="single" w:color="auto" w:sz="4" w:space="0"/>
              <w:right w:val="single" w:color="auto" w:sz="4" w:space="0"/>
            </w:tcBorders>
            <w:vAlign w:val="center"/>
          </w:tcPr>
          <w:p w14:paraId="66C22418">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邮政编码</w:t>
            </w:r>
          </w:p>
        </w:tc>
        <w:tc>
          <w:tcPr>
            <w:tcW w:w="2098" w:type="dxa"/>
            <w:tcBorders>
              <w:top w:val="single" w:color="auto" w:sz="4" w:space="0"/>
              <w:left w:val="nil"/>
              <w:bottom w:val="single" w:color="auto" w:sz="4" w:space="0"/>
              <w:right w:val="single" w:color="auto" w:sz="4" w:space="0"/>
            </w:tcBorders>
            <w:vAlign w:val="center"/>
          </w:tcPr>
          <w:p w14:paraId="06B76BFE">
            <w:pPr>
              <w:widowControl/>
              <w:spacing w:line="360" w:lineRule="auto"/>
              <w:jc w:val="center"/>
              <w:rPr>
                <w:rFonts w:ascii="宋体" w:hAnsi="宋体" w:eastAsia="宋体" w:cs="Calibri"/>
                <w:sz w:val="24"/>
                <w:szCs w:val="24"/>
              </w:rPr>
            </w:pPr>
          </w:p>
        </w:tc>
      </w:tr>
      <w:tr w14:paraId="5D100805">
        <w:tblPrEx>
          <w:tblCellMar>
            <w:top w:w="0" w:type="dxa"/>
            <w:left w:w="108" w:type="dxa"/>
            <w:bottom w:w="0" w:type="dxa"/>
            <w:right w:w="108" w:type="dxa"/>
          </w:tblCellMar>
        </w:tblPrEx>
        <w:trPr>
          <w:trHeight w:val="710" w:hRule="atLeast"/>
          <w:jc w:val="center"/>
        </w:trPr>
        <w:tc>
          <w:tcPr>
            <w:tcW w:w="1930" w:type="dxa"/>
            <w:vMerge w:val="restart"/>
            <w:tcBorders>
              <w:top w:val="nil"/>
              <w:left w:val="single" w:color="auto" w:sz="4" w:space="0"/>
              <w:bottom w:val="single" w:color="auto" w:sz="4" w:space="0"/>
              <w:right w:val="single" w:color="auto" w:sz="4" w:space="0"/>
            </w:tcBorders>
            <w:vAlign w:val="center"/>
          </w:tcPr>
          <w:p w14:paraId="06CD45C2">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联系方式</w:t>
            </w:r>
          </w:p>
        </w:tc>
        <w:tc>
          <w:tcPr>
            <w:tcW w:w="1048" w:type="dxa"/>
            <w:tcBorders>
              <w:top w:val="single" w:color="auto" w:sz="4" w:space="0"/>
              <w:left w:val="nil"/>
              <w:bottom w:val="single" w:color="auto" w:sz="4" w:space="0"/>
              <w:right w:val="single" w:color="auto" w:sz="4" w:space="0"/>
            </w:tcBorders>
            <w:vAlign w:val="center"/>
          </w:tcPr>
          <w:p w14:paraId="595C97A2">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联系人</w:t>
            </w:r>
          </w:p>
        </w:tc>
        <w:tc>
          <w:tcPr>
            <w:tcW w:w="2979" w:type="dxa"/>
            <w:gridSpan w:val="2"/>
            <w:tcBorders>
              <w:top w:val="single" w:color="auto" w:sz="4" w:space="0"/>
              <w:left w:val="nil"/>
              <w:bottom w:val="single" w:color="auto" w:sz="4" w:space="0"/>
              <w:right w:val="single" w:color="auto" w:sz="4" w:space="0"/>
            </w:tcBorders>
            <w:vAlign w:val="center"/>
          </w:tcPr>
          <w:p w14:paraId="48B77135">
            <w:pPr>
              <w:widowControl/>
              <w:spacing w:line="360" w:lineRule="auto"/>
              <w:jc w:val="center"/>
              <w:rPr>
                <w:rFonts w:ascii="宋体" w:hAnsi="宋体" w:eastAsia="宋体" w:cs="Calibri"/>
                <w:sz w:val="24"/>
                <w:szCs w:val="24"/>
              </w:rPr>
            </w:pPr>
          </w:p>
        </w:tc>
        <w:tc>
          <w:tcPr>
            <w:tcW w:w="1232" w:type="dxa"/>
            <w:gridSpan w:val="2"/>
            <w:tcBorders>
              <w:top w:val="single" w:color="auto" w:sz="4" w:space="0"/>
              <w:left w:val="nil"/>
              <w:bottom w:val="single" w:color="auto" w:sz="4" w:space="0"/>
              <w:right w:val="single" w:color="auto" w:sz="4" w:space="0"/>
            </w:tcBorders>
            <w:vAlign w:val="center"/>
          </w:tcPr>
          <w:p w14:paraId="2E35DAD2">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电话</w:t>
            </w:r>
          </w:p>
        </w:tc>
        <w:tc>
          <w:tcPr>
            <w:tcW w:w="2098" w:type="dxa"/>
            <w:tcBorders>
              <w:top w:val="single" w:color="auto" w:sz="4" w:space="0"/>
              <w:left w:val="nil"/>
              <w:bottom w:val="single" w:color="auto" w:sz="4" w:space="0"/>
              <w:right w:val="single" w:color="auto" w:sz="4" w:space="0"/>
            </w:tcBorders>
            <w:vAlign w:val="center"/>
          </w:tcPr>
          <w:p w14:paraId="03A62241">
            <w:pPr>
              <w:widowControl/>
              <w:spacing w:line="360" w:lineRule="auto"/>
              <w:jc w:val="center"/>
              <w:rPr>
                <w:rFonts w:ascii="宋体" w:hAnsi="宋体" w:eastAsia="宋体" w:cs="Calibri"/>
                <w:sz w:val="24"/>
                <w:szCs w:val="24"/>
              </w:rPr>
            </w:pPr>
          </w:p>
        </w:tc>
      </w:tr>
      <w:tr w14:paraId="16562316">
        <w:tblPrEx>
          <w:tblCellMar>
            <w:top w:w="0" w:type="dxa"/>
            <w:left w:w="108" w:type="dxa"/>
            <w:bottom w:w="0" w:type="dxa"/>
            <w:right w:w="108" w:type="dxa"/>
          </w:tblCellMar>
        </w:tblPrEx>
        <w:trPr>
          <w:trHeight w:val="692" w:hRule="atLeast"/>
          <w:jc w:val="center"/>
        </w:trPr>
        <w:tc>
          <w:tcPr>
            <w:tcW w:w="1930" w:type="dxa"/>
            <w:vMerge w:val="continue"/>
            <w:tcBorders>
              <w:top w:val="nil"/>
              <w:left w:val="single" w:color="auto" w:sz="4" w:space="0"/>
              <w:bottom w:val="single" w:color="auto" w:sz="4" w:space="0"/>
              <w:right w:val="single" w:color="auto" w:sz="4" w:space="0"/>
            </w:tcBorders>
            <w:vAlign w:val="center"/>
          </w:tcPr>
          <w:p w14:paraId="6DDB68CC">
            <w:pPr>
              <w:widowControl/>
              <w:rPr>
                <w:rFonts w:ascii="宋体" w:hAnsi="宋体" w:eastAsia="宋体" w:cs="Calibri"/>
                <w:sz w:val="24"/>
                <w:szCs w:val="24"/>
              </w:rPr>
            </w:pPr>
          </w:p>
        </w:tc>
        <w:tc>
          <w:tcPr>
            <w:tcW w:w="1048" w:type="dxa"/>
            <w:tcBorders>
              <w:top w:val="single" w:color="auto" w:sz="4" w:space="0"/>
              <w:left w:val="nil"/>
              <w:bottom w:val="single" w:color="auto" w:sz="4" w:space="0"/>
              <w:right w:val="single" w:color="auto" w:sz="4" w:space="0"/>
            </w:tcBorders>
            <w:vAlign w:val="center"/>
          </w:tcPr>
          <w:p w14:paraId="02E120BA">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传真</w:t>
            </w:r>
          </w:p>
        </w:tc>
        <w:tc>
          <w:tcPr>
            <w:tcW w:w="2979" w:type="dxa"/>
            <w:gridSpan w:val="2"/>
            <w:tcBorders>
              <w:top w:val="single" w:color="auto" w:sz="4" w:space="0"/>
              <w:left w:val="nil"/>
              <w:bottom w:val="single" w:color="auto" w:sz="4" w:space="0"/>
              <w:right w:val="single" w:color="auto" w:sz="4" w:space="0"/>
            </w:tcBorders>
            <w:vAlign w:val="center"/>
          </w:tcPr>
          <w:p w14:paraId="40403261">
            <w:pPr>
              <w:widowControl/>
              <w:spacing w:line="360" w:lineRule="auto"/>
              <w:jc w:val="center"/>
              <w:rPr>
                <w:rFonts w:ascii="宋体" w:hAnsi="宋体" w:eastAsia="宋体" w:cs="Calibri"/>
                <w:sz w:val="24"/>
                <w:szCs w:val="24"/>
              </w:rPr>
            </w:pPr>
          </w:p>
        </w:tc>
        <w:tc>
          <w:tcPr>
            <w:tcW w:w="1232" w:type="dxa"/>
            <w:gridSpan w:val="2"/>
            <w:tcBorders>
              <w:top w:val="single" w:color="auto" w:sz="4" w:space="0"/>
              <w:left w:val="nil"/>
              <w:bottom w:val="single" w:color="auto" w:sz="4" w:space="0"/>
              <w:right w:val="single" w:color="auto" w:sz="4" w:space="0"/>
            </w:tcBorders>
            <w:vAlign w:val="center"/>
          </w:tcPr>
          <w:p w14:paraId="4A852896">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网址</w:t>
            </w:r>
          </w:p>
        </w:tc>
        <w:tc>
          <w:tcPr>
            <w:tcW w:w="2098" w:type="dxa"/>
            <w:tcBorders>
              <w:top w:val="single" w:color="auto" w:sz="4" w:space="0"/>
              <w:left w:val="nil"/>
              <w:bottom w:val="single" w:color="auto" w:sz="4" w:space="0"/>
              <w:right w:val="single" w:color="auto" w:sz="4" w:space="0"/>
            </w:tcBorders>
            <w:vAlign w:val="center"/>
          </w:tcPr>
          <w:p w14:paraId="6CFD8761">
            <w:pPr>
              <w:widowControl/>
              <w:spacing w:line="360" w:lineRule="auto"/>
              <w:jc w:val="center"/>
              <w:rPr>
                <w:rFonts w:ascii="宋体" w:hAnsi="宋体" w:eastAsia="宋体" w:cs="Calibri"/>
                <w:sz w:val="24"/>
                <w:szCs w:val="24"/>
              </w:rPr>
            </w:pPr>
          </w:p>
        </w:tc>
      </w:tr>
      <w:tr w14:paraId="49A2A6D7">
        <w:tblPrEx>
          <w:tblCellMar>
            <w:top w:w="0" w:type="dxa"/>
            <w:left w:w="108" w:type="dxa"/>
            <w:bottom w:w="0" w:type="dxa"/>
            <w:right w:w="108" w:type="dxa"/>
          </w:tblCellMar>
        </w:tblPrEx>
        <w:trPr>
          <w:trHeight w:val="76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8710F71">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组织结构</w:t>
            </w:r>
          </w:p>
        </w:tc>
        <w:tc>
          <w:tcPr>
            <w:tcW w:w="7357" w:type="dxa"/>
            <w:gridSpan w:val="6"/>
            <w:tcBorders>
              <w:top w:val="single" w:color="auto" w:sz="4" w:space="0"/>
              <w:left w:val="nil"/>
              <w:bottom w:val="single" w:color="auto" w:sz="4" w:space="0"/>
              <w:right w:val="single" w:color="auto" w:sz="4" w:space="0"/>
            </w:tcBorders>
            <w:vAlign w:val="center"/>
          </w:tcPr>
          <w:p w14:paraId="3C229006">
            <w:pPr>
              <w:widowControl/>
              <w:spacing w:line="360" w:lineRule="auto"/>
              <w:jc w:val="center"/>
              <w:rPr>
                <w:rFonts w:ascii="宋体" w:hAnsi="宋体" w:eastAsia="宋体" w:cs="Calibri"/>
                <w:sz w:val="24"/>
                <w:szCs w:val="24"/>
              </w:rPr>
            </w:pPr>
          </w:p>
        </w:tc>
      </w:tr>
      <w:tr w14:paraId="4290C43A">
        <w:tblPrEx>
          <w:tblCellMar>
            <w:top w:w="0" w:type="dxa"/>
            <w:left w:w="108" w:type="dxa"/>
            <w:bottom w:w="0" w:type="dxa"/>
            <w:right w:w="108" w:type="dxa"/>
          </w:tblCellMar>
        </w:tblPrEx>
        <w:trPr>
          <w:trHeight w:val="710"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5405FE7">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法定代表人</w:t>
            </w:r>
          </w:p>
        </w:tc>
        <w:tc>
          <w:tcPr>
            <w:tcW w:w="1048" w:type="dxa"/>
            <w:tcBorders>
              <w:top w:val="single" w:color="auto" w:sz="4" w:space="0"/>
              <w:left w:val="nil"/>
              <w:bottom w:val="single" w:color="auto" w:sz="4" w:space="0"/>
              <w:right w:val="single" w:color="auto" w:sz="4" w:space="0"/>
            </w:tcBorders>
            <w:vAlign w:val="center"/>
          </w:tcPr>
          <w:p w14:paraId="0A9E85FE">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姓名</w:t>
            </w:r>
          </w:p>
        </w:tc>
        <w:tc>
          <w:tcPr>
            <w:tcW w:w="1757" w:type="dxa"/>
            <w:tcBorders>
              <w:top w:val="single" w:color="auto" w:sz="4" w:space="0"/>
              <w:left w:val="nil"/>
              <w:bottom w:val="single" w:color="auto" w:sz="4" w:space="0"/>
              <w:right w:val="single" w:color="auto" w:sz="4" w:space="0"/>
            </w:tcBorders>
            <w:vAlign w:val="center"/>
          </w:tcPr>
          <w:p w14:paraId="512D7D86">
            <w:pPr>
              <w:widowControl/>
              <w:spacing w:line="360" w:lineRule="auto"/>
              <w:jc w:val="center"/>
              <w:rPr>
                <w:rFonts w:ascii="宋体" w:hAnsi="宋体" w:eastAsia="宋体" w:cs="Calibri"/>
                <w:sz w:val="24"/>
                <w:szCs w:val="24"/>
              </w:rPr>
            </w:pPr>
          </w:p>
        </w:tc>
        <w:tc>
          <w:tcPr>
            <w:tcW w:w="2015" w:type="dxa"/>
            <w:gridSpan w:val="2"/>
            <w:tcBorders>
              <w:top w:val="single" w:color="auto" w:sz="4" w:space="0"/>
              <w:left w:val="nil"/>
              <w:bottom w:val="single" w:color="auto" w:sz="4" w:space="0"/>
              <w:right w:val="single" w:color="auto" w:sz="4" w:space="0"/>
            </w:tcBorders>
            <w:vAlign w:val="center"/>
          </w:tcPr>
          <w:p w14:paraId="73FE8A89">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联系方式</w:t>
            </w:r>
          </w:p>
        </w:tc>
        <w:tc>
          <w:tcPr>
            <w:tcW w:w="2537" w:type="dxa"/>
            <w:gridSpan w:val="2"/>
            <w:tcBorders>
              <w:top w:val="single" w:color="auto" w:sz="4" w:space="0"/>
              <w:left w:val="nil"/>
              <w:bottom w:val="single" w:color="auto" w:sz="4" w:space="0"/>
              <w:right w:val="single" w:color="auto" w:sz="4" w:space="0"/>
            </w:tcBorders>
            <w:vAlign w:val="center"/>
          </w:tcPr>
          <w:p w14:paraId="324A31F7">
            <w:pPr>
              <w:widowControl/>
              <w:spacing w:line="360" w:lineRule="auto"/>
              <w:jc w:val="center"/>
              <w:rPr>
                <w:rFonts w:ascii="宋体" w:hAnsi="宋体" w:eastAsia="宋体" w:cs="Calibri"/>
                <w:sz w:val="24"/>
                <w:szCs w:val="24"/>
              </w:rPr>
            </w:pPr>
          </w:p>
        </w:tc>
      </w:tr>
      <w:tr w14:paraId="0CA0D6AD">
        <w:tblPrEx>
          <w:tblCellMar>
            <w:top w:w="0" w:type="dxa"/>
            <w:left w:w="108" w:type="dxa"/>
            <w:bottom w:w="0" w:type="dxa"/>
            <w:right w:w="108" w:type="dxa"/>
          </w:tblCellMar>
        </w:tblPrEx>
        <w:trPr>
          <w:trHeight w:val="703"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CBBCA6B">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项目负责人</w:t>
            </w:r>
          </w:p>
        </w:tc>
        <w:tc>
          <w:tcPr>
            <w:tcW w:w="1048" w:type="dxa"/>
            <w:tcBorders>
              <w:top w:val="single" w:color="auto" w:sz="4" w:space="0"/>
              <w:left w:val="nil"/>
              <w:bottom w:val="single" w:color="auto" w:sz="4" w:space="0"/>
              <w:right w:val="single" w:color="auto" w:sz="4" w:space="0"/>
            </w:tcBorders>
            <w:vAlign w:val="center"/>
          </w:tcPr>
          <w:p w14:paraId="29DAD39B">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姓名</w:t>
            </w:r>
          </w:p>
        </w:tc>
        <w:tc>
          <w:tcPr>
            <w:tcW w:w="1757" w:type="dxa"/>
            <w:tcBorders>
              <w:top w:val="single" w:color="auto" w:sz="4" w:space="0"/>
              <w:left w:val="nil"/>
              <w:bottom w:val="single" w:color="auto" w:sz="4" w:space="0"/>
              <w:right w:val="single" w:color="auto" w:sz="4" w:space="0"/>
            </w:tcBorders>
            <w:vAlign w:val="center"/>
          </w:tcPr>
          <w:p w14:paraId="3F087826">
            <w:pPr>
              <w:widowControl/>
              <w:spacing w:line="360" w:lineRule="auto"/>
              <w:jc w:val="center"/>
              <w:rPr>
                <w:rFonts w:ascii="宋体" w:hAnsi="宋体" w:eastAsia="宋体" w:cs="Calibri"/>
                <w:sz w:val="24"/>
                <w:szCs w:val="24"/>
              </w:rPr>
            </w:pPr>
          </w:p>
        </w:tc>
        <w:tc>
          <w:tcPr>
            <w:tcW w:w="2015" w:type="dxa"/>
            <w:gridSpan w:val="2"/>
            <w:tcBorders>
              <w:top w:val="single" w:color="auto" w:sz="4" w:space="0"/>
              <w:left w:val="nil"/>
              <w:bottom w:val="single" w:color="auto" w:sz="4" w:space="0"/>
              <w:right w:val="single" w:color="auto" w:sz="4" w:space="0"/>
            </w:tcBorders>
            <w:vAlign w:val="center"/>
          </w:tcPr>
          <w:p w14:paraId="27FE8A2E">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联系方式</w:t>
            </w:r>
          </w:p>
        </w:tc>
        <w:tc>
          <w:tcPr>
            <w:tcW w:w="2537" w:type="dxa"/>
            <w:gridSpan w:val="2"/>
            <w:tcBorders>
              <w:top w:val="single" w:color="auto" w:sz="4" w:space="0"/>
              <w:left w:val="nil"/>
              <w:bottom w:val="single" w:color="auto" w:sz="4" w:space="0"/>
              <w:right w:val="single" w:color="auto" w:sz="4" w:space="0"/>
            </w:tcBorders>
            <w:vAlign w:val="center"/>
          </w:tcPr>
          <w:p w14:paraId="5C732050">
            <w:pPr>
              <w:widowControl/>
              <w:spacing w:line="360" w:lineRule="auto"/>
              <w:jc w:val="center"/>
              <w:rPr>
                <w:rFonts w:ascii="宋体" w:hAnsi="宋体" w:eastAsia="宋体" w:cs="Calibri"/>
                <w:sz w:val="24"/>
                <w:szCs w:val="24"/>
              </w:rPr>
            </w:pPr>
          </w:p>
        </w:tc>
      </w:tr>
      <w:tr w14:paraId="6CC78555">
        <w:tblPrEx>
          <w:tblCellMar>
            <w:top w:w="0" w:type="dxa"/>
            <w:left w:w="108" w:type="dxa"/>
            <w:bottom w:w="0" w:type="dxa"/>
            <w:right w:w="108" w:type="dxa"/>
          </w:tblCellMar>
        </w:tblPrEx>
        <w:trPr>
          <w:trHeight w:val="661"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4880742C">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成立时间</w:t>
            </w:r>
          </w:p>
        </w:tc>
        <w:tc>
          <w:tcPr>
            <w:tcW w:w="2805" w:type="dxa"/>
            <w:gridSpan w:val="2"/>
            <w:tcBorders>
              <w:top w:val="single" w:color="auto" w:sz="4" w:space="0"/>
              <w:left w:val="nil"/>
              <w:bottom w:val="single" w:color="auto" w:sz="4" w:space="0"/>
              <w:right w:val="single" w:color="auto" w:sz="4" w:space="0"/>
            </w:tcBorders>
            <w:vAlign w:val="center"/>
          </w:tcPr>
          <w:p w14:paraId="23BAD1CD">
            <w:pPr>
              <w:widowControl/>
              <w:spacing w:line="360" w:lineRule="auto"/>
              <w:jc w:val="center"/>
              <w:rPr>
                <w:rFonts w:ascii="宋体" w:hAnsi="宋体" w:eastAsia="宋体" w:cs="Calibri"/>
                <w:sz w:val="24"/>
                <w:szCs w:val="24"/>
              </w:rPr>
            </w:pPr>
          </w:p>
        </w:tc>
        <w:tc>
          <w:tcPr>
            <w:tcW w:w="4552" w:type="dxa"/>
            <w:gridSpan w:val="4"/>
            <w:tcBorders>
              <w:top w:val="single" w:color="auto" w:sz="4" w:space="0"/>
              <w:left w:val="nil"/>
              <w:bottom w:val="single" w:color="auto" w:sz="4" w:space="0"/>
              <w:right w:val="single" w:color="auto" w:sz="4" w:space="0"/>
            </w:tcBorders>
            <w:vAlign w:val="center"/>
          </w:tcPr>
          <w:p w14:paraId="2AD8A310">
            <w:pPr>
              <w:widowControl/>
              <w:spacing w:line="360" w:lineRule="auto"/>
              <w:rPr>
                <w:rFonts w:ascii="宋体" w:hAnsi="宋体" w:eastAsia="宋体" w:cs="Calibri"/>
                <w:sz w:val="24"/>
                <w:szCs w:val="24"/>
              </w:rPr>
            </w:pPr>
            <w:r>
              <w:rPr>
                <w:rFonts w:hint="eastAsia" w:ascii="宋体" w:hAnsi="宋体" w:eastAsia="宋体" w:cs="Calibri"/>
                <w:sz w:val="24"/>
                <w:szCs w:val="24"/>
              </w:rPr>
              <w:t>员工总人数：</w:t>
            </w:r>
          </w:p>
        </w:tc>
      </w:tr>
      <w:tr w14:paraId="7DB5AFE9">
        <w:tblPrEx>
          <w:tblCellMar>
            <w:top w:w="0" w:type="dxa"/>
            <w:left w:w="108" w:type="dxa"/>
            <w:bottom w:w="0" w:type="dxa"/>
            <w:right w:w="108" w:type="dxa"/>
          </w:tblCellMar>
        </w:tblPrEx>
        <w:trPr>
          <w:trHeight w:val="749"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C7A123E">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营业执照号</w:t>
            </w:r>
          </w:p>
        </w:tc>
        <w:tc>
          <w:tcPr>
            <w:tcW w:w="7357" w:type="dxa"/>
            <w:gridSpan w:val="6"/>
            <w:tcBorders>
              <w:top w:val="single" w:color="auto" w:sz="4" w:space="0"/>
              <w:left w:val="nil"/>
              <w:bottom w:val="single" w:color="auto" w:sz="4" w:space="0"/>
              <w:right w:val="single" w:color="auto" w:sz="4" w:space="0"/>
            </w:tcBorders>
            <w:vAlign w:val="center"/>
          </w:tcPr>
          <w:p w14:paraId="539E6A38">
            <w:pPr>
              <w:widowControl/>
              <w:spacing w:line="360" w:lineRule="auto"/>
              <w:jc w:val="center"/>
              <w:rPr>
                <w:rFonts w:ascii="宋体" w:hAnsi="宋体" w:eastAsia="宋体" w:cs="Calibri"/>
                <w:sz w:val="24"/>
                <w:szCs w:val="24"/>
              </w:rPr>
            </w:pPr>
          </w:p>
        </w:tc>
      </w:tr>
      <w:tr w14:paraId="4ABE4D09">
        <w:tblPrEx>
          <w:tblCellMar>
            <w:top w:w="0" w:type="dxa"/>
            <w:left w:w="108" w:type="dxa"/>
            <w:bottom w:w="0" w:type="dxa"/>
            <w:right w:w="108" w:type="dxa"/>
          </w:tblCellMar>
        </w:tblPrEx>
        <w:trPr>
          <w:trHeight w:val="658"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1788CE9">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注册资金</w:t>
            </w:r>
          </w:p>
        </w:tc>
        <w:tc>
          <w:tcPr>
            <w:tcW w:w="7357" w:type="dxa"/>
            <w:gridSpan w:val="6"/>
            <w:tcBorders>
              <w:top w:val="single" w:color="auto" w:sz="4" w:space="0"/>
              <w:left w:val="nil"/>
              <w:bottom w:val="single" w:color="auto" w:sz="4" w:space="0"/>
              <w:right w:val="single" w:color="auto" w:sz="4" w:space="0"/>
            </w:tcBorders>
            <w:vAlign w:val="center"/>
          </w:tcPr>
          <w:p w14:paraId="5BB842CB">
            <w:pPr>
              <w:widowControl/>
              <w:spacing w:line="360" w:lineRule="auto"/>
              <w:jc w:val="center"/>
              <w:rPr>
                <w:rFonts w:ascii="宋体" w:hAnsi="宋体" w:eastAsia="宋体" w:cs="Calibri"/>
                <w:sz w:val="24"/>
                <w:szCs w:val="24"/>
              </w:rPr>
            </w:pPr>
          </w:p>
        </w:tc>
      </w:tr>
      <w:tr w14:paraId="5E334A0C">
        <w:tblPrEx>
          <w:tblCellMar>
            <w:top w:w="0" w:type="dxa"/>
            <w:left w:w="108" w:type="dxa"/>
            <w:bottom w:w="0" w:type="dxa"/>
            <w:right w:w="108" w:type="dxa"/>
          </w:tblCellMar>
        </w:tblPrEx>
        <w:trPr>
          <w:trHeight w:val="809"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D2EEC58">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开户银行</w:t>
            </w:r>
          </w:p>
        </w:tc>
        <w:tc>
          <w:tcPr>
            <w:tcW w:w="7357" w:type="dxa"/>
            <w:gridSpan w:val="6"/>
            <w:tcBorders>
              <w:top w:val="single" w:color="auto" w:sz="4" w:space="0"/>
              <w:left w:val="nil"/>
              <w:bottom w:val="single" w:color="auto" w:sz="4" w:space="0"/>
              <w:right w:val="single" w:color="auto" w:sz="4" w:space="0"/>
            </w:tcBorders>
            <w:vAlign w:val="center"/>
          </w:tcPr>
          <w:p w14:paraId="2A3E7C26">
            <w:pPr>
              <w:widowControl/>
              <w:spacing w:line="360" w:lineRule="auto"/>
              <w:jc w:val="center"/>
              <w:rPr>
                <w:rFonts w:ascii="宋体" w:hAnsi="宋体" w:eastAsia="宋体" w:cs="Calibri"/>
                <w:sz w:val="24"/>
                <w:szCs w:val="24"/>
              </w:rPr>
            </w:pPr>
          </w:p>
        </w:tc>
      </w:tr>
      <w:tr w14:paraId="1D1178E5">
        <w:tblPrEx>
          <w:tblCellMar>
            <w:top w:w="0" w:type="dxa"/>
            <w:left w:w="108" w:type="dxa"/>
            <w:bottom w:w="0" w:type="dxa"/>
            <w:right w:w="108" w:type="dxa"/>
          </w:tblCellMar>
        </w:tblPrEx>
        <w:trPr>
          <w:trHeight w:val="677"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2BC8EEC2">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账号</w:t>
            </w:r>
          </w:p>
        </w:tc>
        <w:tc>
          <w:tcPr>
            <w:tcW w:w="7357" w:type="dxa"/>
            <w:gridSpan w:val="6"/>
            <w:tcBorders>
              <w:top w:val="single" w:color="auto" w:sz="4" w:space="0"/>
              <w:left w:val="nil"/>
              <w:bottom w:val="single" w:color="auto" w:sz="4" w:space="0"/>
              <w:right w:val="single" w:color="auto" w:sz="4" w:space="0"/>
            </w:tcBorders>
            <w:vAlign w:val="center"/>
          </w:tcPr>
          <w:p w14:paraId="7FDCDB99">
            <w:pPr>
              <w:widowControl/>
              <w:spacing w:line="360" w:lineRule="auto"/>
              <w:jc w:val="center"/>
              <w:rPr>
                <w:rFonts w:ascii="宋体" w:hAnsi="宋体" w:eastAsia="宋体" w:cs="Calibri"/>
                <w:sz w:val="24"/>
                <w:szCs w:val="24"/>
              </w:rPr>
            </w:pPr>
          </w:p>
        </w:tc>
      </w:tr>
      <w:tr w14:paraId="6F3A5894">
        <w:tblPrEx>
          <w:tblCellMar>
            <w:top w:w="0" w:type="dxa"/>
            <w:left w:w="108" w:type="dxa"/>
            <w:bottom w:w="0" w:type="dxa"/>
            <w:right w:w="108" w:type="dxa"/>
          </w:tblCellMar>
        </w:tblPrEx>
        <w:trPr>
          <w:trHeight w:val="71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246FD64">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经营范围</w:t>
            </w:r>
          </w:p>
        </w:tc>
        <w:tc>
          <w:tcPr>
            <w:tcW w:w="7357" w:type="dxa"/>
            <w:gridSpan w:val="6"/>
            <w:tcBorders>
              <w:top w:val="single" w:color="auto" w:sz="4" w:space="0"/>
              <w:left w:val="nil"/>
              <w:bottom w:val="single" w:color="auto" w:sz="4" w:space="0"/>
              <w:right w:val="single" w:color="auto" w:sz="4" w:space="0"/>
            </w:tcBorders>
            <w:vAlign w:val="center"/>
          </w:tcPr>
          <w:p w14:paraId="6F85FFBA">
            <w:pPr>
              <w:widowControl/>
              <w:spacing w:line="360" w:lineRule="auto"/>
              <w:ind w:firstLine="480" w:firstLineChars="200"/>
              <w:jc w:val="center"/>
              <w:rPr>
                <w:rFonts w:ascii="宋体" w:hAnsi="宋体" w:eastAsia="宋体" w:cs="Calibri"/>
                <w:sz w:val="24"/>
                <w:szCs w:val="24"/>
              </w:rPr>
            </w:pPr>
          </w:p>
        </w:tc>
      </w:tr>
      <w:tr w14:paraId="105E3A50">
        <w:tblPrEx>
          <w:tblCellMar>
            <w:top w:w="0" w:type="dxa"/>
            <w:left w:w="108" w:type="dxa"/>
            <w:bottom w:w="0" w:type="dxa"/>
            <w:right w:w="108" w:type="dxa"/>
          </w:tblCellMar>
        </w:tblPrEx>
        <w:trPr>
          <w:trHeight w:val="1231"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378110E6">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备注</w:t>
            </w:r>
          </w:p>
        </w:tc>
        <w:tc>
          <w:tcPr>
            <w:tcW w:w="7357" w:type="dxa"/>
            <w:gridSpan w:val="6"/>
            <w:tcBorders>
              <w:top w:val="single" w:color="auto" w:sz="4" w:space="0"/>
              <w:left w:val="nil"/>
              <w:bottom w:val="single" w:color="auto" w:sz="4" w:space="0"/>
              <w:right w:val="single" w:color="auto" w:sz="4" w:space="0"/>
            </w:tcBorders>
            <w:vAlign w:val="center"/>
          </w:tcPr>
          <w:p w14:paraId="6EB405F4">
            <w:pPr>
              <w:widowControl/>
              <w:spacing w:line="360" w:lineRule="auto"/>
              <w:ind w:firstLine="480" w:firstLineChars="200"/>
              <w:jc w:val="center"/>
              <w:rPr>
                <w:rFonts w:ascii="宋体" w:hAnsi="宋体" w:eastAsia="宋体" w:cs="Calibri"/>
                <w:sz w:val="24"/>
                <w:szCs w:val="24"/>
              </w:rPr>
            </w:pPr>
          </w:p>
        </w:tc>
      </w:tr>
    </w:tbl>
    <w:p w14:paraId="6A7F8A3E">
      <w:pPr>
        <w:rPr>
          <w:rFonts w:ascii="宋体" w:hAnsi="宋体" w:eastAsia="宋体" w:cs="宋体"/>
          <w:color w:val="000000" w:themeColor="text1"/>
          <w:kern w:val="0"/>
          <w:sz w:val="32"/>
          <w:szCs w:val="32"/>
          <w14:textFill>
            <w14:solidFill>
              <w14:schemeClr w14:val="tx1"/>
            </w14:solidFill>
          </w14:textFill>
        </w:rPr>
      </w:pPr>
      <w:r>
        <w:rPr>
          <w:rFonts w:ascii="宋体" w:hAnsi="宋体" w:eastAsia="宋体" w:cs="宋体"/>
          <w:color w:val="000000" w:themeColor="text1"/>
          <w:kern w:val="0"/>
          <w:sz w:val="32"/>
          <w:szCs w:val="32"/>
          <w14:textFill>
            <w14:solidFill>
              <w14:schemeClr w14:val="tx1"/>
            </w14:solidFill>
          </w14:textFill>
        </w:rPr>
        <w:br w:type="page"/>
      </w:r>
    </w:p>
    <w:p w14:paraId="4DA2A022">
      <w:pPr>
        <w:keepNext/>
        <w:keepLines/>
        <w:spacing w:line="415" w:lineRule="auto"/>
        <w:ind w:right="210" w:rightChars="100"/>
        <w:jc w:val="center"/>
        <w:outlineLvl w:val="2"/>
        <w:rPr>
          <w:rFonts w:ascii="宋体" w:hAnsi="宋体" w:eastAsia="宋体" w:cs="宋体"/>
          <w:b/>
          <w:bCs/>
          <w:sz w:val="28"/>
          <w:szCs w:val="28"/>
        </w:rPr>
      </w:pPr>
      <w:r>
        <w:rPr>
          <w:rFonts w:hint="eastAsia" w:ascii="宋体" w:hAnsi="宋体" w:eastAsia="宋体" w:cs="宋体"/>
          <w:b/>
          <w:bCs/>
          <w:sz w:val="28"/>
          <w:szCs w:val="28"/>
        </w:rPr>
        <w:t>（二）投标人资格证明文件</w:t>
      </w:r>
    </w:p>
    <w:p w14:paraId="7EFC3AE8">
      <w:pPr>
        <w:widowControl/>
        <w:rPr>
          <w:rFonts w:ascii="宋体" w:hAnsi="宋体" w:eastAsia="宋体" w:cs="宋体"/>
          <w:color w:val="000000" w:themeColor="text1"/>
          <w:kern w:val="0"/>
          <w:sz w:val="32"/>
          <w:szCs w:val="32"/>
          <w14:textFill>
            <w14:solidFill>
              <w14:schemeClr w14:val="tx1"/>
            </w14:solidFill>
          </w14:textFill>
        </w:rPr>
      </w:pPr>
    </w:p>
    <w:p w14:paraId="18DB5ECA">
      <w:pPr>
        <w:widowControl/>
        <w:jc w:val="center"/>
        <w:rPr>
          <w:rFonts w:ascii="宋体" w:hAnsi="宋体" w:eastAsia="宋体" w:cs="宋体"/>
          <w:color w:val="000000" w:themeColor="text1"/>
          <w:kern w:val="0"/>
          <w:sz w:val="32"/>
          <w:szCs w:val="32"/>
          <w14:textFill>
            <w14:solidFill>
              <w14:schemeClr w14:val="tx1"/>
            </w14:solidFill>
          </w14:textFill>
        </w:rPr>
      </w:pPr>
    </w:p>
    <w:p w14:paraId="7BB8BD45">
      <w:pPr>
        <w:widowControl/>
        <w:jc w:val="center"/>
        <w:rPr>
          <w:rFonts w:ascii="宋体" w:hAnsi="宋体" w:eastAsia="宋体" w:cs="宋体"/>
          <w:color w:val="000000" w:themeColor="text1"/>
          <w:kern w:val="0"/>
          <w:sz w:val="32"/>
          <w:szCs w:val="32"/>
          <w14:textFill>
            <w14:solidFill>
              <w14:schemeClr w14:val="tx1"/>
            </w14:solidFill>
          </w14:textFill>
        </w:rPr>
      </w:pPr>
    </w:p>
    <w:p w14:paraId="0172988B">
      <w:pPr>
        <w:widowControl/>
        <w:jc w:val="left"/>
        <w:rPr>
          <w:rFonts w:ascii="宋体" w:hAnsi="宋体" w:eastAsia="宋体" w:cs="宋体"/>
          <w:color w:val="000000" w:themeColor="text1"/>
          <w:kern w:val="0"/>
          <w:sz w:val="28"/>
          <w:szCs w:val="28"/>
          <w14:textFill>
            <w14:solidFill>
              <w14:schemeClr w14:val="tx1"/>
            </w14:solidFill>
          </w14:textFill>
        </w:rPr>
      </w:pPr>
    </w:p>
    <w:p w14:paraId="13BCFA9B">
      <w:pPr>
        <w:rPr>
          <w:rFonts w:ascii="宋体" w:hAnsi="宋体" w:eastAsia="宋体" w:cs="Times New Roman"/>
          <w:b/>
          <w:bCs/>
          <w:color w:val="000000" w:themeColor="text1"/>
          <w:kern w:val="0"/>
          <w:sz w:val="32"/>
          <w:szCs w:val="32"/>
          <w14:textFill>
            <w14:solidFill>
              <w14:schemeClr w14:val="tx1"/>
            </w14:solidFill>
          </w14:textFill>
        </w:rPr>
      </w:pPr>
      <w:r>
        <w:rPr>
          <w:rFonts w:hint="eastAsia" w:ascii="宋体" w:hAnsi="宋体" w:eastAsia="宋体" w:cs="Times New Roman"/>
          <w:b/>
          <w:bCs/>
          <w:color w:val="000000" w:themeColor="text1"/>
          <w:kern w:val="0"/>
          <w:sz w:val="32"/>
          <w:szCs w:val="32"/>
          <w14:textFill>
            <w14:solidFill>
              <w14:schemeClr w14:val="tx1"/>
            </w14:solidFill>
          </w14:textFill>
        </w:rPr>
        <w:br w:type="page"/>
      </w:r>
    </w:p>
    <w:p w14:paraId="2CF710B4">
      <w:pPr>
        <w:pStyle w:val="3"/>
        <w:numPr>
          <w:ilvl w:val="1"/>
          <w:numId w:val="0"/>
        </w:numPr>
      </w:pPr>
      <w:bookmarkStart w:id="48" w:name="_Toc18177"/>
      <w:r>
        <w:rPr>
          <w:rFonts w:hint="eastAsia"/>
        </w:rPr>
        <w:t>七、项目实施方案</w:t>
      </w:r>
      <w:bookmarkEnd w:id="48"/>
    </w:p>
    <w:p w14:paraId="0A14423D">
      <w:pPr>
        <w:spacing w:line="360" w:lineRule="auto"/>
        <w:jc w:val="center"/>
        <w:rPr>
          <w:rFonts w:ascii="宋体" w:hAnsi="宋体" w:eastAsia="宋体" w:cs="Times New Roman"/>
          <w:b/>
          <w:bCs/>
          <w:color w:val="000000" w:themeColor="text1"/>
          <w:kern w:val="0"/>
          <w:sz w:val="32"/>
          <w:szCs w:val="32"/>
          <w14:textFill>
            <w14:solidFill>
              <w14:schemeClr w14:val="tx1"/>
            </w14:solidFill>
          </w14:textFill>
        </w:rPr>
      </w:pPr>
    </w:p>
    <w:p w14:paraId="6741BD11">
      <w:pPr>
        <w:keepNext/>
        <w:keepLines/>
        <w:spacing w:line="415" w:lineRule="auto"/>
        <w:ind w:right="210" w:rightChars="100"/>
        <w:jc w:val="center"/>
        <w:outlineLvl w:val="2"/>
        <w:rPr>
          <w:rFonts w:ascii="宋体" w:hAnsi="宋体" w:eastAsia="宋体" w:cs="宋体"/>
          <w:b/>
          <w:bCs/>
          <w:sz w:val="28"/>
          <w:szCs w:val="28"/>
        </w:rPr>
      </w:pPr>
      <w:r>
        <w:rPr>
          <w:rFonts w:hint="eastAsia" w:ascii="宋体" w:hAnsi="宋体" w:eastAsia="宋体" w:cs="宋体"/>
          <w:b/>
          <w:bCs/>
          <w:sz w:val="28"/>
          <w:szCs w:val="28"/>
        </w:rPr>
        <w:t>（投标人根据本项目实际情况编写）</w:t>
      </w:r>
    </w:p>
    <w:p w14:paraId="154028A5">
      <w:pPr>
        <w:rPr>
          <w:rFonts w:ascii="宋体" w:hAnsi="宋体" w:eastAsia="宋体" w:cs="Times New Roman"/>
          <w:b/>
          <w:bCs/>
          <w:color w:val="000000" w:themeColor="text1"/>
          <w:kern w:val="0"/>
          <w:sz w:val="32"/>
          <w:szCs w:val="32"/>
          <w14:textFill>
            <w14:solidFill>
              <w14:schemeClr w14:val="tx1"/>
            </w14:solidFill>
          </w14:textFill>
        </w:rPr>
      </w:pPr>
      <w:r>
        <w:rPr>
          <w:rFonts w:ascii="Calibri" w:hAnsi="Calibri" w:eastAsia="宋体" w:cs="Times New Roman"/>
          <w:color w:val="000000" w:themeColor="text1"/>
          <w:kern w:val="0"/>
          <w:sz w:val="28"/>
          <w:szCs w:val="28"/>
          <w14:textFill>
            <w14:solidFill>
              <w14:schemeClr w14:val="tx1"/>
            </w14:solidFill>
          </w14:textFill>
        </w:rPr>
        <w:br w:type="page"/>
      </w:r>
      <w:bookmarkEnd w:id="40"/>
    </w:p>
    <w:p w14:paraId="7BF5F61F">
      <w:pPr>
        <w:pStyle w:val="3"/>
        <w:numPr>
          <w:ilvl w:val="1"/>
          <w:numId w:val="0"/>
        </w:numPr>
        <w:rPr>
          <w:lang w:val="zh-CN"/>
        </w:rPr>
      </w:pPr>
      <w:bookmarkStart w:id="49" w:name="_Toc4325"/>
      <w:bookmarkStart w:id="50" w:name="_Toc8748"/>
      <w:r>
        <w:rPr>
          <w:rFonts w:hint="eastAsia"/>
          <w:lang w:val="en-US" w:eastAsia="zh-CN"/>
        </w:rPr>
        <w:t>八</w:t>
      </w:r>
      <w:r>
        <w:rPr>
          <w:rFonts w:hint="eastAsia"/>
        </w:rPr>
        <w:t>、</w:t>
      </w:r>
      <w:r>
        <w:rPr>
          <w:rFonts w:hint="eastAsia"/>
          <w:lang w:val="zh-CN"/>
        </w:rPr>
        <w:t>其他资料</w:t>
      </w:r>
      <w:bookmarkEnd w:id="49"/>
      <w:bookmarkEnd w:id="50"/>
    </w:p>
    <w:p w14:paraId="5DF3D454">
      <w:pPr>
        <w:widowControl/>
        <w:spacing w:before="100" w:beforeAutospacing="1" w:after="100" w:afterAutospacing="1" w:line="360" w:lineRule="auto"/>
        <w:jc w:val="center"/>
        <w:rPr>
          <w:rFonts w:hint="eastAsia" w:ascii="宋体" w:hAnsi="宋体" w:eastAsia="宋体" w:cs="Times New Roman"/>
          <w:b/>
          <w:bCs/>
          <w:sz w:val="24"/>
        </w:rPr>
      </w:pPr>
      <w:bookmarkStart w:id="51" w:name="_Toc9430"/>
      <w:bookmarkStart w:id="52" w:name="_Toc10652"/>
      <w:bookmarkStart w:id="53" w:name="_Toc14000"/>
      <w:bookmarkStart w:id="54" w:name="_Toc10422"/>
      <w:bookmarkStart w:id="55" w:name="_Toc22139"/>
      <w:bookmarkStart w:id="56" w:name="_Toc12921"/>
      <w:bookmarkStart w:id="57" w:name="_Toc82111747"/>
      <w:bookmarkStart w:id="58" w:name="_Toc7247"/>
      <w:r>
        <w:rPr>
          <w:rFonts w:hint="eastAsia" w:ascii="宋体" w:hAnsi="宋体" w:eastAsia="宋体" w:cs="Times New Roman"/>
          <w:b/>
          <w:bCs/>
          <w:sz w:val="24"/>
        </w:rPr>
        <w:t>1.</w:t>
      </w:r>
      <w:bookmarkEnd w:id="51"/>
      <w:bookmarkEnd w:id="52"/>
      <w:bookmarkEnd w:id="53"/>
      <w:bookmarkEnd w:id="54"/>
      <w:bookmarkEnd w:id="55"/>
      <w:bookmarkEnd w:id="56"/>
      <w:bookmarkEnd w:id="57"/>
      <w:bookmarkEnd w:id="58"/>
      <w:bookmarkStart w:id="59" w:name="_Toc20348"/>
      <w:bookmarkStart w:id="60" w:name="_Toc7119"/>
      <w:bookmarkStart w:id="61" w:name="_Toc23107"/>
      <w:bookmarkStart w:id="62" w:name="_Toc15612"/>
      <w:bookmarkStart w:id="63" w:name="_Toc45"/>
      <w:bookmarkStart w:id="64" w:name="_Toc26103"/>
      <w:r>
        <w:rPr>
          <w:rFonts w:hint="eastAsia" w:ascii="宋体" w:hAnsi="宋体" w:eastAsia="宋体" w:cs="Times New Roman"/>
          <w:b/>
          <w:bCs/>
          <w:sz w:val="24"/>
        </w:rPr>
        <w:t>中小微企业声明函</w:t>
      </w:r>
    </w:p>
    <w:p w14:paraId="1A9FF5C0">
      <w:pPr>
        <w:widowControl/>
        <w:spacing w:before="100" w:beforeAutospacing="1" w:after="100" w:afterAutospacing="1" w:line="360" w:lineRule="auto"/>
        <w:jc w:val="center"/>
        <w:rPr>
          <w:rFonts w:ascii="宋体" w:hAnsi="宋体" w:eastAsia="宋体" w:cs="Times New Roman"/>
          <w:b/>
          <w:bCs/>
          <w:sz w:val="24"/>
        </w:rPr>
      </w:pPr>
      <w:r>
        <w:rPr>
          <w:rFonts w:hint="eastAsia" w:ascii="宋体" w:hAnsi="宋体" w:eastAsia="宋体" w:cs="Times New Roman"/>
          <w:b/>
          <w:bCs/>
          <w:sz w:val="24"/>
        </w:rPr>
        <w:t>（属于中小微企业的填写，不属于的无需填写此项内容）</w:t>
      </w:r>
    </w:p>
    <w:bookmarkEnd w:id="59"/>
    <w:bookmarkEnd w:id="60"/>
    <w:bookmarkEnd w:id="61"/>
    <w:bookmarkEnd w:id="62"/>
    <w:bookmarkEnd w:id="63"/>
    <w:bookmarkEnd w:id="64"/>
    <w:p w14:paraId="5C593EEA">
      <w:pPr>
        <w:widowControl/>
        <w:spacing w:before="100" w:beforeAutospacing="1" w:after="100" w:afterAutospacing="1" w:line="360" w:lineRule="auto"/>
        <w:ind w:firstLine="600" w:firstLineChars="25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本公司（联合体）郑重声明，根据《政府采购促进中小企业发展管理办法》（财库﹝2020﹞46 号）的规定，本公司（联合体）参加（单位名称）的（项目名称） 采购活动，提供的货物全部由符合政策要求的中小企业制造。相关企业（含联合体中的中小企业、签订分包意向协议的中小企业）的具体情况如下：</w:t>
      </w:r>
    </w:p>
    <w:p w14:paraId="00B4F459">
      <w:pPr>
        <w:widowControl/>
        <w:spacing w:before="100" w:beforeAutospacing="1" w:after="100" w:afterAutospacing="1"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1.（标的名称），属于（</w:t>
      </w:r>
      <w:r>
        <w:rPr>
          <w:rFonts w:hint="eastAsia" w:asciiTheme="minorEastAsia" w:hAnsiTheme="minorEastAsia" w:cstheme="minorEastAsia"/>
          <w:kern w:val="0"/>
          <w:sz w:val="24"/>
          <w:szCs w:val="24"/>
          <w:u w:val="single"/>
          <w:lang w:val="en-US" w:eastAsia="zh-CN"/>
        </w:rPr>
        <w:t xml:space="preserve">    </w:t>
      </w:r>
      <w:r>
        <w:rPr>
          <w:rFonts w:hint="eastAsia" w:asciiTheme="minorEastAsia" w:hAnsiTheme="minorEastAsia" w:cstheme="minorEastAsia"/>
          <w:kern w:val="0"/>
          <w:sz w:val="24"/>
          <w:szCs w:val="24"/>
        </w:rPr>
        <w:t>）行业 ；制造商为（企业名称），从业人员</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人，营业收入为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万元，资产总额为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万元，属于（中型企业、小型企业、微型企业） ；</w:t>
      </w:r>
    </w:p>
    <w:p w14:paraId="540B12DD">
      <w:pPr>
        <w:widowControl/>
        <w:spacing w:before="100" w:beforeAutospacing="1" w:after="100" w:afterAutospacing="1"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2.（标的名称） ，属于 （</w:t>
      </w:r>
      <w:r>
        <w:rPr>
          <w:rFonts w:hint="eastAsia" w:asciiTheme="minorEastAsia" w:hAnsiTheme="minorEastAsia" w:cstheme="minorEastAsia"/>
          <w:kern w:val="0"/>
          <w:sz w:val="24"/>
          <w:szCs w:val="24"/>
          <w:u w:val="single"/>
          <w:lang w:val="en-US" w:eastAsia="zh-CN"/>
        </w:rPr>
        <w:t xml:space="preserve">    </w:t>
      </w:r>
      <w:r>
        <w:rPr>
          <w:rFonts w:hint="eastAsia" w:asciiTheme="minorEastAsia" w:hAnsiTheme="minorEastAsia" w:cstheme="minorEastAsia"/>
          <w:kern w:val="0"/>
          <w:sz w:val="24"/>
          <w:szCs w:val="24"/>
        </w:rPr>
        <w:t>）行业 ；制造商为 （企业名称） ，从业人员</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人，营业收入为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万元，资产总额为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万元，属于 （中型企业、小型企业、微型企业） ；</w:t>
      </w:r>
    </w:p>
    <w:p w14:paraId="3EE48807">
      <w:pPr>
        <w:widowControl/>
        <w:spacing w:before="100" w:beforeAutospacing="1" w:after="100" w:afterAutospacing="1"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p w14:paraId="4DC5FA63">
      <w:pPr>
        <w:widowControl/>
        <w:spacing w:before="100" w:beforeAutospacing="1" w:after="100" w:afterAutospacing="1"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以上企业，不属于大企业的分支机构，不存在控股股东为大企业的情形，也不存在与大企业的负责人为同一人的情形。本企业对上述声明内容的真实性负责。如有虚假，将依法承担相应责任。</w:t>
      </w:r>
    </w:p>
    <w:p w14:paraId="21A0F520">
      <w:pPr>
        <w:spacing w:line="360" w:lineRule="auto"/>
        <w:ind w:firstLine="4320" w:firstLineChars="1800"/>
        <w:rPr>
          <w:rFonts w:asciiTheme="minorEastAsia" w:hAnsiTheme="minorEastAsia" w:cstheme="minorEastAsia"/>
          <w:sz w:val="24"/>
          <w:szCs w:val="24"/>
        </w:rPr>
      </w:pPr>
      <w:r>
        <w:rPr>
          <w:rFonts w:hint="eastAsia" w:asciiTheme="minorEastAsia" w:hAnsiTheme="minorEastAsia" w:cstheme="minorEastAsia"/>
          <w:bCs/>
          <w:sz w:val="24"/>
          <w:szCs w:val="24"/>
        </w:rPr>
        <w:t>磋商供应商（盖公章）：</w:t>
      </w:r>
    </w:p>
    <w:p w14:paraId="17571078">
      <w:pPr>
        <w:spacing w:line="360" w:lineRule="auto"/>
        <w:ind w:firstLine="4320" w:firstLineChars="1800"/>
        <w:rPr>
          <w:rFonts w:asciiTheme="minorEastAsia" w:hAnsiTheme="minorEastAsia" w:cstheme="minorEastAsia"/>
          <w:kern w:val="0"/>
          <w:sz w:val="24"/>
          <w:szCs w:val="24"/>
        </w:rPr>
      </w:pPr>
      <w:r>
        <w:rPr>
          <w:rFonts w:hint="eastAsia" w:asciiTheme="minorEastAsia" w:hAnsiTheme="minorEastAsia" w:cstheme="minorEastAsia"/>
          <w:sz w:val="24"/>
          <w:szCs w:val="24"/>
        </w:rPr>
        <w:t>日期：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14:paraId="788A443E">
      <w:pPr>
        <w:widowControl/>
        <w:spacing w:before="100" w:beforeAutospacing="1" w:after="100" w:afterAutospacing="1"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注：从业人员、营业收入、资产总额填报上一年度数据，无上一年度数据的新成立企业可不填报。</w:t>
      </w:r>
    </w:p>
    <w:p w14:paraId="71445B9D">
      <w:pPr>
        <w:widowControl/>
        <w:spacing w:line="340" w:lineRule="exact"/>
        <w:rPr>
          <w:rFonts w:asciiTheme="minorEastAsia" w:hAnsiTheme="minorEastAsia" w:cstheme="minorEastAsia"/>
          <w:b/>
          <w:sz w:val="24"/>
          <w:szCs w:val="24"/>
        </w:rPr>
      </w:pPr>
    </w:p>
    <w:p w14:paraId="2C3B8AF3">
      <w:pPr>
        <w:pStyle w:val="33"/>
        <w:rPr>
          <w:rFonts w:asciiTheme="minorEastAsia" w:hAnsiTheme="minorEastAsia" w:eastAsiaTheme="minorEastAsia" w:cstheme="minorEastAsia"/>
          <w:color w:val="auto"/>
          <w:szCs w:val="24"/>
        </w:rPr>
      </w:pPr>
    </w:p>
    <w:p w14:paraId="4DB0DEAF">
      <w:pPr>
        <w:widowControl/>
        <w:spacing w:before="100" w:beforeAutospacing="1" w:after="100" w:afterAutospacing="1" w:line="360" w:lineRule="auto"/>
        <w:ind w:firstLine="3120" w:firstLineChars="1300"/>
        <w:jc w:val="left"/>
        <w:rPr>
          <w:rFonts w:asciiTheme="minorEastAsia" w:hAnsiTheme="minorEastAsia" w:cstheme="minorEastAsia"/>
          <w:b/>
          <w:kern w:val="0"/>
          <w:sz w:val="24"/>
          <w:szCs w:val="24"/>
        </w:rPr>
      </w:pPr>
      <w:r>
        <w:rPr>
          <w:rFonts w:hint="eastAsia" w:asciiTheme="minorEastAsia" w:hAnsiTheme="minorEastAsia" w:cstheme="minorEastAsia"/>
          <w:sz w:val="24"/>
          <w:szCs w:val="24"/>
        </w:rPr>
        <w:br w:type="page"/>
      </w:r>
      <w:bookmarkStart w:id="65" w:name="_Toc532473512"/>
      <w:bookmarkStart w:id="66" w:name="_Toc16229659"/>
      <w:r>
        <w:rPr>
          <w:rFonts w:hint="eastAsia" w:asciiTheme="minorEastAsia" w:hAnsiTheme="minorEastAsia" w:cstheme="minorEastAsia"/>
          <w:b/>
          <w:bCs/>
          <w:sz w:val="24"/>
          <w:szCs w:val="24"/>
        </w:rPr>
        <w:t>2.供应商监狱企业声明函</w:t>
      </w:r>
      <w:bookmarkEnd w:id="65"/>
      <w:bookmarkEnd w:id="66"/>
    </w:p>
    <w:p w14:paraId="1006B9CB">
      <w:pPr>
        <w:widowControl/>
        <w:spacing w:before="100" w:beforeAutospacing="1" w:after="100" w:afterAutospacing="1" w:line="360" w:lineRule="auto"/>
        <w:ind w:firstLine="480" w:firstLineChars="20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（属于残疾人福利性单位的填写，不属于的无需填写此项内容）</w:t>
      </w:r>
    </w:p>
    <w:p w14:paraId="49588C71">
      <w:pPr>
        <w:widowControl/>
        <w:spacing w:before="100" w:beforeAutospacing="1" w:after="100" w:afterAutospacing="1"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本企业（单位）郑重声明下列事项（按照实际情况勾选或填空）：</w:t>
      </w:r>
    </w:p>
    <w:p w14:paraId="56193C00">
      <w:pPr>
        <w:widowControl/>
        <w:spacing w:before="100" w:beforeAutospacing="1" w:after="100" w:afterAutospacing="1"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本企业（单位）为直接供应商提供本企业（单位）制造的货物。</w:t>
      </w:r>
    </w:p>
    <w:p w14:paraId="73E05298">
      <w:pPr>
        <w:widowControl/>
        <w:spacing w:before="100" w:beforeAutospacing="1" w:after="100" w:afterAutospacing="1"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（1）本企业（单位）</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（请填写：是、不是）监狱企业。后附省级以上监狱管理局、戒毒管理局（含新疆生产建设兵团）出具的属于监狱企业的证明文件。</w:t>
      </w:r>
    </w:p>
    <w:p w14:paraId="2936F486">
      <w:pPr>
        <w:widowControl/>
        <w:spacing w:before="100" w:beforeAutospacing="1" w:after="100" w:afterAutospacing="1" w:line="360" w:lineRule="auto"/>
        <w:ind w:firstLine="42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（2）本企业（单位）</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（请填写：是、不是）为联合体一方，提供本企业（单位）制造的货物，由本企业（单位）承担工程、提供服务。本企业（单位）提供协议合同金额占到共同投标协议合同总金额的比例为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w:t>
      </w:r>
    </w:p>
    <w:p w14:paraId="122F9B55">
      <w:pPr>
        <w:widowControl/>
        <w:spacing w:before="100" w:beforeAutospacing="1" w:after="100" w:afterAutospacing="1" w:line="360" w:lineRule="auto"/>
        <w:ind w:firstLine="475"/>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本企业（单位）对上述声明的真实性负责。如有虚假，将依法承担相应责任。</w:t>
      </w:r>
    </w:p>
    <w:p w14:paraId="3010B3F5">
      <w:pPr>
        <w:widowControl/>
        <w:spacing w:before="100" w:beforeAutospacing="1" w:after="100" w:afterAutospacing="1" w:line="360" w:lineRule="auto"/>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p w14:paraId="449366AF">
      <w:pPr>
        <w:widowControl/>
        <w:spacing w:before="100" w:beforeAutospacing="1" w:after="100" w:afterAutospacing="1" w:line="360" w:lineRule="auto"/>
        <w:jc w:val="left"/>
        <w:rPr>
          <w:rFonts w:asciiTheme="minorEastAsia" w:hAnsiTheme="minorEastAsia" w:cstheme="minorEastAsia"/>
          <w:kern w:val="0"/>
          <w:sz w:val="24"/>
          <w:szCs w:val="24"/>
        </w:rPr>
      </w:pPr>
    </w:p>
    <w:p w14:paraId="52501716">
      <w:pPr>
        <w:spacing w:line="360" w:lineRule="auto"/>
        <w:ind w:firstLine="4320" w:firstLineChars="1800"/>
        <w:rPr>
          <w:rFonts w:asciiTheme="minorEastAsia" w:hAnsiTheme="minorEastAsia" w:cstheme="minorEastAsia"/>
          <w:sz w:val="24"/>
          <w:szCs w:val="24"/>
        </w:rPr>
      </w:pPr>
      <w:r>
        <w:rPr>
          <w:rFonts w:hint="eastAsia" w:asciiTheme="minorEastAsia" w:hAnsiTheme="minorEastAsia" w:cstheme="minorEastAsia"/>
          <w:bCs/>
          <w:sz w:val="24"/>
          <w:szCs w:val="24"/>
        </w:rPr>
        <w:t>磋商供应商（盖公章）：</w:t>
      </w:r>
    </w:p>
    <w:p w14:paraId="6244EFDA">
      <w:pPr>
        <w:spacing w:line="360" w:lineRule="auto"/>
        <w:ind w:firstLine="4320" w:firstLineChars="1800"/>
        <w:rPr>
          <w:rFonts w:asciiTheme="minorEastAsia" w:hAnsiTheme="minorEastAsia" w:cstheme="minorEastAsia"/>
          <w:sz w:val="24"/>
          <w:szCs w:val="24"/>
        </w:rPr>
      </w:pPr>
    </w:p>
    <w:p w14:paraId="3E3EB89D">
      <w:pPr>
        <w:spacing w:line="360" w:lineRule="auto"/>
        <w:ind w:firstLine="4320" w:firstLineChars="1800"/>
        <w:rPr>
          <w:rFonts w:asciiTheme="minorEastAsia" w:hAnsiTheme="minorEastAsia" w:cstheme="minorEastAsia"/>
          <w:sz w:val="24"/>
          <w:szCs w:val="24"/>
        </w:rPr>
      </w:pPr>
      <w:r>
        <w:rPr>
          <w:rFonts w:hint="eastAsia" w:asciiTheme="minorEastAsia" w:hAnsiTheme="minorEastAsia" w:cstheme="minorEastAsia"/>
          <w:sz w:val="24"/>
          <w:szCs w:val="24"/>
        </w:rPr>
        <w:t>日期：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14:paraId="2AD380A8">
      <w:pPr>
        <w:pStyle w:val="17"/>
        <w:ind w:firstLine="480"/>
        <w:rPr>
          <w:rFonts w:asciiTheme="minorEastAsia" w:hAnsiTheme="minorEastAsia" w:eastAsiaTheme="minorEastAsia" w:cstheme="minorEastAsia"/>
          <w:sz w:val="24"/>
          <w:szCs w:val="24"/>
          <w:lang w:eastAsia="zh-CN"/>
        </w:rPr>
      </w:pPr>
    </w:p>
    <w:p w14:paraId="6D5927E4">
      <w:pPr>
        <w:pStyle w:val="17"/>
        <w:ind w:firstLine="480"/>
        <w:rPr>
          <w:rFonts w:asciiTheme="minorEastAsia" w:hAnsiTheme="minorEastAsia" w:eastAsiaTheme="minorEastAsia" w:cstheme="minorEastAsia"/>
          <w:sz w:val="24"/>
          <w:szCs w:val="24"/>
          <w:lang w:eastAsia="zh-CN"/>
        </w:rPr>
      </w:pPr>
    </w:p>
    <w:p w14:paraId="24D4210B">
      <w:pPr>
        <w:pStyle w:val="17"/>
        <w:ind w:firstLine="480"/>
        <w:rPr>
          <w:rFonts w:asciiTheme="minorEastAsia" w:hAnsiTheme="minorEastAsia" w:eastAsiaTheme="minorEastAsia" w:cstheme="minorEastAsia"/>
          <w:sz w:val="24"/>
          <w:szCs w:val="24"/>
          <w:lang w:eastAsia="zh-CN"/>
        </w:rPr>
      </w:pPr>
    </w:p>
    <w:p w14:paraId="2EF33AF0">
      <w:pPr>
        <w:pStyle w:val="17"/>
        <w:ind w:firstLine="480"/>
        <w:rPr>
          <w:rFonts w:asciiTheme="minorEastAsia" w:hAnsiTheme="minorEastAsia" w:eastAsiaTheme="minorEastAsia" w:cstheme="minorEastAsia"/>
          <w:sz w:val="24"/>
          <w:szCs w:val="24"/>
          <w:lang w:eastAsia="zh-CN"/>
        </w:rPr>
      </w:pPr>
    </w:p>
    <w:p w14:paraId="796AE88C">
      <w:pPr>
        <w:pStyle w:val="5"/>
        <w:rPr>
          <w:rFonts w:asciiTheme="minorEastAsia" w:hAnsiTheme="minorEastAsia" w:eastAsiaTheme="minorEastAsia" w:cstheme="minorEastAsia"/>
        </w:rPr>
      </w:pPr>
    </w:p>
    <w:p w14:paraId="23D67741">
      <w:pPr>
        <w:pStyle w:val="3"/>
        <w:numPr>
          <w:ilvl w:val="1"/>
          <w:numId w:val="0"/>
        </w:numPr>
        <w:wordWrap w:val="0"/>
        <w:topLinePunct/>
        <w:spacing w:before="0" w:after="0" w:line="360" w:lineRule="auto"/>
        <w:rPr>
          <w:rFonts w:asciiTheme="minorEastAsia" w:hAnsiTheme="minorEastAsia" w:eastAsiaTheme="minorEastAsia" w:cstheme="minorEastAsia"/>
          <w:bCs/>
          <w:sz w:val="24"/>
          <w:szCs w:val="24"/>
        </w:rPr>
      </w:pPr>
    </w:p>
    <w:p w14:paraId="22E61B4E">
      <w:pPr>
        <w:rPr>
          <w:rFonts w:asciiTheme="minorEastAsia" w:hAnsiTheme="minorEastAsia" w:cstheme="minorEastAsia"/>
          <w:sz w:val="24"/>
          <w:szCs w:val="24"/>
        </w:rPr>
      </w:pPr>
    </w:p>
    <w:p w14:paraId="694C3F14">
      <w:pPr>
        <w:widowControl/>
        <w:spacing w:before="100" w:beforeAutospacing="1" w:after="100" w:afterAutospacing="1" w:line="360" w:lineRule="auto"/>
        <w:ind w:firstLine="3120" w:firstLineChars="1300"/>
        <w:jc w:val="left"/>
        <w:rPr>
          <w:rFonts w:asciiTheme="minorEastAsia" w:hAnsiTheme="minorEastAsia" w:cstheme="minorEastAsia"/>
          <w:b/>
          <w:bCs/>
          <w:sz w:val="24"/>
          <w:szCs w:val="24"/>
        </w:rPr>
      </w:pPr>
      <w:r>
        <w:rPr>
          <w:rFonts w:hint="eastAsia" w:asciiTheme="minorEastAsia" w:hAnsiTheme="minorEastAsia" w:cstheme="minorEastAsia"/>
          <w:bCs/>
          <w:sz w:val="24"/>
          <w:szCs w:val="24"/>
        </w:rPr>
        <w:br w:type="page"/>
      </w:r>
      <w:bookmarkStart w:id="67" w:name="_Toc30542"/>
      <w:bookmarkStart w:id="68" w:name="_Toc13311"/>
      <w:bookmarkStart w:id="69" w:name="_Toc15018"/>
      <w:bookmarkStart w:id="70" w:name="_Toc22043"/>
      <w:r>
        <w:rPr>
          <w:rFonts w:hint="eastAsia" w:asciiTheme="minorEastAsia" w:hAnsiTheme="minorEastAsia" w:cstheme="minorEastAsia"/>
          <w:b/>
          <w:bCs/>
          <w:sz w:val="24"/>
          <w:szCs w:val="24"/>
        </w:rPr>
        <w:t>3、残疾人福利性单位声明函</w:t>
      </w:r>
      <w:bookmarkEnd w:id="67"/>
      <w:bookmarkEnd w:id="68"/>
      <w:bookmarkEnd w:id="69"/>
      <w:bookmarkEnd w:id="70"/>
    </w:p>
    <w:p w14:paraId="30E885B3">
      <w:pPr>
        <w:spacing w:line="360" w:lineRule="auto"/>
        <w:jc w:val="center"/>
      </w:pPr>
      <w:r>
        <w:rPr>
          <w:rFonts w:hint="eastAsia" w:asciiTheme="minorEastAsia" w:hAnsiTheme="minorEastAsia" w:cstheme="minorEastAsia"/>
          <w:kern w:val="0"/>
          <w:sz w:val="24"/>
          <w:szCs w:val="24"/>
        </w:rPr>
        <w:t>（属于监狱企业的提供，不属于的无需提供此项内容）</w:t>
      </w:r>
    </w:p>
    <w:p w14:paraId="19B20A41">
      <w:pPr>
        <w:spacing w:line="360" w:lineRule="auto"/>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本单位郑重声明，根据《财政部 民政部 中国残疾人联合会关于促进残疾人就业政府采购政策的通知》（财库</w:t>
      </w:r>
      <w:r>
        <w:rPr>
          <w:rFonts w:hint="eastAsia" w:asciiTheme="minorEastAsia" w:hAnsiTheme="minorEastAsia" w:cstheme="minorEastAsia"/>
          <w:sz w:val="24"/>
          <w:szCs w:val="24"/>
        </w:rPr>
        <w:t>〔2017〕141</w:t>
      </w:r>
      <w:r>
        <w:rPr>
          <w:rFonts w:hint="eastAsia" w:asciiTheme="minorEastAsia" w:hAnsiTheme="minorEastAsia" w:cstheme="minorEastAsia"/>
          <w:spacing w:val="6"/>
          <w:sz w:val="24"/>
          <w:szCs w:val="24"/>
        </w:rPr>
        <w:t>号）的规定，本单位为符合条件的残疾人福利性单位，且本单位参加</w:t>
      </w:r>
      <w:r>
        <w:rPr>
          <w:rFonts w:hint="eastAsia" w:asciiTheme="minorEastAsia" w:hAnsiTheme="minorEastAsia" w:cstheme="minorEastAsia"/>
          <w:spacing w:val="6"/>
          <w:sz w:val="24"/>
          <w:szCs w:val="24"/>
          <w:u w:val="single"/>
        </w:rPr>
        <w:t xml:space="preserve">       </w:t>
      </w:r>
      <w:r>
        <w:rPr>
          <w:rFonts w:hint="eastAsia" w:asciiTheme="minorEastAsia" w:hAnsiTheme="minorEastAsia" w:cstheme="minorEastAsia"/>
          <w:spacing w:val="6"/>
          <w:sz w:val="24"/>
          <w:szCs w:val="24"/>
        </w:rPr>
        <w:t>单位的</w:t>
      </w:r>
      <w:r>
        <w:rPr>
          <w:rFonts w:hint="eastAsia" w:asciiTheme="minorEastAsia" w:hAnsiTheme="minorEastAsia" w:cstheme="minorEastAsia"/>
          <w:spacing w:val="6"/>
          <w:sz w:val="24"/>
          <w:szCs w:val="24"/>
          <w:u w:val="single"/>
        </w:rPr>
        <w:t xml:space="preserve">      </w:t>
      </w:r>
      <w:r>
        <w:rPr>
          <w:rFonts w:hint="eastAsia" w:asciiTheme="minorEastAsia" w:hAnsiTheme="minorEastAsia" w:cs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31F93157">
      <w:pPr>
        <w:spacing w:line="360" w:lineRule="auto"/>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本单位对上述声明的真实性负责。如有虚假，将依法承担相应责任。</w:t>
      </w:r>
    </w:p>
    <w:p w14:paraId="7D0636D6">
      <w:pPr>
        <w:spacing w:line="360" w:lineRule="auto"/>
        <w:ind w:firstLine="504" w:firstLineChars="200"/>
        <w:rPr>
          <w:rFonts w:asciiTheme="minorEastAsia" w:hAnsiTheme="minorEastAsia" w:cstheme="minorEastAsia"/>
          <w:spacing w:val="6"/>
          <w:sz w:val="24"/>
          <w:szCs w:val="24"/>
        </w:rPr>
      </w:pPr>
    </w:p>
    <w:p w14:paraId="0E51761B">
      <w:pPr>
        <w:spacing w:line="360" w:lineRule="auto"/>
        <w:ind w:firstLine="4536" w:firstLineChars="1800"/>
        <w:rPr>
          <w:rFonts w:asciiTheme="minorEastAsia" w:hAnsiTheme="minorEastAsia" w:cstheme="minorEastAsia"/>
          <w:sz w:val="24"/>
          <w:szCs w:val="24"/>
        </w:rPr>
      </w:pPr>
      <w:r>
        <w:rPr>
          <w:rFonts w:hint="eastAsia" w:asciiTheme="minorEastAsia" w:hAnsiTheme="minorEastAsia" w:cstheme="minorEastAsia"/>
          <w:spacing w:val="6"/>
          <w:sz w:val="24"/>
          <w:szCs w:val="24"/>
        </w:rPr>
        <w:t xml:space="preserve"> </w:t>
      </w:r>
      <w:r>
        <w:rPr>
          <w:rFonts w:hint="eastAsia" w:asciiTheme="minorEastAsia" w:hAnsiTheme="minorEastAsia" w:cstheme="minorEastAsia"/>
          <w:bCs/>
          <w:sz w:val="24"/>
          <w:szCs w:val="24"/>
        </w:rPr>
        <w:t>磋商供应商（盖公章）：</w:t>
      </w:r>
    </w:p>
    <w:p w14:paraId="521D587F">
      <w:pPr>
        <w:spacing w:line="360" w:lineRule="auto"/>
        <w:ind w:firstLine="4320" w:firstLineChars="1800"/>
        <w:rPr>
          <w:rFonts w:asciiTheme="minorEastAsia" w:hAnsiTheme="minorEastAsia" w:cstheme="minorEastAsia"/>
          <w:sz w:val="24"/>
          <w:szCs w:val="24"/>
        </w:rPr>
      </w:pPr>
    </w:p>
    <w:p w14:paraId="50638092">
      <w:pPr>
        <w:spacing w:line="360" w:lineRule="auto"/>
        <w:ind w:firstLine="4320" w:firstLineChars="1800"/>
        <w:rPr>
          <w:rFonts w:asciiTheme="minorEastAsia" w:hAnsiTheme="minorEastAsia" w:cstheme="minorEastAsia"/>
          <w:b/>
          <w:sz w:val="28"/>
          <w:szCs w:val="28"/>
        </w:rPr>
      </w:pPr>
      <w:r>
        <w:rPr>
          <w:rFonts w:hint="eastAsia" w:asciiTheme="minorEastAsia" w:hAnsiTheme="minorEastAsia" w:cstheme="minorEastAsia"/>
          <w:sz w:val="24"/>
          <w:szCs w:val="24"/>
        </w:rPr>
        <w:t>日期：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14:paraId="0ECA8FF0">
      <w:pPr>
        <w:tabs>
          <w:tab w:val="left" w:pos="840"/>
        </w:tabs>
        <w:autoSpaceDE w:val="0"/>
        <w:autoSpaceDN w:val="0"/>
        <w:adjustRightInd w:val="0"/>
        <w:spacing w:line="360" w:lineRule="auto"/>
        <w:rPr>
          <w:rFonts w:asciiTheme="minorEastAsia" w:hAnsiTheme="minorEastAsia" w:cstheme="minorEastAsia"/>
          <w:b/>
          <w:sz w:val="28"/>
          <w:szCs w:val="28"/>
        </w:rPr>
      </w:pPr>
    </w:p>
    <w:p w14:paraId="6040A684">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《财政部民政部中国残疾人联合会关于促进残疾人就业政府采购政策的通知》（财库2017〔141〕号）的规定：</w:t>
      </w:r>
    </w:p>
    <w:p w14:paraId="67E468C7">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 享受政府采购支持政策的残疾人福利性单位应当同时满足以下条件：</w:t>
      </w:r>
    </w:p>
    <w:p w14:paraId="72EC277B">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（1）安置的残疾人占本单位在职职工人数的比例不低于25%（含25%），并且安置的残疾人人数不少于10人（含10人）；</w:t>
      </w:r>
    </w:p>
    <w:p w14:paraId="0312ABB2">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（2）依法与安置的每位残疾人签订了一年以上（含一年）的劳动合同或服务协议；</w:t>
      </w:r>
    </w:p>
    <w:p w14:paraId="5E358FFE">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（3）为安置的每位残疾人按月足额缴纳了基本养老保险、基本医疗保险、失业保险、工伤保险和生育保险等社会保险费；</w:t>
      </w:r>
    </w:p>
    <w:p w14:paraId="32519B02">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（4）通过银行等金融机构向安置的每位残疾人，按月支付了不低于单位所在区县适用的经省级人民政府批准的月最低工资标准的工资；</w:t>
      </w:r>
    </w:p>
    <w:p w14:paraId="71A7D008">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（5）提供本单位制造的货物、承担的工程或者服务（以下简称产品），或者提供其他残疾人福利性单位制造的货物（不包括使用非残疾人福利性单位注册商标的货物）。</w:t>
      </w:r>
    </w:p>
    <w:p w14:paraId="7FF1D0E4">
      <w:pPr>
        <w:spacing w:line="360" w:lineRule="auto"/>
        <w:ind w:firstLine="480" w:firstLineChars="200"/>
        <w:rPr>
          <w:rFonts w:asciiTheme="minorEastAsia" w:hAnsiTheme="minorEastAsia" w:cstheme="minorEastAsia"/>
          <w:b/>
          <w:sz w:val="24"/>
          <w:szCs w:val="24"/>
        </w:rPr>
      </w:pPr>
      <w:r>
        <w:rPr>
          <w:rFonts w:hint="eastAsia" w:asciiTheme="minorEastAsia" w:hAnsiTheme="minorEastAsia" w:cstheme="minorEastAsia"/>
          <w:sz w:val="24"/>
          <w:szCs w:val="24"/>
        </w:rPr>
        <w:t>2. 成交人为残疾人福利性单位的，采购人或者其委托的采购代理机构应当随成交、成交结果同时公告其《残疾人福利性单位声明函》，接受社会监督。</w:t>
      </w:r>
    </w:p>
    <w:p w14:paraId="7B4C3295">
      <w:pPr>
        <w:pStyle w:val="10"/>
      </w:pPr>
    </w:p>
    <w:p w14:paraId="743B6FE1">
      <w:pPr>
        <w:widowControl/>
        <w:spacing w:before="100" w:beforeAutospacing="1" w:after="100" w:afterAutospacing="1" w:line="360" w:lineRule="auto"/>
        <w:jc w:val="center"/>
        <w:rPr>
          <w:rFonts w:hint="eastAsia" w:asciiTheme="minorEastAsia" w:hAnsiTheme="minorEastAsia" w:cstheme="minorEastAsia"/>
          <w:b/>
          <w:bCs/>
          <w:sz w:val="24"/>
          <w:szCs w:val="24"/>
        </w:rPr>
      </w:pPr>
      <w:r>
        <w:rPr>
          <w:rFonts w:hint="eastAsia" w:asciiTheme="minorEastAsia" w:hAnsiTheme="minorEastAsia" w:cstheme="minorEastAsia"/>
          <w:b/>
          <w:bCs/>
          <w:sz w:val="24"/>
          <w:szCs w:val="24"/>
          <w:lang w:val="en-US" w:eastAsia="zh-CN"/>
        </w:rPr>
        <w:t>4.</w:t>
      </w:r>
      <w:bookmarkStart w:id="71" w:name="_Toc177"/>
      <w:bookmarkStart w:id="72" w:name="_Toc31971"/>
      <w:bookmarkStart w:id="73" w:name="_Toc24974"/>
      <w:bookmarkStart w:id="74" w:name="_Toc5886"/>
      <w:bookmarkStart w:id="75" w:name="_Toc12422"/>
      <w:bookmarkStart w:id="76" w:name="_Toc18518"/>
      <w:bookmarkStart w:id="77" w:name="_Toc10"/>
      <w:bookmarkStart w:id="78" w:name="_Toc11160"/>
      <w:bookmarkStart w:id="79" w:name="_Toc7450"/>
      <w:bookmarkStart w:id="80" w:name="_Toc19989"/>
      <w:bookmarkStart w:id="81" w:name="_Toc13598"/>
      <w:bookmarkStart w:id="82" w:name="_Toc15056"/>
      <w:bookmarkStart w:id="83" w:name="_Toc14173"/>
      <w:bookmarkStart w:id="84" w:name="_Toc15646"/>
      <w:bookmarkStart w:id="85" w:name="_Toc7859"/>
      <w:r>
        <w:rPr>
          <w:rFonts w:hint="eastAsia" w:asciiTheme="minorEastAsia" w:hAnsiTheme="minorEastAsia" w:cstheme="minorEastAsia"/>
          <w:b/>
          <w:bCs/>
          <w:sz w:val="24"/>
          <w:szCs w:val="24"/>
        </w:rPr>
        <w:t>磋商文件要求或供应商认为有必要提供的其他资料</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CC85986">
      <w:pPr>
        <w:pStyle w:val="10"/>
      </w:pPr>
    </w:p>
    <w:p w14:paraId="368BE78E">
      <w:pPr>
        <w:pStyle w:val="10"/>
      </w:pPr>
    </w:p>
    <w:p w14:paraId="3A6482AD">
      <w:pPr>
        <w:pStyle w:val="10"/>
      </w:pPr>
    </w:p>
    <w:p w14:paraId="61593813"/>
    <w:sectPr>
      <w:pgSz w:w="11906" w:h="16838"/>
      <w:pgMar w:top="1440" w:right="1689" w:bottom="1440"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E3162">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CBC9B7">
                          <w:pPr>
                            <w:pStyle w:val="12"/>
                          </w:pPr>
                          <w:r>
                            <w:fldChar w:fldCharType="begin"/>
                          </w:r>
                          <w:r>
                            <w:instrText xml:space="preserve"> PAGE  \* MERGEFORMAT </w:instrText>
                          </w:r>
                          <w:r>
                            <w:fldChar w:fldCharType="separate"/>
                          </w:r>
                          <w:r>
                            <w:t>50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21CBC9B7">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56E500"/>
    <w:multiLevelType w:val="singleLevel"/>
    <w:tmpl w:val="F756E500"/>
    <w:lvl w:ilvl="0" w:tentative="0">
      <w:start w:val="1"/>
      <w:numFmt w:val="chineseCounting"/>
      <w:suff w:val="nothing"/>
      <w:lvlText w:val="%1、"/>
      <w:lvlJc w:val="left"/>
      <w:rPr>
        <w:rFonts w:hint="eastAsia"/>
      </w:rPr>
    </w:lvl>
  </w:abstractNum>
  <w:abstractNum w:abstractNumId="1">
    <w:nsid w:val="0BCD640A"/>
    <w:multiLevelType w:val="multilevel"/>
    <w:tmpl w:val="0BCD640A"/>
    <w:lvl w:ilvl="0" w:tentative="0">
      <w:start w:val="1"/>
      <w:numFmt w:val="chineseCountingThousand"/>
      <w:lvlText w:val="(%1)"/>
      <w:lvlJc w:val="left"/>
      <w:pPr>
        <w:tabs>
          <w:tab w:val="left" w:pos="420"/>
        </w:tabs>
        <w:ind w:left="420" w:hanging="420"/>
      </w:pPr>
      <w:rPr>
        <w:rFonts w:hint="eastAsia"/>
      </w:rPr>
    </w:lvl>
    <w:lvl w:ilvl="1" w:tentative="0">
      <w:start w:val="1"/>
      <w:numFmt w:val="decimal"/>
      <w:pStyle w:val="3"/>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4172593"/>
    <w:multiLevelType w:val="multilevel"/>
    <w:tmpl w:val="64172593"/>
    <w:lvl w:ilvl="0" w:tentative="0">
      <w:start w:val="1"/>
      <w:numFmt w:val="japaneseCounting"/>
      <w:lvlText w:val="第%1章"/>
      <w:lvlJc w:val="left"/>
      <w:pPr>
        <w:ind w:left="2252" w:hanging="1710"/>
      </w:pPr>
      <w:rPr>
        <w:rFonts w:hint="default"/>
      </w:rPr>
    </w:lvl>
    <w:lvl w:ilvl="1" w:tentative="0">
      <w:start w:val="1"/>
      <w:numFmt w:val="lowerLetter"/>
      <w:lvlText w:val="%2)"/>
      <w:lvlJc w:val="left"/>
      <w:pPr>
        <w:ind w:left="1382" w:hanging="420"/>
      </w:p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jBhNzVhNDFhZTQ4ZjMwMzY0ZWRjZDhkMjY4NjYifQ=="/>
  </w:docVars>
  <w:rsids>
    <w:rsidRoot w:val="00172A27"/>
    <w:rsid w:val="000B44D3"/>
    <w:rsid w:val="00117EB6"/>
    <w:rsid w:val="00162073"/>
    <w:rsid w:val="00172A27"/>
    <w:rsid w:val="0020634D"/>
    <w:rsid w:val="00247B5B"/>
    <w:rsid w:val="002668BB"/>
    <w:rsid w:val="00396A0E"/>
    <w:rsid w:val="003D0326"/>
    <w:rsid w:val="00425595"/>
    <w:rsid w:val="00456938"/>
    <w:rsid w:val="0049159D"/>
    <w:rsid w:val="004F1AD0"/>
    <w:rsid w:val="004F215C"/>
    <w:rsid w:val="005514B9"/>
    <w:rsid w:val="00575D35"/>
    <w:rsid w:val="006017CF"/>
    <w:rsid w:val="0073438F"/>
    <w:rsid w:val="007526B2"/>
    <w:rsid w:val="00794998"/>
    <w:rsid w:val="00795127"/>
    <w:rsid w:val="007D582E"/>
    <w:rsid w:val="007E0862"/>
    <w:rsid w:val="007E0A45"/>
    <w:rsid w:val="00857E1A"/>
    <w:rsid w:val="008669ED"/>
    <w:rsid w:val="00985CEA"/>
    <w:rsid w:val="00C107A1"/>
    <w:rsid w:val="00C22257"/>
    <w:rsid w:val="00CA446C"/>
    <w:rsid w:val="00D20314"/>
    <w:rsid w:val="00D74F5D"/>
    <w:rsid w:val="00D91368"/>
    <w:rsid w:val="00D935F5"/>
    <w:rsid w:val="00F34C63"/>
    <w:rsid w:val="00F64BF3"/>
    <w:rsid w:val="00F90020"/>
    <w:rsid w:val="00FB6539"/>
    <w:rsid w:val="00FC083F"/>
    <w:rsid w:val="011949CD"/>
    <w:rsid w:val="01A9310D"/>
    <w:rsid w:val="02203B3A"/>
    <w:rsid w:val="02A36C44"/>
    <w:rsid w:val="031A5FD6"/>
    <w:rsid w:val="03ED5234"/>
    <w:rsid w:val="04377468"/>
    <w:rsid w:val="04F512AE"/>
    <w:rsid w:val="055511AF"/>
    <w:rsid w:val="05C23886"/>
    <w:rsid w:val="06497B03"/>
    <w:rsid w:val="06DA1CD6"/>
    <w:rsid w:val="072C1FA0"/>
    <w:rsid w:val="082A74C0"/>
    <w:rsid w:val="083E7131"/>
    <w:rsid w:val="09BB75C6"/>
    <w:rsid w:val="09FE5233"/>
    <w:rsid w:val="0B6D49EB"/>
    <w:rsid w:val="0C645214"/>
    <w:rsid w:val="0CB47CA0"/>
    <w:rsid w:val="0D7B06C2"/>
    <w:rsid w:val="0DC161D1"/>
    <w:rsid w:val="0FB067AC"/>
    <w:rsid w:val="0FB3423F"/>
    <w:rsid w:val="111676A1"/>
    <w:rsid w:val="1187232C"/>
    <w:rsid w:val="182D6FD9"/>
    <w:rsid w:val="19500B5B"/>
    <w:rsid w:val="19BF485E"/>
    <w:rsid w:val="1ACA018D"/>
    <w:rsid w:val="1DF223D6"/>
    <w:rsid w:val="1E544E3F"/>
    <w:rsid w:val="1EFD54D7"/>
    <w:rsid w:val="1F914E56"/>
    <w:rsid w:val="1FAB0A8F"/>
    <w:rsid w:val="203647FC"/>
    <w:rsid w:val="208211C5"/>
    <w:rsid w:val="20955ECF"/>
    <w:rsid w:val="209E6733"/>
    <w:rsid w:val="224A3CF2"/>
    <w:rsid w:val="23B55710"/>
    <w:rsid w:val="23F549CE"/>
    <w:rsid w:val="267A740D"/>
    <w:rsid w:val="267D5831"/>
    <w:rsid w:val="272F01F7"/>
    <w:rsid w:val="28E57488"/>
    <w:rsid w:val="294A1318"/>
    <w:rsid w:val="2AC51619"/>
    <w:rsid w:val="2B9837E3"/>
    <w:rsid w:val="2CDF1A1E"/>
    <w:rsid w:val="2E4032CC"/>
    <w:rsid w:val="2F224DF5"/>
    <w:rsid w:val="2F745341"/>
    <w:rsid w:val="2F8119E7"/>
    <w:rsid w:val="339937FB"/>
    <w:rsid w:val="33C70135"/>
    <w:rsid w:val="35AA7531"/>
    <w:rsid w:val="36486BE0"/>
    <w:rsid w:val="36822694"/>
    <w:rsid w:val="38196A86"/>
    <w:rsid w:val="38B465B8"/>
    <w:rsid w:val="38D7402F"/>
    <w:rsid w:val="39EC450F"/>
    <w:rsid w:val="39F63332"/>
    <w:rsid w:val="3A1C0AAF"/>
    <w:rsid w:val="3B4B164C"/>
    <w:rsid w:val="3BBA5860"/>
    <w:rsid w:val="3C8150BB"/>
    <w:rsid w:val="3CB46D7D"/>
    <w:rsid w:val="3CE533DA"/>
    <w:rsid w:val="3D424389"/>
    <w:rsid w:val="3E9C33B9"/>
    <w:rsid w:val="407D7AD4"/>
    <w:rsid w:val="40D5220D"/>
    <w:rsid w:val="415C59D4"/>
    <w:rsid w:val="41D06A9C"/>
    <w:rsid w:val="4262727B"/>
    <w:rsid w:val="42BF3D62"/>
    <w:rsid w:val="42DA1507"/>
    <w:rsid w:val="432E524F"/>
    <w:rsid w:val="434F7385"/>
    <w:rsid w:val="438E21FE"/>
    <w:rsid w:val="44817AE8"/>
    <w:rsid w:val="46AB7443"/>
    <w:rsid w:val="47EB386F"/>
    <w:rsid w:val="495C4470"/>
    <w:rsid w:val="499E3B85"/>
    <w:rsid w:val="49B54134"/>
    <w:rsid w:val="4A6B654B"/>
    <w:rsid w:val="4B9672D6"/>
    <w:rsid w:val="4BBD5522"/>
    <w:rsid w:val="4E760913"/>
    <w:rsid w:val="4F334479"/>
    <w:rsid w:val="4F862566"/>
    <w:rsid w:val="4FC47605"/>
    <w:rsid w:val="50753CCC"/>
    <w:rsid w:val="50A60E94"/>
    <w:rsid w:val="51BF0246"/>
    <w:rsid w:val="51CF3E14"/>
    <w:rsid w:val="52F7756C"/>
    <w:rsid w:val="535D5D26"/>
    <w:rsid w:val="53933738"/>
    <w:rsid w:val="53AF1CD0"/>
    <w:rsid w:val="54DC6FD2"/>
    <w:rsid w:val="555B4E8C"/>
    <w:rsid w:val="55DD590A"/>
    <w:rsid w:val="56934B2D"/>
    <w:rsid w:val="574647BD"/>
    <w:rsid w:val="5ACB37B8"/>
    <w:rsid w:val="5C1A7475"/>
    <w:rsid w:val="5C205D85"/>
    <w:rsid w:val="5DB46E7D"/>
    <w:rsid w:val="5E3A1D39"/>
    <w:rsid w:val="5EF5550A"/>
    <w:rsid w:val="5FEE7CF3"/>
    <w:rsid w:val="61135EB8"/>
    <w:rsid w:val="614A2F70"/>
    <w:rsid w:val="631942AE"/>
    <w:rsid w:val="63366E8D"/>
    <w:rsid w:val="633A772C"/>
    <w:rsid w:val="635701C0"/>
    <w:rsid w:val="63960976"/>
    <w:rsid w:val="63B35731"/>
    <w:rsid w:val="63BA0672"/>
    <w:rsid w:val="63F21DB5"/>
    <w:rsid w:val="647C0409"/>
    <w:rsid w:val="64E75692"/>
    <w:rsid w:val="666D45F1"/>
    <w:rsid w:val="668F4A03"/>
    <w:rsid w:val="66C16BE1"/>
    <w:rsid w:val="66D72F57"/>
    <w:rsid w:val="67AE693B"/>
    <w:rsid w:val="68451FB4"/>
    <w:rsid w:val="6885769C"/>
    <w:rsid w:val="690F05BC"/>
    <w:rsid w:val="69377C51"/>
    <w:rsid w:val="69C73CAC"/>
    <w:rsid w:val="69E5442F"/>
    <w:rsid w:val="6BAC3191"/>
    <w:rsid w:val="6BE427D4"/>
    <w:rsid w:val="6C030964"/>
    <w:rsid w:val="6CB415FB"/>
    <w:rsid w:val="6D417909"/>
    <w:rsid w:val="6DBF6742"/>
    <w:rsid w:val="6DDF3EE6"/>
    <w:rsid w:val="6E420D3E"/>
    <w:rsid w:val="6F057BA2"/>
    <w:rsid w:val="6F1E43A6"/>
    <w:rsid w:val="6FA23218"/>
    <w:rsid w:val="70143E0F"/>
    <w:rsid w:val="707B32B8"/>
    <w:rsid w:val="711808F3"/>
    <w:rsid w:val="71186BD3"/>
    <w:rsid w:val="724F1F38"/>
    <w:rsid w:val="72CC24C1"/>
    <w:rsid w:val="74741F2C"/>
    <w:rsid w:val="757226DA"/>
    <w:rsid w:val="76B34539"/>
    <w:rsid w:val="78941235"/>
    <w:rsid w:val="79546533"/>
    <w:rsid w:val="7B122641"/>
    <w:rsid w:val="7C621C44"/>
    <w:rsid w:val="7DA71951"/>
    <w:rsid w:val="7DD00C06"/>
    <w:rsid w:val="7F306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qFormat="1"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line="480" w:lineRule="auto"/>
      <w:jc w:val="center"/>
      <w:outlineLvl w:val="0"/>
    </w:pPr>
    <w:rPr>
      <w:b/>
      <w:kern w:val="44"/>
      <w:sz w:val="32"/>
      <w:szCs w:val="20"/>
    </w:rPr>
  </w:style>
  <w:style w:type="paragraph" w:styleId="3">
    <w:name w:val="heading 2"/>
    <w:basedOn w:val="1"/>
    <w:next w:val="1"/>
    <w:qFormat/>
    <w:uiPriority w:val="99"/>
    <w:pPr>
      <w:keepNext/>
      <w:keepLines/>
      <w:numPr>
        <w:ilvl w:val="1"/>
        <w:numId w:val="1"/>
      </w:numPr>
      <w:spacing w:before="500" w:after="500" w:line="480" w:lineRule="auto"/>
      <w:ind w:left="839"/>
      <w:jc w:val="center"/>
      <w:outlineLvl w:val="1"/>
    </w:pPr>
    <w:rPr>
      <w:rFonts w:ascii="Arial" w:hAnsi="Arial" w:eastAsia="黑体"/>
      <w:b/>
      <w:sz w:val="32"/>
      <w:szCs w:val="20"/>
    </w:rPr>
  </w:style>
  <w:style w:type="paragraph" w:styleId="4">
    <w:name w:val="heading 4"/>
    <w:basedOn w:val="1"/>
    <w:next w:val="1"/>
    <w:qFormat/>
    <w:uiPriority w:val="9"/>
    <w:pPr>
      <w:outlineLvl w:val="3"/>
    </w:pPr>
    <w:rPr>
      <w:rFonts w:eastAsia="黑体"/>
      <w:sz w:val="36"/>
    </w:rPr>
  </w:style>
  <w:style w:type="character" w:default="1" w:styleId="19">
    <w:name w:val="Default Paragraph Font"/>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6"/>
    <w:autoRedefine/>
    <w:qFormat/>
    <w:uiPriority w:val="0"/>
    <w:pPr>
      <w:spacing w:line="520" w:lineRule="exact"/>
    </w:pPr>
    <w:rPr>
      <w:rFonts w:ascii="仿宋_GB2312" w:hAnsi="宋体" w:eastAsia="仿宋_GB2312" w:cs="Times New Roman"/>
      <w:color w:val="008000"/>
      <w:kern w:val="0"/>
      <w:sz w:val="24"/>
      <w:szCs w:val="24"/>
    </w:rPr>
  </w:style>
  <w:style w:type="paragraph" w:styleId="6">
    <w:name w:val="Body Text 2"/>
    <w:basedOn w:val="1"/>
    <w:next w:val="5"/>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7">
    <w:name w:val="Body Text Indent"/>
    <w:basedOn w:val="1"/>
    <w:next w:val="8"/>
    <w:autoRedefine/>
    <w:qFormat/>
    <w:uiPriority w:val="0"/>
    <w:pPr>
      <w:widowControl/>
      <w:spacing w:after="120"/>
      <w:ind w:left="420" w:leftChars="200" w:firstLine="360"/>
    </w:pPr>
    <w:rPr>
      <w:rFonts w:eastAsia="宋体"/>
      <w:kern w:val="0"/>
      <w:sz w:val="22"/>
      <w:szCs w:val="20"/>
      <w:lang w:eastAsia="en-US" w:bidi="en-US"/>
    </w:rPr>
  </w:style>
  <w:style w:type="paragraph" w:styleId="8">
    <w:name w:val="envelope return"/>
    <w:basedOn w:val="1"/>
    <w:autoRedefine/>
    <w:qFormat/>
    <w:uiPriority w:val="0"/>
    <w:pPr>
      <w:snapToGrid w:val="0"/>
    </w:pPr>
    <w:rPr>
      <w:rFonts w:ascii="Arial" w:hAnsi="Arial" w:eastAsia="宋体" w:cs="Times New Roman"/>
    </w:rPr>
  </w:style>
  <w:style w:type="paragraph" w:styleId="9">
    <w:name w:val="Block Text"/>
    <w:basedOn w:val="1"/>
    <w:semiHidden/>
    <w:unhideWhenUsed/>
    <w:qFormat/>
    <w:uiPriority w:val="99"/>
    <w:pPr>
      <w:spacing w:after="120"/>
      <w:ind w:left="1440" w:leftChars="700" w:right="1440" w:rightChars="700"/>
    </w:pPr>
  </w:style>
  <w:style w:type="paragraph" w:styleId="10">
    <w:name w:val="Plain Text"/>
    <w:basedOn w:val="1"/>
    <w:next w:val="1"/>
    <w:autoRedefine/>
    <w:qFormat/>
    <w:uiPriority w:val="99"/>
    <w:rPr>
      <w:rFonts w:ascii="宋体" w:hAnsi="Courier New" w:eastAsia="华文宋体" w:cs="Times New Roman"/>
      <w:kern w:val="0"/>
      <w:sz w:val="28"/>
      <w:szCs w:val="28"/>
    </w:rPr>
  </w:style>
  <w:style w:type="paragraph" w:styleId="11">
    <w:name w:val="Body Text Indent 2"/>
    <w:basedOn w:val="1"/>
    <w:autoRedefine/>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2">
    <w:name w:val="footer"/>
    <w:basedOn w:val="1"/>
    <w:autoRedefine/>
    <w:unhideWhenUsed/>
    <w:qFormat/>
    <w:uiPriority w:val="0"/>
    <w:pPr>
      <w:tabs>
        <w:tab w:val="center" w:pos="4153"/>
        <w:tab w:val="right" w:pos="8306"/>
      </w:tabs>
      <w:snapToGrid w:val="0"/>
      <w:jc w:val="left"/>
    </w:pPr>
    <w:rPr>
      <w:sz w:val="18"/>
      <w:szCs w:val="18"/>
    </w:rPr>
  </w:style>
  <w:style w:type="paragraph" w:styleId="13">
    <w:name w:val="header"/>
    <w:basedOn w:val="1"/>
    <w:link w:val="39"/>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toc 2"/>
    <w:basedOn w:val="1"/>
    <w:next w:val="1"/>
    <w:autoRedefine/>
    <w:qFormat/>
    <w:uiPriority w:val="0"/>
    <w:pPr>
      <w:ind w:left="420" w:leftChars="200"/>
    </w:pPr>
  </w:style>
  <w:style w:type="paragraph" w:styleId="16">
    <w:name w:val="Body Text First Indent"/>
    <w:basedOn w:val="5"/>
    <w:next w:val="17"/>
    <w:autoRedefine/>
    <w:unhideWhenUsed/>
    <w:qFormat/>
    <w:uiPriority w:val="99"/>
    <w:pPr>
      <w:spacing w:after="120" w:line="240" w:lineRule="auto"/>
      <w:ind w:firstLine="420" w:firstLineChars="100"/>
    </w:pPr>
  </w:style>
  <w:style w:type="paragraph" w:styleId="17">
    <w:name w:val="Body Text First Indent 2"/>
    <w:basedOn w:val="7"/>
    <w:next w:val="16"/>
    <w:autoRedefine/>
    <w:qFormat/>
    <w:uiPriority w:val="0"/>
    <w:pPr>
      <w:ind w:firstLine="420" w:firstLineChars="200"/>
    </w:pPr>
  </w:style>
  <w:style w:type="character" w:styleId="20">
    <w:name w:val="Strong"/>
    <w:basedOn w:val="19"/>
    <w:autoRedefine/>
    <w:qFormat/>
    <w:uiPriority w:val="0"/>
    <w:rPr>
      <w:b/>
      <w:bCs/>
    </w:rPr>
  </w:style>
  <w:style w:type="character" w:styleId="21">
    <w:name w:val="FollowedHyperlink"/>
    <w:basedOn w:val="19"/>
    <w:autoRedefine/>
    <w:qFormat/>
    <w:uiPriority w:val="0"/>
    <w:rPr>
      <w:color w:val="800080"/>
      <w:u w:val="none"/>
    </w:rPr>
  </w:style>
  <w:style w:type="character" w:styleId="22">
    <w:name w:val="Emphasis"/>
    <w:basedOn w:val="19"/>
    <w:autoRedefine/>
    <w:qFormat/>
    <w:uiPriority w:val="0"/>
    <w:rPr>
      <w:b/>
      <w:bCs/>
    </w:rPr>
  </w:style>
  <w:style w:type="character" w:styleId="23">
    <w:name w:val="HTML Definition"/>
    <w:basedOn w:val="19"/>
    <w:autoRedefine/>
    <w:qFormat/>
    <w:uiPriority w:val="0"/>
  </w:style>
  <w:style w:type="character" w:styleId="24">
    <w:name w:val="HTML Typewriter"/>
    <w:basedOn w:val="19"/>
    <w:autoRedefine/>
    <w:qFormat/>
    <w:uiPriority w:val="0"/>
    <w:rPr>
      <w:rFonts w:ascii="monospace" w:hAnsi="monospace" w:eastAsia="monospace" w:cs="monospace"/>
      <w:sz w:val="20"/>
    </w:rPr>
  </w:style>
  <w:style w:type="character" w:styleId="25">
    <w:name w:val="HTML Acronym"/>
    <w:basedOn w:val="19"/>
    <w:autoRedefine/>
    <w:qFormat/>
    <w:uiPriority w:val="0"/>
  </w:style>
  <w:style w:type="character" w:styleId="26">
    <w:name w:val="HTML Variable"/>
    <w:basedOn w:val="19"/>
    <w:autoRedefine/>
    <w:qFormat/>
    <w:uiPriority w:val="0"/>
  </w:style>
  <w:style w:type="character" w:styleId="27">
    <w:name w:val="Hyperlink"/>
    <w:basedOn w:val="19"/>
    <w:autoRedefine/>
    <w:qFormat/>
    <w:uiPriority w:val="0"/>
    <w:rPr>
      <w:color w:val="0000FF"/>
      <w:u w:val="none"/>
    </w:rPr>
  </w:style>
  <w:style w:type="character" w:styleId="28">
    <w:name w:val="HTML Code"/>
    <w:basedOn w:val="19"/>
    <w:autoRedefine/>
    <w:qFormat/>
    <w:uiPriority w:val="0"/>
    <w:rPr>
      <w:rFonts w:hint="default" w:ascii="monospace" w:hAnsi="monospace" w:eastAsia="monospace" w:cs="monospace"/>
      <w:sz w:val="20"/>
    </w:rPr>
  </w:style>
  <w:style w:type="character" w:styleId="29">
    <w:name w:val="HTML Cite"/>
    <w:basedOn w:val="19"/>
    <w:autoRedefine/>
    <w:qFormat/>
    <w:uiPriority w:val="0"/>
  </w:style>
  <w:style w:type="character" w:styleId="30">
    <w:name w:val="HTML Keyboard"/>
    <w:basedOn w:val="19"/>
    <w:autoRedefine/>
    <w:qFormat/>
    <w:uiPriority w:val="0"/>
    <w:rPr>
      <w:rFonts w:hint="default" w:ascii="monospace" w:hAnsi="monospace" w:eastAsia="monospace" w:cs="monospace"/>
      <w:sz w:val="20"/>
    </w:rPr>
  </w:style>
  <w:style w:type="character" w:styleId="31">
    <w:name w:val="HTML Sample"/>
    <w:basedOn w:val="19"/>
    <w:autoRedefine/>
    <w:qFormat/>
    <w:uiPriority w:val="0"/>
    <w:rPr>
      <w:rFonts w:hint="default" w:ascii="monospace" w:hAnsi="monospace" w:eastAsia="monospace" w:cs="monospace"/>
    </w:rPr>
  </w:style>
  <w:style w:type="paragraph" w:customStyle="1" w:styleId="32">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33">
    <w:name w:val="Default"/>
    <w:basedOn w:val="1"/>
    <w:next w:val="1"/>
    <w:autoRedefine/>
    <w:qFormat/>
    <w:uiPriority w:val="99"/>
    <w:pPr>
      <w:autoSpaceDE w:val="0"/>
      <w:autoSpaceDN w:val="0"/>
      <w:adjustRightInd w:val="0"/>
      <w:jc w:val="left"/>
    </w:pPr>
    <w:rPr>
      <w:rFonts w:ascii="仿宋_GB2312" w:hAnsi="Times New Roman" w:eastAsia="仿宋_GB2312"/>
      <w:color w:val="000000"/>
      <w:kern w:val="0"/>
      <w:sz w:val="24"/>
    </w:rPr>
  </w:style>
  <w:style w:type="character" w:customStyle="1" w:styleId="34">
    <w:name w:val="font01"/>
    <w:basedOn w:val="19"/>
    <w:autoRedefine/>
    <w:qFormat/>
    <w:uiPriority w:val="0"/>
    <w:rPr>
      <w:rFonts w:hint="eastAsia" w:ascii="宋体" w:hAnsi="宋体" w:eastAsia="宋体" w:cs="宋体"/>
      <w:color w:val="000000"/>
      <w:sz w:val="22"/>
      <w:szCs w:val="22"/>
      <w:u w:val="none"/>
    </w:rPr>
  </w:style>
  <w:style w:type="character" w:customStyle="1" w:styleId="35">
    <w:name w:val="font61"/>
    <w:basedOn w:val="19"/>
    <w:autoRedefine/>
    <w:qFormat/>
    <w:uiPriority w:val="0"/>
    <w:rPr>
      <w:rFonts w:ascii="Calibri" w:hAnsi="Calibri" w:cs="Calibri"/>
      <w:color w:val="000000"/>
      <w:sz w:val="22"/>
      <w:szCs w:val="22"/>
      <w:u w:val="none"/>
    </w:rPr>
  </w:style>
  <w:style w:type="character" w:customStyle="1" w:styleId="36">
    <w:name w:val="font41"/>
    <w:basedOn w:val="19"/>
    <w:autoRedefine/>
    <w:qFormat/>
    <w:uiPriority w:val="0"/>
    <w:rPr>
      <w:rFonts w:hint="eastAsia" w:ascii="宋体" w:hAnsi="宋体" w:eastAsia="宋体" w:cs="宋体"/>
      <w:color w:val="000000"/>
      <w:sz w:val="22"/>
      <w:szCs w:val="22"/>
      <w:u w:val="none"/>
    </w:rPr>
  </w:style>
  <w:style w:type="character" w:customStyle="1" w:styleId="37">
    <w:name w:val="font11"/>
    <w:basedOn w:val="19"/>
    <w:autoRedefine/>
    <w:qFormat/>
    <w:uiPriority w:val="0"/>
    <w:rPr>
      <w:rFonts w:hint="eastAsia" w:ascii="宋体" w:hAnsi="宋体" w:eastAsia="宋体" w:cs="宋体"/>
      <w:color w:val="000000"/>
      <w:sz w:val="22"/>
      <w:szCs w:val="22"/>
      <w:u w:val="none"/>
    </w:rPr>
  </w:style>
  <w:style w:type="character" w:customStyle="1" w:styleId="38">
    <w:name w:val="font31"/>
    <w:basedOn w:val="19"/>
    <w:autoRedefine/>
    <w:qFormat/>
    <w:uiPriority w:val="0"/>
    <w:rPr>
      <w:rFonts w:hint="default" w:ascii="Calibri" w:hAnsi="Calibri" w:cs="Calibri"/>
      <w:color w:val="000000"/>
      <w:sz w:val="22"/>
      <w:szCs w:val="22"/>
      <w:u w:val="none"/>
    </w:rPr>
  </w:style>
  <w:style w:type="character" w:customStyle="1" w:styleId="39">
    <w:name w:val="页眉 字符"/>
    <w:basedOn w:val="19"/>
    <w:link w:val="13"/>
    <w:autoRedefine/>
    <w:qFormat/>
    <w:uiPriority w:val="0"/>
    <w:rPr>
      <w:rFonts w:asciiTheme="minorHAnsi" w:hAnsiTheme="minorHAnsi" w:eastAsiaTheme="minorEastAsia" w:cstheme="minorBidi"/>
      <w:kern w:val="2"/>
      <w:sz w:val="18"/>
      <w:szCs w:val="18"/>
    </w:rPr>
  </w:style>
  <w:style w:type="character" w:customStyle="1" w:styleId="40">
    <w:name w:val="hover"/>
    <w:basedOn w:val="19"/>
    <w:autoRedefine/>
    <w:qFormat/>
    <w:uiPriority w:val="0"/>
    <w:rPr>
      <w:color w:val="2590EB"/>
    </w:rPr>
  </w:style>
  <w:style w:type="character" w:customStyle="1" w:styleId="41">
    <w:name w:val="hover1"/>
    <w:basedOn w:val="19"/>
    <w:autoRedefine/>
    <w:qFormat/>
    <w:uiPriority w:val="0"/>
    <w:rPr>
      <w:color w:val="2590EB"/>
    </w:rPr>
  </w:style>
  <w:style w:type="character" w:customStyle="1" w:styleId="42">
    <w:name w:val="hover2"/>
    <w:basedOn w:val="19"/>
    <w:autoRedefine/>
    <w:qFormat/>
    <w:uiPriority w:val="0"/>
  </w:style>
  <w:style w:type="character" w:customStyle="1" w:styleId="43">
    <w:name w:val="mini-outputtext1"/>
    <w:basedOn w:val="19"/>
    <w:autoRedefine/>
    <w:qFormat/>
    <w:uiPriority w:val="0"/>
  </w:style>
  <w:style w:type="character" w:customStyle="1" w:styleId="44">
    <w:name w:val="hover3"/>
    <w:basedOn w:val="19"/>
    <w:autoRedefine/>
    <w:qFormat/>
    <w:uiPriority w:val="0"/>
  </w:style>
  <w:style w:type="character" w:customStyle="1" w:styleId="45">
    <w:name w:val="first-child"/>
    <w:basedOn w:val="19"/>
    <w:qFormat/>
    <w:uiPriority w:val="0"/>
  </w:style>
  <w:style w:type="character" w:customStyle="1" w:styleId="46">
    <w:name w:val="layui-layer-tabnow"/>
    <w:basedOn w:val="19"/>
    <w:qFormat/>
    <w:uiPriority w:val="0"/>
    <w:rPr>
      <w:bdr w:val="single" w:color="CCCCCC" w:sz="6" w:space="0"/>
      <w:shd w:val="clear" w:fill="FFFFFF"/>
    </w:rPr>
  </w:style>
  <w:style w:type="paragraph" w:styleId="47">
    <w:name w:val="List Paragraph"/>
    <w:basedOn w:val="1"/>
    <w:qFormat/>
    <w:uiPriority w:val="34"/>
    <w:pPr>
      <w:ind w:firstLine="420" w:firstLineChars="200"/>
    </w:pPr>
  </w:style>
  <w:style w:type="paragraph" w:customStyle="1" w:styleId="48">
    <w:name w:val="正文空2格  1."/>
    <w:basedOn w:val="1"/>
    <w:qFormat/>
    <w:uiPriority w:val="0"/>
    <w:pPr>
      <w:widowControl/>
      <w:spacing w:after="200" w:line="276" w:lineRule="auto"/>
      <w:ind w:firstLine="480" w:firstLineChars="200"/>
      <w:jc w:val="left"/>
    </w:pPr>
    <w:rPr>
      <w:rFonts w:ascii="Calibri" w:hAnsi="Calibri" w:cs="宋体"/>
      <w:kern w:val="0"/>
      <w:sz w:val="22"/>
      <w:szCs w:val="2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10194</Words>
  <Characters>11446</Characters>
  <Lines>161</Lines>
  <Paragraphs>45</Paragraphs>
  <TotalTime>3</TotalTime>
  <ScaleCrop>false</ScaleCrop>
  <LinksUpToDate>false</LinksUpToDate>
  <CharactersWithSpaces>11750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2023-05-11T02:07:00Z</dcterms:created>
  <dc:creator>Administrator</dc:creator>
  <cp:lastModifiedBy>Administrator</cp:lastModifiedBy>
  <cp:lastPrinted>2024-11-13T07:08:00Z</cp:lastPrinted>
  <dcterms:modified xsi:type="dcterms:W3CDTF">2025-05-26T09:03:44Z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DA412F3B02A04821B095DA5E45908178_13</vt:lpwstr>
  </property>
  <property fmtid="{D5CDD505-2E9C-101B-9397-08002B2CF9AE}" pid="4" name="KSOTemplateDocerSaveRecord">
    <vt:lpwstr>eyJoZGlkIjoiMzQ4ZjQzMTVjZTNiNzhkMGUwMmE4ZDdmZjRhNWQ5M2QifQ==</vt:lpwstr>
  </property>
</Properties>
</file>