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84587CDB">
      <w:pPr>
        <w:spacing w:line="360" w:lineRule="auto"/>
        <w:rPr>
          <w:rFonts w:hint="eastAsia" w:cs="Courier New"/>
          <w:b/>
          <w:bCs/>
          <w:color w:val="000000" w:themeColor="text1"/>
          <w:sz w:val="48"/>
          <w:szCs w:val="48"/>
          <w:highlight w:val="none"/>
          <w14:textFill>
            <w14:solidFill>
              <w14:schemeClr w14:val="tx1"/>
            </w14:solidFill>
          </w14:textFill>
        </w:rPr>
      </w:pPr>
      <w:bookmarkStart w:id="8" w:name="_GoBack"/>
      <w:bookmarkEnd w:id="8"/>
      <w:r>
        <w:rPr>
          <w:rFonts w:ascii="宋体" w:hAnsi="宋体" w:cs="宋体"/>
          <w:color w:val="000000" w:themeColor="text1"/>
          <w:szCs w:val="28"/>
          <w:highlight w:val="none"/>
          <w14:textFill>
            <w14:solidFill>
              <w14:schemeClr w14:val="tx1"/>
            </w14:solidFill>
          </w14:textFill>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144395" cy="754380"/>
                <wp:effectExtent l="0" t="0" r="0" b="0"/>
                <wp:wrapNone/>
                <wp:docPr id="1027" name="Image1"/>
                <wp:cNvGraphicFramePr/>
                <a:graphic xmlns:a="http://schemas.openxmlformats.org/drawingml/2006/main">
                  <a:graphicData uri="http://schemas.microsoft.com/office/word/2010/wordprocessingShape">
                    <wps:wsp>
                      <wps:cNvSpPr/>
                      <wps:spPr>
                        <a:xfrm>
                          <a:off x="0" y="0"/>
                          <a:ext cx="2144395" cy="754380"/>
                        </a:xfrm>
                        <a:prstGeom prst="rect">
                          <a:avLst/>
                        </a:prstGeom>
                        <a:solidFill>
                          <a:srgbClr val="FFFFFF">
                            <a:alpha val="85001"/>
                          </a:srgbClr>
                        </a:solidFill>
                        <a:ln w="12700" cap="flat" cmpd="sng">
                          <a:solidFill>
                            <a:srgbClr val="00B050"/>
                          </a:solidFill>
                          <a:prstDash val="solid"/>
                          <a:miter/>
                        </a:ln>
                      </wps:spPr>
                      <wps:txbx>
                        <w:txbxContent>
                          <w:p w14:paraId="86CE9441">
                            <w:pPr>
                              <w:jc w:val="left"/>
                              <w:rPr>
                                <w:szCs w:val="21"/>
                              </w:rPr>
                            </w:pPr>
                            <w:r>
                              <w:rPr>
                                <w:rFonts w:hint="eastAsia" w:ascii="宋体" w:hAnsi="宋体"/>
                                <w:sz w:val="24"/>
                              </w:rPr>
                              <w:t>投标</w:t>
                            </w:r>
                            <w:r>
                              <w:rPr>
                                <w:rFonts w:ascii="宋体" w:hAnsi="宋体"/>
                                <w:sz w:val="24"/>
                              </w:rPr>
                              <w:t>前请认真阅读，如</w:t>
                            </w:r>
                            <w:r>
                              <w:rPr>
                                <w:rFonts w:hint="eastAsia" w:ascii="宋体" w:hAnsi="宋体"/>
                                <w:sz w:val="24"/>
                              </w:rPr>
                              <w:t>递交投标文件</w:t>
                            </w:r>
                            <w:r>
                              <w:rPr>
                                <w:rFonts w:ascii="宋体" w:hAnsi="宋体"/>
                                <w:sz w:val="24"/>
                              </w:rPr>
                              <w:t>即视为认可本</w:t>
                            </w:r>
                            <w:r>
                              <w:rPr>
                                <w:rFonts w:hint="eastAsia" w:ascii="宋体" w:hAnsi="宋体"/>
                                <w:sz w:val="24"/>
                              </w:rPr>
                              <w:t>项目招标</w:t>
                            </w:r>
                            <w:r>
                              <w:rPr>
                                <w:rFonts w:ascii="宋体" w:hAnsi="宋体"/>
                                <w:sz w:val="24"/>
                              </w:rPr>
                              <w:t>文件的所有条款</w:t>
                            </w:r>
                            <w:r>
                              <w:rPr>
                                <w:rFonts w:ascii="宋体" w:hAnsi="宋体"/>
                                <w:szCs w:val="21"/>
                              </w:rPr>
                              <w:t>。</w:t>
                            </w:r>
                          </w:p>
                        </w:txbxContent>
                      </wps:txbx>
                      <wps:bodyPr upright="1"/>
                    </wps:wsp>
                  </a:graphicData>
                </a:graphic>
              </wp:anchor>
            </w:drawing>
          </mc:Choice>
          <mc:Fallback>
            <w:pict>
              <v:rect id="Image1" o:spid="_x0000_s1026" o:spt="1" style="position:absolute;left:0pt;margin-left:0pt;margin-top:0pt;height:59.4pt;width:168.85pt;z-index:251659264;mso-width-relative:page;mso-height-relative:page;" fillcolor="#FFFFFF" filled="t" stroked="t" coordsize="21600,21600" o:gfxdata="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Ihb&#10;2NYAAAAFAQAADwAAAAAAAAABACAAAAAiAAAAZHJzL2Rvd25yZXYueG1sUEsBAhQAFAAAAAgAh07i&#10;QCKN/bfrAQAA+AMAAA4AAAAAAAAAAQAgAAAAJQEAAGRycy9lMm9Eb2MueG1sUEsFBgAAAAAGAAYA&#10;WQEAAIIFAAAAAA==&#10;">
                <v:fill on="t" opacity="55706f" focussize="0,0"/>
                <v:stroke weight="1pt" color="#00B050" joinstyle="miter"/>
                <v:imagedata o:title=""/>
                <o:lock v:ext="edit" aspectratio="f"/>
                <v:textbox>
                  <w:txbxContent>
                    <w:p w14:paraId="86CE9441">
                      <w:pPr>
                        <w:jc w:val="left"/>
                        <w:rPr>
                          <w:szCs w:val="21"/>
                        </w:rPr>
                      </w:pPr>
                      <w:r>
                        <w:rPr>
                          <w:rFonts w:hint="eastAsia" w:ascii="宋体" w:hAnsi="宋体"/>
                          <w:sz w:val="24"/>
                        </w:rPr>
                        <w:t>投标</w:t>
                      </w:r>
                      <w:r>
                        <w:rPr>
                          <w:rFonts w:ascii="宋体" w:hAnsi="宋体"/>
                          <w:sz w:val="24"/>
                        </w:rPr>
                        <w:t>前请认真阅读，如</w:t>
                      </w:r>
                      <w:r>
                        <w:rPr>
                          <w:rFonts w:hint="eastAsia" w:ascii="宋体" w:hAnsi="宋体"/>
                          <w:sz w:val="24"/>
                        </w:rPr>
                        <w:t>递交投标文件</w:t>
                      </w:r>
                      <w:r>
                        <w:rPr>
                          <w:rFonts w:ascii="宋体" w:hAnsi="宋体"/>
                          <w:sz w:val="24"/>
                        </w:rPr>
                        <w:t>即视为认可本</w:t>
                      </w:r>
                      <w:r>
                        <w:rPr>
                          <w:rFonts w:hint="eastAsia" w:ascii="宋体" w:hAnsi="宋体"/>
                          <w:sz w:val="24"/>
                        </w:rPr>
                        <w:t>项目招标</w:t>
                      </w:r>
                      <w:r>
                        <w:rPr>
                          <w:rFonts w:ascii="宋体" w:hAnsi="宋体"/>
                          <w:sz w:val="24"/>
                        </w:rPr>
                        <w:t>文件的所有条款</w:t>
                      </w:r>
                      <w:r>
                        <w:rPr>
                          <w:rFonts w:ascii="宋体" w:hAnsi="宋体"/>
                          <w:szCs w:val="21"/>
                        </w:rPr>
                        <w:t>。</w:t>
                      </w:r>
                    </w:p>
                  </w:txbxContent>
                </v:textbox>
              </v:rect>
            </w:pict>
          </mc:Fallback>
        </mc:AlternateContent>
      </w:r>
    </w:p>
    <w:p w14:paraId="FDE2E4C7">
      <w:pPr>
        <w:spacing w:line="360" w:lineRule="auto"/>
        <w:jc w:val="center"/>
        <w:rPr>
          <w:rFonts w:hint="eastAsia" w:ascii="宋体" w:hAnsi="宋体"/>
          <w:b/>
          <w:color w:val="000000" w:themeColor="text1"/>
          <w:sz w:val="52"/>
          <w:szCs w:val="52"/>
          <w:highlight w:val="none"/>
          <w14:textFill>
            <w14:solidFill>
              <w14:schemeClr w14:val="tx1"/>
            </w14:solidFill>
          </w14:textFill>
        </w:rPr>
      </w:pPr>
    </w:p>
    <w:p w14:paraId="F2678750">
      <w:pPr>
        <w:spacing w:line="360" w:lineRule="auto"/>
        <w:jc w:val="center"/>
        <w:rPr>
          <w:rFonts w:hint="eastAsia" w:ascii="宋体" w:hAnsi="宋体" w:eastAsia="宋体"/>
          <w:b/>
          <w:bCs/>
          <w:color w:val="000000" w:themeColor="text1"/>
          <w:spacing w:val="20"/>
          <w:sz w:val="52"/>
          <w:szCs w:val="52"/>
          <w:highlight w:val="none"/>
          <w:lang w:eastAsia="zh-CN"/>
          <w14:textFill>
            <w14:solidFill>
              <w14:schemeClr w14:val="tx1"/>
            </w14:solidFill>
          </w14:textFill>
        </w:rPr>
      </w:pPr>
      <w:r>
        <w:rPr>
          <w:rFonts w:hint="eastAsia" w:ascii="宋体" w:hAnsi="宋体"/>
          <w:b/>
          <w:bCs/>
          <w:color w:val="000000" w:themeColor="text1"/>
          <w:spacing w:val="20"/>
          <w:sz w:val="52"/>
          <w:szCs w:val="52"/>
          <w:highlight w:val="none"/>
          <w:lang w:eastAsia="zh-CN"/>
          <w14:textFill>
            <w14:solidFill>
              <w14:schemeClr w14:val="tx1"/>
            </w14:solidFill>
          </w14:textFill>
        </w:rPr>
        <w:t>三门峡市陕州区党政机关法律顾问服务项目（二次）</w:t>
      </w:r>
    </w:p>
    <w:p w14:paraId="0AC0102B">
      <w:pPr>
        <w:spacing w:line="360" w:lineRule="auto"/>
        <w:rPr>
          <w:rFonts w:hint="eastAsia" w:ascii="宋体" w:hAnsi="宋体"/>
          <w:b/>
          <w:bCs/>
          <w:color w:val="000000" w:themeColor="text1"/>
          <w:spacing w:val="20"/>
          <w:sz w:val="52"/>
          <w:szCs w:val="52"/>
          <w:highlight w:val="none"/>
          <w14:textFill>
            <w14:solidFill>
              <w14:schemeClr w14:val="tx1"/>
            </w14:solidFill>
          </w14:textFill>
        </w:rPr>
      </w:pPr>
    </w:p>
    <w:p w14:paraId="0D746310">
      <w:pPr>
        <w:widowControl/>
        <w:jc w:val="center"/>
        <w:rPr>
          <w:rFonts w:hint="eastAsia" w:ascii="宋体" w:hAnsi="宋体" w:cs="宋体"/>
          <w:b/>
          <w:color w:val="000000" w:themeColor="text1"/>
          <w:kern w:val="0"/>
          <w:sz w:val="72"/>
          <w:szCs w:val="72"/>
          <w:highlight w:val="none"/>
          <w14:textFill>
            <w14:solidFill>
              <w14:schemeClr w14:val="tx1"/>
            </w14:solidFill>
          </w14:textFill>
        </w:rPr>
      </w:pPr>
      <w:r>
        <w:rPr>
          <w:rFonts w:hint="eastAsia" w:ascii="宋体" w:hAnsi="宋体" w:cs="宋体"/>
          <w:b/>
          <w:color w:val="000000" w:themeColor="text1"/>
          <w:kern w:val="0"/>
          <w:sz w:val="72"/>
          <w:szCs w:val="72"/>
          <w:highlight w:val="none"/>
          <w14:textFill>
            <w14:solidFill>
              <w14:schemeClr w14:val="tx1"/>
            </w14:solidFill>
          </w14:textFill>
        </w:rPr>
        <w:t>招 标 文 件</w:t>
      </w:r>
    </w:p>
    <w:p w14:paraId="17205766">
      <w:pPr>
        <w:spacing w:line="360" w:lineRule="auto"/>
        <w:jc w:val="center"/>
        <w:rPr>
          <w:rFonts w:hint="eastAsia" w:ascii="宋体" w:hAnsi="宋体"/>
          <w:b/>
          <w:bCs/>
          <w:color w:val="000000" w:themeColor="text1"/>
          <w:spacing w:val="20"/>
          <w:sz w:val="28"/>
          <w:highlight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2485390" cy="24853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2485390" cy="2485390"/>
                    </a:xfrm>
                    <a:prstGeom prst="rect">
                      <a:avLst/>
                    </a:prstGeom>
                    <a:noFill/>
                    <a:ln>
                      <a:noFill/>
                    </a:ln>
                  </pic:spPr>
                </pic:pic>
              </a:graphicData>
            </a:graphic>
          </wp:inline>
        </w:drawing>
      </w:r>
    </w:p>
    <w:p w14:paraId="503104CD">
      <w:pPr>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项目编号：陕州公开采购-2025-8、SZGZ[2025]080-ZC052</w:t>
      </w:r>
    </w:p>
    <w:p w14:paraId="39DB4542">
      <w:pPr>
        <w:pStyle w:val="41"/>
        <w:spacing w:line="360" w:lineRule="auto"/>
        <w:rPr>
          <w:rFonts w:hint="eastAsia"/>
          <w:color w:val="000000" w:themeColor="text1"/>
          <w:highlight w:val="none"/>
          <w14:textFill>
            <w14:solidFill>
              <w14:schemeClr w14:val="tx1"/>
            </w14:solidFill>
          </w14:textFill>
        </w:rPr>
      </w:pPr>
    </w:p>
    <w:p w14:paraId="7493EFFF">
      <w:pPr>
        <w:pStyle w:val="2"/>
        <w:rPr>
          <w:rFonts w:hint="eastAsia"/>
          <w:color w:val="000000" w:themeColor="text1"/>
          <w:lang w:eastAsia="zh-CN"/>
          <w14:textFill>
            <w14:solidFill>
              <w14:schemeClr w14:val="tx1"/>
            </w14:solidFill>
          </w14:textFill>
        </w:rPr>
      </w:pPr>
    </w:p>
    <w:p w14:paraId="E4186B1D">
      <w:pPr>
        <w:spacing w:line="360" w:lineRule="auto"/>
        <w:ind w:firstLine="2149" w:firstLineChars="669"/>
        <w:rPr>
          <w:rFonts w:hint="eastAsia" w:ascii="仿宋" w:hAnsi="仿宋" w:eastAsia="仿宋" w:cs="仿宋"/>
          <w:b/>
          <w:bCs/>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采购人</w:t>
      </w:r>
      <w:r>
        <w:rPr>
          <w:rFonts w:hint="eastAsia" w:ascii="仿宋" w:hAnsi="仿宋" w:eastAsia="仿宋" w:cs="仿宋"/>
          <w:b/>
          <w:bCs/>
          <w:color w:val="000000" w:themeColor="text1"/>
          <w:spacing w:val="-6"/>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eastAsia="zh-CN"/>
          <w14:textFill>
            <w14:solidFill>
              <w14:schemeClr w14:val="tx1"/>
            </w14:solidFill>
          </w14:textFill>
        </w:rPr>
        <w:t>三门峡市陕州区司法局</w:t>
      </w:r>
      <w:r>
        <w:rPr>
          <w:rFonts w:hint="eastAsia" w:ascii="仿宋" w:hAnsi="仿宋" w:eastAsia="仿宋" w:cs="仿宋"/>
          <w:b/>
          <w:bCs/>
          <w:color w:val="000000" w:themeColor="text1"/>
          <w:sz w:val="32"/>
          <w:szCs w:val="32"/>
          <w:highlight w:val="none"/>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 xml:space="preserve"> </w:t>
      </w:r>
    </w:p>
    <w:p w14:paraId="BB548FA1">
      <w:pPr>
        <w:spacing w:line="360" w:lineRule="auto"/>
        <w:jc w:val="cente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 xml:space="preserve"> 代理机构：</w:t>
      </w:r>
      <w:r>
        <w:rPr>
          <w:rFonts w:hint="eastAsia" w:ascii="仿宋" w:hAnsi="仿宋" w:eastAsia="仿宋" w:cs="仿宋"/>
          <w:b/>
          <w:bCs/>
          <w:color w:val="000000" w:themeColor="text1"/>
          <w:sz w:val="32"/>
          <w:szCs w:val="32"/>
          <w:highlight w:val="none"/>
          <w:lang w:eastAsia="zh-CN"/>
          <w14:textFill>
            <w14:solidFill>
              <w14:schemeClr w14:val="tx1"/>
            </w14:solidFill>
          </w14:textFill>
        </w:rPr>
        <w:t>国咨项目管理有限公司</w:t>
      </w:r>
    </w:p>
    <w:p w14:paraId="AEF0B612">
      <w:pPr>
        <w:spacing w:line="360" w:lineRule="auto"/>
        <w:ind w:firstLine="2149" w:firstLineChars="669"/>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日    期：二〇二五年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月</w:t>
      </w:r>
    </w:p>
    <w:p w14:paraId="EAEE843F">
      <w:pPr>
        <w:rPr>
          <w:color w:val="000000" w:themeColor="text1"/>
          <w:highlight w:val="none"/>
          <w14:textFill>
            <w14:solidFill>
              <w14:schemeClr w14:val="tx1"/>
            </w14:solidFill>
          </w14:textFill>
        </w:rPr>
      </w:pPr>
    </w:p>
    <w:p w14:paraId="DC601DE7">
      <w:pPr>
        <w:widowControl/>
        <w:rPr>
          <w:rFonts w:hint="eastAsia" w:ascii="宋体" w:hAnsi="宋体" w:cs="宋体"/>
          <w:bCs/>
          <w:color w:val="000000" w:themeColor="text1"/>
          <w:kern w:val="0"/>
          <w:sz w:val="24"/>
          <w:highlight w:val="none"/>
          <w14:textFill>
            <w14:solidFill>
              <w14:schemeClr w14:val="tx1"/>
            </w14:solidFill>
          </w14:textFill>
        </w:rPr>
      </w:pPr>
    </w:p>
    <w:p w14:paraId="85A7309B">
      <w:pPr>
        <w:widowControl/>
        <w:jc w:val="center"/>
        <w:rPr>
          <w:rFonts w:hint="eastAsia" w:ascii="宋体" w:hAnsi="宋体" w:cs="宋体"/>
          <w:bCs/>
          <w:color w:val="000000" w:themeColor="text1"/>
          <w:kern w:val="0"/>
          <w:sz w:val="24"/>
          <w:highlight w:val="none"/>
          <w14:textFill>
            <w14:solidFill>
              <w14:schemeClr w14:val="tx1"/>
            </w14:solidFill>
          </w14:textFill>
        </w:rPr>
      </w:pPr>
    </w:p>
    <w:p w14:paraId="3D19C1A5">
      <w:pPr>
        <w:widowControl/>
        <w:rPr>
          <w:rFonts w:hint="eastAsia" w:ascii="宋体" w:hAnsi="宋体" w:cs="宋体"/>
          <w:bCs/>
          <w:color w:val="000000" w:themeColor="text1"/>
          <w:kern w:val="0"/>
          <w:sz w:val="24"/>
          <w:highlight w:val="none"/>
          <w14:textFill>
            <w14:solidFill>
              <w14:schemeClr w14:val="tx1"/>
            </w14:solidFill>
          </w14:textFill>
        </w:rPr>
      </w:pPr>
    </w:p>
    <w:p w14:paraId="D7F23B7F">
      <w:pPr>
        <w:widowControl/>
        <w:jc w:val="center"/>
        <w:rPr>
          <w:color w:val="000000" w:themeColor="text1"/>
          <w:highlight w:val="none"/>
          <w14:textFill>
            <w14:solidFill>
              <w14:schemeClr w14:val="tx1"/>
            </w14:solidFill>
          </w14:textFill>
        </w:rPr>
      </w:pPr>
      <w:r>
        <w:rPr>
          <w:rFonts w:hint="eastAsia" w:ascii="宋体" w:hAnsi="宋体" w:cs="宋体"/>
          <w:b/>
          <w:color w:val="000000" w:themeColor="text1"/>
          <w:kern w:val="0"/>
          <w:sz w:val="43"/>
          <w:szCs w:val="43"/>
          <w:highlight w:val="none"/>
          <w14:textFill>
            <w14:solidFill>
              <w14:schemeClr w14:val="tx1"/>
            </w14:solidFill>
          </w14:textFill>
        </w:rPr>
        <w:t>目 录</w:t>
      </w:r>
    </w:p>
    <w:p w14:paraId="CCCD7DE6">
      <w:pPr>
        <w:widowControl/>
        <w:spacing w:line="60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第一章 招标公告</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1</w:t>
      </w:r>
      <w:r>
        <w:rPr>
          <w:rFonts w:ascii="Times New Roman" w:hAnsi="Times New Roman"/>
          <w:color w:val="000000" w:themeColor="text1"/>
          <w:kern w:val="0"/>
          <w:szCs w:val="21"/>
          <w:highlight w:val="none"/>
          <w14:textFill>
            <w14:solidFill>
              <w14:schemeClr w14:val="tx1"/>
            </w14:solidFill>
          </w14:textFill>
        </w:rPr>
        <w:t xml:space="preserve"> </w:t>
      </w:r>
    </w:p>
    <w:p w14:paraId="7683FA2B">
      <w:pPr>
        <w:widowControl/>
        <w:spacing w:line="600" w:lineRule="auto"/>
        <w:jc w:val="left"/>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第二章 投标人须知</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lang w:val="en-US" w:eastAsia="zh-CN"/>
          <w14:textFill>
            <w14:solidFill>
              <w14:schemeClr w14:val="tx1"/>
            </w14:solidFill>
          </w14:textFill>
        </w:rPr>
        <w:t>6</w:t>
      </w:r>
    </w:p>
    <w:p w14:paraId="79D82582">
      <w:pPr>
        <w:widowControl/>
        <w:spacing w:line="60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第三章 评标办法</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lang w:val="en-US" w:eastAsia="zh-CN"/>
          <w14:textFill>
            <w14:solidFill>
              <w14:schemeClr w14:val="tx1"/>
            </w14:solidFill>
          </w14:textFill>
        </w:rPr>
        <w:t>30</w:t>
      </w:r>
      <w:r>
        <w:rPr>
          <w:rFonts w:ascii="Times New Roman" w:hAnsi="Times New Roman"/>
          <w:color w:val="000000" w:themeColor="text1"/>
          <w:kern w:val="0"/>
          <w:szCs w:val="21"/>
          <w:highlight w:val="none"/>
          <w14:textFill>
            <w14:solidFill>
              <w14:schemeClr w14:val="tx1"/>
            </w14:solidFill>
          </w14:textFill>
        </w:rPr>
        <w:t xml:space="preserve"> </w:t>
      </w:r>
    </w:p>
    <w:p w14:paraId="E64ABBB0">
      <w:pPr>
        <w:widowControl/>
        <w:spacing w:line="600" w:lineRule="auto"/>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第四章</w:t>
      </w:r>
      <w:r>
        <w:rPr>
          <w:rStyle w:val="28"/>
          <w:rFonts w:hint="eastAsia" w:cs="宋体"/>
          <w:color w:val="000000" w:themeColor="text1"/>
          <w:highlight w:val="none"/>
          <w14:textFill>
            <w14:solidFill>
              <w14:schemeClr w14:val="tx1"/>
            </w14:solidFill>
          </w14:textFill>
        </w:rPr>
        <w:t>合同（样板）</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lang w:val="en-US" w:eastAsia="zh-CN"/>
          <w14:textFill>
            <w14:solidFill>
              <w14:schemeClr w14:val="tx1"/>
            </w14:solidFill>
          </w14:textFill>
        </w:rPr>
        <w:t>37</w:t>
      </w:r>
    </w:p>
    <w:p w14:paraId="21FE8D24">
      <w:pPr>
        <w:widowControl/>
        <w:spacing w:line="600" w:lineRule="auto"/>
        <w:jc w:val="left"/>
        <w:rPr>
          <w:rFonts w:hint="default" w:ascii="Times New Roman" w:hAnsi="Times New Roman" w:eastAsia="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第五章 投标文件格式</w:t>
      </w:r>
      <w:r>
        <w:rPr>
          <w:rFonts w:ascii="Times New Roman" w:hAnsi="Times New Roman"/>
          <w:color w:val="000000" w:themeColor="text1"/>
          <w:kern w:val="0"/>
          <w:szCs w:val="21"/>
          <w:highlight w:val="none"/>
          <w14:textFill>
            <w14:solidFill>
              <w14:schemeClr w14:val="tx1"/>
            </w14:solidFill>
          </w14:textFill>
        </w:rPr>
        <w:t>................................................................................................................................</w:t>
      </w:r>
      <w:r>
        <w:rPr>
          <w:rFonts w:hint="eastAsia" w:ascii="Times New Roman" w:hAnsi="Times New Roman"/>
          <w:color w:val="000000" w:themeColor="text1"/>
          <w:kern w:val="0"/>
          <w:szCs w:val="21"/>
          <w:highlight w:val="none"/>
          <w14:textFill>
            <w14:solidFill>
              <w14:schemeClr w14:val="tx1"/>
            </w14:solidFill>
          </w14:textFill>
        </w:rPr>
        <w:t xml:space="preserve"> </w:t>
      </w:r>
      <w:r>
        <w:rPr>
          <w:rFonts w:hint="eastAsia" w:ascii="Times New Roman" w:hAnsi="Times New Roman"/>
          <w:color w:val="000000" w:themeColor="text1"/>
          <w:kern w:val="0"/>
          <w:szCs w:val="21"/>
          <w:highlight w:val="none"/>
          <w:lang w:val="en-US" w:eastAsia="zh-CN"/>
          <w14:textFill>
            <w14:solidFill>
              <w14:schemeClr w14:val="tx1"/>
            </w14:solidFill>
          </w14:textFill>
        </w:rPr>
        <w:t>48</w:t>
      </w:r>
    </w:p>
    <w:p w14:paraId="34035D63">
      <w:pPr>
        <w:widowControl/>
        <w:spacing w:line="600" w:lineRule="auto"/>
        <w:jc w:val="left"/>
        <w:rPr>
          <w:rStyle w:val="28"/>
          <w:rFonts w:hint="default" w:ascii="Times New Roman" w:hAnsi="Times New Roman" w:eastAsia="宋体" w:cs="宋体"/>
          <w:color w:val="000000" w:themeColor="text1"/>
          <w:highlight w:val="none"/>
          <w:lang w:val="en-US" w:eastAsia="zh-CN"/>
          <w14:textFill>
            <w14:solidFill>
              <w14:schemeClr w14:val="tx1"/>
            </w14:solidFill>
          </w14:textFill>
        </w:rPr>
      </w:pPr>
      <w:r>
        <w:rPr>
          <w:rStyle w:val="28"/>
          <w:rFonts w:hint="eastAsia" w:ascii="Times New Roman" w:hAnsi="Times New Roman" w:cs="宋体"/>
          <w:color w:val="000000" w:themeColor="text1"/>
          <w:highlight w:val="none"/>
          <w14:textFill>
            <w14:solidFill>
              <w14:schemeClr w14:val="tx1"/>
            </w14:solidFill>
          </w14:textFill>
        </w:rPr>
        <w:t>第六章采购内容及技术要求.......................................................................................................................</w:t>
      </w:r>
      <w:r>
        <w:rPr>
          <w:rStyle w:val="28"/>
          <w:rFonts w:hint="eastAsia" w:ascii="Times New Roman" w:hAnsi="Times New Roman" w:cs="宋体"/>
          <w:color w:val="000000" w:themeColor="text1"/>
          <w:highlight w:val="none"/>
          <w:lang w:val="en-US" w:eastAsia="zh-CN"/>
          <w14:textFill>
            <w14:solidFill>
              <w14:schemeClr w14:val="tx1"/>
            </w14:solidFill>
          </w14:textFill>
        </w:rPr>
        <w:t>68</w:t>
      </w:r>
    </w:p>
    <w:p w14:paraId="84E02417">
      <w:pPr>
        <w:widowControl/>
        <w:spacing w:line="600" w:lineRule="auto"/>
        <w:jc w:val="left"/>
        <w:rPr>
          <w:rStyle w:val="28"/>
          <w:rFonts w:hint="eastAsia" w:ascii="Times New Roman" w:hAnsi="Times New Roman" w:cs="宋体"/>
          <w:color w:val="000000" w:themeColor="text1"/>
          <w:highlight w:val="none"/>
          <w14:textFill>
            <w14:solidFill>
              <w14:schemeClr w14:val="tx1"/>
            </w14:solidFill>
          </w14:textFill>
        </w:rPr>
      </w:pPr>
    </w:p>
    <w:p w14:paraId="702A495D">
      <w:pPr>
        <w:widowControl/>
        <w:spacing w:line="480" w:lineRule="auto"/>
        <w:jc w:val="center"/>
        <w:rPr>
          <w:rFonts w:hint="eastAsia" w:ascii="宋体" w:hAnsi="宋体" w:cs="宋体"/>
          <w:bCs/>
          <w:color w:val="000000" w:themeColor="text1"/>
          <w:kern w:val="0"/>
          <w:sz w:val="24"/>
          <w:highlight w:val="none"/>
          <w14:textFill>
            <w14:solidFill>
              <w14:schemeClr w14:val="tx1"/>
            </w14:solidFill>
          </w14:textFill>
        </w:rPr>
      </w:pPr>
    </w:p>
    <w:p w14:paraId="4FC8A7E1">
      <w:pPr>
        <w:widowControl/>
        <w:spacing w:line="480" w:lineRule="auto"/>
        <w:jc w:val="center"/>
        <w:rPr>
          <w:rFonts w:hint="eastAsia" w:ascii="宋体" w:hAnsi="宋体" w:cs="宋体"/>
          <w:bCs/>
          <w:color w:val="000000" w:themeColor="text1"/>
          <w:kern w:val="0"/>
          <w:sz w:val="24"/>
          <w:highlight w:val="none"/>
          <w14:textFill>
            <w14:solidFill>
              <w14:schemeClr w14:val="tx1"/>
            </w14:solidFill>
          </w14:textFill>
        </w:rPr>
      </w:pPr>
    </w:p>
    <w:p w14:paraId="1875BC7E">
      <w:pPr>
        <w:widowControl/>
        <w:jc w:val="center"/>
        <w:rPr>
          <w:rFonts w:hint="eastAsia" w:ascii="宋体" w:hAnsi="宋体" w:cs="宋体"/>
          <w:bCs/>
          <w:color w:val="000000" w:themeColor="text1"/>
          <w:kern w:val="0"/>
          <w:sz w:val="24"/>
          <w:highlight w:val="none"/>
          <w14:textFill>
            <w14:solidFill>
              <w14:schemeClr w14:val="tx1"/>
            </w14:solidFill>
          </w14:textFill>
        </w:rPr>
      </w:pPr>
    </w:p>
    <w:p w14:paraId="7F4F59EF">
      <w:pPr>
        <w:widowControl/>
        <w:jc w:val="center"/>
        <w:rPr>
          <w:rFonts w:hint="eastAsia" w:ascii="宋体" w:hAnsi="宋体" w:cs="宋体"/>
          <w:bCs/>
          <w:color w:val="000000" w:themeColor="text1"/>
          <w:kern w:val="0"/>
          <w:sz w:val="24"/>
          <w:highlight w:val="none"/>
          <w14:textFill>
            <w14:solidFill>
              <w14:schemeClr w14:val="tx1"/>
            </w14:solidFill>
          </w14:textFill>
        </w:rPr>
      </w:pPr>
    </w:p>
    <w:p w14:paraId="CA17D8F7">
      <w:pPr>
        <w:widowControl/>
        <w:jc w:val="center"/>
        <w:rPr>
          <w:rFonts w:hint="eastAsia" w:ascii="宋体" w:hAnsi="宋体" w:cs="宋体"/>
          <w:bCs/>
          <w:color w:val="000000" w:themeColor="text1"/>
          <w:kern w:val="0"/>
          <w:sz w:val="24"/>
          <w:highlight w:val="none"/>
          <w14:textFill>
            <w14:solidFill>
              <w14:schemeClr w14:val="tx1"/>
            </w14:solidFill>
          </w14:textFill>
        </w:rPr>
      </w:pPr>
    </w:p>
    <w:p w14:paraId="9F46F322">
      <w:pPr>
        <w:widowControl/>
        <w:jc w:val="center"/>
        <w:rPr>
          <w:rFonts w:hint="eastAsia" w:ascii="宋体" w:hAnsi="宋体" w:cs="宋体"/>
          <w:bCs/>
          <w:color w:val="000000" w:themeColor="text1"/>
          <w:kern w:val="0"/>
          <w:sz w:val="24"/>
          <w:highlight w:val="none"/>
          <w14:textFill>
            <w14:solidFill>
              <w14:schemeClr w14:val="tx1"/>
            </w14:solidFill>
          </w14:textFill>
        </w:rPr>
      </w:pPr>
    </w:p>
    <w:p w14:paraId="32EBD10E">
      <w:pPr>
        <w:widowControl/>
        <w:jc w:val="center"/>
        <w:rPr>
          <w:rFonts w:hint="eastAsia" w:ascii="宋体" w:hAnsi="宋体" w:cs="宋体"/>
          <w:bCs/>
          <w:color w:val="000000" w:themeColor="text1"/>
          <w:kern w:val="0"/>
          <w:sz w:val="24"/>
          <w:highlight w:val="none"/>
          <w14:textFill>
            <w14:solidFill>
              <w14:schemeClr w14:val="tx1"/>
            </w14:solidFill>
          </w14:textFill>
        </w:rPr>
      </w:pPr>
    </w:p>
    <w:p w14:paraId="E5F82189">
      <w:pPr>
        <w:widowControl/>
        <w:jc w:val="center"/>
        <w:rPr>
          <w:rFonts w:hint="eastAsia" w:ascii="宋体" w:hAnsi="宋体" w:cs="宋体"/>
          <w:bCs/>
          <w:color w:val="000000" w:themeColor="text1"/>
          <w:kern w:val="0"/>
          <w:sz w:val="24"/>
          <w:highlight w:val="none"/>
          <w14:textFill>
            <w14:solidFill>
              <w14:schemeClr w14:val="tx1"/>
            </w14:solidFill>
          </w14:textFill>
        </w:rPr>
      </w:pPr>
    </w:p>
    <w:p w14:paraId="5008A04C">
      <w:pPr>
        <w:widowControl/>
        <w:jc w:val="center"/>
        <w:rPr>
          <w:rFonts w:hint="eastAsia" w:ascii="宋体" w:hAnsi="宋体" w:cs="宋体"/>
          <w:bCs/>
          <w:color w:val="000000" w:themeColor="text1"/>
          <w:kern w:val="0"/>
          <w:sz w:val="24"/>
          <w:highlight w:val="none"/>
          <w14:textFill>
            <w14:solidFill>
              <w14:schemeClr w14:val="tx1"/>
            </w14:solidFill>
          </w14:textFill>
        </w:rPr>
      </w:pPr>
    </w:p>
    <w:p w14:paraId="DDC680EA">
      <w:pPr>
        <w:widowControl/>
        <w:jc w:val="center"/>
        <w:rPr>
          <w:rFonts w:hint="eastAsia" w:ascii="宋体" w:hAnsi="宋体" w:cs="宋体"/>
          <w:bCs/>
          <w:color w:val="000000" w:themeColor="text1"/>
          <w:kern w:val="0"/>
          <w:sz w:val="24"/>
          <w:highlight w:val="none"/>
          <w14:textFill>
            <w14:solidFill>
              <w14:schemeClr w14:val="tx1"/>
            </w14:solidFill>
          </w14:textFill>
        </w:rPr>
      </w:pPr>
    </w:p>
    <w:p w14:paraId="1AD477C8">
      <w:pPr>
        <w:widowControl/>
        <w:jc w:val="center"/>
        <w:rPr>
          <w:rFonts w:hint="eastAsia" w:ascii="宋体" w:hAnsi="宋体" w:cs="宋体"/>
          <w:bCs/>
          <w:color w:val="000000" w:themeColor="text1"/>
          <w:kern w:val="0"/>
          <w:sz w:val="24"/>
          <w:highlight w:val="none"/>
          <w14:textFill>
            <w14:solidFill>
              <w14:schemeClr w14:val="tx1"/>
            </w14:solidFill>
          </w14:textFill>
        </w:rPr>
      </w:pPr>
    </w:p>
    <w:p w14:paraId="9239C66A">
      <w:pPr>
        <w:widowControl/>
        <w:jc w:val="center"/>
        <w:rPr>
          <w:rFonts w:hint="eastAsia" w:ascii="宋体" w:hAnsi="宋体" w:cs="宋体"/>
          <w:bCs/>
          <w:color w:val="000000" w:themeColor="text1"/>
          <w:kern w:val="0"/>
          <w:sz w:val="24"/>
          <w:highlight w:val="none"/>
          <w14:textFill>
            <w14:solidFill>
              <w14:schemeClr w14:val="tx1"/>
            </w14:solidFill>
          </w14:textFill>
        </w:rPr>
      </w:pPr>
    </w:p>
    <w:p w14:paraId="339CADEF">
      <w:pPr>
        <w:widowControl/>
        <w:jc w:val="center"/>
        <w:rPr>
          <w:rFonts w:hint="eastAsia" w:ascii="宋体" w:hAnsi="宋体" w:cs="宋体"/>
          <w:bCs/>
          <w:color w:val="000000" w:themeColor="text1"/>
          <w:kern w:val="0"/>
          <w:sz w:val="24"/>
          <w:highlight w:val="none"/>
          <w14:textFill>
            <w14:solidFill>
              <w14:schemeClr w14:val="tx1"/>
            </w14:solidFill>
          </w14:textFill>
        </w:rPr>
      </w:pPr>
    </w:p>
    <w:p w14:paraId="D7291B12">
      <w:pPr>
        <w:widowControl/>
        <w:jc w:val="center"/>
        <w:rPr>
          <w:rFonts w:hint="eastAsia" w:ascii="宋体" w:hAnsi="宋体" w:cs="宋体"/>
          <w:bCs/>
          <w:color w:val="000000" w:themeColor="text1"/>
          <w:kern w:val="0"/>
          <w:sz w:val="24"/>
          <w:highlight w:val="none"/>
          <w14:textFill>
            <w14:solidFill>
              <w14:schemeClr w14:val="tx1"/>
            </w14:solidFill>
          </w14:textFill>
        </w:rPr>
      </w:pPr>
    </w:p>
    <w:p w14:paraId="9B2F1C62">
      <w:pPr>
        <w:widowControl/>
        <w:jc w:val="center"/>
        <w:rPr>
          <w:rFonts w:hint="eastAsia" w:ascii="宋体" w:hAnsi="宋体" w:cs="宋体"/>
          <w:bCs/>
          <w:color w:val="000000" w:themeColor="text1"/>
          <w:kern w:val="0"/>
          <w:sz w:val="24"/>
          <w:highlight w:val="none"/>
          <w14:textFill>
            <w14:solidFill>
              <w14:schemeClr w14:val="tx1"/>
            </w14:solidFill>
          </w14:textFill>
        </w:rPr>
      </w:pPr>
    </w:p>
    <w:p w14:paraId="AB2AFF4D">
      <w:pPr>
        <w:widowControl/>
        <w:rPr>
          <w:rFonts w:hint="eastAsia" w:ascii="宋体" w:hAnsi="宋体" w:cs="宋体"/>
          <w:bCs/>
          <w:color w:val="000000" w:themeColor="text1"/>
          <w:kern w:val="0"/>
          <w:sz w:val="24"/>
          <w:highlight w:val="none"/>
          <w14:textFill>
            <w14:solidFill>
              <w14:schemeClr w14:val="tx1"/>
            </w14:solidFill>
          </w14:textFill>
        </w:rPr>
      </w:pPr>
    </w:p>
    <w:p w14:paraId="74214D07">
      <w:pPr>
        <w:widowControl/>
        <w:jc w:val="center"/>
        <w:rPr>
          <w:rFonts w:hint="eastAsia" w:ascii="宋体" w:hAnsi="宋体" w:cs="宋体"/>
          <w:bCs/>
          <w:color w:val="000000" w:themeColor="text1"/>
          <w:kern w:val="0"/>
          <w:sz w:val="24"/>
          <w:highlight w:val="none"/>
          <w14:textFill>
            <w14:solidFill>
              <w14:schemeClr w14:val="tx1"/>
            </w14:solidFill>
          </w14:textFill>
        </w:rPr>
      </w:pPr>
    </w:p>
    <w:p w14:paraId="271CBBB4">
      <w:pPr>
        <w:widowControl/>
        <w:rPr>
          <w:rFonts w:hint="eastAsia" w:ascii="宋体" w:hAnsi="宋体" w:cs="宋体"/>
          <w:bCs/>
          <w:color w:val="000000" w:themeColor="text1"/>
          <w:kern w:val="0"/>
          <w:sz w:val="24"/>
          <w:highlight w:val="none"/>
          <w14:textFill>
            <w14:solidFill>
              <w14:schemeClr w14:val="tx1"/>
            </w14:solidFill>
          </w14:textFill>
        </w:rPr>
      </w:pPr>
    </w:p>
    <w:p w14:paraId="3D9377F4">
      <w:pPr>
        <w:widowControl/>
        <w:rPr>
          <w:rFonts w:hint="eastAsia" w:ascii="宋体" w:hAnsi="宋体" w:cs="宋体"/>
          <w:bCs/>
          <w:color w:val="000000" w:themeColor="text1"/>
          <w:kern w:val="0"/>
          <w:sz w:val="24"/>
          <w:highlight w:val="none"/>
          <w14:textFill>
            <w14:solidFill>
              <w14:schemeClr w14:val="tx1"/>
            </w14:solidFill>
          </w14:textFill>
        </w:rPr>
        <w:sectPr>
          <w:pgSz w:w="11906" w:h="16838"/>
          <w:pgMar w:top="1440" w:right="1463" w:bottom="1440" w:left="1463" w:header="851" w:footer="992" w:gutter="0"/>
          <w:pgNumType w:start="1"/>
          <w:cols w:space="720" w:num="1"/>
          <w:docGrid w:type="lines" w:linePitch="312" w:charSpace="0"/>
        </w:sectPr>
      </w:pPr>
    </w:p>
    <w:p w14:paraId="63997590">
      <w:pPr>
        <w:widowControl/>
        <w:ind w:firstLine="2801" w:firstLineChars="900"/>
        <w:rPr>
          <w:rFonts w:hint="eastAsia" w:ascii="宋体" w:hAnsi="宋体" w:eastAsia="宋体" w:cs="宋体"/>
          <w:b/>
          <w:color w:val="000000" w:themeColor="text1"/>
          <w:kern w:val="0"/>
          <w:sz w:val="31"/>
          <w:szCs w:val="31"/>
          <w:highlight w:val="none"/>
          <w14:textFill>
            <w14:solidFill>
              <w14:schemeClr w14:val="tx1"/>
            </w14:solidFill>
          </w14:textFill>
        </w:rPr>
      </w:pPr>
      <w:r>
        <w:rPr>
          <w:rFonts w:hint="eastAsia" w:ascii="宋体" w:hAnsi="宋体" w:eastAsia="宋体" w:cs="宋体"/>
          <w:b/>
          <w:color w:val="000000" w:themeColor="text1"/>
          <w:kern w:val="0"/>
          <w:sz w:val="31"/>
          <w:szCs w:val="31"/>
          <w:highlight w:val="none"/>
          <w14:textFill>
            <w14:solidFill>
              <w14:schemeClr w14:val="tx1"/>
            </w14:solidFill>
          </w14:textFill>
        </w:rPr>
        <w:t>第一章 招标公告</w:t>
      </w:r>
    </w:p>
    <w:p w14:paraId="F1C67D6D">
      <w:pPr>
        <w:spacing w:line="360" w:lineRule="auto"/>
        <w:ind w:firstLine="484" w:firstLineChars="20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项目概况</w:t>
      </w:r>
    </w:p>
    <w:p w14:paraId="1A8DDB62">
      <w:pPr>
        <w:spacing w:line="360" w:lineRule="auto"/>
        <w:ind w:firstLine="484" w:firstLineChars="20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三门峡市陕州区党政机关法律顾问服务项目（二次）</w:t>
      </w:r>
      <w:r>
        <w:rPr>
          <w:rFonts w:hint="eastAsia" w:ascii="宋体" w:hAnsi="宋体"/>
          <w:color w:val="000000" w:themeColor="text1"/>
          <w:sz w:val="24"/>
          <w:highlight w:val="none"/>
          <w14:textFill>
            <w14:solidFill>
              <w14:schemeClr w14:val="tx1"/>
            </w14:solidFill>
          </w14:textFill>
        </w:rPr>
        <w:t>的潜在投标人应在三门峡市公共资源交易中心网（网址：http://gzjy.smx.gov.cn/）获取招标文件，并于</w:t>
      </w:r>
      <w:r>
        <w:rPr>
          <w:rFonts w:hint="eastAsia" w:ascii="宋体" w:hAnsi="宋体"/>
          <w:color w:val="000000" w:themeColor="text1"/>
          <w:sz w:val="24"/>
          <w:highlight w:val="none"/>
          <w:lang w:val="zh-CN"/>
          <w14:textFill>
            <w14:solidFill>
              <w14:schemeClr w14:val="tx1"/>
            </w14:solidFill>
          </w14:textFill>
        </w:rPr>
        <w:t>2025年6月11日08时</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val="zh-CN"/>
          <w14:textFill>
            <w14:solidFill>
              <w14:schemeClr w14:val="tx1"/>
            </w14:solidFill>
          </w14:textFill>
        </w:rPr>
        <w:t>0分</w:t>
      </w:r>
      <w:r>
        <w:rPr>
          <w:rFonts w:hint="eastAsia" w:ascii="宋体" w:hAnsi="宋体"/>
          <w:color w:val="000000" w:themeColor="text1"/>
          <w:sz w:val="24"/>
          <w:highlight w:val="none"/>
          <w14:textFill>
            <w14:solidFill>
              <w14:schemeClr w14:val="tx1"/>
            </w14:solidFill>
          </w14:textFill>
        </w:rPr>
        <w:t>（北京时间）前递交投标文件。</w:t>
      </w:r>
    </w:p>
    <w:p w14:paraId="8082441A">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ascii="宋体" w:hAnsi="宋体"/>
          <w:color w:val="000000" w:themeColor="text1"/>
          <w:sz w:val="24"/>
          <w:highlight w:val="none"/>
          <w14:textFill>
            <w14:solidFill>
              <w14:schemeClr w14:val="tx1"/>
            </w14:solidFill>
          </w14:textFill>
        </w:rPr>
        <w:t>项目基本情况</w:t>
      </w:r>
    </w:p>
    <w:p w14:paraId="F68AB095">
      <w:pPr>
        <w:spacing w:line="360" w:lineRule="auto"/>
        <w:ind w:firstLine="484" w:firstLineChars="202"/>
        <w:rPr>
          <w:rFonts w:hint="eastAsia" w:ascii="宋体" w:hAnsi="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项目编号：陕州公开采购-2025-8、SZGZ[2025]080-ZC052</w:t>
      </w:r>
    </w:p>
    <w:p w14:paraId="0C206AC5">
      <w:pPr>
        <w:spacing w:line="360" w:lineRule="auto"/>
        <w:ind w:firstLine="484" w:firstLineChars="202"/>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2.项目名称：</w:t>
      </w:r>
      <w:r>
        <w:rPr>
          <w:rFonts w:hint="eastAsia" w:ascii="宋体" w:hAnsi="宋体"/>
          <w:color w:val="000000" w:themeColor="text1"/>
          <w:sz w:val="24"/>
          <w:highlight w:val="none"/>
          <w:lang w:eastAsia="zh-CN"/>
          <w14:textFill>
            <w14:solidFill>
              <w14:schemeClr w14:val="tx1"/>
            </w14:solidFill>
          </w14:textFill>
        </w:rPr>
        <w:t>三门峡市陕州区党政机关法律顾问服务项目（二次）</w:t>
      </w:r>
    </w:p>
    <w:p w14:paraId="34B6D809">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3.采购方式：</w:t>
      </w:r>
      <w:r>
        <w:rPr>
          <w:rFonts w:hint="eastAsia" w:ascii="宋体" w:hAnsi="宋体"/>
          <w:color w:val="000000" w:themeColor="text1"/>
          <w:sz w:val="24"/>
          <w:highlight w:val="none"/>
          <w14:textFill>
            <w14:solidFill>
              <w14:schemeClr w14:val="tx1"/>
            </w14:solidFill>
          </w14:textFill>
        </w:rPr>
        <w:t>公开招标</w:t>
      </w:r>
    </w:p>
    <w:p w14:paraId="AD0F8D8D">
      <w:pPr>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预算金额：</w:t>
      </w:r>
      <w:r>
        <w:rPr>
          <w:rFonts w:hint="eastAsia" w:ascii="宋体" w:hAnsi="宋体"/>
          <w:color w:val="000000" w:themeColor="text1"/>
          <w:sz w:val="24"/>
          <w:highlight w:val="none"/>
          <w:lang w:val="en-US" w:eastAsia="zh-CN"/>
          <w14:textFill>
            <w14:solidFill>
              <w14:schemeClr w14:val="tx1"/>
            </w14:solidFill>
          </w14:textFill>
        </w:rPr>
        <w:t>3600000.00</w:t>
      </w:r>
      <w:r>
        <w:rPr>
          <w:rFonts w:hint="eastAsia" w:ascii="宋体" w:hAnsi="宋体"/>
          <w:color w:val="000000" w:themeColor="text1"/>
          <w:sz w:val="24"/>
          <w:highlight w:val="none"/>
          <w14:textFill>
            <w14:solidFill>
              <w14:schemeClr w14:val="tx1"/>
            </w14:solidFill>
          </w14:textFill>
        </w:rPr>
        <w:t>元</w:t>
      </w:r>
    </w:p>
    <w:p w14:paraId="B4F66FCC">
      <w:pPr>
        <w:spacing w:line="360" w:lineRule="auto"/>
        <w:ind w:firstLine="484" w:firstLineChars="20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最高限价：</w:t>
      </w:r>
      <w:r>
        <w:rPr>
          <w:rFonts w:hint="eastAsia" w:ascii="宋体" w:hAnsi="宋体"/>
          <w:color w:val="000000" w:themeColor="text1"/>
          <w:sz w:val="24"/>
          <w:highlight w:val="none"/>
          <w:lang w:val="en-US" w:eastAsia="zh-CN"/>
          <w14:textFill>
            <w14:solidFill>
              <w14:schemeClr w14:val="tx1"/>
            </w14:solidFill>
          </w14:textFill>
        </w:rPr>
        <w:t>3600000.00</w:t>
      </w:r>
      <w:r>
        <w:rPr>
          <w:rFonts w:hint="eastAsia" w:ascii="宋体" w:hAnsi="宋体"/>
          <w:color w:val="000000" w:themeColor="text1"/>
          <w:sz w:val="24"/>
          <w:highlight w:val="none"/>
          <w14:textFill>
            <w14:solidFill>
              <w14:schemeClr w14:val="tx1"/>
            </w14:solidFill>
          </w14:textFill>
        </w:rPr>
        <w:t>元</w:t>
      </w:r>
    </w:p>
    <w:p w14:paraId="6767FFEF">
      <w:pPr>
        <w:spacing w:line="360" w:lineRule="auto"/>
        <w:ind w:firstLine="484" w:firstLineChars="20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5.采购需求（包括但不限于标的的名称、数量、简要技术需求或服务要求等）；</w:t>
      </w:r>
    </w:p>
    <w:p w14:paraId="EDBF9FD5">
      <w:pPr>
        <w:widowControl/>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项目概况：</w:t>
      </w:r>
      <w:r>
        <w:rPr>
          <w:rFonts w:hint="eastAsia" w:ascii="宋体" w:hAnsi="宋体" w:cs="宋体"/>
          <w:bCs/>
          <w:color w:val="000000" w:themeColor="text1"/>
          <w:kern w:val="0"/>
          <w:sz w:val="24"/>
          <w:szCs w:val="20"/>
          <w:highlight w:val="none"/>
          <w14:textFill>
            <w14:solidFill>
              <w14:schemeClr w14:val="tx1"/>
            </w14:solidFill>
          </w14:textFill>
        </w:rPr>
        <w:t>本项目主要内容为陕州区司法局拟为56家党政机关统一聘请法律顾问，聘期三年(具体内容及要求详见招标文件）；</w:t>
      </w:r>
    </w:p>
    <w:p w14:paraId="963A9909">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w:t>
      </w:r>
      <w:r>
        <w:rPr>
          <w:rFonts w:hint="eastAsia" w:ascii="宋体" w:hAnsi="宋体" w:cs="宋体"/>
          <w:bCs/>
          <w:color w:val="000000" w:themeColor="text1"/>
          <w:kern w:val="0"/>
          <w:sz w:val="24"/>
          <w:szCs w:val="20"/>
          <w:highlight w:val="none"/>
          <w14:textFill>
            <w14:solidFill>
              <w14:schemeClr w14:val="tx1"/>
            </w14:solidFill>
          </w14:textFill>
        </w:rPr>
        <w:t>、招标范围：本次采购内容包括陕州区司法局拟为56家党政机关统一聘请法律顾问，聘期三年。</w:t>
      </w:r>
    </w:p>
    <w:p w14:paraId="1866D6B6">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主要服务范围及内容为</w:t>
      </w:r>
      <w:r>
        <w:rPr>
          <w:rFonts w:hint="eastAsia" w:ascii="宋体" w:hAnsi="宋体" w:cs="宋体"/>
          <w:bCs/>
          <w:color w:val="000000" w:themeColor="text1"/>
          <w:kern w:val="0"/>
          <w:sz w:val="24"/>
          <w:szCs w:val="20"/>
          <w:highlight w:val="none"/>
          <w:lang w:eastAsia="zh-CN"/>
          <w14:textFill>
            <w14:solidFill>
              <w14:schemeClr w14:val="tx1"/>
            </w14:solidFill>
          </w14:textFill>
        </w:rPr>
        <w:t>：</w:t>
      </w:r>
      <w:r>
        <w:rPr>
          <w:rFonts w:hint="eastAsia" w:ascii="宋体" w:hAnsi="宋体" w:cs="宋体"/>
          <w:bCs/>
          <w:color w:val="000000" w:themeColor="text1"/>
          <w:kern w:val="0"/>
          <w:sz w:val="24"/>
          <w:szCs w:val="20"/>
          <w:highlight w:val="none"/>
          <w14:textFill>
            <w14:solidFill>
              <w14:schemeClr w14:val="tx1"/>
            </w14:solidFill>
          </w14:textFill>
        </w:rPr>
        <w:t>56家党政机关</w:t>
      </w:r>
      <w:r>
        <w:rPr>
          <w:rFonts w:hint="eastAsia" w:ascii="宋体" w:hAnsi="宋体" w:cs="宋体"/>
          <w:bCs/>
          <w:color w:val="000000" w:themeColor="text1"/>
          <w:kern w:val="0"/>
          <w:sz w:val="24"/>
          <w:szCs w:val="20"/>
          <w:highlight w:val="none"/>
          <w:lang w:eastAsia="zh-CN"/>
          <w14:textFill>
            <w14:solidFill>
              <w14:schemeClr w14:val="tx1"/>
            </w14:solidFill>
          </w14:textFill>
        </w:rPr>
        <w:t>提供法律咨询服务工作</w:t>
      </w:r>
      <w:r>
        <w:rPr>
          <w:rFonts w:hint="eastAsia" w:ascii="宋体" w:hAnsi="宋体" w:cs="宋体"/>
          <w:bCs/>
          <w:color w:val="000000" w:themeColor="text1"/>
          <w:kern w:val="0"/>
          <w:sz w:val="24"/>
          <w:szCs w:val="20"/>
          <w:highlight w:val="none"/>
          <w14:textFill>
            <w14:solidFill>
              <w14:schemeClr w14:val="tx1"/>
            </w14:solidFill>
          </w14:textFill>
        </w:rPr>
        <w:t>；为服务对象的重大行政决策及时准确地提供专家论证、风险评估和合法性审查意见、建议和法律服务，对决策实施过程中可能遇到的风险作出预测，从法律角度提出避免或减少风险的措施；就服务对象日常业务中出现的有关法律问题，提供咨询、论证等专项法律意见或出具法律意见书，应邀参加讨论会议，并提出解决办法。参与服务对象重大项目的洽谈以及其他重大经济活动中的法律事务，参与起草、修改、审查合同、协议及其他重要法律文书,提出切实可行的法律意见或建议，避免法律风险及诉讼隐患。为服务对象出台的行政规范性文件的合法性审查提供法律意见。代理服务对象为当事人一方的民事诉讼仲裁、行政诉讼、行政复议和行政赔偿案件和其他非诉讼法律事务。根据服务对象的需要，协助进行法制宣传教育和法律培训及普法讲座活动，积极参与服务对象组织的公益活动。每季度结束后10日内，总结作为政府法律顾问的工作经验教训，为甲方提出依法行政方面有价值的意见建议，防范法律风险，预防各类纠纷的发生。参与化解服务对象突发性、群体性矛盾纠纷。</w:t>
      </w:r>
    </w:p>
    <w:p w14:paraId="30C2FC0C">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5.3、资金来源：</w:t>
      </w:r>
      <w:r>
        <w:rPr>
          <w:rFonts w:hint="eastAsia" w:ascii="宋体" w:hAnsi="宋体" w:cs="宋体"/>
          <w:bCs/>
          <w:color w:val="000000" w:themeColor="text1"/>
          <w:kern w:val="0"/>
          <w:sz w:val="24"/>
          <w:szCs w:val="20"/>
          <w:highlight w:val="none"/>
          <w:lang w:eastAsia="zh-CN"/>
          <w14:textFill>
            <w14:solidFill>
              <w14:schemeClr w14:val="tx1"/>
            </w14:solidFill>
          </w14:textFill>
        </w:rPr>
        <w:t>财政资金</w:t>
      </w:r>
      <w:r>
        <w:rPr>
          <w:rFonts w:hint="eastAsia" w:ascii="宋体" w:hAnsi="宋体" w:cs="宋体"/>
          <w:bCs/>
          <w:color w:val="000000" w:themeColor="text1"/>
          <w:kern w:val="0"/>
          <w:sz w:val="24"/>
          <w:szCs w:val="20"/>
          <w:highlight w:val="none"/>
          <w14:textFill>
            <w14:solidFill>
              <w14:schemeClr w14:val="tx1"/>
            </w14:solidFill>
          </w14:textFill>
        </w:rPr>
        <w:t>，已落实。</w:t>
      </w:r>
    </w:p>
    <w:p w14:paraId="0595ACCE">
      <w:pPr>
        <w:spacing w:line="360" w:lineRule="auto"/>
        <w:ind w:firstLine="480" w:firstLineChars="200"/>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5.4、服务要求：</w:t>
      </w:r>
      <w:r>
        <w:rPr>
          <w:rFonts w:hint="eastAsia" w:ascii="宋体" w:hAnsi="宋体" w:cs="宋体"/>
          <w:color w:val="000000" w:themeColor="text1"/>
          <w:sz w:val="24"/>
          <w:highlight w:val="none"/>
          <w14:textFill>
            <w14:solidFill>
              <w14:schemeClr w14:val="tx1"/>
            </w14:solidFill>
          </w14:textFill>
        </w:rPr>
        <w:t>符合国家、省、市及相关行业规定的合格标准，且满足采购人要求。</w:t>
      </w:r>
    </w:p>
    <w:p w14:paraId="4060FC84">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5.5</w:t>
      </w:r>
      <w:r>
        <w:rPr>
          <w:rFonts w:hint="eastAsia" w:ascii="宋体" w:hAnsi="宋体" w:cs="宋体"/>
          <w:bCs/>
          <w:color w:val="000000" w:themeColor="text1"/>
          <w:kern w:val="0"/>
          <w:sz w:val="24"/>
          <w:szCs w:val="20"/>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服务期限：</w:t>
      </w:r>
      <w:r>
        <w:rPr>
          <w:rFonts w:hint="eastAsia" w:ascii="宋体" w:hAnsi="宋体" w:cs="宋体"/>
          <w:bCs/>
          <w:color w:val="000000" w:themeColor="text1"/>
          <w:kern w:val="0"/>
          <w:sz w:val="24"/>
          <w:szCs w:val="20"/>
          <w:highlight w:val="none"/>
          <w14:textFill>
            <w14:solidFill>
              <w14:schemeClr w14:val="tx1"/>
            </w14:solidFill>
          </w14:textFill>
        </w:rPr>
        <w:t>合同签订之日起</w:t>
      </w:r>
      <w:r>
        <w:rPr>
          <w:rFonts w:hint="eastAsia" w:ascii="宋体" w:hAnsi="宋体" w:cs="宋体"/>
          <w:bCs/>
          <w:color w:val="000000" w:themeColor="text1"/>
          <w:kern w:val="0"/>
          <w:sz w:val="24"/>
          <w:szCs w:val="20"/>
          <w:highlight w:val="none"/>
          <w:lang w:eastAsia="zh-CN"/>
          <w14:textFill>
            <w14:solidFill>
              <w14:schemeClr w14:val="tx1"/>
            </w14:solidFill>
          </w14:textFill>
        </w:rPr>
        <w:t>三</w:t>
      </w:r>
      <w:r>
        <w:rPr>
          <w:rFonts w:hint="eastAsia" w:ascii="宋体" w:hAnsi="宋体" w:cs="宋体"/>
          <w:bCs/>
          <w:color w:val="000000" w:themeColor="text1"/>
          <w:kern w:val="0"/>
          <w:sz w:val="24"/>
          <w:szCs w:val="20"/>
          <w:highlight w:val="none"/>
          <w14:textFill>
            <w14:solidFill>
              <w14:schemeClr w14:val="tx1"/>
            </w14:solidFill>
          </w14:textFill>
        </w:rPr>
        <w:t>年</w:t>
      </w:r>
    </w:p>
    <w:p w14:paraId="4979F3CC">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、本项目是否接受联合体投标：否</w:t>
      </w:r>
    </w:p>
    <w:p w14:paraId="02A309FC">
      <w:pPr>
        <w:widowControl w:val="0"/>
        <w:spacing w:after="0" w:line="360" w:lineRule="auto"/>
        <w:ind w:firstLine="484" w:firstLineChars="202"/>
        <w:jc w:val="both"/>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、是否专门面向中小企业：</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否</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w:t>
      </w:r>
    </w:p>
    <w:p w14:paraId="45DFD771">
      <w:pPr>
        <w:spacing w:line="360" w:lineRule="auto"/>
        <w:ind w:firstLine="484" w:firstLineChars="20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二、申请人资格要求：</w:t>
      </w:r>
    </w:p>
    <w:p w14:paraId="4BE3D915">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满足《中华人民共和国政府采购法》第二十二条规定（提供承诺函）；</w:t>
      </w:r>
    </w:p>
    <w:p w14:paraId="393AA26B">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、本项目的特定资格要求</w:t>
      </w:r>
    </w:p>
    <w:p w14:paraId="1884800D">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.1响应人</w:t>
      </w:r>
      <w:r>
        <w:rPr>
          <w:rFonts w:hint="eastAsia" w:ascii="宋体" w:hAnsi="宋体" w:eastAsia="宋体" w:cs="Times New Roman"/>
          <w:color w:val="000000" w:themeColor="text1"/>
          <w:sz w:val="24"/>
          <w:szCs w:val="24"/>
          <w14:textFill>
            <w14:solidFill>
              <w14:schemeClr w14:val="tx1"/>
            </w14:solidFill>
          </w14:textFill>
        </w:rPr>
        <w:t>具有合法有效律师事务所执业许可证</w:t>
      </w:r>
      <w:r>
        <w:rPr>
          <w:rFonts w:hint="eastAsia" w:ascii="宋体" w:hAnsi="宋体" w:cs="Times New Roman"/>
          <w:color w:val="000000" w:themeColor="text1"/>
          <w:sz w:val="24"/>
          <w:szCs w:val="24"/>
          <w:lang w:val="en-US" w:eastAsia="zh-CN"/>
          <w14:textFill>
            <w14:solidFill>
              <w14:schemeClr w14:val="tx1"/>
            </w14:solidFill>
          </w14:textFill>
        </w:rPr>
        <w:t>且执业律师不少于16名，同时执业年限超过5年的执业律师不少于12名</w:t>
      </w:r>
      <w:r>
        <w:rPr>
          <w:rFonts w:hint="eastAsia" w:ascii="宋体" w:hAnsi="宋体" w:eastAsia="宋体" w:cs="Times New Roman"/>
          <w:color w:val="000000" w:themeColor="text1"/>
          <w:sz w:val="24"/>
          <w:szCs w:val="24"/>
          <w14:textFill>
            <w14:solidFill>
              <w14:schemeClr w14:val="tx1"/>
            </w14:solidFill>
          </w14:textFill>
        </w:rPr>
        <w:t>；</w:t>
      </w:r>
    </w:p>
    <w:p w14:paraId="3C0D2B42">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.2响应人</w:t>
      </w:r>
      <w:r>
        <w:rPr>
          <w:rFonts w:hint="eastAsia" w:ascii="宋体" w:hAnsi="宋体" w:eastAsia="宋体" w:cs="Times New Roman"/>
          <w:color w:val="000000" w:themeColor="text1"/>
          <w:sz w:val="24"/>
          <w:szCs w:val="24"/>
          <w14:textFill>
            <w14:solidFill>
              <w14:schemeClr w14:val="tx1"/>
            </w14:solidFill>
          </w14:textFill>
        </w:rPr>
        <w:t>拟派本项目负责人（主办律师）政治素质高，拥护党的理论和路线方针政策；具有律师执业证书且执业经历不低于</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0年（以律师执业证书上执业证号显示的年份为起算标准）；</w:t>
      </w:r>
    </w:p>
    <w:p w14:paraId="6D2DEE3D">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.3响应人近五年（20</w:t>
      </w:r>
      <w:r>
        <w:rPr>
          <w:rFonts w:hint="eastAsia" w:ascii="宋体" w:hAnsi="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年1月1日以来）内未受过司法行政机关的行政处罚及律师协会的行业处分（书面承诺格式自拟）；</w:t>
      </w:r>
    </w:p>
    <w:p w14:paraId="4DEF9C3F">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2.4</w:t>
      </w:r>
      <w:r>
        <w:rPr>
          <w:rFonts w:hint="eastAsia" w:ascii="宋体" w:hAnsi="宋体" w:cs="宋体"/>
          <w:bCs/>
          <w:color w:val="000000" w:themeColor="text1"/>
          <w:kern w:val="0"/>
          <w:sz w:val="24"/>
          <w:szCs w:val="20"/>
          <w:highlight w:val="none"/>
          <w14:textFill>
            <w14:solidFill>
              <w14:schemeClr w14:val="tx1"/>
            </w14:solidFill>
          </w14:textFill>
        </w:rPr>
        <w:t>、提供本单位无商业贿赂和无不正当竞争行为承诺书；</w:t>
      </w:r>
    </w:p>
    <w:p w14:paraId="626EB575">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2.5</w:t>
      </w:r>
      <w:r>
        <w:rPr>
          <w:rFonts w:hint="eastAsia" w:ascii="宋体" w:hAnsi="宋体" w:cs="宋体"/>
          <w:bCs/>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截图要显示查询时间，查询时间自公告发布之日起至</w:t>
      </w:r>
      <w:r>
        <w:rPr>
          <w:rFonts w:hint="eastAsia" w:ascii="宋体" w:hAnsi="宋体"/>
          <w:color w:val="000000" w:themeColor="text1"/>
          <w:sz w:val="24"/>
          <w:highlight w:val="none"/>
          <w:lang w:eastAsia="zh-CN"/>
          <w14:textFill>
            <w14:solidFill>
              <w14:schemeClr w14:val="tx1"/>
            </w14:solidFill>
          </w14:textFill>
        </w:rPr>
        <w:t>投标截止时间</w:t>
      </w:r>
      <w:r>
        <w:rPr>
          <w:rFonts w:hint="eastAsia" w:ascii="宋体" w:hAnsi="宋体"/>
          <w:color w:val="000000" w:themeColor="text1"/>
          <w:sz w:val="24"/>
          <w:highlight w:val="none"/>
          <w14:textFill>
            <w14:solidFill>
              <w14:schemeClr w14:val="tx1"/>
            </w14:solidFill>
          </w14:textFill>
        </w:rPr>
        <w:t>止）</w:t>
      </w:r>
      <w:r>
        <w:rPr>
          <w:rFonts w:hint="eastAsia" w:ascii="宋体" w:hAnsi="宋体" w:cs="宋体"/>
          <w:bCs/>
          <w:color w:val="000000" w:themeColor="text1"/>
          <w:kern w:val="0"/>
          <w:sz w:val="24"/>
          <w:szCs w:val="20"/>
          <w:highlight w:val="none"/>
          <w14:textFill>
            <w14:solidFill>
              <w14:schemeClr w14:val="tx1"/>
            </w14:solidFill>
          </w14:textFill>
        </w:rPr>
        <w:t>；</w:t>
      </w:r>
    </w:p>
    <w:p w14:paraId="36A10E5B">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2.6</w:t>
      </w:r>
      <w:r>
        <w:rPr>
          <w:rFonts w:hint="eastAsia" w:ascii="宋体" w:hAnsi="宋体" w:cs="宋体"/>
          <w:bCs/>
          <w:color w:val="000000" w:themeColor="text1"/>
          <w:kern w:val="0"/>
          <w:sz w:val="24"/>
          <w:szCs w:val="20"/>
          <w:highlight w:val="none"/>
          <w14:textFill>
            <w14:solidFill>
              <w14:schemeClr w14:val="tx1"/>
            </w14:solidFill>
          </w14:textFill>
        </w:rPr>
        <w:t>、单位负责人为同一人或者存在直接控股、管理关系的不同投标人，不得参加同一合同项下的采购活动；（提供《国家企业信用信息公示系统》查询企业股东等信息或声明函）；</w:t>
      </w:r>
    </w:p>
    <w:p w14:paraId="FB842C74">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三、获取采购文件</w:t>
      </w:r>
    </w:p>
    <w:p w14:paraId="2132743B">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1.时间：2025年</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21</w:t>
      </w:r>
      <w:r>
        <w:rPr>
          <w:rFonts w:hint="eastAsia" w:ascii="宋体" w:hAnsi="宋体"/>
          <w:color w:val="000000" w:themeColor="text1"/>
          <w:sz w:val="24"/>
          <w:highlight w:val="none"/>
          <w:lang w:val="zh-CN"/>
          <w14:textFill>
            <w14:solidFill>
              <w14:schemeClr w14:val="tx1"/>
            </w14:solidFill>
          </w14:textFill>
        </w:rPr>
        <w:t>日至202</w:t>
      </w: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lang w:val="zh-CN"/>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11</w:t>
      </w:r>
      <w:r>
        <w:rPr>
          <w:rFonts w:hint="eastAsia" w:ascii="宋体" w:hAnsi="宋体"/>
          <w:color w:val="000000" w:themeColor="text1"/>
          <w:sz w:val="24"/>
          <w:highlight w:val="none"/>
          <w:lang w:val="zh-CN"/>
          <w14:textFill>
            <w14:solidFill>
              <w14:schemeClr w14:val="tx1"/>
            </w14:solidFill>
          </w14:textFill>
        </w:rPr>
        <w:t>日。每天上午00:00至12:00，下午12:00至23:59（北京时间，法定节假日除外。）</w:t>
      </w:r>
    </w:p>
    <w:p w14:paraId="6129F9F2">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2.地点：三门峡市公共资源交易中心（http://gzjy.smx.gov.cn/）</w:t>
      </w:r>
    </w:p>
    <w:p w14:paraId="34EB8DB2">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3.方式：本项目没有报名环节，响应供应商凭CA数字证书通过三门峡市公共资源交易中心网（网址：http://gzjy.smx.gov.cn/），点击交易平台选择“</w:t>
      </w:r>
      <w:r>
        <w:rPr>
          <w:rFonts w:hint="eastAsia" w:ascii="宋体" w:hAnsi="宋体"/>
          <w:color w:val="000000" w:themeColor="text1"/>
          <w:sz w:val="24"/>
          <w:highlight w:val="none"/>
          <w14:textFill>
            <w14:solidFill>
              <w14:schemeClr w14:val="tx1"/>
            </w14:solidFill>
          </w14:textFill>
        </w:rPr>
        <w:t>交易</w:t>
      </w:r>
      <w:r>
        <w:rPr>
          <w:rFonts w:hint="eastAsia" w:ascii="宋体" w:hAnsi="宋体"/>
          <w:color w:val="000000" w:themeColor="text1"/>
          <w:sz w:val="24"/>
          <w:highlight w:val="none"/>
          <w:lang w:val="zh-CN"/>
          <w14:textFill>
            <w14:solidFill>
              <w14:schemeClr w14:val="tx1"/>
            </w14:solidFill>
          </w14:textFill>
        </w:rPr>
        <w:t>主体登录”，在所参与项目右侧点击参与响应，即可直接下载本项目招标文件。</w:t>
      </w:r>
    </w:p>
    <w:p w14:paraId="1397E5F7">
      <w:pPr>
        <w:wordWrap w:val="0"/>
        <w:spacing w:line="360" w:lineRule="auto"/>
        <w:ind w:firstLine="484" w:firstLineChars="202"/>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办理CA证书：</w:t>
      </w:r>
      <w:r>
        <w:rPr>
          <w:rFonts w:hint="eastAsia" w:ascii="宋体" w:hAnsi="宋体" w:cs="宋体"/>
          <w:color w:val="000000" w:themeColor="text1"/>
          <w:sz w:val="24"/>
          <w:highlight w:val="none"/>
          <w14:textFill>
            <w14:solidFill>
              <w14:schemeClr w14:val="tx1"/>
            </w14:solidFill>
          </w14:textFill>
        </w:rPr>
        <w:t>http://gzjy.smx.gov.cn/bzzx/008001/20231102/4defc9b5-408e-47f2-9e9f-1f376a06ee1f.html</w:t>
      </w:r>
    </w:p>
    <w:p w14:paraId="CA414A67">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4.售价：0元</w:t>
      </w:r>
    </w:p>
    <w:p w14:paraId="F602A01C">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四、投标文件提交</w:t>
      </w:r>
    </w:p>
    <w:p w14:paraId="E7D8E4CE">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1.截止时间：2025年6月11日08时30分（北京时间）</w:t>
      </w:r>
    </w:p>
    <w:p w14:paraId="4099F0F4">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2.地点：加密电子投标文件须在响应截止时间前通过“三门峡市公共资源交易中心（http://gzjy.smx.gov.cn/）”电子交易平台加密上传。逾期上传的或者未上传指定地点的投标文件，采购人不予受理。</w:t>
      </w:r>
    </w:p>
    <w:p w14:paraId="C0601AE8">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五、投标文件开启</w:t>
      </w:r>
    </w:p>
    <w:p w14:paraId="DB01B63E">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1.时间：2025年6月11日08时30分（北京时间）</w:t>
      </w:r>
    </w:p>
    <w:p w14:paraId="19AA247D">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2.地点：陕州区公共资源交易中心</w:t>
      </w:r>
    </w:p>
    <w:p w14:paraId="31F01EF7">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六、发布公告的媒介</w:t>
      </w:r>
    </w:p>
    <w:p w14:paraId="A5A6A782">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本次公告在《中国招标投标公共服务平台》、《三门峡市公共资源交易中心网》、《河南省政府采购网》上发布。</w:t>
      </w:r>
    </w:p>
    <w:p w14:paraId="835DC1DD">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七、其他补充事宜</w:t>
      </w:r>
    </w:p>
    <w:p w14:paraId="C24F040E">
      <w:pPr>
        <w:spacing w:line="360" w:lineRule="auto"/>
        <w:ind w:firstLine="484" w:firstLineChars="202"/>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本项目为电子化、无纸化交易项目，开标时不再接受任何纸质资料，为保证您能投标成功，请需仔细阅读招标文件和三门峡市公共资源交易中心官网业务办理指南。在本公告中要求的截止时间前完成招标文件下载、</w:t>
      </w:r>
      <w:r>
        <w:rPr>
          <w:rFonts w:hint="eastAsia" w:ascii="宋体" w:hAnsi="宋体"/>
          <w:color w:val="000000" w:themeColor="text1"/>
          <w:sz w:val="24"/>
          <w:highlight w:val="none"/>
          <w:lang w:val="en-US" w:eastAsia="zh-CN"/>
          <w14:textFill>
            <w14:solidFill>
              <w14:schemeClr w14:val="tx1"/>
            </w14:solidFill>
          </w14:textFill>
        </w:rPr>
        <w:t>上传投标文件</w:t>
      </w:r>
      <w:r>
        <w:rPr>
          <w:rFonts w:hint="eastAsia" w:ascii="宋体" w:hAnsi="宋体"/>
          <w:color w:val="000000" w:themeColor="text1"/>
          <w:sz w:val="24"/>
          <w:highlight w:val="none"/>
          <w:lang w:val="zh-CN"/>
          <w14:textFill>
            <w14:solidFill>
              <w14:schemeClr w14:val="tx1"/>
            </w14:solidFill>
          </w14:textFill>
        </w:rPr>
        <w:t>等工作。因供应商操作不当等问题造成的无法下载招标文件、无法投标等一切后果，由供应商自行承担。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 在线准时参加开标活动并进行响应文件解密等。每位供应商的解密时间为开标时间起30分钟内完成。因供应商原因未能解密、解密失败或解密超时的将被拒绝。</w:t>
      </w:r>
    </w:p>
    <w:p w14:paraId="67F1E0D8">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2、投标所发生的一切费用由各供应商自行承担，并承担相应的风险和责任。</w:t>
      </w:r>
    </w:p>
    <w:p w14:paraId="92F5CF53">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3、根据《河南省财政厅关于优化政府采购营商环境有关问题的通知》（豫财购【2019】4号）第6条的规定，投标保证金不再收取。</w:t>
      </w:r>
    </w:p>
    <w:p w14:paraId="85B6C0EB">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4、我单位（采购人）严格按三财购（2021）9 号文要求的时限发布结果公告，发出成交通知书，签订采购合同，上传采购合同。</w:t>
      </w:r>
    </w:p>
    <w:p w14:paraId="27D26DC1">
      <w:pPr>
        <w:pStyle w:val="17"/>
        <w:keepNext w:val="0"/>
        <w:keepLines w:val="0"/>
        <w:widowControl/>
        <w:suppressLineNumbers w:val="0"/>
        <w:wordWrap w:val="0"/>
        <w:spacing w:before="0" w:beforeAutospacing="0" w:after="0" w:afterAutospacing="0" w:line="360" w:lineRule="auto"/>
        <w:ind w:left="0" w:right="0" w:firstLine="485"/>
        <w:jc w:val="both"/>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5、本项目实行资格后审</w:t>
      </w:r>
      <w:r>
        <w:rPr>
          <w:rFonts w:hint="eastAsia" w:ascii="宋体" w:hAnsi="宋体"/>
          <w:color w:val="000000" w:themeColor="text1"/>
          <w:sz w:val="24"/>
          <w:highlight w:val="none"/>
          <w:lang w:val="zh-CN" w:eastAsia="zh-CN"/>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评标时以投标文件为准：</w:t>
      </w:r>
    </w:p>
    <w:p w14:paraId="CD89DF77">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（1）资格评（预）审部分：资格评（预）以投标文件为准，其上传资料真实性由供应商自行承担，同时，供应商要完善主体库。</w:t>
      </w:r>
    </w:p>
    <w:p w14:paraId="121A305C">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94B9338A">
      <w:pPr>
        <w:spacing w:line="360" w:lineRule="auto"/>
        <w:ind w:firstLine="484" w:firstLineChars="202"/>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3）投标文件编制部分：在招标文件中要求供应商按照投标文件格式进行投标文件编制，在投标文件编制时，应明确将投标单位企业基本情况、资质情况、人员情况、财务情况、业绩情况编入投标文件，便于进行资格审查及评标打分。</w:t>
      </w:r>
    </w:p>
    <w:p w14:paraId="4A4EE8FB">
      <w:pPr>
        <w:spacing w:line="360" w:lineRule="auto"/>
        <w:ind w:firstLine="484" w:firstLineChars="202"/>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八、凡对本次</w:t>
      </w:r>
      <w:r>
        <w:rPr>
          <w:rFonts w:hint="eastAsia" w:ascii="宋体" w:hAnsi="宋体" w:eastAsia="宋体" w:cs="Times New Roman"/>
          <w:color w:val="000000" w:themeColor="text1"/>
          <w:sz w:val="24"/>
          <w:highlight w:val="none"/>
          <w14:textFill>
            <w14:solidFill>
              <w14:schemeClr w14:val="tx1"/>
            </w14:solidFill>
          </w14:textFill>
        </w:rPr>
        <w:t>招标</w:t>
      </w:r>
      <w:r>
        <w:rPr>
          <w:rFonts w:hint="eastAsia" w:ascii="宋体" w:hAnsi="宋体" w:eastAsia="宋体" w:cs="Times New Roman"/>
          <w:color w:val="000000" w:themeColor="text1"/>
          <w:sz w:val="24"/>
          <w:highlight w:val="none"/>
          <w:lang w:val="zh-CN"/>
          <w14:textFill>
            <w14:solidFill>
              <w14:schemeClr w14:val="tx1"/>
            </w14:solidFill>
          </w14:textFill>
        </w:rPr>
        <w:t>提出询问，请按以下方式联系：</w:t>
      </w:r>
    </w:p>
    <w:p w14:paraId="090E8286">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1.监督单位信息：</w:t>
      </w:r>
    </w:p>
    <w:p w14:paraId="6730EA8E">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名称:</w:t>
      </w:r>
      <w:r>
        <w:rPr>
          <w:rFonts w:hint="eastAsia" w:ascii="宋体" w:hAnsi="宋体" w:cs="Times New Roman"/>
          <w:color w:val="000000" w:themeColor="text1"/>
          <w:sz w:val="24"/>
          <w:highlight w:val="none"/>
          <w:lang w:val="en-US" w:eastAsia="zh-CN"/>
          <w14:textFill>
            <w14:solidFill>
              <w14:schemeClr w14:val="tx1"/>
            </w14:solidFill>
          </w14:textFill>
        </w:rPr>
        <w:t>三门峡市陕州区财政局政府采购监督管理科</w:t>
      </w:r>
    </w:p>
    <w:p w14:paraId="32079E25">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联系电话：</w:t>
      </w:r>
      <w:r>
        <w:rPr>
          <w:rFonts w:hint="eastAsia" w:ascii="宋体" w:hAnsi="宋体" w:cs="Times New Roman"/>
          <w:color w:val="000000" w:themeColor="text1"/>
          <w:sz w:val="24"/>
          <w:highlight w:val="none"/>
          <w:lang w:eastAsia="zh-CN"/>
          <w14:textFill>
            <w14:solidFill>
              <w14:schemeClr w14:val="tx1"/>
            </w14:solidFill>
          </w14:textFill>
        </w:rPr>
        <w:t xml:space="preserve">0398-3839210 </w:t>
      </w:r>
    </w:p>
    <w:p w14:paraId="FE265313">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2.采购人信息：</w:t>
      </w:r>
    </w:p>
    <w:p w14:paraId="D59D0AC4">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名称:</w:t>
      </w:r>
      <w:r>
        <w:rPr>
          <w:rFonts w:hint="eastAsia" w:ascii="宋体" w:hAnsi="宋体" w:cs="Times New Roman"/>
          <w:color w:val="000000" w:themeColor="text1"/>
          <w:sz w:val="24"/>
          <w:highlight w:val="none"/>
          <w:lang w:eastAsia="zh-CN"/>
          <w14:textFill>
            <w14:solidFill>
              <w14:schemeClr w14:val="tx1"/>
            </w14:solidFill>
          </w14:textFill>
        </w:rPr>
        <w:t>三门峡市陕州区司法局</w:t>
      </w:r>
    </w:p>
    <w:p w14:paraId="CAC993A0">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地址：</w:t>
      </w:r>
      <w:r>
        <w:rPr>
          <w:rFonts w:hint="eastAsia" w:ascii="宋体" w:hAnsi="宋体" w:cs="Times New Roman"/>
          <w:color w:val="000000" w:themeColor="text1"/>
          <w:sz w:val="24"/>
          <w:highlight w:val="none"/>
          <w:lang w:val="en-US" w:eastAsia="zh-CN"/>
          <w14:textFill>
            <w14:solidFill>
              <w14:schemeClr w14:val="tx1"/>
            </w14:solidFill>
          </w14:textFill>
        </w:rPr>
        <w:t>三门峡市陕州区陕州大道中段</w:t>
      </w:r>
    </w:p>
    <w:p w14:paraId="A0657CB4">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联系人：</w:t>
      </w:r>
      <w:r>
        <w:rPr>
          <w:rFonts w:hint="eastAsia" w:ascii="宋体" w:hAnsi="宋体" w:cs="Times New Roman"/>
          <w:color w:val="000000" w:themeColor="text1"/>
          <w:sz w:val="24"/>
          <w:highlight w:val="none"/>
          <w:lang w:eastAsia="zh-CN"/>
          <w14:textFill>
            <w14:solidFill>
              <w14:schemeClr w14:val="tx1"/>
            </w14:solidFill>
          </w14:textFill>
        </w:rPr>
        <w:t>刘先生</w:t>
      </w:r>
    </w:p>
    <w:p w14:paraId="35DC546B">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联系方式：</w:t>
      </w:r>
      <w:r>
        <w:rPr>
          <w:rFonts w:hint="eastAsia" w:ascii="宋体" w:hAnsi="宋体" w:cs="Times New Roman"/>
          <w:color w:val="000000" w:themeColor="text1"/>
          <w:sz w:val="24"/>
          <w:highlight w:val="none"/>
          <w:lang w:eastAsia="zh-CN"/>
          <w14:textFill>
            <w14:solidFill>
              <w14:schemeClr w14:val="tx1"/>
            </w14:solidFill>
          </w14:textFill>
        </w:rPr>
        <w:t>0398-3833061</w:t>
      </w:r>
    </w:p>
    <w:p w14:paraId="79AAD157">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3.采购代理机构信息：</w:t>
      </w:r>
    </w:p>
    <w:p w14:paraId="DE0F1E4B">
      <w:pPr>
        <w:spacing w:line="360" w:lineRule="auto"/>
        <w:ind w:firstLine="484" w:firstLineChars="20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名称： </w:t>
      </w:r>
      <w:r>
        <w:rPr>
          <w:rFonts w:hint="eastAsia" w:ascii="宋体" w:hAnsi="宋体" w:cs="Times New Roman"/>
          <w:color w:val="000000" w:themeColor="text1"/>
          <w:sz w:val="24"/>
          <w:highlight w:val="none"/>
          <w:lang w:eastAsia="zh-CN"/>
          <w14:textFill>
            <w14:solidFill>
              <w14:schemeClr w14:val="tx1"/>
            </w14:solidFill>
          </w14:textFill>
        </w:rPr>
        <w:t>国咨项目管理有限公司</w:t>
      </w:r>
    </w:p>
    <w:p w14:paraId="0B9561E1">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地址:</w:t>
      </w:r>
      <w:r>
        <w:rPr>
          <w:rFonts w:hint="eastAsia" w:ascii="宋体" w:hAnsi="宋体" w:cs="Times New Roman"/>
          <w:color w:val="000000" w:themeColor="text1"/>
          <w:sz w:val="24"/>
          <w:highlight w:val="none"/>
          <w:lang w:val="zh-CN"/>
          <w14:textFill>
            <w14:solidFill>
              <w14:schemeClr w14:val="tx1"/>
            </w14:solidFill>
          </w14:textFill>
        </w:rPr>
        <w:t>河南省郑州市管城回族区正商花都港湾16#3单元2楼西户</w:t>
      </w:r>
    </w:p>
    <w:p w14:paraId="B6D3C1D2">
      <w:pPr>
        <w:spacing w:line="360" w:lineRule="auto"/>
        <w:ind w:firstLine="484" w:firstLineChars="202"/>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联系人：</w:t>
      </w:r>
      <w:r>
        <w:rPr>
          <w:rFonts w:hint="eastAsia" w:ascii="宋体" w:hAnsi="宋体" w:cs="Times New Roman"/>
          <w:color w:val="000000" w:themeColor="text1"/>
          <w:sz w:val="24"/>
          <w:highlight w:val="none"/>
          <w:lang w:eastAsia="zh-CN"/>
          <w14:textFill>
            <w14:solidFill>
              <w14:schemeClr w14:val="tx1"/>
            </w14:solidFill>
          </w14:textFill>
        </w:rPr>
        <w:t>冉女士</w:t>
      </w:r>
      <w:r>
        <w:rPr>
          <w:rFonts w:hint="eastAsia" w:ascii="宋体" w:hAnsi="宋体" w:eastAsia="宋体" w:cs="Times New Roman"/>
          <w:color w:val="000000" w:themeColor="text1"/>
          <w:sz w:val="24"/>
          <w:highlight w:val="none"/>
          <w14:textFill>
            <w14:solidFill>
              <w14:schemeClr w14:val="tx1"/>
            </w14:solidFill>
          </w14:textFill>
        </w:rPr>
        <w:t xml:space="preserve">  </w:t>
      </w:r>
    </w:p>
    <w:p w14:paraId="CBBC4A52">
      <w:pPr>
        <w:spacing w:line="360" w:lineRule="auto"/>
        <w:ind w:firstLine="484" w:firstLineChars="202"/>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联系方式：</w:t>
      </w:r>
      <w:r>
        <w:rPr>
          <w:rFonts w:hint="eastAsia" w:ascii="宋体" w:hAnsi="宋体" w:cs="Times New Roman"/>
          <w:color w:val="000000" w:themeColor="text1"/>
          <w:sz w:val="24"/>
          <w:highlight w:val="none"/>
          <w:lang w:eastAsia="zh-CN"/>
          <w14:textFill>
            <w14:solidFill>
              <w14:schemeClr w14:val="tx1"/>
            </w14:solidFill>
          </w14:textFill>
        </w:rPr>
        <w:t>0371-55376966   17613053066</w:t>
      </w:r>
    </w:p>
    <w:p w14:paraId="10487E6E">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p>
    <w:p w14:paraId="788653E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689" w:bottom="1440" w:left="1689" w:header="851" w:footer="992" w:gutter="0"/>
          <w:pgNumType w:start="1"/>
          <w:cols w:space="720" w:num="1"/>
          <w:docGrid w:type="lines" w:linePitch="381" w:charSpace="0"/>
        </w:sectPr>
      </w:pPr>
    </w:p>
    <w:p w14:paraId="AB4B32ED">
      <w:pPr>
        <w:widowControl/>
        <w:spacing w:line="360" w:lineRule="auto"/>
        <w:ind w:firstLine="2801" w:firstLineChars="900"/>
        <w:rPr>
          <w:color w:val="000000" w:themeColor="text1"/>
          <w:highlight w:val="none"/>
          <w14:textFill>
            <w14:solidFill>
              <w14:schemeClr w14:val="tx1"/>
            </w14:solidFill>
          </w14:textFill>
        </w:rPr>
      </w:pPr>
      <w:r>
        <w:rPr>
          <w:rFonts w:hint="eastAsia" w:ascii="宋体" w:hAnsi="宋体" w:cs="宋体"/>
          <w:b/>
          <w:color w:val="000000" w:themeColor="text1"/>
          <w:kern w:val="0"/>
          <w:sz w:val="31"/>
          <w:szCs w:val="31"/>
          <w:highlight w:val="none"/>
          <w14:textFill>
            <w14:solidFill>
              <w14:schemeClr w14:val="tx1"/>
            </w14:solidFill>
          </w14:textFill>
        </w:rPr>
        <w:t>第二章 投标人须知</w:t>
      </w:r>
    </w:p>
    <w:p w14:paraId="6B36EAED">
      <w:pPr>
        <w:widowControl/>
        <w:spacing w:line="360" w:lineRule="auto"/>
        <w:jc w:val="center"/>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投标人须知前附表</w:t>
      </w:r>
    </w:p>
    <w:tbl>
      <w:tblPr>
        <w:tblStyle w:val="19"/>
        <w:tblpPr w:leftFromText="180" w:rightFromText="180" w:vertAnchor="text" w:horzAnchor="page" w:tblpX="1549" w:tblpY="6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983"/>
        <w:gridCol w:w="5413"/>
      </w:tblGrid>
      <w:tr w14:paraId="780E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ADBE9AB2">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条款号 </w:t>
            </w:r>
          </w:p>
        </w:tc>
        <w:tc>
          <w:tcPr>
            <w:tcW w:w="1983" w:type="dxa"/>
          </w:tcPr>
          <w:p w14:paraId="33FC9DA7">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条 款 名 称 </w:t>
            </w:r>
          </w:p>
        </w:tc>
        <w:tc>
          <w:tcPr>
            <w:tcW w:w="5413" w:type="dxa"/>
          </w:tcPr>
          <w:p w14:paraId="8357E894">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  编 列 内 容</w:t>
            </w:r>
          </w:p>
        </w:tc>
      </w:tr>
      <w:tr w14:paraId="E35A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126" w:type="dxa"/>
          </w:tcPr>
          <w:p w14:paraId="98E1751D">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1.1.2   </w:t>
            </w:r>
          </w:p>
        </w:tc>
        <w:tc>
          <w:tcPr>
            <w:tcW w:w="1983" w:type="dxa"/>
          </w:tcPr>
          <w:p w14:paraId="D41C4E72">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采购人 </w:t>
            </w:r>
          </w:p>
        </w:tc>
        <w:tc>
          <w:tcPr>
            <w:tcW w:w="5413" w:type="dxa"/>
          </w:tcPr>
          <w:p w14:paraId="C476FCC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 标 人：</w:t>
            </w:r>
            <w:r>
              <w:rPr>
                <w:rFonts w:hint="eastAsia" w:ascii="宋体" w:hAnsi="宋体" w:cs="宋体"/>
                <w:color w:val="000000" w:themeColor="text1"/>
                <w:kern w:val="0"/>
                <w:sz w:val="24"/>
                <w:highlight w:val="none"/>
                <w:lang w:val="zh-CN"/>
                <w14:textFill>
                  <w14:solidFill>
                    <w14:schemeClr w14:val="tx1"/>
                  </w14:solidFill>
                </w14:textFill>
              </w:rPr>
              <w:t>三门峡市陕州区司法局</w:t>
            </w:r>
            <w:r>
              <w:rPr>
                <w:rFonts w:hint="eastAsia" w:ascii="宋体" w:hAnsi="宋体" w:cs="宋体"/>
                <w:color w:val="000000" w:themeColor="text1"/>
                <w:kern w:val="0"/>
                <w:sz w:val="24"/>
                <w:highlight w:val="none"/>
                <w14:textFill>
                  <w14:solidFill>
                    <w14:schemeClr w14:val="tx1"/>
                  </w14:solidFill>
                </w14:textFill>
              </w:rPr>
              <w:t xml:space="preserve"> </w:t>
            </w:r>
          </w:p>
          <w:p w14:paraId="08355712">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刘先生</w:t>
            </w:r>
          </w:p>
          <w:p w14:paraId="53652369">
            <w:pPr>
              <w:spacing w:line="360" w:lineRule="auto"/>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lang w:eastAsia="zh-CN"/>
                <w14:textFill>
                  <w14:solidFill>
                    <w14:schemeClr w14:val="tx1"/>
                  </w14:solidFill>
                </w14:textFill>
              </w:rPr>
              <w:t>0398-3833061</w:t>
            </w:r>
            <w:r>
              <w:rPr>
                <w:rFonts w:hint="eastAsia" w:ascii="宋体" w:hAnsi="宋体" w:cs="宋体"/>
                <w:bCs/>
                <w:color w:val="000000" w:themeColor="text1"/>
                <w:kern w:val="0"/>
                <w:sz w:val="24"/>
                <w:highlight w:val="none"/>
                <w14:textFill>
                  <w14:solidFill>
                    <w14:schemeClr w14:val="tx1"/>
                  </w14:solidFill>
                </w14:textFill>
              </w:rPr>
              <w:t xml:space="preserve"> </w:t>
            </w:r>
          </w:p>
        </w:tc>
      </w:tr>
      <w:tr w14:paraId="313C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126" w:type="dxa"/>
          </w:tcPr>
          <w:p w14:paraId="DEB7ED05">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1.1.3</w:t>
            </w:r>
          </w:p>
        </w:tc>
        <w:tc>
          <w:tcPr>
            <w:tcW w:w="1983" w:type="dxa"/>
          </w:tcPr>
          <w:p w14:paraId="D1902E8A">
            <w:pPr>
              <w:widowControl/>
              <w:spacing w:line="360" w:lineRule="auto"/>
              <w:ind w:firstLine="3600" w:firstLineChars="1500"/>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p>
          <w:p w14:paraId="57B3C2EF">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采购代理机构 </w:t>
            </w:r>
          </w:p>
        </w:tc>
        <w:tc>
          <w:tcPr>
            <w:tcW w:w="5413" w:type="dxa"/>
          </w:tcPr>
          <w:p w14:paraId="71657C1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招标代理：</w:t>
            </w:r>
            <w:r>
              <w:rPr>
                <w:rFonts w:hint="eastAsia" w:ascii="宋体" w:hAnsi="宋体" w:cs="宋体"/>
                <w:color w:val="000000" w:themeColor="text1"/>
                <w:kern w:val="0"/>
                <w:sz w:val="24"/>
                <w:highlight w:val="none"/>
                <w:lang w:eastAsia="zh-CN"/>
                <w14:textFill>
                  <w14:solidFill>
                    <w14:schemeClr w14:val="tx1"/>
                  </w14:solidFill>
                </w14:textFill>
              </w:rPr>
              <w:t>国咨项目管理有限公司</w:t>
            </w:r>
            <w:r>
              <w:rPr>
                <w:rFonts w:hint="eastAsia" w:ascii="宋体" w:hAnsi="宋体" w:cs="宋体"/>
                <w:color w:val="000000" w:themeColor="text1"/>
                <w:kern w:val="0"/>
                <w:sz w:val="24"/>
                <w:highlight w:val="none"/>
                <w14:textFill>
                  <w14:solidFill>
                    <w14:schemeClr w14:val="tx1"/>
                  </w14:solidFill>
                </w14:textFill>
              </w:rPr>
              <w:t xml:space="preserve"> </w:t>
            </w:r>
          </w:p>
          <w:p w14:paraId="7929D205">
            <w:pPr>
              <w:widowControl/>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kern w:val="0"/>
                <w:sz w:val="24"/>
                <w:highlight w:val="none"/>
                <w:lang w:eastAsia="zh-CN"/>
                <w14:textFill>
                  <w14:solidFill>
                    <w14:schemeClr w14:val="tx1"/>
                  </w14:solidFill>
                </w14:textFill>
              </w:rPr>
              <w:t>冉女士</w:t>
            </w:r>
            <w:r>
              <w:rPr>
                <w:rFonts w:hint="eastAsia" w:ascii="宋体" w:hAnsi="宋体" w:cs="宋体"/>
                <w:color w:val="000000" w:themeColor="text1"/>
                <w:kern w:val="0"/>
                <w:sz w:val="24"/>
                <w:highlight w:val="none"/>
                <w14:textFill>
                  <w14:solidFill>
                    <w14:schemeClr w14:val="tx1"/>
                  </w14:solidFill>
                </w14:textFill>
              </w:rPr>
              <w:t xml:space="preserve"> </w:t>
            </w:r>
          </w:p>
          <w:p w14:paraId="82BDC4E8">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电话：</w:t>
            </w:r>
            <w:r>
              <w:rPr>
                <w:rFonts w:hint="eastAsia" w:ascii="宋体" w:hAnsi="宋体" w:cs="宋体"/>
                <w:color w:val="000000" w:themeColor="text1"/>
                <w:kern w:val="0"/>
                <w:sz w:val="24"/>
                <w:highlight w:val="none"/>
                <w:lang w:eastAsia="zh-CN"/>
                <w14:textFill>
                  <w14:solidFill>
                    <w14:schemeClr w14:val="tx1"/>
                  </w14:solidFill>
                </w14:textFill>
              </w:rPr>
              <w:t>0371-55376966   17613053066</w:t>
            </w:r>
            <w:r>
              <w:rPr>
                <w:rFonts w:hint="eastAsia" w:ascii="宋体" w:hAnsi="宋体" w:cs="宋体"/>
                <w:color w:val="000000" w:themeColor="text1"/>
                <w:kern w:val="0"/>
                <w:sz w:val="24"/>
                <w:highlight w:val="none"/>
                <w14:textFill>
                  <w14:solidFill>
                    <w14:schemeClr w14:val="tx1"/>
                  </w14:solidFill>
                </w14:textFill>
              </w:rPr>
              <w:t xml:space="preserve"> </w:t>
            </w:r>
          </w:p>
        </w:tc>
      </w:tr>
      <w:tr w14:paraId="CFE8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26" w:type="dxa"/>
          </w:tcPr>
          <w:p w14:paraId="DF405082">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1.1.4 </w:t>
            </w:r>
          </w:p>
        </w:tc>
        <w:tc>
          <w:tcPr>
            <w:tcW w:w="1983" w:type="dxa"/>
          </w:tcPr>
          <w:p w14:paraId="FBDD9B27">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5413" w:type="dxa"/>
            <w:vAlign w:val="center"/>
          </w:tcPr>
          <w:p w14:paraId="7F8789F7">
            <w:pPr>
              <w:widowControl/>
              <w:spacing w:line="360" w:lineRule="auto"/>
              <w:jc w:val="left"/>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三门峡市陕州区党政机关法律顾问服务项目（二次）</w:t>
            </w:r>
          </w:p>
        </w:tc>
      </w:tr>
      <w:tr w14:paraId="D215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tcPr>
          <w:p w14:paraId="BE71FA5F">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1.1.5</w:t>
            </w:r>
          </w:p>
        </w:tc>
        <w:tc>
          <w:tcPr>
            <w:tcW w:w="1983" w:type="dxa"/>
          </w:tcPr>
          <w:p w14:paraId="7B0E198F">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服务期限</w:t>
            </w:r>
          </w:p>
        </w:tc>
        <w:tc>
          <w:tcPr>
            <w:tcW w:w="5413" w:type="dxa"/>
            <w:vAlign w:val="center"/>
          </w:tcPr>
          <w:p w14:paraId="C4E0ABCA">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合同签订之日起三年</w:t>
            </w:r>
          </w:p>
        </w:tc>
      </w:tr>
      <w:tr w14:paraId="0FD0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26" w:type="dxa"/>
          </w:tcPr>
          <w:p w14:paraId="4BF6EA7B">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1.2.1</w:t>
            </w:r>
          </w:p>
        </w:tc>
        <w:tc>
          <w:tcPr>
            <w:tcW w:w="1983" w:type="dxa"/>
          </w:tcPr>
          <w:p w14:paraId="783CBF12">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资金来源</w:t>
            </w:r>
          </w:p>
        </w:tc>
        <w:tc>
          <w:tcPr>
            <w:tcW w:w="5413" w:type="dxa"/>
            <w:vAlign w:val="center"/>
          </w:tcPr>
          <w:p w14:paraId="C68AD8AA">
            <w:pPr>
              <w:widowControl/>
              <w:spacing w:line="360" w:lineRule="auto"/>
              <w:jc w:val="left"/>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财政资金</w:t>
            </w:r>
          </w:p>
        </w:tc>
      </w:tr>
      <w:tr w14:paraId="D383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26" w:type="dxa"/>
          </w:tcPr>
          <w:p w14:paraId="22AC903D">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1.2.3 </w:t>
            </w:r>
          </w:p>
        </w:tc>
        <w:tc>
          <w:tcPr>
            <w:tcW w:w="1983" w:type="dxa"/>
          </w:tcPr>
          <w:p w14:paraId="0C914B6B">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资金落实情况 </w:t>
            </w:r>
          </w:p>
        </w:tc>
        <w:tc>
          <w:tcPr>
            <w:tcW w:w="5413" w:type="dxa"/>
            <w:vAlign w:val="center"/>
          </w:tcPr>
          <w:p w14:paraId="38588F30">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已落实</w:t>
            </w:r>
          </w:p>
        </w:tc>
      </w:tr>
      <w:tr w14:paraId="5881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26" w:type="dxa"/>
          </w:tcPr>
          <w:p w14:paraId="64B4B3F0">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1.3.1 </w:t>
            </w:r>
          </w:p>
        </w:tc>
        <w:tc>
          <w:tcPr>
            <w:tcW w:w="1983" w:type="dxa"/>
          </w:tcPr>
          <w:p w14:paraId="E5442F39">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项目概况</w:t>
            </w:r>
          </w:p>
        </w:tc>
        <w:tc>
          <w:tcPr>
            <w:tcW w:w="5413" w:type="dxa"/>
            <w:vAlign w:val="center"/>
          </w:tcPr>
          <w:p w14:paraId="F1B5F7D9">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szCs w:val="20"/>
                <w:highlight w:val="none"/>
                <w14:textFill>
                  <w14:solidFill>
                    <w14:schemeClr w14:val="tx1"/>
                  </w14:solidFill>
                </w14:textFill>
              </w:rPr>
              <w:t>本项目主要内容为陕州区司法局拟为56家党政机关统一聘请法律顾问，聘期三年(具体内容及要求详见招标文件）</w:t>
            </w:r>
          </w:p>
        </w:tc>
      </w:tr>
      <w:tr w14:paraId="ECA9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126" w:type="dxa"/>
          </w:tcPr>
          <w:p w14:paraId="B86B871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1.4.1 </w:t>
            </w:r>
          </w:p>
        </w:tc>
        <w:tc>
          <w:tcPr>
            <w:tcW w:w="1983" w:type="dxa"/>
          </w:tcPr>
          <w:p w14:paraId="35B1921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投标人资格要求</w:t>
            </w:r>
          </w:p>
        </w:tc>
        <w:tc>
          <w:tcPr>
            <w:tcW w:w="5413" w:type="dxa"/>
            <w:vAlign w:val="top"/>
          </w:tcPr>
          <w:p w14:paraId="75DFAB2A">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满足《中华人民共和国政府采购法》第二十二条规定（提供承诺函）；</w:t>
            </w:r>
          </w:p>
          <w:p w14:paraId="5C7D72D4">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、本项目的特定资格要求</w:t>
            </w:r>
          </w:p>
          <w:p w14:paraId="38CE95DA">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.1响应人</w:t>
            </w:r>
            <w:r>
              <w:rPr>
                <w:rFonts w:hint="eastAsia" w:ascii="宋体" w:hAnsi="宋体" w:eastAsia="宋体" w:cs="Times New Roman"/>
                <w:color w:val="000000" w:themeColor="text1"/>
                <w:sz w:val="24"/>
                <w:szCs w:val="24"/>
                <w14:textFill>
                  <w14:solidFill>
                    <w14:schemeClr w14:val="tx1"/>
                  </w14:solidFill>
                </w14:textFill>
              </w:rPr>
              <w:t>具有合法有效律师事务所执业许可证</w:t>
            </w:r>
            <w:r>
              <w:rPr>
                <w:rFonts w:hint="eastAsia" w:ascii="宋体" w:hAnsi="宋体" w:cs="Times New Roman"/>
                <w:color w:val="000000" w:themeColor="text1"/>
                <w:sz w:val="24"/>
                <w:szCs w:val="24"/>
                <w:lang w:val="en-US" w:eastAsia="zh-CN"/>
                <w14:textFill>
                  <w14:solidFill>
                    <w14:schemeClr w14:val="tx1"/>
                  </w14:solidFill>
                </w14:textFill>
              </w:rPr>
              <w:t>且执业律师不少于16名，同时执业年限超过5年的执业律师不少于12名</w:t>
            </w:r>
            <w:r>
              <w:rPr>
                <w:rFonts w:hint="eastAsia" w:ascii="宋体" w:hAnsi="宋体" w:eastAsia="宋体" w:cs="Times New Roman"/>
                <w:color w:val="000000" w:themeColor="text1"/>
                <w:sz w:val="24"/>
                <w:szCs w:val="24"/>
                <w14:textFill>
                  <w14:solidFill>
                    <w14:schemeClr w14:val="tx1"/>
                  </w14:solidFill>
                </w14:textFill>
              </w:rPr>
              <w:t>；</w:t>
            </w:r>
          </w:p>
          <w:p w14:paraId="2FCE2225">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.2响应人</w:t>
            </w:r>
            <w:r>
              <w:rPr>
                <w:rFonts w:hint="eastAsia" w:ascii="宋体" w:hAnsi="宋体" w:eastAsia="宋体" w:cs="Times New Roman"/>
                <w:color w:val="000000" w:themeColor="text1"/>
                <w:sz w:val="24"/>
                <w:szCs w:val="24"/>
                <w14:textFill>
                  <w14:solidFill>
                    <w14:schemeClr w14:val="tx1"/>
                  </w14:solidFill>
                </w14:textFill>
              </w:rPr>
              <w:t>拟派本项目负责人（主办律师）政治素质高，拥护党的理论和路线方针政策；具有律师执业证书且执业经历不低于</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0年（以律师执业证书上执业证号显示的年份为起算标准）；</w:t>
            </w:r>
          </w:p>
          <w:p w14:paraId="769AFC76">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.3响应人近五年（20</w:t>
            </w:r>
            <w:r>
              <w:rPr>
                <w:rFonts w:hint="eastAsia" w:ascii="宋体" w:hAnsi="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年1月1日以来）内未受过司法行政机关的行政处罚及律师协会的行业处分（书面承诺格式自拟）；</w:t>
            </w:r>
          </w:p>
          <w:p w14:paraId="0ECA1D3F">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2.4</w:t>
            </w:r>
            <w:r>
              <w:rPr>
                <w:rFonts w:hint="eastAsia" w:ascii="宋体" w:hAnsi="宋体" w:cs="宋体"/>
                <w:bCs/>
                <w:color w:val="000000" w:themeColor="text1"/>
                <w:kern w:val="0"/>
                <w:sz w:val="24"/>
                <w:szCs w:val="20"/>
                <w:highlight w:val="none"/>
                <w14:textFill>
                  <w14:solidFill>
                    <w14:schemeClr w14:val="tx1"/>
                  </w14:solidFill>
                </w14:textFill>
              </w:rPr>
              <w:t>、提供本单位无商业贿赂和无不正当竞争行为承诺书；</w:t>
            </w:r>
          </w:p>
          <w:p w14:paraId="35465AC5">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2.5</w:t>
            </w:r>
            <w:r>
              <w:rPr>
                <w:rFonts w:hint="eastAsia" w:ascii="宋体" w:hAnsi="宋体" w:cs="宋体"/>
                <w:bCs/>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截图要显示查询时间，查询时间自公告发布之日起至</w:t>
            </w:r>
            <w:r>
              <w:rPr>
                <w:rFonts w:hint="eastAsia" w:ascii="宋体" w:hAnsi="宋体"/>
                <w:color w:val="000000" w:themeColor="text1"/>
                <w:sz w:val="24"/>
                <w:highlight w:val="none"/>
                <w:lang w:eastAsia="zh-CN"/>
                <w14:textFill>
                  <w14:solidFill>
                    <w14:schemeClr w14:val="tx1"/>
                  </w14:solidFill>
                </w14:textFill>
              </w:rPr>
              <w:t>投标截止时间</w:t>
            </w:r>
            <w:r>
              <w:rPr>
                <w:rFonts w:hint="eastAsia" w:ascii="宋体" w:hAnsi="宋体"/>
                <w:color w:val="000000" w:themeColor="text1"/>
                <w:sz w:val="24"/>
                <w:highlight w:val="none"/>
                <w14:textFill>
                  <w14:solidFill>
                    <w14:schemeClr w14:val="tx1"/>
                  </w14:solidFill>
                </w14:textFill>
              </w:rPr>
              <w:t>止）</w:t>
            </w:r>
            <w:r>
              <w:rPr>
                <w:rFonts w:hint="eastAsia" w:ascii="宋体" w:hAnsi="宋体" w:cs="宋体"/>
                <w:bCs/>
                <w:color w:val="000000" w:themeColor="text1"/>
                <w:kern w:val="0"/>
                <w:sz w:val="24"/>
                <w:szCs w:val="20"/>
                <w:highlight w:val="none"/>
                <w14:textFill>
                  <w14:solidFill>
                    <w14:schemeClr w14:val="tx1"/>
                  </w14:solidFill>
                </w14:textFill>
              </w:rPr>
              <w:t>；</w:t>
            </w:r>
          </w:p>
          <w:p w14:paraId="41CAFC5D">
            <w:pPr>
              <w:widowControl/>
              <w:spacing w:line="360" w:lineRule="auto"/>
              <w:ind w:firstLine="480" w:firstLineChars="200"/>
              <w:jc w:val="lef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2.6</w:t>
            </w:r>
            <w:r>
              <w:rPr>
                <w:rFonts w:hint="eastAsia" w:ascii="宋体" w:hAnsi="宋体" w:cs="宋体"/>
                <w:bCs/>
                <w:color w:val="000000" w:themeColor="text1"/>
                <w:kern w:val="0"/>
                <w:sz w:val="24"/>
                <w:szCs w:val="20"/>
                <w:highlight w:val="none"/>
                <w14:textFill>
                  <w14:solidFill>
                    <w14:schemeClr w14:val="tx1"/>
                  </w14:solidFill>
                </w14:textFill>
              </w:rPr>
              <w:t>、单位负责人为同一人或者存在直接控股、管理关系的不同投标人，不得参加同一合同项下的采购活动；（提供《国家企业信用信息公示系统》查询企业股东等信息或声明函）；</w:t>
            </w:r>
          </w:p>
        </w:tc>
      </w:tr>
      <w:tr w14:paraId="282B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26" w:type="dxa"/>
          </w:tcPr>
          <w:p w14:paraId="5C73888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1.9.1 </w:t>
            </w:r>
          </w:p>
        </w:tc>
        <w:tc>
          <w:tcPr>
            <w:tcW w:w="1983" w:type="dxa"/>
          </w:tcPr>
          <w:p w14:paraId="458CBCB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踏勘现场 </w:t>
            </w:r>
          </w:p>
        </w:tc>
        <w:tc>
          <w:tcPr>
            <w:tcW w:w="5413" w:type="dxa"/>
          </w:tcPr>
          <w:p w14:paraId="408A29F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不组织。</w:t>
            </w:r>
          </w:p>
        </w:tc>
      </w:tr>
      <w:tr w14:paraId="2AF5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26" w:type="dxa"/>
          </w:tcPr>
          <w:p w14:paraId="CF448D5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1.10.1</w:t>
            </w:r>
          </w:p>
        </w:tc>
        <w:tc>
          <w:tcPr>
            <w:tcW w:w="1983" w:type="dxa"/>
          </w:tcPr>
          <w:p w14:paraId="7B4B01FA">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投标预备会</w:t>
            </w:r>
          </w:p>
        </w:tc>
        <w:tc>
          <w:tcPr>
            <w:tcW w:w="5413" w:type="dxa"/>
          </w:tcPr>
          <w:p w14:paraId="97C668F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不召开。</w:t>
            </w:r>
          </w:p>
        </w:tc>
      </w:tr>
      <w:tr w14:paraId="2BF7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26" w:type="dxa"/>
          </w:tcPr>
          <w:p w14:paraId="0E46E66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1.10.2 </w:t>
            </w:r>
          </w:p>
        </w:tc>
        <w:tc>
          <w:tcPr>
            <w:tcW w:w="1983" w:type="dxa"/>
          </w:tcPr>
          <w:p w14:paraId="1615600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投标人提出问题的截止时间 </w:t>
            </w:r>
          </w:p>
        </w:tc>
        <w:tc>
          <w:tcPr>
            <w:tcW w:w="5413" w:type="dxa"/>
          </w:tcPr>
          <w:p w14:paraId="B471C7C2">
            <w:pPr>
              <w:widowControl/>
              <w:spacing w:line="360" w:lineRule="auto"/>
              <w:jc w:val="left"/>
              <w:rPr>
                <w:rFonts w:hint="eastAsia"/>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投标截止时间前 15日 </w:t>
            </w:r>
          </w:p>
        </w:tc>
      </w:tr>
      <w:tr w14:paraId="82B6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26" w:type="dxa"/>
          </w:tcPr>
          <w:p w14:paraId="C1B7F87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1.10.3</w:t>
            </w:r>
          </w:p>
        </w:tc>
        <w:tc>
          <w:tcPr>
            <w:tcW w:w="1983" w:type="dxa"/>
          </w:tcPr>
          <w:p w14:paraId="B6DA710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采购人书面澄清的时间</w:t>
            </w:r>
          </w:p>
        </w:tc>
        <w:tc>
          <w:tcPr>
            <w:tcW w:w="5413" w:type="dxa"/>
          </w:tcPr>
          <w:p w14:paraId="CCF991E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投标截止时间前 15 日</w:t>
            </w:r>
          </w:p>
        </w:tc>
      </w:tr>
      <w:tr w14:paraId="A64D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26" w:type="dxa"/>
          </w:tcPr>
          <w:p w14:paraId="7388897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1.11</w:t>
            </w:r>
          </w:p>
        </w:tc>
        <w:tc>
          <w:tcPr>
            <w:tcW w:w="1983" w:type="dxa"/>
          </w:tcPr>
          <w:p w14:paraId="D3A031E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分包 </w:t>
            </w:r>
          </w:p>
        </w:tc>
        <w:tc>
          <w:tcPr>
            <w:tcW w:w="5413" w:type="dxa"/>
          </w:tcPr>
          <w:p w14:paraId="A0F3EE4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不允许 </w:t>
            </w:r>
          </w:p>
        </w:tc>
      </w:tr>
      <w:tr w14:paraId="FD0E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26" w:type="dxa"/>
          </w:tcPr>
          <w:p w14:paraId="F664D91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1.12 </w:t>
            </w:r>
          </w:p>
        </w:tc>
        <w:tc>
          <w:tcPr>
            <w:tcW w:w="1983" w:type="dxa"/>
          </w:tcPr>
          <w:p w14:paraId="E077F6A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偏离 </w:t>
            </w:r>
          </w:p>
        </w:tc>
        <w:tc>
          <w:tcPr>
            <w:tcW w:w="5413" w:type="dxa"/>
          </w:tcPr>
          <w:p w14:paraId="BAED72D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不允许</w:t>
            </w:r>
          </w:p>
        </w:tc>
      </w:tr>
      <w:tr w14:paraId="7CB8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26" w:type="dxa"/>
          </w:tcPr>
          <w:p w14:paraId="44FB112A">
            <w:pPr>
              <w:widowControl/>
              <w:spacing w:line="360"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1.13</w:t>
            </w:r>
          </w:p>
        </w:tc>
        <w:tc>
          <w:tcPr>
            <w:tcW w:w="1983" w:type="dxa"/>
            <w:vAlign w:val="center"/>
          </w:tcPr>
          <w:p w14:paraId="43FAD922">
            <w:p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cs="宋体"/>
                <w:color w:val="000000" w:themeColor="text1"/>
                <w:sz w:val="24"/>
                <w:szCs w:val="24"/>
                <w:highlight w:val="none"/>
                <w:lang w:eastAsia="zh-CN"/>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专门面向中小企业采购</w:t>
            </w:r>
          </w:p>
        </w:tc>
        <w:tc>
          <w:tcPr>
            <w:tcW w:w="5413" w:type="dxa"/>
            <w:vAlign w:val="center"/>
          </w:tcPr>
          <w:p w14:paraId="671A41D5">
            <w:pPr>
              <w:pStyle w:val="18"/>
              <w:spacing w:line="360" w:lineRule="auto"/>
              <w:ind w:left="0" w:leftChars="0"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cs="宋体"/>
                <w:b/>
                <w:bCs w:val="0"/>
                <w:color w:val="000000" w:themeColor="text1"/>
                <w:sz w:val="24"/>
                <w:szCs w:val="24"/>
                <w:highlight w:val="none"/>
                <w:lang w:val="en-US" w:eastAsia="zh-CN"/>
                <w14:textFill>
                  <w14:solidFill>
                    <w14:schemeClr w14:val="tx1"/>
                  </w14:solidFill>
                </w14:textFill>
              </w:rPr>
              <w:t>否</w:t>
            </w:r>
          </w:p>
        </w:tc>
      </w:tr>
      <w:tr w14:paraId="0D3F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26" w:type="dxa"/>
          </w:tcPr>
          <w:p w14:paraId="70E24E2F">
            <w:pPr>
              <w:widowControl/>
              <w:spacing w:line="360" w:lineRule="auto"/>
              <w:jc w:val="left"/>
              <w:rPr>
                <w:rFonts w:hint="default"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.14</w:t>
            </w:r>
          </w:p>
        </w:tc>
        <w:tc>
          <w:tcPr>
            <w:tcW w:w="1983" w:type="dxa"/>
            <w:vAlign w:val="center"/>
          </w:tcPr>
          <w:p w14:paraId="21A0B920">
            <w:pPr>
              <w:spacing w:line="40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代理服务费</w:t>
            </w:r>
          </w:p>
        </w:tc>
        <w:tc>
          <w:tcPr>
            <w:tcW w:w="5413" w:type="dxa"/>
            <w:vAlign w:val="center"/>
          </w:tcPr>
          <w:p w14:paraId="41E95F61">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后</w:t>
            </w:r>
            <w:r>
              <w:rPr>
                <w:rFonts w:hint="eastAsia" w:ascii="宋体" w:hAnsi="宋体" w:eastAsia="宋体" w:cs="宋体"/>
                <w:color w:val="000000" w:themeColor="text1"/>
                <w:sz w:val="24"/>
                <w:szCs w:val="24"/>
                <w:highlight w:val="none"/>
                <w:lang w:eastAsia="zh-CN"/>
                <w14:textFill>
                  <w14:solidFill>
                    <w14:schemeClr w14:val="tx1"/>
                  </w14:solidFill>
                </w14:textFill>
              </w:rPr>
              <w:t>收费标准按照河南省招投标协会《河南省招标代理服务收费指导意见》的通知（豫招办[2023]002号）规定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收费标准收取，由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lang w:eastAsia="zh-CN"/>
                <w14:textFill>
                  <w14:solidFill>
                    <w14:schemeClr w14:val="tx1"/>
                  </w14:solidFill>
                </w14:textFill>
              </w:rPr>
              <w:t>单位支付。</w:t>
            </w:r>
          </w:p>
          <w:p w14:paraId="6D54935D">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2.代理服务费的交纳方式</w:t>
            </w:r>
          </w:p>
          <w:p w14:paraId="19FB55E7">
            <w:pPr>
              <w:widowControl/>
              <w:spacing w:line="360" w:lineRule="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人在领取</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通知书前，按规定的标准一次性向代理机构缴纳代理服务费，可用现</w:t>
            </w:r>
            <w:r>
              <w:rPr>
                <w:rFonts w:hint="eastAsia" w:ascii="宋体" w:hAnsi="宋体" w:eastAsia="宋体" w:cs="宋体"/>
                <w:color w:val="000000" w:themeColor="text1"/>
                <w:sz w:val="24"/>
                <w:szCs w:val="24"/>
                <w:highlight w:val="none"/>
                <w:lang w:val="en-US" w:eastAsia="zh-CN"/>
                <w14:textFill>
                  <w14:solidFill>
                    <w14:schemeClr w14:val="tx1"/>
                  </w14:solidFill>
                </w14:textFill>
              </w:rPr>
              <w:t>金</w:t>
            </w:r>
            <w:r>
              <w:rPr>
                <w:rFonts w:hint="eastAsia" w:ascii="宋体" w:hAnsi="宋体" w:eastAsia="宋体" w:cs="宋体"/>
                <w:color w:val="000000" w:themeColor="text1"/>
                <w:sz w:val="24"/>
                <w:szCs w:val="24"/>
                <w:highlight w:val="none"/>
                <w14:textFill>
                  <w14:solidFill>
                    <w14:schemeClr w14:val="tx1"/>
                  </w14:solidFill>
                </w14:textFill>
              </w:rPr>
              <w:t>、转账、支票、汇票、电汇或商定的其他付款方式。</w:t>
            </w:r>
          </w:p>
        </w:tc>
      </w:tr>
      <w:tr w14:paraId="46E9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26" w:type="dxa"/>
          </w:tcPr>
          <w:p w14:paraId="7C6624D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w:t>
            </w:r>
          </w:p>
        </w:tc>
        <w:tc>
          <w:tcPr>
            <w:tcW w:w="1983" w:type="dxa"/>
          </w:tcPr>
          <w:p w14:paraId="0FC017C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构成招标文件的其他材料</w:t>
            </w:r>
          </w:p>
        </w:tc>
        <w:tc>
          <w:tcPr>
            <w:tcW w:w="5413" w:type="dxa"/>
          </w:tcPr>
          <w:p w14:paraId="5D968F7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修改、补充文件；答疑纪要；</w:t>
            </w:r>
          </w:p>
        </w:tc>
      </w:tr>
      <w:tr w14:paraId="A0A8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6" w:type="dxa"/>
          </w:tcPr>
          <w:p w14:paraId="D10798C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2.2.1 </w:t>
            </w:r>
          </w:p>
        </w:tc>
        <w:tc>
          <w:tcPr>
            <w:tcW w:w="1983" w:type="dxa"/>
          </w:tcPr>
          <w:p w14:paraId="32C28EF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投标截止时间 </w:t>
            </w:r>
          </w:p>
        </w:tc>
        <w:tc>
          <w:tcPr>
            <w:tcW w:w="5413" w:type="dxa"/>
          </w:tcPr>
          <w:p w14:paraId="11EE278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2025年6月11日08时30分</w:t>
            </w:r>
          </w:p>
        </w:tc>
      </w:tr>
      <w:tr w14:paraId="962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26" w:type="dxa"/>
          </w:tcPr>
          <w:p w14:paraId="0AA0274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2.2.2 </w:t>
            </w:r>
          </w:p>
        </w:tc>
        <w:tc>
          <w:tcPr>
            <w:tcW w:w="1983" w:type="dxa"/>
          </w:tcPr>
          <w:p w14:paraId="8E16B77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投标人确认收到招标文件澄清的时间 </w:t>
            </w:r>
          </w:p>
        </w:tc>
        <w:tc>
          <w:tcPr>
            <w:tcW w:w="5413" w:type="dxa"/>
          </w:tcPr>
          <w:p w14:paraId="CD8CCD9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投标人收到招标文件澄清文件后 24 小时内 </w:t>
            </w:r>
          </w:p>
          <w:p w14:paraId="19C4021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r>
      <w:tr w14:paraId="EC6A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26" w:type="dxa"/>
          </w:tcPr>
          <w:p w14:paraId="6B24B45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2.3.3 </w:t>
            </w:r>
          </w:p>
        </w:tc>
        <w:tc>
          <w:tcPr>
            <w:tcW w:w="1983" w:type="dxa"/>
          </w:tcPr>
          <w:p w14:paraId="C517494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投标人确认收到招标文件修改的时间 </w:t>
            </w:r>
          </w:p>
        </w:tc>
        <w:tc>
          <w:tcPr>
            <w:tcW w:w="5413" w:type="dxa"/>
          </w:tcPr>
          <w:p w14:paraId="D3D0E28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投标人收到招标文件澄清文件后 24 小时内 </w:t>
            </w:r>
          </w:p>
        </w:tc>
      </w:tr>
      <w:tr w14:paraId="77A7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6" w:type="dxa"/>
          </w:tcPr>
          <w:p w14:paraId="679C9E9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3.1.1 </w:t>
            </w:r>
          </w:p>
        </w:tc>
        <w:tc>
          <w:tcPr>
            <w:tcW w:w="1983" w:type="dxa"/>
          </w:tcPr>
          <w:p w14:paraId="366A385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构成投标文件的其他材料 </w:t>
            </w:r>
          </w:p>
        </w:tc>
        <w:tc>
          <w:tcPr>
            <w:tcW w:w="5413" w:type="dxa"/>
          </w:tcPr>
          <w:p w14:paraId="5A92D670">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w:t>
            </w:r>
          </w:p>
        </w:tc>
      </w:tr>
      <w:tr w14:paraId="BB2F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6" w:type="dxa"/>
          </w:tcPr>
          <w:p w14:paraId="B1683D5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3.2 </w:t>
            </w:r>
          </w:p>
        </w:tc>
        <w:tc>
          <w:tcPr>
            <w:tcW w:w="1983" w:type="dxa"/>
          </w:tcPr>
          <w:p w14:paraId="2453C38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w:t>
            </w:r>
          </w:p>
        </w:tc>
        <w:tc>
          <w:tcPr>
            <w:tcW w:w="5413" w:type="dxa"/>
          </w:tcPr>
          <w:p w14:paraId="792150D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不得超出招标控制价，超出按无效标处理</w:t>
            </w:r>
          </w:p>
        </w:tc>
      </w:tr>
      <w:tr w14:paraId="15E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26" w:type="dxa"/>
          </w:tcPr>
          <w:p w14:paraId="E72068A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3.3.1 </w:t>
            </w:r>
          </w:p>
        </w:tc>
        <w:tc>
          <w:tcPr>
            <w:tcW w:w="1983" w:type="dxa"/>
          </w:tcPr>
          <w:p w14:paraId="1782596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投标有效期 </w:t>
            </w:r>
          </w:p>
        </w:tc>
        <w:tc>
          <w:tcPr>
            <w:tcW w:w="5413" w:type="dxa"/>
          </w:tcPr>
          <w:p w14:paraId="6BB5747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投标截止之日起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日历天；</w:t>
            </w:r>
          </w:p>
        </w:tc>
      </w:tr>
      <w:tr w14:paraId="1126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126" w:type="dxa"/>
          </w:tcPr>
          <w:p w14:paraId="21B64FD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3.4.1 </w:t>
            </w:r>
          </w:p>
        </w:tc>
        <w:tc>
          <w:tcPr>
            <w:tcW w:w="1983" w:type="dxa"/>
          </w:tcPr>
          <w:p w14:paraId="99FBDBD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投标保证金 </w:t>
            </w:r>
          </w:p>
        </w:tc>
        <w:tc>
          <w:tcPr>
            <w:tcW w:w="5413" w:type="dxa"/>
          </w:tcPr>
          <w:p w14:paraId="E2E61A9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根据《河南省财政厅关于优化政府采购营商环境有关问题的通知》（豫财购【2019】4号）第6条的规定，投标保证金不再收取。</w:t>
            </w:r>
          </w:p>
        </w:tc>
      </w:tr>
      <w:tr w14:paraId="6D54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tcPr>
          <w:p w14:paraId="FE907BC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3.6 </w:t>
            </w:r>
          </w:p>
        </w:tc>
        <w:tc>
          <w:tcPr>
            <w:tcW w:w="1983" w:type="dxa"/>
          </w:tcPr>
          <w:p w14:paraId="0EC5B57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是否允许递交备选投标方案  </w:t>
            </w:r>
          </w:p>
        </w:tc>
        <w:tc>
          <w:tcPr>
            <w:tcW w:w="5413" w:type="dxa"/>
          </w:tcPr>
          <w:p w14:paraId="D5EA3F3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不允许</w:t>
            </w:r>
          </w:p>
        </w:tc>
      </w:tr>
      <w:tr w14:paraId="5726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26" w:type="dxa"/>
          </w:tcPr>
          <w:p w14:paraId="4A16168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3.7.3 </w:t>
            </w:r>
          </w:p>
        </w:tc>
        <w:tc>
          <w:tcPr>
            <w:tcW w:w="1983" w:type="dxa"/>
          </w:tcPr>
          <w:p w14:paraId="60FDE202">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签字或盖章要求</w:t>
            </w:r>
          </w:p>
        </w:tc>
        <w:tc>
          <w:tcPr>
            <w:tcW w:w="5413" w:type="dxa"/>
          </w:tcPr>
          <w:p w14:paraId="183A84A4">
            <w:pPr>
              <w:pStyle w:val="42"/>
              <w:spacing w:before="80" w:line="360" w:lineRule="auto"/>
              <w:ind w:right="9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color w:val="000000" w:themeColor="text1"/>
                <w:spacing w:val="-11"/>
                <w:sz w:val="24"/>
                <w:highlight w:val="none"/>
                <w14:textFill>
                  <w14:solidFill>
                    <w14:schemeClr w14:val="tx1"/>
                  </w14:solidFill>
                </w14:textFill>
              </w:rPr>
              <w:t>、投标人在生成电子化投标文件后，应对电子化投</w:t>
            </w:r>
            <w:r>
              <w:rPr>
                <w:color w:val="000000" w:themeColor="text1"/>
                <w:sz w:val="24"/>
                <w:highlight w:val="none"/>
                <w14:textFill>
                  <w14:solidFill>
                    <w14:schemeClr w14:val="tx1"/>
                  </w14:solidFill>
                </w14:textFill>
              </w:rPr>
              <w:t>标文件进行签章，未进行签章的视为无效投标。</w:t>
            </w:r>
          </w:p>
          <w:p w14:paraId="86EC2CCC">
            <w:pPr>
              <w:widowControl/>
              <w:spacing w:line="360" w:lineRule="auto"/>
              <w:jc w:val="lef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color w:val="000000" w:themeColor="text1"/>
                <w:spacing w:val="-11"/>
                <w:sz w:val="24"/>
                <w:highlight w:val="none"/>
                <w14:textFill>
                  <w14:solidFill>
                    <w14:schemeClr w14:val="tx1"/>
                  </w14:solidFill>
                </w14:textFill>
              </w:rPr>
              <w:t>、招标文件中要求法定代表人或授权委托人签字或</w:t>
            </w:r>
            <w:r>
              <w:rPr>
                <w:color w:val="000000" w:themeColor="text1"/>
                <w:spacing w:val="-1"/>
                <w:sz w:val="24"/>
                <w:highlight w:val="none"/>
                <w14:textFill>
                  <w14:solidFill>
                    <w14:schemeClr w14:val="tx1"/>
                  </w14:solidFill>
                </w14:textFill>
              </w:rPr>
              <w:t>盖章的，投标人在进行电子化投标文件签章时，以签盖法定代表人签章为准。</w:t>
            </w:r>
          </w:p>
        </w:tc>
      </w:tr>
      <w:tr w14:paraId="EFDF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26" w:type="dxa"/>
          </w:tcPr>
          <w:p w14:paraId="59D8FD9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3.7.4 </w:t>
            </w:r>
          </w:p>
        </w:tc>
        <w:tc>
          <w:tcPr>
            <w:tcW w:w="1983" w:type="dxa"/>
          </w:tcPr>
          <w:p w14:paraId="8F3C0E1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投标文件份数</w:t>
            </w:r>
          </w:p>
        </w:tc>
        <w:tc>
          <w:tcPr>
            <w:tcW w:w="5413" w:type="dxa"/>
          </w:tcPr>
          <w:p w14:paraId="359AF2A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用 CA 在电子平台上传电子投标文件,</w:t>
            </w:r>
            <w:r>
              <w:rPr>
                <w:rFonts w:hint="eastAsia"/>
                <w:color w:val="000000" w:themeColor="text1"/>
                <w:sz w:val="24"/>
                <w:highlight w:val="none"/>
                <w14:textFill>
                  <w14:solidFill>
                    <w14:schemeClr w14:val="tx1"/>
                  </w14:solidFill>
                </w14:textFill>
              </w:rPr>
              <w:t>开标时不再递交纸质投标文件，中标单位领取中标通知书时根据业主需求提交纸质投标文件，纸质投标文件应按以下要求装订：胶装（不得采用活页装订），应有目录，并逐页标注连续页码，需加盖公章。</w:t>
            </w:r>
            <w:r>
              <w:rPr>
                <w:rFonts w:hint="eastAsia" w:ascii="宋体" w:hAnsi="宋体" w:cs="宋体"/>
                <w:color w:val="000000" w:themeColor="text1"/>
                <w:kern w:val="0"/>
                <w:sz w:val="24"/>
                <w:highlight w:val="none"/>
                <w14:textFill>
                  <w14:solidFill>
                    <w14:schemeClr w14:val="tx1"/>
                  </w14:solidFill>
                </w14:textFill>
              </w:rPr>
              <w:t xml:space="preserve"> </w:t>
            </w:r>
          </w:p>
        </w:tc>
      </w:tr>
      <w:tr w14:paraId="21D5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126" w:type="dxa"/>
          </w:tcPr>
          <w:p w14:paraId="053323C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3.7.5</w:t>
            </w:r>
          </w:p>
        </w:tc>
        <w:tc>
          <w:tcPr>
            <w:tcW w:w="1983" w:type="dxa"/>
          </w:tcPr>
          <w:p w14:paraId="9EE94B5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电子化投标文件的格式及上传投标</w:t>
            </w:r>
          </w:p>
        </w:tc>
        <w:tc>
          <w:tcPr>
            <w:tcW w:w="5413" w:type="dxa"/>
          </w:tcPr>
          <w:p w14:paraId="0415EA7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电子化投标具体要求：本项目为电子化、无纸化交易项目，投标文件是</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通过中心投标文件制作系统制作，并经过签章和加密后生成的电子版投标文件。</w:t>
            </w:r>
          </w:p>
          <w:p w14:paraId="A7BB452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电子化投标文件具体制作工具请点击：</w:t>
            </w:r>
            <w:r>
              <w:rPr>
                <w:rFonts w:hint="eastAsia" w:ascii="宋体" w:hAnsi="宋体" w:cs="宋体"/>
                <w:color w:val="000000" w:themeColor="text1"/>
                <w:sz w:val="24"/>
                <w:highlight w:val="none"/>
                <w:lang w:eastAsia="zh-CN"/>
                <w14:textFill>
                  <w14:solidFill>
                    <w14:schemeClr w14:val="tx1"/>
                  </w14:solidFill>
                </w14:textFill>
              </w:rPr>
              <w:t>https://download.bqpoint.com/download/downloaddetailfree.html?SourceFrom=Ztb&amp;ZtbSoftXiaQuCode=1506&amp;ZtbSoftType=tballinclusive</w:t>
            </w:r>
            <w:r>
              <w:rPr>
                <w:rFonts w:hint="eastAsia" w:ascii="宋体" w:hAnsi="宋体" w:cs="宋体"/>
                <w:color w:val="000000" w:themeColor="text1"/>
                <w:sz w:val="24"/>
                <w:highlight w:val="none"/>
                <w14:textFill>
                  <w14:solidFill>
                    <w14:schemeClr w14:val="tx1"/>
                  </w14:solidFill>
                </w14:textFill>
              </w:rPr>
              <w:t>进行下载。</w:t>
            </w:r>
          </w:p>
          <w:p w14:paraId="BE40E8A0">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电子化投标文件操作手册请</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点击以下链接下载：</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"http://gzjy.smx.gov.cn/bzzx/008001/20200330/0bee15ca-16e7-4f3c-b1bb-de3e3a51032a.html"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http://gzjy.smx.gov.cn/bzzx/008001/20200330/0bee15ca-16e7-4f3c-b1bb-de3e3a51032a.html</w:t>
            </w:r>
            <w:r>
              <w:rPr>
                <w:rFonts w:hint="eastAsia" w:ascii="宋体" w:hAnsi="宋体" w:cs="宋体"/>
                <w:color w:val="000000" w:themeColor="text1"/>
                <w:sz w:val="24"/>
                <w:highlight w:val="none"/>
                <w14:textFill>
                  <w14:solidFill>
                    <w14:schemeClr w14:val="tx1"/>
                  </w14:solidFill>
                </w14:textFill>
              </w:rPr>
              <w:fldChar w:fldCharType="end"/>
            </w:r>
          </w:p>
          <w:p w14:paraId="78AF2FF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温馨提示：本项目为电子化、无纸化交易项目，为保证您能投标成功，请需仔细阅读以下条款。</w:t>
            </w:r>
          </w:p>
          <w:p w14:paraId="847A395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一、电子化投标</w:t>
            </w:r>
          </w:p>
          <w:p w14:paraId="7A5CE8E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（一）电子化投标文件的签章</w:t>
            </w:r>
          </w:p>
          <w:p w14:paraId="71D686E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在生成电子化投标文件后，应对电子化投标文件进行签章，未进行签章的视为无效投标。</w:t>
            </w:r>
          </w:p>
          <w:p w14:paraId="D3B1358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ascii="宋体" w:hAnsi="宋体" w:cs="宋体"/>
                <w:color w:val="000000" w:themeColor="text1"/>
                <w:sz w:val="24"/>
                <w:highlight w:val="none"/>
                <w14:textFill>
                  <w14:solidFill>
                    <w14:schemeClr w14:val="tx1"/>
                  </w14:solidFill>
                </w14:textFill>
              </w:rPr>
              <w:t>中要求法定代表人或授权委托人签字或盖章的，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在进行电子化投标文件签章时，以签盖法定代表人签章为准。</w:t>
            </w:r>
          </w:p>
          <w:p w14:paraId="E044327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（二）电子化投标文件的格式及上传投标</w:t>
            </w:r>
          </w:p>
          <w:p w14:paraId="47909CE5">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所上传的电子化投标文件，应是通过中心投标文件制作系统制作的（投标文件制作工具下载地址：</w:t>
            </w:r>
            <w:r>
              <w:rPr>
                <w:rFonts w:hint="eastAsia" w:ascii="宋体" w:hAnsi="宋体" w:cs="宋体"/>
                <w:color w:val="000000" w:themeColor="text1"/>
                <w:sz w:val="24"/>
                <w:highlight w:val="none"/>
                <w:lang w:eastAsia="zh-CN"/>
                <w14:textFill>
                  <w14:solidFill>
                    <w14:schemeClr w14:val="tx1"/>
                  </w14:solidFill>
                </w14:textFill>
              </w:rPr>
              <w:t>https://download.bqpoint.com/download/downloaddetailfree.html?SourceFrom=Ztb&amp;ZtbSoftXiaQuCode=1506&amp;ZtbSoftType=tballinclusive</w:t>
            </w:r>
            <w:r>
              <w:rPr>
                <w:rFonts w:hint="eastAsia" w:ascii="宋体" w:hAnsi="宋体" w:cs="宋体"/>
                <w:color w:val="000000" w:themeColor="text1"/>
                <w:sz w:val="24"/>
                <w:highlight w:val="none"/>
                <w14:textFill>
                  <w14:solidFill>
                    <w14:schemeClr w14:val="tx1"/>
                  </w14:solidFill>
                </w14:textFill>
              </w:rPr>
              <w:t>），经过签章和加密后生成的电子版投标文件。其中包含用于投标文件上传的主文件（后缀为.smxtf）和用于应急补救的投标文件备份文件（后缀为.nsmxtf）。备份文件主要用于电子化开标出现技术问题后的补救，请</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随身携带。</w:t>
            </w:r>
          </w:p>
          <w:p w14:paraId="8D6568B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投报多个标段的，需要每个标段单独制作电子投标文件。</w:t>
            </w:r>
          </w:p>
          <w:p w14:paraId="BA7F4DF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电子化投标文件应在投标截止时间前成功上传至三门峡市公共资源电子化交易系统。至投标截止时间止，仍未上传成功的电子化投标文件将不予接收。</w:t>
            </w:r>
          </w:p>
          <w:p w14:paraId="C0C6998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注：如按照电子化投标操作教材制作完成的电子化投标文件无法上传的，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应在投标截止时间前尽早的联系中心技术人员，以便有充分的时间进行处理。</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应充分考虑到处理技术问题和上传数据等工作所需的时间问题，投标文件未在投标截止时间前成功上传的，其投标文件不予接收。</w:t>
            </w:r>
          </w:p>
          <w:p w14:paraId="72692B1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技术联系电话：0398-3117871</w:t>
            </w:r>
          </w:p>
          <w:p w14:paraId="DD91D62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科技信息科:0398-3117095 </w:t>
            </w:r>
          </w:p>
          <w:p w14:paraId="701B63D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（四）电子化项目开标、解密、唱标、评标</w:t>
            </w:r>
          </w:p>
          <w:p w14:paraId="CFB200A5">
            <w:pPr>
              <w:snapToGri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1、本项目采用电子化、无纸化进行招标，开标当日，</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无需到开标现场参加开标会议，</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BDBCA22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2、电子化投标文件采用一次加密方式。开标时，由</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使用CA 证书，在规定时间内对其电子化投标文件进行解密。每位</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的解密时间为开标时间起30 分钟内，如在规定时间内未完成解密，其投标文件不予开标、唱标。</w:t>
            </w:r>
          </w:p>
          <w:p w14:paraId="0B816C1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3、电子化投标文件解密异常的处理</w:t>
            </w:r>
          </w:p>
          <w:p w14:paraId="31002BF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如出现</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的电子投标文件无法解密等异常情况，</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应及时致电中介服务机构说明。投标文件异常，按以下步骤进行处理：</w:t>
            </w:r>
          </w:p>
          <w:p w14:paraId="D45071B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（1）首先由技术人员进行问题排查。</w:t>
            </w:r>
          </w:p>
          <w:p w14:paraId="0529A5A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（2）经技术人员排查后，是</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文件自身问题导致投标文件无法解密的，该投标文件将不予接收、解密和唱标。开标会议继续进行。</w:t>
            </w:r>
          </w:p>
          <w:p w14:paraId="7938163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FB4D88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4、待所有</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投标文件解密完成后，由中介服务机构操作，对所有已解密投标文件进行唱标。</w:t>
            </w:r>
          </w:p>
          <w:p w14:paraId="84C645C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应保证在开标期间电话、电脑、网络能够正常工作，</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因停电、电脑病毒、网络堵塞等原因，未在规定的解密时间内对投标文件进行解密的，其投标文件不予接收、唱标。</w:t>
            </w:r>
          </w:p>
          <w:p w14:paraId="9890B94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5、开标时</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可登录到交易系统中在开标解密栏中点击报价一览表查看自己的投标报价。如对自己的唱标内容有异议的，应在</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解密成功后10分钟内向中介服务机构电话质疑。中介服务机构应在监督人员的监督下进行免提通话接受</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的质疑并做好书面记录。</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未在规定时间内提出质疑的，视为认可唱标内容。</w:t>
            </w:r>
          </w:p>
          <w:p w14:paraId="A71CB8AE">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6、评标时，评标委员会对电子化投标文件有质疑的，将通过电子化交易系统对</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发起质疑，并在监督人员的监督下，用免提模式致电需要答复的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对质疑进行回复。</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的回复文件必须以经过</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和其法定代表人签章的PDF格式文件为准，并通过电子化交易系统提交至评标委员会。</w:t>
            </w:r>
          </w:p>
          <w:p w14:paraId="7CF75D12">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7、如评标委员会对需要回复的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连续三次致电未接通的，视为</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放弃回复，评标委员会将自行对需要回复的内容进行认定。</w:t>
            </w:r>
          </w:p>
        </w:tc>
      </w:tr>
      <w:tr w14:paraId="780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26" w:type="dxa"/>
          </w:tcPr>
          <w:p w14:paraId="B02574D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4.2.2 </w:t>
            </w:r>
          </w:p>
        </w:tc>
        <w:tc>
          <w:tcPr>
            <w:tcW w:w="1983" w:type="dxa"/>
          </w:tcPr>
          <w:p w14:paraId="83C0D42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递交投标文件</w:t>
            </w:r>
          </w:p>
        </w:tc>
        <w:tc>
          <w:tcPr>
            <w:tcW w:w="5413" w:type="dxa"/>
            <w:vAlign w:val="center"/>
          </w:tcPr>
          <w:p w14:paraId="C4C058F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w:t>
            </w:r>
            <w:r>
              <w:rPr>
                <w:color w:val="000000" w:themeColor="text1"/>
                <w:sz w:val="24"/>
                <w:highlight w:val="none"/>
                <w14:textFill>
                  <w14:solidFill>
                    <w14:schemeClr w14:val="tx1"/>
                  </w14:solidFill>
                </w14:textFill>
              </w:rPr>
              <w:t>投标文件在投标截止时间前成功上传</w:t>
            </w:r>
            <w:r>
              <w:rPr>
                <w:rFonts w:hint="eastAsia"/>
                <w:color w:val="000000" w:themeColor="text1"/>
                <w:sz w:val="24"/>
                <w:highlight w:val="none"/>
                <w14:textFill>
                  <w14:solidFill>
                    <w14:schemeClr w14:val="tx1"/>
                  </w14:solidFill>
                </w14:textFill>
              </w:rPr>
              <w:t>交易中心系统</w:t>
            </w:r>
          </w:p>
        </w:tc>
      </w:tr>
      <w:tr w14:paraId="4534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26" w:type="dxa"/>
          </w:tcPr>
          <w:p w14:paraId="4C30FA7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4.2.3 </w:t>
            </w:r>
          </w:p>
        </w:tc>
        <w:tc>
          <w:tcPr>
            <w:tcW w:w="1983" w:type="dxa"/>
          </w:tcPr>
          <w:p w14:paraId="1A9CAF6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是否退还投标文件</w:t>
            </w:r>
          </w:p>
        </w:tc>
        <w:tc>
          <w:tcPr>
            <w:tcW w:w="5413" w:type="dxa"/>
          </w:tcPr>
          <w:p w14:paraId="CF6D3E5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否 </w:t>
            </w:r>
          </w:p>
        </w:tc>
      </w:tr>
      <w:tr w14:paraId="9C33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26" w:type="dxa"/>
            <w:vMerge w:val="restart"/>
          </w:tcPr>
          <w:p w14:paraId="28966C4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5.1 </w:t>
            </w:r>
          </w:p>
        </w:tc>
        <w:tc>
          <w:tcPr>
            <w:tcW w:w="1983" w:type="dxa"/>
            <w:vMerge w:val="restart"/>
          </w:tcPr>
          <w:p w14:paraId="36BE4F7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开标时间和地点 </w:t>
            </w:r>
          </w:p>
        </w:tc>
        <w:tc>
          <w:tcPr>
            <w:tcW w:w="5413" w:type="dxa"/>
          </w:tcPr>
          <w:p w14:paraId="A8AE20A8">
            <w:pPr>
              <w:pStyle w:val="42"/>
              <w:spacing w:before="81" w:line="360" w:lineRule="auto"/>
              <w:rPr>
                <w:rFonts w:hint="eastAsia" w:ascii="宋体" w:hAnsi="宋体" w:cs="宋体"/>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开标时间：</w:t>
            </w:r>
            <w:r>
              <w:rPr>
                <w:rFonts w:hint="eastAsia"/>
                <w:color w:val="000000" w:themeColor="text1"/>
                <w:sz w:val="24"/>
                <w:highlight w:val="none"/>
                <w:lang w:eastAsia="zh-CN"/>
                <w14:textFill>
                  <w14:solidFill>
                    <w14:schemeClr w14:val="tx1"/>
                  </w14:solidFill>
                </w14:textFill>
              </w:rPr>
              <w:t>2025年6月11日</w:t>
            </w:r>
            <w:r>
              <w:rPr>
                <w:color w:val="000000" w:themeColor="text1"/>
                <w:sz w:val="24"/>
                <w:highlight w:val="none"/>
                <w14:textFill>
                  <w14:solidFill>
                    <w14:schemeClr w14:val="tx1"/>
                  </w14:solidFill>
                </w14:textFill>
              </w:rPr>
              <w:t xml:space="preserve"> 08 时 </w:t>
            </w:r>
            <w:r>
              <w:rPr>
                <w:rFonts w:hint="eastAsia"/>
                <w:color w:val="000000" w:themeColor="text1"/>
                <w:sz w:val="24"/>
                <w:highlight w:val="none"/>
                <w:lang w:val="en-US" w:eastAsia="zh-CN"/>
                <w14:textFill>
                  <w14:solidFill>
                    <w14:schemeClr w14:val="tx1"/>
                  </w14:solidFill>
                </w14:textFill>
              </w:rPr>
              <w:t>3</w:t>
            </w:r>
            <w:r>
              <w:rPr>
                <w:color w:val="000000" w:themeColor="text1"/>
                <w:sz w:val="24"/>
                <w:highlight w:val="none"/>
                <w14:textFill>
                  <w14:solidFill>
                    <w14:schemeClr w14:val="tx1"/>
                  </w14:solidFill>
                </w14:textFill>
              </w:rPr>
              <w:t>0 分。</w:t>
            </w:r>
          </w:p>
        </w:tc>
      </w:tr>
      <w:tr w14:paraId="B02E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6" w:type="dxa"/>
            <w:vMerge w:val="continue"/>
          </w:tcPr>
          <w:p w14:paraId="0192827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983" w:type="dxa"/>
            <w:vMerge w:val="continue"/>
          </w:tcPr>
          <w:p w14:paraId="EE2F4970">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5413" w:type="dxa"/>
          </w:tcPr>
          <w:p w14:paraId="BFECFE5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开标地点：</w:t>
            </w:r>
            <w:r>
              <w:rPr>
                <w:rFonts w:hint="eastAsia"/>
                <w:color w:val="000000" w:themeColor="text1"/>
                <w:sz w:val="24"/>
                <w:highlight w:val="none"/>
                <w14:textFill>
                  <w14:solidFill>
                    <w14:schemeClr w14:val="tx1"/>
                  </w14:solidFill>
                </w14:textFill>
              </w:rPr>
              <w:t>陕州区公共资源交易中心</w:t>
            </w:r>
          </w:p>
        </w:tc>
      </w:tr>
      <w:tr w14:paraId="2BB1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26" w:type="dxa"/>
          </w:tcPr>
          <w:p w14:paraId="C83B899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5.2 </w:t>
            </w:r>
          </w:p>
          <w:p w14:paraId="0314350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983" w:type="dxa"/>
          </w:tcPr>
          <w:p w14:paraId="B41AA35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开标程序 </w:t>
            </w:r>
          </w:p>
          <w:p w14:paraId="9C76E48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5413" w:type="dxa"/>
          </w:tcPr>
          <w:p w14:paraId="84C89F7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详见5.2开标程序</w:t>
            </w:r>
          </w:p>
        </w:tc>
      </w:tr>
      <w:tr w14:paraId="CD59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126" w:type="dxa"/>
          </w:tcPr>
          <w:p w14:paraId="7B2B9A8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6.1.1 </w:t>
            </w:r>
          </w:p>
          <w:p w14:paraId="B34A572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983" w:type="dxa"/>
          </w:tcPr>
          <w:p w14:paraId="AB37804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评标委员会的组建 </w:t>
            </w:r>
          </w:p>
        </w:tc>
        <w:tc>
          <w:tcPr>
            <w:tcW w:w="5413" w:type="dxa"/>
          </w:tcPr>
          <w:p w14:paraId="15DA1B9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bidi="en-US"/>
                <w14:textFill>
                  <w14:solidFill>
                    <w14:schemeClr w14:val="tx1"/>
                  </w14:solidFill>
                </w14:textFill>
              </w:rPr>
              <w:t>评标委员会</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由采购人代表和有关技术、经济等方面的专家组成，成员为</w:t>
            </w:r>
            <w:r>
              <w:rPr>
                <w:rFonts w:hint="eastAsia" w:ascii="宋体" w:hAnsi="宋体" w:cs="宋体"/>
                <w:color w:val="000000" w:themeColor="text1"/>
                <w:sz w:val="24"/>
                <w:szCs w:val="24"/>
                <w:highlight w:val="none"/>
                <w:lang w:val="en-US" w:eastAsia="zh-CN" w:bidi="en-US"/>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人。其中：技术、经济等方面的专家</w:t>
            </w:r>
            <w:r>
              <w:rPr>
                <w:rFonts w:hint="eastAsia" w:ascii="宋体" w:hAnsi="宋体" w:cs="宋体"/>
                <w:color w:val="000000" w:themeColor="text1"/>
                <w:sz w:val="24"/>
                <w:szCs w:val="24"/>
                <w:highlight w:val="none"/>
                <w:lang w:val="en-US" w:eastAsia="zh-CN" w:bidi="en-US"/>
                <w14:textFill>
                  <w14:solidFill>
                    <w14:schemeClr w14:val="tx1"/>
                  </w14:solidFill>
                </w14:textFill>
              </w:rPr>
              <w:t>4</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人</w:t>
            </w:r>
            <w:r>
              <w:rPr>
                <w:rFonts w:hint="eastAsia" w:ascii="宋体" w:hAnsi="宋体" w:cs="宋体"/>
                <w:color w:val="000000" w:themeColor="text1"/>
                <w:sz w:val="24"/>
                <w:szCs w:val="24"/>
                <w:highlight w:val="none"/>
                <w:lang w:val="en-US" w:eastAsia="zh-CN" w:bidi="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采购人代表</w:t>
            </w:r>
            <w:r>
              <w:rPr>
                <w:rFonts w:hint="eastAsia" w:ascii="宋体" w:hAnsi="宋体" w:cs="宋体"/>
                <w:color w:val="000000" w:themeColor="text1"/>
                <w:sz w:val="24"/>
                <w:szCs w:val="24"/>
                <w:highlight w:val="none"/>
                <w:lang w:val="en-US" w:eastAsia="zh-CN" w:bidi="en-US"/>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人</w:t>
            </w:r>
            <w:r>
              <w:rPr>
                <w:rFonts w:hint="eastAsia" w:ascii="宋体" w:hAnsi="宋体" w:cs="宋体"/>
                <w:color w:val="000000" w:themeColor="text1"/>
                <w:sz w:val="24"/>
                <w:szCs w:val="24"/>
                <w:highlight w:val="none"/>
                <w:lang w:val="en-US" w:eastAsia="zh-CN" w:bidi="en-US"/>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采购人代表不得担任</w:t>
            </w:r>
            <w:r>
              <w:rPr>
                <w:rFonts w:hint="eastAsia" w:ascii="宋体" w:hAnsi="宋体" w:cs="宋体"/>
                <w:color w:val="000000" w:themeColor="text1"/>
                <w:sz w:val="24"/>
                <w:szCs w:val="24"/>
                <w:highlight w:val="none"/>
                <w:lang w:val="en-US" w:eastAsia="zh-CN" w:bidi="en-US"/>
                <w14:textFill>
                  <w14:solidFill>
                    <w14:schemeClr w14:val="tx1"/>
                  </w14:solidFill>
                </w14:textFill>
              </w:rPr>
              <w:t>评标委员会</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组长。</w:t>
            </w:r>
            <w:r>
              <w:rPr>
                <w:rFonts w:hint="eastAsia" w:ascii="宋体" w:hAnsi="宋体" w:cs="宋体"/>
                <w:color w:val="000000" w:themeColor="text1"/>
                <w:sz w:val="24"/>
                <w:szCs w:val="24"/>
                <w:highlight w:val="none"/>
                <w:lang w:val="en-US" w:eastAsia="zh-CN" w:bidi="en-US"/>
                <w14:textFill>
                  <w14:solidFill>
                    <w14:schemeClr w14:val="tx1"/>
                  </w14:solidFill>
                </w14:textFill>
              </w:rPr>
              <w:t>评审</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专家抽取时间：开标当天；</w:t>
            </w:r>
            <w:r>
              <w:rPr>
                <w:rFonts w:hint="eastAsia" w:ascii="宋体" w:hAnsi="宋体" w:eastAsia="宋体" w:cs="宋体"/>
                <w:color w:val="000000" w:themeColor="text1"/>
                <w:sz w:val="24"/>
                <w:szCs w:val="24"/>
                <w:highlight w:val="none"/>
                <w:lang w:val="en-US" w:eastAsia="en-US" w:bidi="en-US"/>
                <w14:textFill>
                  <w14:solidFill>
                    <w14:schemeClr w14:val="tx1"/>
                  </w14:solidFill>
                </w14:textFill>
              </w:rPr>
              <w:t>评标专家确定方式：</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技术、经济等方面的专家</w:t>
            </w:r>
            <w:r>
              <w:rPr>
                <w:rFonts w:hint="eastAsia" w:ascii="宋体" w:hAnsi="宋体" w:eastAsia="宋体" w:cs="宋体"/>
                <w:color w:val="000000" w:themeColor="text1"/>
                <w:sz w:val="24"/>
                <w:szCs w:val="24"/>
                <w:highlight w:val="none"/>
                <w:lang w:val="en-US" w:eastAsia="en-US" w:bidi="en-US"/>
                <w14:textFill>
                  <w14:solidFill>
                    <w14:schemeClr w14:val="tx1"/>
                  </w14:solidFill>
                </w14:textFill>
              </w:rPr>
              <w:t>从</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河南省政府采购评审专家库</w:t>
            </w:r>
            <w:r>
              <w:rPr>
                <w:rFonts w:hint="eastAsia" w:ascii="宋体" w:hAnsi="宋体" w:eastAsia="宋体" w:cs="宋体"/>
                <w:color w:val="000000" w:themeColor="text1"/>
                <w:sz w:val="24"/>
                <w:szCs w:val="24"/>
                <w:highlight w:val="none"/>
                <w:lang w:val="en-US" w:eastAsia="en-US" w:bidi="en-US"/>
                <w14:textFill>
                  <w14:solidFill>
                    <w14:schemeClr w14:val="tx1"/>
                  </w14:solidFill>
                </w14:textFill>
              </w:rPr>
              <w:t>中随机抽取确定。</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根据省政府关于评标专家的有关管理规定，业主评委无评标劳务费。</w:t>
            </w:r>
          </w:p>
        </w:tc>
      </w:tr>
      <w:tr w14:paraId="0454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26" w:type="dxa"/>
          </w:tcPr>
          <w:p w14:paraId="69C35B5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7.1 </w:t>
            </w:r>
          </w:p>
          <w:p w14:paraId="64F4194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1983" w:type="dxa"/>
          </w:tcPr>
          <w:p w14:paraId="4A7E60D0">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是否授权评标委员会确定中标人</w:t>
            </w:r>
          </w:p>
        </w:tc>
        <w:tc>
          <w:tcPr>
            <w:tcW w:w="5413" w:type="dxa"/>
          </w:tcPr>
          <w:p w14:paraId="5F67A1C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否，按顺序推荐的中标候选人数：</w:t>
            </w:r>
            <w:r>
              <w:rPr>
                <w:rFonts w:hint="eastAsia"/>
                <w:color w:val="000000" w:themeColor="text1"/>
                <w:sz w:val="24"/>
                <w:highlight w:val="none"/>
                <w:u w:val="single"/>
                <w14:textFill>
                  <w14:solidFill>
                    <w14:schemeClr w14:val="tx1"/>
                  </w14:solidFill>
                </w14:textFill>
              </w:rPr>
              <w:t>1-3名。</w:t>
            </w:r>
          </w:p>
        </w:tc>
      </w:tr>
      <w:tr w14:paraId="3908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26" w:type="dxa"/>
          </w:tcPr>
          <w:p w14:paraId="89E59DE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w:t>
            </w:r>
          </w:p>
        </w:tc>
        <w:tc>
          <w:tcPr>
            <w:tcW w:w="1983" w:type="dxa"/>
          </w:tcPr>
          <w:p w14:paraId="F907A23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履约保证金:</w:t>
            </w:r>
          </w:p>
        </w:tc>
        <w:tc>
          <w:tcPr>
            <w:tcW w:w="5413" w:type="dxa"/>
          </w:tcPr>
          <w:p w14:paraId="8277F26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根据“河南省财政厅关于优化政府采购营商环境有关问题的通知”豫财购〔2019〕4 号文中“(七)鼓励采购人免收履约保证金或降低缴纳比例”的规定，该项目不再收取履约保证金。</w:t>
            </w:r>
          </w:p>
        </w:tc>
      </w:tr>
      <w:tr w14:paraId="2859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26" w:type="dxa"/>
          </w:tcPr>
          <w:p w14:paraId="08C7EAF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8 </w:t>
            </w:r>
          </w:p>
        </w:tc>
        <w:tc>
          <w:tcPr>
            <w:tcW w:w="7396" w:type="dxa"/>
            <w:gridSpan w:val="2"/>
          </w:tcPr>
          <w:p w14:paraId="B658CE9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需要补充的其他内容</w:t>
            </w:r>
          </w:p>
        </w:tc>
      </w:tr>
      <w:tr w14:paraId="FC55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22" w:type="dxa"/>
            <w:gridSpan w:val="3"/>
          </w:tcPr>
          <w:p w14:paraId="57F96C74">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8.1</w:t>
            </w:r>
            <w:r>
              <w:rPr>
                <w:rFonts w:hint="eastAsia" w:ascii="宋体" w:hAnsi="宋体" w:cs="宋体"/>
                <w:b/>
                <w:color w:val="000000" w:themeColor="text1"/>
                <w:kern w:val="0"/>
                <w:sz w:val="24"/>
                <w:highlight w:val="none"/>
                <w14:textFill>
                  <w14:solidFill>
                    <w14:schemeClr w14:val="tx1"/>
                  </w14:solidFill>
                </w14:textFill>
              </w:rPr>
              <w:t xml:space="preserve"> </w:t>
            </w:r>
          </w:p>
        </w:tc>
      </w:tr>
      <w:tr w14:paraId="BF31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26" w:type="dxa"/>
          </w:tcPr>
          <w:p w14:paraId="998FAAC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招标控制价</w:t>
            </w:r>
          </w:p>
        </w:tc>
        <w:tc>
          <w:tcPr>
            <w:tcW w:w="7396" w:type="dxa"/>
            <w:gridSpan w:val="2"/>
          </w:tcPr>
          <w:p w14:paraId="90FCF50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3600000.00</w:t>
            </w:r>
            <w:r>
              <w:rPr>
                <w:rFonts w:hint="eastAsia" w:ascii="宋体" w:hAnsi="宋体"/>
                <w:color w:val="000000" w:themeColor="text1"/>
                <w:sz w:val="24"/>
                <w:highlight w:val="none"/>
                <w14:textFill>
                  <w14:solidFill>
                    <w14:schemeClr w14:val="tx1"/>
                  </w14:solidFill>
                </w14:textFill>
              </w:rPr>
              <w:t>元</w:t>
            </w:r>
            <w:r>
              <w:rPr>
                <w:rFonts w:hint="eastAsia" w:ascii="宋体" w:hAnsi="宋体" w:cs="宋体"/>
                <w:color w:val="000000" w:themeColor="text1"/>
                <w:kern w:val="0"/>
                <w:sz w:val="24"/>
                <w:highlight w:val="none"/>
                <w14:textFill>
                  <w14:solidFill>
                    <w14:schemeClr w14:val="tx1"/>
                  </w14:solidFill>
                </w14:textFill>
              </w:rPr>
              <w:t>。投标报价不得超出招标控制价，超出按无效标处理</w:t>
            </w:r>
          </w:p>
        </w:tc>
      </w:tr>
      <w:tr w14:paraId="A496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126" w:type="dxa"/>
          </w:tcPr>
          <w:p w14:paraId="A3A036C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投标报价的其他要求</w:t>
            </w:r>
          </w:p>
        </w:tc>
        <w:tc>
          <w:tcPr>
            <w:tcW w:w="7396" w:type="dxa"/>
            <w:gridSpan w:val="2"/>
          </w:tcPr>
          <w:p w14:paraId="551C4E8A">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应包含为完成本项目所需要的全部费用和税金，如人员工资（不低于三门峡市最低工资标准）、社会保险、加班费等各项福利，人员工装、物品损耗、项目所需设备（包括但不限于提供服务所需的工具、设备、机械及其消耗品）等。</w:t>
            </w:r>
          </w:p>
        </w:tc>
      </w:tr>
      <w:tr w14:paraId="57DF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22" w:type="dxa"/>
            <w:gridSpan w:val="3"/>
          </w:tcPr>
          <w:p w14:paraId="73724F4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8.2 中标公示</w:t>
            </w:r>
            <w:r>
              <w:rPr>
                <w:rFonts w:hint="eastAsia" w:ascii="宋体" w:hAnsi="宋体" w:cs="宋体"/>
                <w:b/>
                <w:color w:val="000000" w:themeColor="text1"/>
                <w:kern w:val="0"/>
                <w:sz w:val="24"/>
                <w:highlight w:val="none"/>
                <w14:textFill>
                  <w14:solidFill>
                    <w14:schemeClr w14:val="tx1"/>
                  </w14:solidFill>
                </w14:textFill>
              </w:rPr>
              <w:t xml:space="preserve"> </w:t>
            </w:r>
          </w:p>
        </w:tc>
      </w:tr>
      <w:tr w14:paraId="1714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Pr>
          <w:p w14:paraId="C74A465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在中标通知书发出前，采购人将中标公告在本招标项目招标公告发布的同一媒介予以公示，公示期 1个工作日。</w:t>
            </w:r>
          </w:p>
        </w:tc>
      </w:tr>
      <w:tr w14:paraId="F02D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3"/>
          </w:tcPr>
          <w:p w14:paraId="8CC7D3C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8.3 知识产权</w:t>
            </w:r>
          </w:p>
        </w:tc>
      </w:tr>
      <w:tr w14:paraId="77BE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522" w:type="dxa"/>
            <w:gridSpan w:val="3"/>
          </w:tcPr>
          <w:p w14:paraId="FAB4B52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构成本招标文件各个组成部分的文件，未经采购人书面同意，投标人不得擅自复印 和用于非本招标项目所需的其他目的。采购人全部或者部分使用未中标人投标文件 中的技术成果或技术方案时，需征得其书面同意，并不得擅自复印或提供给第三人。</w:t>
            </w:r>
          </w:p>
        </w:tc>
      </w:tr>
      <w:tr w14:paraId="2F66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22" w:type="dxa"/>
            <w:gridSpan w:val="3"/>
          </w:tcPr>
          <w:p w14:paraId="C1B5B06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8.4 重新招标的其他情形</w:t>
            </w:r>
          </w:p>
        </w:tc>
      </w:tr>
      <w:tr w14:paraId="90FD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Pr>
          <w:p w14:paraId="6406102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除投标人须知正文第 8 条规定的情形外，除非已经产生中标候选人，在投标有 </w:t>
            </w:r>
          </w:p>
          <w:p w14:paraId="72634CC2">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效期内同意延长投标有效期的投标人少于三个的，采购人应当依法重新招标。</w:t>
            </w:r>
          </w:p>
        </w:tc>
      </w:tr>
      <w:tr w14:paraId="5329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22" w:type="dxa"/>
            <w:gridSpan w:val="3"/>
          </w:tcPr>
          <w:p w14:paraId="01A88C08">
            <w:pPr>
              <w:widowControl/>
              <w:spacing w:line="360" w:lineRule="auto"/>
              <w:jc w:val="left"/>
              <w:rPr>
                <w:rFonts w:hint="eastAsia"/>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8.5 同义词语</w:t>
            </w:r>
            <w:r>
              <w:rPr>
                <w:rFonts w:hint="eastAsia" w:ascii="宋体" w:hAnsi="宋体" w:cs="宋体"/>
                <w:b/>
                <w:color w:val="000000" w:themeColor="text1"/>
                <w:kern w:val="0"/>
                <w:sz w:val="24"/>
                <w:highlight w:val="none"/>
                <w14:textFill>
                  <w14:solidFill>
                    <w14:schemeClr w14:val="tx1"/>
                  </w14:solidFill>
                </w14:textFill>
              </w:rPr>
              <w:t xml:space="preserve"> </w:t>
            </w:r>
          </w:p>
        </w:tc>
      </w:tr>
      <w:tr w14:paraId="888A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Pr>
          <w:p w14:paraId="2FB442C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构成招标文件组成部分的“通用合同条款”、“专用合同条款”、“技术标准和要求” 等章节中出现的措辞“发包人”和“承包人”，在招标投标阶段应当分别按“招标 人”和“投标人”进行理解。</w:t>
            </w:r>
          </w:p>
        </w:tc>
      </w:tr>
      <w:tr w14:paraId="1ED9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22" w:type="dxa"/>
            <w:gridSpan w:val="3"/>
          </w:tcPr>
          <w:p w14:paraId="9A6CB15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8.6 监 督</w:t>
            </w:r>
          </w:p>
        </w:tc>
      </w:tr>
      <w:tr w14:paraId="5DF9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22" w:type="dxa"/>
            <w:gridSpan w:val="3"/>
          </w:tcPr>
          <w:p w14:paraId="A4ECECD9">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kern w:val="0"/>
                <w:sz w:val="24"/>
                <w:highlight w:val="none"/>
                <w:lang w:val="en-US" w:eastAsia="zh-CN"/>
                <w14:textFill>
                  <w14:solidFill>
                    <w14:schemeClr w14:val="tx1"/>
                  </w14:solidFill>
                </w14:textFill>
              </w:rPr>
              <w:t>由</w:t>
            </w:r>
            <w:r>
              <w:rPr>
                <w:rFonts w:hint="eastAsia" w:ascii="宋体" w:hAnsi="宋体" w:cs="Times New Roman"/>
                <w:color w:val="000000" w:themeColor="text1"/>
                <w:sz w:val="24"/>
                <w:highlight w:val="none"/>
                <w:lang w:val="en-US" w:eastAsia="zh-CN"/>
                <w14:textFill>
                  <w14:solidFill>
                    <w14:schemeClr w14:val="tx1"/>
                  </w14:solidFill>
                </w14:textFill>
              </w:rPr>
              <w:t>三门峡市陕州区财政局政府采购监督管理科</w:t>
            </w:r>
            <w:r>
              <w:rPr>
                <w:rFonts w:hint="eastAsia" w:ascii="宋体" w:hAnsi="宋体" w:cs="宋体"/>
                <w:color w:val="000000" w:themeColor="text1"/>
                <w:kern w:val="0"/>
                <w:sz w:val="24"/>
                <w:highlight w:val="none"/>
                <w:lang w:val="en-US" w:eastAsia="zh-CN"/>
                <w14:textFill>
                  <w14:solidFill>
                    <w14:schemeClr w14:val="tx1"/>
                  </w14:solidFill>
                </w14:textFill>
              </w:rPr>
              <w:t>进行</w:t>
            </w:r>
            <w:r>
              <w:rPr>
                <w:rFonts w:hint="eastAsia" w:ascii="宋体" w:hAnsi="宋体" w:cs="宋体"/>
                <w:color w:val="000000" w:themeColor="text1"/>
                <w:kern w:val="0"/>
                <w:sz w:val="24"/>
                <w:highlight w:val="none"/>
                <w14:textFill>
                  <w14:solidFill>
                    <w14:schemeClr w14:val="tx1"/>
                  </w14:solidFill>
                </w14:textFill>
              </w:rPr>
              <w:t>监督</w:t>
            </w:r>
          </w:p>
        </w:tc>
      </w:tr>
      <w:tr w14:paraId="F155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22" w:type="dxa"/>
            <w:gridSpan w:val="3"/>
          </w:tcPr>
          <w:p w14:paraId="E60E8A94">
            <w:pPr>
              <w:widowControl/>
              <w:spacing w:line="360" w:lineRule="auto"/>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8.7 解释权</w:t>
            </w:r>
            <w:r>
              <w:rPr>
                <w:rFonts w:hint="eastAsia" w:ascii="宋体" w:hAnsi="宋体" w:cs="宋体"/>
                <w:b/>
                <w:color w:val="000000" w:themeColor="text1"/>
                <w:kern w:val="0"/>
                <w:sz w:val="24"/>
                <w:highlight w:val="none"/>
                <w14:textFill>
                  <w14:solidFill>
                    <w14:schemeClr w14:val="tx1"/>
                  </w14:solidFill>
                </w14:textFill>
              </w:rPr>
              <w:t xml:space="preserve"> </w:t>
            </w:r>
          </w:p>
        </w:tc>
      </w:tr>
      <w:tr w14:paraId="4DEA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8522" w:type="dxa"/>
            <w:gridSpan w:val="3"/>
          </w:tcPr>
          <w:p w14:paraId="7D540DA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r>
              <w:rPr>
                <w:rFonts w:hint="eastAsia" w:ascii="宋体" w:hAnsi="宋体" w:cs="宋体"/>
                <w:b/>
                <w:color w:val="000000" w:themeColor="text1"/>
                <w:kern w:val="0"/>
                <w:sz w:val="24"/>
                <w:highlight w:val="none"/>
                <w14:textFill>
                  <w14:solidFill>
                    <w14:schemeClr w14:val="tx1"/>
                  </w14:solidFill>
                </w14:textFill>
              </w:rPr>
              <w:t xml:space="preserve"> </w:t>
            </w:r>
          </w:p>
        </w:tc>
      </w:tr>
    </w:tbl>
    <w:p w14:paraId="42B65753">
      <w:pPr>
        <w:widowControl/>
        <w:spacing w:line="360" w:lineRule="auto"/>
        <w:jc w:val="left"/>
        <w:rPr>
          <w:rFonts w:hint="eastAsia" w:ascii="宋体" w:hAnsi="宋体" w:cs="宋体"/>
          <w:bCs/>
          <w:color w:val="000000" w:themeColor="text1"/>
          <w:kern w:val="0"/>
          <w:sz w:val="24"/>
          <w:highlight w:val="none"/>
          <w14:textFill>
            <w14:solidFill>
              <w14:schemeClr w14:val="tx1"/>
            </w14:solidFill>
          </w14:textFill>
        </w:rPr>
      </w:pPr>
    </w:p>
    <w:p w14:paraId="277CB7BC">
      <w:pPr>
        <w:pStyle w:val="2"/>
        <w:rPr>
          <w:rFonts w:hint="eastAsia" w:ascii="宋体" w:hAnsi="宋体" w:cs="宋体"/>
          <w:bCs/>
          <w:color w:val="000000" w:themeColor="text1"/>
          <w:kern w:val="0"/>
          <w:sz w:val="24"/>
          <w:highlight w:val="none"/>
          <w14:textFill>
            <w14:solidFill>
              <w14:schemeClr w14:val="tx1"/>
            </w14:solidFill>
          </w14:textFill>
        </w:rPr>
      </w:pPr>
    </w:p>
    <w:p w14:paraId="76FBC97D">
      <w:pPr>
        <w:rPr>
          <w:rFonts w:hint="eastAsia" w:ascii="宋体" w:hAnsi="宋体" w:cs="宋体"/>
          <w:bCs/>
          <w:color w:val="000000" w:themeColor="text1"/>
          <w:kern w:val="0"/>
          <w:sz w:val="24"/>
          <w:highlight w:val="none"/>
          <w14:textFill>
            <w14:solidFill>
              <w14:schemeClr w14:val="tx1"/>
            </w14:solidFill>
          </w14:textFill>
        </w:rPr>
      </w:pPr>
    </w:p>
    <w:p w14:paraId="1C37BEF3">
      <w:pPr>
        <w:pStyle w:val="2"/>
        <w:rPr>
          <w:rFonts w:hint="eastAsia"/>
          <w:color w:val="000000" w:themeColor="text1"/>
          <w14:textFill>
            <w14:solidFill>
              <w14:schemeClr w14:val="tx1"/>
            </w14:solidFill>
          </w14:textFill>
        </w:rPr>
      </w:pPr>
    </w:p>
    <w:p w14:paraId="F7614C2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1.总则 </w:t>
      </w:r>
    </w:p>
    <w:p w14:paraId="F249C00B">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1.1 项目概况</w:t>
      </w:r>
    </w:p>
    <w:p w14:paraId="ACB0EF75">
      <w:pPr>
        <w:widowControl/>
        <w:spacing w:line="360" w:lineRule="auto"/>
        <w:ind w:firstLine="240" w:firstLineChars="100"/>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1.1.1本项目符合有关法律、法规和规章的规定，本招标项目已具备招标条件，现对本标段采购进行招标。</w:t>
      </w:r>
      <w:r>
        <w:rPr>
          <w:rFonts w:hint="eastAsia" w:ascii="宋体" w:hAnsi="宋体" w:cs="宋体"/>
          <w:b/>
          <w:color w:val="000000" w:themeColor="text1"/>
          <w:kern w:val="0"/>
          <w:sz w:val="24"/>
          <w:highlight w:val="none"/>
          <w14:textFill>
            <w14:solidFill>
              <w14:schemeClr w14:val="tx1"/>
            </w14:solidFill>
          </w14:textFill>
        </w:rPr>
        <w:t xml:space="preserve"> </w:t>
      </w:r>
    </w:p>
    <w:p w14:paraId="791A6F4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1.1.2 本招标项目采购人：见投标人须知前附表。 </w:t>
      </w:r>
    </w:p>
    <w:p w14:paraId="ECCFF01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1.1.3 本招标项目采购代理：见投标人须知前附表。 </w:t>
      </w:r>
    </w:p>
    <w:p w14:paraId="AEF273A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1.1.4 本招标项目名称：见投标人须知前附表。 </w:t>
      </w:r>
    </w:p>
    <w:p w14:paraId="2DB41A9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1.1.5 本标段合同履行期限：见投标人须知前附表。 </w:t>
      </w:r>
    </w:p>
    <w:p w14:paraId="1BCE620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1.2 资金来源和落实情况 </w:t>
      </w:r>
    </w:p>
    <w:p w14:paraId="A8DE619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1.2.1 本招标项目的资金来源：见投标人须知前附表。 </w:t>
      </w:r>
    </w:p>
    <w:p w14:paraId="D4A3BFD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1.2.3 本招标项目的资金落实情况：见投标人须知前附表。 </w:t>
      </w:r>
    </w:p>
    <w:p w14:paraId="DC2FEA7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1.3 招标范围 </w:t>
      </w:r>
    </w:p>
    <w:p w14:paraId="5C61DB6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1.3.1 本次招标范围：见投标人须知前附表。 </w:t>
      </w:r>
    </w:p>
    <w:p w14:paraId="BDE4C28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1.4 投标人资格要求 </w:t>
      </w:r>
    </w:p>
    <w:p w14:paraId="A522A53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1.4.1 投标人应具备承担本标段的资质条件、能力: 见投标人须知前附表。 </w:t>
      </w:r>
    </w:p>
    <w:p w14:paraId="6F71C20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1.4.2 本次招标不接受联合体。 </w:t>
      </w:r>
    </w:p>
    <w:p w14:paraId="00B7AD9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1.4.3 投标人不得存在下列情形之一： </w:t>
      </w:r>
    </w:p>
    <w:p w14:paraId="BEA7FEC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（1）为采购人不具有独立法人资格的附属机构（单位）； </w:t>
      </w:r>
    </w:p>
    <w:p w14:paraId="B36C1C8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（2）为本标段提供招标代理服务的； </w:t>
      </w:r>
    </w:p>
    <w:p w14:paraId="76E99C8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（3）被责令停业的； </w:t>
      </w:r>
    </w:p>
    <w:p w14:paraId="9357E1A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（4）被暂停或取消投标资格的； </w:t>
      </w:r>
    </w:p>
    <w:p w14:paraId="04F9B95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（5）财产被接管或冻结的； </w:t>
      </w:r>
    </w:p>
    <w:p w14:paraId="7012BF6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（6）在最近三年内有骗取中标或严重违约问题的； </w:t>
      </w:r>
    </w:p>
    <w:p w14:paraId="26D0075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（7）两个以上投标人的法定代表人为同一人，母公司、全资子公司及其控股公司， </w:t>
      </w:r>
    </w:p>
    <w:p w14:paraId="7C74907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1.5 费用承担 </w:t>
      </w:r>
    </w:p>
    <w:p w14:paraId="544EF8E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1.5.1 投标人准备和参加投标活动发生的费用自理。 </w:t>
      </w:r>
    </w:p>
    <w:p w14:paraId="06D645DB">
      <w:pPr>
        <w:widowControl/>
        <w:spacing w:line="360" w:lineRule="auto"/>
        <w:rPr>
          <w:rFonts w:hint="eastAsia"/>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1.5.2 招标代理服务费参照河南省招投标协会《河南省招标代理服务收费指导意见》的通知（豫招办[2023]002号）</w:t>
      </w:r>
      <w:r>
        <w:rPr>
          <w:rFonts w:hint="eastAsia" w:ascii="宋体" w:hAnsi="宋体" w:eastAsia="宋体" w:cs="宋体"/>
          <w:color w:val="000000" w:themeColor="text1"/>
          <w:sz w:val="24"/>
          <w:szCs w:val="24"/>
          <w:highlight w:val="none"/>
          <w:lang w:eastAsia="zh-CN"/>
          <w14:textFill>
            <w14:solidFill>
              <w14:schemeClr w14:val="tx1"/>
            </w14:solidFill>
          </w14:textFill>
        </w:rPr>
        <w:t>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收费标准收取，由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lang w:eastAsia="zh-CN"/>
          <w14:textFill>
            <w14:solidFill>
              <w14:schemeClr w14:val="tx1"/>
            </w14:solidFill>
          </w14:textFill>
        </w:rPr>
        <w:t>单位支付</w:t>
      </w:r>
      <w:r>
        <w:rPr>
          <w:rFonts w:hint="eastAsia" w:ascii="宋体" w:hAnsi="宋体" w:cs="宋体"/>
          <w:color w:val="000000" w:themeColor="text1"/>
          <w:kern w:val="0"/>
          <w:sz w:val="24"/>
          <w:highlight w:val="none"/>
          <w14:textFill>
            <w14:solidFill>
              <w14:schemeClr w14:val="tx1"/>
            </w14:solidFill>
          </w14:textFill>
        </w:rPr>
        <w:t>。</w:t>
      </w:r>
    </w:p>
    <w:p w14:paraId="D7624E6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1.6 保密 </w:t>
      </w:r>
    </w:p>
    <w:p w14:paraId="D27DE7E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参与招标投标活动的各方应对招标文件和投标文件中的商业和技术等秘密保密，违者应对由此造成的后果承担法律责任。 </w:t>
      </w:r>
    </w:p>
    <w:p w14:paraId="2C099C9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1.7 语言文字 </w:t>
      </w:r>
    </w:p>
    <w:p w14:paraId="BDC7425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除专用术语外，与招标投标有关的语言均使用中文。必要时专用术语应附有中文注释。 </w:t>
      </w:r>
    </w:p>
    <w:p w14:paraId="BFC5345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1.8 计量单位 </w:t>
      </w:r>
    </w:p>
    <w:p w14:paraId="3DE9594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所有计量均采用中华人民共和国法定计量单位。 </w:t>
      </w:r>
    </w:p>
    <w:p w14:paraId="CB8EACF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1.9 踏勘现场 </w:t>
      </w:r>
    </w:p>
    <w:p w14:paraId="016746B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不组织 </w:t>
      </w:r>
    </w:p>
    <w:p w14:paraId="A5A2B21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1.10 投标预备会 </w:t>
      </w:r>
    </w:p>
    <w:p w14:paraId="43C8C2A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1.10.1 投标人须知前附表规定不召开投标预备会。 </w:t>
      </w:r>
    </w:p>
    <w:p w14:paraId="716D0EB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1.11 分包 </w:t>
      </w:r>
    </w:p>
    <w:p w14:paraId="ED063C5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不允许分包 </w:t>
      </w:r>
    </w:p>
    <w:p w14:paraId="012A52F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1.12 偏离 </w:t>
      </w:r>
    </w:p>
    <w:p w14:paraId="A29BC52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不允许 </w:t>
      </w:r>
    </w:p>
    <w:p w14:paraId="104BCA6E">
      <w:pPr>
        <w:widowControl/>
        <w:numPr>
          <w:ilvl w:val="0"/>
          <w:numId w:val="1"/>
        </w:numPr>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招标文件 </w:t>
      </w:r>
    </w:p>
    <w:p w14:paraId="27B14F4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2.1 招标文件的组成 </w:t>
      </w:r>
    </w:p>
    <w:p w14:paraId="4C73321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本招标文件包括： </w:t>
      </w:r>
    </w:p>
    <w:p w14:paraId="5CCDE89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（1）招标公告； </w:t>
      </w:r>
    </w:p>
    <w:p w14:paraId="823AF59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（2）投标人须知； </w:t>
      </w:r>
    </w:p>
    <w:p w14:paraId="D8D8D119">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（3）评标办法； </w:t>
      </w:r>
    </w:p>
    <w:p w14:paraId="984FAFF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（4）合同（样板）； </w:t>
      </w:r>
    </w:p>
    <w:p w14:paraId="BB8120C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（5）投标文件格式； </w:t>
      </w:r>
    </w:p>
    <w:p w14:paraId="55328D4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（6）采购内容及技术要求</w:t>
      </w:r>
    </w:p>
    <w:p w14:paraId="47E18CA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根据本章第 2.2 款和第 2.3 款对招标文件所作的澄清、修改，构成招标文件的组成部分。 </w:t>
      </w:r>
    </w:p>
    <w:p w14:paraId="3D8ED2B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2.2 招标文件的澄清 </w:t>
      </w:r>
    </w:p>
    <w:p w14:paraId="2640B255">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2.2.1 投标人应仔细阅读和检查招标文件的全部内容。如发现缺页或附件不全，应及时向采购人提出，以便补齐。如有疑问，</w:t>
      </w:r>
      <w:r>
        <w:rPr>
          <w:rFonts w:hint="eastAsia"/>
          <w:color w:val="000000" w:themeColor="text1"/>
          <w:sz w:val="24"/>
          <w:highlight w:val="none"/>
          <w14:textFill>
            <w14:solidFill>
              <w14:schemeClr w14:val="tx1"/>
            </w14:solidFill>
          </w14:textFill>
        </w:rPr>
        <w:t>应在投标截止日期15日前在三门峡市公共资源交易系统中提出咨询并打电话至代理机构或采购人，要求对招标文件予以澄清</w:t>
      </w:r>
      <w:r>
        <w:rPr>
          <w:color w:val="000000" w:themeColor="text1"/>
          <w:sz w:val="24"/>
          <w:highlight w:val="none"/>
          <w14:textFill>
            <w14:solidFill>
              <w14:schemeClr w14:val="tx1"/>
            </w14:solidFill>
          </w14:textFill>
        </w:rPr>
        <w:t xml:space="preserve">。 </w:t>
      </w:r>
    </w:p>
    <w:p w14:paraId="9F77DAE2">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2.2.2 </w:t>
      </w:r>
      <w:r>
        <w:rPr>
          <w:rFonts w:hint="eastAsia"/>
          <w:color w:val="000000" w:themeColor="text1"/>
          <w:sz w:val="24"/>
          <w:highlight w:val="none"/>
          <w14:textFill>
            <w14:solidFill>
              <w14:schemeClr w14:val="tx1"/>
            </w14:solidFill>
          </w14:textFill>
        </w:rPr>
        <w:t>招标文件的澄清以澄清回复的方式在三门峡市公共资源交易系统中回复所有报名完成供应商或发布澄清公告，但不指明澄清问题的来源。澄清招标文件实质性内容且影响投标文件编制的，将相应延长投标截止时间</w:t>
      </w:r>
      <w:r>
        <w:rPr>
          <w:color w:val="000000" w:themeColor="text1"/>
          <w:sz w:val="24"/>
          <w:highlight w:val="none"/>
          <w14:textFill>
            <w14:solidFill>
              <w14:schemeClr w14:val="tx1"/>
            </w14:solidFill>
          </w14:textFill>
        </w:rPr>
        <w:t xml:space="preserve">。 </w:t>
      </w:r>
    </w:p>
    <w:p w14:paraId="67B9A100">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2.2.3供应商应自行查看澄清信息。如因投标人自身原因未看到信息，因此造成的一切后果由投标人自行承担。</w:t>
      </w:r>
    </w:p>
    <w:p w14:paraId="750B427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2.3 招标文件的修改 </w:t>
      </w:r>
    </w:p>
    <w:p w14:paraId="862B1352">
      <w:pPr>
        <w:pStyle w:val="43"/>
        <w:tabs>
          <w:tab w:val="left" w:pos="1321"/>
        </w:tabs>
        <w:spacing w:line="360" w:lineRule="auto"/>
        <w:ind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2.3.1 在投标截止时间15天前，招标人可以修改招标文件，并以变更公告形式通知所有已购买招标文件的投标人。</w:t>
      </w:r>
    </w:p>
    <w:p w14:paraId="2CC234F3">
      <w:pPr>
        <w:pStyle w:val="43"/>
        <w:tabs>
          <w:tab w:val="left" w:pos="1321"/>
        </w:tabs>
        <w:spacing w:line="360" w:lineRule="auto"/>
        <w:ind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2.3.2如果修改招标文件，会在发布公告的同一媒体上发布变更公告，不再发纸质的变更信息。提醒投标人随时注意网上发布的信息。如因投标人自身原因未看到信息，因此造成的一切后果由投标人自行承担。</w:t>
      </w:r>
    </w:p>
    <w:p w14:paraId="1719F29F">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2.3.3为使投标人在准备投标文件时有合理的时间考虑招标文件的修改，招标代理机构可酌情推迟投标截止时间和开标时间，但应当至少在投标截止时间三个日历日前将变更时间以发布变更公告的形式通知所有投标人。该修改内容为招标文件的组成部分。在此情况下，招标人和投标人受投标截止期制约的所有权利和义务均应延长至新的截止日期。</w:t>
      </w:r>
    </w:p>
    <w:p w14:paraId="9444CBB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 投标文件 </w:t>
      </w:r>
    </w:p>
    <w:p w14:paraId="5B69B27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3.1 投标文件的组成 </w:t>
      </w:r>
    </w:p>
    <w:p w14:paraId="283F342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3.1.1 投标文件应包括下列内容： </w:t>
      </w:r>
    </w:p>
    <w:p w14:paraId="267D2D4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1投标函</w:t>
      </w:r>
    </w:p>
    <w:p w14:paraId="32D0DE3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2投标报价表</w:t>
      </w:r>
    </w:p>
    <w:p w14:paraId="88C5F0F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3法定代表人身份证明</w:t>
      </w:r>
    </w:p>
    <w:p w14:paraId="F2C568B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4法定代表人授权书</w:t>
      </w:r>
    </w:p>
    <w:p w14:paraId="3BA58A61">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5投标承诺函</w:t>
      </w:r>
    </w:p>
    <w:p w14:paraId="AD58D54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6商务响应表</w:t>
      </w:r>
    </w:p>
    <w:p w14:paraId="548D6A92">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投标人的资格证明文件</w:t>
      </w:r>
    </w:p>
    <w:p w14:paraId="6E36065B">
      <w:pPr>
        <w:widowControl/>
        <w:spacing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lang w:eastAsia="zh-CN"/>
          <w14:textFill>
            <w14:solidFill>
              <w14:schemeClr w14:val="tx1"/>
            </w14:solidFill>
          </w14:textFill>
        </w:rPr>
        <w:t>技术部分</w:t>
      </w:r>
    </w:p>
    <w:p w14:paraId="4D430DD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服务承诺</w:t>
      </w:r>
    </w:p>
    <w:p w14:paraId="CB747CB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其他需要提供的资料</w:t>
      </w:r>
    </w:p>
    <w:p w14:paraId="3C7461B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投标人应根据招标文件提供投标文件格式填写，所有表格均需填写，如不够用时，投标人可按同样格式自行编写和添补。 </w:t>
      </w:r>
    </w:p>
    <w:p w14:paraId="7245695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3.2 投标报价 </w:t>
      </w:r>
    </w:p>
    <w:p w14:paraId="D194490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应参考本招标文件及有可能发出的补充文件、答疑文件对所投评估根据市场行情自主报价。投标总价应一次性报定，投标报价应包含为完成本项目所需要的全部费用和税金，如人员工资（不低于三门峡市最低工资标准）、社会保险、加班费等各项福利，人员工装、物品损耗、项目所需设备（包括但不限于提供服务所需的工具、设备、机械及其消耗品）等。</w:t>
      </w:r>
    </w:p>
    <w:p w14:paraId="55608D8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 如投标报价表中的小写金额和大写金额不一致的，以大写金额为准；对不同文字文本投标文件的解释发生异议的，以中文文本为准。</w:t>
      </w:r>
    </w:p>
    <w:p w14:paraId="A421A19D">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3.投标人的投标报价应包含本次招标要求所发生的一切费用，且投标人只能提出 一个不变价格，采购人不接受任何选择价。同时，最低报价不能作为中标的保证。 </w:t>
      </w:r>
    </w:p>
    <w:p w14:paraId="7EDEEB66">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4.全部报价均应以人民币为计量币种，并以人民币进行结算。 </w:t>
      </w:r>
    </w:p>
    <w:p w14:paraId="0B35BC9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5.评标委员会发现投标人的投标总报价明显低于其他企业投标总价的，</w:t>
      </w:r>
      <w:r>
        <w:rPr>
          <w:rFonts w:hint="eastAsia" w:ascii="宋体" w:hAnsi="宋体" w:eastAsia="宋体" w:cs="宋体"/>
          <w:color w:val="000000" w:themeColor="text1"/>
          <w:sz w:val="24"/>
          <w:highlight w:val="none"/>
          <w:lang w:eastAsia="zh-CN" w:bidi="ar"/>
          <w14:textFill>
            <w14:solidFill>
              <w14:schemeClr w14:val="tx1"/>
            </w14:solidFill>
          </w14:textFill>
        </w:rPr>
        <w:t>有可能影响</w:t>
      </w:r>
      <w:r>
        <w:rPr>
          <w:rFonts w:hint="eastAsia" w:ascii="宋体" w:hAnsi="宋体" w:cs="宋体"/>
          <w:color w:val="000000" w:themeColor="text1"/>
          <w:sz w:val="24"/>
          <w:highlight w:val="none"/>
          <w:lang w:eastAsia="zh-CN" w:bidi="ar"/>
          <w14:textFill>
            <w14:solidFill>
              <w14:schemeClr w14:val="tx1"/>
            </w14:solidFill>
          </w14:textFill>
        </w:rPr>
        <w:t>服务质量</w:t>
      </w:r>
      <w:r>
        <w:rPr>
          <w:rFonts w:hint="eastAsia" w:ascii="宋体" w:hAnsi="宋体" w:eastAsia="宋体" w:cs="宋体"/>
          <w:color w:val="000000" w:themeColor="text1"/>
          <w:sz w:val="24"/>
          <w:highlight w:val="none"/>
          <w:lang w:eastAsia="zh-CN" w:bidi="ar"/>
          <w14:textFill>
            <w14:solidFill>
              <w14:schemeClr w14:val="tx1"/>
            </w14:solidFill>
          </w14:textFill>
        </w:rPr>
        <w:t>或者不能诚信履约的，应当要求其在评标现场合理的时间内提供说明，必要时提交相关证明材料；投标供应商不能证明其报价合理性的，</w:t>
      </w:r>
      <w:r>
        <w:rPr>
          <w:rFonts w:hint="eastAsia" w:ascii="宋体" w:hAnsi="宋体" w:cs="宋体"/>
          <w:color w:val="000000" w:themeColor="text1"/>
          <w:sz w:val="24"/>
          <w:highlight w:val="none"/>
          <w:lang w:eastAsia="zh-CN" w:bidi="ar"/>
          <w14:textFill>
            <w14:solidFill>
              <w14:schemeClr w14:val="tx1"/>
            </w14:solidFill>
          </w14:textFill>
        </w:rPr>
        <w:t>评标委员会</w:t>
      </w:r>
      <w:r>
        <w:rPr>
          <w:rFonts w:hint="eastAsia" w:ascii="宋体" w:hAnsi="宋体" w:eastAsia="宋体" w:cs="宋体"/>
          <w:color w:val="000000" w:themeColor="text1"/>
          <w:sz w:val="24"/>
          <w:highlight w:val="none"/>
          <w:lang w:eastAsia="zh-CN" w:bidi="ar"/>
          <w14:textFill>
            <w14:solidFill>
              <w14:schemeClr w14:val="tx1"/>
            </w14:solidFill>
          </w14:textFill>
        </w:rPr>
        <w:t>应当将其作为无效投标处理。</w:t>
      </w:r>
      <w:r>
        <w:rPr>
          <w:rFonts w:hint="eastAsia" w:ascii="宋体" w:hAnsi="宋体" w:cs="宋体"/>
          <w:color w:val="000000" w:themeColor="text1"/>
          <w:kern w:val="0"/>
          <w:sz w:val="24"/>
          <w:highlight w:val="none"/>
          <w14:textFill>
            <w14:solidFill>
              <w14:schemeClr w14:val="tx1"/>
            </w14:solidFill>
          </w14:textFill>
        </w:rPr>
        <w:t>采购人设招标控制价时，投标人的投标总报价高于招标控制价的，经评标委员会初审后作无效标处理。</w:t>
      </w:r>
    </w:p>
    <w:p w14:paraId="617E878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3.3 投标有效期 </w:t>
      </w:r>
    </w:p>
    <w:p w14:paraId="310EA39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3.3.1 投标文件从投标人须知前附表规定的投标截止之日起开始生效，在投标人须知前附表规定的期限内保持有效。有效期不足将导致其投标文件被拒绝。</w:t>
      </w:r>
    </w:p>
    <w:p w14:paraId="348C09E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3.3.2 特殊情况下采购代理机构可于投标有效期满之前书面要求投标人同意延长有效期，投标人应在采购代理机构规定的期限内以书面形式予以答复。投标人可以拒绝上述要求。投标人答复不明确或者逾期未答复的，均视为拒绝上述要求。对于接受该要求的投标人，既不要求也不允许其修改投标文件。 </w:t>
      </w:r>
    </w:p>
    <w:p w14:paraId="FB7ABEF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 投标保证金 无</w:t>
      </w:r>
    </w:p>
    <w:p w14:paraId="F155A6F1">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3.5 审查资料 </w:t>
      </w:r>
    </w:p>
    <w:p w14:paraId="7D0694D0">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根据投标文件格式要求提供资料</w:t>
      </w:r>
    </w:p>
    <w:p w14:paraId="C1C4F3C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3.6 备选投标方案 </w:t>
      </w:r>
    </w:p>
    <w:p w14:paraId="6AE6C57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投标人不得递交备选投标方案。 </w:t>
      </w:r>
    </w:p>
    <w:p w14:paraId="DFC5C6C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3.7 投标文件的编制 </w:t>
      </w:r>
    </w:p>
    <w:p w14:paraId="0387855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3.7.1 投标文件应按第五章“投标文件格式”进行编写，如有必要，可以增加附页，作为投标文件的组成部分。其中，投标报价表在满足招标文件实质性要求的基础上，可以提出比招标文件要求更有利于采购人的承诺。 </w:t>
      </w:r>
    </w:p>
    <w:p w14:paraId="143C1C3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3.7.2 投标文件应当对招标文件有关投标有效期、服务期限等实质性内容作出响应。 </w:t>
      </w:r>
    </w:p>
    <w:p w14:paraId="3C59AC9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3.7.3招标文件中要求法定代表人或授权委托人签字或盖章的，投标人在进行电子化投标文件签章时，以签盖法定代表人签章为准。</w:t>
      </w:r>
    </w:p>
    <w:p w14:paraId="E9060A4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3.7.4投标人在生成电子化投标文件后，应对电子化投标文件进行签章，未对电子化文件进行签章的视为无效投标。详见投标人须知前附表。</w:t>
      </w:r>
    </w:p>
    <w:p w14:paraId="CBD6D01E">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4. 投标 </w:t>
      </w:r>
    </w:p>
    <w:p w14:paraId="11B146F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4.1投标文件的递交 </w:t>
      </w:r>
    </w:p>
    <w:p w14:paraId="1C0D962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4.1.1投标人所上传的电子化投标文件，应是通过中心投标文件制作系统制作的，经过签章和加密后生成的电子版投标文件。其中包含投标文件主文件、投标文件备份文件。</w:t>
      </w:r>
    </w:p>
    <w:p w14:paraId="79C595B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4.1.2电子化投标文件应在投标截止时间前成功上传至三门峡市公共资源电子化交易系统。至投标截止时间止，仍未上传成功的电子化投标文件，其投标文件将不予接收。</w:t>
      </w:r>
    </w:p>
    <w:p w14:paraId="016FD3A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4.1.3投标人递交投标文件的时间：见投标人须知前附表。</w:t>
      </w:r>
    </w:p>
    <w:p w14:paraId="A8B3BAF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4.1.4除投标人须知前附表另有规定外，投标人所递交的投标文件不予退还。</w:t>
      </w:r>
    </w:p>
    <w:p w14:paraId="A7B69B5E">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4.2投标文件的修改与撤回</w:t>
      </w:r>
    </w:p>
    <w:p w14:paraId="18036D7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4.2.1在本章前附表第 2.2.2 项规定的投标截止时间前，投标人可以修改或撤回已递交的投标文件。</w:t>
      </w:r>
    </w:p>
    <w:p w14:paraId="6AA53569">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4.2.2修改的内容为投标文件的组成部分。</w:t>
      </w:r>
    </w:p>
    <w:p w14:paraId="7106409F">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4.3如遇到以下情况视为无效标</w:t>
      </w:r>
    </w:p>
    <w:p w14:paraId="6CFBC7A5">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4.3.1未通过资格审核、初步审核的</w:t>
      </w:r>
    </w:p>
    <w:p w14:paraId="6D04E9F0">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4.3.2投标人名称或组织机构内容不一致的且未提供有效证明的；</w:t>
      </w:r>
    </w:p>
    <w:p w14:paraId="88A1A6B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4.3.3未按招标文件要求编制投标文件的；</w:t>
      </w:r>
    </w:p>
    <w:p w14:paraId="7EA00B4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4.3.4投标人在生成电子化投标文件后，未对电子化文件进行签章的视为无效投标。</w:t>
      </w:r>
    </w:p>
    <w:p w14:paraId="3F2B574D">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5. 开标 </w:t>
      </w:r>
    </w:p>
    <w:p w14:paraId="08FC4069">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5.1 开标时间和地点 </w:t>
      </w:r>
    </w:p>
    <w:p w14:paraId="EC40D8E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采购人在本招标文件规定的投标截止时间（开标时间）和地点公开开标。</w:t>
      </w:r>
    </w:p>
    <w:p w14:paraId="0D4B029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5.2 开标程序 </w:t>
      </w:r>
    </w:p>
    <w:p w14:paraId="146B9C07">
      <w:pPr>
        <w:pStyle w:val="43"/>
        <w:tabs>
          <w:tab w:val="left" w:pos="1321"/>
        </w:tabs>
        <w:spacing w:line="360" w:lineRule="auto"/>
        <w:ind w:firstLine="0" w:firstLineChars="0"/>
        <w:rPr>
          <w:color w:val="000000" w:themeColor="text1"/>
          <w:sz w:val="24"/>
          <w:highlight w:val="none"/>
          <w14:textFill>
            <w14:solidFill>
              <w14:schemeClr w14:val="tx1"/>
            </w14:solidFill>
          </w14:textFill>
        </w:rPr>
      </w:pPr>
      <w:bookmarkStart w:id="0" w:name="6._评标（本项目为电子评标）"/>
      <w:bookmarkEnd w:id="0"/>
      <w:r>
        <w:rPr>
          <w:rFonts w:hint="eastAsia"/>
          <w:color w:val="000000" w:themeColor="text1"/>
          <w:sz w:val="24"/>
          <w:highlight w:val="none"/>
          <w14:textFill>
            <w14:solidFill>
              <w14:schemeClr w14:val="tx1"/>
            </w14:solidFill>
          </w14:textFill>
        </w:rPr>
        <w:t>5.2.1开标时间和地点：在本文件前附表规定的开标时间和地点公开开标。</w:t>
      </w:r>
    </w:p>
    <w:p w14:paraId="02F3BAC3">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5.2.2电子化项目开标、解密、唱标、评标</w:t>
      </w:r>
    </w:p>
    <w:p w14:paraId="B4C07EAF">
      <w:pPr>
        <w:pStyle w:val="43"/>
        <w:tabs>
          <w:tab w:val="left" w:pos="1321"/>
        </w:tabs>
        <w:spacing w:line="360" w:lineRule="auto"/>
        <w:ind w:firstLine="48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ascii="宋体" w:hAnsi="宋体"/>
          <w:color w:val="000000" w:themeColor="text1"/>
          <w:sz w:val="24"/>
          <w:highlight w:val="none"/>
          <w14:textFill>
            <w14:solidFill>
              <w14:schemeClr w14:val="tx1"/>
            </w14:solidFill>
          </w14:textFill>
        </w:rPr>
        <w:t>http://120.194.249.36:10094/BidOpening/bidopeninghallaction/hall/login</w:t>
      </w:r>
      <w:r>
        <w:rPr>
          <w:rFonts w:hint="eastAsia"/>
          <w:color w:val="000000" w:themeColor="text1"/>
          <w:sz w:val="24"/>
          <w:highlight w:val="none"/>
          <w14:textFill>
            <w14:solidFill>
              <w14:schemeClr w14:val="tx1"/>
            </w14:solidFill>
          </w14:textFill>
        </w:rPr>
        <w:t>）,在线准时参加开标活动并进行投标文件解密等。</w:t>
      </w:r>
    </w:p>
    <w:p w14:paraId="C27ABF3F">
      <w:pPr>
        <w:pStyle w:val="43"/>
        <w:tabs>
          <w:tab w:val="left" w:pos="1321"/>
        </w:tabs>
        <w:spacing w:line="360" w:lineRule="auto"/>
        <w:ind w:left="0" w:leftChars="0"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5.2.3电子化投标文件采用一次加密方式。开标时，由投标人使用CA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C148DCF9">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5.2.4电子化投标文件解密异常的处理</w:t>
      </w:r>
    </w:p>
    <w:p w14:paraId="0FA61C36">
      <w:pPr>
        <w:pStyle w:val="43"/>
        <w:tabs>
          <w:tab w:val="left" w:pos="1321"/>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如出现投标人的电子投标文件无法解密等异常情况，投标人应及时致电中介服务机构说明。投标文件异常，按以下步骤进行处理：</w:t>
      </w:r>
    </w:p>
    <w:p w14:paraId="8AE98E25">
      <w:pPr>
        <w:pStyle w:val="43"/>
        <w:tabs>
          <w:tab w:val="left" w:pos="1321"/>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（1）首先由技术人员进行问题排查。</w:t>
      </w:r>
    </w:p>
    <w:p w14:paraId="E5426BA6">
      <w:pPr>
        <w:pStyle w:val="43"/>
        <w:tabs>
          <w:tab w:val="left" w:pos="1321"/>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（2）经技术人员排查后，是投标人文件自身问题导致投标文件无法解密的，该投标文件将不予接收、解密和唱标。开标会议继续进行。</w:t>
      </w:r>
    </w:p>
    <w:p w14:paraId="203DCDAC">
      <w:pPr>
        <w:pStyle w:val="43"/>
        <w:tabs>
          <w:tab w:val="left" w:pos="1321"/>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C4E85A2A">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5.2.5待所有投标人投标文件解密完成后，由中介服务机构操作，对所有已解密投标文件进行唱标。</w:t>
      </w:r>
    </w:p>
    <w:p w14:paraId="6CDB8513">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5.2.6投标人应保证在开标期间电话、电脑、网络能够正常工作，投标人因停电、电脑病毒、网络堵塞等原因，未在规定的解密时间内对投标文件进行解密的，其投标文件不予接收、唱标。</w:t>
      </w:r>
    </w:p>
    <w:p w14:paraId="B67F9D6C">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5.2.7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ACE66B8C">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5.2.8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9B68AFA8">
      <w:pPr>
        <w:pStyle w:val="43"/>
        <w:tabs>
          <w:tab w:val="left" w:pos="1321"/>
        </w:tabs>
        <w:spacing w:line="360" w:lineRule="auto"/>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5.2.9如评标委员会对需要回复的投标人连续三次致电未接通的，视为投标人放弃回复，评标委员会将自行对需要回复的内容进行认定。</w:t>
      </w:r>
    </w:p>
    <w:p w14:paraId="2F3F0128">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开标结束后，由采购人或者采购代理机构依法对供应商的资格进行审查</w:t>
      </w:r>
    </w:p>
    <w:p w14:paraId="9FB6F1F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资格审查项为：</w:t>
      </w:r>
    </w:p>
    <w:p w14:paraId="2A6C9A77">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lang w:eastAsia="zh-CN"/>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响应人</w:t>
      </w:r>
      <w:r>
        <w:rPr>
          <w:rFonts w:hint="eastAsia" w:ascii="宋体" w:hAnsi="宋体" w:eastAsia="宋体" w:cs="Times New Roman"/>
          <w:color w:val="000000" w:themeColor="text1"/>
          <w:sz w:val="24"/>
          <w:szCs w:val="24"/>
          <w14:textFill>
            <w14:solidFill>
              <w14:schemeClr w14:val="tx1"/>
            </w14:solidFill>
          </w14:textFill>
        </w:rPr>
        <w:t>具有合法有效律师事务所执业许可证</w:t>
      </w:r>
      <w:r>
        <w:rPr>
          <w:rFonts w:hint="eastAsia" w:ascii="宋体" w:hAnsi="宋体" w:cs="Times New Roman"/>
          <w:color w:val="000000" w:themeColor="text1"/>
          <w:sz w:val="24"/>
          <w:szCs w:val="24"/>
          <w:lang w:val="en-US" w:eastAsia="zh-CN"/>
          <w14:textFill>
            <w14:solidFill>
              <w14:schemeClr w14:val="tx1"/>
            </w14:solidFill>
          </w14:textFill>
        </w:rPr>
        <w:t>且执业律师不少于16名，同时执业年限超过5年的执业律师不少于12名</w:t>
      </w:r>
      <w:r>
        <w:rPr>
          <w:rFonts w:hint="eastAsia" w:ascii="宋体" w:hAnsi="宋体" w:eastAsia="宋体" w:cs="Times New Roman"/>
          <w:color w:val="000000" w:themeColor="text1"/>
          <w:sz w:val="24"/>
          <w:szCs w:val="24"/>
          <w14:textFill>
            <w14:solidFill>
              <w14:schemeClr w14:val="tx1"/>
            </w14:solidFill>
          </w14:textFill>
        </w:rPr>
        <w:t>；</w:t>
      </w:r>
    </w:p>
    <w:p w14:paraId="547A3159">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lang w:eastAsia="zh-CN"/>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响应人</w:t>
      </w:r>
      <w:r>
        <w:rPr>
          <w:rFonts w:hint="eastAsia" w:ascii="宋体" w:hAnsi="宋体" w:eastAsia="宋体" w:cs="Times New Roman"/>
          <w:color w:val="000000" w:themeColor="text1"/>
          <w:sz w:val="24"/>
          <w:szCs w:val="24"/>
          <w14:textFill>
            <w14:solidFill>
              <w14:schemeClr w14:val="tx1"/>
            </w14:solidFill>
          </w14:textFill>
        </w:rPr>
        <w:t>拟派本项目负责人（主办律师）政治素质高，拥护党的理论和路线方针政策；具有律师执业证书且执业经历不低于</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0年（以律师执业证书上执业证号显示的年份为起算标准）；</w:t>
      </w:r>
    </w:p>
    <w:p w14:paraId="5C123959">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响应人近五年（20</w:t>
      </w:r>
      <w:r>
        <w:rPr>
          <w:rFonts w:hint="eastAsia" w:ascii="宋体" w:hAnsi="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年1月1日以来）内未受过司法行政机关的行政处罚及律师协会的行业处分（书面承诺格式自拟）；</w:t>
      </w:r>
    </w:p>
    <w:p w14:paraId="1688EF80">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4</w:t>
      </w:r>
      <w:r>
        <w:rPr>
          <w:rFonts w:hint="eastAsia" w:ascii="宋体" w:hAnsi="宋体" w:cs="宋体"/>
          <w:bCs/>
          <w:color w:val="000000" w:themeColor="text1"/>
          <w:kern w:val="0"/>
          <w:sz w:val="24"/>
          <w:szCs w:val="20"/>
          <w:highlight w:val="none"/>
          <w14:textFill>
            <w14:solidFill>
              <w14:schemeClr w14:val="tx1"/>
            </w14:solidFill>
          </w14:textFill>
        </w:rPr>
        <w:t>、提供本单位无商业贿赂和无不正当竞争行为承诺书；</w:t>
      </w:r>
    </w:p>
    <w:p w14:paraId="7F7F2717">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5</w:t>
      </w:r>
      <w:r>
        <w:rPr>
          <w:rFonts w:hint="eastAsia" w:ascii="宋体" w:hAnsi="宋体" w:cs="宋体"/>
          <w:bCs/>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截图要显示查询时间，查询时间自公告发布之日起至</w:t>
      </w:r>
      <w:r>
        <w:rPr>
          <w:rFonts w:hint="eastAsia" w:ascii="宋体" w:hAnsi="宋体"/>
          <w:color w:val="000000" w:themeColor="text1"/>
          <w:sz w:val="24"/>
          <w:highlight w:val="none"/>
          <w:lang w:eastAsia="zh-CN"/>
          <w14:textFill>
            <w14:solidFill>
              <w14:schemeClr w14:val="tx1"/>
            </w14:solidFill>
          </w14:textFill>
        </w:rPr>
        <w:t>投标截止时间</w:t>
      </w:r>
      <w:r>
        <w:rPr>
          <w:rFonts w:hint="eastAsia" w:ascii="宋体" w:hAnsi="宋体"/>
          <w:color w:val="000000" w:themeColor="text1"/>
          <w:sz w:val="24"/>
          <w:highlight w:val="none"/>
          <w14:textFill>
            <w14:solidFill>
              <w14:schemeClr w14:val="tx1"/>
            </w14:solidFill>
          </w14:textFill>
        </w:rPr>
        <w:t>止）</w:t>
      </w:r>
      <w:r>
        <w:rPr>
          <w:rFonts w:hint="eastAsia" w:ascii="宋体" w:hAnsi="宋体" w:cs="宋体"/>
          <w:bCs/>
          <w:color w:val="000000" w:themeColor="text1"/>
          <w:kern w:val="0"/>
          <w:sz w:val="24"/>
          <w:szCs w:val="20"/>
          <w:highlight w:val="none"/>
          <w14:textFill>
            <w14:solidFill>
              <w14:schemeClr w14:val="tx1"/>
            </w14:solidFill>
          </w14:textFill>
        </w:rPr>
        <w:t>；</w:t>
      </w:r>
    </w:p>
    <w:p w14:paraId="15F1A442">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6</w:t>
      </w:r>
      <w:r>
        <w:rPr>
          <w:rFonts w:hint="eastAsia" w:ascii="宋体" w:hAnsi="宋体" w:cs="宋体"/>
          <w:bCs/>
          <w:color w:val="000000" w:themeColor="text1"/>
          <w:kern w:val="0"/>
          <w:sz w:val="24"/>
          <w:szCs w:val="20"/>
          <w:highlight w:val="none"/>
          <w14:textFill>
            <w14:solidFill>
              <w14:schemeClr w14:val="tx1"/>
            </w14:solidFill>
          </w14:textFill>
        </w:rPr>
        <w:t>、单位负责人为同一人或者存在直接控股、管理关系的不同投标人，不得参加同一合同项下的采购活动；（提供《国家企业信用信息公示系统》查询企业股东等信息或声明函）；</w:t>
      </w:r>
    </w:p>
    <w:p w14:paraId="4F34B34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 评标 </w:t>
      </w:r>
    </w:p>
    <w:p w14:paraId="2E2046D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6.1 评标委员会 </w:t>
      </w:r>
    </w:p>
    <w:p w14:paraId="DB77ED7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6.1.1 评标由采购人依法组建的评标委员会负责。评标委员会由有关技术、经济等方面的专家组成。评标委员会成员人数以及技术、经济等方面专家的确定方式见投标人须知前附表。</w:t>
      </w:r>
    </w:p>
    <w:p w14:paraId="6C4E2FA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6.1.2 评标委员会成员有下列情形之一的，应当回避：</w:t>
      </w:r>
    </w:p>
    <w:p w14:paraId="8EF9C63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（1）采购人或投标人的主要负责人的近亲属；</w:t>
      </w:r>
    </w:p>
    <w:p w14:paraId="B59D341F">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（2）项目主管部门或者行政监督部门的人员；</w:t>
      </w:r>
    </w:p>
    <w:p w14:paraId="48D25F1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（3）与投标人有经济利益关系，可能影响对投标公正评审的；</w:t>
      </w:r>
    </w:p>
    <w:p w14:paraId="6D593896">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（4）曾因在招标、评标以及其他与招标投标有关活动中从事违法行为而受过行政处罚或刑事处罚的。 </w:t>
      </w:r>
    </w:p>
    <w:p w14:paraId="BECF6F9C">
      <w:pPr>
        <w:widowControl/>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（5）与投标人有其他利害关系。</w:t>
      </w:r>
    </w:p>
    <w:p w14:paraId="067AE6A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6.1.3 评标委员会成员的名单在中标结果确定前应当保密。</w:t>
      </w:r>
    </w:p>
    <w:p w14:paraId="F9AA7DB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6.1.4 评标委员会首先应推选一名评标委员会组长。评标委员会组长负责评标活动的组织领导工作。组长和成员在表决时享有同等的权利。 </w:t>
      </w:r>
    </w:p>
    <w:p w14:paraId="00B4399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6.1.5 评标委员会应严格按照招标文件规定的评标办法和本程序规定进行评标，不得改变招标文件中规定的评标标准、方法和中标条件。 </w:t>
      </w:r>
    </w:p>
    <w:p w14:paraId="560CF78B">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6.2 评标原则 </w:t>
      </w:r>
    </w:p>
    <w:p w14:paraId="55546F60">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6.2.1评标活动遵循公平、公正、科学和择优的原则。</w:t>
      </w:r>
    </w:p>
    <w:p w14:paraId="238765C6">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6.2.2评标的保密原则</w:t>
      </w:r>
    </w:p>
    <w:p w14:paraId="0B61B00A">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（1）开标后到宣布授予中标单位中标通知书为止，凡属于审查、澄清、评价和比较投标的有关资料，以及中标人的推荐情况，与评标有关的其他任何情况均严格保密。</w:t>
      </w:r>
    </w:p>
    <w:p w14:paraId="4B6B7CD6">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（2）在投标文件的评审和比较、中标人推荐以及授予合同的过程中，投标人向采购人和评标委员会施加影响的任何行为，都将导致其投标被拒绝。</w:t>
      </w:r>
    </w:p>
    <w:p w14:paraId="518CDAE6">
      <w:pPr>
        <w:widowControl/>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（3）中标人确定后，采购人不对未中标人就评标过程以及未能中标原因作出任何解释。未中标人不得向评标委员会组成人员或其他有关人员索问评标过程的情况和材料。</w:t>
      </w:r>
    </w:p>
    <w:p w14:paraId="82FC49F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6.3 评标 </w:t>
      </w:r>
    </w:p>
    <w:p w14:paraId="6F7980F2">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评标委员会按照第三章“评标办法”规定的方法、评审因素、标准和程序对投标文件进行评审。第三章“评标办法”没有规定的方法、评审因素和标准，不作为评标依据。 注：在电子评标过程中，如遇技术问题详见投标人须知前附表。</w:t>
      </w:r>
    </w:p>
    <w:p w14:paraId="F4F176B0">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6.4评标过程的保密 </w:t>
      </w:r>
    </w:p>
    <w:p w14:paraId="89C558FF">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（1）开标后，直至授予中标投标人合同为止，凡属于对投标文件的审查、澄清、评价和比较有关的资料，中标候选人的推荐情况，及其他任何与评标有关的情况均应严格保密。 </w:t>
      </w:r>
    </w:p>
    <w:p w14:paraId="F5FAC9E6">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（2）在投标文件的评审和比较、中标候选人推荐以及授予合同的过程中，投标人向采购人和评标委员会施加影响的任何行为，都将会导致其投标被拒绝。</w:t>
      </w:r>
    </w:p>
    <w:p w14:paraId="07641DE2">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（3）中标投标人确定后，采购人不对未中标投标人就评标过程以及未能中标原因作出任何解释。未中标投标人不得向评标委员会组成人员或其他有关人员索问评标过程的情况和材料。</w:t>
      </w:r>
    </w:p>
    <w:p w14:paraId="6F2C72E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 合同授予 </w:t>
      </w:r>
    </w:p>
    <w:p w14:paraId="6CD40D0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7.1 定标办法 </w:t>
      </w:r>
    </w:p>
    <w:p w14:paraId="80F2B3E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除投标人须知前附表规定评标委员会直接确定中标人外，采购人依据评标委员会推荐的中标候选人确定中标人，评标委员会推荐中标候选人的人数见投标人须知前附表。 </w:t>
      </w:r>
    </w:p>
    <w:p w14:paraId="4563BE6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7.2 评标结果公示和中标通知书 </w:t>
      </w:r>
    </w:p>
    <w:p w14:paraId="DF9F7D9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结束后，评标结果经采购人确认后，采购代理机构方应在刊登本采购项目招标公告的媒介上对中标结果进行公告，待公示1个工作日，在公告中标结果同时采购代理机构向中标投标人发出中标通知书。中标通知书对采购人和中标投标人具有同等法律效力。中标通知书发出后，采购人改变中标结果，或者中标投标人放弃中标，应按相关法律、规章、规范性文件的要求承担相应的法律责任。投标人对中标公告有异议的，应当在知道或应当知道其权益受到损害之日起7个工作日内，以书面形式向采购人或采购代理机构提出质疑。</w:t>
      </w:r>
    </w:p>
    <w:p w14:paraId="1B4E30C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若有中标人放弃中标或因不可抗力提出不能履行合同，或者招标文件规定应当提交履约保证金而在规定的期限内未能提交的，采购人可以确定下一排名的中标候选人为中标单位，并发出中标通知书。 也可重新招标。</w:t>
      </w:r>
    </w:p>
    <w:p w14:paraId="7C4FE62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7.3 履约担保 </w:t>
      </w:r>
    </w:p>
    <w:p w14:paraId="FE414AF3">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7.3.1 在签订合同前，中标人应按投标人须知前附表规定的金额、担保形式和招标文件第四章“合同条款及格式”规定的履约担保格式向采购人提交履约担保。 </w:t>
      </w:r>
    </w:p>
    <w:p w14:paraId="EB0CF4F9">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7.4 签订合同 </w:t>
      </w:r>
    </w:p>
    <w:p w14:paraId="6A3B5BE2">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7.4.1 采购人和中标人应当自中标通知书发出之日起 30 天内，根据招标文件和中标人的投标文件订立书面合同。中标人无正当理由拒签合同的，采购人取消其中标资格，给采购人造成的损失，中标人还应当予以赔偿。 </w:t>
      </w:r>
    </w:p>
    <w:p w14:paraId="7EE196CA">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7.4.2 发出中标通知书后，采购人无正当理由拒签合同的；给中标人造成损失的，还应当赔偿损失。 </w:t>
      </w:r>
    </w:p>
    <w:p w14:paraId="F03B129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8.重新招标和不再招标 </w:t>
      </w:r>
    </w:p>
    <w:p w14:paraId="40C073B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8.1 重新招标 </w:t>
      </w:r>
    </w:p>
    <w:p w14:paraId="3C9300D9">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有下列情形之一的，采购人将重新招标： </w:t>
      </w:r>
    </w:p>
    <w:p w14:paraId="C2BAAAD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（1）投标截止时间止，投标人少于 3 个的； </w:t>
      </w:r>
    </w:p>
    <w:p w14:paraId="E4EF21E7">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（2）经评标委员会评审后否决所有投标的。 </w:t>
      </w:r>
    </w:p>
    <w:p w14:paraId="E7EB3E64">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8.2 不再招标 </w:t>
      </w:r>
    </w:p>
    <w:p w14:paraId="DEC5B83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重新招标后投标人仍少于 3 个或者所有投标被否决的，属于必须审批或核准的项目，经原审批或核准部门批准后不再进行招标。 </w:t>
      </w:r>
    </w:p>
    <w:p w14:paraId="D2B378A5">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9.纪律和监督 </w:t>
      </w:r>
    </w:p>
    <w:p w14:paraId="1541880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9.1 对采购人的纪律要求 </w:t>
      </w:r>
    </w:p>
    <w:p w14:paraId="747E61F1">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采购人不得泄漏招标投标活动中应当保密的情况和资料，不得与投标人串通损害国家利益、社会公共利益或者他人合法利益。 </w:t>
      </w:r>
    </w:p>
    <w:p w14:paraId="0C04BCEC">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9.2 对投标人的纪律要求 </w:t>
      </w:r>
    </w:p>
    <w:p w14:paraId="712EDAE8">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投标人不得相互串通投标或者与采购人串通投标，不得向采购人或者评标委员会成员行贿谋取中标，不得以他人名义投标或者以其他方式弄虚作假骗取中标；投标人不得以任何方式干扰、影响评标工作。 </w:t>
      </w:r>
    </w:p>
    <w:p w14:paraId="F3C5CF7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9.3 对评标委员会成员的纪律要求 </w:t>
      </w:r>
    </w:p>
    <w:p w14:paraId="CADF2A6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0ED90B5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9.4 对与评标活动有关的工作人员的纪律要求 </w:t>
      </w:r>
    </w:p>
    <w:p w14:paraId="C4F760E0">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A301846">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10.需要补充的其他内容 </w:t>
      </w:r>
    </w:p>
    <w:p w14:paraId="67E6680B">
      <w:pPr>
        <w:widowControl/>
        <w:spacing w:line="360" w:lineRule="auto"/>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需要补充的其他内容：见投标人须知前附表</w:t>
      </w:r>
    </w:p>
    <w:p w14:paraId="17EEFF86">
      <w:pPr>
        <w:widowControl/>
        <w:spacing w:line="360" w:lineRule="auto"/>
        <w:jc w:val="both"/>
        <w:rPr>
          <w:rFonts w:hint="eastAsia" w:ascii="宋体" w:hAnsi="宋体" w:cs="宋体"/>
          <w:b/>
          <w:color w:val="000000" w:themeColor="text1"/>
          <w:kern w:val="0"/>
          <w:sz w:val="31"/>
          <w:szCs w:val="31"/>
          <w:highlight w:val="none"/>
          <w14:textFill>
            <w14:solidFill>
              <w14:schemeClr w14:val="tx1"/>
            </w14:solidFill>
          </w14:textFill>
        </w:rPr>
      </w:pPr>
    </w:p>
    <w:p w14:paraId="764F7453">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689" w:bottom="1440" w:left="1689" w:header="851" w:footer="992" w:gutter="0"/>
          <w:cols w:space="720" w:num="1"/>
          <w:docGrid w:type="lines" w:linePitch="381" w:charSpace="0"/>
        </w:sectPr>
      </w:pPr>
    </w:p>
    <w:p w14:paraId="B0156F96">
      <w:pPr>
        <w:widowControl/>
        <w:spacing w:line="360" w:lineRule="auto"/>
        <w:jc w:val="center"/>
        <w:rPr>
          <w:rFonts w:hint="eastAsia" w:ascii="宋体" w:hAnsi="宋体" w:cs="宋体"/>
          <w:b/>
          <w:color w:val="000000" w:themeColor="text1"/>
          <w:kern w:val="0"/>
          <w:sz w:val="31"/>
          <w:szCs w:val="31"/>
          <w:highlight w:val="none"/>
          <w14:textFill>
            <w14:solidFill>
              <w14:schemeClr w14:val="tx1"/>
            </w14:solidFill>
          </w14:textFill>
        </w:rPr>
      </w:pPr>
      <w:r>
        <w:rPr>
          <w:rFonts w:hint="eastAsia" w:ascii="宋体" w:hAnsi="宋体" w:cs="宋体"/>
          <w:b/>
          <w:color w:val="000000" w:themeColor="text1"/>
          <w:kern w:val="0"/>
          <w:sz w:val="31"/>
          <w:szCs w:val="31"/>
          <w:highlight w:val="none"/>
          <w14:textFill>
            <w14:solidFill>
              <w14:schemeClr w14:val="tx1"/>
            </w14:solidFill>
          </w14:textFill>
        </w:rPr>
        <w:t>第三章 评标办法</w:t>
      </w:r>
    </w:p>
    <w:p w14:paraId="CB6E0800">
      <w:pPr>
        <w:widowControl/>
        <w:spacing w:line="360" w:lineRule="auto"/>
        <w:jc w:val="center"/>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评标办法前附表</w:t>
      </w:r>
    </w:p>
    <w:p w14:paraId="A0F8CE0D">
      <w:pPr>
        <w:widowControl/>
        <w:spacing w:line="360" w:lineRule="auto"/>
        <w:jc w:val="left"/>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2.1 初步评审 </w:t>
      </w:r>
    </w:p>
    <w:p w14:paraId="C44C92A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tbl>
      <w:tblPr>
        <w:tblStyle w:val="1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936"/>
        <w:gridCol w:w="1911"/>
        <w:gridCol w:w="5597"/>
      </w:tblGrid>
      <w:tr w14:paraId="7863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99" w:type="dxa"/>
            <w:gridSpan w:val="2"/>
          </w:tcPr>
          <w:p w14:paraId="34E161E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条款号</w:t>
            </w:r>
          </w:p>
        </w:tc>
        <w:tc>
          <w:tcPr>
            <w:tcW w:w="1911" w:type="dxa"/>
          </w:tcPr>
          <w:p w14:paraId="EC9F36C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评审因素</w:t>
            </w:r>
          </w:p>
        </w:tc>
        <w:tc>
          <w:tcPr>
            <w:tcW w:w="5597" w:type="dxa"/>
            <w:vAlign w:val="center"/>
          </w:tcPr>
          <w:p w14:paraId="AA0FA48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评审标准</w:t>
            </w:r>
          </w:p>
        </w:tc>
      </w:tr>
      <w:tr w14:paraId="DCE7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63" w:type="dxa"/>
            <w:vMerge w:val="restart"/>
            <w:vAlign w:val="center"/>
          </w:tcPr>
          <w:p w14:paraId="B78A207A">
            <w:pPr>
              <w:spacing w:line="360" w:lineRule="auto"/>
              <w:rPr>
                <w:rFonts w:hint="eastAsia" w:ascii="宋体" w:hAnsi="宋体" w:cs="宋体"/>
                <w:color w:val="000000" w:themeColor="text1"/>
                <w:sz w:val="24"/>
                <w:highlight w:val="none"/>
                <w14:textFill>
                  <w14:solidFill>
                    <w14:schemeClr w14:val="tx1"/>
                  </w14:solidFill>
                </w14:textFill>
              </w:rPr>
            </w:pPr>
          </w:p>
          <w:p w14:paraId="CD810FC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w:t>
            </w:r>
          </w:p>
        </w:tc>
        <w:tc>
          <w:tcPr>
            <w:tcW w:w="936" w:type="dxa"/>
            <w:vMerge w:val="restart"/>
            <w:vAlign w:val="center"/>
          </w:tcPr>
          <w:p w14:paraId="5996F28B">
            <w:pPr>
              <w:spacing w:line="360" w:lineRule="auto"/>
              <w:rPr>
                <w:rFonts w:hint="eastAsia" w:ascii="宋体" w:hAnsi="宋体" w:cs="宋体"/>
                <w:color w:val="000000" w:themeColor="text1"/>
                <w:sz w:val="24"/>
                <w:highlight w:val="none"/>
                <w14:textFill>
                  <w14:solidFill>
                    <w14:schemeClr w14:val="tx1"/>
                  </w14:solidFill>
                </w14:textFill>
              </w:rPr>
            </w:pPr>
          </w:p>
          <w:p w14:paraId="CF84DD5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形式评审标 准</w:t>
            </w:r>
          </w:p>
        </w:tc>
        <w:tc>
          <w:tcPr>
            <w:tcW w:w="1911" w:type="dxa"/>
            <w:vAlign w:val="center"/>
          </w:tcPr>
          <w:p w14:paraId="98170B4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5597" w:type="dxa"/>
            <w:vAlign w:val="center"/>
          </w:tcPr>
          <w:p w14:paraId="D2A6886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与营业执照等证件一致</w:t>
            </w:r>
          </w:p>
        </w:tc>
      </w:tr>
      <w:tr w14:paraId="8197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63" w:type="dxa"/>
            <w:vMerge w:val="continue"/>
          </w:tcPr>
          <w:p w14:paraId="DA9A2840">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152AFEB0">
            <w:pPr>
              <w:spacing w:line="360" w:lineRule="auto"/>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5CCF01C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签字或盖章</w:t>
            </w:r>
          </w:p>
        </w:tc>
        <w:tc>
          <w:tcPr>
            <w:tcW w:w="5597" w:type="dxa"/>
            <w:vAlign w:val="center"/>
          </w:tcPr>
          <w:p w14:paraId="1D3E721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符合招标文件要求的签字、盖章</w:t>
            </w:r>
          </w:p>
        </w:tc>
      </w:tr>
      <w:tr w14:paraId="E901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63" w:type="dxa"/>
            <w:vMerge w:val="continue"/>
          </w:tcPr>
          <w:p w14:paraId="01AA0005">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4788E699">
            <w:pPr>
              <w:spacing w:line="360" w:lineRule="auto"/>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A3E16F2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报价唯一</w:t>
            </w:r>
          </w:p>
        </w:tc>
        <w:tc>
          <w:tcPr>
            <w:tcW w:w="5597" w:type="dxa"/>
            <w:vAlign w:val="center"/>
          </w:tcPr>
          <w:p w14:paraId="E7268AD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只能有一个有效报价</w:t>
            </w:r>
          </w:p>
        </w:tc>
      </w:tr>
      <w:tr w14:paraId="76B7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63" w:type="dxa"/>
            <w:vMerge w:val="restart"/>
          </w:tcPr>
          <w:p w14:paraId="64B5F21F">
            <w:pPr>
              <w:spacing w:line="360" w:lineRule="auto"/>
              <w:rPr>
                <w:rFonts w:hint="eastAsia" w:ascii="宋体" w:hAnsi="宋体" w:cs="宋体"/>
                <w:color w:val="000000" w:themeColor="text1"/>
                <w:sz w:val="24"/>
                <w:highlight w:val="none"/>
                <w14:textFill>
                  <w14:solidFill>
                    <w14:schemeClr w14:val="tx1"/>
                  </w14:solidFill>
                </w14:textFill>
              </w:rPr>
            </w:pPr>
          </w:p>
          <w:p w14:paraId="BD83AFA6">
            <w:pPr>
              <w:spacing w:line="360" w:lineRule="auto"/>
              <w:rPr>
                <w:rFonts w:hint="eastAsia" w:ascii="宋体" w:hAnsi="宋体" w:cs="宋体"/>
                <w:color w:val="000000" w:themeColor="text1"/>
                <w:sz w:val="24"/>
                <w:highlight w:val="none"/>
                <w14:textFill>
                  <w14:solidFill>
                    <w14:schemeClr w14:val="tx1"/>
                  </w14:solidFill>
                </w14:textFill>
              </w:rPr>
            </w:pPr>
          </w:p>
          <w:p w14:paraId="D6509B4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p>
        </w:tc>
        <w:tc>
          <w:tcPr>
            <w:tcW w:w="936" w:type="dxa"/>
            <w:vMerge w:val="restart"/>
          </w:tcPr>
          <w:p w14:paraId="8ED69CF5">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F0C2B6D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响应性评审标准</w:t>
            </w:r>
          </w:p>
        </w:tc>
        <w:tc>
          <w:tcPr>
            <w:tcW w:w="1911" w:type="dxa"/>
            <w:vAlign w:val="center"/>
          </w:tcPr>
          <w:p w14:paraId="6C9C0871">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服务期限</w:t>
            </w:r>
          </w:p>
        </w:tc>
        <w:tc>
          <w:tcPr>
            <w:tcW w:w="5597" w:type="dxa"/>
            <w:vAlign w:val="center"/>
          </w:tcPr>
          <w:p w14:paraId="460ED8B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合同签订之日起</w:t>
            </w:r>
            <w:r>
              <w:rPr>
                <w:rFonts w:hint="eastAsia" w:ascii="宋体" w:hAnsi="宋体" w:cs="宋体"/>
                <w:color w:val="000000" w:themeColor="text1"/>
                <w:sz w:val="24"/>
                <w:highlight w:val="none"/>
                <w:lang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年</w:t>
            </w:r>
          </w:p>
        </w:tc>
      </w:tr>
      <w:tr w14:paraId="0799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63" w:type="dxa"/>
            <w:vMerge w:val="continue"/>
          </w:tcPr>
          <w:p w14:paraId="AAAFB4B5">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8F964231">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C37198BC">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服务要求</w:t>
            </w:r>
          </w:p>
        </w:tc>
        <w:tc>
          <w:tcPr>
            <w:tcW w:w="5597" w:type="dxa"/>
            <w:vAlign w:val="center"/>
          </w:tcPr>
          <w:p w14:paraId="205A0E4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符合国家、省、市及相关行业规定的合格标准，且满足采购人要求。</w:t>
            </w:r>
          </w:p>
        </w:tc>
      </w:tr>
      <w:tr w14:paraId="AB1C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63" w:type="dxa"/>
            <w:vMerge w:val="continue"/>
          </w:tcPr>
          <w:p w14:paraId="71B2F6B4">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B785CB17">
            <w:pPr>
              <w:spacing w:line="360" w:lineRule="auto"/>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D79B959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5597" w:type="dxa"/>
            <w:vAlign w:val="center"/>
          </w:tcPr>
          <w:p w14:paraId="B6A37DF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投标截止之日起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日历天；</w:t>
            </w:r>
          </w:p>
        </w:tc>
      </w:tr>
      <w:tr w14:paraId="2A8D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63" w:type="dxa"/>
            <w:vMerge w:val="continue"/>
          </w:tcPr>
          <w:p w14:paraId="F0818E11">
            <w:pPr>
              <w:spacing w:line="360" w:lineRule="auto"/>
              <w:rPr>
                <w:rFonts w:hint="eastAsia" w:ascii="宋体" w:hAnsi="宋体" w:cs="宋体"/>
                <w:color w:val="000000" w:themeColor="text1"/>
                <w:sz w:val="24"/>
                <w:highlight w:val="none"/>
                <w14:textFill>
                  <w14:solidFill>
                    <w14:schemeClr w14:val="tx1"/>
                  </w14:solidFill>
                </w14:textFill>
              </w:rPr>
            </w:pPr>
          </w:p>
        </w:tc>
        <w:tc>
          <w:tcPr>
            <w:tcW w:w="936" w:type="dxa"/>
            <w:vMerge w:val="continue"/>
          </w:tcPr>
          <w:p w14:paraId="CB959D3A">
            <w:pPr>
              <w:spacing w:line="360" w:lineRule="auto"/>
              <w:rPr>
                <w:rFonts w:hint="eastAsia" w:ascii="宋体" w:hAnsi="宋体" w:cs="宋体"/>
                <w:color w:val="000000" w:themeColor="text1"/>
                <w:sz w:val="24"/>
                <w:highlight w:val="none"/>
                <w14:textFill>
                  <w14:solidFill>
                    <w14:schemeClr w14:val="tx1"/>
                  </w14:solidFill>
                </w14:textFill>
              </w:rPr>
            </w:pPr>
          </w:p>
        </w:tc>
        <w:tc>
          <w:tcPr>
            <w:tcW w:w="1911" w:type="dxa"/>
            <w:vAlign w:val="center"/>
          </w:tcPr>
          <w:p w14:paraId="A78E6823">
            <w:pPr>
              <w:pStyle w:val="33"/>
              <w:adjustRightInd/>
              <w:spacing w:before="120" w:beforeLines="50" w:after="120" w:afterLines="50" w:line="360" w:lineRule="auto"/>
              <w:jc w:val="center"/>
              <w:rPr>
                <w:rFonts w:hint="eastAsia" w:hAnsi="宋体"/>
                <w:color w:val="000000" w:themeColor="text1"/>
                <w:kern w:val="2"/>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投标报价</w:t>
            </w:r>
          </w:p>
        </w:tc>
        <w:tc>
          <w:tcPr>
            <w:tcW w:w="5597" w:type="dxa"/>
            <w:vAlign w:val="center"/>
          </w:tcPr>
          <w:p w14:paraId="7DDE5BD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不得超出预算价（控制价），超出预算价者（控制价），按无效标处理</w:t>
            </w:r>
          </w:p>
        </w:tc>
      </w:tr>
    </w:tbl>
    <w:p w14:paraId="7790B3F4">
      <w:pPr>
        <w:pStyle w:val="11"/>
        <w:spacing w:line="360" w:lineRule="auto"/>
        <w:rPr>
          <w:rFonts w:hint="eastAsia" w:hAnsi="宋体"/>
          <w:color w:val="000000" w:themeColor="text1"/>
          <w:kern w:val="0"/>
          <w:sz w:val="24"/>
          <w:highlight w:val="none"/>
          <w14:textFill>
            <w14:solidFill>
              <w14:schemeClr w14:val="tx1"/>
            </w14:solidFill>
          </w14:textFill>
        </w:rPr>
      </w:pPr>
    </w:p>
    <w:p w14:paraId="6B53A97F">
      <w:pPr>
        <w:widowControl/>
        <w:spacing w:line="360" w:lineRule="auto"/>
        <w:ind w:firstLine="482"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2.2详细评审（100分）</w:t>
      </w:r>
    </w:p>
    <w:tbl>
      <w:tblPr>
        <w:tblStyle w:val="19"/>
        <w:tblW w:w="5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56"/>
        <w:gridCol w:w="1075"/>
        <w:gridCol w:w="691"/>
        <w:gridCol w:w="5791"/>
      </w:tblGrid>
      <w:tr w14:paraId="8DFA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Align w:val="center"/>
          </w:tcPr>
          <w:p w14:paraId="3046B1D6">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256" w:type="dxa"/>
            <w:vAlign w:val="center"/>
          </w:tcPr>
          <w:p w14:paraId="B1C0A8DB">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评分因素</w:t>
            </w:r>
          </w:p>
        </w:tc>
        <w:tc>
          <w:tcPr>
            <w:tcW w:w="1075" w:type="dxa"/>
            <w:vAlign w:val="center"/>
          </w:tcPr>
          <w:p w14:paraId="CB310E32">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评分点名称</w:t>
            </w:r>
          </w:p>
        </w:tc>
        <w:tc>
          <w:tcPr>
            <w:tcW w:w="691" w:type="dxa"/>
            <w:vAlign w:val="center"/>
          </w:tcPr>
          <w:p w14:paraId="187ADB5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w:t>
            </w:r>
          </w:p>
        </w:tc>
        <w:tc>
          <w:tcPr>
            <w:tcW w:w="5791" w:type="dxa"/>
            <w:vAlign w:val="center"/>
          </w:tcPr>
          <w:p w14:paraId="B0158C10">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评价指标和分值</w:t>
            </w:r>
          </w:p>
        </w:tc>
      </w:tr>
      <w:tr w14:paraId="BBE1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783" w:type="dxa"/>
            <w:vAlign w:val="center"/>
          </w:tcPr>
          <w:p w14:paraId="DDEA9DB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56" w:type="dxa"/>
            <w:vAlign w:val="center"/>
          </w:tcPr>
          <w:p w14:paraId="DC467F4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商务标评分</w:t>
            </w:r>
            <w:r>
              <w:rPr>
                <w:rFonts w:hint="eastAsia" w:ascii="宋体" w:hAnsi="宋体" w:cs="宋体"/>
                <w:color w:val="000000" w:themeColor="text1"/>
                <w:sz w:val="24"/>
                <w:highlight w:val="none"/>
                <w14:textFill>
                  <w14:solidFill>
                    <w14:schemeClr w14:val="tx1"/>
                  </w14:solidFill>
                </w14:textFill>
              </w:rPr>
              <w:t>（20分）</w:t>
            </w:r>
          </w:p>
        </w:tc>
        <w:tc>
          <w:tcPr>
            <w:tcW w:w="1075" w:type="dxa"/>
            <w:vAlign w:val="center"/>
          </w:tcPr>
          <w:p w14:paraId="C8DC32E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w:t>
            </w:r>
          </w:p>
        </w:tc>
        <w:tc>
          <w:tcPr>
            <w:tcW w:w="691" w:type="dxa"/>
            <w:vAlign w:val="center"/>
          </w:tcPr>
          <w:p w14:paraId="337A5C5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20分</w:t>
            </w:r>
          </w:p>
        </w:tc>
        <w:tc>
          <w:tcPr>
            <w:tcW w:w="5791" w:type="dxa"/>
            <w:vAlign w:val="center"/>
          </w:tcPr>
          <w:p w14:paraId="0A93739E">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价格分采用低价优先法计算，即满足招标文件要求且</w:t>
            </w: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cs="宋体"/>
                <w:color w:val="000000" w:themeColor="text1"/>
                <w:sz w:val="24"/>
                <w:szCs w:val="24"/>
                <w:highlight w:val="none"/>
                <w:lang w:eastAsia="zh-CN" w:bidi="ar-SA"/>
                <w14:textFill>
                  <w14:solidFill>
                    <w14:schemeClr w14:val="tx1"/>
                  </w14:solidFill>
                </w14:textFill>
              </w:rPr>
              <w:t>所有报价中最低投标报价为评标基准价</w:t>
            </w:r>
            <w:r>
              <w:rPr>
                <w:rFonts w:hint="eastAsia" w:ascii="宋体" w:hAnsi="宋体" w:cs="宋体"/>
                <w:color w:val="000000" w:themeColor="text1"/>
                <w:sz w:val="24"/>
                <w:highlight w:val="none"/>
                <w14:textFill>
                  <w14:solidFill>
                    <w14:schemeClr w14:val="tx1"/>
                  </w14:solidFill>
                </w14:textFill>
              </w:rPr>
              <w:t>，其价格分为满分。其他投标人的价格分统一按照下列公式计算：投标报价得分=(评标基准价</w:t>
            </w:r>
            <w:r>
              <w:rPr>
                <w:rFonts w:hint="eastAsia" w:ascii="宋体" w:hAnsi="宋体" w:cs="宋体"/>
                <w:color w:val="000000" w:themeColor="text1"/>
                <w:sz w:val="24"/>
                <w:szCs w:val="24"/>
                <w:highlight w:val="none"/>
                <w:lang w:eastAsia="zh-CN" w:bidi="ar-SA"/>
                <w14:textFill>
                  <w14:solidFill>
                    <w14:schemeClr w14:val="tx1"/>
                  </w14:solidFill>
                </w14:textFill>
              </w:rPr>
              <w:t>/有效投标报价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lang w:eastAsia="zh-CN"/>
                <w14:textFill>
                  <w14:solidFill>
                    <w14:schemeClr w14:val="tx1"/>
                  </w14:solidFill>
                </w14:textFill>
              </w:rPr>
              <w:t>。</w:t>
            </w:r>
          </w:p>
          <w:p w14:paraId="729E6F0B">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注：一、价格分计算保留小数点后两位。</w:t>
            </w:r>
          </w:p>
          <w:p w14:paraId="1B59F59B">
            <w:pPr>
              <w:spacing w:line="360" w:lineRule="auto"/>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评标委员会发现投标人的投标总报价明显低于其他企业投标总价的，</w:t>
            </w:r>
            <w:r>
              <w:rPr>
                <w:rFonts w:hint="eastAsia" w:ascii="宋体" w:hAnsi="宋体" w:eastAsia="宋体" w:cs="宋体"/>
                <w:color w:val="000000" w:themeColor="text1"/>
                <w:sz w:val="24"/>
                <w:highlight w:val="none"/>
                <w:lang w:eastAsia="zh-CN" w:bidi="ar"/>
                <w14:textFill>
                  <w14:solidFill>
                    <w14:schemeClr w14:val="tx1"/>
                  </w14:solidFill>
                </w14:textFill>
              </w:rPr>
              <w:t>有可能影响</w:t>
            </w:r>
            <w:r>
              <w:rPr>
                <w:rFonts w:hint="eastAsia" w:ascii="宋体" w:hAnsi="宋体" w:eastAsia="宋体" w:cs="宋体"/>
                <w:color w:val="000000" w:themeColor="text1"/>
                <w:sz w:val="24"/>
                <w:highlight w:val="none"/>
                <w:lang w:val="en-US" w:eastAsia="zh-CN" w:bidi="ar"/>
                <w14:textFill>
                  <w14:solidFill>
                    <w14:schemeClr w14:val="tx1"/>
                  </w14:solidFill>
                </w14:textFill>
              </w:rPr>
              <w:t>服务</w:t>
            </w:r>
            <w:r>
              <w:rPr>
                <w:rFonts w:hint="eastAsia" w:ascii="宋体" w:hAnsi="宋体" w:eastAsia="宋体" w:cs="宋体"/>
                <w:color w:val="000000" w:themeColor="text1"/>
                <w:sz w:val="24"/>
                <w:highlight w:val="none"/>
                <w:lang w:eastAsia="zh-CN" w:bidi="ar"/>
                <w14:textFill>
                  <w14:solidFill>
                    <w14:schemeClr w14:val="tx1"/>
                  </w14:solidFill>
                </w14:textFill>
              </w:rPr>
              <w:t>质量或者不能诚信履约的，应当要求其在评标现场合理的时间内提供说明，必要时提交相关证明材料；投标供应商不能证明其报价合理性的，</w:t>
            </w:r>
            <w:r>
              <w:rPr>
                <w:rFonts w:hint="eastAsia" w:ascii="宋体" w:hAnsi="宋体" w:cs="宋体"/>
                <w:color w:val="000000" w:themeColor="text1"/>
                <w:sz w:val="24"/>
                <w:highlight w:val="none"/>
                <w:lang w:eastAsia="zh-CN" w:bidi="ar"/>
                <w14:textFill>
                  <w14:solidFill>
                    <w14:schemeClr w14:val="tx1"/>
                  </w14:solidFill>
                </w14:textFill>
              </w:rPr>
              <w:t>评标委员会</w:t>
            </w:r>
            <w:r>
              <w:rPr>
                <w:rFonts w:hint="eastAsia" w:ascii="宋体" w:hAnsi="宋体" w:eastAsia="宋体" w:cs="宋体"/>
                <w:color w:val="000000" w:themeColor="text1"/>
                <w:sz w:val="24"/>
                <w:highlight w:val="none"/>
                <w:lang w:eastAsia="zh-CN" w:bidi="ar"/>
                <w14:textFill>
                  <w14:solidFill>
                    <w14:schemeClr w14:val="tx1"/>
                  </w14:solidFill>
                </w14:textFill>
              </w:rPr>
              <w:t>应当将其作为无效投标处理。</w:t>
            </w:r>
          </w:p>
        </w:tc>
      </w:tr>
      <w:tr w14:paraId="3F14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restart"/>
            <w:vAlign w:val="center"/>
          </w:tcPr>
          <w:p w14:paraId="5F031C5B">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1256" w:type="dxa"/>
            <w:vMerge w:val="restart"/>
            <w:vAlign w:val="center"/>
          </w:tcPr>
          <w:p w14:paraId="FD9AFBC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技术标评分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分）</w:t>
            </w:r>
          </w:p>
        </w:tc>
        <w:tc>
          <w:tcPr>
            <w:tcW w:w="1075" w:type="dxa"/>
            <w:vAlign w:val="center"/>
          </w:tcPr>
          <w:p w14:paraId="35B06796">
            <w:pPr>
              <w:autoSpaceDE w:val="0"/>
              <w:autoSpaceDN w:val="0"/>
              <w:spacing w:line="364" w:lineRule="auto"/>
              <w:ind w:left="57" w:right="57"/>
              <w:jc w:val="center"/>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lang w:eastAsia="en-US"/>
                <w14:textFill>
                  <w14:solidFill>
                    <w14:schemeClr w14:val="tx1"/>
                  </w14:solidFill>
                </w14:textFill>
              </w:rPr>
              <w:t>对本项目法律服务内容的理解和认识</w:t>
            </w:r>
          </w:p>
        </w:tc>
        <w:tc>
          <w:tcPr>
            <w:tcW w:w="691" w:type="dxa"/>
            <w:vAlign w:val="center"/>
          </w:tcPr>
          <w:p w14:paraId="8575FB4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511F7C87">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根据</w:t>
            </w:r>
            <w:r>
              <w:rPr>
                <w:rFonts w:hint="eastAsia" w:ascii="宋体" w:hAnsi="宋体" w:eastAsia="宋体" w:cs="Times New Roman"/>
                <w:color w:val="000000" w:themeColor="text1"/>
                <w:szCs w:val="21"/>
                <w14:textFill>
                  <w14:solidFill>
                    <w14:schemeClr w14:val="tx1"/>
                  </w14:solidFill>
                </w14:textFill>
              </w:rPr>
              <w:t>三门峡市陕州区</w:t>
            </w:r>
            <w:r>
              <w:rPr>
                <w:rFonts w:ascii="宋体" w:hAnsi="宋体" w:eastAsia="宋体" w:cs="Times New Roman"/>
                <w:color w:val="000000" w:themeColor="text1"/>
                <w:szCs w:val="21"/>
                <w14:textFill>
                  <w14:solidFill>
                    <w14:schemeClr w14:val="tx1"/>
                  </w14:solidFill>
                </w14:textFill>
              </w:rPr>
              <w:t>政府法律顾问服务所列内容：</w:t>
            </w:r>
          </w:p>
          <w:p w14:paraId="3FF91F2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对本项目法律顾问服务有全面透彻的理解和认识、能够详细介绍政府法律服务工作详细内容的，得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532D32BF">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对本项目法律顾问服务有基本了解和认识、能够大概介绍政府法律服务工作详细内容的，得2-</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0800B4D6">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对本项目法律顾问服务不了解、不能够介绍政府法律服务工作详细内容的，得1分；</w:t>
            </w:r>
          </w:p>
          <w:p w14:paraId="065937B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F2FF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FFFD25EE">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C710647F">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C95B56D1">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本项目政府法律服务实施方案</w:t>
            </w:r>
          </w:p>
        </w:tc>
        <w:tc>
          <w:tcPr>
            <w:tcW w:w="691" w:type="dxa"/>
            <w:vAlign w:val="center"/>
          </w:tcPr>
          <w:p w14:paraId="BF950AE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79B07D47">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对本项目法律顾问服务实施方案科学合理，工作流程清晰准确，得</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8</w:t>
            </w:r>
            <w:r>
              <w:rPr>
                <w:rFonts w:ascii="宋体" w:hAnsi="宋体" w:eastAsia="宋体" w:cs="Times New Roman"/>
                <w:color w:val="000000" w:themeColor="text1"/>
                <w:szCs w:val="21"/>
                <w14:textFill>
                  <w14:solidFill>
                    <w14:schemeClr w14:val="tx1"/>
                  </w14:solidFill>
                </w14:textFill>
              </w:rPr>
              <w:t>分；</w:t>
            </w:r>
          </w:p>
          <w:p w14:paraId="02C313F8">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对本项目法律顾问服务实施方案基本科学合理，工作流程较清晰准确，得</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分；</w:t>
            </w:r>
          </w:p>
          <w:p w14:paraId="10E1B84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对本项目法律顾问服务实施方案不够科学，工作流程不清晰，得1</w:t>
            </w:r>
            <w:r>
              <w:rPr>
                <w:rFonts w:hint="eastAsia" w:ascii="宋体" w:hAnsi="宋体" w:eastAsia="宋体" w:cs="Times New Roman"/>
                <w:color w:val="000000" w:themeColor="text1"/>
                <w:szCs w:val="21"/>
                <w:lang w:val="en-US" w:eastAsia="zh-CN"/>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分；</w:t>
            </w:r>
          </w:p>
          <w:p w14:paraId="65E3995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98DE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0C4D18EB">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815C758D">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09D58490">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对本项目法律服务人员配备计划</w:t>
            </w:r>
          </w:p>
        </w:tc>
        <w:tc>
          <w:tcPr>
            <w:tcW w:w="691" w:type="dxa"/>
            <w:vAlign w:val="center"/>
          </w:tcPr>
          <w:p w14:paraId="F9F6BDB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4FB5D045">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项目实施过程中，各节点人员安排分配计划合理明确， 无明显疏漏，能够完全满足实际项目需求的，得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0D03CCD3">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项目实施过程中，各节点人员安排分配计划基本合理， 无明显疏漏，能够基本满足实际项目需求的，得2-</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65D56163">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项目实施过程中，各节点人员安排分配计划不合理，有 明显疏漏，不能基本满足实际项目需求的，得1分；</w:t>
            </w:r>
          </w:p>
          <w:p w14:paraId="063F50C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E126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F2CC1EA3">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92D71633">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4968F012">
            <w:pPr>
              <w:autoSpaceDE w:val="0"/>
              <w:autoSpaceDN w:val="0"/>
              <w:spacing w:line="364" w:lineRule="auto"/>
              <w:ind w:left="57" w:right="57"/>
              <w:jc w:val="center"/>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本项目政府法律服务质量保证措施</w:t>
            </w:r>
          </w:p>
        </w:tc>
        <w:tc>
          <w:tcPr>
            <w:tcW w:w="691" w:type="dxa"/>
            <w:vAlign w:val="center"/>
          </w:tcPr>
          <w:p w14:paraId="C3E6F9B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191E3098">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质量保证措施科学、严谨的得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分；</w:t>
            </w:r>
          </w:p>
          <w:p w14:paraId="363AF44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质量保证措施合理、可行的得</w:t>
            </w:r>
            <w:r>
              <w:rPr>
                <w:rFonts w:hint="eastAsia" w:ascii="宋体" w:hAnsi="宋体" w:eastAsia="宋体" w:cs="Times New Roman"/>
                <w:color w:val="000000" w:themeColor="text1"/>
                <w:szCs w:val="21"/>
                <w:lang w:val="en-US" w:eastAsia="zh-CN"/>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0EBA6FC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质量保证措施不够科学合理的需进一步完善的得1</w:t>
            </w:r>
          </w:p>
          <w:p w14:paraId="215F2EA4">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分；</w:t>
            </w:r>
          </w:p>
          <w:p w14:paraId="2F31E88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A6D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A376AC50">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B1CD4365">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1C552640">
            <w:pPr>
              <w:autoSpaceDE w:val="0"/>
              <w:autoSpaceDN w:val="0"/>
              <w:spacing w:line="364" w:lineRule="auto"/>
              <w:ind w:left="57" w:right="57"/>
              <w:jc w:val="center"/>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重难点分析</w:t>
            </w:r>
          </w:p>
        </w:tc>
        <w:tc>
          <w:tcPr>
            <w:tcW w:w="691" w:type="dxa"/>
            <w:vAlign w:val="center"/>
          </w:tcPr>
          <w:p w14:paraId="0658F85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4F48DA71">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政府法律服务过程中，重难点分析详细明确、全面、透彻的得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7</w:t>
            </w:r>
            <w:r>
              <w:rPr>
                <w:rFonts w:ascii="宋体" w:hAnsi="宋体" w:eastAsia="宋体" w:cs="Times New Roman"/>
                <w:color w:val="000000" w:themeColor="text1"/>
                <w:szCs w:val="21"/>
                <w14:textFill>
                  <w14:solidFill>
                    <w14:schemeClr w14:val="tx1"/>
                  </w14:solidFill>
                </w14:textFill>
              </w:rPr>
              <w:t>分；</w:t>
            </w:r>
          </w:p>
          <w:p w14:paraId="38F104A2">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政府法律服务过程中，重难点分析基本详细明确、全面、清晰的得</w:t>
            </w:r>
            <w:r>
              <w:rPr>
                <w:rFonts w:hint="eastAsia" w:ascii="宋体" w:hAnsi="宋体" w:eastAsia="宋体" w:cs="Times New Roman"/>
                <w:color w:val="000000" w:themeColor="text1"/>
                <w:szCs w:val="21"/>
                <w:lang w:val="en-US" w:eastAsia="zh-CN"/>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114B7DB1">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政府法律服务过程中，重难点分析不够详细的得1分；</w:t>
            </w:r>
          </w:p>
          <w:p w14:paraId="4D05185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r>
              <w:rPr>
                <w:rFonts w:hint="eastAsia" w:ascii="宋体" w:hAnsi="宋体" w:cs="宋体"/>
                <w:color w:val="000000" w:themeColor="text1"/>
                <w:sz w:val="24"/>
                <w:highlight w:val="none"/>
                <w14:textFill>
                  <w14:solidFill>
                    <w14:schemeClr w14:val="tx1"/>
                  </w14:solidFill>
                </w14:textFill>
              </w:rPr>
              <w:t>。</w:t>
            </w:r>
          </w:p>
        </w:tc>
      </w:tr>
      <w:tr w14:paraId="8133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A9D89B70">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872488A7">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0BA28E3D">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进度保障措施</w:t>
            </w:r>
          </w:p>
        </w:tc>
        <w:tc>
          <w:tcPr>
            <w:tcW w:w="691" w:type="dxa"/>
            <w:vAlign w:val="center"/>
          </w:tcPr>
          <w:p w14:paraId="6A823AE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7716EE1C">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进度保证措施详细、全面，时间安排紧凑，得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分；</w:t>
            </w:r>
          </w:p>
          <w:p w14:paraId="45B99F88">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进度保证措施较详细、全面，时间安排较合理，得</w:t>
            </w:r>
            <w:r>
              <w:rPr>
                <w:rFonts w:hint="eastAsia" w:ascii="宋体" w:hAnsi="宋体" w:eastAsia="宋体" w:cs="Times New Roman"/>
                <w:color w:val="000000" w:themeColor="text1"/>
                <w:szCs w:val="21"/>
                <w:lang w:val="en-US" w:eastAsia="zh-CN"/>
                <w14:textFill>
                  <w14:solidFill>
                    <w14:schemeClr w14:val="tx1"/>
                  </w14:solidFill>
                </w14:textFill>
              </w:rPr>
              <w:t>2-3</w:t>
            </w:r>
            <w:r>
              <w:rPr>
                <w:rFonts w:ascii="宋体" w:hAnsi="宋体" w:eastAsia="宋体" w:cs="Times New Roman"/>
                <w:color w:val="000000" w:themeColor="text1"/>
                <w:szCs w:val="21"/>
                <w14:textFill>
                  <w14:solidFill>
                    <w14:schemeClr w14:val="tx1"/>
                  </w14:solidFill>
                </w14:textFill>
              </w:rPr>
              <w:t>分；</w:t>
            </w:r>
          </w:p>
          <w:p w14:paraId="799833EC">
            <w:pPr>
              <w:spacing w:line="360" w:lineRule="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 xml:space="preserve">进度保证措施不够详细，时间安排不合理，得1分； </w:t>
            </w:r>
          </w:p>
          <w:p w14:paraId="729A53E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2A7C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C8F68F84">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BB2BA222">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7AFD1CB7">
            <w:pPr>
              <w:autoSpaceDE w:val="0"/>
              <w:autoSpaceDN w:val="0"/>
              <w:spacing w:line="364" w:lineRule="auto"/>
              <w:ind w:left="57" w:right="57"/>
              <w:jc w:val="center"/>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政府法律服务内控制度</w:t>
            </w:r>
          </w:p>
        </w:tc>
        <w:tc>
          <w:tcPr>
            <w:tcW w:w="691" w:type="dxa"/>
            <w:vAlign w:val="center"/>
          </w:tcPr>
          <w:p w14:paraId="FEA6DD4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2B8B5C2A">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政府法律服务内控制度全面详细、奖惩制度分明，实施性强的，得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1C5B73E1">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政府法律服务内控制度基本全面详细、奖惩制度基本</w:t>
            </w:r>
          </w:p>
          <w:p w14:paraId="7B793030">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可行，具有可实施性的，得2-</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733A9D24">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政府法律服务内控制度不够全面详细、奖惩制度不可</w:t>
            </w:r>
          </w:p>
          <w:p w14:paraId="2AAB6A16">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行，实施性差的，得1分。</w:t>
            </w:r>
          </w:p>
          <w:p w14:paraId="709D265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71A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4EE1AA94">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4CAD6491">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75923E4C">
            <w:pPr>
              <w:autoSpaceDE w:val="0"/>
              <w:autoSpaceDN w:val="0"/>
              <w:spacing w:line="364" w:lineRule="auto"/>
              <w:ind w:left="57" w:right="57"/>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档案整理</w:t>
            </w:r>
          </w:p>
        </w:tc>
        <w:tc>
          <w:tcPr>
            <w:tcW w:w="691" w:type="dxa"/>
            <w:vAlign w:val="center"/>
          </w:tcPr>
          <w:p w14:paraId="0533440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3E2B1CB0">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制定详细的档案管理措施与管理办法：</w:t>
            </w:r>
          </w:p>
          <w:p w14:paraId="16F85D50">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管理措施及办法非常完善、措施切实可行的，得4-</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51208394">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管理措施及办法基本完善、措施一般的，得2-3分；</w:t>
            </w: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管理措施及办法不完善、措施一般的，得 1 分；</w:t>
            </w:r>
          </w:p>
          <w:p w14:paraId="57E201F2">
            <w:pPr>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缺项得0分。</w:t>
            </w:r>
          </w:p>
        </w:tc>
      </w:tr>
      <w:tr w14:paraId="3D39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496CF41C">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35D6C182">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4C809734">
            <w:pPr>
              <w:autoSpaceDE w:val="0"/>
              <w:autoSpaceDN w:val="0"/>
              <w:spacing w:line="364" w:lineRule="auto"/>
              <w:ind w:left="57" w:right="57"/>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合理化建议</w:t>
            </w:r>
          </w:p>
        </w:tc>
        <w:tc>
          <w:tcPr>
            <w:tcW w:w="691" w:type="dxa"/>
            <w:vAlign w:val="center"/>
          </w:tcPr>
          <w:p w14:paraId="3AA9007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30503F6C">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针对本项目的服务内容，响应人具有详细的合理化建议和措施。</w:t>
            </w:r>
          </w:p>
          <w:p w14:paraId="119DED20">
            <w:pPr>
              <w:adjustRightInd w:val="0"/>
              <w:spacing w:line="360" w:lineRule="auto"/>
              <w:jc w:val="left"/>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合理化建议详细且措施可行的得4-5分，</w:t>
            </w:r>
          </w:p>
          <w:p w14:paraId="729EA4C3">
            <w:pPr>
              <w:adjustRightInd w:val="0"/>
              <w:spacing w:line="360" w:lineRule="auto"/>
              <w:jc w:val="left"/>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2</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合理化建议及措施可行性一般的得2-3分，</w:t>
            </w:r>
          </w:p>
          <w:p w14:paraId="4B23B943">
            <w:pPr>
              <w:adjustRightInd w:val="0"/>
              <w:spacing w:line="360" w:lineRule="auto"/>
              <w:jc w:val="left"/>
              <w:textAlignment w:val="baseline"/>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（3）</w:t>
            </w:r>
            <w:r>
              <w:rPr>
                <w:rFonts w:ascii="宋体" w:hAnsi="宋体" w:eastAsia="宋体" w:cs="Times New Roman"/>
                <w:color w:val="000000" w:themeColor="text1"/>
                <w14:textFill>
                  <w14:solidFill>
                    <w14:schemeClr w14:val="tx1"/>
                  </w14:solidFill>
                </w14:textFill>
              </w:rPr>
              <w:t>合理化建议不详细、措施不可行的得 1 分，</w:t>
            </w:r>
          </w:p>
          <w:p w14:paraId="6493519D">
            <w:pPr>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（4）</w:t>
            </w:r>
            <w:r>
              <w:rPr>
                <w:rFonts w:ascii="宋体" w:hAnsi="宋体" w:eastAsia="宋体" w:cs="Times New Roman"/>
                <w:color w:val="000000" w:themeColor="text1"/>
                <w14:textFill>
                  <w14:solidFill>
                    <w14:schemeClr w14:val="tx1"/>
                  </w14:solidFill>
                </w14:textFill>
              </w:rPr>
              <w:t>缺项得0分。</w:t>
            </w:r>
          </w:p>
        </w:tc>
      </w:tr>
      <w:tr w14:paraId="1C10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32FFCE6C">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B07720D4">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C58299E1">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政府法律服务风险防控措施</w:t>
            </w:r>
          </w:p>
        </w:tc>
        <w:tc>
          <w:tcPr>
            <w:tcW w:w="691" w:type="dxa"/>
            <w:vAlign w:val="center"/>
          </w:tcPr>
          <w:p w14:paraId="4E4EE89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 xml:space="preserve">分 </w:t>
            </w:r>
          </w:p>
        </w:tc>
        <w:tc>
          <w:tcPr>
            <w:tcW w:w="5791" w:type="dxa"/>
            <w:vAlign w:val="center"/>
          </w:tcPr>
          <w:p w14:paraId="7FFBADF9">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风险防控管理措施齐全，风险控制要点定位准确，各阶段风险控制及应急措施得力，得</w:t>
            </w:r>
            <w:r>
              <w:rPr>
                <w:rFonts w:hint="eastAsia" w:ascii="宋体" w:hAnsi="宋体" w:eastAsia="宋体" w:cs="Times New Roman"/>
                <w:color w:val="000000" w:themeColor="text1"/>
                <w:szCs w:val="21"/>
                <w:lang w:val="en-US" w:eastAsia="zh-CN"/>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ascii="宋体" w:hAnsi="宋体" w:eastAsia="宋体" w:cs="Times New Roman"/>
                <w:color w:val="000000" w:themeColor="text1"/>
                <w:szCs w:val="21"/>
                <w14:textFill>
                  <w14:solidFill>
                    <w14:schemeClr w14:val="tx1"/>
                  </w14:solidFill>
                </w14:textFill>
              </w:rPr>
              <w:t>分；</w:t>
            </w:r>
          </w:p>
          <w:p w14:paraId="754E1F51">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风险防控管理措施基本齐全，风险控制要点定位基本 准确，各阶段风险控制及应急措施基本可行，得2-</w:t>
            </w:r>
            <w:r>
              <w:rPr>
                <w:rFonts w:hint="eastAsia" w:ascii="宋体" w:hAnsi="宋体" w:eastAsia="宋体" w:cs="Times New Roman"/>
                <w:color w:val="000000" w:themeColor="text1"/>
                <w:szCs w:val="21"/>
                <w:lang w:val="en-US" w:eastAsia="zh-CN"/>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分；</w:t>
            </w:r>
          </w:p>
          <w:p w14:paraId="51145BFD">
            <w:pPr>
              <w:adjustRightInd w:val="0"/>
              <w:spacing w:line="360" w:lineRule="auto"/>
              <w:jc w:val="left"/>
              <w:textAlignment w:val="baseline"/>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ascii="宋体" w:hAnsi="宋体" w:eastAsia="宋体" w:cs="Times New Roman"/>
                <w:color w:val="000000" w:themeColor="text1"/>
                <w:szCs w:val="21"/>
                <w14:textFill>
                  <w14:solidFill>
                    <w14:schemeClr w14:val="tx1"/>
                  </w14:solidFill>
                </w14:textFill>
              </w:rPr>
              <w:t>风险防控管理措施不齐全，风险控制要点定位不准确， 各阶段风险控制及应急措施不可行，得1分；</w:t>
            </w:r>
          </w:p>
          <w:p w14:paraId="4D982AD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未提供者不得分。</w:t>
            </w:r>
          </w:p>
        </w:tc>
      </w:tr>
      <w:tr w14:paraId="1FB9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restart"/>
            <w:vAlign w:val="center"/>
          </w:tcPr>
          <w:p w14:paraId="8F33CEB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256" w:type="dxa"/>
            <w:vMerge w:val="restart"/>
            <w:vAlign w:val="center"/>
          </w:tcPr>
          <w:p w14:paraId="F364E0E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综合标评分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分）</w:t>
            </w:r>
          </w:p>
        </w:tc>
        <w:tc>
          <w:tcPr>
            <w:tcW w:w="1075" w:type="dxa"/>
            <w:vAlign w:val="center"/>
          </w:tcPr>
          <w:p w14:paraId="2709819B">
            <w:pPr>
              <w:autoSpaceDE w:val="0"/>
              <w:autoSpaceDN w:val="0"/>
              <w:adjustRightInd w:val="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相关业绩</w:t>
            </w:r>
          </w:p>
        </w:tc>
        <w:tc>
          <w:tcPr>
            <w:tcW w:w="691" w:type="dxa"/>
            <w:vAlign w:val="center"/>
          </w:tcPr>
          <w:p w14:paraId="9E4BD3D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top"/>
          </w:tcPr>
          <w:p w14:paraId="525D7223">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律所</w:t>
            </w:r>
            <w:r>
              <w:rPr>
                <w:rFonts w:hint="eastAsia" w:ascii="宋体" w:hAnsi="宋体" w:eastAsia="宋体" w:cs="宋体"/>
                <w:color w:val="000000" w:themeColor="text1"/>
                <w:kern w:val="0"/>
                <w:szCs w:val="21"/>
                <w14:textFill>
                  <w14:solidFill>
                    <w14:schemeClr w14:val="tx1"/>
                  </w14:solidFill>
                </w14:textFill>
              </w:rPr>
              <w:t>担任过政府部门法律顾问，每有1起得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分，最多得</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eastAsia="宋体" w:cs="宋体"/>
                <w:color w:val="000000" w:themeColor="text1"/>
                <w:kern w:val="0"/>
                <w:szCs w:val="21"/>
                <w14:textFill>
                  <w14:solidFill>
                    <w14:schemeClr w14:val="tx1"/>
                  </w14:solidFill>
                </w14:textFill>
              </w:rPr>
              <w:t>分。</w:t>
            </w:r>
          </w:p>
        </w:tc>
      </w:tr>
      <w:tr w14:paraId="E6F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873B5E66">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2D75AD76">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7AB1DF51">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工作经验及能力</w:t>
            </w:r>
          </w:p>
        </w:tc>
        <w:tc>
          <w:tcPr>
            <w:tcW w:w="691" w:type="dxa"/>
            <w:vAlign w:val="center"/>
          </w:tcPr>
          <w:p w14:paraId="9E2B2CC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分</w:t>
            </w:r>
          </w:p>
        </w:tc>
        <w:tc>
          <w:tcPr>
            <w:tcW w:w="5791" w:type="dxa"/>
            <w:vAlign w:val="top"/>
          </w:tcPr>
          <w:p w14:paraId="47B2DE9D">
            <w:pPr>
              <w:autoSpaceDE w:val="0"/>
              <w:autoSpaceDN w:val="0"/>
              <w:adjustRightInd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项目负责人（主办律师）担任过政府部门法律顾问，每有</w:t>
            </w:r>
            <w:r>
              <w:rPr>
                <w:rFonts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起得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分，最多得</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14:textFill>
                  <w14:solidFill>
                    <w14:schemeClr w14:val="tx1"/>
                  </w14:solidFill>
                </w14:textFill>
              </w:rPr>
              <w:t>分。</w:t>
            </w:r>
          </w:p>
          <w:p w14:paraId="4E5CEF10">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提供相关证明材料原件扫描件。</w:t>
            </w:r>
          </w:p>
        </w:tc>
      </w:tr>
      <w:tr w14:paraId="61F7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3" w:type="dxa"/>
            <w:vMerge w:val="continue"/>
            <w:vAlign w:val="center"/>
          </w:tcPr>
          <w:p w14:paraId="3C36AB2A">
            <w:pPr>
              <w:spacing w:line="360" w:lineRule="auto"/>
              <w:rPr>
                <w:rFonts w:hint="eastAsia" w:ascii="宋体" w:hAnsi="宋体" w:cs="宋体"/>
                <w:color w:val="000000" w:themeColor="text1"/>
                <w:sz w:val="24"/>
                <w:highlight w:val="none"/>
                <w14:textFill>
                  <w14:solidFill>
                    <w14:schemeClr w14:val="tx1"/>
                  </w14:solidFill>
                </w14:textFill>
              </w:rPr>
            </w:pPr>
          </w:p>
        </w:tc>
        <w:tc>
          <w:tcPr>
            <w:tcW w:w="1256" w:type="dxa"/>
            <w:vMerge w:val="continue"/>
            <w:vAlign w:val="center"/>
          </w:tcPr>
          <w:p w14:paraId="10B8EF3F">
            <w:pPr>
              <w:spacing w:line="360" w:lineRule="auto"/>
              <w:rPr>
                <w:rFonts w:hint="eastAsia" w:ascii="宋体" w:hAnsi="宋体" w:cs="宋体"/>
                <w:color w:val="000000" w:themeColor="text1"/>
                <w:sz w:val="24"/>
                <w:highlight w:val="none"/>
                <w14:textFill>
                  <w14:solidFill>
                    <w14:schemeClr w14:val="tx1"/>
                  </w14:solidFill>
                </w14:textFill>
              </w:rPr>
            </w:pPr>
          </w:p>
        </w:tc>
        <w:tc>
          <w:tcPr>
            <w:tcW w:w="1075" w:type="dxa"/>
            <w:vAlign w:val="center"/>
          </w:tcPr>
          <w:p w14:paraId="54A49F70">
            <w:pPr>
              <w:spacing w:line="276"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服务承诺</w:t>
            </w:r>
          </w:p>
        </w:tc>
        <w:tc>
          <w:tcPr>
            <w:tcW w:w="691" w:type="dxa"/>
            <w:vAlign w:val="center"/>
          </w:tcPr>
          <w:p w14:paraId="FAA422B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791" w:type="dxa"/>
            <w:vAlign w:val="center"/>
          </w:tcPr>
          <w:p w14:paraId="0E52BB77">
            <w:pPr>
              <w:autoSpaceDE w:val="0"/>
              <w:autoSpaceDN w:val="0"/>
              <w:adjustRightInd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1.承诺依约履行项目合同，并有详尽的经济处罚措施优得</w:t>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分，良得</w:t>
            </w: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分，一般得1分，缺项不得分；</w:t>
            </w:r>
          </w:p>
          <w:p w14:paraId="4072B291">
            <w:pPr>
              <w:autoSpaceDE w:val="0"/>
              <w:autoSpaceDN w:val="0"/>
              <w:adjustRightInd w:val="0"/>
              <w:jc w:val="left"/>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.在磋商文件要求之外，有利于采购人的其他承诺优得</w:t>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分，良得</w:t>
            </w: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分，一般得</w:t>
            </w:r>
            <w:r>
              <w:rPr>
                <w:rFonts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分，缺项不得分。</w:t>
            </w:r>
          </w:p>
        </w:tc>
      </w:tr>
    </w:tbl>
    <w:p w14:paraId="4AC1E181">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p>
    <w:p w14:paraId="1128A2D6">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p>
    <w:p w14:paraId="D46B8FBD">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评标方法</w:t>
      </w:r>
    </w:p>
    <w:p w14:paraId="3CD05ADA">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本次评标采用综合评分法。评标委员会对满足招标文件实质性要求的投标文件，按照本章评分标准进行打分，综合评分相等时，以投标报价的优先；投标报价也相等的，以技术指标优劣顺序排列。国有资金占控股或者主导地位的依法必须进行招标的项目，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采购人，也可以重新招标。</w:t>
      </w:r>
    </w:p>
    <w:p w14:paraId="A02F67FF">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2.评审标准</w:t>
      </w:r>
    </w:p>
    <w:p w14:paraId="25347148">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2.1初步评审标准</w:t>
      </w:r>
    </w:p>
    <w:p w14:paraId="214CDD1A">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2.1.1形式评审标准：见评标办法前附表</w:t>
      </w:r>
    </w:p>
    <w:p w14:paraId="45C6CE2F">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2.1.2响应性评审标准：见评标办法前附</w:t>
      </w:r>
    </w:p>
    <w:p w14:paraId="8DE1E018">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2.2分值构成与评分标准</w:t>
      </w:r>
    </w:p>
    <w:p w14:paraId="103A8C9E">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2.2.1分值构成</w:t>
      </w:r>
    </w:p>
    <w:p w14:paraId="7646804B">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lang w:eastAsia="zh-CN"/>
          <w14:textFill>
            <w14:solidFill>
              <w14:schemeClr w14:val="tx1"/>
            </w14:solidFill>
          </w14:textFill>
        </w:rPr>
        <w:t>商务</w:t>
      </w:r>
      <w:r>
        <w:rPr>
          <w:rFonts w:hint="eastAsia" w:ascii="宋体" w:hAnsi="宋体"/>
          <w:bCs/>
          <w:color w:val="000000" w:themeColor="text1"/>
          <w:kern w:val="0"/>
          <w:sz w:val="24"/>
          <w:highlight w:val="none"/>
          <w14:textFill>
            <w14:solidFill>
              <w14:schemeClr w14:val="tx1"/>
            </w14:solidFill>
          </w14:textFill>
        </w:rPr>
        <w:t>标、技术标、</w:t>
      </w:r>
      <w:r>
        <w:rPr>
          <w:rFonts w:hint="eastAsia" w:ascii="宋体" w:hAnsi="宋体"/>
          <w:bCs/>
          <w:color w:val="000000" w:themeColor="text1"/>
          <w:kern w:val="0"/>
          <w:sz w:val="24"/>
          <w:highlight w:val="none"/>
          <w:lang w:val="en-US" w:eastAsia="zh-CN"/>
          <w14:textFill>
            <w14:solidFill>
              <w14:schemeClr w14:val="tx1"/>
            </w14:solidFill>
          </w14:textFill>
        </w:rPr>
        <w:t>综合标</w:t>
      </w:r>
      <w:r>
        <w:rPr>
          <w:rFonts w:hint="eastAsia" w:ascii="宋体" w:hAnsi="宋体"/>
          <w:bCs/>
          <w:color w:val="000000" w:themeColor="text1"/>
          <w:kern w:val="0"/>
          <w:sz w:val="24"/>
          <w:highlight w:val="none"/>
          <w14:textFill>
            <w14:solidFill>
              <w14:schemeClr w14:val="tx1"/>
            </w14:solidFill>
          </w14:textFill>
        </w:rPr>
        <w:t>：见评标办法前附表</w:t>
      </w:r>
    </w:p>
    <w:p w14:paraId="C80ECD3D">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2.2.2评分标准</w:t>
      </w:r>
    </w:p>
    <w:p w14:paraId="7CB062EA">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评分标准：见评标办法前附表</w:t>
      </w:r>
    </w:p>
    <w:p w14:paraId="51B38845">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3.评标程序</w:t>
      </w:r>
    </w:p>
    <w:p w14:paraId="27BEB110">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 xml:space="preserve">3.1初步评审 </w:t>
      </w:r>
    </w:p>
    <w:p w14:paraId="B0289E8B">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3.1.1评标时，评委查阅投标文件中相关资料的扫描件或复印件。评标委员会依据本章第2.1.1项、第2.1.2项规定的评审标准对投标文件进行初步评审。有一项不符合评审标准的，作无效处理。</w:t>
      </w:r>
    </w:p>
    <w:p w14:paraId="BCD1265A">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3.1.2投标人有以下情形之一的，其投标作无效标处理：</w:t>
      </w:r>
    </w:p>
    <w:p w14:paraId="1A303D30">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（1）串通投标或弄虚作假或有其他违法行为的；</w:t>
      </w:r>
    </w:p>
    <w:p w14:paraId="7B2846B1">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（2）不按评标委员会要求澄清、说明或补正的。</w:t>
      </w:r>
    </w:p>
    <w:p w14:paraId="F9AA26C5">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3.1.3投标报价有算术错误的，评标委员会按以下原则对投标报价进行修正，修正的价格经投标人书面确认后具有约束力。投标人不接受修正价格的，其投标作废标处理。</w:t>
      </w:r>
    </w:p>
    <w:p w14:paraId="6468DD0B">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（1）投标文件中开标一览表内容与投标文件中明细表内容不一致的，以开标一览表为准。</w:t>
      </w:r>
    </w:p>
    <w:p w14:paraId="1EE102E3">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（2）投标文件中的大写金额与小写金额不一致的，以大写金额为准；</w:t>
      </w:r>
    </w:p>
    <w:p w14:paraId="4101B124">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 xml:space="preserve">3.2详细评审 </w:t>
      </w:r>
    </w:p>
    <w:p w14:paraId="CF5A5A92">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3.2.1评标委员会按本章第2.2款规定的量化因素和分值进行打分，并计算出综合评估得分。</w:t>
      </w:r>
    </w:p>
    <w:p w14:paraId="14F0DB0D">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3.2.2评分分值计算保留小数点后两位，小数点后第三位“四舍五入”。</w:t>
      </w:r>
    </w:p>
    <w:p w14:paraId="CB836F9C">
      <w:pPr>
        <w:widowControl/>
        <w:spacing w:line="360" w:lineRule="auto"/>
        <w:jc w:val="left"/>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3.2.3评标委员会认为投标人的报价明显低于其他通过符合性审查投标人的报价，有可能影响</w:t>
      </w:r>
      <w:r>
        <w:rPr>
          <w:rFonts w:hint="eastAsia" w:ascii="宋体" w:hAnsi="宋体"/>
          <w:bCs/>
          <w:color w:val="000000" w:themeColor="text1"/>
          <w:kern w:val="0"/>
          <w:sz w:val="24"/>
          <w:highlight w:val="none"/>
          <w:lang w:eastAsia="zh-CN"/>
          <w14:textFill>
            <w14:solidFill>
              <w14:schemeClr w14:val="tx1"/>
            </w14:solidFill>
          </w14:textFill>
        </w:rPr>
        <w:t>服务质量</w:t>
      </w:r>
      <w:r>
        <w:rPr>
          <w:rFonts w:hint="eastAsia" w:ascii="宋体" w:hAnsi="宋体"/>
          <w:bCs/>
          <w:color w:val="000000" w:themeColor="text1"/>
          <w:kern w:val="0"/>
          <w:sz w:val="24"/>
          <w:highlight w:val="none"/>
          <w14:textFill>
            <w14:solidFill>
              <w14:schemeClr w14:val="tx1"/>
            </w14:solidFill>
          </w14:textFill>
        </w:rPr>
        <w:t>或者不能诚信履约的，应当要求其在评标现场合理的时间内提供说明，必要时提交相关证明材料；投标人不能证明其报价合理性的，评标委员会应当将其作为无效投标处理。</w:t>
      </w:r>
    </w:p>
    <w:p w14:paraId="E21AB919">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3.3投标文件的澄清和补正</w:t>
      </w:r>
    </w:p>
    <w:p w14:paraId="3FA5B8F9">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3.3.1</w:t>
      </w:r>
      <w:r>
        <w:rPr>
          <w:rFonts w:hint="eastAsia" w:ascii="宋体" w:hAnsi="宋体" w:cs="宋体"/>
          <w:color w:val="000000" w:themeColor="text1"/>
          <w:kern w:val="0"/>
          <w:sz w:val="24"/>
          <w:highlight w:val="none"/>
          <w14:textFill>
            <w14:solidFill>
              <w14:schemeClr w14:val="tx1"/>
            </w14:solidFill>
          </w14:textFill>
        </w:rPr>
        <w:t>在评标过程中，评标委员会可以书面形式要求投标人对所提交投标文件中不明确的内容进行书面澄清或说明，或者对细微偏差进行补正。评标委员会不接受投标人主动提出澄清、说明或补正。 澄清、说明和补正不得改变投标文件的实质性内容（算术性错误修正的除外）。投标人的书面澄清、说明和补正属于投标文件的组成部分。</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评标委员会对投标人提交的澄清、说明或补正有疑问的，可以要求投标人进一步澄清、说明或补正，直至满足评标委员会的要求。 </w:t>
      </w:r>
      <w:r>
        <w:rPr>
          <w:rFonts w:hint="eastAsia" w:ascii="宋体" w:hAnsi="宋体"/>
          <w:bCs/>
          <w:color w:val="000000" w:themeColor="text1"/>
          <w:kern w:val="0"/>
          <w:sz w:val="24"/>
          <w:highlight w:val="none"/>
          <w14:textFill>
            <w14:solidFill>
              <w14:schemeClr w14:val="tx1"/>
            </w14:solidFill>
          </w14:textFill>
        </w:rPr>
        <w:t>如评标委员会对需要回复的投标人连续三次致电未接通的，视为投标人放弃回复，评标委员会将自行对需要回复的内容进行认定。</w:t>
      </w:r>
    </w:p>
    <w:p w14:paraId="90A85C35">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3.3.2 投标文件有下列情况之一的，经评标委员会审核后按无效标处理： </w:t>
      </w:r>
    </w:p>
    <w:p w14:paraId="44035C15">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1、不符合评标办法中的形式评审、响应性评审标准的相关要求； </w:t>
      </w:r>
    </w:p>
    <w:p w14:paraId="DA50AFD3">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2、投标总报价超过招标控制价的或低于成本价的； </w:t>
      </w:r>
    </w:p>
    <w:p w14:paraId="CCCF9C3F">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3、投标文件的关键内容（如投标报价）未填写或填写字迹模糊、辩认不清的； </w:t>
      </w:r>
    </w:p>
    <w:p w14:paraId="7A88B9DD">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4、投标文件在其它方面没有响应招标文件实质性要求及有关法律、法规的； </w:t>
      </w:r>
    </w:p>
    <w:p w14:paraId="C77AC7BB">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5、投标人在投标文件中对同一招标项目报有两个或多个报价，且未声明哪一个有效；  </w:t>
      </w:r>
    </w:p>
    <w:p w14:paraId="E52C2005">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6、不符合招标文件实质性要求的； </w:t>
      </w:r>
    </w:p>
    <w:p w14:paraId="12911540">
      <w:pPr>
        <w:widowControl/>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7、法律法规定的其他无效情形； </w:t>
      </w:r>
    </w:p>
    <w:p w14:paraId="36B81175">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3.4评标结果</w:t>
      </w:r>
    </w:p>
    <w:p w14:paraId="8C5C19E0">
      <w:pPr>
        <w:widowControl/>
        <w:spacing w:line="360" w:lineRule="auto"/>
        <w:jc w:val="left"/>
        <w:rPr>
          <w:rFonts w:hint="eastAsia"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3.4.1评标委员会按照得分由高到低的顺序推荐中标候选人1-3名。</w:t>
      </w:r>
    </w:p>
    <w:p w14:paraId="7A586824">
      <w:pPr>
        <w:widowControl/>
        <w:spacing w:line="360" w:lineRule="auto"/>
        <w:jc w:val="left"/>
        <w:rPr>
          <w:rFonts w:hint="eastAsia" w:ascii="宋体" w:hAnsi="宋体" w:cs="宋体"/>
          <w:color w:val="000000" w:themeColor="text1"/>
          <w:sz w:val="24"/>
          <w:highlight w:val="none"/>
          <w14:textFill>
            <w14:solidFill>
              <w14:schemeClr w14:val="tx1"/>
            </w14:solidFill>
          </w14:textFill>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689" w:bottom="1440" w:left="1689" w:header="851" w:footer="992" w:gutter="0"/>
          <w:cols w:space="720" w:num="1"/>
          <w:docGrid w:type="lines" w:linePitch="381" w:charSpace="0"/>
        </w:sectPr>
      </w:pPr>
      <w:r>
        <w:rPr>
          <w:rFonts w:hint="eastAsia" w:ascii="宋体" w:hAnsi="宋体"/>
          <w:bCs/>
          <w:color w:val="000000" w:themeColor="text1"/>
          <w:kern w:val="0"/>
          <w:sz w:val="24"/>
          <w:highlight w:val="none"/>
          <w14:textFill>
            <w14:solidFill>
              <w14:schemeClr w14:val="tx1"/>
            </w14:solidFill>
          </w14:textFill>
        </w:rPr>
        <w:t>3.4.2评标委员会完成评标后，应当向采购人提交书面评标报告</w:t>
      </w:r>
    </w:p>
    <w:p w14:paraId="F24E9F14">
      <w:pPr>
        <w:pStyle w:val="9"/>
        <w:spacing w:line="360" w:lineRule="auto"/>
        <w:ind w:left="0" w:leftChars="0" w:firstLine="0" w:firstLineChars="0"/>
        <w:rPr>
          <w:rFonts w:hint="eastAsia"/>
          <w:color w:val="000000" w:themeColor="text1"/>
          <w:highlight w:val="none"/>
          <w14:textFill>
            <w14:solidFill>
              <w14:schemeClr w14:val="tx1"/>
            </w14:solidFill>
          </w14:textFill>
        </w:rPr>
      </w:pPr>
    </w:p>
    <w:p w14:paraId="87B51E60">
      <w:pPr>
        <w:widowControl/>
        <w:spacing w:line="360" w:lineRule="auto"/>
        <w:jc w:val="center"/>
        <w:rPr>
          <w:rFonts w:hint="eastAsia" w:ascii="宋体" w:hAnsi="宋体" w:eastAsia="宋体" w:cs="宋体"/>
          <w:b/>
          <w:color w:val="000000" w:themeColor="text1"/>
          <w:kern w:val="0"/>
          <w:sz w:val="31"/>
          <w:szCs w:val="31"/>
          <w:highlight w:val="none"/>
          <w14:textFill>
            <w14:solidFill>
              <w14:schemeClr w14:val="tx1"/>
            </w14:solidFill>
          </w14:textFill>
        </w:rPr>
      </w:pPr>
      <w:r>
        <w:rPr>
          <w:rFonts w:hint="eastAsia" w:ascii="宋体" w:hAnsi="宋体" w:eastAsia="宋体" w:cs="宋体"/>
          <w:b/>
          <w:color w:val="000000" w:themeColor="text1"/>
          <w:kern w:val="0"/>
          <w:sz w:val="31"/>
          <w:szCs w:val="31"/>
          <w:highlight w:val="none"/>
          <w14:textFill>
            <w14:solidFill>
              <w14:schemeClr w14:val="tx1"/>
            </w14:solidFill>
          </w14:textFill>
        </w:rPr>
        <w:t xml:space="preserve">第四章 </w:t>
      </w:r>
      <w:bookmarkStart w:id="1" w:name="_Toc520104893"/>
      <w:r>
        <w:rPr>
          <w:rFonts w:hint="eastAsia" w:ascii="宋体" w:hAnsi="宋体" w:eastAsia="宋体" w:cs="宋体"/>
          <w:b/>
          <w:color w:val="000000" w:themeColor="text1"/>
          <w:kern w:val="0"/>
          <w:sz w:val="31"/>
          <w:szCs w:val="31"/>
          <w:highlight w:val="none"/>
          <w14:textFill>
            <w14:solidFill>
              <w14:schemeClr w14:val="tx1"/>
            </w14:solidFill>
          </w14:textFill>
        </w:rPr>
        <w:t>合同</w:t>
      </w:r>
      <w:bookmarkEnd w:id="1"/>
      <w:r>
        <w:rPr>
          <w:rFonts w:hint="eastAsia" w:ascii="宋体" w:hAnsi="宋体" w:eastAsia="宋体" w:cs="宋体"/>
          <w:b/>
          <w:color w:val="000000" w:themeColor="text1"/>
          <w:kern w:val="0"/>
          <w:sz w:val="31"/>
          <w:szCs w:val="31"/>
          <w:highlight w:val="none"/>
          <w14:textFill>
            <w14:solidFill>
              <w14:schemeClr w14:val="tx1"/>
            </w14:solidFill>
          </w14:textFill>
        </w:rPr>
        <w:t>（样板）</w:t>
      </w:r>
    </w:p>
    <w:p w14:paraId="325BF8E5">
      <w:pPr>
        <w:pStyle w:val="2"/>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（仅供参考，以实际签订为准）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14:paraId="1FA8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tcPr>
          <w:p w14:paraId="40087623">
            <w:pPr>
              <w:spacing w:before="156" w:beforeLines="50"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注释：本格式条款仅作为双方签订合同的参考，为阐明各方的权利和义务，经协商可增加新的条款。但不得与招标文件、投标文件的实质性内容相背离。</w:t>
            </w:r>
          </w:p>
        </w:tc>
      </w:tr>
    </w:tbl>
    <w:p w14:paraId="2DD5D458">
      <w:pPr>
        <w:spacing w:line="560" w:lineRule="exact"/>
        <w:rPr>
          <w:rFonts w:ascii="宋体" w:hAnsi="宋体" w:eastAsia="宋体" w:cs="Times New Roman"/>
          <w:color w:val="000000" w:themeColor="text1"/>
          <w:sz w:val="24"/>
          <w:szCs w:val="28"/>
          <w14:textFill>
            <w14:solidFill>
              <w14:schemeClr w14:val="tx1"/>
            </w14:solidFill>
          </w14:textFill>
        </w:rPr>
      </w:pPr>
    </w:p>
    <w:p w14:paraId="35C9C2F3">
      <w:pPr>
        <w:keepNext w:val="0"/>
        <w:keepLines w:val="0"/>
        <w:pageBreakBefore w:val="0"/>
        <w:widowControl w:val="0"/>
        <w:kinsoku/>
        <w:wordWrap/>
        <w:overflowPunct/>
        <w:topLinePunct w:val="0"/>
        <w:autoSpaceDE/>
        <w:autoSpaceDN/>
        <w:bidi w:val="0"/>
        <w:spacing w:line="580" w:lineRule="exact"/>
        <w:ind w:left="0"/>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法律顾问服务合同</w:t>
      </w:r>
    </w:p>
    <w:p w14:paraId="2A778FEB">
      <w:pPr>
        <w:keepNext w:val="0"/>
        <w:keepLines w:val="0"/>
        <w:pageBreakBefore w:val="0"/>
        <w:widowControl w:val="0"/>
        <w:kinsoku/>
        <w:wordWrap/>
        <w:overflowPunct/>
        <w:topLinePunct w:val="0"/>
        <w:autoSpaceDE/>
        <w:autoSpaceDN/>
        <w:bidi w:val="0"/>
        <w:spacing w:line="580" w:lineRule="exact"/>
        <w:ind w:left="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5D4C5507">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p>
    <w:p w14:paraId="2C659871">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w:t>
      </w:r>
    </w:p>
    <w:p w14:paraId="0A605EFA">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p w14:paraId="4314B69A">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p>
    <w:p w14:paraId="6AA9AB5C">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5B7A58A0">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p>
    <w:p w14:paraId="25C15E1E">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p w14:paraId="0FDF5AF2">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p>
    <w:p w14:paraId="3A03AE8B">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p>
    <w:p w14:paraId="4D7803FE">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23912D98">
      <w:pPr>
        <w:keepNext w:val="0"/>
        <w:keepLines w:val="0"/>
        <w:pageBreakBefore w:val="0"/>
        <w:widowControl w:val="0"/>
        <w:kinsoku/>
        <w:wordWrap/>
        <w:overflowPunct/>
        <w:topLinePunct w:val="0"/>
        <w:autoSpaceDE/>
        <w:autoSpaceDN/>
        <w:bidi w:val="0"/>
        <w:adjustRightInd w:val="0"/>
        <w:snapToGrid w:val="0"/>
        <w:spacing w:line="580" w:lineRule="exact"/>
        <w:ind w:left="0" w:firstLine="482" w:firstLineChars="200"/>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鉴于</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p>
    <w:p w14:paraId="7C1FFC87">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甲方为依法履行行政管理职能，推进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依法行政，建设</w:t>
      </w:r>
      <w:r>
        <w:rPr>
          <w:rFonts w:hint="eastAsia" w:asciiTheme="minorEastAsia" w:hAnsiTheme="minorEastAsia" w:eastAsiaTheme="minorEastAsia" w:cstheme="minorEastAsia"/>
          <w:color w:val="000000" w:themeColor="text1"/>
          <w:sz w:val="24"/>
          <w:szCs w:val="24"/>
          <w14:textFill>
            <w14:solidFill>
              <w14:schemeClr w14:val="tx1"/>
            </w14:solidFill>
          </w14:textFill>
        </w:rPr>
        <w:t>法治政府，根据相关法律法规规定，拟聘请乙方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为三门峡市陕州区56家单位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担任法律顾问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27749C9">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乙方具备提供法律顾问服务的专业能力和资质，愿意接受聘请。</w:t>
      </w:r>
    </w:p>
    <w:p w14:paraId="55CDB1D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经双方友好协商，就甲方聘请乙方担任法律顾问事宜，达成如下协议：</w:t>
      </w:r>
    </w:p>
    <w:p w14:paraId="3B497576">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0" w:firstLine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乙方指派人员</w:t>
      </w:r>
    </w:p>
    <w:p w14:paraId="60FB5FC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乙方指派   等  名律师（名单附后）担任三门峡市陕州区56家单位的法律顾问。</w:t>
      </w:r>
    </w:p>
    <w:p w14:paraId="3F4B2BB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第二条　乙方指派的律师应当具备下列条件：</w:t>
      </w:r>
    </w:p>
    <w:p w14:paraId="439E349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（一）忠于宪法，遵守法律，具有良好的职业道德；</w:t>
      </w:r>
    </w:p>
    <w:p w14:paraId="5556E76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（二）具有较强的实践能力或者一定的专业影响力，经验丰富，熟悉政府工作规则；</w:t>
      </w:r>
    </w:p>
    <w:p w14:paraId="69BF1F6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（三）具有5年以上执业经验；</w:t>
      </w:r>
    </w:p>
    <w:p w14:paraId="5E98C5A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（四）未受到刑事处罚、党纪政务处分，近3年未受到司法行政部门行政处罚或者律师协会行业处分。</w:t>
      </w:r>
    </w:p>
    <w:p w14:paraId="1746EAA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第三条  服务对象：三门峡市陕州区56家单位。</w:t>
      </w:r>
    </w:p>
    <w:p w14:paraId="3CA0D2E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第四条  服务内容</w:t>
      </w:r>
    </w:p>
    <w:p w14:paraId="42CCAB8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的重大行政决策及时准确地提供专家论证、风险评估和合法性审查意见、建议和法律服务，对决策实施过程中可能遇到的风险作出预测，从法律角度提出避免或减少风险的措施</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8FAECBC">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日常业务中出现的有关法律问题，提供咨询、论证等专项法律意见或出具法律意见书，应邀参加相关会议，并提出解决办法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9C269A3">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重大项目的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洽</w:t>
      </w:r>
      <w:r>
        <w:rPr>
          <w:rFonts w:hint="eastAsia" w:asciiTheme="minorEastAsia" w:hAnsiTheme="minorEastAsia" w:eastAsiaTheme="minorEastAsia" w:cstheme="minorEastAsia"/>
          <w:color w:val="000000" w:themeColor="text1"/>
          <w:sz w:val="24"/>
          <w:szCs w:val="24"/>
          <w14:textFill>
            <w14:solidFill>
              <w14:schemeClr w14:val="tx1"/>
            </w14:solidFill>
          </w14:textFill>
        </w:rPr>
        <w:t>谈以及其他重大经济活动中的法律事务，协助起草、修改、审查合同、协议及其他重要法律文书，提出切实可行的法律意见或建议，避免法律风险及诉讼隐患</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268ABD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出台的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行政</w:t>
      </w:r>
      <w:r>
        <w:rPr>
          <w:rFonts w:hint="eastAsia" w:asciiTheme="minorEastAsia" w:hAnsiTheme="minorEastAsia" w:eastAsiaTheme="minorEastAsia" w:cstheme="minorEastAsia"/>
          <w:color w:val="000000" w:themeColor="text1"/>
          <w:sz w:val="24"/>
          <w:szCs w:val="24"/>
          <w14:textFill>
            <w14:solidFill>
              <w14:schemeClr w14:val="tx1"/>
            </w14:solidFill>
          </w14:textFill>
        </w:rPr>
        <w:t>规范性文件的合法性审查提供法律意见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7B9C435">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代理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为当事人一方的民事诉讼</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仲裁</w:t>
      </w:r>
      <w:r>
        <w:rPr>
          <w:rFonts w:hint="eastAsia" w:asciiTheme="minorEastAsia" w:hAnsiTheme="minorEastAsia" w:eastAsiaTheme="minorEastAsia" w:cstheme="minorEastAsia"/>
          <w:color w:val="000000" w:themeColor="text1"/>
          <w:sz w:val="24"/>
          <w:szCs w:val="24"/>
          <w14:textFill>
            <w14:solidFill>
              <w14:schemeClr w14:val="tx1"/>
            </w14:solidFill>
          </w14:textFill>
        </w:rPr>
        <w:t>、行政诉讼、行政复议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行政赔偿案件和其他非诉讼法律事务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12160D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的需要，协助进行法律培训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14:textFill>
            <w14:solidFill>
              <w14:schemeClr w14:val="tx1"/>
            </w14:solidFill>
          </w14:textFill>
        </w:rPr>
        <w:t>普法讲座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普法视频等</w:t>
      </w:r>
      <w:r>
        <w:rPr>
          <w:rFonts w:hint="eastAsia" w:asciiTheme="minorEastAsia" w:hAnsiTheme="minorEastAsia" w:eastAsiaTheme="minorEastAsia" w:cstheme="minorEastAsia"/>
          <w:color w:val="000000" w:themeColor="text1"/>
          <w:sz w:val="24"/>
          <w:szCs w:val="24"/>
          <w14:textFill>
            <w14:solidFill>
              <w14:schemeClr w14:val="tx1"/>
            </w14:solidFill>
          </w14:textFill>
        </w:rPr>
        <w:t>法制宣传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教育</w:t>
      </w:r>
      <w:r>
        <w:rPr>
          <w:rFonts w:hint="eastAsia" w:asciiTheme="minorEastAsia" w:hAnsiTheme="minorEastAsia" w:eastAsiaTheme="minorEastAsia" w:cstheme="minorEastAsia"/>
          <w:color w:val="000000" w:themeColor="text1"/>
          <w:sz w:val="24"/>
          <w:szCs w:val="24"/>
          <w14:textFill>
            <w14:solidFill>
              <w14:schemeClr w14:val="tx1"/>
            </w14:solidFill>
          </w14:textFill>
        </w:rPr>
        <w:t>活动，积极参与服务对象组织的公益活动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87B692A">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参与处理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涉及服务对象的</w:t>
      </w:r>
      <w:r>
        <w:rPr>
          <w:rFonts w:hint="eastAsia" w:asciiTheme="minorEastAsia" w:hAnsiTheme="minorEastAsia" w:eastAsiaTheme="minorEastAsia" w:cstheme="minorEastAsia"/>
          <w:color w:val="000000" w:themeColor="text1"/>
          <w:sz w:val="24"/>
          <w:szCs w:val="24"/>
          <w14:textFill>
            <w14:solidFill>
              <w14:schemeClr w14:val="tx1"/>
            </w14:solidFill>
          </w14:textFill>
        </w:rPr>
        <w:t>突发性、群体性矛盾纠纷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4FADD69">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14:textFill>
            <w14:solidFill>
              <w14:schemeClr w14:val="tx1"/>
            </w14:solidFill>
          </w14:textFill>
        </w:rPr>
        <w:t>专项法律服务工作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E37F622">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（九）服务对象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交办的其他与律师业务有关的工作。</w:t>
      </w:r>
    </w:p>
    <w:p w14:paraId="065BA2A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第五条  服务方式</w:t>
      </w:r>
    </w:p>
    <w:p w14:paraId="7DCB693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乙方应指定律师组成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核心</w:t>
      </w:r>
      <w:r>
        <w:rPr>
          <w:rFonts w:hint="eastAsia" w:asciiTheme="minorEastAsia" w:hAnsiTheme="minorEastAsia" w:eastAsiaTheme="minorEastAsia" w:cstheme="minorEastAsia"/>
          <w:color w:val="000000" w:themeColor="text1"/>
          <w:sz w:val="24"/>
          <w:szCs w:val="24"/>
          <w14:textFill>
            <w14:solidFill>
              <w14:schemeClr w14:val="tx1"/>
            </w14:solidFill>
          </w14:textFill>
        </w:rPr>
        <w:t>法律顾问团，</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成员不少于5人，具有8年以上执业经验，</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涉及服务对象超过500万元标的额的法律事务。</w:t>
      </w:r>
    </w:p>
    <w:p w14:paraId="251AD3F4">
      <w:pPr>
        <w:pStyle w:val="2"/>
        <w:keepNext w:val="0"/>
        <w:keepLines w:val="0"/>
        <w:pageBreakBefore w:val="0"/>
        <w:widowControl w:val="0"/>
        <w:kinsoku/>
        <w:wordWrap/>
        <w:overflowPunct/>
        <w:topLinePunct w:val="0"/>
        <w:autoSpaceDE/>
        <w:autoSpaceDN/>
        <w:bidi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（二）经甲乙双方协商一致，确定每个服务对象的法律顾问。</w:t>
      </w:r>
    </w:p>
    <w:p w14:paraId="2BF12395">
      <w:pPr>
        <w:keepNext w:val="0"/>
        <w:keepLines w:val="0"/>
        <w:pageBreakBefore w:val="0"/>
        <w:widowControl w:val="0"/>
        <w:kinsoku/>
        <w:wordWrap/>
        <w:overflowPunct/>
        <w:topLinePunct w:val="0"/>
        <w:autoSpaceDE/>
        <w:autoSpaceDN/>
        <w:bidi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（三）乙方服务乡镇人民政府的法律顾问应通过对接乡镇司法所为乡镇人民政府提供法律服务。</w:t>
      </w:r>
    </w:p>
    <w:p w14:paraId="3C3D3F6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（三）通过电子邮件、微信等方式传输往来文件。</w:t>
      </w:r>
    </w:p>
    <w:p w14:paraId="54AC2655">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（四）通过电话、远程通讯、网络会议等通讯方式开展工作。</w:t>
      </w:r>
    </w:p>
    <w:p w14:paraId="364F0FE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第六条  </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服务期限</w:t>
      </w:r>
    </w:p>
    <w:p w14:paraId="7DF18BE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有效期为3年，</w:t>
      </w:r>
      <w:r>
        <w:rPr>
          <w:rFonts w:hint="eastAsia" w:asciiTheme="minorEastAsia" w:hAnsiTheme="minorEastAsia" w:eastAsiaTheme="minorEastAsia" w:cstheme="minorEastAsia"/>
          <w:color w:val="000000" w:themeColor="text1"/>
          <w:sz w:val="24"/>
          <w:szCs w:val="24"/>
          <w14:textFill>
            <w14:solidFill>
              <w14:schemeClr w14:val="tx1"/>
            </w14:solidFill>
          </w14:textFill>
        </w:rPr>
        <w:t>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2025年  月  日</w:t>
      </w:r>
      <w:r>
        <w:rPr>
          <w:rFonts w:hint="eastAsia"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2028年  月   日</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5BE7CD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第七条  法律顾问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w:t>
      </w:r>
    </w:p>
    <w:p w14:paraId="528CF58E">
      <w:pPr>
        <w:keepNext w:val="0"/>
        <w:keepLines w:val="0"/>
        <w:pageBreakBefore w:val="0"/>
        <w:widowControl w:val="0"/>
        <w:kinsoku/>
        <w:wordWrap/>
        <w:overflowPunct/>
        <w:topLinePunct w:val="0"/>
        <w:autoSpaceDE/>
        <w:autoSpaceDN/>
        <w:bidi w:val="0"/>
        <w:adjustRightInd/>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法律顾问费按年度支付，每年度法律顾问费为人民币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万元，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甲方应</w:t>
      </w:r>
      <w:r>
        <w:rPr>
          <w:rFonts w:hint="eastAsia" w:asciiTheme="minorEastAsia" w:hAnsiTheme="minorEastAsia" w:eastAsiaTheme="minorEastAsia" w:cstheme="minorEastAsia"/>
          <w:color w:val="000000" w:themeColor="text1"/>
          <w:sz w:val="24"/>
          <w:szCs w:val="24"/>
          <w14:textFill>
            <w14:solidFill>
              <w14:schemeClr w14:val="tx1"/>
            </w14:solidFill>
          </w14:textFill>
        </w:rPr>
        <w:t>于每年度法律服务开始后第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个月的月底之前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一次性付清</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4C0932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（二）法律顾问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费为固定费用，包含乙方为履行本合同约定的法律服务内容所产生的全部费用，但不包括因办理行政复议、诉讼案件所发生的案件受理费、保全费、鉴定费、公证费、差旅费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2C65474">
      <w:pPr>
        <w:keepNext w:val="0"/>
        <w:keepLines w:val="0"/>
        <w:pageBreakBefore w:val="0"/>
        <w:widowControl w:val="0"/>
        <w:kinsoku/>
        <w:wordWrap/>
        <w:overflowPunct/>
        <w:topLinePunct w:val="0"/>
        <w:autoSpaceDE/>
        <w:autoSpaceDN/>
        <w:bidi w:val="0"/>
        <w:adjustRightInd/>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（三）乙方支出的其它费用须征得甲方同意。</w:t>
      </w:r>
    </w:p>
    <w:p w14:paraId="1909547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乙方应在每次收取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法律顾问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费用前向甲方提供合法有效的发票。</w:t>
      </w:r>
    </w:p>
    <w:p w14:paraId="013633A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第八条  </w:t>
      </w:r>
      <w:r>
        <w:rPr>
          <w:rFonts w:hint="eastAsia" w:asciiTheme="minorEastAsia" w:hAnsiTheme="minorEastAsia" w:eastAsiaTheme="minorEastAsia" w:cstheme="minorEastAsia"/>
          <w:color w:val="000000" w:themeColor="text1"/>
          <w:sz w:val="24"/>
          <w:szCs w:val="24"/>
          <w14:textFill>
            <w14:solidFill>
              <w14:schemeClr w14:val="tx1"/>
            </w14:solidFill>
          </w14:textFill>
        </w:rPr>
        <w:t>权利和义务</w:t>
      </w:r>
    </w:p>
    <w:p w14:paraId="2E8D235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的权利</w:t>
      </w:r>
    </w:p>
    <w:p w14:paraId="3C4C74A2">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bookmarkStart w:id="2" w:name="OLE_LINK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bookmarkEnd w:id="2"/>
      <w:r>
        <w:rPr>
          <w:rFonts w:hint="eastAsia" w:asciiTheme="minorEastAsia" w:hAnsiTheme="minorEastAsia" w:eastAsiaTheme="minorEastAsia" w:cstheme="minorEastAsia"/>
          <w:color w:val="000000" w:themeColor="text1"/>
          <w:sz w:val="24"/>
          <w:szCs w:val="24"/>
          <w14:textFill>
            <w14:solidFill>
              <w14:schemeClr w14:val="tx1"/>
            </w14:solidFill>
          </w14:textFill>
        </w:rPr>
        <w:t>有权根据工作需求委托乙方办理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服务内容</w:t>
      </w:r>
      <w:r>
        <w:rPr>
          <w:rFonts w:hint="eastAsia" w:asciiTheme="minorEastAsia" w:hAnsiTheme="minorEastAsia" w:eastAsiaTheme="minorEastAsia" w:cstheme="minorEastAsia"/>
          <w:color w:val="000000" w:themeColor="text1"/>
          <w:sz w:val="24"/>
          <w:szCs w:val="24"/>
          <w14:textFill>
            <w14:solidFill>
              <w14:schemeClr w14:val="tx1"/>
            </w14:solidFill>
          </w14:textFill>
        </w:rPr>
        <w:t>范围内的法律事务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03F867B">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有权提出工作要求和完成工作的具体时间；</w:t>
      </w:r>
    </w:p>
    <w:p w14:paraId="6C6E430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有权要求乙方参加列席相关会议，但会议时间应提前与乙方沟通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24F04DB1">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有权监督乙方工作，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14:textFill>
            <w14:solidFill>
              <w14:schemeClr w14:val="tx1"/>
            </w14:solidFill>
          </w14:textFill>
        </w:rPr>
        <w:t>认为乙方工作需要改进，可向乙方提出改进要求或意见；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若对乙方指派的律师服务不满意，或者乙方指派律师在服务期限内</w:t>
      </w:r>
      <w:r>
        <w:rPr>
          <w:rFonts w:hint="eastAsia" w:asciiTheme="minorEastAsia" w:hAnsiTheme="minorEastAsia" w:eastAsiaTheme="minorEastAsia" w:cstheme="minorEastAsia"/>
          <w:color w:val="000000" w:themeColor="text1"/>
          <w:sz w:val="24"/>
          <w:szCs w:val="24"/>
          <w14:textFill>
            <w14:solidFill>
              <w14:schemeClr w14:val="tx1"/>
            </w14:solidFill>
          </w14:textFill>
        </w:rPr>
        <w:t>受到司法行政机关行政处罚或者律师协会行业处分的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有权要求乙方更换律师。</w:t>
      </w:r>
    </w:p>
    <w:p w14:paraId="7F0F7D1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有权对乙方的工作进行年度考核。</w:t>
      </w:r>
    </w:p>
    <w:p w14:paraId="4E603936">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的义务</w:t>
      </w:r>
    </w:p>
    <w:p w14:paraId="0348CBE9">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1、及时、真实、详尽地向乙方提供与委托事项有关的全部文件和背景材料，并承担因违反本款而产生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不利后果之责任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A2F088A">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2、积极、主动地配合乙方律师为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的利益所从事的各项工作，并根据需要为乙方提供办公条件和其他便利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并支付因办理法律事务所发生的受理费、保全费、鉴定费、公证费、差旅费等。 </w:t>
      </w:r>
    </w:p>
    <w:p w14:paraId="1FF45C9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）乙方的权利</w:t>
      </w:r>
    </w:p>
    <w:p w14:paraId="71087B12">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1、乙方有权根据工作需要，要求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提供与委托事项有关的全部文件和背景材料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FEC673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2、乙方有权根据工作需要，要求甲方提供办理委托事项必要的配合和保障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275DB8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3、根据法律事务的办理情况，在确保服务质量、不增加法律服务费的情况下，乙方经甲方和服务对象同意后可增加或变更承办律师。</w:t>
      </w:r>
    </w:p>
    <w:p w14:paraId="7FD7B706">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、乙方有权根据本合同约定收取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法律顾问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w:t>
      </w:r>
    </w:p>
    <w:p w14:paraId="3A66FC45">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）乙方的义务</w:t>
      </w:r>
    </w:p>
    <w:p w14:paraId="5EAD28C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1、乙方应勤勉尽责地为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条约定的服务，依法最大限度维护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的合法权益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59011C0">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2、乙方应按照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要求的时限及时、迅速地办理委托的法律事务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E87C51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3、乙方应在本合同有效期内及合同终止后，根据法律法规及有关规范性文件的规定和甲方要求，对合同履行过程中所知悉的不宜公开的信息予以保密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BC1994F">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4、乙方不得以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法律顾问的身份或名义从事商业活动，招揽、开展相关业务，或者从事其他与法律顾问职责无关的活动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FDEC2BC">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5、乙方不得接受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与服务对象同案件有利害冲突</w:t>
      </w:r>
      <w:r>
        <w:rPr>
          <w:rFonts w:hint="eastAsia" w:asciiTheme="minorEastAsia" w:hAnsiTheme="minorEastAsia" w:eastAsiaTheme="minorEastAsia" w:cstheme="minorEastAsia"/>
          <w:color w:val="000000" w:themeColor="text1"/>
          <w:sz w:val="24"/>
          <w:szCs w:val="24"/>
          <w14:textFill>
            <w14:solidFill>
              <w14:schemeClr w14:val="tx1"/>
            </w14:solidFill>
          </w14:textFill>
        </w:rPr>
        <w:t>的法律事务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13A04403">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6、乙方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须</w:t>
      </w:r>
      <w:r>
        <w:rPr>
          <w:rFonts w:hint="eastAsia" w:asciiTheme="minorEastAsia" w:hAnsiTheme="minorEastAsia" w:eastAsiaTheme="minorEastAsia" w:cstheme="minorEastAsia"/>
          <w:color w:val="000000" w:themeColor="text1"/>
          <w:sz w:val="24"/>
          <w:szCs w:val="24"/>
          <w14:textFill>
            <w14:solidFill>
              <w14:schemeClr w14:val="tx1"/>
            </w14:solidFill>
          </w14:textFill>
        </w:rPr>
        <w:t>每年向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提交一份《法律顾问服务通报》，向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通报法律顾问服务情况。</w:t>
      </w:r>
    </w:p>
    <w:p w14:paraId="2619EA7C">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7、为保证政府法律顾问工作质量，乙方指派律师每人不得接受超过5</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家党</w:t>
      </w:r>
      <w:r>
        <w:rPr>
          <w:rFonts w:hint="eastAsia" w:asciiTheme="minorEastAsia" w:hAnsiTheme="minorEastAsia" w:eastAsiaTheme="minorEastAsia" w:cstheme="minorEastAsia"/>
          <w:color w:val="000000" w:themeColor="text1"/>
          <w:sz w:val="24"/>
          <w:szCs w:val="24"/>
          <w14:textFill>
            <w14:solidFill>
              <w14:schemeClr w14:val="tx1"/>
            </w14:solidFill>
          </w14:textFill>
        </w:rPr>
        <w:t>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机关</w:t>
      </w:r>
      <w:r>
        <w:rPr>
          <w:rFonts w:hint="eastAsia" w:asciiTheme="minorEastAsia" w:hAnsiTheme="minorEastAsia" w:eastAsiaTheme="minorEastAsia" w:cstheme="minorEastAsia"/>
          <w:color w:val="000000" w:themeColor="text1"/>
          <w:sz w:val="24"/>
          <w:szCs w:val="24"/>
          <w14:textFill>
            <w14:solidFill>
              <w14:schemeClr w14:val="tx1"/>
            </w14:solidFill>
          </w14:textFill>
        </w:rPr>
        <w:t>的聘请。</w:t>
      </w:r>
    </w:p>
    <w:p w14:paraId="6A2DF8B2">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要求乙方对相关事项出具书面法律意见，乙方应出具书面法律意见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并</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加盖律师事务所公章，由经办律师签名。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14:paraId="0AE89A06">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第九条  </w:t>
      </w:r>
      <w:r>
        <w:rPr>
          <w:rFonts w:hint="eastAsia" w:asciiTheme="minorEastAsia" w:hAnsiTheme="minorEastAsia" w:eastAsiaTheme="minorEastAsia" w:cstheme="minorEastAsia"/>
          <w:color w:val="000000" w:themeColor="text1"/>
          <w:sz w:val="24"/>
          <w:szCs w:val="24"/>
          <w14:textFill>
            <w14:solidFill>
              <w14:schemeClr w14:val="tx1"/>
            </w14:solidFill>
          </w14:textFill>
        </w:rPr>
        <w:t>违约责任</w:t>
      </w:r>
    </w:p>
    <w:p w14:paraId="12596923">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 若乙方未按照本合同约定的服务内容、方式或时间要求提供法律服务，或提供的法律服务不符合质量要求，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有权要求乙方限期整改；乙方经整改仍不符合要求的，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有权扣除相应的服务费用，情节严重的，甲方有权解除本合同，并要求乙方退还已收取的服务费用。如因乙方的违约行为给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14:textFill>
            <w14:solidFill>
              <w14:schemeClr w14:val="tx1"/>
            </w14:solidFill>
          </w14:textFill>
        </w:rPr>
        <w:t>造成损失的，乙方应承担赔偿责任。</w:t>
      </w:r>
    </w:p>
    <w:p w14:paraId="0AA8ACC3">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任何一方违反本合同约定的保密义务，如给对方造成损失的，违约方应承担赔偿责任。</w:t>
      </w:r>
    </w:p>
    <w:p w14:paraId="674BB336">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第十条  </w:t>
      </w:r>
      <w:r>
        <w:rPr>
          <w:rFonts w:hint="eastAsia" w:asciiTheme="minorEastAsia" w:hAnsiTheme="minorEastAsia" w:eastAsiaTheme="minorEastAsia" w:cstheme="minorEastAsia"/>
          <w:color w:val="000000" w:themeColor="text1"/>
          <w:sz w:val="24"/>
          <w:szCs w:val="24"/>
          <w14:textFill>
            <w14:solidFill>
              <w14:schemeClr w14:val="tx1"/>
            </w14:solidFill>
          </w14:textFill>
        </w:rPr>
        <w:t>合同变更与解除</w:t>
      </w:r>
    </w:p>
    <w:p w14:paraId="7F5164F5">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本合同的变更或补充需经双方协商一致，并签订书面协议。</w:t>
      </w:r>
    </w:p>
    <w:p w14:paraId="3FDBD5B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在服务期限内，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14:textFill>
            <w14:solidFill>
              <w14:schemeClr w14:val="tx1"/>
            </w14:solidFill>
          </w14:textFill>
        </w:rPr>
        <w:t>因不可抗力或政府政策调整等不可预见、不可避免的原因导致本合同无法继续履行或部分无法履行的，双方协商解决，互不承担违约责任。</w:t>
      </w:r>
    </w:p>
    <w:p w14:paraId="78E05C6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经双方协商一致，可以解除本合同。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14:textFill>
            <w14:solidFill>
              <w14:schemeClr w14:val="tx1"/>
            </w14:solidFill>
          </w14:textFill>
        </w:rPr>
        <w:t>一方解除本合同，应提前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个工作日书面通知对方，并说明解除原因。</w:t>
      </w:r>
    </w:p>
    <w:p w14:paraId="60059289">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乙方有下列情形之一的，甲方有权解除合同，乙方应自收到甲方解除合同通知之日起退还剩余期限的法律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顾问</w:t>
      </w:r>
      <w:r>
        <w:rPr>
          <w:rFonts w:hint="eastAsia" w:asciiTheme="minorEastAsia" w:hAnsiTheme="minorEastAsia" w:eastAsiaTheme="minorEastAsia" w:cstheme="minorEastAsia"/>
          <w:color w:val="000000" w:themeColor="text1"/>
          <w:sz w:val="24"/>
          <w:szCs w:val="24"/>
          <w14:textFill>
            <w14:solidFill>
              <w14:schemeClr w14:val="tx1"/>
            </w14:solidFill>
          </w14:textFill>
        </w:rPr>
        <w:t>费：</w:t>
      </w:r>
    </w:p>
    <w:p w14:paraId="1D08157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违反本合同第</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第四款</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约</w:t>
      </w:r>
      <w:r>
        <w:rPr>
          <w:rFonts w:hint="eastAsia" w:asciiTheme="minorEastAsia" w:hAnsiTheme="minorEastAsia" w:eastAsiaTheme="minorEastAsia" w:cstheme="minorEastAsia"/>
          <w:color w:val="000000" w:themeColor="text1"/>
          <w:sz w:val="24"/>
          <w:szCs w:val="24"/>
          <w14:textFill>
            <w14:solidFill>
              <w14:schemeClr w14:val="tx1"/>
            </w14:solidFill>
          </w14:textFill>
        </w:rPr>
        <w:t>定义务的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D584040">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不遵守国家规定和聘用单位工作纪律、不履行合同约定义务且不能及时改正的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E0E6630">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服务对象</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考核不合格，合同无法继续履行的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7A80EE4">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bookmarkStart w:id="3" w:name="OLE_LINK2"/>
      <w:r>
        <w:rPr>
          <w:rFonts w:hint="eastAsia" w:asciiTheme="minorEastAsia" w:hAnsiTheme="minorEastAsia" w:eastAsiaTheme="minorEastAsia" w:cstheme="minorEastAsia"/>
          <w:color w:val="000000" w:themeColor="text1"/>
          <w:sz w:val="24"/>
          <w:szCs w:val="24"/>
          <w14:textFill>
            <w14:solidFill>
              <w14:schemeClr w14:val="tx1"/>
            </w14:solidFill>
          </w14:textFill>
        </w:rPr>
        <w:t>受到司法行政机关行政处罚或者律师协会行业处分的</w:t>
      </w:r>
      <w:bookmarkEnd w:id="3"/>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070CF9B">
      <w:pPr>
        <w:pStyle w:val="2"/>
        <w:keepNext w:val="0"/>
        <w:keepLines w:val="0"/>
        <w:pageBreakBefore w:val="0"/>
        <w:widowControl w:val="0"/>
        <w:kinsoku/>
        <w:wordWrap/>
        <w:overflowPunct/>
        <w:topLinePunct w:val="0"/>
        <w:autoSpaceDE/>
        <w:autoSpaceDN/>
        <w:bidi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5、若6家服务对象均对乙方指派的法律顾问提供的法律服务不满意的。</w:t>
      </w:r>
    </w:p>
    <w:p w14:paraId="735D0FAB">
      <w:pPr>
        <w:pStyle w:val="2"/>
        <w:keepNext w:val="0"/>
        <w:keepLines w:val="0"/>
        <w:pageBreakBefore w:val="0"/>
        <w:widowControl w:val="0"/>
        <w:kinsoku/>
        <w:wordWrap/>
        <w:overflowPunct/>
        <w:topLinePunct w:val="0"/>
        <w:autoSpaceDE/>
        <w:autoSpaceDN/>
        <w:bidi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甲方认为其他应当解除合同的</w:t>
      </w:r>
      <w:r>
        <w:rPr>
          <w:rFonts w:hint="eastAsia" w:asciiTheme="minorEastAsia" w:hAnsiTheme="minorEastAsia" w:eastAsiaTheme="minorEastAsia" w:cstheme="minorEastAsia"/>
          <w:color w:val="000000" w:themeColor="text1"/>
          <w:sz w:val="24"/>
          <w:szCs w:val="24"/>
          <w:lang w:eastAsia="zh-Hans"/>
          <w14:textFill>
            <w14:solidFill>
              <w14:schemeClr w14:val="tx1"/>
            </w14:solidFill>
          </w14:textFill>
        </w:rPr>
        <w:t>情形</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30DA28E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（五）乙方在本合同签订后开始提供法律服务。若甲方逾期不支付相关费用，乙方有权中止或解除合同，并不承担甲方因此产生的损失。若非因乙方原因终止合同，乙方收取的法律顾问服务费不予退还。</w:t>
      </w:r>
    </w:p>
    <w:p w14:paraId="3918025E">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第十一条  </w:t>
      </w:r>
      <w:r>
        <w:rPr>
          <w:rFonts w:hint="eastAsia" w:asciiTheme="minorEastAsia" w:hAnsiTheme="minorEastAsia" w:eastAsiaTheme="minorEastAsia" w:cstheme="minorEastAsia"/>
          <w:color w:val="000000" w:themeColor="text1"/>
          <w:sz w:val="24"/>
          <w:szCs w:val="24"/>
          <w14:textFill>
            <w14:solidFill>
              <w14:schemeClr w14:val="tx1"/>
            </w14:solidFill>
          </w14:textFill>
        </w:rPr>
        <w:t>争议解决</w:t>
      </w:r>
    </w:p>
    <w:p w14:paraId="7048CC81">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甲乙双方均应自觉全面履行本合同约定的各项义务，若</w:t>
      </w:r>
      <w:r>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t>因履行本合同发生争议，应当友好协商解决，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若</w:t>
      </w:r>
      <w:r>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t>协商不成，可向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t>所在地法院提起诉讼。</w:t>
      </w:r>
    </w:p>
    <w:p w14:paraId="13CB6FED">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第十二条  </w:t>
      </w:r>
      <w:r>
        <w:rPr>
          <w:rFonts w:hint="eastAsia" w:asciiTheme="minorEastAsia" w:hAnsiTheme="minorEastAsia" w:eastAsiaTheme="minorEastAsia" w:cstheme="minorEastAsia"/>
          <w:color w:val="000000" w:themeColor="text1"/>
          <w:sz w:val="24"/>
          <w:szCs w:val="24"/>
          <w14:textFill>
            <w14:solidFill>
              <w14:schemeClr w14:val="tx1"/>
            </w14:solidFill>
          </w14:textFill>
        </w:rPr>
        <w:t>其他条款</w:t>
      </w:r>
    </w:p>
    <w:p w14:paraId="57B40AF9">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本合同自双方签字盖章之日起生效。一式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肆</w:t>
      </w:r>
      <w:r>
        <w:rPr>
          <w:rFonts w:hint="eastAsia" w:asciiTheme="minorEastAsia" w:hAnsiTheme="minorEastAsia" w:eastAsiaTheme="minorEastAsia" w:cstheme="minorEastAsia"/>
          <w:color w:val="000000" w:themeColor="text1"/>
          <w:sz w:val="24"/>
          <w:szCs w:val="24"/>
          <w14:textFill>
            <w14:solidFill>
              <w14:schemeClr w14:val="tx1"/>
            </w14:solidFill>
          </w14:textFill>
        </w:rPr>
        <w:t>份，甲乙双方各执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14:textFill>
            <w14:solidFill>
              <w14:schemeClr w14:val="tx1"/>
            </w14:solidFill>
          </w14:textFill>
        </w:rPr>
        <w:t>份，具有同等法律效力。</w:t>
      </w:r>
    </w:p>
    <w:p w14:paraId="1D59791D">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3DEE574">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甲方（盖章）：__________________</w:t>
      </w:r>
    </w:p>
    <w:p w14:paraId="5CAFC79D">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法定代表人（签字）：____________</w:t>
      </w:r>
    </w:p>
    <w:p w14:paraId="1730F0A6">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签订日期：______年____月____日</w:t>
      </w:r>
    </w:p>
    <w:p w14:paraId="6BEE1925">
      <w:pPr>
        <w:keepNext w:val="0"/>
        <w:keepLines w:val="0"/>
        <w:pageBreakBefore w:val="0"/>
        <w:widowControl w:val="0"/>
        <w:kinsoku/>
        <w:wordWrap/>
        <w:overflowPunct/>
        <w:topLinePunct w:val="0"/>
        <w:autoSpaceDE/>
        <w:autoSpaceDN/>
        <w:bidi w:val="0"/>
        <w:adjustRightInd w:val="0"/>
        <w:snapToGrid w:val="0"/>
        <w:spacing w:line="580" w:lineRule="exact"/>
        <w:ind w:left="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5F428C74">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乙方（盖章）：__________________</w:t>
      </w:r>
    </w:p>
    <w:p w14:paraId="322E20C7">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负责人（签字）：________________</w:t>
      </w:r>
    </w:p>
    <w:p w14:paraId="6371D0B4">
      <w:pPr>
        <w:keepNext w:val="0"/>
        <w:keepLines w:val="0"/>
        <w:pageBreakBefore w:val="0"/>
        <w:widowControl w:val="0"/>
        <w:kinsoku/>
        <w:wordWrap/>
        <w:overflowPunct/>
        <w:topLinePunct w:val="0"/>
        <w:autoSpaceDE/>
        <w:autoSpaceDN/>
        <w:bidi w:val="0"/>
        <w:adjustRightInd w:val="0"/>
        <w:snapToGrid w:val="0"/>
        <w:spacing w:line="5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签订日期：______年____月____日</w:t>
      </w:r>
    </w:p>
    <w:p w14:paraId="4DD8ED2C">
      <w:pPr>
        <w:pStyle w:val="3"/>
        <w:keepLines w:val="0"/>
        <w:widowControl/>
        <w:spacing w:before="0" w:line="360" w:lineRule="auto"/>
        <w:jc w:val="center"/>
        <w:rPr>
          <w:rFonts w:hint="eastAsia" w:cs="宋体"/>
          <w:color w:val="000000" w:themeColor="text1"/>
          <w:kern w:val="32"/>
          <w:sz w:val="32"/>
          <w:szCs w:val="32"/>
          <w:highlight w:val="none"/>
          <w14:textFill>
            <w14:solidFill>
              <w14:schemeClr w14:val="tx1"/>
            </w14:solidFill>
          </w14:textFill>
        </w:rPr>
      </w:pPr>
      <w:r>
        <w:rPr>
          <w:rFonts w:hint="eastAsia" w:cs="宋体"/>
          <w:color w:val="000000" w:themeColor="text1"/>
          <w:kern w:val="32"/>
          <w:sz w:val="32"/>
          <w:szCs w:val="32"/>
          <w:highlight w:val="none"/>
          <w14:textFill>
            <w14:solidFill>
              <w14:schemeClr w14:val="tx1"/>
            </w14:solidFill>
          </w14:textFill>
        </w:rPr>
        <w:t>第</w:t>
      </w:r>
      <w:r>
        <w:rPr>
          <w:rFonts w:hint="eastAsia" w:cs="宋体"/>
          <w:color w:val="000000" w:themeColor="text1"/>
          <w:kern w:val="32"/>
          <w:sz w:val="32"/>
          <w:szCs w:val="32"/>
          <w:highlight w:val="none"/>
          <w:lang w:eastAsia="zh-CN"/>
          <w14:textFill>
            <w14:solidFill>
              <w14:schemeClr w14:val="tx1"/>
            </w14:solidFill>
          </w14:textFill>
        </w:rPr>
        <w:t>五</w:t>
      </w:r>
      <w:r>
        <w:rPr>
          <w:rFonts w:hint="eastAsia" w:cs="宋体"/>
          <w:color w:val="000000" w:themeColor="text1"/>
          <w:kern w:val="32"/>
          <w:sz w:val="32"/>
          <w:szCs w:val="32"/>
          <w:highlight w:val="none"/>
          <w14:textFill>
            <w14:solidFill>
              <w14:schemeClr w14:val="tx1"/>
            </w14:solidFill>
          </w14:textFill>
        </w:rPr>
        <w:t>章</w:t>
      </w:r>
      <w:r>
        <w:rPr>
          <w:rFonts w:hint="eastAsia" w:cs="宋体"/>
          <w:color w:val="000000" w:themeColor="text1"/>
          <w:kern w:val="32"/>
          <w:sz w:val="32"/>
          <w:szCs w:val="32"/>
          <w:highlight w:val="none"/>
          <w:lang w:val="en-US" w:eastAsia="zh-CN"/>
          <w14:textFill>
            <w14:solidFill>
              <w14:schemeClr w14:val="tx1"/>
            </w14:solidFill>
          </w14:textFill>
        </w:rPr>
        <w:t xml:space="preserve">  </w:t>
      </w:r>
      <w:r>
        <w:rPr>
          <w:rFonts w:hint="eastAsia" w:cs="宋体"/>
          <w:color w:val="000000" w:themeColor="text1"/>
          <w:kern w:val="32"/>
          <w:sz w:val="32"/>
          <w:szCs w:val="32"/>
          <w:highlight w:val="none"/>
          <w14:textFill>
            <w14:solidFill>
              <w14:schemeClr w14:val="tx1"/>
            </w14:solidFill>
          </w14:textFill>
        </w:rPr>
        <w:t>采购内容及采购需求</w:t>
      </w:r>
    </w:p>
    <w:p w14:paraId="30C76EAD">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（一）</w:t>
      </w:r>
      <w:r>
        <w:rPr>
          <w:rFonts w:ascii="宋体" w:hAnsi="宋体" w:eastAsia="宋体"/>
          <w:color w:val="000000" w:themeColor="text1"/>
          <w:spacing w:val="-4"/>
          <w:sz w:val="24"/>
          <w:szCs w:val="24"/>
          <w14:textFill>
            <w14:solidFill>
              <w14:schemeClr w14:val="tx1"/>
            </w14:solidFill>
          </w14:textFill>
        </w:rPr>
        <w:t>根据合同要求，开展法律咨询服务工作，服务工作内容包括但不仅限于：</w:t>
      </w:r>
    </w:p>
    <w:p w14:paraId="42371BA8">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1</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服务对象：</w:t>
      </w:r>
      <w:r>
        <w:rPr>
          <w:rFonts w:hint="eastAsia" w:ascii="宋体" w:hAnsi="宋体" w:eastAsia="宋体"/>
          <w:color w:val="000000" w:themeColor="text1"/>
          <w:spacing w:val="-4"/>
          <w:sz w:val="24"/>
          <w:szCs w:val="24"/>
          <w:lang w:eastAsia="zh-CN"/>
          <w14:textFill>
            <w14:solidFill>
              <w14:schemeClr w14:val="tx1"/>
            </w14:solidFill>
          </w14:textFill>
        </w:rPr>
        <w:t>陕州区</w:t>
      </w:r>
      <w:r>
        <w:rPr>
          <w:rFonts w:hint="eastAsia" w:ascii="宋体" w:hAnsi="宋体" w:eastAsia="宋体"/>
          <w:color w:val="000000" w:themeColor="text1"/>
          <w:spacing w:val="-4"/>
          <w:sz w:val="24"/>
          <w:szCs w:val="24"/>
          <w14:textFill>
            <w14:solidFill>
              <w14:schemeClr w14:val="tx1"/>
            </w14:solidFill>
          </w14:textFill>
        </w:rPr>
        <w:t>56家党政机关；</w:t>
      </w:r>
    </w:p>
    <w:p w14:paraId="162DE3C7">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2</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为服务对象的重大行政决策及时准确地提供专家论证、风险评估和合法性审查意见、建议和法律服务，对决策实施过程中可能遇到的风险作出预测，从法律角度提出避免或减少风险的措施；</w:t>
      </w:r>
    </w:p>
    <w:p w14:paraId="6255A1D0">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3</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就服务对象日常业务中出现的有关法律问题，提供咨询、论证等专项法律意见或出具法律意见书，应邀参加讨论会议，并提出解决办法。</w:t>
      </w:r>
    </w:p>
    <w:p w14:paraId="4F9E7BF2">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4</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参与服务对象重大项目的洽谈以及其他重大经济活动中的法律事务，</w:t>
      </w:r>
      <w:r>
        <w:rPr>
          <w:rFonts w:hint="eastAsia" w:ascii="宋体" w:hAnsi="宋体" w:eastAsia="宋体"/>
          <w:color w:val="000000" w:themeColor="text1"/>
          <w:spacing w:val="-4"/>
          <w:sz w:val="24"/>
          <w:szCs w:val="24"/>
          <w14:textFill>
            <w14:solidFill>
              <w14:schemeClr w14:val="tx1"/>
            </w14:solidFill>
          </w14:textFill>
        </w:rPr>
        <w:t>参与</w:t>
      </w:r>
      <w:r>
        <w:rPr>
          <w:rFonts w:ascii="宋体" w:hAnsi="宋体" w:eastAsia="宋体"/>
          <w:color w:val="000000" w:themeColor="text1"/>
          <w:spacing w:val="-4"/>
          <w:sz w:val="24"/>
          <w:szCs w:val="24"/>
          <w14:textFill>
            <w14:solidFill>
              <w14:schemeClr w14:val="tx1"/>
            </w14:solidFill>
          </w14:textFill>
        </w:rPr>
        <w:t>起草、修改、审查合同、协议及其他重要法律文书,提出切实可行的法律意见或建议，避免法律风险及诉讼隐患。</w:t>
      </w:r>
    </w:p>
    <w:p w14:paraId="7130DCCD">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5</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为服务对象出台的</w:t>
      </w:r>
      <w:r>
        <w:rPr>
          <w:rFonts w:hint="eastAsia" w:ascii="宋体" w:hAnsi="宋体" w:eastAsia="宋体"/>
          <w:color w:val="000000" w:themeColor="text1"/>
          <w:spacing w:val="-4"/>
          <w:sz w:val="24"/>
          <w:szCs w:val="24"/>
          <w14:textFill>
            <w14:solidFill>
              <w14:schemeClr w14:val="tx1"/>
            </w14:solidFill>
          </w14:textFill>
        </w:rPr>
        <w:t>行政</w:t>
      </w:r>
      <w:r>
        <w:rPr>
          <w:rFonts w:ascii="宋体" w:hAnsi="宋体" w:eastAsia="宋体"/>
          <w:color w:val="000000" w:themeColor="text1"/>
          <w:spacing w:val="-4"/>
          <w:sz w:val="24"/>
          <w:szCs w:val="24"/>
          <w14:textFill>
            <w14:solidFill>
              <w14:schemeClr w14:val="tx1"/>
            </w14:solidFill>
          </w14:textFill>
        </w:rPr>
        <w:t>规范性文件的合法性审查提供法律意见。</w:t>
      </w:r>
    </w:p>
    <w:p w14:paraId="0A99D3EB">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6</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代理服务对象为当事人一方的民事诉讼仲裁、行政诉讼、行政复议和行政赔偿案件</w:t>
      </w:r>
      <w:r>
        <w:rPr>
          <w:rFonts w:hint="eastAsia" w:ascii="宋体" w:hAnsi="宋体" w:eastAsia="宋体"/>
          <w:color w:val="000000" w:themeColor="text1"/>
          <w:spacing w:val="-4"/>
          <w:sz w:val="24"/>
          <w:szCs w:val="24"/>
          <w14:textFill>
            <w14:solidFill>
              <w14:schemeClr w14:val="tx1"/>
            </w14:solidFill>
          </w14:textFill>
        </w:rPr>
        <w:t>和其他非诉讼法律事务</w:t>
      </w:r>
      <w:r>
        <w:rPr>
          <w:rFonts w:ascii="宋体" w:hAnsi="宋体" w:eastAsia="宋体"/>
          <w:color w:val="000000" w:themeColor="text1"/>
          <w:spacing w:val="-4"/>
          <w:sz w:val="24"/>
          <w:szCs w:val="24"/>
          <w14:textFill>
            <w14:solidFill>
              <w14:schemeClr w14:val="tx1"/>
            </w14:solidFill>
          </w14:textFill>
        </w:rPr>
        <w:t>。</w:t>
      </w:r>
    </w:p>
    <w:p w14:paraId="03E8599F">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7</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根据服务对象的需要，协助进行法制宣传教育和法律培训及普法讲座活动，积极参与服务对象组织的公益活动。</w:t>
      </w:r>
    </w:p>
    <w:p w14:paraId="46AE72E5">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8</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每季度结束后10日内，总结作为政府法律顾问的工作经验教训，为甲方提出依法行政方面有价值的意见建议，防范法律风险，预防各类纠纷的发生。</w:t>
      </w:r>
    </w:p>
    <w:p w14:paraId="11A87726">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9</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参与</w:t>
      </w:r>
      <w:r>
        <w:rPr>
          <w:rFonts w:hint="eastAsia" w:ascii="宋体" w:hAnsi="宋体" w:eastAsia="宋体"/>
          <w:color w:val="000000" w:themeColor="text1"/>
          <w:spacing w:val="-4"/>
          <w:sz w:val="24"/>
          <w:szCs w:val="24"/>
          <w14:textFill>
            <w14:solidFill>
              <w14:schemeClr w14:val="tx1"/>
            </w14:solidFill>
          </w14:textFill>
        </w:rPr>
        <w:t>化解</w:t>
      </w:r>
      <w:r>
        <w:rPr>
          <w:rFonts w:ascii="宋体" w:hAnsi="宋体" w:eastAsia="宋体"/>
          <w:color w:val="000000" w:themeColor="text1"/>
          <w:spacing w:val="-4"/>
          <w:sz w:val="24"/>
          <w:szCs w:val="24"/>
          <w14:textFill>
            <w14:solidFill>
              <w14:schemeClr w14:val="tx1"/>
            </w14:solidFill>
          </w14:textFill>
        </w:rPr>
        <w:t>服务对象突发性、群体性</w:t>
      </w:r>
      <w:r>
        <w:rPr>
          <w:rFonts w:hint="eastAsia" w:ascii="宋体" w:hAnsi="宋体" w:eastAsia="宋体"/>
          <w:color w:val="000000" w:themeColor="text1"/>
          <w:spacing w:val="-4"/>
          <w:sz w:val="24"/>
          <w:szCs w:val="24"/>
          <w14:textFill>
            <w14:solidFill>
              <w14:schemeClr w14:val="tx1"/>
            </w14:solidFill>
          </w14:textFill>
        </w:rPr>
        <w:t>矛盾纠纷</w:t>
      </w:r>
      <w:r>
        <w:rPr>
          <w:rFonts w:ascii="宋体" w:hAnsi="宋体" w:eastAsia="宋体"/>
          <w:color w:val="000000" w:themeColor="text1"/>
          <w:spacing w:val="-4"/>
          <w:sz w:val="24"/>
          <w:szCs w:val="24"/>
          <w14:textFill>
            <w14:solidFill>
              <w14:schemeClr w14:val="tx1"/>
            </w14:solidFill>
          </w14:textFill>
        </w:rPr>
        <w:t>。</w:t>
      </w:r>
    </w:p>
    <w:p w14:paraId="2AEEBE7E">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10</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专项法律服务工作。</w:t>
      </w:r>
    </w:p>
    <w:p w14:paraId="0E58D1FE">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ascii="宋体" w:hAnsi="宋体" w:eastAsia="宋体"/>
          <w:color w:val="000000" w:themeColor="text1"/>
          <w:spacing w:val="-4"/>
          <w:sz w:val="24"/>
          <w:szCs w:val="24"/>
          <w14:textFill>
            <w14:solidFill>
              <w14:schemeClr w14:val="tx1"/>
            </w14:solidFill>
          </w14:textFill>
        </w:rPr>
        <w:t>11</w:t>
      </w:r>
      <w:r>
        <w:rPr>
          <w:rFonts w:hint="eastAsia" w:ascii="宋体" w:hAnsi="宋体" w:eastAsia="宋体"/>
          <w:color w:val="000000" w:themeColor="text1"/>
          <w:spacing w:val="-4"/>
          <w:sz w:val="24"/>
          <w:szCs w:val="24"/>
          <w14:textFill>
            <w14:solidFill>
              <w14:schemeClr w14:val="tx1"/>
            </w14:solidFill>
          </w14:textFill>
        </w:rPr>
        <w:t>、</w:t>
      </w:r>
      <w:r>
        <w:rPr>
          <w:rFonts w:ascii="宋体" w:hAnsi="宋体" w:eastAsia="宋体"/>
          <w:color w:val="000000" w:themeColor="text1"/>
          <w:spacing w:val="-4"/>
          <w:sz w:val="24"/>
          <w:szCs w:val="24"/>
          <w14:textFill>
            <w14:solidFill>
              <w14:schemeClr w14:val="tx1"/>
            </w14:solidFill>
          </w14:textFill>
        </w:rPr>
        <w:t>甲方交办的其他与律师业务有关的工作。</w:t>
      </w:r>
    </w:p>
    <w:p w14:paraId="077E9C09">
      <w:pPr>
        <w:pStyle w:val="2"/>
        <w:rPr>
          <w:color w:val="000000" w:themeColor="text1"/>
          <w14:textFill>
            <w14:solidFill>
              <w14:schemeClr w14:val="tx1"/>
            </w14:solidFill>
          </w14:textFill>
        </w:rPr>
      </w:pPr>
    </w:p>
    <w:p w14:paraId="0A3C6744">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（二）</w:t>
      </w:r>
      <w:r>
        <w:rPr>
          <w:rFonts w:ascii="宋体" w:hAnsi="宋体" w:eastAsia="宋体"/>
          <w:color w:val="000000" w:themeColor="text1"/>
          <w:spacing w:val="-4"/>
          <w:sz w:val="24"/>
          <w:szCs w:val="24"/>
          <w14:textFill>
            <w14:solidFill>
              <w14:schemeClr w14:val="tx1"/>
            </w14:solidFill>
          </w14:textFill>
        </w:rPr>
        <w:t>按照法律法规，结合实际，制定</w:t>
      </w:r>
      <w:r>
        <w:rPr>
          <w:rFonts w:hint="eastAsia" w:ascii="宋体" w:hAnsi="宋体" w:eastAsia="宋体"/>
          <w:color w:val="000000" w:themeColor="text1"/>
          <w:spacing w:val="-4"/>
          <w:sz w:val="24"/>
          <w:szCs w:val="24"/>
          <w14:textFill>
            <w14:solidFill>
              <w14:schemeClr w14:val="tx1"/>
            </w14:solidFill>
          </w14:textFill>
        </w:rPr>
        <w:t>健全的</w:t>
      </w:r>
      <w:r>
        <w:rPr>
          <w:rFonts w:ascii="宋体" w:hAnsi="宋体" w:eastAsia="宋体"/>
          <w:color w:val="000000" w:themeColor="text1"/>
          <w:spacing w:val="-4"/>
          <w:sz w:val="24"/>
          <w:szCs w:val="24"/>
          <w14:textFill>
            <w14:solidFill>
              <w14:schemeClr w14:val="tx1"/>
            </w14:solidFill>
          </w14:textFill>
        </w:rPr>
        <w:t>内部管理</w:t>
      </w:r>
      <w:r>
        <w:rPr>
          <w:rFonts w:hint="eastAsia" w:ascii="宋体" w:hAnsi="宋体" w:eastAsia="宋体"/>
          <w:color w:val="000000" w:themeColor="text1"/>
          <w:spacing w:val="-4"/>
          <w:sz w:val="24"/>
          <w:szCs w:val="24"/>
          <w14:textFill>
            <w14:solidFill>
              <w14:schemeClr w14:val="tx1"/>
            </w14:solidFill>
          </w14:textFill>
        </w:rPr>
        <w:t>工作</w:t>
      </w:r>
      <w:r>
        <w:rPr>
          <w:rFonts w:ascii="宋体" w:hAnsi="宋体" w:eastAsia="宋体"/>
          <w:color w:val="000000" w:themeColor="text1"/>
          <w:spacing w:val="-4"/>
          <w:sz w:val="24"/>
          <w:szCs w:val="24"/>
          <w14:textFill>
            <w14:solidFill>
              <w14:schemeClr w14:val="tx1"/>
            </w14:solidFill>
          </w14:textFill>
        </w:rPr>
        <w:t>制度。</w:t>
      </w:r>
    </w:p>
    <w:p w14:paraId="0C1DEBE4">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（三）</w:t>
      </w:r>
      <w:r>
        <w:rPr>
          <w:rFonts w:ascii="宋体" w:hAnsi="宋体" w:eastAsia="宋体"/>
          <w:color w:val="000000" w:themeColor="text1"/>
          <w:spacing w:val="-4"/>
          <w:sz w:val="24"/>
          <w:szCs w:val="24"/>
          <w14:textFill>
            <w14:solidFill>
              <w14:schemeClr w14:val="tx1"/>
            </w14:solidFill>
          </w14:textFill>
        </w:rPr>
        <w:t>遵守</w:t>
      </w:r>
      <w:r>
        <w:rPr>
          <w:rFonts w:hint="eastAsia" w:ascii="宋体" w:hAnsi="宋体" w:eastAsia="宋体"/>
          <w:color w:val="000000" w:themeColor="text1"/>
          <w:spacing w:val="-4"/>
          <w:sz w:val="24"/>
          <w:szCs w:val="24"/>
          <w14:textFill>
            <w14:solidFill>
              <w14:schemeClr w14:val="tx1"/>
            </w14:solidFill>
          </w14:textFill>
        </w:rPr>
        <w:t>法律</w:t>
      </w:r>
      <w:r>
        <w:rPr>
          <w:rFonts w:ascii="宋体" w:hAnsi="宋体" w:eastAsia="宋体"/>
          <w:color w:val="000000" w:themeColor="text1"/>
          <w:spacing w:val="-4"/>
          <w:sz w:val="24"/>
          <w:szCs w:val="24"/>
          <w14:textFill>
            <w14:solidFill>
              <w14:schemeClr w14:val="tx1"/>
            </w14:solidFill>
          </w14:textFill>
        </w:rPr>
        <w:t>法规和合同规定，确保完成服务目标，并承担相应责任，自觉接受甲方的检查监督。</w:t>
      </w:r>
    </w:p>
    <w:p w14:paraId="53F1E990">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（四）</w:t>
      </w:r>
      <w:r>
        <w:rPr>
          <w:rFonts w:ascii="宋体" w:hAnsi="宋体" w:eastAsia="宋体"/>
          <w:color w:val="000000" w:themeColor="text1"/>
          <w:spacing w:val="-4"/>
          <w:sz w:val="24"/>
          <w:szCs w:val="24"/>
          <w14:textFill>
            <w14:solidFill>
              <w14:schemeClr w14:val="tx1"/>
            </w14:solidFill>
          </w14:textFill>
        </w:rPr>
        <w:t>在合同终止后向甲方移交全部</w:t>
      </w:r>
      <w:r>
        <w:rPr>
          <w:rFonts w:hint="eastAsia" w:ascii="宋体" w:hAnsi="宋体" w:eastAsia="宋体"/>
          <w:color w:val="000000" w:themeColor="text1"/>
          <w:spacing w:val="-4"/>
          <w:sz w:val="24"/>
          <w:szCs w:val="24"/>
          <w14:textFill>
            <w14:solidFill>
              <w14:schemeClr w14:val="tx1"/>
            </w14:solidFill>
          </w14:textFill>
        </w:rPr>
        <w:t>为其</w:t>
      </w:r>
      <w:r>
        <w:rPr>
          <w:rFonts w:ascii="宋体" w:hAnsi="宋体" w:eastAsia="宋体"/>
          <w:color w:val="000000" w:themeColor="text1"/>
          <w:spacing w:val="-4"/>
          <w:sz w:val="24"/>
          <w:szCs w:val="24"/>
          <w14:textFill>
            <w14:solidFill>
              <w14:schemeClr w14:val="tx1"/>
            </w14:solidFill>
          </w14:textFill>
        </w:rPr>
        <w:t>提供使用的管理档案及有关工作服务对象的所有资料。</w:t>
      </w:r>
    </w:p>
    <w:p w14:paraId="2B22F272">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（五）</w:t>
      </w:r>
      <w:r>
        <w:rPr>
          <w:rFonts w:ascii="宋体" w:hAnsi="宋体" w:eastAsia="宋体"/>
          <w:color w:val="000000" w:themeColor="text1"/>
          <w:spacing w:val="-4"/>
          <w:sz w:val="24"/>
          <w:szCs w:val="24"/>
          <w14:textFill>
            <w14:solidFill>
              <w14:schemeClr w14:val="tx1"/>
            </w14:solidFill>
          </w14:textFill>
        </w:rPr>
        <w:t>接受甲方的监督、年度评估、法律咨询服务工作上重大事项的调查和纠纷处理。</w:t>
      </w:r>
    </w:p>
    <w:p w14:paraId="531C4EA3">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（六）</w:t>
      </w:r>
      <w:r>
        <w:rPr>
          <w:rFonts w:ascii="宋体" w:hAnsi="宋体" w:eastAsia="宋体"/>
          <w:color w:val="000000" w:themeColor="text1"/>
          <w:spacing w:val="-4"/>
          <w:sz w:val="24"/>
          <w:szCs w:val="24"/>
          <w14:textFill>
            <w14:solidFill>
              <w14:schemeClr w14:val="tx1"/>
            </w14:solidFill>
          </w14:textFill>
        </w:rPr>
        <w:t>应在约定的服务区域内开展服务，认真完成服务项目内容。若因实际需要而修正服务内容的，需经与甲方协商，并获审核批准后实施。</w:t>
      </w:r>
    </w:p>
    <w:p w14:paraId="19E4ED22">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（七）</w:t>
      </w:r>
      <w:r>
        <w:rPr>
          <w:rFonts w:ascii="宋体" w:hAnsi="宋体" w:eastAsia="宋体"/>
          <w:color w:val="000000" w:themeColor="text1"/>
          <w:spacing w:val="-4"/>
          <w:sz w:val="24"/>
          <w:szCs w:val="24"/>
          <w14:textFill>
            <w14:solidFill>
              <w14:schemeClr w14:val="tx1"/>
            </w14:solidFill>
          </w14:textFill>
        </w:rPr>
        <w:t>不得泄露在工作中获悉的涉及工作服务对象个人隐私、涉及国家秘密等的相关信息。</w:t>
      </w:r>
    </w:p>
    <w:p w14:paraId="1A6A7E2A">
      <w:pPr>
        <w:tabs>
          <w:tab w:val="left" w:pos="1523"/>
        </w:tabs>
        <w:autoSpaceDE w:val="0"/>
        <w:autoSpaceDN w:val="0"/>
        <w:spacing w:before="138" w:line="360" w:lineRule="auto"/>
        <w:ind w:right="595" w:firstLine="464" w:firstLineChars="200"/>
        <w:rPr>
          <w:rFonts w:ascii="宋体" w:hAnsi="宋体" w:eastAsia="宋体"/>
          <w:color w:val="000000" w:themeColor="text1"/>
          <w:spacing w:val="-4"/>
          <w:sz w:val="24"/>
          <w:szCs w:val="24"/>
          <w14:textFill>
            <w14:solidFill>
              <w14:schemeClr w14:val="tx1"/>
            </w14:solidFill>
          </w14:textFill>
        </w:rPr>
      </w:pPr>
      <w:r>
        <w:rPr>
          <w:rFonts w:hint="eastAsia" w:ascii="宋体" w:hAnsi="宋体" w:eastAsia="宋体"/>
          <w:color w:val="000000" w:themeColor="text1"/>
          <w:spacing w:val="-4"/>
          <w:sz w:val="24"/>
          <w:szCs w:val="24"/>
          <w14:textFill>
            <w14:solidFill>
              <w14:schemeClr w14:val="tx1"/>
            </w14:solidFill>
          </w14:textFill>
        </w:rPr>
        <w:t>（八）</w:t>
      </w:r>
      <w:r>
        <w:rPr>
          <w:rFonts w:ascii="宋体" w:hAnsi="宋体" w:eastAsia="宋体"/>
          <w:color w:val="000000" w:themeColor="text1"/>
          <w:spacing w:val="-4"/>
          <w:sz w:val="24"/>
          <w:szCs w:val="24"/>
          <w14:textFill>
            <w14:solidFill>
              <w14:schemeClr w14:val="tx1"/>
            </w14:solidFill>
          </w14:textFill>
        </w:rPr>
        <w:t>加强自身建设，完善管理机制，提升专业化服务水平。</w:t>
      </w:r>
    </w:p>
    <w:p w14:paraId="1AF447C2">
      <w:pPr>
        <w:pStyle w:val="2"/>
        <w:rPr>
          <w:rFonts w:ascii="宋体" w:hAnsi="宋体" w:eastAsia="宋体"/>
          <w:color w:val="000000" w:themeColor="text1"/>
          <w14:textFill>
            <w14:solidFill>
              <w14:schemeClr w14:val="tx1"/>
            </w14:solidFill>
          </w14:textFill>
        </w:rPr>
      </w:pPr>
    </w:p>
    <w:p w14:paraId="4F7A979A">
      <w:pPr>
        <w:pStyle w:val="44"/>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p>
    <w:p w14:paraId="48D56D5A">
      <w:pPr>
        <w:pStyle w:val="2"/>
        <w:rPr>
          <w:color w:val="000000" w:themeColor="text1"/>
          <w14:textFill>
            <w14:solidFill>
              <w14:schemeClr w14:val="tx1"/>
            </w14:solidFill>
          </w14:textFill>
        </w:rPr>
      </w:pPr>
    </w:p>
    <w:p w14:paraId="36903419">
      <w:pPr>
        <w:rPr>
          <w:color w:val="000000" w:themeColor="text1"/>
          <w14:textFill>
            <w14:solidFill>
              <w14:schemeClr w14:val="tx1"/>
            </w14:solidFill>
          </w14:textFill>
        </w:rPr>
      </w:pPr>
    </w:p>
    <w:p w14:paraId="688B3CE8">
      <w:pPr>
        <w:pStyle w:val="2"/>
        <w:rPr>
          <w:color w:val="000000" w:themeColor="text1"/>
          <w14:textFill>
            <w14:solidFill>
              <w14:schemeClr w14:val="tx1"/>
            </w14:solidFill>
          </w14:textFill>
        </w:rPr>
      </w:pPr>
    </w:p>
    <w:p w14:paraId="57B55069">
      <w:pPr>
        <w:rPr>
          <w:color w:val="000000" w:themeColor="text1"/>
          <w14:textFill>
            <w14:solidFill>
              <w14:schemeClr w14:val="tx1"/>
            </w14:solidFill>
          </w14:textFill>
        </w:rPr>
      </w:pPr>
    </w:p>
    <w:p w14:paraId="190770C8">
      <w:pPr>
        <w:pStyle w:val="2"/>
        <w:rPr>
          <w:color w:val="000000" w:themeColor="text1"/>
          <w14:textFill>
            <w14:solidFill>
              <w14:schemeClr w14:val="tx1"/>
            </w14:solidFill>
          </w14:textFill>
        </w:rPr>
      </w:pPr>
    </w:p>
    <w:p w14:paraId="1D7DCDD3">
      <w:pPr>
        <w:rPr>
          <w:color w:val="000000" w:themeColor="text1"/>
          <w14:textFill>
            <w14:solidFill>
              <w14:schemeClr w14:val="tx1"/>
            </w14:solidFill>
          </w14:textFill>
        </w:rPr>
      </w:pPr>
    </w:p>
    <w:p w14:paraId="0D186F14">
      <w:pPr>
        <w:pStyle w:val="2"/>
        <w:rPr>
          <w:color w:val="000000" w:themeColor="text1"/>
          <w14:textFill>
            <w14:solidFill>
              <w14:schemeClr w14:val="tx1"/>
            </w14:solidFill>
          </w14:textFill>
        </w:rPr>
      </w:pPr>
    </w:p>
    <w:p w14:paraId="3F7CAAE0">
      <w:pPr>
        <w:rPr>
          <w:color w:val="000000" w:themeColor="text1"/>
          <w14:textFill>
            <w14:solidFill>
              <w14:schemeClr w14:val="tx1"/>
            </w14:solidFill>
          </w14:textFill>
        </w:rPr>
      </w:pPr>
    </w:p>
    <w:p w14:paraId="4946FACE">
      <w:pPr>
        <w:pStyle w:val="2"/>
        <w:rPr>
          <w:color w:val="000000" w:themeColor="text1"/>
          <w14:textFill>
            <w14:solidFill>
              <w14:schemeClr w14:val="tx1"/>
            </w14:solidFill>
          </w14:textFill>
        </w:rPr>
      </w:pPr>
    </w:p>
    <w:p w14:paraId="68AE1A90">
      <w:pPr>
        <w:rPr>
          <w:color w:val="000000" w:themeColor="text1"/>
          <w14:textFill>
            <w14:solidFill>
              <w14:schemeClr w14:val="tx1"/>
            </w14:solidFill>
          </w14:textFill>
        </w:rPr>
      </w:pPr>
    </w:p>
    <w:p w14:paraId="5D7DB8EF">
      <w:pPr>
        <w:widowControl/>
        <w:spacing w:line="360" w:lineRule="auto"/>
        <w:jc w:val="center"/>
        <w:rPr>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第</w:t>
      </w:r>
      <w:r>
        <w:rPr>
          <w:rFonts w:hint="eastAsia" w:ascii="宋体" w:hAnsi="宋体" w:cs="宋体"/>
          <w:b/>
          <w:color w:val="000000" w:themeColor="text1"/>
          <w:kern w:val="0"/>
          <w:sz w:val="30"/>
          <w:szCs w:val="30"/>
          <w:highlight w:val="none"/>
          <w:lang w:eastAsia="zh-CN"/>
          <w14:textFill>
            <w14:solidFill>
              <w14:schemeClr w14:val="tx1"/>
            </w14:solidFill>
          </w14:textFill>
        </w:rPr>
        <w:t>六</w:t>
      </w:r>
      <w:r>
        <w:rPr>
          <w:rFonts w:hint="eastAsia" w:ascii="宋体" w:hAnsi="宋体" w:cs="宋体"/>
          <w:b/>
          <w:color w:val="000000" w:themeColor="text1"/>
          <w:kern w:val="0"/>
          <w:sz w:val="30"/>
          <w:szCs w:val="30"/>
          <w:highlight w:val="none"/>
          <w14:textFill>
            <w14:solidFill>
              <w14:schemeClr w14:val="tx1"/>
            </w14:solidFill>
          </w14:textFill>
        </w:rPr>
        <w:t>章 投标文件格式</w:t>
      </w:r>
    </w:p>
    <w:p w14:paraId="1DFD577B">
      <w:pPr>
        <w:widowControl/>
        <w:spacing w:line="360" w:lineRule="auto"/>
        <w:jc w:val="left"/>
        <w:rPr>
          <w:rFonts w:hint="eastAsia" w:ascii="宋体" w:hAnsi="宋体" w:cs="宋体"/>
          <w:color w:val="000000" w:themeColor="text1"/>
          <w:kern w:val="0"/>
          <w:sz w:val="30"/>
          <w:szCs w:val="30"/>
          <w:highlight w:val="none"/>
          <w:u w:val="single"/>
          <w14:textFill>
            <w14:solidFill>
              <w14:schemeClr w14:val="tx1"/>
            </w14:solidFill>
          </w14:textFill>
        </w:rPr>
      </w:pPr>
    </w:p>
    <w:p w14:paraId="DAA6825D">
      <w:pPr>
        <w:widowControl/>
        <w:spacing w:line="360" w:lineRule="auto"/>
        <w:jc w:val="left"/>
        <w:rPr>
          <w:rFonts w:hint="eastAsia" w:ascii="宋体" w:hAnsi="宋体" w:cs="宋体"/>
          <w:color w:val="000000" w:themeColor="text1"/>
          <w:kern w:val="0"/>
          <w:sz w:val="24"/>
          <w:highlight w:val="none"/>
          <w:u w:val="single"/>
          <w14:textFill>
            <w14:solidFill>
              <w14:schemeClr w14:val="tx1"/>
            </w14:solidFill>
          </w14:textFill>
        </w:rPr>
      </w:pPr>
    </w:p>
    <w:p w14:paraId="7F05C138">
      <w:pPr>
        <w:widowControl/>
        <w:spacing w:line="360" w:lineRule="auto"/>
        <w:jc w:val="center"/>
        <w:rPr>
          <w:rFonts w:hint="eastAsia" w:ascii="宋体" w:hAnsi="宋体" w:cs="宋体"/>
          <w:color w:val="000000" w:themeColor="text1"/>
          <w:kern w:val="0"/>
          <w:sz w:val="36"/>
          <w:szCs w:val="36"/>
          <w:highlight w:val="none"/>
          <w:u w:val="single"/>
          <w:lang w:eastAsia="zh-CN"/>
          <w14:textFill>
            <w14:solidFill>
              <w14:schemeClr w14:val="tx1"/>
            </w14:solidFill>
          </w14:textFill>
        </w:rPr>
      </w:pPr>
      <w:r>
        <w:rPr>
          <w:rFonts w:hint="eastAsia" w:ascii="宋体" w:hAnsi="宋体" w:cs="宋体"/>
          <w:color w:val="000000" w:themeColor="text1"/>
          <w:kern w:val="0"/>
          <w:sz w:val="36"/>
          <w:szCs w:val="36"/>
          <w:highlight w:val="none"/>
          <w:u w:val="single"/>
          <w:lang w:eastAsia="zh-CN"/>
          <w14:textFill>
            <w14:solidFill>
              <w14:schemeClr w14:val="tx1"/>
            </w14:solidFill>
          </w14:textFill>
        </w:rPr>
        <w:t>三门峡市陕州区党政机关法律顾问服务项目（二次）</w:t>
      </w:r>
    </w:p>
    <w:p w14:paraId="0144CD02">
      <w:pPr>
        <w:widowControl/>
        <w:spacing w:line="360" w:lineRule="auto"/>
        <w:jc w:val="center"/>
        <w:rPr>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36"/>
          <w:szCs w:val="36"/>
          <w:highlight w:val="none"/>
          <w:u w:val="single"/>
          <w14:textFill>
            <w14:solidFill>
              <w14:schemeClr w14:val="tx1"/>
            </w14:solidFill>
          </w14:textFill>
        </w:rPr>
        <w:t>（项目名称）</w:t>
      </w:r>
    </w:p>
    <w:p w14:paraId="20CBA171">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D77AD38B">
      <w:pPr>
        <w:widowControl/>
        <w:spacing w:line="360" w:lineRule="auto"/>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p>
    <w:p w14:paraId="E91BEBC4">
      <w:pPr>
        <w:widowControl/>
        <w:spacing w:line="360" w:lineRule="auto"/>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p>
    <w:p w14:paraId="D132210D">
      <w:pPr>
        <w:widowControl/>
        <w:spacing w:line="360" w:lineRule="auto"/>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p>
    <w:p w14:paraId="A8BF2B04">
      <w:pPr>
        <w:widowControl/>
        <w:spacing w:line="360" w:lineRule="auto"/>
        <w:ind w:firstLine="241" w:firstLineChars="100"/>
        <w:jc w:val="left"/>
        <w:rPr>
          <w:rFonts w:hint="eastAsia" w:ascii="宋体" w:hAnsi="宋体" w:cs="宋体"/>
          <w:b/>
          <w:color w:val="000000" w:themeColor="text1"/>
          <w:kern w:val="0"/>
          <w:sz w:val="24"/>
          <w:highlight w:val="none"/>
          <w14:textFill>
            <w14:solidFill>
              <w14:schemeClr w14:val="tx1"/>
            </w14:solidFill>
          </w14:textFill>
        </w:rPr>
      </w:pPr>
    </w:p>
    <w:p w14:paraId="20386FD5">
      <w:pPr>
        <w:widowControl/>
        <w:spacing w:line="360" w:lineRule="auto"/>
        <w:ind w:firstLine="442" w:firstLineChars="100"/>
        <w:jc w:val="center"/>
        <w:rPr>
          <w:color w:val="000000" w:themeColor="text1"/>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投 标 文 件</w:t>
      </w:r>
    </w:p>
    <w:p w14:paraId="FDC74F1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75A6D548">
      <w:pPr>
        <w:jc w:val="center"/>
        <w:rPr>
          <w:rFonts w:ascii="宋体" w:hAnsi="宋体" w:eastAsia="宋体" w:cs="Times New Roman"/>
          <w:b/>
          <w:bCs/>
          <w:color w:val="000000" w:themeColor="text1"/>
          <w:sz w:val="30"/>
          <w:szCs w:val="30"/>
          <w14:textFill>
            <w14:solidFill>
              <w14:schemeClr w14:val="tx1"/>
            </w14:solidFill>
          </w14:textFill>
        </w:rPr>
      </w:pPr>
      <w:r>
        <w:rPr>
          <w:rFonts w:ascii="宋体" w:hAnsi="宋体" w:eastAsia="宋体" w:cs="Times New Roman"/>
          <w:b/>
          <w:bCs/>
          <w:color w:val="000000" w:themeColor="text1"/>
          <w:sz w:val="30"/>
          <w:szCs w:val="30"/>
          <w14:textFill>
            <w14:solidFill>
              <w14:schemeClr w14:val="tx1"/>
            </w14:solidFill>
          </w14:textFill>
        </w:rPr>
        <w:t>项目编号：</w:t>
      </w:r>
    </w:p>
    <w:p w14:paraId="71F4460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AC95FDE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5C49001D">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8D03BEB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6D42E1A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F67E22E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2F05DCB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8903B797">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3879854C">
      <w:pPr>
        <w:widowControl/>
        <w:spacing w:line="360" w:lineRule="auto"/>
        <w:ind w:firstLine="2400" w:firstLineChars="1000"/>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（盖单位章） </w:t>
      </w:r>
    </w:p>
    <w:p w14:paraId="11655DAA">
      <w:pPr>
        <w:widowControl/>
        <w:spacing w:line="360" w:lineRule="auto"/>
        <w:ind w:firstLine="720" w:firstLineChars="300"/>
        <w:jc w:val="left"/>
        <w:rPr>
          <w:color w:val="000000" w:themeColor="text1"/>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（签字或盖章） </w:t>
      </w:r>
    </w:p>
    <w:p w14:paraId="6BB81ACC">
      <w:pPr>
        <w:widowControl/>
        <w:spacing w:line="360" w:lineRule="auto"/>
        <w:ind w:firstLine="3600" w:firstLineChars="1500"/>
        <w:jc w:val="left"/>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日</w:t>
      </w:r>
    </w:p>
    <w:p w14:paraId="619AE893">
      <w:pPr>
        <w:pStyle w:val="35"/>
        <w:spacing w:line="360" w:lineRule="auto"/>
        <w:rPr>
          <w:rFonts w:hint="eastAsia"/>
          <w:color w:val="000000" w:themeColor="text1"/>
          <w:highlight w:val="none"/>
          <w14:textFill>
            <w14:solidFill>
              <w14:schemeClr w14:val="tx1"/>
            </w14:solidFill>
          </w14:textFill>
        </w:rPr>
      </w:pPr>
    </w:p>
    <w:p w14:paraId="4A001AC6">
      <w:pPr>
        <w:pStyle w:val="35"/>
        <w:spacing w:line="360" w:lineRule="auto"/>
        <w:rPr>
          <w:rFonts w:hint="eastAsia"/>
          <w:color w:val="000000" w:themeColor="text1"/>
          <w:highlight w:val="none"/>
          <w14:textFill>
            <w14:solidFill>
              <w14:schemeClr w14:val="tx1"/>
            </w14:solidFill>
          </w14:textFill>
        </w:rPr>
      </w:pPr>
    </w:p>
    <w:p w14:paraId="45D55642">
      <w:pPr>
        <w:pStyle w:val="35"/>
        <w:spacing w:line="360" w:lineRule="auto"/>
        <w:rPr>
          <w:rFonts w:hint="eastAsia"/>
          <w:color w:val="000000" w:themeColor="text1"/>
          <w:highlight w:val="none"/>
          <w14:textFill>
            <w14:solidFill>
              <w14:schemeClr w14:val="tx1"/>
            </w14:solidFill>
          </w14:textFill>
        </w:rPr>
      </w:pPr>
    </w:p>
    <w:p w14:paraId="18C9289C">
      <w:pPr>
        <w:pStyle w:val="35"/>
        <w:spacing w:line="360" w:lineRule="auto"/>
        <w:rPr>
          <w:rFonts w:hint="eastAsia"/>
          <w:color w:val="000000" w:themeColor="text1"/>
          <w:highlight w:val="none"/>
          <w14:textFill>
            <w14:solidFill>
              <w14:schemeClr w14:val="tx1"/>
            </w14:solidFill>
          </w14:textFill>
        </w:rPr>
      </w:pPr>
    </w:p>
    <w:p w14:paraId="6A2D6A25">
      <w:pPr>
        <w:widowControl/>
        <w:spacing w:line="360" w:lineRule="auto"/>
        <w:jc w:val="center"/>
        <w:rPr>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目 录</w:t>
      </w:r>
    </w:p>
    <w:p w14:paraId="F574556F">
      <w:pPr>
        <w:widowControl/>
        <w:spacing w:line="360" w:lineRule="auto"/>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自行编制</w:t>
      </w:r>
      <w:r>
        <w:rPr>
          <w:rFonts w:hint="eastAsia"/>
          <w:color w:val="000000" w:themeColor="text1"/>
          <w:sz w:val="24"/>
          <w:highlight w:val="none"/>
          <w:lang w:eastAsia="zh-CN"/>
          <w14:textFill>
            <w14:solidFill>
              <w14:schemeClr w14:val="tx1"/>
            </w14:solidFill>
          </w14:textFill>
        </w:rPr>
        <w:t>）</w:t>
      </w:r>
    </w:p>
    <w:p w14:paraId="D85C5C8B">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C9A7C36B">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2E1AC463">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DEB75BCF">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A6A858DC">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A92E9665">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B5C51A00">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5A5823A5">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B5853DFE">
      <w:pPr>
        <w:widowControl/>
        <w:spacing w:line="360" w:lineRule="auto"/>
        <w:jc w:val="left"/>
        <w:rPr>
          <w:rFonts w:ascii="Times New Roman" w:hAnsi="Times New Roman"/>
          <w:color w:val="000000" w:themeColor="text1"/>
          <w:kern w:val="0"/>
          <w:sz w:val="24"/>
          <w:highlight w:val="none"/>
          <w14:textFill>
            <w14:solidFill>
              <w14:schemeClr w14:val="tx1"/>
            </w14:solidFill>
          </w14:textFill>
        </w:rPr>
      </w:pPr>
    </w:p>
    <w:p w14:paraId="B1BEE3A4">
      <w:pPr>
        <w:pStyle w:val="3"/>
        <w:spacing w:line="360" w:lineRule="auto"/>
        <w:rPr>
          <w:rFonts w:ascii="Times New Roman" w:hAnsi="Times New Roman"/>
          <w:color w:val="000000" w:themeColor="text1"/>
          <w:kern w:val="0"/>
          <w:sz w:val="24"/>
          <w:highlight w:val="none"/>
          <w14:textFill>
            <w14:solidFill>
              <w14:schemeClr w14:val="tx1"/>
            </w14:solidFill>
          </w14:textFill>
        </w:rPr>
      </w:pPr>
    </w:p>
    <w:p w14:paraId="7BDA7CB1">
      <w:pPr>
        <w:spacing w:line="360" w:lineRule="auto"/>
        <w:rPr>
          <w:rFonts w:ascii="Times New Roman" w:hAnsi="Times New Roman"/>
          <w:color w:val="000000" w:themeColor="text1"/>
          <w:kern w:val="0"/>
          <w:sz w:val="24"/>
          <w:highlight w:val="none"/>
          <w14:textFill>
            <w14:solidFill>
              <w14:schemeClr w14:val="tx1"/>
            </w14:solidFill>
          </w14:textFill>
        </w:rPr>
      </w:pPr>
    </w:p>
    <w:p w14:paraId="72645B0F">
      <w:pPr>
        <w:spacing w:line="360" w:lineRule="auto"/>
        <w:rPr>
          <w:rFonts w:ascii="Times New Roman" w:hAnsi="Times New Roman"/>
          <w:color w:val="000000" w:themeColor="text1"/>
          <w:kern w:val="0"/>
          <w:sz w:val="24"/>
          <w:highlight w:val="none"/>
          <w14:textFill>
            <w14:solidFill>
              <w14:schemeClr w14:val="tx1"/>
            </w14:solidFill>
          </w14:textFill>
        </w:rPr>
      </w:pPr>
    </w:p>
    <w:p w14:paraId="F4ED8C93">
      <w:pPr>
        <w:pStyle w:val="3"/>
        <w:spacing w:line="360" w:lineRule="auto"/>
        <w:rPr>
          <w:color w:val="000000" w:themeColor="text1"/>
          <w:highlight w:val="none"/>
          <w14:textFill>
            <w14:solidFill>
              <w14:schemeClr w14:val="tx1"/>
            </w14:solidFill>
          </w14:textFill>
        </w:rPr>
      </w:pPr>
    </w:p>
    <w:p w14:paraId="E508448B">
      <w:pPr>
        <w:spacing w:line="360" w:lineRule="auto"/>
        <w:rPr>
          <w:color w:val="000000" w:themeColor="text1"/>
          <w:highlight w:val="none"/>
          <w14:textFill>
            <w14:solidFill>
              <w14:schemeClr w14:val="tx1"/>
            </w14:solidFill>
          </w14:textFill>
        </w:rPr>
      </w:pPr>
    </w:p>
    <w:p w14:paraId="59E24597">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E7ACBF6D">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CB718F29">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52E1E9DF">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6DEC0CA0">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6BD52A8A">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59329D9F">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66594841">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23A5BA56">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5EB35DAF">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29DF3E60">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013CD22B">
      <w:pPr>
        <w:pStyle w:val="9"/>
        <w:spacing w:line="360" w:lineRule="auto"/>
        <w:ind w:firstLine="0" w:firstLineChars="0"/>
        <w:rPr>
          <w:rFonts w:hint="eastAsia" w:ascii="宋体" w:hAnsi="宋体" w:cs="宋体"/>
          <w:bCs/>
          <w:color w:val="000000" w:themeColor="text1"/>
          <w:kern w:val="0"/>
          <w:sz w:val="24"/>
          <w:highlight w:val="none"/>
          <w14:textFill>
            <w14:solidFill>
              <w14:schemeClr w14:val="tx1"/>
            </w14:solidFill>
          </w14:textFill>
        </w:rPr>
      </w:pPr>
    </w:p>
    <w:p w14:paraId="E097D4A5">
      <w:pPr>
        <w:pStyle w:val="43"/>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1.投标函</w:t>
      </w:r>
    </w:p>
    <w:p w14:paraId="B9D4B4D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[采购人名称]</w:t>
      </w:r>
    </w:p>
    <w:p w14:paraId="B58D7E8C">
      <w:pPr>
        <w:tabs>
          <w:tab w:val="left" w:pos="1725"/>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招标采购服务的招标文件[项目编号]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参加贵方组织的招标的有关活动，并对此项目进行投标。为此：</w:t>
      </w:r>
    </w:p>
    <w:p w14:paraId="38E9E22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一、投标人按照招标文件的要求提交和交付服务的投标报价为人民币：[大写]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99470ABA">
      <w:pPr>
        <w:tabs>
          <w:tab w:val="left" w:pos="3194"/>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二、投标人将按招标文件的规定履行合同责任和义务。</w:t>
      </w:r>
    </w:p>
    <w:p w14:paraId="C90464EB">
      <w:pPr>
        <w:tabs>
          <w:tab w:val="left" w:pos="3194"/>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三、投标人已详细审查全部招标文件我们完全理解并同意放弃对这方面有不明及误解的权力。</w:t>
      </w:r>
    </w:p>
    <w:p w14:paraId="479CEC1D">
      <w:pPr>
        <w:tabs>
          <w:tab w:val="left" w:pos="3194"/>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四、本投标有效期为：投标截止之日起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日历天。</w:t>
      </w:r>
    </w:p>
    <w:p w14:paraId="F305F9C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、我方保证尊重评标委员会的评标结果，完全理解本招标项目不一定接受最低报价的投标。</w:t>
      </w:r>
    </w:p>
    <w:p w14:paraId="CCD6A8C8">
      <w:pPr>
        <w:tabs>
          <w:tab w:val="left" w:pos="3194"/>
        </w:tabs>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、投标人同意在授予合同后，按照投标人须知中的有关规定付给招标代理机构中标服务费。</w:t>
      </w:r>
    </w:p>
    <w:p w14:paraId="DB64FAB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我方承诺已经具备招标文件中规定的参加招标活动的投标人应当具备的条件。我方承诺具有良好的商业信誉和健全的财务会计制度，具有履行合同所必须的设备和专业技术能力，有依法缴纳税收和社会保证资金的良好记录；参加政府采购活动前三年内，在经营活动中没有重大违法记录；并愿意向你单位提供任何与本招标项目投标有关的数据、情况和技术资料，并根据需要提供一切承诺的证明材料，并保证其真实、合法、有效。</w:t>
      </w:r>
    </w:p>
    <w:p w14:paraId="8EC0B8F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八</w:t>
      </w:r>
      <w:r>
        <w:rPr>
          <w:rFonts w:hint="eastAsia" w:ascii="宋体" w:hAnsi="宋体" w:cs="宋体"/>
          <w:color w:val="000000" w:themeColor="text1"/>
          <w:sz w:val="24"/>
          <w:highlight w:val="none"/>
          <w14:textFill>
            <w14:solidFill>
              <w14:schemeClr w14:val="tx1"/>
            </w14:solidFill>
          </w14:textFill>
        </w:rPr>
        <w:t>、我方承诺接受招标文件中全部条款且无任何异议。如果我方中标，我们将按招标文件的规定，保证忠实地履行双方所签订的合同，并承担招标文件规定的责任和义务。</w:t>
      </w:r>
    </w:p>
    <w:p w14:paraId="7A7A0EF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九</w:t>
      </w:r>
      <w:r>
        <w:rPr>
          <w:rFonts w:hint="eastAsia" w:ascii="宋体" w:hAnsi="宋体" w:cs="宋体"/>
          <w:color w:val="000000" w:themeColor="text1"/>
          <w:sz w:val="24"/>
          <w:highlight w:val="none"/>
          <w14:textFill>
            <w14:solidFill>
              <w14:schemeClr w14:val="tx1"/>
            </w14:solidFill>
          </w14:textFill>
        </w:rPr>
        <w:t>、我方承诺采购单位若需追加采购本招标项目招标文件所列相关服务的，在不改变商务合同和其它实质性条款的前提下，按相同或更优惠的价格保证供货和服务。</w:t>
      </w:r>
    </w:p>
    <w:p w14:paraId="4DF409E6">
      <w:pPr>
        <w:snapToGrid w:val="0"/>
        <w:spacing w:line="360" w:lineRule="auto"/>
        <w:ind w:left="540"/>
        <w:rPr>
          <w:rFonts w:hint="eastAsia" w:ascii="宋体" w:hAnsi="宋体" w:cs="宋体"/>
          <w:color w:val="000000" w:themeColor="text1"/>
          <w:sz w:val="24"/>
          <w:highlight w:val="none"/>
          <w14:textFill>
            <w14:solidFill>
              <w14:schemeClr w14:val="tx1"/>
            </w14:solidFill>
          </w14:textFill>
        </w:rPr>
      </w:pPr>
    </w:p>
    <w:p w14:paraId="1EC63434">
      <w:pPr>
        <w:snapToGrid w:val="0"/>
        <w:spacing w:line="360" w:lineRule="auto"/>
        <w:ind w:left="539" w:firstLine="2152" w:firstLineChars="8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（盖单位章）</w:t>
      </w:r>
    </w:p>
    <w:p w14:paraId="16E5C796">
      <w:pPr>
        <w:widowControl/>
        <w:wordWrap w:val="0"/>
        <w:snapToGrid w:val="0"/>
        <w:spacing w:line="360" w:lineRule="auto"/>
        <w:ind w:firstLine="2160" w:firstLineChars="90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法定代表人或授权委托人（签字或盖章）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EDAC6688">
      <w:pPr>
        <w:snapToGrid w:val="0"/>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89DFCE0C">
      <w:pPr>
        <w:spacing w:line="360" w:lineRule="auto"/>
        <w:jc w:val="center"/>
        <w:rPr>
          <w:rFonts w:ascii="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2. 投标报价表</w:t>
      </w:r>
    </w:p>
    <w:tbl>
      <w:tblPr>
        <w:tblStyle w:val="1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580"/>
      </w:tblGrid>
      <w:tr w14:paraId="9F1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trPr>
        <w:tc>
          <w:tcPr>
            <w:tcW w:w="2880" w:type="dxa"/>
            <w:vAlign w:val="center"/>
          </w:tcPr>
          <w:p w14:paraId="2671C234">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5580" w:type="dxa"/>
            <w:vAlign w:val="center"/>
          </w:tcPr>
          <w:p w14:paraId="794287D4">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1FA5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2880" w:type="dxa"/>
            <w:vAlign w:val="center"/>
          </w:tcPr>
          <w:p w14:paraId="6A67F7B3">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p>
        </w:tc>
        <w:tc>
          <w:tcPr>
            <w:tcW w:w="5580" w:type="dxa"/>
            <w:vAlign w:val="center"/>
          </w:tcPr>
          <w:p w14:paraId="F64C54BF">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4AD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2880" w:type="dxa"/>
            <w:vAlign w:val="center"/>
          </w:tcPr>
          <w:p w14:paraId="FA8F1D1A">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投标总报价（人民币）</w:t>
            </w:r>
          </w:p>
        </w:tc>
        <w:tc>
          <w:tcPr>
            <w:tcW w:w="5580" w:type="dxa"/>
            <w:vAlign w:val="center"/>
          </w:tcPr>
          <w:p w14:paraId="57F65174">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w:t>
            </w:r>
          </w:p>
          <w:p w14:paraId="D06CCD19">
            <w:pPr>
              <w:adjustRightInd w:val="0"/>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元</w:t>
            </w:r>
          </w:p>
        </w:tc>
      </w:tr>
      <w:tr w14:paraId="5325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2880" w:type="dxa"/>
            <w:vAlign w:val="center"/>
          </w:tcPr>
          <w:p w14:paraId="5D87A733">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期限</w:t>
            </w:r>
          </w:p>
        </w:tc>
        <w:tc>
          <w:tcPr>
            <w:tcW w:w="5580" w:type="dxa"/>
            <w:vAlign w:val="center"/>
          </w:tcPr>
          <w:p w14:paraId="EFB125C2">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290B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2880" w:type="dxa"/>
            <w:vAlign w:val="center"/>
          </w:tcPr>
          <w:p w14:paraId="93D5CFDD">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服务要求</w:t>
            </w:r>
          </w:p>
        </w:tc>
        <w:tc>
          <w:tcPr>
            <w:tcW w:w="5580" w:type="dxa"/>
            <w:vAlign w:val="center"/>
          </w:tcPr>
          <w:p w14:paraId="5A9B353F">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38F0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2880" w:type="dxa"/>
            <w:vAlign w:val="center"/>
          </w:tcPr>
          <w:p w14:paraId="72ED5E65">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5580" w:type="dxa"/>
            <w:vAlign w:val="center"/>
          </w:tcPr>
          <w:p w14:paraId="E955E123">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投标截止之日起</w:t>
            </w:r>
            <w:r>
              <w:rPr>
                <w:rFonts w:hint="eastAsia" w:ascii="宋体" w:hAnsi="宋体" w:cs="宋体"/>
                <w:color w:val="000000" w:themeColor="text1"/>
                <w:sz w:val="24"/>
                <w:highlight w:val="none"/>
                <w:u w:val="singl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日历天</w:t>
            </w:r>
          </w:p>
        </w:tc>
      </w:tr>
      <w:tr w14:paraId="3E5D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80" w:type="dxa"/>
            <w:vAlign w:val="center"/>
          </w:tcPr>
          <w:p w14:paraId="C2031697">
            <w:pPr>
              <w:adjustRightInd w:val="0"/>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5580" w:type="dxa"/>
            <w:vAlign w:val="center"/>
          </w:tcPr>
          <w:p w14:paraId="93A80F1C">
            <w:pPr>
              <w:spacing w:line="360" w:lineRule="auto"/>
              <w:rPr>
                <w:rFonts w:hint="eastAsia" w:ascii="宋体" w:hAnsi="宋体" w:cs="宋体"/>
                <w:color w:val="000000" w:themeColor="text1"/>
                <w:sz w:val="24"/>
                <w:highlight w:val="none"/>
                <w14:textFill>
                  <w14:solidFill>
                    <w14:schemeClr w14:val="tx1"/>
                  </w14:solidFill>
                </w14:textFill>
              </w:rPr>
            </w:pPr>
          </w:p>
        </w:tc>
      </w:tr>
    </w:tbl>
    <w:p w14:paraId="838C9652">
      <w:pPr>
        <w:snapToGrid w:val="0"/>
        <w:spacing w:line="360" w:lineRule="auto"/>
        <w:rPr>
          <w:rFonts w:ascii="宋体"/>
          <w:color w:val="000000" w:themeColor="text1"/>
          <w:highlight w:val="none"/>
          <w14:textFill>
            <w14:solidFill>
              <w14:schemeClr w14:val="tx1"/>
            </w14:solidFill>
          </w14:textFill>
        </w:rPr>
      </w:pPr>
    </w:p>
    <w:p w14:paraId="C566FC5C">
      <w:pPr>
        <w:snapToGrid w:val="0"/>
        <w:spacing w:line="360" w:lineRule="auto"/>
        <w:ind w:left="539" w:firstLine="2152" w:firstLineChars="8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（盖单位章）</w:t>
      </w:r>
    </w:p>
    <w:p w14:paraId="A0E5CF8D">
      <w:pPr>
        <w:widowControl/>
        <w:wordWrap w:val="0"/>
        <w:snapToGrid w:val="0"/>
        <w:spacing w:line="360" w:lineRule="auto"/>
        <w:ind w:firstLine="2160" w:firstLineChars="90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法定代表人或授权委托人（签字或盖章）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4ED9E290">
      <w:pPr>
        <w:snapToGrid w:val="0"/>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8E4AA6F2">
      <w:pPr>
        <w:spacing w:line="360" w:lineRule="auto"/>
        <w:rPr>
          <w:rFonts w:ascii="宋体"/>
          <w:color w:val="000000" w:themeColor="text1"/>
          <w:highlight w:val="none"/>
          <w14:textFill>
            <w14:solidFill>
              <w14:schemeClr w14:val="tx1"/>
            </w14:solidFill>
          </w14:textFill>
        </w:rPr>
      </w:pPr>
    </w:p>
    <w:p w14:paraId="9EFDA0EA">
      <w:pPr>
        <w:spacing w:line="360" w:lineRule="auto"/>
        <w:rPr>
          <w:rFonts w:ascii="宋体"/>
          <w:color w:val="000000" w:themeColor="text1"/>
          <w:highlight w:val="none"/>
          <w14:textFill>
            <w14:solidFill>
              <w14:schemeClr w14:val="tx1"/>
            </w14:solidFill>
          </w14:textFill>
        </w:rPr>
      </w:pPr>
    </w:p>
    <w:p w14:paraId="9ED46992">
      <w:pPr>
        <w:pStyle w:val="2"/>
        <w:spacing w:line="360" w:lineRule="auto"/>
        <w:rPr>
          <w:rFonts w:cs="Times New Roman"/>
          <w:color w:val="000000" w:themeColor="text1"/>
          <w:highlight w:val="none"/>
          <w14:textFill>
            <w14:solidFill>
              <w14:schemeClr w14:val="tx1"/>
            </w14:solidFill>
          </w14:textFill>
        </w:rPr>
      </w:pPr>
    </w:p>
    <w:p w14:paraId="28B86850">
      <w:pPr>
        <w:rPr>
          <w:rFonts w:cs="Times New Roman"/>
          <w:color w:val="000000" w:themeColor="text1"/>
          <w:highlight w:val="none"/>
          <w14:textFill>
            <w14:solidFill>
              <w14:schemeClr w14:val="tx1"/>
            </w14:solidFill>
          </w14:textFill>
        </w:rPr>
      </w:pPr>
    </w:p>
    <w:p w14:paraId="495AC3FF">
      <w:pPr>
        <w:pStyle w:val="2"/>
        <w:rPr>
          <w:rFonts w:cs="Times New Roman"/>
          <w:color w:val="000000" w:themeColor="text1"/>
          <w:highlight w:val="none"/>
          <w14:textFill>
            <w14:solidFill>
              <w14:schemeClr w14:val="tx1"/>
            </w14:solidFill>
          </w14:textFill>
        </w:rPr>
      </w:pPr>
    </w:p>
    <w:p w14:paraId="5C3B72AD">
      <w:pPr>
        <w:rPr>
          <w:rFonts w:cs="Times New Roman"/>
          <w:color w:val="000000" w:themeColor="text1"/>
          <w:highlight w:val="none"/>
          <w14:textFill>
            <w14:solidFill>
              <w14:schemeClr w14:val="tx1"/>
            </w14:solidFill>
          </w14:textFill>
        </w:rPr>
      </w:pPr>
    </w:p>
    <w:p w14:paraId="511BCE72">
      <w:pPr>
        <w:pStyle w:val="2"/>
        <w:rPr>
          <w:color w:val="000000" w:themeColor="text1"/>
          <w14:textFill>
            <w14:solidFill>
              <w14:schemeClr w14:val="tx1"/>
            </w14:solidFill>
          </w14:textFill>
        </w:rPr>
      </w:pPr>
    </w:p>
    <w:p w14:paraId="062D85BF">
      <w:pP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bookmarkStart w:id="4" w:name="_Toc511898225"/>
      <w:bookmarkStart w:id="5" w:name="_Toc424308521"/>
      <w:r>
        <w:rPr>
          <w:rFonts w:hint="eastAsia" w:ascii="宋体" w:hAnsi="宋体" w:cs="宋体"/>
          <w:b/>
          <w:bCs/>
          <w:color w:val="000000" w:themeColor="text1"/>
          <w:sz w:val="36"/>
          <w:szCs w:val="36"/>
          <w:highlight w:val="none"/>
          <w14:textFill>
            <w14:solidFill>
              <w14:schemeClr w14:val="tx1"/>
            </w14:solidFill>
          </w14:textFill>
        </w:rPr>
        <w:t>3.法定代表人身份证明</w:t>
      </w:r>
      <w:bookmarkEnd w:id="4"/>
      <w:bookmarkEnd w:id="5"/>
    </w:p>
    <w:p w14:paraId="52D48EF9">
      <w:pPr>
        <w:spacing w:line="240" w:lineRule="auto"/>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u w:val="single"/>
          <w14:textFill>
            <w14:solidFill>
              <w14:schemeClr w14:val="tx1"/>
            </w14:solidFill>
          </w14:textFill>
        </w:rPr>
        <w:t xml:space="preserve">  　                  　</w:t>
      </w:r>
    </w:p>
    <w:p w14:paraId="F1D30485">
      <w:pPr>
        <w:spacing w:line="240" w:lineRule="auto"/>
        <w:rPr>
          <w:rFonts w:hint="eastAsia" w:ascii="宋体" w:hAnsi="宋体" w:cs="宋体"/>
          <w:color w:val="000000" w:themeColor="text1"/>
          <w:sz w:val="24"/>
          <w:highlight w:val="none"/>
          <w14:textFill>
            <w14:solidFill>
              <w14:schemeClr w14:val="tx1"/>
            </w14:solidFill>
          </w14:textFill>
        </w:rPr>
      </w:pPr>
    </w:p>
    <w:p w14:paraId="7880F4EF">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p>
    <w:p w14:paraId="BE7C444A">
      <w:pPr>
        <w:spacing w:line="240" w:lineRule="auto"/>
        <w:rPr>
          <w:rFonts w:hint="eastAsia" w:ascii="宋体" w:hAnsi="宋体" w:cs="宋体"/>
          <w:color w:val="000000" w:themeColor="text1"/>
          <w:sz w:val="24"/>
          <w:highlight w:val="none"/>
          <w14:textFill>
            <w14:solidFill>
              <w14:schemeClr w14:val="tx1"/>
            </w14:solidFill>
          </w14:textFill>
        </w:rPr>
      </w:pPr>
    </w:p>
    <w:p w14:paraId="7986A42A">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p>
    <w:p w14:paraId="E2FD6AB1">
      <w:pPr>
        <w:spacing w:line="240" w:lineRule="auto"/>
        <w:rPr>
          <w:rFonts w:hint="eastAsia" w:ascii="宋体" w:hAnsi="宋体" w:cs="宋体"/>
          <w:color w:val="000000" w:themeColor="text1"/>
          <w:sz w:val="24"/>
          <w:highlight w:val="none"/>
          <w14:textFill>
            <w14:solidFill>
              <w14:schemeClr w14:val="tx1"/>
            </w14:solidFill>
          </w14:textFill>
        </w:rPr>
      </w:pPr>
    </w:p>
    <w:p w14:paraId="1EC4DB75">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p>
    <w:p w14:paraId="A5FFEC04">
      <w:pPr>
        <w:spacing w:line="240" w:lineRule="auto"/>
        <w:rPr>
          <w:rFonts w:hint="eastAsia" w:ascii="宋体" w:hAnsi="宋体" w:cs="宋体"/>
          <w:color w:val="000000" w:themeColor="text1"/>
          <w:sz w:val="24"/>
          <w:highlight w:val="none"/>
          <w14:textFill>
            <w14:solidFill>
              <w14:schemeClr w14:val="tx1"/>
            </w14:solidFill>
          </w14:textFill>
        </w:rPr>
      </w:pPr>
    </w:p>
    <w:p w14:paraId="122CA1DA">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p>
    <w:p w14:paraId="506FB31A">
      <w:pPr>
        <w:spacing w:line="240" w:lineRule="auto"/>
        <w:rPr>
          <w:rFonts w:hint="eastAsia" w:ascii="宋体" w:hAnsi="宋体" w:cs="宋体"/>
          <w:color w:val="000000" w:themeColor="text1"/>
          <w:sz w:val="24"/>
          <w:highlight w:val="none"/>
          <w14:textFill>
            <w14:solidFill>
              <w14:schemeClr w14:val="tx1"/>
            </w14:solidFill>
          </w14:textFill>
        </w:rPr>
      </w:pPr>
    </w:p>
    <w:p w14:paraId="470B4DED">
      <w:pPr>
        <w:spacing w:line="24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 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 xml:space="preserve">          　</w:t>
      </w:r>
    </w:p>
    <w:p w14:paraId="561FD3D2">
      <w:pPr>
        <w:spacing w:line="240" w:lineRule="auto"/>
        <w:rPr>
          <w:rFonts w:hint="eastAsia" w:ascii="宋体" w:hAnsi="宋体" w:cs="宋体"/>
          <w:color w:val="000000" w:themeColor="text1"/>
          <w:sz w:val="24"/>
          <w:highlight w:val="none"/>
          <w:u w:val="single"/>
          <w14:textFill>
            <w14:solidFill>
              <w14:schemeClr w14:val="tx1"/>
            </w14:solidFill>
          </w14:textFill>
        </w:rPr>
      </w:pPr>
    </w:p>
    <w:p w14:paraId="30557AE3">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14:paraId="3B761EE6">
      <w:pPr>
        <w:spacing w:line="240" w:lineRule="auto"/>
        <w:rPr>
          <w:rFonts w:hint="eastAsia" w:ascii="宋体" w:hAnsi="宋体" w:cs="宋体"/>
          <w:color w:val="000000" w:themeColor="text1"/>
          <w:sz w:val="24"/>
          <w:highlight w:val="none"/>
          <w14:textFill>
            <w14:solidFill>
              <w14:schemeClr w14:val="tx1"/>
            </w14:solidFill>
          </w14:textFill>
        </w:rPr>
      </w:pPr>
    </w:p>
    <w:p w14:paraId="9932901D">
      <w:pPr>
        <w:spacing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（投标人名称）的法定代表人。</w:t>
      </w:r>
    </w:p>
    <w:p w14:paraId="6BE0D4DC">
      <w:pPr>
        <w:spacing w:line="360" w:lineRule="auto"/>
        <w:rPr>
          <w:rFonts w:hint="eastAsia" w:ascii="宋体" w:hAnsi="宋体" w:cs="宋体"/>
          <w:color w:val="000000" w:themeColor="text1"/>
          <w:sz w:val="24"/>
          <w:highlight w:val="none"/>
          <w14:textFill>
            <w14:solidFill>
              <w14:schemeClr w14:val="tx1"/>
            </w14:solidFill>
          </w14:textFill>
        </w:rPr>
      </w:pPr>
    </w:p>
    <w:p w14:paraId="D85E096B">
      <w:pPr>
        <w:spacing w:line="360" w:lineRule="auto"/>
        <w:rPr>
          <w:rFonts w:hint="eastAsia" w:ascii="宋体" w:hAnsi="宋体" w:cs="宋体"/>
          <w:color w:val="000000" w:themeColor="text1"/>
          <w:sz w:val="24"/>
          <w:highlight w:val="none"/>
          <w14:textFill>
            <w14:solidFill>
              <w14:schemeClr w14:val="tx1"/>
            </w14:solidFill>
          </w14:textFill>
        </w:rPr>
      </w:pPr>
    </w:p>
    <w:p w14:paraId="867D3499">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特此证明   </w:t>
      </w:r>
    </w:p>
    <w:tbl>
      <w:tblPr>
        <w:tblStyle w:val="19"/>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F71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noWrap w:val="0"/>
            <w:vAlign w:val="top"/>
          </w:tcPr>
          <w:p w14:paraId="32F9715C">
            <w:pPr>
              <w:spacing w:line="360" w:lineRule="auto"/>
              <w:rPr>
                <w:rFonts w:ascii="宋体" w:hAnsi="宋体" w:cs="Lucida Sans Unicode"/>
                <w:bCs/>
                <w:color w:val="000000" w:themeColor="text1"/>
                <w:sz w:val="24"/>
                <w:highlight w:val="none"/>
                <w:lang w:eastAsia="zh-CN"/>
                <w14:textFill>
                  <w14:solidFill>
                    <w14:schemeClr w14:val="tx1"/>
                  </w14:solidFill>
                </w14:textFill>
              </w:rPr>
            </w:pPr>
            <w:r>
              <w:rPr>
                <w:rFonts w:hint="eastAsia" w:ascii="宋体" w:hAnsi="宋体" w:cs="Lucida Sans Unicode"/>
                <w:bCs/>
                <w:color w:val="000000" w:themeColor="text1"/>
                <w:sz w:val="24"/>
                <w:highlight w:val="none"/>
                <w:lang w:eastAsia="zh-CN"/>
                <w14:textFill>
                  <w14:solidFill>
                    <w14:schemeClr w14:val="tx1"/>
                  </w14:solidFill>
                </w14:textFill>
              </w:rPr>
              <w:t>此处请粘贴法定代表人身份证扫描件</w:t>
            </w:r>
          </w:p>
          <w:p w14:paraId="487872FA">
            <w:pPr>
              <w:spacing w:line="360" w:lineRule="auto"/>
              <w:rPr>
                <w:rFonts w:ascii="仿宋_GB2312" w:hAnsi="Lucida Sans Unicode" w:eastAsia="仿宋_GB2312" w:cs="Lucida Sans Unicode"/>
                <w:color w:val="000000" w:themeColor="text1"/>
                <w:sz w:val="24"/>
                <w:highlight w:val="none"/>
                <w:lang w:eastAsia="zh-CN"/>
                <w14:textFill>
                  <w14:solidFill>
                    <w14:schemeClr w14:val="tx1"/>
                  </w14:solidFill>
                </w14:textFill>
              </w:rPr>
            </w:pPr>
          </w:p>
          <w:p w14:paraId="07DE567D">
            <w:pPr>
              <w:spacing w:line="360" w:lineRule="auto"/>
              <w:rPr>
                <w:rFonts w:ascii="仿宋_GB2312" w:hAnsi="Lucida Sans Unicode" w:eastAsia="仿宋_GB2312" w:cs="Lucida Sans Unicode"/>
                <w:color w:val="000000" w:themeColor="text1"/>
                <w:sz w:val="24"/>
                <w:highlight w:val="none"/>
                <w:lang w:eastAsia="zh-CN"/>
                <w14:textFill>
                  <w14:solidFill>
                    <w14:schemeClr w14:val="tx1"/>
                  </w14:solidFill>
                </w14:textFill>
              </w:rPr>
            </w:pPr>
          </w:p>
        </w:tc>
      </w:tr>
    </w:tbl>
    <w:p w14:paraId="77E66224">
      <w:pPr>
        <w:spacing w:line="360" w:lineRule="auto"/>
        <w:rPr>
          <w:rFonts w:hint="eastAsia" w:ascii="宋体" w:hAnsi="宋体" w:cs="宋体"/>
          <w:color w:val="000000" w:themeColor="text1"/>
          <w:sz w:val="24"/>
          <w:highlight w:val="none"/>
          <w14:textFill>
            <w14:solidFill>
              <w14:schemeClr w14:val="tx1"/>
            </w14:solidFill>
          </w14:textFill>
        </w:rPr>
      </w:pPr>
    </w:p>
    <w:p w14:paraId="C1E05BFE">
      <w:pPr>
        <w:spacing w:line="360" w:lineRule="auto"/>
        <w:rPr>
          <w:rFonts w:hint="eastAsia" w:ascii="宋体" w:hAnsi="宋体" w:cs="宋体"/>
          <w:color w:val="000000" w:themeColor="text1"/>
          <w:sz w:val="24"/>
          <w:highlight w:val="none"/>
          <w14:textFill>
            <w14:solidFill>
              <w14:schemeClr w14:val="tx1"/>
            </w14:solidFill>
          </w14:textFill>
        </w:rPr>
      </w:pPr>
    </w:p>
    <w:p w14:paraId="2EE29C2B">
      <w:pPr>
        <w:spacing w:line="360" w:lineRule="auto"/>
        <w:rPr>
          <w:rFonts w:hint="eastAsia" w:ascii="宋体" w:hAnsi="宋体" w:cs="宋体"/>
          <w:color w:val="000000" w:themeColor="text1"/>
          <w:sz w:val="24"/>
          <w:highlight w:val="none"/>
          <w14:textFill>
            <w14:solidFill>
              <w14:schemeClr w14:val="tx1"/>
            </w14:solidFill>
          </w14:textFill>
        </w:rPr>
      </w:pPr>
    </w:p>
    <w:p w14:paraId="48E4B5C4">
      <w:pPr>
        <w:spacing w:line="360" w:lineRule="auto"/>
        <w:rPr>
          <w:rFonts w:hint="eastAsia" w:ascii="宋体" w:hAnsi="宋体" w:cs="宋体"/>
          <w:color w:val="000000" w:themeColor="text1"/>
          <w:sz w:val="24"/>
          <w:highlight w:val="none"/>
          <w14:textFill>
            <w14:solidFill>
              <w14:schemeClr w14:val="tx1"/>
            </w14:solidFill>
          </w14:textFill>
        </w:rPr>
      </w:pPr>
    </w:p>
    <w:p w14:paraId="21898A9B">
      <w:pPr>
        <w:spacing w:line="360" w:lineRule="auto"/>
        <w:rPr>
          <w:rFonts w:hint="eastAsia" w:ascii="宋体" w:hAnsi="宋体" w:cs="宋体"/>
          <w:color w:val="000000" w:themeColor="text1"/>
          <w:sz w:val="24"/>
          <w:highlight w:val="none"/>
          <w14:textFill>
            <w14:solidFill>
              <w14:schemeClr w14:val="tx1"/>
            </w14:solidFill>
          </w14:textFill>
        </w:rPr>
      </w:pPr>
    </w:p>
    <w:p w14:paraId="3C54BEA7">
      <w:pPr>
        <w:spacing w:line="360" w:lineRule="auto"/>
        <w:rPr>
          <w:rFonts w:hint="eastAsia" w:ascii="宋体" w:hAnsi="宋体" w:cs="宋体"/>
          <w:color w:val="000000" w:themeColor="text1"/>
          <w:sz w:val="24"/>
          <w:highlight w:val="none"/>
          <w14:textFill>
            <w14:solidFill>
              <w14:schemeClr w14:val="tx1"/>
            </w14:solidFill>
          </w14:textFill>
        </w:rPr>
      </w:pPr>
    </w:p>
    <w:p w14:paraId="7714AD9F">
      <w:pPr>
        <w:spacing w:line="360" w:lineRule="auto"/>
        <w:rPr>
          <w:rFonts w:hint="eastAsia" w:ascii="宋体" w:hAnsi="宋体" w:cs="宋体"/>
          <w:color w:val="000000" w:themeColor="text1"/>
          <w:sz w:val="24"/>
          <w:highlight w:val="none"/>
          <w14:textFill>
            <w14:solidFill>
              <w14:schemeClr w14:val="tx1"/>
            </w14:solidFill>
          </w14:textFill>
        </w:rPr>
      </w:pPr>
    </w:p>
    <w:p w14:paraId="70E41704">
      <w:pPr>
        <w:spacing w:line="360" w:lineRule="auto"/>
        <w:rPr>
          <w:rFonts w:hint="eastAsia" w:ascii="宋体" w:hAnsi="宋体" w:cs="宋体"/>
          <w:color w:val="000000" w:themeColor="text1"/>
          <w:sz w:val="24"/>
          <w:highlight w:val="none"/>
          <w14:textFill>
            <w14:solidFill>
              <w14:schemeClr w14:val="tx1"/>
            </w14:solidFill>
          </w14:textFill>
        </w:rPr>
      </w:pPr>
    </w:p>
    <w:p w14:paraId="73069718">
      <w:pPr>
        <w:spacing w:line="360" w:lineRule="auto"/>
        <w:rPr>
          <w:rFonts w:hint="eastAsia" w:ascii="宋体" w:hAnsi="宋体" w:cs="宋体"/>
          <w:color w:val="000000" w:themeColor="text1"/>
          <w:sz w:val="24"/>
          <w:highlight w:val="none"/>
          <w14:textFill>
            <w14:solidFill>
              <w14:schemeClr w14:val="tx1"/>
            </w14:solidFill>
          </w14:textFill>
        </w:rPr>
      </w:pPr>
    </w:p>
    <w:p w14:paraId="DC1FAF9C">
      <w:pPr>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（盖单位章）</w:t>
      </w:r>
    </w:p>
    <w:p w14:paraId="8A69BFEA">
      <w:pPr>
        <w:spacing w:line="360" w:lineRule="auto"/>
        <w:rPr>
          <w:rFonts w:hint="eastAsia" w:ascii="宋体" w:hAnsi="宋体" w:cs="宋体"/>
          <w:color w:val="000000" w:themeColor="text1"/>
          <w:sz w:val="24"/>
          <w:highlight w:val="none"/>
          <w14:textFill>
            <w14:solidFill>
              <w14:schemeClr w14:val="tx1"/>
            </w14:solidFill>
          </w14:textFill>
        </w:rPr>
      </w:pPr>
    </w:p>
    <w:p w14:paraId="D55414E3">
      <w:pPr>
        <w:snapToGrid w:val="0"/>
        <w:spacing w:line="360" w:lineRule="auto"/>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8FDB1D89">
      <w:pPr>
        <w:pStyle w:val="45"/>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022B7D6">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67541133">
      <w:pPr>
        <w:pStyle w:val="2"/>
        <w:rPr>
          <w:rFonts w:hint="eastAsia"/>
          <w:color w:val="000000" w:themeColor="text1"/>
          <w14:textFill>
            <w14:solidFill>
              <w14:schemeClr w14:val="tx1"/>
            </w14:solidFill>
          </w14:textFill>
        </w:rPr>
      </w:pPr>
    </w:p>
    <w:p w14:paraId="9B6435D5">
      <w:pPr>
        <w:spacing w:line="360" w:lineRule="auto"/>
        <w:jc w:val="center"/>
        <w:rPr>
          <w:rFonts w:ascii="宋体" w:hAnsi="宋体" w:cs="宋体"/>
          <w:b/>
          <w:bCs/>
          <w:color w:val="000000" w:themeColor="text1"/>
          <w:sz w:val="36"/>
          <w:szCs w:val="36"/>
          <w:highlight w:val="none"/>
          <w14:textFill>
            <w14:solidFill>
              <w14:schemeClr w14:val="tx1"/>
            </w14:solidFill>
          </w14:textFill>
        </w:rPr>
      </w:pPr>
      <w:bookmarkStart w:id="6" w:name="_Toc424308523"/>
      <w:r>
        <w:rPr>
          <w:rFonts w:hint="eastAsia" w:ascii="宋体" w:hAnsi="宋体" w:cs="宋体"/>
          <w:b/>
          <w:bCs/>
          <w:color w:val="000000" w:themeColor="text1"/>
          <w:sz w:val="36"/>
          <w:szCs w:val="36"/>
          <w:highlight w:val="none"/>
          <w14:textFill>
            <w14:solidFill>
              <w14:schemeClr w14:val="tx1"/>
            </w14:solidFill>
          </w14:textFill>
        </w:rPr>
        <w:t>4.法定代表人授权书</w:t>
      </w:r>
      <w:bookmarkEnd w:id="6"/>
    </w:p>
    <w:p w14:paraId="CCD72FCD">
      <w:pPr>
        <w:pStyle w:val="33"/>
        <w:spacing w:line="360" w:lineRule="auto"/>
        <w:jc w:val="both"/>
        <w:rPr>
          <w:rFonts w:hAnsi="宋体" w:cs="Times New Roman"/>
          <w:color w:val="000000" w:themeColor="text1"/>
          <w:highlight w:val="none"/>
          <w14:textFill>
            <w14:solidFill>
              <w14:schemeClr w14:val="tx1"/>
            </w14:solidFill>
          </w14:textFill>
        </w:rPr>
      </w:pPr>
    </w:p>
    <w:p w14:paraId="5464B5A3">
      <w:pPr>
        <w:snapToGrid w:val="0"/>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本授权书声明：注册于[</w:t>
      </w:r>
      <w:r>
        <w:rPr>
          <w:rFonts w:hint="eastAsia" w:ascii="宋体" w:hAnsi="宋体" w:cs="宋体"/>
          <w:color w:val="000000" w:themeColor="text1"/>
          <w:sz w:val="24"/>
          <w:highlight w:val="none"/>
          <w:u w:val="single"/>
          <w14:textFill>
            <w14:solidFill>
              <w14:schemeClr w14:val="tx1"/>
            </w14:solidFill>
          </w14:textFill>
        </w:rPr>
        <w:t xml:space="preserve">      注册地址      </w:t>
      </w:r>
      <w:r>
        <w:rPr>
          <w:rFonts w:hint="eastAsia" w:ascii="宋体" w:hAnsi="宋体" w:cs="宋体"/>
          <w:color w:val="000000" w:themeColor="text1"/>
          <w:sz w:val="24"/>
          <w:highlight w:val="none"/>
          <w14:textFill>
            <w14:solidFill>
              <w14:schemeClr w14:val="tx1"/>
            </w14:solidFill>
          </w14:textFill>
        </w:rPr>
        <w:t>] 的[</w:t>
      </w:r>
      <w:r>
        <w:rPr>
          <w:rFonts w:hint="eastAsia" w:ascii="宋体" w:hAnsi="宋体" w:cs="宋体"/>
          <w:color w:val="000000" w:themeColor="text1"/>
          <w:sz w:val="24"/>
          <w:highlight w:val="none"/>
          <w:u w:val="single"/>
          <w14:textFill>
            <w14:solidFill>
              <w14:schemeClr w14:val="tx1"/>
            </w14:solidFill>
          </w14:textFill>
        </w:rPr>
        <w:t xml:space="preserve">      公司名称     </w:t>
      </w:r>
      <w:r>
        <w:rPr>
          <w:rFonts w:hint="eastAsia" w:ascii="宋体" w:hAnsi="宋体" w:cs="宋体"/>
          <w:color w:val="000000" w:themeColor="text1"/>
          <w:sz w:val="24"/>
          <w:highlight w:val="none"/>
          <w14:textFill>
            <w14:solidFill>
              <w14:schemeClr w14:val="tx1"/>
            </w14:solidFill>
          </w14:textFill>
        </w:rPr>
        <w:t>]的在下面签字的[</w:t>
      </w:r>
      <w:r>
        <w:rPr>
          <w:rFonts w:hint="eastAsia" w:ascii="宋体" w:hAnsi="宋体" w:cs="宋体"/>
          <w:color w:val="000000" w:themeColor="text1"/>
          <w:sz w:val="24"/>
          <w:highlight w:val="none"/>
          <w:u w:val="single"/>
          <w14:textFill>
            <w14:solidFill>
              <w14:schemeClr w14:val="tx1"/>
            </w14:solidFill>
          </w14:textFill>
        </w:rPr>
        <w:t xml:space="preserve">  法人姓名  </w:t>
      </w:r>
      <w:r>
        <w:rPr>
          <w:rFonts w:hint="eastAsia" w:ascii="宋体" w:hAnsi="宋体" w:cs="宋体"/>
          <w:color w:val="000000" w:themeColor="text1"/>
          <w:sz w:val="24"/>
          <w:highlight w:val="none"/>
          <w14:textFill>
            <w14:solidFill>
              <w14:schemeClr w14:val="tx1"/>
            </w14:solidFill>
          </w14:textFill>
        </w:rPr>
        <w:t>] 代表本公司授权[</w:t>
      </w:r>
      <w:r>
        <w:rPr>
          <w:rFonts w:hint="eastAsia" w:ascii="宋体" w:hAnsi="宋体" w:cs="宋体"/>
          <w:color w:val="000000" w:themeColor="text1"/>
          <w:sz w:val="24"/>
          <w:highlight w:val="none"/>
          <w:u w:val="single"/>
          <w14:textFill>
            <w14:solidFill>
              <w14:schemeClr w14:val="tx1"/>
            </w14:solidFill>
          </w14:textFill>
        </w:rPr>
        <w:t xml:space="preserve">   公司名称   </w:t>
      </w:r>
      <w:r>
        <w:rPr>
          <w:rFonts w:hint="eastAsia" w:ascii="宋体" w:hAnsi="宋体" w:cs="宋体"/>
          <w:color w:val="000000" w:themeColor="text1"/>
          <w:sz w:val="24"/>
          <w:highlight w:val="none"/>
          <w14:textFill>
            <w14:solidFill>
              <w14:schemeClr w14:val="tx1"/>
            </w14:solidFill>
          </w14:textFill>
        </w:rPr>
        <w:t>] 的 [</w:t>
      </w:r>
      <w:r>
        <w:rPr>
          <w:rFonts w:hint="eastAsia" w:ascii="宋体" w:hAnsi="宋体" w:cs="宋体"/>
          <w:color w:val="000000" w:themeColor="text1"/>
          <w:sz w:val="24"/>
          <w:highlight w:val="none"/>
          <w:u w:val="single"/>
          <w14:textFill>
            <w14:solidFill>
              <w14:schemeClr w14:val="tx1"/>
            </w14:solidFill>
          </w14:textFill>
        </w:rPr>
        <w:t xml:space="preserve">    受权人姓名称   </w:t>
      </w:r>
      <w:r>
        <w:rPr>
          <w:rFonts w:hint="eastAsia" w:ascii="宋体" w:hAnsi="宋体" w:cs="宋体"/>
          <w:color w:val="000000" w:themeColor="text1"/>
          <w:sz w:val="24"/>
          <w:highlight w:val="none"/>
          <w14:textFill>
            <w14:solidFill>
              <w14:schemeClr w14:val="tx1"/>
            </w14:solidFill>
          </w14:textFill>
        </w:rPr>
        <w:t>] 为本公司的合法代理人，就[</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 xml:space="preserve">]投标，以本公司名义处理一切与之有关的事务。 </w:t>
      </w:r>
    </w:p>
    <w:p w14:paraId="1E6D670C">
      <w:pPr>
        <w:snapToGrid w:val="0"/>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我方在撤销授权的书面通知以前，本授权书一直有效。代理人无转委托权。</w:t>
      </w:r>
    </w:p>
    <w:p w14:paraId="16D95728">
      <w:pPr>
        <w:snapToGrid w:val="0"/>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 </w:t>
      </w:r>
    </w:p>
    <w:p w14:paraId="5904E312">
      <w:pPr>
        <w:snapToGrid w:val="0"/>
        <w:spacing w:line="360" w:lineRule="auto"/>
        <w:ind w:firstLine="480" w:firstLineChars="200"/>
        <w:rPr>
          <w:rFonts w:ascii="宋体" w:hAnsi="宋体" w:cs="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法定代表人（签字或盖章）</w:t>
      </w:r>
      <w:r>
        <w:rPr>
          <w:rFonts w:hint="eastAsia" w:ascii="宋体" w:hAnsi="宋体" w:cs="宋体"/>
          <w:color w:val="000000" w:themeColor="text1"/>
          <w:sz w:val="24"/>
          <w:highlight w:val="none"/>
          <w:u w:val="single"/>
          <w:lang w:eastAsia="zh-CN"/>
          <w14:textFill>
            <w14:solidFill>
              <w14:schemeClr w14:val="tx1"/>
            </w14:solidFill>
          </w14:textFill>
        </w:rPr>
        <w:t xml:space="preserve"> </w:t>
      </w:r>
    </w:p>
    <w:p w14:paraId="733CAB3C">
      <w:pPr>
        <w:snapToGrid w:val="0"/>
        <w:spacing w:line="360" w:lineRule="auto"/>
        <w:ind w:firstLine="480" w:firstLineChars="20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委托代理人身份证号码：</w:t>
      </w:r>
      <w:r>
        <w:rPr>
          <w:rFonts w:hint="eastAsia" w:ascii="宋体" w:hAnsi="宋体" w:cs="宋体"/>
          <w:color w:val="000000" w:themeColor="text1"/>
          <w:sz w:val="24"/>
          <w:highlight w:val="none"/>
          <w:u w:val="single"/>
          <w:lang w:eastAsia="zh-CN"/>
          <w14:textFill>
            <w14:solidFill>
              <w14:schemeClr w14:val="tx1"/>
            </w14:solidFill>
          </w14:textFill>
        </w:rPr>
        <w:t xml:space="preserve"> </w:t>
      </w:r>
    </w:p>
    <w:tbl>
      <w:tblPr>
        <w:tblStyle w:val="19"/>
        <w:tblpPr w:leftFromText="180" w:rightFromText="180" w:topFromText="100" w:bottomFromText="100" w:vertAnchor="text" w:horzAnchor="page" w:tblpX="2233"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E9D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noWrap w:val="0"/>
            <w:vAlign w:val="top"/>
          </w:tcPr>
          <w:p w14:paraId="385DB546">
            <w:pPr>
              <w:spacing w:line="360" w:lineRule="auto"/>
              <w:rPr>
                <w:rFonts w:ascii="宋体" w:hAnsi="宋体" w:cs="Lucida Sans Unicode"/>
                <w:color w:val="000000" w:themeColor="text1"/>
                <w:sz w:val="24"/>
                <w:highlight w:val="none"/>
                <w:lang w:eastAsia="zh-CN"/>
                <w14:textFill>
                  <w14:solidFill>
                    <w14:schemeClr w14:val="tx1"/>
                  </w14:solidFill>
                </w14:textFill>
              </w:rPr>
            </w:pPr>
            <w:r>
              <w:rPr>
                <w:rFonts w:hint="eastAsia" w:ascii="宋体" w:hAnsi="宋体" w:cs="Lucida Sans Unicode"/>
                <w:bCs/>
                <w:color w:val="000000" w:themeColor="text1"/>
                <w:sz w:val="24"/>
                <w:highlight w:val="none"/>
                <w:lang w:eastAsia="zh-CN"/>
                <w14:textFill>
                  <w14:solidFill>
                    <w14:schemeClr w14:val="tx1"/>
                  </w14:solidFill>
                </w14:textFill>
              </w:rPr>
              <w:t>此处请粘贴</w:t>
            </w:r>
            <w:r>
              <w:rPr>
                <w:rFonts w:hint="eastAsia" w:ascii="宋体" w:hAnsi="宋体" w:cs="宋体"/>
                <w:color w:val="000000" w:themeColor="text1"/>
                <w:sz w:val="24"/>
                <w:highlight w:val="none"/>
                <w:lang w:eastAsia="zh-CN"/>
                <w14:textFill>
                  <w14:solidFill>
                    <w14:schemeClr w14:val="tx1"/>
                  </w14:solidFill>
                </w14:textFill>
              </w:rPr>
              <w:t>委托代理人</w:t>
            </w:r>
            <w:r>
              <w:rPr>
                <w:rFonts w:hint="eastAsia" w:ascii="宋体" w:hAnsi="宋体" w:cs="Lucida Sans Unicode"/>
                <w:bCs/>
                <w:color w:val="000000" w:themeColor="text1"/>
                <w:sz w:val="24"/>
                <w:highlight w:val="none"/>
                <w:lang w:eastAsia="zh-CN"/>
                <w14:textFill>
                  <w14:solidFill>
                    <w14:schemeClr w14:val="tx1"/>
                  </w14:solidFill>
                </w14:textFill>
              </w:rPr>
              <w:t>身份证扫描件</w:t>
            </w:r>
          </w:p>
        </w:tc>
      </w:tr>
    </w:tbl>
    <w:p w14:paraId="3CF7BB51">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F94EB1F2">
      <w:pPr>
        <w:widowControl/>
        <w:snapToGrid w:val="0"/>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p>
    <w:p w14:paraId="D05FA05F">
      <w:pPr>
        <w:widowControl/>
        <w:snapToGrid w:val="0"/>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p>
    <w:p w14:paraId="C1AE6B02">
      <w:pPr>
        <w:widowControl/>
        <w:snapToGrid w:val="0"/>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p>
    <w:p w14:paraId="A8E8F241">
      <w:pPr>
        <w:pStyle w:val="11"/>
        <w:spacing w:line="360" w:lineRule="auto"/>
        <w:rPr>
          <w:rFonts w:hint="eastAsia" w:hAnsi="宋体" w:cs="Calibri"/>
          <w:color w:val="000000" w:themeColor="text1"/>
          <w:kern w:val="0"/>
          <w:sz w:val="24"/>
          <w:highlight w:val="none"/>
          <w14:textFill>
            <w14:solidFill>
              <w14:schemeClr w14:val="tx1"/>
            </w14:solidFill>
          </w14:textFill>
        </w:rPr>
      </w:pPr>
    </w:p>
    <w:p w14:paraId="E9DDBBBC">
      <w:pPr>
        <w:spacing w:line="360" w:lineRule="auto"/>
        <w:rPr>
          <w:rFonts w:hint="eastAsia"/>
          <w:color w:val="000000" w:themeColor="text1"/>
          <w:highlight w:val="none"/>
          <w14:textFill>
            <w14:solidFill>
              <w14:schemeClr w14:val="tx1"/>
            </w14:solidFill>
          </w14:textFill>
        </w:rPr>
      </w:pPr>
    </w:p>
    <w:p w14:paraId="3AD39838">
      <w:pPr>
        <w:pStyle w:val="11"/>
        <w:spacing w:line="360" w:lineRule="auto"/>
        <w:rPr>
          <w:rFonts w:hint="eastAsia"/>
          <w:color w:val="000000" w:themeColor="text1"/>
          <w:highlight w:val="none"/>
          <w14:textFill>
            <w14:solidFill>
              <w14:schemeClr w14:val="tx1"/>
            </w14:solidFill>
          </w14:textFill>
        </w:rPr>
      </w:pPr>
    </w:p>
    <w:p w14:paraId="76609848">
      <w:pPr>
        <w:pStyle w:val="11"/>
        <w:spacing w:line="360" w:lineRule="auto"/>
        <w:rPr>
          <w:rFonts w:hint="eastAsia"/>
          <w:color w:val="000000" w:themeColor="text1"/>
          <w:highlight w:val="none"/>
          <w14:textFill>
            <w14:solidFill>
              <w14:schemeClr w14:val="tx1"/>
            </w14:solidFill>
          </w14:textFill>
        </w:rPr>
      </w:pPr>
    </w:p>
    <w:p w14:paraId="1C406E17">
      <w:pPr>
        <w:pStyle w:val="11"/>
        <w:spacing w:line="360" w:lineRule="auto"/>
        <w:rPr>
          <w:rFonts w:hint="eastAsia"/>
          <w:color w:val="000000" w:themeColor="text1"/>
          <w:highlight w:val="none"/>
          <w14:textFill>
            <w14:solidFill>
              <w14:schemeClr w14:val="tx1"/>
            </w14:solidFill>
          </w14:textFill>
        </w:rPr>
      </w:pPr>
    </w:p>
    <w:p w14:paraId="004F20E6">
      <w:pPr>
        <w:pStyle w:val="11"/>
        <w:spacing w:line="360" w:lineRule="auto"/>
        <w:rPr>
          <w:rFonts w:hint="eastAsia"/>
          <w:color w:val="000000" w:themeColor="text1"/>
          <w:highlight w:val="none"/>
          <w14:textFill>
            <w14:solidFill>
              <w14:schemeClr w14:val="tx1"/>
            </w14:solidFill>
          </w14:textFill>
        </w:rPr>
      </w:pPr>
    </w:p>
    <w:p w14:paraId="658B4F28">
      <w:pPr>
        <w:pStyle w:val="11"/>
        <w:spacing w:line="360" w:lineRule="auto"/>
        <w:rPr>
          <w:rFonts w:hint="eastAsia"/>
          <w:color w:val="000000" w:themeColor="text1"/>
          <w:highlight w:val="none"/>
          <w14:textFill>
            <w14:solidFill>
              <w14:schemeClr w14:val="tx1"/>
            </w14:solidFill>
          </w14:textFill>
        </w:rPr>
      </w:pPr>
    </w:p>
    <w:p w14:paraId="4156E0D9">
      <w:pPr>
        <w:spacing w:line="360" w:lineRule="auto"/>
        <w:ind w:firstLine="4200" w:firstLineChars="1750"/>
        <w:rPr>
          <w:rFonts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盖单位章</w:t>
      </w:r>
      <w:r>
        <w:rPr>
          <w:rFonts w:hint="eastAsia" w:ascii="宋体" w:hAnsi="宋体" w:cs="宋体"/>
          <w:color w:val="000000" w:themeColor="text1"/>
          <w:sz w:val="24"/>
          <w:highlight w:val="none"/>
          <w:lang w:eastAsia="zh-CN"/>
          <w14:textFill>
            <w14:solidFill>
              <w14:schemeClr w14:val="tx1"/>
            </w14:solidFill>
          </w14:textFill>
        </w:rPr>
        <w:t>）</w:t>
      </w:r>
    </w:p>
    <w:p w14:paraId="6BE5619E">
      <w:pPr>
        <w:spacing w:line="360" w:lineRule="auto"/>
        <w:ind w:firstLine="6120" w:firstLineChars="2550"/>
        <w:rPr>
          <w:rFonts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_____年___月___日</w:t>
      </w:r>
    </w:p>
    <w:p w14:paraId="72443BB6">
      <w:pPr>
        <w:pStyle w:val="11"/>
        <w:spacing w:line="360" w:lineRule="auto"/>
        <w:rPr>
          <w:rFonts w:hint="eastAsia"/>
          <w:color w:val="000000" w:themeColor="text1"/>
          <w:highlight w:val="none"/>
          <w14:textFill>
            <w14:solidFill>
              <w14:schemeClr w14:val="tx1"/>
            </w14:solidFill>
          </w14:textFill>
        </w:rPr>
      </w:pPr>
    </w:p>
    <w:p w14:paraId="06D382EE">
      <w:pPr>
        <w:pStyle w:val="11"/>
        <w:spacing w:line="360" w:lineRule="auto"/>
        <w:rPr>
          <w:rFonts w:hint="eastAsia"/>
          <w:color w:val="000000" w:themeColor="text1"/>
          <w:highlight w:val="none"/>
          <w14:textFill>
            <w14:solidFill>
              <w14:schemeClr w14:val="tx1"/>
            </w14:solidFill>
          </w14:textFill>
        </w:rPr>
      </w:pPr>
    </w:p>
    <w:p w14:paraId="79CDF5A7">
      <w:pPr>
        <w:pStyle w:val="11"/>
        <w:spacing w:line="360" w:lineRule="auto"/>
        <w:rPr>
          <w:rFonts w:hint="eastAsia"/>
          <w:color w:val="000000" w:themeColor="text1"/>
          <w:highlight w:val="none"/>
          <w14:textFill>
            <w14:solidFill>
              <w14:schemeClr w14:val="tx1"/>
            </w14:solidFill>
          </w14:textFill>
        </w:rPr>
      </w:pPr>
    </w:p>
    <w:p w14:paraId="4E20828D">
      <w:pPr>
        <w:pStyle w:val="11"/>
        <w:spacing w:line="360" w:lineRule="auto"/>
        <w:rPr>
          <w:rFonts w:hint="eastAsia"/>
          <w:color w:val="000000" w:themeColor="text1"/>
          <w:highlight w:val="none"/>
          <w14:textFill>
            <w14:solidFill>
              <w14:schemeClr w14:val="tx1"/>
            </w14:solidFill>
          </w14:textFill>
        </w:rPr>
      </w:pPr>
    </w:p>
    <w:p w14:paraId="A177A6BF">
      <w:pPr>
        <w:pStyle w:val="11"/>
        <w:spacing w:line="360" w:lineRule="auto"/>
        <w:rPr>
          <w:rFonts w:hint="eastAsia"/>
          <w:color w:val="000000" w:themeColor="text1"/>
          <w:highlight w:val="none"/>
          <w14:textFill>
            <w14:solidFill>
              <w14:schemeClr w14:val="tx1"/>
            </w14:solidFill>
          </w14:textFill>
        </w:rPr>
      </w:pPr>
    </w:p>
    <w:p w14:paraId="0E5730C0">
      <w:pPr>
        <w:pStyle w:val="11"/>
        <w:spacing w:line="360" w:lineRule="auto"/>
        <w:rPr>
          <w:rFonts w:hint="eastAsia"/>
          <w:color w:val="000000" w:themeColor="text1"/>
          <w:highlight w:val="none"/>
          <w14:textFill>
            <w14:solidFill>
              <w14:schemeClr w14:val="tx1"/>
            </w14:solidFill>
          </w14:textFill>
        </w:rPr>
      </w:pPr>
    </w:p>
    <w:p w14:paraId="BD12C209">
      <w:pPr>
        <w:pStyle w:val="11"/>
        <w:spacing w:line="360" w:lineRule="auto"/>
        <w:rPr>
          <w:rFonts w:hint="eastAsia"/>
          <w:color w:val="000000" w:themeColor="text1"/>
          <w:highlight w:val="none"/>
          <w14:textFill>
            <w14:solidFill>
              <w14:schemeClr w14:val="tx1"/>
            </w14:solidFill>
          </w14:textFill>
        </w:rPr>
      </w:pPr>
    </w:p>
    <w:p w14:paraId="4EF57608">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5</w:t>
      </w:r>
      <w:r>
        <w:rPr>
          <w:rFonts w:ascii="宋体" w:cs="宋体"/>
          <w:b/>
          <w:bCs/>
          <w:color w:val="000000" w:themeColor="text1"/>
          <w:sz w:val="36"/>
          <w:szCs w:val="36"/>
          <w:highlight w:val="none"/>
          <w14:textFill>
            <w14:solidFill>
              <w14:schemeClr w14:val="tx1"/>
            </w14:solidFill>
          </w14:textFill>
        </w:rPr>
        <w:t>.</w:t>
      </w:r>
      <w:r>
        <w:rPr>
          <w:rFonts w:hint="eastAsia" w:ascii="宋体" w:hAnsi="宋体"/>
          <w:b/>
          <w:bCs/>
          <w:color w:val="000000" w:themeColor="text1"/>
          <w:sz w:val="36"/>
          <w:szCs w:val="36"/>
          <w:highlight w:val="none"/>
          <w14:textFill>
            <w14:solidFill>
              <w14:schemeClr w14:val="tx1"/>
            </w14:solidFill>
          </w14:textFill>
        </w:rPr>
        <w:t>投标承诺函</w:t>
      </w:r>
    </w:p>
    <w:p w14:paraId="3FCE251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（采购人名称/代理机构名称）</w:t>
      </w:r>
    </w:p>
    <w:p w14:paraId="A7B3C1B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我公司作为本次采购项目的投标人，根据招标文件要求，现郑重承诺如下：</w:t>
      </w:r>
    </w:p>
    <w:p w14:paraId="6D28A203">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1、我方完全接受和满足本项目招标文件中规定的实质性要求，不存在对招标文件有异议的同时参加本次采购活动。</w:t>
      </w:r>
    </w:p>
    <w:p w14:paraId="88682B9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2、参加本次采购活动，不存在与单位负责人为同一人或者存在直接控股、管理关系的其他投标人参与同一合同项下的政府采购活动的行为。</w:t>
      </w:r>
    </w:p>
    <w:p w14:paraId="50F37AF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3、我方参加政府采购活动无商业贿赂和无不正当竞争行为。</w:t>
      </w:r>
    </w:p>
    <w:p w14:paraId="7E3BCF5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4、参加本次采购活动，不接受联合体投标。</w:t>
      </w:r>
    </w:p>
    <w:p w14:paraId="482F614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5、存在以下行为之一的愿意接受相关部门的处理：</w:t>
      </w:r>
    </w:p>
    <w:p w14:paraId="4057FB0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（1）投标有效期内撤回投标文件的；</w:t>
      </w:r>
    </w:p>
    <w:p w14:paraId="CC27E25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（2）在采购人确定中标投标人以前放弃中标候选资格的；</w:t>
      </w:r>
    </w:p>
    <w:p w14:paraId="C3B7681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（3）除不可抗力的因素外，由于中标投标人的原因未能按照招标文件的规定与采购人签订合同；</w:t>
      </w:r>
    </w:p>
    <w:p w14:paraId="63ED451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（4）在招标文件中提供虚假材料谋取中标；</w:t>
      </w:r>
    </w:p>
    <w:p w14:paraId="FE96A7E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（5）与采购人、其他投标人或者采购代理机构恶意串通的；</w:t>
      </w:r>
    </w:p>
    <w:p w14:paraId="292E7BD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（6）投标有效期内，投标人在政府采购活动中有违法、违规、违纪行为。</w:t>
      </w:r>
    </w:p>
    <w:p w14:paraId="A6BFEFE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由此产生的一切法律后果和责任由我公司承担。我公司声明放弃对此提出任何异议和追索的权利。</w:t>
      </w:r>
    </w:p>
    <w:p w14:paraId="C6E5DE0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本公司对上述承诺的内容事项真实性负责。如经查实上述承诺的内容事项存在虚假，我公司愿意接受以提供虚假材料谋取中标追究法律责任。</w:t>
      </w:r>
    </w:p>
    <w:p w14:paraId="1B4F2BB2">
      <w:pPr>
        <w:spacing w:line="360" w:lineRule="auto"/>
        <w:rPr>
          <w:rFonts w:hint="eastAsia" w:ascii="宋体" w:hAnsi="宋体" w:cs="宋体"/>
          <w:color w:val="000000" w:themeColor="text1"/>
          <w:sz w:val="24"/>
          <w:highlight w:val="none"/>
          <w14:textFill>
            <w14:solidFill>
              <w14:schemeClr w14:val="tx1"/>
            </w14:solidFill>
          </w14:textFill>
        </w:rPr>
      </w:pPr>
    </w:p>
    <w:p w14:paraId="EB950CAC">
      <w:pPr>
        <w:snapToGrid w:val="0"/>
        <w:spacing w:line="360" w:lineRule="auto"/>
        <w:ind w:left="539" w:firstLine="2152" w:firstLineChars="8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（盖单位章）</w:t>
      </w:r>
    </w:p>
    <w:p w14:paraId="C924AD67">
      <w:pPr>
        <w:widowControl/>
        <w:wordWrap w:val="0"/>
        <w:snapToGrid w:val="0"/>
        <w:spacing w:line="360" w:lineRule="auto"/>
        <w:ind w:firstLine="2160" w:firstLineChars="90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法定代表人或授权委托人（签字或盖章）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98B28B97">
      <w:pPr>
        <w:snapToGrid w:val="0"/>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89DDF6A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B4047F67">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D06CE079">
      <w:pPr>
        <w:pStyle w:val="11"/>
        <w:numPr>
          <w:ilvl w:val="0"/>
          <w:numId w:val="0"/>
        </w:numPr>
        <w:spacing w:line="360" w:lineRule="auto"/>
        <w:jc w:val="center"/>
        <w:rPr>
          <w:rFonts w:hint="eastAsia" w:ascii="Times New Roman" w:hAnsi="Times New Roman"/>
          <w:color w:val="000000" w:themeColor="text1"/>
          <w:sz w:val="36"/>
          <w:szCs w:val="36"/>
          <w:highlight w:val="none"/>
          <w:lang w:bidi="en-US"/>
          <w14:textFill>
            <w14:solidFill>
              <w14:schemeClr w14:val="tx1"/>
            </w14:solidFill>
          </w14:textFill>
        </w:rPr>
      </w:pPr>
      <w:r>
        <w:rPr>
          <w:rFonts w:hint="eastAsia" w:hAnsi="宋体" w:cs="Times New Roman"/>
          <w:b/>
          <w:color w:val="000000" w:themeColor="text1"/>
          <w:sz w:val="36"/>
          <w:szCs w:val="36"/>
          <w:highlight w:val="none"/>
          <w:lang w:val="en-US" w:eastAsia="zh-CN" w:bidi="en-US"/>
          <w14:textFill>
            <w14:solidFill>
              <w14:schemeClr w14:val="tx1"/>
            </w14:solidFill>
          </w14:textFill>
        </w:rPr>
        <w:t>6.</w:t>
      </w:r>
      <w:r>
        <w:rPr>
          <w:rFonts w:hint="eastAsia" w:hAnsi="宋体" w:cs="Times New Roman"/>
          <w:b/>
          <w:color w:val="000000" w:themeColor="text1"/>
          <w:sz w:val="36"/>
          <w:szCs w:val="36"/>
          <w:highlight w:val="none"/>
          <w:lang w:bidi="en-US"/>
          <w14:textFill>
            <w14:solidFill>
              <w14:schemeClr w14:val="tx1"/>
            </w14:solidFill>
          </w14:textFill>
        </w:rPr>
        <w:t>商务响应表</w:t>
      </w:r>
      <w:r>
        <w:rPr>
          <w:rFonts w:hint="eastAsia" w:ascii="Times New Roman" w:hAnsi="Times New Roman"/>
          <w:color w:val="000000" w:themeColor="text1"/>
          <w:sz w:val="36"/>
          <w:szCs w:val="36"/>
          <w:highlight w:val="none"/>
          <w:lang w:bidi="en-US"/>
          <w14:textFill>
            <w14:solidFill>
              <w14:schemeClr w14:val="tx1"/>
            </w14:solidFill>
          </w14:textFill>
        </w:rPr>
        <w:t>（格式）</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9"/>
        <w:gridCol w:w="2436"/>
        <w:gridCol w:w="1817"/>
        <w:gridCol w:w="2460"/>
      </w:tblGrid>
      <w:tr w14:paraId="A5364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D43B48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r>
              <w:rPr>
                <w:rFonts w:hint="eastAsia" w:ascii="仿宋_GB2312" w:hAnsi="宋体" w:cs="宋体"/>
                <w:color w:val="000000" w:themeColor="text1"/>
                <w:sz w:val="24"/>
                <w:highlight w:val="none"/>
                <w:lang w:bidi="en-US"/>
                <w14:textFill>
                  <w14:solidFill>
                    <w14:schemeClr w14:val="tx1"/>
                  </w14:solidFill>
                </w14:textFill>
              </w:rPr>
              <w:t>项目</w:t>
            </w:r>
          </w:p>
        </w:tc>
        <w:tc>
          <w:tcPr>
            <w:tcW w:w="2436" w:type="dxa"/>
            <w:tcBorders>
              <w:top w:val="single" w:color="auto" w:sz="4" w:space="0"/>
              <w:left w:val="single" w:color="auto" w:sz="4" w:space="0"/>
              <w:bottom w:val="single" w:color="auto" w:sz="4" w:space="0"/>
              <w:right w:val="single" w:color="auto" w:sz="4" w:space="0"/>
            </w:tcBorders>
            <w:vAlign w:val="center"/>
          </w:tcPr>
          <w:p w14:paraId="00A8B3C6">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r>
              <w:rPr>
                <w:rFonts w:hint="eastAsia" w:ascii="仿宋_GB2312" w:hAnsi="宋体" w:cs="宋体"/>
                <w:color w:val="000000" w:themeColor="text1"/>
                <w:sz w:val="24"/>
                <w:highlight w:val="none"/>
                <w:lang w:bidi="en-US"/>
                <w14:textFill>
                  <w14:solidFill>
                    <w14:schemeClr w14:val="tx1"/>
                  </w14:solidFill>
                </w14:textFill>
              </w:rPr>
              <w:t>招标文件要求</w:t>
            </w:r>
          </w:p>
        </w:tc>
        <w:tc>
          <w:tcPr>
            <w:tcW w:w="1817" w:type="dxa"/>
            <w:tcBorders>
              <w:top w:val="single" w:color="auto" w:sz="4" w:space="0"/>
              <w:left w:val="single" w:color="auto" w:sz="4" w:space="0"/>
              <w:bottom w:val="single" w:color="auto" w:sz="4" w:space="0"/>
              <w:right w:val="single" w:color="auto" w:sz="4" w:space="0"/>
            </w:tcBorders>
            <w:vAlign w:val="center"/>
          </w:tcPr>
          <w:p w14:paraId="41BA4C2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r>
              <w:rPr>
                <w:rFonts w:hint="eastAsia" w:ascii="仿宋_GB2312" w:hAnsi="宋体" w:cs="宋体"/>
                <w:color w:val="000000" w:themeColor="text1"/>
                <w:sz w:val="24"/>
                <w:highlight w:val="none"/>
                <w:lang w:bidi="en-US"/>
                <w14:textFill>
                  <w14:solidFill>
                    <w14:schemeClr w14:val="tx1"/>
                  </w14:solidFill>
                </w14:textFill>
              </w:rPr>
              <w:t>响应</w:t>
            </w:r>
          </w:p>
        </w:tc>
        <w:tc>
          <w:tcPr>
            <w:tcW w:w="2460" w:type="dxa"/>
            <w:tcBorders>
              <w:top w:val="single" w:color="auto" w:sz="4" w:space="0"/>
              <w:left w:val="single" w:color="auto" w:sz="4" w:space="0"/>
              <w:bottom w:val="single" w:color="auto" w:sz="4" w:space="0"/>
              <w:right w:val="single" w:color="auto" w:sz="4" w:space="0"/>
            </w:tcBorders>
            <w:vAlign w:val="center"/>
          </w:tcPr>
          <w:p w14:paraId="17DED435">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r>
              <w:rPr>
                <w:rFonts w:hint="eastAsia" w:ascii="仿宋_GB2312" w:hAnsi="宋体" w:cs="宋体"/>
                <w:color w:val="000000" w:themeColor="text1"/>
                <w:sz w:val="24"/>
                <w:highlight w:val="none"/>
                <w:lang w:bidi="en-US"/>
                <w14:textFill>
                  <w14:solidFill>
                    <w14:schemeClr w14:val="tx1"/>
                  </w14:solidFill>
                </w14:textFill>
              </w:rPr>
              <w:t>投标人的承诺或说明(内容过多可后附)（如有）</w:t>
            </w:r>
          </w:p>
        </w:tc>
      </w:tr>
      <w:tr w14:paraId="1F049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38732358">
            <w:pPr>
              <w:adjustRightInd w:val="0"/>
              <w:snapToGrid w:val="0"/>
              <w:spacing w:after="160"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服务</w:t>
            </w:r>
            <w:r>
              <w:rPr>
                <w:rFonts w:hint="eastAsia" w:ascii="宋体" w:hAnsi="宋体" w:cs="仿宋"/>
                <w:color w:val="000000" w:themeColor="text1"/>
                <w:sz w:val="24"/>
                <w:highlight w:val="none"/>
                <w14:textFill>
                  <w14:solidFill>
                    <w14:schemeClr w14:val="tx1"/>
                  </w14:solidFill>
                </w14:textFill>
              </w:rPr>
              <w:t>期限</w:t>
            </w:r>
          </w:p>
        </w:tc>
        <w:tc>
          <w:tcPr>
            <w:tcW w:w="2436" w:type="dxa"/>
            <w:tcBorders>
              <w:top w:val="single" w:color="auto" w:sz="4" w:space="0"/>
              <w:left w:val="single" w:color="auto" w:sz="4" w:space="0"/>
              <w:bottom w:val="single" w:color="auto" w:sz="4" w:space="0"/>
              <w:right w:val="single" w:color="auto" w:sz="4" w:space="0"/>
            </w:tcBorders>
            <w:vAlign w:val="center"/>
          </w:tcPr>
          <w:p w14:paraId="8DCD0BC5">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33BE0C6B">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AEE02E50">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D5079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CB9F7B6C">
            <w:pPr>
              <w:spacing w:line="360" w:lineRule="auto"/>
              <w:rPr>
                <w:rFonts w:ascii="宋体" w:hAnsi="宋体" w:cs="宋体"/>
                <w:color w:val="000000" w:themeColor="text1"/>
                <w:sz w:val="24"/>
                <w:highlight w:val="none"/>
                <w:lang w:bidi="en-US"/>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服务要求</w:t>
            </w:r>
          </w:p>
        </w:tc>
        <w:tc>
          <w:tcPr>
            <w:tcW w:w="2436" w:type="dxa"/>
            <w:tcBorders>
              <w:top w:val="single" w:color="auto" w:sz="4" w:space="0"/>
              <w:left w:val="single" w:color="auto" w:sz="4" w:space="0"/>
              <w:bottom w:val="single" w:color="auto" w:sz="4" w:space="0"/>
              <w:right w:val="single" w:color="auto" w:sz="4" w:space="0"/>
            </w:tcBorders>
            <w:vAlign w:val="center"/>
          </w:tcPr>
          <w:p w14:paraId="6FAA3873">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AAF7C99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0211D1D5">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9688C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DABDD47E">
            <w:pPr>
              <w:adjustRightInd w:val="0"/>
              <w:snapToGrid w:val="0"/>
              <w:spacing w:after="160" w:line="360" w:lineRule="auto"/>
              <w:rPr>
                <w:rFonts w:hint="eastAsia" w:ascii="宋体" w:hAnsi="宋体" w:eastAsia="宋体" w:cs="仿宋"/>
                <w:color w:val="000000" w:themeColor="text1"/>
                <w:sz w:val="24"/>
                <w:highlight w:val="none"/>
                <w:lang w:eastAsia="zh-CN"/>
                <w14:textFill>
                  <w14:solidFill>
                    <w14:schemeClr w14:val="tx1"/>
                  </w14:solidFill>
                </w14:textFill>
              </w:rPr>
            </w:pPr>
            <w:r>
              <w:rPr>
                <w:rFonts w:hint="eastAsia" w:ascii="宋体" w:hAnsi="宋体" w:cs="仿宋"/>
                <w:color w:val="000000" w:themeColor="text1"/>
                <w:sz w:val="24"/>
                <w:highlight w:val="none"/>
                <w:lang w:eastAsia="zh-CN"/>
                <w14:textFill>
                  <w14:solidFill>
                    <w14:schemeClr w14:val="tx1"/>
                  </w14:solidFill>
                </w14:textFill>
              </w:rPr>
              <w:t>投标范围</w:t>
            </w:r>
          </w:p>
        </w:tc>
        <w:tc>
          <w:tcPr>
            <w:tcW w:w="2436" w:type="dxa"/>
            <w:tcBorders>
              <w:top w:val="single" w:color="auto" w:sz="4" w:space="0"/>
              <w:left w:val="single" w:color="auto" w:sz="4" w:space="0"/>
              <w:bottom w:val="single" w:color="auto" w:sz="4" w:space="0"/>
              <w:right w:val="single" w:color="auto" w:sz="4" w:space="0"/>
            </w:tcBorders>
            <w:vAlign w:val="center"/>
          </w:tcPr>
          <w:p w14:paraId="23750E4B">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428F091F">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2C68E3A4">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C243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B835DC58">
            <w:pPr>
              <w:snapToGrid w:val="0"/>
              <w:spacing w:after="200" w:line="360" w:lineRule="auto"/>
              <w:rPr>
                <w:rFonts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pacing w:val="11"/>
                <w:sz w:val="24"/>
                <w:highlight w:val="none"/>
                <w14:textFill>
                  <w14:solidFill>
                    <w14:schemeClr w14:val="tx1"/>
                  </w14:solidFill>
                </w14:textFill>
              </w:rPr>
              <w:t>其他要求</w:t>
            </w:r>
          </w:p>
        </w:tc>
        <w:tc>
          <w:tcPr>
            <w:tcW w:w="2436" w:type="dxa"/>
            <w:tcBorders>
              <w:top w:val="single" w:color="auto" w:sz="4" w:space="0"/>
              <w:left w:val="single" w:color="auto" w:sz="4" w:space="0"/>
              <w:bottom w:val="single" w:color="auto" w:sz="4" w:space="0"/>
              <w:right w:val="single" w:color="auto" w:sz="4" w:space="0"/>
            </w:tcBorders>
            <w:vAlign w:val="center"/>
          </w:tcPr>
          <w:p w14:paraId="CC842861">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C366F9A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0F0CAAC0">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7AD53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DB57F2B">
            <w:pPr>
              <w:adjustRightInd w:val="0"/>
              <w:snapToGrid w:val="0"/>
              <w:spacing w:after="160" w:line="360" w:lineRule="auto"/>
              <w:rPr>
                <w:rFonts w:ascii="宋体" w:hAnsi="宋体" w:cs="仿宋"/>
                <w:color w:val="000000" w:themeColor="text1"/>
                <w:sz w:val="24"/>
                <w:highlight w:val="none"/>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14:paraId="BAD79B0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34A7F0EC">
            <w:pPr>
              <w:snapToGrid w:val="0"/>
              <w:spacing w:before="120" w:beforeLines="50" w:after="200" w:line="360" w:lineRule="auto"/>
              <w:ind w:left="43"/>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9F16A8ED">
            <w:pPr>
              <w:snapToGrid w:val="0"/>
              <w:spacing w:before="120" w:beforeLines="50" w:after="200" w:line="360" w:lineRule="auto"/>
              <w:ind w:left="43"/>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9F746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C68DCB6E">
            <w:pPr>
              <w:snapToGrid w:val="0"/>
              <w:spacing w:after="200" w:line="360" w:lineRule="auto"/>
              <w:rPr>
                <w:rFonts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w:t>
            </w:r>
          </w:p>
        </w:tc>
        <w:tc>
          <w:tcPr>
            <w:tcW w:w="2436" w:type="dxa"/>
            <w:tcBorders>
              <w:top w:val="single" w:color="auto" w:sz="4" w:space="0"/>
              <w:left w:val="single" w:color="auto" w:sz="4" w:space="0"/>
              <w:bottom w:val="single" w:color="auto" w:sz="4" w:space="0"/>
              <w:right w:val="single" w:color="auto" w:sz="4" w:space="0"/>
            </w:tcBorders>
            <w:vAlign w:val="center"/>
          </w:tcPr>
          <w:p w14:paraId="6DC0F450">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808D953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C72F419C">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r w14:paraId="3A268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vAlign w:val="center"/>
          </w:tcPr>
          <w:p w14:paraId="A54E91C7">
            <w:pPr>
              <w:snapToGrid w:val="0"/>
              <w:spacing w:after="200" w:line="360" w:lineRule="auto"/>
              <w:rPr>
                <w:rFonts w:ascii="宋体" w:hAnsi="宋体" w:cs="宋体"/>
                <w:color w:val="000000" w:themeColor="text1"/>
                <w:sz w:val="24"/>
                <w:highlight w:val="none"/>
                <w:lang w:bidi="en-US"/>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vAlign w:val="center"/>
          </w:tcPr>
          <w:p w14:paraId="8EF3FE1D">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1817" w:type="dxa"/>
            <w:tcBorders>
              <w:top w:val="single" w:color="auto" w:sz="4" w:space="0"/>
              <w:left w:val="single" w:color="auto" w:sz="4" w:space="0"/>
              <w:bottom w:val="single" w:color="auto" w:sz="4" w:space="0"/>
              <w:right w:val="single" w:color="auto" w:sz="4" w:space="0"/>
            </w:tcBorders>
            <w:vAlign w:val="center"/>
          </w:tcPr>
          <w:p w14:paraId="9C2D77F1">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14:paraId="FCAC8F0C">
            <w:pPr>
              <w:snapToGrid w:val="0"/>
              <w:spacing w:before="120" w:beforeLines="50" w:after="200" w:line="360" w:lineRule="auto"/>
              <w:jc w:val="center"/>
              <w:rPr>
                <w:rFonts w:ascii="仿宋_GB2312" w:hAnsi="宋体" w:eastAsia="仿宋_GB2312" w:cs="宋体"/>
                <w:color w:val="000000" w:themeColor="text1"/>
                <w:sz w:val="24"/>
                <w:highlight w:val="none"/>
                <w:lang w:bidi="en-US"/>
                <w14:textFill>
                  <w14:solidFill>
                    <w14:schemeClr w14:val="tx1"/>
                  </w14:solidFill>
                </w14:textFill>
              </w:rPr>
            </w:pPr>
          </w:p>
        </w:tc>
      </w:tr>
    </w:tbl>
    <w:p w14:paraId="A80A1D5A">
      <w:pPr>
        <w:spacing w:after="200" w:line="360" w:lineRule="auto"/>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注：1、按照基本要求详细填列。</w:t>
      </w:r>
    </w:p>
    <w:p w14:paraId="7E31FDE1">
      <w:pPr>
        <w:spacing w:after="200" w:line="360" w:lineRule="auto"/>
        <w:ind w:firstLine="480" w:firstLineChars="200"/>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2、行数不够，可自行添加。</w:t>
      </w:r>
    </w:p>
    <w:p w14:paraId="5C6BA957">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6D379ED0">
      <w:pPr>
        <w:snapToGrid w:val="0"/>
        <w:spacing w:line="360" w:lineRule="auto"/>
        <w:ind w:left="539" w:firstLine="2152" w:firstLineChars="897"/>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（盖单位章）</w:t>
      </w:r>
    </w:p>
    <w:p w14:paraId="961A1FD5">
      <w:pPr>
        <w:widowControl/>
        <w:wordWrap w:val="0"/>
        <w:snapToGrid w:val="0"/>
        <w:spacing w:line="360" w:lineRule="auto"/>
        <w:ind w:firstLine="2160" w:firstLineChars="900"/>
        <w:jc w:val="left"/>
        <w:rPr>
          <w:rFonts w:hint="eastAsia" w:ascii="宋体" w:hAnsi="宋体" w:cs="宋体"/>
          <w:color w:val="000000" w:themeColor="text1"/>
          <w:kern w:val="0"/>
          <w:sz w:val="24"/>
          <w:highlight w:val="none"/>
          <w:u w:val="singl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法定代表人或授权委托人（签字或盖章）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D08B0E77">
      <w:pPr>
        <w:snapToGrid w:val="0"/>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日</w:t>
      </w:r>
    </w:p>
    <w:p w14:paraId="DE5DE921">
      <w:pPr>
        <w:spacing w:line="360" w:lineRule="auto"/>
        <w:rPr>
          <w:rFonts w:hint="eastAsia" w:ascii="宋体" w:hAnsi="宋体" w:cs="宋体"/>
          <w:b/>
          <w:bCs/>
          <w:color w:val="000000" w:themeColor="text1"/>
          <w:sz w:val="36"/>
          <w:szCs w:val="36"/>
          <w:highlight w:val="none"/>
          <w14:textFill>
            <w14:solidFill>
              <w14:schemeClr w14:val="tx1"/>
            </w14:solidFill>
          </w14:textFill>
        </w:rPr>
      </w:pPr>
    </w:p>
    <w:p w14:paraId="3EBC58AD">
      <w:pPr>
        <w:pStyle w:val="34"/>
        <w:spacing w:line="360" w:lineRule="auto"/>
        <w:ind w:firstLine="361"/>
        <w:rPr>
          <w:rFonts w:hint="eastAsia" w:ascii="宋体" w:hAnsi="宋体" w:cs="宋体"/>
          <w:b/>
          <w:bCs/>
          <w:color w:val="000000" w:themeColor="text1"/>
          <w:sz w:val="36"/>
          <w:szCs w:val="36"/>
          <w:highlight w:val="none"/>
          <w14:textFill>
            <w14:solidFill>
              <w14:schemeClr w14:val="tx1"/>
            </w14:solidFill>
          </w14:textFill>
        </w:rPr>
      </w:pPr>
    </w:p>
    <w:p w14:paraId="C3EAEFD1">
      <w:pPr>
        <w:pStyle w:val="11"/>
        <w:spacing w:line="360" w:lineRule="auto"/>
        <w:rPr>
          <w:rFonts w:hint="eastAsia" w:hAnsi="宋体"/>
          <w:b/>
          <w:color w:val="000000" w:themeColor="text1"/>
          <w:kern w:val="0"/>
          <w:sz w:val="24"/>
          <w:highlight w:val="none"/>
          <w14:textFill>
            <w14:solidFill>
              <w14:schemeClr w14:val="tx1"/>
            </w14:solidFill>
          </w14:textFill>
        </w:rPr>
      </w:pPr>
    </w:p>
    <w:p w14:paraId="0808BB7A">
      <w:pPr>
        <w:pStyle w:val="35"/>
        <w:spacing w:line="360" w:lineRule="auto"/>
        <w:ind w:left="0" w:leftChars="0" w:firstLine="0" w:firstLineChars="0"/>
        <w:rPr>
          <w:rFonts w:hint="eastAsia" w:ascii="宋体" w:hAnsi="宋体" w:cs="宋体"/>
          <w:b/>
          <w:bCs/>
          <w:color w:val="000000" w:themeColor="text1"/>
          <w:sz w:val="36"/>
          <w:szCs w:val="36"/>
          <w:highlight w:val="none"/>
          <w14:textFill>
            <w14:solidFill>
              <w14:schemeClr w14:val="tx1"/>
            </w14:solidFill>
          </w14:textFill>
        </w:rPr>
      </w:pPr>
    </w:p>
    <w:p w14:paraId="D6BC70B5">
      <w:pPr>
        <w:spacing w:line="360" w:lineRule="auto"/>
        <w:jc w:val="center"/>
        <w:rPr>
          <w:rFonts w:ascii="宋体" w:hAnsi="宋体"/>
          <w:b/>
          <w:color w:val="000000" w:themeColor="text1"/>
          <w:sz w:val="36"/>
          <w:szCs w:val="36"/>
          <w:highlight w:val="none"/>
          <w:lang w:bidi="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7</w:t>
      </w:r>
      <w:r>
        <w:rPr>
          <w:rFonts w:ascii="宋体" w:cs="宋体"/>
          <w:b/>
          <w:bCs/>
          <w:color w:val="000000" w:themeColor="text1"/>
          <w:sz w:val="36"/>
          <w:szCs w:val="36"/>
          <w:highlight w:val="none"/>
          <w14:textFill>
            <w14:solidFill>
              <w14:schemeClr w14:val="tx1"/>
            </w14:solidFill>
          </w14:textFill>
        </w:rPr>
        <w:t>.</w:t>
      </w:r>
      <w:r>
        <w:rPr>
          <w:rFonts w:hint="eastAsia" w:ascii="宋体" w:hAnsi="宋体"/>
          <w:b/>
          <w:color w:val="000000" w:themeColor="text1"/>
          <w:sz w:val="36"/>
          <w:szCs w:val="36"/>
          <w:highlight w:val="none"/>
          <w:lang w:bidi="en-US"/>
          <w14:textFill>
            <w14:solidFill>
              <w14:schemeClr w14:val="tx1"/>
            </w14:solidFill>
          </w14:textFill>
        </w:rPr>
        <w:t>投标人的资格证明文件</w:t>
      </w:r>
    </w:p>
    <w:p w14:paraId="C6A5C9E6">
      <w:pPr>
        <w:spacing w:after="200" w:line="360" w:lineRule="auto"/>
        <w:rPr>
          <w:rFonts w:hint="eastAsia" w:ascii="宋体" w:hAnsi="宋体" w:cs="宋体"/>
          <w:b/>
          <w:color w:val="000000" w:themeColor="text1"/>
          <w:sz w:val="24"/>
          <w:highlight w:val="none"/>
          <w:lang w:bidi="en-US"/>
          <w14:textFill>
            <w14:solidFill>
              <w14:schemeClr w14:val="tx1"/>
            </w14:solidFill>
          </w14:textFill>
        </w:rPr>
      </w:pPr>
      <w:r>
        <w:rPr>
          <w:rFonts w:hint="eastAsia" w:ascii="宋体" w:hAnsi="宋体" w:cs="宋体"/>
          <w:b/>
          <w:color w:val="000000" w:themeColor="text1"/>
          <w:sz w:val="24"/>
          <w:highlight w:val="none"/>
          <w:lang w:val="en-US" w:eastAsia="zh-CN" w:bidi="en-US"/>
          <w14:textFill>
            <w14:solidFill>
              <w14:schemeClr w14:val="tx1"/>
            </w14:solidFill>
          </w14:textFill>
        </w:rPr>
        <w:t>7</w:t>
      </w:r>
      <w:r>
        <w:rPr>
          <w:rFonts w:hint="eastAsia" w:ascii="宋体" w:hAnsi="宋体" w:cs="宋体"/>
          <w:b/>
          <w:color w:val="000000" w:themeColor="text1"/>
          <w:sz w:val="24"/>
          <w:highlight w:val="none"/>
          <w:lang w:bidi="en-US"/>
          <w14:textFill>
            <w14:solidFill>
              <w14:schemeClr w14:val="tx1"/>
            </w14:solidFill>
          </w14:textFill>
        </w:rPr>
        <w:t>.1 投标人基本情况表</w:t>
      </w:r>
    </w:p>
    <w:tbl>
      <w:tblPr>
        <w:tblStyle w:val="19"/>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026"/>
        <w:gridCol w:w="1524"/>
        <w:gridCol w:w="541"/>
        <w:gridCol w:w="996"/>
        <w:gridCol w:w="1550"/>
      </w:tblGrid>
      <w:tr w14:paraId="1B64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32" w:type="dxa"/>
            <w:vAlign w:val="center"/>
          </w:tcPr>
          <w:p w14:paraId="5CD0FD49">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企业名称</w:t>
            </w:r>
          </w:p>
        </w:tc>
        <w:tc>
          <w:tcPr>
            <w:tcW w:w="7637" w:type="dxa"/>
            <w:gridSpan w:val="5"/>
            <w:vAlign w:val="center"/>
          </w:tcPr>
          <w:p w14:paraId="48F3DB17">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DF28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532" w:type="dxa"/>
            <w:vAlign w:val="center"/>
          </w:tcPr>
          <w:p w14:paraId="E575CE5D">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地址</w:t>
            </w:r>
          </w:p>
        </w:tc>
        <w:tc>
          <w:tcPr>
            <w:tcW w:w="7637" w:type="dxa"/>
            <w:gridSpan w:val="5"/>
            <w:vAlign w:val="center"/>
          </w:tcPr>
          <w:p w14:paraId="62B4DE40">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A5B1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32" w:type="dxa"/>
            <w:vAlign w:val="center"/>
          </w:tcPr>
          <w:p w14:paraId="6E7C136B">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经营范围</w:t>
            </w:r>
          </w:p>
        </w:tc>
        <w:tc>
          <w:tcPr>
            <w:tcW w:w="4550" w:type="dxa"/>
            <w:gridSpan w:val="2"/>
            <w:vAlign w:val="center"/>
          </w:tcPr>
          <w:p w14:paraId="7F36C8AE">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c>
          <w:tcPr>
            <w:tcW w:w="1537" w:type="dxa"/>
            <w:gridSpan w:val="2"/>
            <w:vAlign w:val="center"/>
          </w:tcPr>
          <w:p w14:paraId="12ED620D">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法定代表人</w:t>
            </w:r>
          </w:p>
        </w:tc>
        <w:tc>
          <w:tcPr>
            <w:tcW w:w="1550" w:type="dxa"/>
          </w:tcPr>
          <w:p w14:paraId="A4DC6159">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9A5B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532" w:type="dxa"/>
            <w:vAlign w:val="center"/>
          </w:tcPr>
          <w:p w14:paraId="3D78F617">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营业执照号</w:t>
            </w:r>
          </w:p>
        </w:tc>
        <w:tc>
          <w:tcPr>
            <w:tcW w:w="3026" w:type="dxa"/>
          </w:tcPr>
          <w:p w14:paraId="70A14052">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c>
          <w:tcPr>
            <w:tcW w:w="1524" w:type="dxa"/>
          </w:tcPr>
          <w:p w14:paraId="0FF16682">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注册时间</w:t>
            </w:r>
          </w:p>
        </w:tc>
        <w:tc>
          <w:tcPr>
            <w:tcW w:w="3087" w:type="dxa"/>
            <w:gridSpan w:val="3"/>
          </w:tcPr>
          <w:p w14:paraId="BECCD98F">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D2E6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1532" w:type="dxa"/>
            <w:vAlign w:val="center"/>
          </w:tcPr>
          <w:p w14:paraId="D8443EF1">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联系人</w:t>
            </w:r>
          </w:p>
        </w:tc>
        <w:tc>
          <w:tcPr>
            <w:tcW w:w="3026" w:type="dxa"/>
          </w:tcPr>
          <w:p w14:paraId="6370D868">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c>
          <w:tcPr>
            <w:tcW w:w="1524" w:type="dxa"/>
          </w:tcPr>
          <w:p w14:paraId="34A4E596">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联系电话</w:t>
            </w:r>
          </w:p>
        </w:tc>
        <w:tc>
          <w:tcPr>
            <w:tcW w:w="3087" w:type="dxa"/>
            <w:gridSpan w:val="3"/>
          </w:tcPr>
          <w:p w14:paraId="937C770B">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6B7D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trPr>
        <w:tc>
          <w:tcPr>
            <w:tcW w:w="4558" w:type="dxa"/>
            <w:gridSpan w:val="2"/>
            <w:vAlign w:val="center"/>
          </w:tcPr>
          <w:p w14:paraId="3465AEDA">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近三年内有经营活动中有无重大违法纪录</w:t>
            </w:r>
          </w:p>
        </w:tc>
        <w:tc>
          <w:tcPr>
            <w:tcW w:w="4611" w:type="dxa"/>
            <w:gridSpan w:val="4"/>
            <w:vAlign w:val="center"/>
          </w:tcPr>
          <w:p w14:paraId="84BBB238">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r w14:paraId="B3F9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1532" w:type="dxa"/>
            <w:vAlign w:val="center"/>
          </w:tcPr>
          <w:p w14:paraId="6DA05809">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是否依法缴纳税收</w:t>
            </w:r>
          </w:p>
        </w:tc>
        <w:tc>
          <w:tcPr>
            <w:tcW w:w="3026" w:type="dxa"/>
          </w:tcPr>
          <w:p w14:paraId="40A55CCF">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c>
          <w:tcPr>
            <w:tcW w:w="2065" w:type="dxa"/>
            <w:gridSpan w:val="2"/>
          </w:tcPr>
          <w:p w14:paraId="5B8E107C">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r>
              <w:rPr>
                <w:rFonts w:hint="eastAsia" w:ascii="宋体" w:hAnsi="宋体" w:cs="宋体"/>
                <w:bCs/>
                <w:color w:val="000000" w:themeColor="text1"/>
                <w:sz w:val="24"/>
                <w:highlight w:val="none"/>
                <w:lang w:bidi="en-US"/>
                <w14:textFill>
                  <w14:solidFill>
                    <w14:schemeClr w14:val="tx1"/>
                  </w14:solidFill>
                </w14:textFill>
              </w:rPr>
              <w:t>是否依法缴纳社会保障资金</w:t>
            </w:r>
          </w:p>
        </w:tc>
        <w:tc>
          <w:tcPr>
            <w:tcW w:w="2546" w:type="dxa"/>
            <w:gridSpan w:val="2"/>
          </w:tcPr>
          <w:p w14:paraId="B9836751">
            <w:pPr>
              <w:spacing w:after="200" w:line="360" w:lineRule="auto"/>
              <w:rPr>
                <w:rFonts w:hint="eastAsia" w:ascii="宋体" w:hAnsi="宋体" w:cs="宋体"/>
                <w:bCs/>
                <w:color w:val="000000" w:themeColor="text1"/>
                <w:sz w:val="24"/>
                <w:highlight w:val="none"/>
                <w:lang w:bidi="en-US"/>
                <w14:textFill>
                  <w14:solidFill>
                    <w14:schemeClr w14:val="tx1"/>
                  </w14:solidFill>
                </w14:textFill>
              </w:rPr>
            </w:pPr>
          </w:p>
        </w:tc>
      </w:tr>
    </w:tbl>
    <w:p w14:paraId="86B7C56E">
      <w:pPr>
        <w:pStyle w:val="11"/>
        <w:spacing w:line="360" w:lineRule="auto"/>
        <w:rPr>
          <w:rFonts w:hint="eastAsia"/>
          <w:color w:val="000000" w:themeColor="text1"/>
          <w:highlight w:val="none"/>
          <w14:textFill>
            <w14:solidFill>
              <w14:schemeClr w14:val="tx1"/>
            </w14:solidFill>
          </w14:textFill>
        </w:rPr>
      </w:pPr>
    </w:p>
    <w:p w14:paraId="A1C8DEB0">
      <w:pPr>
        <w:widowControl/>
        <w:spacing w:after="200" w:line="360" w:lineRule="auto"/>
        <w:ind w:firstLine="480" w:firstLineChars="200"/>
        <w:jc w:val="left"/>
        <w:rPr>
          <w:rFonts w:hint="eastAsia" w:ascii="宋体" w:hAnsi="宋体" w:cs="宋体"/>
          <w:color w:val="000000" w:themeColor="text1"/>
          <w:kern w:val="0"/>
          <w:sz w:val="24"/>
          <w:highlight w:val="none"/>
          <w:lang w:bidi="en-US"/>
          <w14:textFill>
            <w14:solidFill>
              <w14:schemeClr w14:val="tx1"/>
            </w14:solidFill>
          </w14:textFill>
        </w:rPr>
      </w:pPr>
      <w:r>
        <w:rPr>
          <w:rFonts w:hint="eastAsia" w:ascii="宋体" w:hAnsi="宋体" w:cs="宋体"/>
          <w:color w:val="000000" w:themeColor="text1"/>
          <w:kern w:val="0"/>
          <w:sz w:val="24"/>
          <w:highlight w:val="none"/>
          <w:lang w:bidi="en-US"/>
          <w14:textFill>
            <w14:solidFill>
              <w14:schemeClr w14:val="tx1"/>
            </w14:solidFill>
          </w14:textFill>
        </w:rPr>
        <w:t>我们保证上述声明中的资料和数据是真实的、正确的。</w:t>
      </w:r>
    </w:p>
    <w:p w14:paraId="4379B5FE">
      <w:pPr>
        <w:pStyle w:val="11"/>
        <w:spacing w:line="360" w:lineRule="auto"/>
        <w:rPr>
          <w:rFonts w:hint="eastAsia" w:hAnsi="宋体"/>
          <w:b/>
          <w:color w:val="000000" w:themeColor="text1"/>
          <w:kern w:val="0"/>
          <w:sz w:val="24"/>
          <w:highlight w:val="none"/>
          <w14:textFill>
            <w14:solidFill>
              <w14:schemeClr w14:val="tx1"/>
            </w14:solidFill>
          </w14:textFill>
        </w:rPr>
      </w:pPr>
    </w:p>
    <w:p w14:paraId="7538B161">
      <w:pPr>
        <w:pStyle w:val="11"/>
        <w:spacing w:line="360" w:lineRule="auto"/>
        <w:rPr>
          <w:rFonts w:hint="eastAsia" w:hAnsi="宋体"/>
          <w:b/>
          <w:color w:val="000000" w:themeColor="text1"/>
          <w:kern w:val="0"/>
          <w:sz w:val="24"/>
          <w:highlight w:val="none"/>
          <w14:textFill>
            <w14:solidFill>
              <w14:schemeClr w14:val="tx1"/>
            </w14:solidFill>
          </w14:textFill>
        </w:rPr>
      </w:pPr>
    </w:p>
    <w:p w14:paraId="44B58369">
      <w:pPr>
        <w:pStyle w:val="11"/>
        <w:spacing w:line="360" w:lineRule="auto"/>
        <w:rPr>
          <w:rFonts w:hint="eastAsia" w:hAnsi="宋体"/>
          <w:b/>
          <w:color w:val="000000" w:themeColor="text1"/>
          <w:kern w:val="0"/>
          <w:sz w:val="24"/>
          <w:highlight w:val="none"/>
          <w14:textFill>
            <w14:solidFill>
              <w14:schemeClr w14:val="tx1"/>
            </w14:solidFill>
          </w14:textFill>
        </w:rPr>
      </w:pPr>
    </w:p>
    <w:p w14:paraId="09AF28D2">
      <w:pPr>
        <w:pStyle w:val="11"/>
        <w:spacing w:line="360" w:lineRule="auto"/>
        <w:rPr>
          <w:rFonts w:hint="eastAsia" w:hAnsi="宋体"/>
          <w:b/>
          <w:color w:val="000000" w:themeColor="text1"/>
          <w:kern w:val="0"/>
          <w:sz w:val="24"/>
          <w:highlight w:val="none"/>
          <w14:textFill>
            <w14:solidFill>
              <w14:schemeClr w14:val="tx1"/>
            </w14:solidFill>
          </w14:textFill>
        </w:rPr>
      </w:pPr>
    </w:p>
    <w:p w14:paraId="49B6CAEE">
      <w:pPr>
        <w:pStyle w:val="11"/>
        <w:spacing w:line="360" w:lineRule="auto"/>
        <w:rPr>
          <w:rFonts w:hint="eastAsia" w:hAnsi="宋体"/>
          <w:b/>
          <w:color w:val="000000" w:themeColor="text1"/>
          <w:kern w:val="0"/>
          <w:sz w:val="24"/>
          <w:highlight w:val="none"/>
          <w14:textFill>
            <w14:solidFill>
              <w14:schemeClr w14:val="tx1"/>
            </w14:solidFill>
          </w14:textFill>
        </w:rPr>
      </w:pPr>
    </w:p>
    <w:p w14:paraId="00336237">
      <w:pPr>
        <w:pStyle w:val="11"/>
        <w:spacing w:line="360" w:lineRule="auto"/>
        <w:rPr>
          <w:rFonts w:hint="eastAsia" w:hAnsi="宋体"/>
          <w:b/>
          <w:color w:val="000000" w:themeColor="text1"/>
          <w:kern w:val="0"/>
          <w:sz w:val="24"/>
          <w:highlight w:val="none"/>
          <w14:textFill>
            <w14:solidFill>
              <w14:schemeClr w14:val="tx1"/>
            </w14:solidFill>
          </w14:textFill>
        </w:rPr>
      </w:pPr>
    </w:p>
    <w:p w14:paraId="68C5712A">
      <w:pPr>
        <w:pStyle w:val="11"/>
        <w:spacing w:line="360" w:lineRule="auto"/>
        <w:rPr>
          <w:rFonts w:hint="eastAsia" w:hAnsi="宋体"/>
          <w:b/>
          <w:color w:val="000000" w:themeColor="text1"/>
          <w:kern w:val="0"/>
          <w:sz w:val="24"/>
          <w:highlight w:val="none"/>
          <w14:textFill>
            <w14:solidFill>
              <w14:schemeClr w14:val="tx1"/>
            </w14:solidFill>
          </w14:textFill>
        </w:rPr>
      </w:pPr>
    </w:p>
    <w:p w14:paraId="24B23CC7">
      <w:pPr>
        <w:spacing w:line="360" w:lineRule="auto"/>
        <w:rPr>
          <w:rFonts w:hint="eastAsia" w:ascii="宋体" w:hAnsi="宋体" w:cs="宋体"/>
          <w:b/>
          <w:color w:val="000000" w:themeColor="text1"/>
          <w:sz w:val="24"/>
          <w:highlight w:val="none"/>
          <w:lang w:bidi="en-US"/>
          <w14:textFill>
            <w14:solidFill>
              <w14:schemeClr w14:val="tx1"/>
            </w14:solidFill>
          </w14:textFill>
        </w:rPr>
      </w:pPr>
      <w:r>
        <w:rPr>
          <w:rFonts w:hint="eastAsia" w:ascii="宋体" w:hAnsi="宋体" w:cs="宋体"/>
          <w:b/>
          <w:color w:val="000000" w:themeColor="text1"/>
          <w:sz w:val="24"/>
          <w:highlight w:val="none"/>
          <w:lang w:val="en-US" w:eastAsia="zh-CN" w:bidi="en-US"/>
          <w14:textFill>
            <w14:solidFill>
              <w14:schemeClr w14:val="tx1"/>
            </w14:solidFill>
          </w14:textFill>
        </w:rPr>
        <w:t>7</w:t>
      </w:r>
      <w:r>
        <w:rPr>
          <w:rFonts w:hint="eastAsia" w:ascii="宋体" w:hAnsi="宋体" w:cs="宋体"/>
          <w:b/>
          <w:color w:val="000000" w:themeColor="text1"/>
          <w:sz w:val="24"/>
          <w:highlight w:val="none"/>
          <w:lang w:bidi="en-US"/>
          <w14:textFill>
            <w14:solidFill>
              <w14:schemeClr w14:val="tx1"/>
            </w14:solidFill>
          </w14:textFill>
        </w:rPr>
        <w:t>.2投标人的资格证明资料</w:t>
      </w:r>
    </w:p>
    <w:p w14:paraId="6040B1C8">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满足《中华人民共和国政府采购法》第二十二条规定（提供承诺函）；</w:t>
      </w:r>
    </w:p>
    <w:p w14:paraId="1F5571C3">
      <w:pPr>
        <w:pStyle w:val="17"/>
        <w:keepNext w:val="0"/>
        <w:keepLines w:val="0"/>
        <w:widowControl/>
        <w:suppressLineNumbers w:val="0"/>
        <w:spacing w:before="150" w:beforeAutospacing="0" w:line="360" w:lineRule="auto"/>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承    诺</w:t>
      </w:r>
    </w:p>
    <w:p w14:paraId="47750698">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我单位</w:t>
      </w:r>
      <w:r>
        <w:rPr>
          <w:rFonts w:hint="eastAsia" w:ascii="宋体" w:hAnsi="宋体" w:eastAsia="宋体" w:cs="Times New Roman"/>
          <w:color w:val="000000" w:themeColor="text1"/>
          <w:sz w:val="24"/>
          <w:szCs w:val="24"/>
          <w:highlight w:val="none"/>
          <w:lang w:eastAsia="zh-CN"/>
          <w14:textFill>
            <w14:solidFill>
              <w14:schemeClr w14:val="tx1"/>
            </w14:solidFill>
          </w14:textFill>
        </w:rPr>
        <w:t>满足《中华人民共和国政府采购法》第二十二条规定：</w:t>
      </w:r>
    </w:p>
    <w:p w14:paraId="4598A03D">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 xml:space="preserve">（一）具有独立承担民事责任的能力； </w:t>
      </w:r>
    </w:p>
    <w:p w14:paraId="1AFE2753">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（二）具有良好的商业信誉和健全的财务会计制度；</w:t>
      </w:r>
    </w:p>
    <w:p w14:paraId="50FBA247">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（三）具有履行合同所必需的设备和专业技术能力；</w:t>
      </w:r>
    </w:p>
    <w:p w14:paraId="3E971061">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（四）有依法缴纳税收和社会保障资金的良好记录；</w:t>
      </w:r>
    </w:p>
    <w:p w14:paraId="229D0913">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（五）参加政府采购活动前三年内，在经营活动中没有重大违法记录；</w:t>
      </w:r>
    </w:p>
    <w:p w14:paraId="572009DF">
      <w:pPr>
        <w:pStyle w:val="17"/>
        <w:keepNext w:val="0"/>
        <w:keepLines w:val="0"/>
        <w:widowControl/>
        <w:suppressLineNumbers w:val="0"/>
        <w:spacing w:before="150" w:beforeAutospacing="0"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（六）法律、行政法规规定的其他条件。</w:t>
      </w:r>
    </w:p>
    <w:p w14:paraId="37A1DAF5">
      <w:pPr>
        <w:pStyle w:val="17"/>
        <w:keepNext w:val="0"/>
        <w:keepLines w:val="0"/>
        <w:widowControl/>
        <w:suppressLineNumbers w:val="0"/>
        <w:spacing w:before="150" w:beforeAutospacing="0" w:line="360" w:lineRule="auto"/>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特此承诺！</w:t>
      </w:r>
    </w:p>
    <w:p w14:paraId="28E47F94">
      <w:pPr>
        <w:spacing w:line="360" w:lineRule="auto"/>
        <w:ind w:left="840" w:right="240"/>
        <w:jc w:val="right"/>
        <w:rPr>
          <w:rFonts w:ascii="宋体" w:hAnsi="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投标</w:t>
      </w:r>
      <w:r>
        <w:rPr>
          <w:rFonts w:hint="eastAsia" w:cs="宋体"/>
          <w:color w:val="000000" w:themeColor="text1"/>
          <w:sz w:val="24"/>
          <w:highlight w:val="none"/>
          <w:lang w:eastAsia="zh-CN"/>
          <w14:textFill>
            <w14:solidFill>
              <w14:schemeClr w14:val="tx1"/>
            </w14:solidFill>
          </w14:textFill>
        </w:rPr>
        <w:t>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lang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（盖单位章）</w:t>
      </w:r>
    </w:p>
    <w:p w14:paraId="6539C99B">
      <w:pPr>
        <w:spacing w:line="360" w:lineRule="auto"/>
        <w:ind w:left="840" w:right="240"/>
        <w:jc w:val="righ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 xml:space="preserve">      年       月     日</w:t>
      </w:r>
    </w:p>
    <w:p w14:paraId="2D361624">
      <w:pPr>
        <w:pStyle w:val="2"/>
        <w:widowControl/>
        <w:numPr>
          <w:ilvl w:val="0"/>
          <w:numId w:val="0"/>
        </w:numPr>
        <w:spacing w:before="100" w:beforeLines="0" w:beforeAutospacing="1" w:after="100" w:afterLines="0" w:afterAutospacing="1"/>
        <w:jc w:val="left"/>
        <w:rPr>
          <w:color w:val="000000" w:themeColor="text1"/>
          <w14:textFill>
            <w14:solidFill>
              <w14:schemeClr w14:val="tx1"/>
            </w14:solidFill>
          </w14:textFill>
        </w:rPr>
      </w:pPr>
    </w:p>
    <w:p w14:paraId="118917ED">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、本项目的特定资格要求</w:t>
      </w:r>
    </w:p>
    <w:p w14:paraId="2BC6D6E6">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.1响应人</w:t>
      </w:r>
      <w:r>
        <w:rPr>
          <w:rFonts w:hint="eastAsia" w:ascii="宋体" w:hAnsi="宋体" w:eastAsia="宋体" w:cs="Times New Roman"/>
          <w:color w:val="000000" w:themeColor="text1"/>
          <w:sz w:val="24"/>
          <w:szCs w:val="24"/>
          <w14:textFill>
            <w14:solidFill>
              <w14:schemeClr w14:val="tx1"/>
            </w14:solidFill>
          </w14:textFill>
        </w:rPr>
        <w:t>具有合法有效律师事务所执业许可证</w:t>
      </w:r>
      <w:r>
        <w:rPr>
          <w:rFonts w:hint="eastAsia" w:ascii="宋体" w:hAnsi="宋体" w:cs="Times New Roman"/>
          <w:color w:val="000000" w:themeColor="text1"/>
          <w:sz w:val="24"/>
          <w:szCs w:val="24"/>
          <w:lang w:val="en-US" w:eastAsia="zh-CN"/>
          <w14:textFill>
            <w14:solidFill>
              <w14:schemeClr w14:val="tx1"/>
            </w14:solidFill>
          </w14:textFill>
        </w:rPr>
        <w:t>且执业律师不少于15名，同时执业年限超过5年的执业律师不少于12名</w:t>
      </w:r>
      <w:r>
        <w:rPr>
          <w:rFonts w:hint="eastAsia" w:ascii="宋体" w:hAnsi="宋体" w:eastAsia="宋体" w:cs="Times New Roman"/>
          <w:color w:val="000000" w:themeColor="text1"/>
          <w:sz w:val="24"/>
          <w:szCs w:val="24"/>
          <w14:textFill>
            <w14:solidFill>
              <w14:schemeClr w14:val="tx1"/>
            </w14:solidFill>
          </w14:textFill>
        </w:rPr>
        <w:t>；</w:t>
      </w:r>
    </w:p>
    <w:p w14:paraId="7CD45B20">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.2响应人</w:t>
      </w:r>
      <w:r>
        <w:rPr>
          <w:rFonts w:hint="eastAsia" w:ascii="宋体" w:hAnsi="宋体" w:eastAsia="宋体" w:cs="Times New Roman"/>
          <w:color w:val="000000" w:themeColor="text1"/>
          <w:sz w:val="24"/>
          <w:szCs w:val="24"/>
          <w14:textFill>
            <w14:solidFill>
              <w14:schemeClr w14:val="tx1"/>
            </w14:solidFill>
          </w14:textFill>
        </w:rPr>
        <w:t>拟派本项目负责人（主办律师）政治素质高，拥护党的理论和路线方针政策；具有律师执业证书且执业经历不低于</w:t>
      </w:r>
      <w:r>
        <w:rPr>
          <w:rFonts w:hint="eastAsia" w:ascii="宋体" w:hAnsi="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0年（以律师执业证书上执业证号显示的年份为起算标准）；</w:t>
      </w:r>
    </w:p>
    <w:p w14:paraId="1AB222EA">
      <w:pPr>
        <w:widowControl/>
        <w:spacing w:line="360" w:lineRule="auto"/>
        <w:ind w:firstLine="480" w:firstLineChars="200"/>
        <w:jc w:val="lef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.3响应人近五年（20</w:t>
      </w:r>
      <w:r>
        <w:rPr>
          <w:rFonts w:hint="eastAsia" w:ascii="宋体" w:hAnsi="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年1月1日以来）内未受过司法行政机关的行政处罚及律师协会的行业处分（书面承诺格式自拟）；</w:t>
      </w:r>
    </w:p>
    <w:p w14:paraId="56A38DA1">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2.4</w:t>
      </w:r>
      <w:r>
        <w:rPr>
          <w:rFonts w:hint="eastAsia" w:ascii="宋体" w:hAnsi="宋体" w:cs="宋体"/>
          <w:bCs/>
          <w:color w:val="000000" w:themeColor="text1"/>
          <w:kern w:val="0"/>
          <w:sz w:val="24"/>
          <w:szCs w:val="20"/>
          <w:highlight w:val="none"/>
          <w14:textFill>
            <w14:solidFill>
              <w14:schemeClr w14:val="tx1"/>
            </w14:solidFill>
          </w14:textFill>
        </w:rPr>
        <w:t>、提供本单位无商业贿赂和无不正当竞争行为承诺书；</w:t>
      </w:r>
    </w:p>
    <w:p w14:paraId="0DA7FDC4">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2.5</w:t>
      </w:r>
      <w:r>
        <w:rPr>
          <w:rFonts w:hint="eastAsia" w:ascii="宋体" w:hAnsi="宋体" w:cs="宋体"/>
          <w:bCs/>
          <w:color w:val="000000" w:themeColor="text1"/>
          <w:kern w:val="0"/>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供应商没有被列入“中国执行信息公开网”的“失信被执行人”、“信用中国”的“重大税收违法失信主体”及“中国政府采购网站”的“政府采购严重违法失信行为记录名单”的供应商。【查询渠道：“中国执行信息公开网”（http://zxgk.court.gov.cn/）“信用中国”网站（www.creditchina.gov.cn）、“中国政府采购网”（www.ccgp.gov.cn）】（提供网站的查询信息截图，截图要显示查询时间，查询时间自公告发布之日起至</w:t>
      </w:r>
      <w:r>
        <w:rPr>
          <w:rFonts w:hint="eastAsia" w:ascii="宋体" w:hAnsi="宋体"/>
          <w:color w:val="000000" w:themeColor="text1"/>
          <w:sz w:val="24"/>
          <w:highlight w:val="none"/>
          <w:lang w:eastAsia="zh-CN"/>
          <w14:textFill>
            <w14:solidFill>
              <w14:schemeClr w14:val="tx1"/>
            </w14:solidFill>
          </w14:textFill>
        </w:rPr>
        <w:t>投标截止时间</w:t>
      </w:r>
      <w:r>
        <w:rPr>
          <w:rFonts w:hint="eastAsia" w:ascii="宋体" w:hAnsi="宋体"/>
          <w:color w:val="000000" w:themeColor="text1"/>
          <w:sz w:val="24"/>
          <w:highlight w:val="none"/>
          <w14:textFill>
            <w14:solidFill>
              <w14:schemeClr w14:val="tx1"/>
            </w14:solidFill>
          </w14:textFill>
        </w:rPr>
        <w:t>止）</w:t>
      </w:r>
      <w:r>
        <w:rPr>
          <w:rFonts w:hint="eastAsia" w:ascii="宋体" w:hAnsi="宋体" w:cs="宋体"/>
          <w:bCs/>
          <w:color w:val="000000" w:themeColor="text1"/>
          <w:kern w:val="0"/>
          <w:sz w:val="24"/>
          <w:szCs w:val="20"/>
          <w:highlight w:val="none"/>
          <w14:textFill>
            <w14:solidFill>
              <w14:schemeClr w14:val="tx1"/>
            </w14:solidFill>
          </w14:textFill>
        </w:rPr>
        <w:t>；</w:t>
      </w:r>
    </w:p>
    <w:p w14:paraId="22A3FA3A">
      <w:pPr>
        <w:widowControl/>
        <w:spacing w:line="360" w:lineRule="auto"/>
        <w:ind w:firstLine="480" w:firstLineChars="200"/>
        <w:jc w:val="left"/>
        <w:rPr>
          <w:rFonts w:hint="eastAsia" w:ascii="宋体" w:hAnsi="宋体" w:cs="宋体"/>
          <w:bCs/>
          <w:color w:val="000000" w:themeColor="text1"/>
          <w:kern w:val="0"/>
          <w:sz w:val="24"/>
          <w:szCs w:val="20"/>
          <w:highlight w:val="none"/>
          <w14:textFill>
            <w14:solidFill>
              <w14:schemeClr w14:val="tx1"/>
            </w14:solidFill>
          </w14:textFill>
        </w:rPr>
      </w:pPr>
      <w:r>
        <w:rPr>
          <w:rFonts w:hint="eastAsia" w:ascii="宋体" w:hAnsi="宋体" w:cs="宋体"/>
          <w:bCs/>
          <w:color w:val="000000" w:themeColor="text1"/>
          <w:kern w:val="0"/>
          <w:sz w:val="24"/>
          <w:szCs w:val="20"/>
          <w:highlight w:val="none"/>
          <w:lang w:val="en-US" w:eastAsia="zh-CN"/>
          <w14:textFill>
            <w14:solidFill>
              <w14:schemeClr w14:val="tx1"/>
            </w14:solidFill>
          </w14:textFill>
        </w:rPr>
        <w:t>2.6</w:t>
      </w:r>
      <w:r>
        <w:rPr>
          <w:rFonts w:hint="eastAsia" w:ascii="宋体" w:hAnsi="宋体" w:cs="宋体"/>
          <w:bCs/>
          <w:color w:val="000000" w:themeColor="text1"/>
          <w:kern w:val="0"/>
          <w:sz w:val="24"/>
          <w:szCs w:val="20"/>
          <w:highlight w:val="none"/>
          <w14:textFill>
            <w14:solidFill>
              <w14:schemeClr w14:val="tx1"/>
            </w14:solidFill>
          </w14:textFill>
        </w:rPr>
        <w:t>、单位负责人为同一人或者存在直接控股、管理关系的不同投标人，不得参加同一合同项下的采购活动；（提供《国家企业信用信息公示系统》查询企业股东等信息或声明函）；</w:t>
      </w:r>
    </w:p>
    <w:p w14:paraId="60B80CDE">
      <w:pPr>
        <w:spacing w:after="200" w:line="360" w:lineRule="auto"/>
        <w:rPr>
          <w:rFonts w:hint="eastAsia" w:ascii="宋体" w:hAnsi="宋体" w:cs="宋体"/>
          <w:b/>
          <w:color w:val="000000" w:themeColor="text1"/>
          <w:sz w:val="24"/>
          <w:highlight w:val="none"/>
          <w:lang w:bidi="en-US"/>
          <w14:textFill>
            <w14:solidFill>
              <w14:schemeClr w14:val="tx1"/>
            </w14:solidFill>
          </w14:textFill>
        </w:rPr>
      </w:pPr>
    </w:p>
    <w:p w14:paraId="06DB4116">
      <w:pPr>
        <w:pStyle w:val="11"/>
        <w:spacing w:line="360" w:lineRule="auto"/>
        <w:rPr>
          <w:rFonts w:hint="eastAsia" w:hAnsi="宋体"/>
          <w:color w:val="000000" w:themeColor="text1"/>
          <w:sz w:val="24"/>
          <w:highlight w:val="none"/>
          <w:lang w:val="en-US" w:eastAsia="zh-CN"/>
          <w14:textFill>
            <w14:solidFill>
              <w14:schemeClr w14:val="tx1"/>
            </w14:solidFill>
          </w14:textFill>
        </w:rPr>
      </w:pPr>
      <w:r>
        <w:rPr>
          <w:rFonts w:hint="eastAsia" w:hAnsi="宋体"/>
          <w:b/>
          <w:bCs/>
          <w:color w:val="000000" w:themeColor="text1"/>
          <w:sz w:val="24"/>
          <w:highlight w:val="none"/>
          <w:lang w:val="en-US" w:eastAsia="zh-CN"/>
          <w14:textFill>
            <w14:solidFill>
              <w14:schemeClr w14:val="tx1"/>
            </w14:solidFill>
          </w14:textFill>
        </w:rPr>
        <w:t>声明函格式：</w:t>
      </w:r>
    </w:p>
    <w:p w14:paraId="03AEDBC3">
      <w:pPr>
        <w:snapToGrid w:val="0"/>
        <w:spacing w:line="360" w:lineRule="auto"/>
        <w:jc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声明函</w:t>
      </w:r>
    </w:p>
    <w:p w14:paraId="0E2B8655">
      <w:pPr>
        <w:snapToGrid w:val="0"/>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p>
    <w:p w14:paraId="6FDB7AC7">
      <w:pPr>
        <w:snapToGrid w:val="0"/>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 xml:space="preserve">致: </w:t>
      </w:r>
      <w:r>
        <w:rPr>
          <w:rFonts w:hint="eastAsia" w:ascii="宋体" w:hAnsi="宋体" w:eastAsia="宋体" w:cs="宋体"/>
          <w:bCs/>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bCs/>
          <w:color w:val="000000" w:themeColor="text1"/>
          <w:sz w:val="24"/>
          <w:highlight w:val="none"/>
          <w:lang w:eastAsia="zh-CN"/>
          <w14:textFill>
            <w14:solidFill>
              <w14:schemeClr w14:val="tx1"/>
            </w14:solidFill>
          </w14:textFill>
        </w:rPr>
        <w:t>（采购人）</w:t>
      </w:r>
    </w:p>
    <w:p w14:paraId="37F2BBEE">
      <w:pPr>
        <w:snapToGrid w:val="0"/>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p>
    <w:p w14:paraId="40E5073B">
      <w:pPr>
        <w:spacing w:line="360" w:lineRule="auto"/>
        <w:ind w:firstLine="480" w:firstLineChars="200"/>
        <w:rPr>
          <w:rFonts w:hint="default" w:ascii="宋体" w:hAnsi="宋体" w:eastAsia="宋体" w:cs="宋体"/>
          <w:bCs/>
          <w:color w:val="000000" w:themeColor="text1"/>
          <w:sz w:val="24"/>
          <w:highlight w:val="none"/>
          <w:u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eastAsia="zh-CN" w:bidi="ar"/>
          <w14:textFill>
            <w14:solidFill>
              <w14:schemeClr w14:val="tx1"/>
            </w14:solidFill>
          </w14:textFill>
        </w:rPr>
        <w:t>我</w:t>
      </w:r>
      <w:r>
        <w:rPr>
          <w:rFonts w:hint="eastAsia" w:ascii="宋体" w:hAnsi="宋体" w:cs="宋体"/>
          <w:bCs/>
          <w:color w:val="000000" w:themeColor="text1"/>
          <w:sz w:val="24"/>
          <w:highlight w:val="none"/>
          <w:lang w:val="en-US" w:eastAsia="zh-CN" w:bidi="ar"/>
          <w14:textFill>
            <w14:solidFill>
              <w14:schemeClr w14:val="tx1"/>
            </w14:solidFill>
          </w14:textFill>
        </w:rPr>
        <w:t>单位</w:t>
      </w:r>
      <w:r>
        <w:rPr>
          <w:rFonts w:hint="eastAsia" w:ascii="宋体" w:hAnsi="宋体" w:eastAsia="宋体" w:cs="宋体"/>
          <w:bCs/>
          <w:color w:val="000000" w:themeColor="text1"/>
          <w:sz w:val="24"/>
          <w:highlight w:val="none"/>
          <w:lang w:eastAsia="zh-CN" w:bidi="ar"/>
          <w14:textFill>
            <w14:solidFill>
              <w14:schemeClr w14:val="tx1"/>
            </w14:solidFill>
          </w14:textFill>
        </w:rPr>
        <w:t>郑重承诺不存在单位负责人为同一人或者存在直接控股、管理关系的不同投标人</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lang w:val="en-US" w:eastAsia="zh-CN" w:bidi="ar"/>
          <w14:textFill>
            <w14:solidFill>
              <w14:schemeClr w14:val="tx1"/>
            </w14:solidFill>
          </w14:textFill>
        </w:rPr>
        <w:t>参加</w:t>
      </w:r>
      <w:r>
        <w:rPr>
          <w:rFonts w:hint="eastAsia" w:ascii="宋体" w:hAnsi="宋体"/>
          <w:color w:val="000000" w:themeColor="text1"/>
          <w:sz w:val="24"/>
          <w:highlight w:val="none"/>
          <w14:textFill>
            <w14:solidFill>
              <w14:schemeClr w14:val="tx1"/>
            </w14:solidFill>
          </w14:textFill>
        </w:rPr>
        <w:t>同一合同项下的采购活动</w:t>
      </w:r>
      <w:r>
        <w:rPr>
          <w:rFonts w:hint="eastAsia" w:ascii="宋体" w:hAnsi="宋体" w:eastAsia="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lang w:val="en-US" w:eastAsia="zh-CN" w:bidi="ar"/>
          <w14:textFill>
            <w14:solidFill>
              <w14:schemeClr w14:val="tx1"/>
            </w14:solidFill>
          </w14:textFill>
        </w:rPr>
        <w:t>附股东信息</w:t>
      </w:r>
      <w:r>
        <w:rPr>
          <w:rFonts w:hint="eastAsia" w:ascii="宋体" w:hAnsi="宋体" w:cs="宋体"/>
          <w:bCs/>
          <w:color w:val="000000" w:themeColor="text1"/>
          <w:sz w:val="24"/>
          <w:highlight w:val="none"/>
          <w:lang w:eastAsia="zh-CN" w:bidi="ar"/>
          <w14:textFill>
            <w14:solidFill>
              <w14:schemeClr w14:val="tx1"/>
            </w14:solidFill>
          </w14:textFill>
        </w:rPr>
        <w:t>）</w:t>
      </w:r>
    </w:p>
    <w:p w14:paraId="0841A6FB">
      <w:pPr>
        <w:snapToGrid w:val="0"/>
        <w:spacing w:line="360" w:lineRule="auto"/>
        <w:ind w:firstLine="6000" w:firstLineChars="25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特此声明！</w:t>
      </w:r>
    </w:p>
    <w:p w14:paraId="07022A8F">
      <w:pPr>
        <w:snapToGrid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2F85683D">
      <w:pPr>
        <w:spacing w:after="200" w:line="360" w:lineRule="auto"/>
        <w:ind w:right="120"/>
        <w:jc w:val="right"/>
        <w:rPr>
          <w:rFonts w:hint="eastAsia" w:ascii="宋体" w:hAnsi="宋体" w:cs="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投标人：（盖单位章）</w:t>
      </w:r>
    </w:p>
    <w:p w14:paraId="7CC1E497">
      <w:pPr>
        <w:spacing w:after="200" w:line="360" w:lineRule="auto"/>
        <w:ind w:right="720"/>
        <w:jc w:val="right"/>
        <w:rPr>
          <w:rFonts w:hint="eastAsia" w:ascii="宋体" w:hAnsi="宋体" w:cs="仿宋"/>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bidi="en-US"/>
          <w14:textFill>
            <w14:solidFill>
              <w14:schemeClr w14:val="tx1"/>
            </w14:solidFill>
          </w14:textFill>
        </w:rPr>
        <w:t>年</w:t>
      </w:r>
      <w:r>
        <w:rPr>
          <w:rFonts w:hint="eastAsia" w:ascii="宋体" w:hAnsi="宋体" w:cs="宋体"/>
          <w:color w:val="000000" w:themeColor="text1"/>
          <w:sz w:val="24"/>
          <w:highlight w:val="none"/>
          <w:lang w:val="en-US" w:eastAsia="zh-CN" w:bidi="en-US"/>
          <w14:textFill>
            <w14:solidFill>
              <w14:schemeClr w14:val="tx1"/>
            </w14:solidFill>
          </w14:textFill>
        </w:rPr>
        <w:t xml:space="preserve">  </w:t>
      </w:r>
      <w:r>
        <w:rPr>
          <w:rFonts w:hint="eastAsia" w:ascii="宋体" w:hAnsi="宋体" w:cs="宋体"/>
          <w:color w:val="000000" w:themeColor="text1"/>
          <w:sz w:val="24"/>
          <w:highlight w:val="none"/>
          <w:lang w:bidi="en-US"/>
          <w14:textFill>
            <w14:solidFill>
              <w14:schemeClr w14:val="tx1"/>
            </w14:solidFill>
          </w14:textFill>
        </w:rPr>
        <w:t>月</w:t>
      </w:r>
      <w:r>
        <w:rPr>
          <w:rFonts w:hint="eastAsia" w:ascii="宋体" w:hAnsi="宋体" w:cs="宋体"/>
          <w:color w:val="000000" w:themeColor="text1"/>
          <w:sz w:val="24"/>
          <w:highlight w:val="none"/>
          <w:lang w:val="en-US" w:eastAsia="zh-CN" w:bidi="en-US"/>
          <w14:textFill>
            <w14:solidFill>
              <w14:schemeClr w14:val="tx1"/>
            </w14:solidFill>
          </w14:textFill>
        </w:rPr>
        <w:t xml:space="preserve">  </w:t>
      </w:r>
      <w:r>
        <w:rPr>
          <w:rFonts w:hint="eastAsia" w:ascii="宋体" w:hAnsi="宋体" w:cs="宋体"/>
          <w:color w:val="000000" w:themeColor="text1"/>
          <w:sz w:val="24"/>
          <w:highlight w:val="none"/>
          <w:lang w:bidi="en-US"/>
          <w14:textFill>
            <w14:solidFill>
              <w14:schemeClr w14:val="tx1"/>
            </w14:solidFill>
          </w14:textFill>
        </w:rPr>
        <w:t>日</w:t>
      </w:r>
    </w:p>
    <w:p w14:paraId="7617352C">
      <w:pPr>
        <w:pStyle w:val="11"/>
        <w:spacing w:line="360" w:lineRule="auto"/>
        <w:rPr>
          <w:rFonts w:hint="eastAsia" w:hAnsi="宋体"/>
          <w:b/>
          <w:color w:val="000000" w:themeColor="text1"/>
          <w:kern w:val="0"/>
          <w:sz w:val="24"/>
          <w:highlight w:val="none"/>
          <w14:textFill>
            <w14:solidFill>
              <w14:schemeClr w14:val="tx1"/>
            </w14:solidFill>
          </w14:textFill>
        </w:rPr>
      </w:pPr>
    </w:p>
    <w:p w14:paraId="ED0B1116">
      <w:pPr>
        <w:pStyle w:val="11"/>
        <w:spacing w:line="360" w:lineRule="auto"/>
        <w:rPr>
          <w:rFonts w:hint="eastAsia" w:hAnsi="宋体"/>
          <w:b/>
          <w:color w:val="000000" w:themeColor="text1"/>
          <w:kern w:val="0"/>
          <w:sz w:val="24"/>
          <w:highlight w:val="none"/>
          <w14:textFill>
            <w14:solidFill>
              <w14:schemeClr w14:val="tx1"/>
            </w14:solidFill>
          </w14:textFill>
        </w:rPr>
      </w:pPr>
    </w:p>
    <w:p w14:paraId="07DEA159">
      <w:pPr>
        <w:spacing w:line="360" w:lineRule="auto"/>
        <w:ind w:right="360"/>
        <w:jc w:val="both"/>
        <w:rPr>
          <w:rFonts w:hint="eastAsia" w:ascii="宋体" w:hAnsi="宋体" w:cs="仿宋"/>
          <w:b/>
          <w:color w:val="000000" w:themeColor="text1"/>
          <w:kern w:val="0"/>
          <w:sz w:val="24"/>
          <w:highlight w:val="none"/>
          <w14:textFill>
            <w14:solidFill>
              <w14:schemeClr w14:val="tx1"/>
            </w14:solidFill>
          </w14:textFill>
        </w:rPr>
      </w:pPr>
      <w:bookmarkStart w:id="7" w:name="_Toc107385188"/>
    </w:p>
    <w:p w14:paraId="5A220AC4">
      <w:pPr>
        <w:pStyle w:val="2"/>
        <w:rPr>
          <w:rFonts w:hint="eastAsia" w:ascii="宋体" w:hAnsi="宋体" w:cs="仿宋"/>
          <w:b/>
          <w:color w:val="000000" w:themeColor="text1"/>
          <w:kern w:val="0"/>
          <w:sz w:val="24"/>
          <w:highlight w:val="none"/>
          <w14:textFill>
            <w14:solidFill>
              <w14:schemeClr w14:val="tx1"/>
            </w14:solidFill>
          </w14:textFill>
        </w:rPr>
      </w:pPr>
    </w:p>
    <w:p w14:paraId="0509F559">
      <w:pPr>
        <w:rPr>
          <w:rFonts w:hint="eastAsia" w:ascii="宋体" w:hAnsi="宋体" w:cs="仿宋"/>
          <w:b/>
          <w:color w:val="000000" w:themeColor="text1"/>
          <w:kern w:val="0"/>
          <w:sz w:val="24"/>
          <w:highlight w:val="none"/>
          <w14:textFill>
            <w14:solidFill>
              <w14:schemeClr w14:val="tx1"/>
            </w14:solidFill>
          </w14:textFill>
        </w:rPr>
      </w:pPr>
    </w:p>
    <w:p w14:paraId="68A5D739">
      <w:pPr>
        <w:pStyle w:val="2"/>
        <w:rPr>
          <w:rFonts w:hint="eastAsia"/>
          <w:color w:val="000000" w:themeColor="text1"/>
          <w14:textFill>
            <w14:solidFill>
              <w14:schemeClr w14:val="tx1"/>
            </w14:solidFill>
          </w14:textFill>
        </w:rPr>
      </w:pPr>
    </w:p>
    <w:bookmarkEnd w:id="7"/>
    <w:p w14:paraId="144000BD">
      <w:pPr>
        <w:snapToGrid w:val="0"/>
        <w:spacing w:line="360" w:lineRule="auto"/>
        <w:jc w:val="center"/>
        <w:rPr>
          <w:rFonts w:hint="eastAsia" w:ascii="宋体" w:hAnsi="宋体" w:cs="宋体"/>
          <w:b/>
          <w:bCs/>
          <w:color w:val="000000" w:themeColor="text1"/>
          <w:sz w:val="36"/>
          <w:szCs w:val="36"/>
          <w:highlight w:val="none"/>
          <w:lang w:val="en-US" w:eastAsia="zh-CN"/>
          <w14:textFill>
            <w14:solidFill>
              <w14:schemeClr w14:val="tx1"/>
            </w14:solidFill>
          </w14:textFill>
        </w:rPr>
      </w:pPr>
    </w:p>
    <w:p w14:paraId="8888459E">
      <w:pPr>
        <w:snapToGrid w:val="0"/>
        <w:spacing w:line="360" w:lineRule="auto"/>
        <w:jc w:val="center"/>
        <w:rPr>
          <w:rFonts w:hint="eastAsia" w:ascii="宋体" w:eastAsia="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8</w:t>
      </w:r>
      <w:r>
        <w:rPr>
          <w:rFonts w:ascii="宋体" w:cs="宋体"/>
          <w:b/>
          <w:bCs/>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eastAsia="zh-CN"/>
          <w14:textFill>
            <w14:solidFill>
              <w14:schemeClr w14:val="tx1"/>
            </w14:solidFill>
          </w14:textFill>
        </w:rPr>
        <w:t>技术部分</w:t>
      </w:r>
    </w:p>
    <w:p w14:paraId="52CE286D">
      <w:pPr>
        <w:widowControl/>
        <w:tabs>
          <w:tab w:val="left" w:pos="312"/>
        </w:tabs>
        <w:snapToGrid w:val="0"/>
        <w:spacing w:line="360" w:lineRule="auto"/>
        <w:jc w:val="left"/>
        <w:rPr>
          <w:rFonts w:hint="eastAsia" w:ascii="宋体" w:hAnsi="宋体" w:cs="宋体"/>
          <w:color w:val="000000" w:themeColor="text1"/>
          <w:sz w:val="24"/>
          <w:highlight w:val="none"/>
          <w14:textFill>
            <w14:solidFill>
              <w14:schemeClr w14:val="tx1"/>
            </w14:solidFill>
          </w14:textFill>
        </w:rPr>
      </w:pPr>
    </w:p>
    <w:p w14:paraId="904AAF8D">
      <w:pPr>
        <w:snapToGrid w:val="0"/>
        <w:spacing w:line="360" w:lineRule="auto"/>
        <w:jc w:val="right"/>
        <w:rPr>
          <w:rFonts w:ascii="宋体"/>
          <w:b/>
          <w:bCs/>
          <w:color w:val="000000" w:themeColor="text1"/>
          <w:sz w:val="24"/>
          <w:highlight w:val="none"/>
          <w14:textFill>
            <w14:solidFill>
              <w14:schemeClr w14:val="tx1"/>
            </w14:solidFill>
          </w14:textFill>
        </w:rPr>
      </w:pPr>
    </w:p>
    <w:p w14:paraId="58484056">
      <w:pPr>
        <w:pStyle w:val="35"/>
        <w:spacing w:line="360" w:lineRule="auto"/>
        <w:ind w:firstLine="0" w:firstLineChars="0"/>
        <w:rPr>
          <w:color w:val="000000" w:themeColor="text1"/>
          <w:szCs w:val="24"/>
          <w:highlight w:val="none"/>
          <w14:textFill>
            <w14:solidFill>
              <w14:schemeClr w14:val="tx1"/>
            </w14:solidFill>
          </w14:textFill>
        </w:rPr>
      </w:pPr>
    </w:p>
    <w:p w14:paraId="CD0D3C9F">
      <w:pPr>
        <w:tabs>
          <w:tab w:val="left" w:pos="312"/>
        </w:tabs>
        <w:snapToGrid w:val="0"/>
        <w:spacing w:line="360" w:lineRule="auto"/>
        <w:jc w:val="center"/>
        <w:rPr>
          <w:rFonts w:hint="eastAsia" w:ascii="宋体" w:hAnsi="宋体" w:cs="宋体"/>
          <w:color w:val="000000" w:themeColor="text1"/>
          <w:highlight w:val="none"/>
          <w14:textFill>
            <w14:solidFill>
              <w14:schemeClr w14:val="tx1"/>
            </w14:solidFill>
          </w14:textFill>
        </w:rPr>
      </w:pPr>
    </w:p>
    <w:p w14:paraId="B021D7C8">
      <w:pPr>
        <w:pStyle w:val="11"/>
        <w:spacing w:line="360" w:lineRule="auto"/>
        <w:rPr>
          <w:rFonts w:hint="eastAsia" w:hAnsi="宋体"/>
          <w:b/>
          <w:color w:val="000000" w:themeColor="text1"/>
          <w:kern w:val="0"/>
          <w:sz w:val="24"/>
          <w:highlight w:val="none"/>
          <w14:textFill>
            <w14:solidFill>
              <w14:schemeClr w14:val="tx1"/>
            </w14:solidFill>
          </w14:textFill>
        </w:rPr>
      </w:pPr>
    </w:p>
    <w:p w14:paraId="38137FC7">
      <w:pPr>
        <w:pStyle w:val="11"/>
        <w:spacing w:line="360" w:lineRule="auto"/>
        <w:rPr>
          <w:rFonts w:hint="eastAsia" w:hAnsi="宋体"/>
          <w:b/>
          <w:color w:val="000000" w:themeColor="text1"/>
          <w:kern w:val="0"/>
          <w:sz w:val="24"/>
          <w:highlight w:val="none"/>
          <w14:textFill>
            <w14:solidFill>
              <w14:schemeClr w14:val="tx1"/>
            </w14:solidFill>
          </w14:textFill>
        </w:rPr>
      </w:pPr>
    </w:p>
    <w:p w14:paraId="903BAF48">
      <w:pPr>
        <w:pStyle w:val="11"/>
        <w:spacing w:line="360" w:lineRule="auto"/>
        <w:rPr>
          <w:rFonts w:hint="eastAsia" w:hAnsi="宋体"/>
          <w:b/>
          <w:color w:val="000000" w:themeColor="text1"/>
          <w:kern w:val="0"/>
          <w:sz w:val="24"/>
          <w:highlight w:val="none"/>
          <w14:textFill>
            <w14:solidFill>
              <w14:schemeClr w14:val="tx1"/>
            </w14:solidFill>
          </w14:textFill>
        </w:rPr>
      </w:pPr>
    </w:p>
    <w:p w14:paraId="A80831F4">
      <w:pPr>
        <w:pStyle w:val="11"/>
        <w:spacing w:line="360" w:lineRule="auto"/>
        <w:rPr>
          <w:rFonts w:hint="eastAsia" w:hAnsi="宋体"/>
          <w:b/>
          <w:color w:val="000000" w:themeColor="text1"/>
          <w:kern w:val="0"/>
          <w:sz w:val="24"/>
          <w:highlight w:val="none"/>
          <w14:textFill>
            <w14:solidFill>
              <w14:schemeClr w14:val="tx1"/>
            </w14:solidFill>
          </w14:textFill>
        </w:rPr>
      </w:pPr>
    </w:p>
    <w:p w14:paraId="CB5F87AE">
      <w:pPr>
        <w:pStyle w:val="11"/>
        <w:spacing w:line="360" w:lineRule="auto"/>
        <w:rPr>
          <w:rFonts w:hint="eastAsia" w:hAnsi="宋体"/>
          <w:b/>
          <w:color w:val="000000" w:themeColor="text1"/>
          <w:kern w:val="0"/>
          <w:sz w:val="24"/>
          <w:highlight w:val="none"/>
          <w14:textFill>
            <w14:solidFill>
              <w14:schemeClr w14:val="tx1"/>
            </w14:solidFill>
          </w14:textFill>
        </w:rPr>
      </w:pPr>
    </w:p>
    <w:p w14:paraId="FD065AE6">
      <w:pPr>
        <w:pStyle w:val="11"/>
        <w:spacing w:line="360" w:lineRule="auto"/>
        <w:rPr>
          <w:rFonts w:hint="eastAsia" w:hAnsi="宋体"/>
          <w:b/>
          <w:color w:val="000000" w:themeColor="text1"/>
          <w:kern w:val="0"/>
          <w:sz w:val="24"/>
          <w:highlight w:val="none"/>
          <w14:textFill>
            <w14:solidFill>
              <w14:schemeClr w14:val="tx1"/>
            </w14:solidFill>
          </w14:textFill>
        </w:rPr>
      </w:pPr>
    </w:p>
    <w:p w14:paraId="187B6E25">
      <w:pPr>
        <w:pStyle w:val="11"/>
        <w:spacing w:line="360" w:lineRule="auto"/>
        <w:rPr>
          <w:rFonts w:hint="eastAsia" w:hAnsi="宋体"/>
          <w:b/>
          <w:color w:val="000000" w:themeColor="text1"/>
          <w:kern w:val="0"/>
          <w:sz w:val="24"/>
          <w:highlight w:val="none"/>
          <w14:textFill>
            <w14:solidFill>
              <w14:schemeClr w14:val="tx1"/>
            </w14:solidFill>
          </w14:textFill>
        </w:rPr>
      </w:pPr>
    </w:p>
    <w:p w14:paraId="089A51B1">
      <w:pPr>
        <w:pStyle w:val="11"/>
        <w:spacing w:line="360" w:lineRule="auto"/>
        <w:rPr>
          <w:rFonts w:hint="eastAsia" w:hAnsi="宋体"/>
          <w:b/>
          <w:color w:val="000000" w:themeColor="text1"/>
          <w:kern w:val="0"/>
          <w:sz w:val="24"/>
          <w:highlight w:val="none"/>
          <w14:textFill>
            <w14:solidFill>
              <w14:schemeClr w14:val="tx1"/>
            </w14:solidFill>
          </w14:textFill>
        </w:rPr>
      </w:pPr>
    </w:p>
    <w:p w14:paraId="FA2C38E7">
      <w:pPr>
        <w:pStyle w:val="11"/>
        <w:spacing w:line="360" w:lineRule="auto"/>
        <w:rPr>
          <w:rFonts w:hint="eastAsia" w:hAnsi="宋体"/>
          <w:b/>
          <w:color w:val="000000" w:themeColor="text1"/>
          <w:kern w:val="0"/>
          <w:sz w:val="24"/>
          <w:highlight w:val="none"/>
          <w14:textFill>
            <w14:solidFill>
              <w14:schemeClr w14:val="tx1"/>
            </w14:solidFill>
          </w14:textFill>
        </w:rPr>
      </w:pPr>
    </w:p>
    <w:p w14:paraId="8C02E87D">
      <w:pPr>
        <w:pStyle w:val="11"/>
        <w:spacing w:line="360" w:lineRule="auto"/>
        <w:rPr>
          <w:rFonts w:hint="eastAsia" w:hAnsi="宋体"/>
          <w:b/>
          <w:color w:val="000000" w:themeColor="text1"/>
          <w:kern w:val="0"/>
          <w:sz w:val="24"/>
          <w:highlight w:val="none"/>
          <w14:textFill>
            <w14:solidFill>
              <w14:schemeClr w14:val="tx1"/>
            </w14:solidFill>
          </w14:textFill>
        </w:rPr>
      </w:pPr>
    </w:p>
    <w:p w14:paraId="522E1A82">
      <w:pPr>
        <w:pStyle w:val="11"/>
        <w:spacing w:line="360" w:lineRule="auto"/>
        <w:rPr>
          <w:rFonts w:hint="eastAsia" w:hAnsi="宋体"/>
          <w:b/>
          <w:color w:val="000000" w:themeColor="text1"/>
          <w:kern w:val="0"/>
          <w:sz w:val="24"/>
          <w:highlight w:val="none"/>
          <w14:textFill>
            <w14:solidFill>
              <w14:schemeClr w14:val="tx1"/>
            </w14:solidFill>
          </w14:textFill>
        </w:rPr>
      </w:pPr>
    </w:p>
    <w:p w14:paraId="810927F2">
      <w:pPr>
        <w:pStyle w:val="11"/>
        <w:spacing w:line="360" w:lineRule="auto"/>
        <w:rPr>
          <w:rFonts w:hint="eastAsia" w:hAnsi="宋体"/>
          <w:b/>
          <w:color w:val="000000" w:themeColor="text1"/>
          <w:kern w:val="0"/>
          <w:sz w:val="24"/>
          <w:highlight w:val="none"/>
          <w14:textFill>
            <w14:solidFill>
              <w14:schemeClr w14:val="tx1"/>
            </w14:solidFill>
          </w14:textFill>
        </w:rPr>
      </w:pPr>
    </w:p>
    <w:p w14:paraId="A83E4FA1">
      <w:pPr>
        <w:pStyle w:val="11"/>
        <w:spacing w:line="360" w:lineRule="auto"/>
        <w:rPr>
          <w:rFonts w:hint="eastAsia" w:hAnsi="宋体"/>
          <w:b/>
          <w:color w:val="000000" w:themeColor="text1"/>
          <w:kern w:val="0"/>
          <w:sz w:val="24"/>
          <w:highlight w:val="none"/>
          <w14:textFill>
            <w14:solidFill>
              <w14:schemeClr w14:val="tx1"/>
            </w14:solidFill>
          </w14:textFill>
        </w:rPr>
      </w:pPr>
    </w:p>
    <w:p w14:paraId="99F86065">
      <w:pPr>
        <w:pStyle w:val="11"/>
        <w:spacing w:line="360" w:lineRule="auto"/>
        <w:rPr>
          <w:rFonts w:hint="eastAsia" w:hAnsi="宋体"/>
          <w:b/>
          <w:color w:val="000000" w:themeColor="text1"/>
          <w:kern w:val="0"/>
          <w:sz w:val="24"/>
          <w:highlight w:val="none"/>
          <w14:textFill>
            <w14:solidFill>
              <w14:schemeClr w14:val="tx1"/>
            </w14:solidFill>
          </w14:textFill>
        </w:rPr>
      </w:pPr>
    </w:p>
    <w:p w14:paraId="293505C1">
      <w:pPr>
        <w:pStyle w:val="11"/>
        <w:spacing w:line="360" w:lineRule="auto"/>
        <w:rPr>
          <w:rFonts w:hint="eastAsia" w:hAnsi="宋体"/>
          <w:b/>
          <w:color w:val="000000" w:themeColor="text1"/>
          <w:kern w:val="0"/>
          <w:sz w:val="24"/>
          <w:highlight w:val="none"/>
          <w14:textFill>
            <w14:solidFill>
              <w14:schemeClr w14:val="tx1"/>
            </w14:solidFill>
          </w14:textFill>
        </w:rPr>
      </w:pPr>
    </w:p>
    <w:p w14:paraId="6DB2A067">
      <w:pPr>
        <w:pStyle w:val="11"/>
        <w:spacing w:line="360" w:lineRule="auto"/>
        <w:rPr>
          <w:rFonts w:hint="eastAsia" w:hAnsi="宋体"/>
          <w:b/>
          <w:color w:val="000000" w:themeColor="text1"/>
          <w:kern w:val="0"/>
          <w:sz w:val="24"/>
          <w:highlight w:val="none"/>
          <w14:textFill>
            <w14:solidFill>
              <w14:schemeClr w14:val="tx1"/>
            </w14:solidFill>
          </w14:textFill>
        </w:rPr>
      </w:pPr>
    </w:p>
    <w:p w14:paraId="71055F39">
      <w:pPr>
        <w:pStyle w:val="11"/>
        <w:spacing w:line="360" w:lineRule="auto"/>
        <w:rPr>
          <w:rFonts w:hint="eastAsia" w:hAnsi="宋体"/>
          <w:b/>
          <w:color w:val="000000" w:themeColor="text1"/>
          <w:kern w:val="0"/>
          <w:sz w:val="24"/>
          <w:highlight w:val="none"/>
          <w14:textFill>
            <w14:solidFill>
              <w14:schemeClr w14:val="tx1"/>
            </w14:solidFill>
          </w14:textFill>
        </w:rPr>
      </w:pPr>
    </w:p>
    <w:p w14:paraId="1795B131">
      <w:pPr>
        <w:pStyle w:val="11"/>
        <w:spacing w:line="360" w:lineRule="auto"/>
        <w:rPr>
          <w:rFonts w:hint="eastAsia" w:hAnsi="宋体"/>
          <w:b/>
          <w:color w:val="000000" w:themeColor="text1"/>
          <w:kern w:val="0"/>
          <w:sz w:val="24"/>
          <w:highlight w:val="none"/>
          <w14:textFill>
            <w14:solidFill>
              <w14:schemeClr w14:val="tx1"/>
            </w14:solidFill>
          </w14:textFill>
        </w:rPr>
      </w:pPr>
    </w:p>
    <w:p w14:paraId="0AA17A98">
      <w:pPr>
        <w:pStyle w:val="11"/>
        <w:spacing w:line="360" w:lineRule="auto"/>
        <w:rPr>
          <w:rFonts w:hint="eastAsia" w:hAnsi="宋体"/>
          <w:b/>
          <w:color w:val="000000" w:themeColor="text1"/>
          <w:kern w:val="0"/>
          <w:sz w:val="24"/>
          <w:highlight w:val="none"/>
          <w14:textFill>
            <w14:solidFill>
              <w14:schemeClr w14:val="tx1"/>
            </w14:solidFill>
          </w14:textFill>
        </w:rPr>
      </w:pPr>
    </w:p>
    <w:p w14:paraId="FEA902AD">
      <w:pPr>
        <w:pStyle w:val="11"/>
        <w:spacing w:line="360" w:lineRule="auto"/>
        <w:rPr>
          <w:rFonts w:hint="eastAsia" w:hAnsi="宋体"/>
          <w:b/>
          <w:color w:val="000000" w:themeColor="text1"/>
          <w:kern w:val="0"/>
          <w:sz w:val="24"/>
          <w:highlight w:val="none"/>
          <w14:textFill>
            <w14:solidFill>
              <w14:schemeClr w14:val="tx1"/>
            </w14:solidFill>
          </w14:textFill>
        </w:rPr>
      </w:pPr>
    </w:p>
    <w:p w14:paraId="C3175261">
      <w:pPr>
        <w:pStyle w:val="11"/>
        <w:spacing w:line="360" w:lineRule="auto"/>
        <w:rPr>
          <w:rFonts w:hint="eastAsia" w:hAnsi="宋体"/>
          <w:b/>
          <w:color w:val="000000" w:themeColor="text1"/>
          <w:kern w:val="0"/>
          <w:sz w:val="24"/>
          <w:highlight w:val="none"/>
          <w14:textFill>
            <w14:solidFill>
              <w14:schemeClr w14:val="tx1"/>
            </w14:solidFill>
          </w14:textFill>
        </w:rPr>
      </w:pPr>
    </w:p>
    <w:p w14:paraId="DB1C4FD2">
      <w:pPr>
        <w:pStyle w:val="11"/>
        <w:spacing w:line="360" w:lineRule="auto"/>
        <w:rPr>
          <w:rFonts w:hint="eastAsia" w:hAnsi="宋体"/>
          <w:b/>
          <w:color w:val="000000" w:themeColor="text1"/>
          <w:kern w:val="0"/>
          <w:sz w:val="24"/>
          <w:highlight w:val="none"/>
          <w14:textFill>
            <w14:solidFill>
              <w14:schemeClr w14:val="tx1"/>
            </w14:solidFill>
          </w14:textFill>
        </w:rPr>
      </w:pPr>
    </w:p>
    <w:p w14:paraId="DB697C0B">
      <w:pPr>
        <w:pStyle w:val="11"/>
        <w:spacing w:line="360" w:lineRule="auto"/>
        <w:rPr>
          <w:rFonts w:hint="eastAsia" w:hAnsi="宋体"/>
          <w:b/>
          <w:color w:val="000000" w:themeColor="text1"/>
          <w:kern w:val="0"/>
          <w:sz w:val="24"/>
          <w:highlight w:val="none"/>
          <w14:textFill>
            <w14:solidFill>
              <w14:schemeClr w14:val="tx1"/>
            </w14:solidFill>
          </w14:textFill>
        </w:rPr>
      </w:pPr>
    </w:p>
    <w:p w14:paraId="3F55EBAF">
      <w:pPr>
        <w:pStyle w:val="11"/>
        <w:spacing w:line="360" w:lineRule="auto"/>
        <w:rPr>
          <w:rFonts w:hint="eastAsia" w:hAnsi="宋体"/>
          <w:b/>
          <w:color w:val="000000" w:themeColor="text1"/>
          <w:kern w:val="0"/>
          <w:sz w:val="24"/>
          <w:highlight w:val="none"/>
          <w14:textFill>
            <w14:solidFill>
              <w14:schemeClr w14:val="tx1"/>
            </w14:solidFill>
          </w14:textFill>
        </w:rPr>
      </w:pPr>
    </w:p>
    <w:p w14:paraId="E4A5BBA6">
      <w:pPr>
        <w:tabs>
          <w:tab w:val="left" w:pos="312"/>
        </w:tabs>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9</w:t>
      </w:r>
      <w:r>
        <w:rPr>
          <w:rFonts w:hint="eastAsia" w:ascii="宋体" w:hAnsi="宋体" w:cs="宋体"/>
          <w:b/>
          <w:bCs/>
          <w:color w:val="000000" w:themeColor="text1"/>
          <w:sz w:val="36"/>
          <w:szCs w:val="36"/>
          <w:highlight w:val="none"/>
          <w14:textFill>
            <w14:solidFill>
              <w14:schemeClr w14:val="tx1"/>
            </w14:solidFill>
          </w14:textFill>
        </w:rPr>
        <w:t>.服务承诺</w:t>
      </w:r>
    </w:p>
    <w:p w14:paraId="EED8472E">
      <w:pPr>
        <w:widowControl/>
        <w:tabs>
          <w:tab w:val="left" w:pos="312"/>
        </w:tabs>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p>
    <w:p w14:paraId="334148E2">
      <w:pPr>
        <w:tabs>
          <w:tab w:val="left" w:pos="312"/>
        </w:tabs>
        <w:snapToGrid w:val="0"/>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29AD2478">
      <w:pPr>
        <w:tabs>
          <w:tab w:val="left" w:pos="312"/>
        </w:tabs>
        <w:snapToGrid w:val="0"/>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C2E81298">
      <w:pPr>
        <w:pStyle w:val="11"/>
        <w:spacing w:line="360" w:lineRule="auto"/>
        <w:rPr>
          <w:rFonts w:hint="eastAsia" w:hAnsi="宋体"/>
          <w:b/>
          <w:color w:val="000000" w:themeColor="text1"/>
          <w:kern w:val="0"/>
          <w:sz w:val="24"/>
          <w:highlight w:val="none"/>
          <w14:textFill>
            <w14:solidFill>
              <w14:schemeClr w14:val="tx1"/>
            </w14:solidFill>
          </w14:textFill>
        </w:rPr>
      </w:pPr>
    </w:p>
    <w:p w14:paraId="BC4E551A">
      <w:pPr>
        <w:pStyle w:val="11"/>
        <w:spacing w:line="360" w:lineRule="auto"/>
        <w:rPr>
          <w:rFonts w:hint="eastAsia" w:hAnsi="宋体"/>
          <w:b/>
          <w:color w:val="000000" w:themeColor="text1"/>
          <w:kern w:val="0"/>
          <w:sz w:val="24"/>
          <w:highlight w:val="none"/>
          <w14:textFill>
            <w14:solidFill>
              <w14:schemeClr w14:val="tx1"/>
            </w14:solidFill>
          </w14:textFill>
        </w:rPr>
      </w:pPr>
    </w:p>
    <w:p w14:paraId="4426765B">
      <w:pPr>
        <w:pStyle w:val="11"/>
        <w:spacing w:line="360" w:lineRule="auto"/>
        <w:rPr>
          <w:rFonts w:hint="eastAsia" w:hAnsi="宋体"/>
          <w:b/>
          <w:color w:val="000000" w:themeColor="text1"/>
          <w:kern w:val="0"/>
          <w:sz w:val="24"/>
          <w:highlight w:val="none"/>
          <w14:textFill>
            <w14:solidFill>
              <w14:schemeClr w14:val="tx1"/>
            </w14:solidFill>
          </w14:textFill>
        </w:rPr>
      </w:pPr>
    </w:p>
    <w:p w14:paraId="DDA8326C">
      <w:pPr>
        <w:pStyle w:val="11"/>
        <w:spacing w:line="360" w:lineRule="auto"/>
        <w:rPr>
          <w:rFonts w:hint="eastAsia" w:hAnsi="宋体"/>
          <w:b/>
          <w:color w:val="000000" w:themeColor="text1"/>
          <w:kern w:val="0"/>
          <w:sz w:val="24"/>
          <w:highlight w:val="none"/>
          <w14:textFill>
            <w14:solidFill>
              <w14:schemeClr w14:val="tx1"/>
            </w14:solidFill>
          </w14:textFill>
        </w:rPr>
      </w:pPr>
    </w:p>
    <w:p w14:paraId="7C4F82C3">
      <w:pPr>
        <w:pStyle w:val="11"/>
        <w:spacing w:line="360" w:lineRule="auto"/>
        <w:rPr>
          <w:rFonts w:hint="eastAsia" w:hAnsi="宋体"/>
          <w:b/>
          <w:color w:val="000000" w:themeColor="text1"/>
          <w:kern w:val="0"/>
          <w:sz w:val="24"/>
          <w:highlight w:val="none"/>
          <w14:textFill>
            <w14:solidFill>
              <w14:schemeClr w14:val="tx1"/>
            </w14:solidFill>
          </w14:textFill>
        </w:rPr>
      </w:pPr>
    </w:p>
    <w:p w14:paraId="90314AF6">
      <w:pPr>
        <w:pStyle w:val="11"/>
        <w:spacing w:line="360" w:lineRule="auto"/>
        <w:rPr>
          <w:rFonts w:hint="eastAsia" w:hAnsi="宋体"/>
          <w:b/>
          <w:color w:val="000000" w:themeColor="text1"/>
          <w:kern w:val="0"/>
          <w:sz w:val="24"/>
          <w:highlight w:val="none"/>
          <w14:textFill>
            <w14:solidFill>
              <w14:schemeClr w14:val="tx1"/>
            </w14:solidFill>
          </w14:textFill>
        </w:rPr>
      </w:pPr>
    </w:p>
    <w:p w14:paraId="6C9EC976">
      <w:pPr>
        <w:pStyle w:val="11"/>
        <w:spacing w:line="360" w:lineRule="auto"/>
        <w:rPr>
          <w:rFonts w:hint="eastAsia" w:hAnsi="宋体"/>
          <w:b/>
          <w:color w:val="000000" w:themeColor="text1"/>
          <w:kern w:val="0"/>
          <w:sz w:val="24"/>
          <w:highlight w:val="none"/>
          <w14:textFill>
            <w14:solidFill>
              <w14:schemeClr w14:val="tx1"/>
            </w14:solidFill>
          </w14:textFill>
        </w:rPr>
      </w:pPr>
    </w:p>
    <w:p w14:paraId="9CDCFA09">
      <w:pPr>
        <w:pStyle w:val="11"/>
        <w:spacing w:line="360" w:lineRule="auto"/>
        <w:rPr>
          <w:rFonts w:hint="eastAsia" w:hAnsi="宋体"/>
          <w:b/>
          <w:color w:val="000000" w:themeColor="text1"/>
          <w:kern w:val="0"/>
          <w:sz w:val="24"/>
          <w:highlight w:val="none"/>
          <w14:textFill>
            <w14:solidFill>
              <w14:schemeClr w14:val="tx1"/>
            </w14:solidFill>
          </w14:textFill>
        </w:rPr>
      </w:pPr>
    </w:p>
    <w:p w14:paraId="39EDD162">
      <w:pPr>
        <w:pStyle w:val="11"/>
        <w:spacing w:line="360" w:lineRule="auto"/>
        <w:rPr>
          <w:rFonts w:hint="eastAsia" w:hAnsi="宋体"/>
          <w:b/>
          <w:color w:val="000000" w:themeColor="text1"/>
          <w:kern w:val="0"/>
          <w:sz w:val="24"/>
          <w:highlight w:val="none"/>
          <w14:textFill>
            <w14:solidFill>
              <w14:schemeClr w14:val="tx1"/>
            </w14:solidFill>
          </w14:textFill>
        </w:rPr>
      </w:pPr>
    </w:p>
    <w:p w14:paraId="11F177E6">
      <w:pPr>
        <w:pStyle w:val="11"/>
        <w:spacing w:line="360" w:lineRule="auto"/>
        <w:rPr>
          <w:rFonts w:hint="eastAsia" w:hAnsi="宋体"/>
          <w:b/>
          <w:color w:val="000000" w:themeColor="text1"/>
          <w:kern w:val="0"/>
          <w:sz w:val="24"/>
          <w:highlight w:val="none"/>
          <w14:textFill>
            <w14:solidFill>
              <w14:schemeClr w14:val="tx1"/>
            </w14:solidFill>
          </w14:textFill>
        </w:rPr>
      </w:pPr>
    </w:p>
    <w:p w14:paraId="46D9792E">
      <w:pPr>
        <w:pStyle w:val="11"/>
        <w:spacing w:line="360" w:lineRule="auto"/>
        <w:rPr>
          <w:rFonts w:hint="eastAsia" w:hAnsi="宋体"/>
          <w:b/>
          <w:color w:val="000000" w:themeColor="text1"/>
          <w:kern w:val="0"/>
          <w:sz w:val="24"/>
          <w:highlight w:val="none"/>
          <w14:textFill>
            <w14:solidFill>
              <w14:schemeClr w14:val="tx1"/>
            </w14:solidFill>
          </w14:textFill>
        </w:rPr>
      </w:pPr>
    </w:p>
    <w:p w14:paraId="45D86D25">
      <w:pPr>
        <w:pStyle w:val="11"/>
        <w:spacing w:line="360" w:lineRule="auto"/>
        <w:rPr>
          <w:rFonts w:hint="eastAsia" w:hAnsi="宋体"/>
          <w:b/>
          <w:color w:val="000000" w:themeColor="text1"/>
          <w:kern w:val="0"/>
          <w:sz w:val="24"/>
          <w:highlight w:val="none"/>
          <w14:textFill>
            <w14:solidFill>
              <w14:schemeClr w14:val="tx1"/>
            </w14:solidFill>
          </w14:textFill>
        </w:rPr>
      </w:pPr>
    </w:p>
    <w:p w14:paraId="316CAC39">
      <w:pPr>
        <w:pStyle w:val="11"/>
        <w:spacing w:line="360" w:lineRule="auto"/>
        <w:rPr>
          <w:rFonts w:hint="eastAsia" w:hAnsi="宋体"/>
          <w:b/>
          <w:color w:val="000000" w:themeColor="text1"/>
          <w:kern w:val="0"/>
          <w:sz w:val="24"/>
          <w:highlight w:val="none"/>
          <w14:textFill>
            <w14:solidFill>
              <w14:schemeClr w14:val="tx1"/>
            </w14:solidFill>
          </w14:textFill>
        </w:rPr>
      </w:pPr>
    </w:p>
    <w:p w14:paraId="B6AC211C">
      <w:pPr>
        <w:pStyle w:val="11"/>
        <w:spacing w:line="360" w:lineRule="auto"/>
        <w:rPr>
          <w:rFonts w:hint="eastAsia" w:hAnsi="宋体"/>
          <w:b/>
          <w:color w:val="000000" w:themeColor="text1"/>
          <w:kern w:val="0"/>
          <w:sz w:val="24"/>
          <w:highlight w:val="none"/>
          <w14:textFill>
            <w14:solidFill>
              <w14:schemeClr w14:val="tx1"/>
            </w14:solidFill>
          </w14:textFill>
        </w:rPr>
      </w:pPr>
    </w:p>
    <w:p w14:paraId="D9B81F7F">
      <w:pPr>
        <w:pStyle w:val="11"/>
        <w:spacing w:line="360" w:lineRule="auto"/>
        <w:rPr>
          <w:rFonts w:hint="eastAsia" w:hAnsi="宋体"/>
          <w:b/>
          <w:color w:val="000000" w:themeColor="text1"/>
          <w:kern w:val="0"/>
          <w:sz w:val="24"/>
          <w:highlight w:val="none"/>
          <w14:textFill>
            <w14:solidFill>
              <w14:schemeClr w14:val="tx1"/>
            </w14:solidFill>
          </w14:textFill>
        </w:rPr>
      </w:pPr>
    </w:p>
    <w:p w14:paraId="F71D385E">
      <w:pPr>
        <w:pStyle w:val="11"/>
        <w:spacing w:line="360" w:lineRule="auto"/>
        <w:rPr>
          <w:rFonts w:hint="eastAsia" w:hAnsi="宋体"/>
          <w:b/>
          <w:color w:val="000000" w:themeColor="text1"/>
          <w:kern w:val="0"/>
          <w:sz w:val="24"/>
          <w:highlight w:val="none"/>
          <w14:textFill>
            <w14:solidFill>
              <w14:schemeClr w14:val="tx1"/>
            </w14:solidFill>
          </w14:textFill>
        </w:rPr>
      </w:pPr>
    </w:p>
    <w:p w14:paraId="B18F7647">
      <w:pPr>
        <w:pStyle w:val="11"/>
        <w:spacing w:line="360" w:lineRule="auto"/>
        <w:rPr>
          <w:rFonts w:hint="eastAsia" w:hAnsi="宋体"/>
          <w:b/>
          <w:color w:val="000000" w:themeColor="text1"/>
          <w:kern w:val="0"/>
          <w:sz w:val="24"/>
          <w:highlight w:val="none"/>
          <w14:textFill>
            <w14:solidFill>
              <w14:schemeClr w14:val="tx1"/>
            </w14:solidFill>
          </w14:textFill>
        </w:rPr>
      </w:pPr>
    </w:p>
    <w:p w14:paraId="25457D60">
      <w:pPr>
        <w:pStyle w:val="11"/>
        <w:spacing w:line="360" w:lineRule="auto"/>
        <w:rPr>
          <w:rFonts w:hint="eastAsia" w:hAnsi="宋体"/>
          <w:b/>
          <w:color w:val="000000" w:themeColor="text1"/>
          <w:kern w:val="0"/>
          <w:sz w:val="24"/>
          <w:highlight w:val="none"/>
          <w14:textFill>
            <w14:solidFill>
              <w14:schemeClr w14:val="tx1"/>
            </w14:solidFill>
          </w14:textFill>
        </w:rPr>
      </w:pPr>
    </w:p>
    <w:p w14:paraId="7CD4E4A3">
      <w:pPr>
        <w:pStyle w:val="11"/>
        <w:spacing w:line="360" w:lineRule="auto"/>
        <w:rPr>
          <w:rFonts w:hint="eastAsia" w:hAnsi="宋体"/>
          <w:b/>
          <w:color w:val="000000" w:themeColor="text1"/>
          <w:kern w:val="0"/>
          <w:sz w:val="24"/>
          <w:highlight w:val="none"/>
          <w14:textFill>
            <w14:solidFill>
              <w14:schemeClr w14:val="tx1"/>
            </w14:solidFill>
          </w14:textFill>
        </w:rPr>
      </w:pPr>
    </w:p>
    <w:p w14:paraId="4E392A09">
      <w:pPr>
        <w:pStyle w:val="11"/>
        <w:spacing w:line="360" w:lineRule="auto"/>
        <w:rPr>
          <w:rFonts w:hint="eastAsia" w:hAnsi="宋体"/>
          <w:b/>
          <w:color w:val="000000" w:themeColor="text1"/>
          <w:kern w:val="0"/>
          <w:sz w:val="24"/>
          <w:highlight w:val="none"/>
          <w14:textFill>
            <w14:solidFill>
              <w14:schemeClr w14:val="tx1"/>
            </w14:solidFill>
          </w14:textFill>
        </w:rPr>
      </w:pPr>
    </w:p>
    <w:p w14:paraId="43433915">
      <w:pPr>
        <w:pStyle w:val="11"/>
        <w:spacing w:line="360" w:lineRule="auto"/>
        <w:rPr>
          <w:rFonts w:hint="eastAsia" w:hAnsi="宋体"/>
          <w:b/>
          <w:color w:val="000000" w:themeColor="text1"/>
          <w:kern w:val="0"/>
          <w:sz w:val="24"/>
          <w:highlight w:val="none"/>
          <w14:textFill>
            <w14:solidFill>
              <w14:schemeClr w14:val="tx1"/>
            </w14:solidFill>
          </w14:textFill>
        </w:rPr>
      </w:pPr>
    </w:p>
    <w:p w14:paraId="216918D3">
      <w:pPr>
        <w:pStyle w:val="11"/>
        <w:spacing w:line="360" w:lineRule="auto"/>
        <w:rPr>
          <w:rFonts w:hint="eastAsia" w:hAnsi="宋体"/>
          <w:b/>
          <w:color w:val="000000" w:themeColor="text1"/>
          <w:kern w:val="0"/>
          <w:sz w:val="24"/>
          <w:highlight w:val="none"/>
          <w14:textFill>
            <w14:solidFill>
              <w14:schemeClr w14:val="tx1"/>
            </w14:solidFill>
          </w14:textFill>
        </w:rPr>
      </w:pPr>
    </w:p>
    <w:p w14:paraId="55FF08D9">
      <w:pPr>
        <w:pStyle w:val="11"/>
        <w:spacing w:line="360" w:lineRule="auto"/>
        <w:rPr>
          <w:rFonts w:hint="eastAsia" w:hAnsi="宋体"/>
          <w:b/>
          <w:color w:val="000000" w:themeColor="text1"/>
          <w:kern w:val="0"/>
          <w:sz w:val="24"/>
          <w:highlight w:val="none"/>
          <w14:textFill>
            <w14:solidFill>
              <w14:schemeClr w14:val="tx1"/>
            </w14:solidFill>
          </w14:textFill>
        </w:rPr>
      </w:pPr>
    </w:p>
    <w:p w14:paraId="E5FBCFB7">
      <w:pPr>
        <w:widowControl/>
        <w:spacing w:line="360" w:lineRule="auto"/>
        <w:jc w:val="left"/>
        <w:rPr>
          <w:rFonts w:hint="eastAsia" w:ascii="宋体" w:hAnsi="宋体" w:cs="宋体"/>
          <w:b/>
          <w:color w:val="000000" w:themeColor="text1"/>
          <w:kern w:val="0"/>
          <w:sz w:val="24"/>
          <w:highlight w:val="none"/>
          <w14:textFill>
            <w14:solidFill>
              <w14:schemeClr w14:val="tx1"/>
            </w14:solidFill>
          </w14:textFill>
        </w:rPr>
      </w:pPr>
    </w:p>
    <w:p w14:paraId="2E4341D6">
      <w:pPr>
        <w:spacing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1</w:t>
      </w:r>
      <w:r>
        <w:rPr>
          <w:rFonts w:hint="eastAsia" w:ascii="宋体" w:hAnsi="宋体" w:cs="宋体"/>
          <w:b/>
          <w:bCs/>
          <w:color w:val="000000" w:themeColor="text1"/>
          <w:sz w:val="36"/>
          <w:szCs w:val="36"/>
          <w:highlight w:val="none"/>
          <w:lang w:val="en-US" w:eastAsia="zh-CN"/>
          <w14:textFill>
            <w14:solidFill>
              <w14:schemeClr w14:val="tx1"/>
            </w14:solidFill>
          </w14:textFill>
        </w:rPr>
        <w:t>0.</w:t>
      </w:r>
      <w:r>
        <w:rPr>
          <w:rFonts w:hint="eastAsia" w:ascii="宋体" w:hAnsi="宋体" w:cs="宋体"/>
          <w:b/>
          <w:bCs/>
          <w:color w:val="000000" w:themeColor="text1"/>
          <w:sz w:val="36"/>
          <w:szCs w:val="36"/>
          <w:highlight w:val="none"/>
          <w14:textFill>
            <w14:solidFill>
              <w14:schemeClr w14:val="tx1"/>
            </w14:solidFill>
          </w14:textFill>
        </w:rPr>
        <w:t>其他需要提供的资料</w:t>
      </w:r>
    </w:p>
    <w:p w14:paraId="88BA1281">
      <w:pPr>
        <w:pStyle w:val="34"/>
        <w:spacing w:line="360" w:lineRule="auto"/>
        <w:ind w:firstLine="240"/>
        <w:rPr>
          <w:rFonts w:hint="eastAsia"/>
          <w:color w:val="000000" w:themeColor="text1"/>
          <w:highlight w:val="none"/>
          <w14:textFill>
            <w14:solidFill>
              <w14:schemeClr w14:val="tx1"/>
            </w14:solidFill>
          </w14:textFill>
        </w:rPr>
      </w:pPr>
    </w:p>
    <w:p w14:paraId="56582599">
      <w:pPr>
        <w:pStyle w:val="11"/>
        <w:spacing w:line="360" w:lineRule="auto"/>
        <w:rPr>
          <w:rFonts w:hint="eastAsia" w:hAnsi="宋体"/>
          <w:color w:val="000000" w:themeColor="text1"/>
          <w:sz w:val="24"/>
          <w:highlight w:val="none"/>
          <w14:textFill>
            <w14:solidFill>
              <w14:schemeClr w14:val="tx1"/>
            </w14:solidFill>
          </w14:textFill>
        </w:rPr>
      </w:pPr>
    </w:p>
    <w:p w14:paraId="D582726C">
      <w:pPr>
        <w:pStyle w:val="11"/>
        <w:spacing w:line="360" w:lineRule="auto"/>
        <w:rPr>
          <w:rFonts w:hint="eastAsia" w:hAnsi="宋体"/>
          <w:color w:val="000000" w:themeColor="text1"/>
          <w:sz w:val="24"/>
          <w:highlight w:val="none"/>
          <w14:textFill>
            <w14:solidFill>
              <w14:schemeClr w14:val="tx1"/>
            </w14:solidFill>
          </w14:textFill>
        </w:rPr>
      </w:pPr>
    </w:p>
    <w:p w14:paraId="66B7562B">
      <w:pPr>
        <w:pStyle w:val="11"/>
        <w:spacing w:line="360" w:lineRule="auto"/>
        <w:rPr>
          <w:rFonts w:hint="eastAsia" w:hAnsi="宋体"/>
          <w:color w:val="000000" w:themeColor="text1"/>
          <w:sz w:val="24"/>
          <w:highlight w:val="none"/>
          <w14:textFill>
            <w14:solidFill>
              <w14:schemeClr w14:val="tx1"/>
            </w14:solidFill>
          </w14:textFill>
        </w:rPr>
      </w:pPr>
    </w:p>
    <w:p w14:paraId="06B80C45">
      <w:pPr>
        <w:pStyle w:val="44"/>
        <w:spacing w:line="36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sectPr>
      <w:footerReference r:id="rId21" w:type="default"/>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MingLiU">
    <w:panose1 w:val="02020509000000000000"/>
    <w:charset w:val="78"/>
    <w:family w:val="modern"/>
    <w:pitch w:val="default"/>
    <w:sig w:usb0="A00002FF" w:usb1="28CFFCFA" w:usb2="00000016" w:usb3="00000000" w:csb0="00100001" w:csb1="00000000"/>
  </w:font>
  <w:font w:name="font241">
    <w:altName w:val="宋体"/>
    <w:panose1 w:val="00000000000000000000"/>
    <w:charset w:val="7A"/>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00D6244">
    <w:pPr>
      <w:pStyle w:val="14"/>
      <w:ind w:firstLine="360"/>
      <w:jc w:val="center"/>
    </w:pPr>
    <w:r>
      <w:fldChar w:fldCharType="begin"/>
    </w:r>
    <w:r>
      <w:instrText xml:space="preserve"> PAGE   \* MERGEFORMAT </w:instrText>
    </w:r>
    <w:r>
      <w:fldChar w:fldCharType="separate"/>
    </w:r>
    <w:r>
      <w:rPr>
        <w:lang w:val="zh-CN"/>
      </w:rPr>
      <w:t>2</w:t>
    </w:r>
    <w:r>
      <w:rPr>
        <w:lang w:val="zh-CN"/>
      </w:rPr>
      <w:fldChar w:fldCharType="end"/>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AE36D3F">
                          <w:pPr>
                            <w:pStyle w:val="14"/>
                            <w:ind w:firstLine="360"/>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p>
                        <w:p w14:paraId="2D462424">
                          <w:pPr>
                            <w:pStyle w:val="2"/>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Q3xj3pwEAAGoDAAAOAAAA&#10;AAAAAAEAIAAAAB8BAABkcnMvZTJvRG9jLnhtbFBLBQYAAAAABgAGAFkBAAA4BQAAAAA=&#10;">
              <v:fill on="f" focussize="0,0"/>
              <v:stroke on="f"/>
              <v:imagedata o:title=""/>
              <o:lock v:ext="edit" aspectratio="f"/>
              <v:textbox inset="0mm,0mm,0mm,0mm" style="mso-fit-shape-to-text:t;">
                <w:txbxContent>
                  <w:p w14:paraId="3AE36D3F">
                    <w:pPr>
                      <w:pStyle w:val="14"/>
                      <w:ind w:firstLine="360"/>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p>
                  <w:p w14:paraId="2D462424">
                    <w:pPr>
                      <w:pStyle w:val="2"/>
                    </w:pPr>
                  </w:p>
                </w:txbxContent>
              </v:textbox>
            </v:rect>
          </w:pict>
        </mc:Fallback>
      </mc:AlternateContent>
    </w:r>
  </w:p>
  <w:p w14:paraId="2F00527C">
    <w:pPr>
      <w:pStyle w:val="1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086A7">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0"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D495DA4B">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DdXTYGmAQAAagMAAA4AAAAA&#10;AAAAAQAgAAAAHwEAAGRycy9lMm9Eb2MueG1sUEsFBgAAAAAGAAYAWQEAADcFAAAAAA==&#10;">
              <v:fill on="f" focussize="0,0"/>
              <v:stroke on="f"/>
              <v:imagedata o:title=""/>
              <o:lock v:ext="edit" aspectratio="f"/>
              <v:textbox inset="0mm,0mm,0mm,0mm" style="mso-fit-shape-to-text:t;">
                <w:txbxContent>
                  <w:p w14:paraId="D495DA4B">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D49CC50">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170AD9B">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4784D">
    <w:pPr>
      <w:pStyle w:val="14"/>
      <w:ind w:firstLine="360"/>
      <w:jc w:val="center"/>
    </w:pPr>
    <w:r>
      <w:fldChar w:fldCharType="begin"/>
    </w:r>
    <w:r>
      <w:instrText xml:space="preserve"> PAGE   \* MERGEFORMAT </w:instrText>
    </w:r>
    <w:r>
      <w:fldChar w:fldCharType="separate"/>
    </w:r>
    <w:r>
      <w:rPr>
        <w:lang w:val="zh-CN"/>
      </w:rPr>
      <w:t>2</w:t>
    </w:r>
    <w:r>
      <w:rPr>
        <w:lang w:val="zh-CN"/>
      </w:rPr>
      <w:fldChar w:fldCharType="end"/>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3FBA2B0">
                          <w:pPr>
                            <w:pStyle w:val="14"/>
                            <w:ind w:firstLine="360"/>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p>
                        <w:p w14:paraId="55FCC76A">
                          <w:pPr>
                            <w:pStyle w:val="2"/>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5hOPpAEAAGcDAAAOAAAAAAAA&#10;AAEAIAAAAB8BAABkcnMvZTJvRG9jLnhtbFBLBQYAAAAABgAGAFkBAAA1BQAAAAA=&#10;">
              <v:fill on="f" focussize="0,0"/>
              <v:stroke on="f"/>
              <v:imagedata o:title=""/>
              <o:lock v:ext="edit" aspectratio="f"/>
              <v:textbox inset="0mm,0mm,0mm,0mm" style="mso-fit-shape-to-text:t;">
                <w:txbxContent>
                  <w:p w14:paraId="13FBA2B0">
                    <w:pPr>
                      <w:pStyle w:val="14"/>
                      <w:ind w:firstLine="360"/>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p>
                  <w:p w14:paraId="55FCC76A">
                    <w:pPr>
                      <w:pStyle w:val="2"/>
                    </w:pPr>
                  </w:p>
                </w:txbxContent>
              </v:textbox>
            </v:rect>
          </w:pict>
        </mc:Fallback>
      </mc:AlternateContent>
    </w:r>
  </w:p>
  <w:p w14:paraId="04BAFC18">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4AAD">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818E">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C8DB">
    <w:pPr>
      <w:pStyle w:val="14"/>
      <w:ind w:firstLine="360"/>
      <w:jc w:val="center"/>
    </w:pPr>
    <w:r>
      <w:fldChar w:fldCharType="begin"/>
    </w:r>
    <w:r>
      <w:instrText xml:space="preserve"> PAGE   \* MERGEFORMAT </w:instrText>
    </w:r>
    <w:r>
      <w:fldChar w:fldCharType="separate"/>
    </w:r>
    <w:r>
      <w:rPr>
        <w:lang w:val="zh-CN"/>
      </w:rPr>
      <w:t>2</w:t>
    </w:r>
    <w:r>
      <w:rPr>
        <w:lang w:val="zh-CN"/>
      </w:rPr>
      <w:fldChar w:fldCharType="end"/>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A49D2E3">
                          <w:pPr>
                            <w:pStyle w:val="14"/>
                            <w:ind w:firstLine="360"/>
                            <w:jc w:val="center"/>
                          </w:pPr>
                        </w:p>
                        <w:p w14:paraId="73F9745B">
                          <w:pPr>
                            <w:pStyle w:val="2"/>
                          </w:pP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C2w9icpAEAAGcDAAAOAAAAAAAA&#10;AAEAIAAAAB8BAABkcnMvZTJvRG9jLnhtbFBLBQYAAAAABgAGAFkBAAA1BQAAAAA=&#10;">
              <v:fill on="f" focussize="0,0"/>
              <v:stroke on="f"/>
              <v:imagedata o:title=""/>
              <o:lock v:ext="edit" aspectratio="f"/>
              <v:textbox inset="0mm,0mm,0mm,0mm" style="mso-fit-shape-to-text:t;">
                <w:txbxContent>
                  <w:p w14:paraId="4A49D2E3">
                    <w:pPr>
                      <w:pStyle w:val="14"/>
                      <w:ind w:firstLine="360"/>
                      <w:jc w:val="center"/>
                    </w:pPr>
                  </w:p>
                  <w:p w14:paraId="73F9745B">
                    <w:pPr>
                      <w:pStyle w:val="2"/>
                    </w:pPr>
                  </w:p>
                </w:txbxContent>
              </v:textbox>
            </v:rect>
          </w:pict>
        </mc:Fallback>
      </mc:AlternateContent>
    </w:r>
  </w:p>
  <w:p w14:paraId="7A34D9AF">
    <w:pPr>
      <w:pStyle w:val="1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7F3E0">
    <w:pPr>
      <w:pStyle w:val="1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56BF">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1E2334B">
    <w:pPr>
      <w:pStyle w:val="15"/>
      <w:pBdr>
        <w:bottom w:val="none" w:color="auto" w:sz="0" w:space="0"/>
      </w:pBdr>
      <w:ind w:left="35" w:leftChars="-50" w:hanging="140" w:hangingChars="78"/>
      <w:jc w:val="left"/>
    </w:pPr>
    <w:r>
      <w:rPr>
        <w:rFonts w:hint="eastAsia"/>
        <w:u w:val="single"/>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7DE7A8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223A85B">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3627">
    <w:pPr>
      <w:pStyle w:val="15"/>
      <w:pBdr>
        <w:bottom w:val="none" w:color="auto" w:sz="0" w:space="0"/>
      </w:pBdr>
      <w:ind w:left="35" w:leftChars="-50" w:hanging="140" w:hangingChars="78"/>
      <w:jc w:val="left"/>
    </w:pPr>
    <w:r>
      <w:rPr>
        <w:rFonts w:hint="eastAsia"/>
        <w:u w:val="single"/>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265F">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89324">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F7C3">
    <w:pPr>
      <w:pStyle w:val="15"/>
      <w:pBdr>
        <w:bottom w:val="none" w:color="auto" w:sz="0" w:space="0"/>
      </w:pBdr>
      <w:ind w:left="35" w:leftChars="-50" w:hanging="140" w:hangingChars="78"/>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FEECF">
    <w:pPr>
      <w:pStyle w:val="15"/>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3632">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6C4D6"/>
    <w:multiLevelType w:val="singleLevel"/>
    <w:tmpl w:val="BFD6C4D6"/>
    <w:lvl w:ilvl="0" w:tentative="0">
      <w:start w:val="1"/>
      <w:numFmt w:val="chineseCounting"/>
      <w:suff w:val="space"/>
      <w:lvlText w:val="第%1条"/>
      <w:lvlJc w:val="left"/>
      <w:pPr>
        <w:ind w:left="640" w:leftChars="0" w:firstLine="0" w:firstLineChars="0"/>
      </w:pPr>
      <w:rPr>
        <w:rFonts w:hint="eastAsia"/>
      </w:rPr>
    </w:lvl>
  </w:abstractNum>
  <w:abstractNum w:abstractNumId="1">
    <w:nsid w:val="00000003"/>
    <w:multiLevelType w:val="singleLevel"/>
    <w:tmpl w:val="00000003"/>
    <w:lvl w:ilvl="0" w:tentative="0">
      <w:start w:val="2"/>
      <w:numFmt w:val="decimal"/>
      <w:lvlText w:val="%1."/>
      <w:lvlJc w:val="left"/>
      <w:pPr>
        <w:tabs>
          <w:tab w:val="left" w:pos="312"/>
        </w:tabs>
      </w:pPr>
    </w:lvl>
  </w:abstractNum>
  <w:abstractNum w:abstractNumId="2">
    <w:nsid w:val="352F8437"/>
    <w:multiLevelType w:val="singleLevel"/>
    <w:tmpl w:val="352F8437"/>
    <w:lvl w:ilvl="0" w:tentative="0">
      <w:start w:val="1"/>
      <w:numFmt w:val="decimal"/>
      <w:suff w:val="nothing"/>
      <w:lvlText w:val="%1、"/>
      <w:lvlJc w:val="left"/>
    </w:lvl>
  </w:abstractNum>
  <w:abstractNum w:abstractNumId="3">
    <w:nsid w:val="52BA47B7"/>
    <w:multiLevelType w:val="singleLevel"/>
    <w:tmpl w:val="52BA47B7"/>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trackRevisions w:val="1"/>
  <w:documentProtection w:edit="trackedChanges" w:enforcement="1" w:cryptProviderType="rsaFull" w:cryptAlgorithmClass="hash" w:cryptAlgorithmType="typeAny" w:cryptAlgorithmSid="4" w:cryptSpinCount="0" w:hash="oaRIiMT04JfessHiYRr25p0TAkg=" w:salt="rZHdzNsUWX5Dde/8Yj1o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jQxM2I1YjI0ZGFkNDc3YTdkZGVmNzIyNGE4ODY5ZjMifQ=="/>
  </w:docVars>
  <w:rsids>
    <w:rsidRoot w:val="00000000"/>
    <w:rsid w:val="003A0914"/>
    <w:rsid w:val="01241615"/>
    <w:rsid w:val="0168325F"/>
    <w:rsid w:val="03BE2FB3"/>
    <w:rsid w:val="042B5143"/>
    <w:rsid w:val="05465FAD"/>
    <w:rsid w:val="060B7A81"/>
    <w:rsid w:val="069E573E"/>
    <w:rsid w:val="083311E6"/>
    <w:rsid w:val="0A8D3D36"/>
    <w:rsid w:val="0BE360C6"/>
    <w:rsid w:val="0C6531BD"/>
    <w:rsid w:val="0DD91AB5"/>
    <w:rsid w:val="12B137E7"/>
    <w:rsid w:val="12DA4CE7"/>
    <w:rsid w:val="13BF7ACC"/>
    <w:rsid w:val="14997EA7"/>
    <w:rsid w:val="17FF4DE1"/>
    <w:rsid w:val="18574301"/>
    <w:rsid w:val="19053D5D"/>
    <w:rsid w:val="199D423D"/>
    <w:rsid w:val="1A025E16"/>
    <w:rsid w:val="1A344181"/>
    <w:rsid w:val="1A9B035F"/>
    <w:rsid w:val="1C0E2778"/>
    <w:rsid w:val="1C414547"/>
    <w:rsid w:val="1D104E5D"/>
    <w:rsid w:val="1D312919"/>
    <w:rsid w:val="1DA94FD4"/>
    <w:rsid w:val="1DF45BF6"/>
    <w:rsid w:val="1F2E38E2"/>
    <w:rsid w:val="1F6168E0"/>
    <w:rsid w:val="1F934C65"/>
    <w:rsid w:val="22C674B1"/>
    <w:rsid w:val="238420B9"/>
    <w:rsid w:val="238751E7"/>
    <w:rsid w:val="241C77B7"/>
    <w:rsid w:val="24221E6A"/>
    <w:rsid w:val="274F788E"/>
    <w:rsid w:val="27537521"/>
    <w:rsid w:val="27595274"/>
    <w:rsid w:val="298A3C4F"/>
    <w:rsid w:val="2A0C5A90"/>
    <w:rsid w:val="2A663F30"/>
    <w:rsid w:val="2E3D144C"/>
    <w:rsid w:val="310149B3"/>
    <w:rsid w:val="31041541"/>
    <w:rsid w:val="3107057A"/>
    <w:rsid w:val="32990656"/>
    <w:rsid w:val="3344754B"/>
    <w:rsid w:val="34916A9A"/>
    <w:rsid w:val="351076BA"/>
    <w:rsid w:val="35683252"/>
    <w:rsid w:val="35773495"/>
    <w:rsid w:val="38BF503B"/>
    <w:rsid w:val="3A0151DE"/>
    <w:rsid w:val="3B135410"/>
    <w:rsid w:val="3E221859"/>
    <w:rsid w:val="3EDB6BF0"/>
    <w:rsid w:val="40047C86"/>
    <w:rsid w:val="414240A8"/>
    <w:rsid w:val="416614FE"/>
    <w:rsid w:val="42A549FC"/>
    <w:rsid w:val="42E21C31"/>
    <w:rsid w:val="43FD36FF"/>
    <w:rsid w:val="44FA5134"/>
    <w:rsid w:val="496A67EF"/>
    <w:rsid w:val="499D1269"/>
    <w:rsid w:val="49BD2D43"/>
    <w:rsid w:val="49CA4084"/>
    <w:rsid w:val="4A816C39"/>
    <w:rsid w:val="4E4E35AB"/>
    <w:rsid w:val="4E5D4FD3"/>
    <w:rsid w:val="4F8D1DDB"/>
    <w:rsid w:val="4F9C1CEE"/>
    <w:rsid w:val="4FF0236A"/>
    <w:rsid w:val="51322E81"/>
    <w:rsid w:val="51DC0DF8"/>
    <w:rsid w:val="52703E0B"/>
    <w:rsid w:val="52E7517C"/>
    <w:rsid w:val="5355425A"/>
    <w:rsid w:val="54A43723"/>
    <w:rsid w:val="54A84FC1"/>
    <w:rsid w:val="56F97E8A"/>
    <w:rsid w:val="582726A1"/>
    <w:rsid w:val="584C3F79"/>
    <w:rsid w:val="58FF4F46"/>
    <w:rsid w:val="5BD8153A"/>
    <w:rsid w:val="5ED634A9"/>
    <w:rsid w:val="62125759"/>
    <w:rsid w:val="62D733EB"/>
    <w:rsid w:val="62EA0E9B"/>
    <w:rsid w:val="65081AC1"/>
    <w:rsid w:val="66331170"/>
    <w:rsid w:val="66D20837"/>
    <w:rsid w:val="67600485"/>
    <w:rsid w:val="685F59CE"/>
    <w:rsid w:val="689618A9"/>
    <w:rsid w:val="69797A53"/>
    <w:rsid w:val="6CF045A5"/>
    <w:rsid w:val="6DF73E4E"/>
    <w:rsid w:val="6E6611EB"/>
    <w:rsid w:val="6F4B4A6F"/>
    <w:rsid w:val="6F7E1A5E"/>
    <w:rsid w:val="70725ED5"/>
    <w:rsid w:val="710F11E4"/>
    <w:rsid w:val="713779A1"/>
    <w:rsid w:val="72B072B1"/>
    <w:rsid w:val="73214147"/>
    <w:rsid w:val="735D64AD"/>
    <w:rsid w:val="75841BAD"/>
    <w:rsid w:val="7590142E"/>
    <w:rsid w:val="75CD45AF"/>
    <w:rsid w:val="79E35458"/>
    <w:rsid w:val="7AFC6415"/>
    <w:rsid w:val="7BEA1CD3"/>
    <w:rsid w:val="7CA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480" w:after="0"/>
      <w:outlineLvl w:val="0"/>
    </w:pPr>
    <w:rPr>
      <w:rFonts w:ascii="Cambria" w:hAnsi="Cambria"/>
      <w:b/>
      <w:bCs/>
      <w:color w:val="365F91"/>
      <w:sz w:val="28"/>
      <w:szCs w:val="28"/>
      <w:lang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7"/>
    <w:basedOn w:val="1"/>
    <w:next w:val="1"/>
    <w:qFormat/>
    <w:uiPriority w:val="0"/>
    <w:pPr>
      <w:ind w:left="900" w:hanging="540"/>
      <w:outlineLvl w:val="6"/>
    </w:pPr>
    <w:rPr>
      <w:rFonts w:ascii="黑体" w:hAnsi="黑体" w:eastAsia="黑体" w:cs="黑体"/>
      <w:b/>
      <w:bCs/>
      <w:sz w:val="24"/>
      <w:szCs w:val="24"/>
    </w:rPr>
  </w:style>
  <w:style w:type="paragraph" w:styleId="8">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21">
    <w:name w:val="Default Paragraph Font"/>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Normal Indent"/>
    <w:basedOn w:val="1"/>
    <w:qFormat/>
    <w:uiPriority w:val="0"/>
    <w:pPr>
      <w:ind w:firstLine="420" w:firstLineChars="200"/>
    </w:pPr>
  </w:style>
  <w:style w:type="paragraph" w:styleId="10">
    <w:name w:val="Body Text Indent"/>
    <w:basedOn w:val="1"/>
    <w:next w:val="1"/>
    <w:qFormat/>
    <w:uiPriority w:val="0"/>
    <w:pPr>
      <w:spacing w:after="120"/>
      <w:ind w:left="420" w:leftChars="200"/>
    </w:pPr>
  </w:style>
  <w:style w:type="paragraph" w:styleId="11">
    <w:name w:val="Plain Text"/>
    <w:basedOn w:val="1"/>
    <w:qFormat/>
    <w:uiPriority w:val="0"/>
    <w:rPr>
      <w:rFonts w:ascii="宋体" w:hAnsi="Courier New" w:cs="宋体"/>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46"/>
    <w:qFormat/>
    <w:uiPriority w:val="0"/>
    <w:pPr>
      <w:widowControl/>
      <w:kinsoku w:val="0"/>
      <w:autoSpaceDE w:val="0"/>
      <w:autoSpaceDN w:val="0"/>
      <w:adjustRightInd w:val="0"/>
      <w:snapToGrid w:val="0"/>
      <w:jc w:val="left"/>
      <w:textAlignment w:val="baseline"/>
    </w:pPr>
    <w:rPr>
      <w:rFonts w:ascii="Arial" w:hAnsi="Arial" w:eastAsia="宋体" w:cs="Arial"/>
      <w:snapToGrid w:val="0"/>
      <w:color w:val="000000"/>
      <w:kern w:val="0"/>
      <w:sz w:val="18"/>
      <w:szCs w:val="18"/>
    </w:rPr>
  </w:style>
  <w:style w:type="paragraph" w:styleId="14">
    <w:name w:val="footer"/>
    <w:basedOn w:val="1"/>
    <w:link w:val="40"/>
    <w:qFormat/>
    <w:uiPriority w:val="0"/>
    <w:pPr>
      <w:tabs>
        <w:tab w:val="center" w:pos="4153"/>
        <w:tab w:val="right" w:pos="8306"/>
      </w:tabs>
      <w:snapToGrid w:val="0"/>
      <w:jc w:val="left"/>
    </w:pPr>
    <w:rPr>
      <w:sz w:val="18"/>
    </w:rPr>
  </w:style>
  <w:style w:type="paragraph" w:styleId="15">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line="500" w:lineRule="atLeast"/>
      <w:ind w:right="640"/>
    </w:pPr>
    <w:rPr>
      <w:rFonts w:ascii="宋体" w:hAnsi="宋体" w:cs="宋体"/>
      <w:b/>
      <w:bCs/>
    </w:rPr>
  </w:style>
  <w:style w:type="paragraph" w:styleId="17">
    <w:name w:val="Normal (Web)"/>
    <w:basedOn w:val="1"/>
    <w:qFormat/>
    <w:uiPriority w:val="0"/>
    <w:pPr>
      <w:spacing w:before="100" w:beforeAutospacing="1" w:after="100" w:afterAutospacing="1"/>
    </w:pPr>
    <w:rPr>
      <w:rFonts w:ascii="宋体" w:hAnsi="宋体" w:cs="宋体"/>
    </w:rPr>
  </w:style>
  <w:style w:type="paragraph" w:styleId="18">
    <w:name w:val="Body Text First Indent 2"/>
    <w:basedOn w:val="10"/>
    <w:next w:val="1"/>
    <w:qFormat/>
    <w:uiPriority w:val="0"/>
    <w:pPr>
      <w:ind w:firstLine="420" w:firstLineChars="200"/>
    </w:pPr>
    <w:rPr>
      <w:rFonts w:ascii="宋体" w:hAnsi="宋体"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800080"/>
      <w:u w:val="none"/>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qFormat/>
    <w:uiPriority w:val="0"/>
    <w:rPr>
      <w:color w:val="666666"/>
      <w:u w:val="none"/>
    </w:rPr>
  </w:style>
  <w:style w:type="character" w:styleId="29">
    <w:name w:val="HTML Code"/>
    <w:basedOn w:val="21"/>
    <w:qFormat/>
    <w:uiPriority w:val="0"/>
    <w:rPr>
      <w:rFonts w:ascii="monospace" w:hAnsi="monospace" w:eastAsia="monospace" w:cs="monospace"/>
      <w:sz w:val="20"/>
    </w:rPr>
  </w:style>
  <w:style w:type="character" w:styleId="30">
    <w:name w:val="HTML Cite"/>
    <w:basedOn w:val="21"/>
    <w:qFormat/>
    <w:uiPriority w:val="0"/>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4">
    <w:name w:val="正文首行缩进1"/>
    <w:basedOn w:val="1"/>
    <w:next w:val="35"/>
    <w:qFormat/>
    <w:uiPriority w:val="0"/>
    <w:pPr>
      <w:spacing w:line="276" w:lineRule="auto"/>
      <w:ind w:firstLine="420" w:firstLineChars="100"/>
    </w:pPr>
    <w:rPr>
      <w:rFonts w:hAnsi="Calibri" w:eastAsia="仿宋"/>
      <w:sz w:val="24"/>
      <w:szCs w:val="21"/>
    </w:rPr>
  </w:style>
  <w:style w:type="paragraph" w:customStyle="1" w:styleId="35">
    <w:name w:val="正文首行缩进 21"/>
    <w:basedOn w:val="1"/>
    <w:qFormat/>
    <w:uiPriority w:val="0"/>
    <w:pPr>
      <w:ind w:firstLine="420" w:firstLineChars="200"/>
    </w:pPr>
    <w:rPr>
      <w:rFonts w:eastAsia="仿宋"/>
      <w:sz w:val="24"/>
      <w:szCs w:val="21"/>
    </w:rPr>
  </w:style>
  <w:style w:type="paragraph" w:customStyle="1" w:styleId="36">
    <w:name w:val="一级条标题"/>
    <w:basedOn w:val="37"/>
    <w:next w:val="3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7">
    <w:name w:val="章标题"/>
    <w:basedOn w:val="1"/>
    <w:next w:val="1"/>
    <w:qFormat/>
    <w:uiPriority w:val="0"/>
    <w:pPr>
      <w:widowControl/>
      <w:spacing w:before="158" w:after="153" w:line="1292" w:lineRule="atLeast"/>
      <w:jc w:val="center"/>
    </w:pPr>
    <w:rPr>
      <w:rFonts w:ascii="Arial" w:hAnsi="Calibri" w:eastAsia="黑体" w:cs="黑体"/>
      <w:sz w:val="31"/>
      <w:lang w:bidi="en-US"/>
    </w:rPr>
  </w:style>
  <w:style w:type="paragraph" w:customStyle="1" w:styleId="38">
    <w:name w:val="段"/>
    <w:basedOn w:val="1"/>
    <w:next w:val="1"/>
    <w:qFormat/>
    <w:uiPriority w:val="0"/>
    <w:pPr>
      <w:widowControl/>
    </w:pPr>
    <w:rPr>
      <w:rFonts w:hint="eastAsia"/>
    </w:rPr>
  </w:style>
  <w:style w:type="character" w:customStyle="1" w:styleId="39">
    <w:name w:val="页眉 字符"/>
    <w:link w:val="15"/>
    <w:qFormat/>
    <w:uiPriority w:val="0"/>
    <w:rPr>
      <w:rFonts w:ascii="Calibri" w:hAnsi="Calibri"/>
      <w:kern w:val="2"/>
      <w:sz w:val="18"/>
      <w:szCs w:val="24"/>
    </w:rPr>
  </w:style>
  <w:style w:type="character" w:customStyle="1" w:styleId="40">
    <w:name w:val="页脚 字符"/>
    <w:link w:val="14"/>
    <w:qFormat/>
    <w:uiPriority w:val="0"/>
    <w:rPr>
      <w:rFonts w:ascii="Calibri" w:hAnsi="Calibri"/>
      <w:kern w:val="2"/>
      <w:sz w:val="18"/>
      <w:szCs w:val="24"/>
    </w:rPr>
  </w:style>
  <w:style w:type="paragraph" w:customStyle="1" w:styleId="41">
    <w:name w:val="No Spacing1"/>
    <w:basedOn w:val="1"/>
    <w:qFormat/>
    <w:uiPriority w:val="0"/>
    <w:pPr>
      <w:spacing w:after="0" w:line="400" w:lineRule="exact"/>
    </w:pPr>
    <w:rPr>
      <w:rFonts w:eastAsia="宋体"/>
      <w:sz w:val="24"/>
    </w:rPr>
  </w:style>
  <w:style w:type="paragraph" w:customStyle="1" w:styleId="42">
    <w:name w:val="Table Paragraph"/>
    <w:basedOn w:val="1"/>
    <w:qFormat/>
    <w:uiPriority w:val="0"/>
  </w:style>
  <w:style w:type="paragraph" w:styleId="43">
    <w:name w:val="List Paragraph"/>
    <w:basedOn w:val="1"/>
    <w:qFormat/>
    <w:uiPriority w:val="0"/>
    <w:pPr>
      <w:ind w:firstLine="420" w:firstLineChars="200"/>
    </w:pPr>
  </w:style>
  <w:style w:type="paragraph" w:customStyle="1" w:styleId="44">
    <w:name w:val="Body text|1"/>
    <w:basedOn w:val="1"/>
    <w:qFormat/>
    <w:uiPriority w:val="0"/>
    <w:pPr>
      <w:widowControl w:val="0"/>
      <w:spacing w:line="420" w:lineRule="auto"/>
      <w:ind w:firstLine="400" w:firstLineChars="200"/>
      <w:jc w:val="both"/>
    </w:pPr>
    <w:rPr>
      <w:rFonts w:ascii="MingLiU" w:hAnsi="MingLiU" w:eastAsia="MingLiU" w:cs="MingLiU"/>
      <w:kern w:val="2"/>
      <w:sz w:val="19"/>
      <w:szCs w:val="19"/>
      <w:shd w:val="clear" w:color="auto" w:fill="FFFFFF"/>
      <w:lang w:val="zh-TW" w:eastAsia="zh-TW" w:bidi="zh-TW"/>
    </w:rPr>
  </w:style>
  <w:style w:type="paragraph" w:customStyle="1" w:styleId="45">
    <w:name w:val="正文缩进2"/>
    <w:basedOn w:val="1"/>
    <w:qFormat/>
    <w:uiPriority w:val="0"/>
    <w:pPr>
      <w:suppressAutoHyphens/>
    </w:pPr>
    <w:rPr>
      <w:rFonts w:ascii="Times New Roman" w:hAnsi="Times New Roman" w:eastAsia="Times New Roman" w:cs="font241"/>
      <w:kern w:val="1"/>
      <w:sz w:val="20"/>
      <w:szCs w:val="20"/>
      <w:lang w:eastAsia="hi-IN" w:bidi="hi-IN"/>
    </w:rPr>
  </w:style>
  <w:style w:type="character" w:customStyle="1" w:styleId="46">
    <w:name w:val="批注框文本 字符"/>
    <w:link w:val="13"/>
    <w:qFormat/>
    <w:uiPriority w:val="0"/>
    <w:rPr>
      <w:rFonts w:ascii="Arial" w:hAnsi="Arial" w:eastAsia="宋体" w:cs="Arial"/>
      <w:snapToGrid w:val="0"/>
      <w:color w:val="000000"/>
      <w:sz w:val="18"/>
      <w:szCs w:val="18"/>
    </w:rPr>
  </w:style>
  <w:style w:type="character" w:customStyle="1" w:styleId="47">
    <w:name w:val="font01"/>
    <w:qFormat/>
    <w:uiPriority w:val="0"/>
    <w:rPr>
      <w:rFonts w:hint="eastAsia" w:ascii="宋体" w:hAnsi="宋体" w:eastAsia="宋体" w:cs="宋体"/>
      <w:color w:val="000000"/>
      <w:sz w:val="18"/>
      <w:szCs w:val="18"/>
      <w:u w:val="none"/>
    </w:rPr>
  </w:style>
  <w:style w:type="character" w:customStyle="1" w:styleId="48">
    <w:name w:val="font21"/>
    <w:qFormat/>
    <w:uiPriority w:val="0"/>
    <w:rPr>
      <w:rFonts w:hint="eastAsia" w:ascii="宋体" w:hAnsi="宋体" w:eastAsia="宋体" w:cs="宋体"/>
      <w:color w:val="000000"/>
      <w:sz w:val="18"/>
      <w:szCs w:val="18"/>
      <w:u w:val="none"/>
    </w:rPr>
  </w:style>
  <w:style w:type="character" w:customStyle="1" w:styleId="49">
    <w:name w:val="font91"/>
    <w:qFormat/>
    <w:uiPriority w:val="0"/>
    <w:rPr>
      <w:rFonts w:hint="eastAsia" w:ascii="宋体" w:hAnsi="宋体" w:eastAsia="宋体" w:cs="宋体"/>
      <w:color w:val="000000"/>
      <w:sz w:val="18"/>
      <w:szCs w:val="18"/>
      <w:u w:val="none"/>
    </w:rPr>
  </w:style>
  <w:style w:type="character" w:customStyle="1" w:styleId="50">
    <w:name w:val="font11"/>
    <w:qFormat/>
    <w:uiPriority w:val="0"/>
    <w:rPr>
      <w:rFonts w:hint="eastAsia" w:ascii="宋体" w:hAnsi="宋体" w:eastAsia="宋体" w:cs="宋体"/>
      <w:color w:val="000000"/>
      <w:sz w:val="18"/>
      <w:szCs w:val="18"/>
      <w:u w:val="none"/>
    </w:rPr>
  </w:style>
  <w:style w:type="paragraph" w:customStyle="1" w:styleId="51">
    <w:name w:val="cjk"/>
    <w:basedOn w:val="1"/>
    <w:qFormat/>
    <w:uiPriority w:val="0"/>
    <w:pPr>
      <w:widowControl/>
      <w:spacing w:before="100" w:beforeAutospacing="1" w:after="100" w:afterAutospacing="1"/>
      <w:jc w:val="left"/>
    </w:pPr>
    <w:rPr>
      <w:rFonts w:ascii="宋体" w:hAnsi="宋体" w:cs="宋体"/>
      <w:kern w:val="0"/>
      <w:sz w:val="24"/>
    </w:rPr>
  </w:style>
  <w:style w:type="table" w:customStyle="1" w:styleId="52">
    <w:name w:val="Table Normal"/>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character" w:customStyle="1" w:styleId="53">
    <w:name w:val="无间隔 字符"/>
    <w:link w:val="54"/>
    <w:qFormat/>
    <w:uiPriority w:val="0"/>
    <w:rPr>
      <w:rFonts w:ascii="Calibri" w:hAnsi="Calibri"/>
      <w:sz w:val="22"/>
      <w:szCs w:val="22"/>
      <w:lang w:val="en-US" w:eastAsia="zh-CN" w:bidi="ar-SA"/>
    </w:rPr>
  </w:style>
  <w:style w:type="paragraph" w:styleId="54">
    <w:name w:val="No Spacing"/>
    <w:link w:val="53"/>
    <w:qFormat/>
    <w:uiPriority w:val="0"/>
    <w:rPr>
      <w:rFonts w:ascii="Calibri" w:hAnsi="Calibri" w:eastAsia="宋体" w:cs="Times New Roman"/>
      <w:sz w:val="22"/>
      <w:szCs w:val="22"/>
      <w:lang w:val="en-US" w:eastAsia="zh-CN" w:bidi="ar-SA"/>
    </w:rPr>
  </w:style>
  <w:style w:type="character" w:customStyle="1" w:styleId="55">
    <w:name w:val="layui-layer-tabnow"/>
    <w:basedOn w:val="21"/>
    <w:qFormat/>
    <w:uiPriority w:val="0"/>
    <w:rPr>
      <w:bdr w:val="single" w:color="CCCCCC" w:sz="6" w:space="0"/>
      <w:shd w:val="clear" w:fill="FFFFFF"/>
    </w:rPr>
  </w:style>
  <w:style w:type="character" w:customStyle="1" w:styleId="56">
    <w:name w:val="first-child"/>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23635</Words>
  <Characters>26510</Characters>
  <Paragraphs>1855</Paragraphs>
  <TotalTime>225</TotalTime>
  <ScaleCrop>false</ScaleCrop>
  <LinksUpToDate>false</LinksUpToDate>
  <CharactersWithSpaces>27570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2025-03-19T08:47:00Z</dcterms:created>
  <dc:creator>dell</dc:creator>
  <cp:lastModifiedBy>嘶苛辈匕尉</cp:lastModifiedBy>
  <cp:lastPrinted>2023-03-20T01:28:00Z</cp:lastPrinted>
  <dcterms:modified xsi:type="dcterms:W3CDTF">2025-05-21T07:21:23Z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292FFE9E46804882AEBB4C6ABE92EAEA_13</vt:lpwstr>
  </property>
  <property fmtid="{D5CDD505-2E9C-101B-9397-08002B2CF9AE}" pid="4" name="KSOTemplateDocerSaveRecord">
    <vt:lpwstr>eyJoZGlkIjoiMzI1OWRhYmJhNWI2Y2JmMjljYjMxMDA3MmU1MTlkMTAifQ==</vt:lpwstr>
  </property>
</Properties>
</file>