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0BD05">
      <w:pPr>
        <w:pageBreakBefore w:val="0"/>
        <w:kinsoku/>
        <w:overflowPunct/>
        <w:bidi w:val="0"/>
        <w:spacing w:line="500" w:lineRule="exact"/>
        <w:jc w:val="center"/>
        <w:rPr>
          <w:rFonts w:hint="eastAsia" w:ascii="宋体" w:hAnsi="宋体" w:cs="宋体"/>
          <w:b/>
          <w:color w:val="auto"/>
          <w:sz w:val="44"/>
          <w:szCs w:val="44"/>
          <w:highlight w:val="none"/>
        </w:rPr>
      </w:pPr>
      <w:bookmarkStart w:id="448" w:name="_GoBack"/>
      <w:bookmarkEnd w:id="448"/>
    </w:p>
    <w:p w14:paraId="2DF391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2025年陕州区菜园乡沟南村冷库建设项目—设备采购</w:t>
      </w:r>
    </w:p>
    <w:p w14:paraId="59155D4F">
      <w:pPr>
        <w:pageBreakBefore w:val="0"/>
        <w:kinsoku/>
        <w:overflowPunct/>
        <w:bidi w:val="0"/>
        <w:spacing w:line="500" w:lineRule="exact"/>
        <w:jc w:val="center"/>
        <w:rPr>
          <w:rFonts w:hint="eastAsia" w:ascii="宋体" w:hAnsi="宋体"/>
          <w:b/>
          <w:color w:val="auto"/>
          <w:sz w:val="72"/>
          <w:szCs w:val="72"/>
          <w:highlight w:val="none"/>
        </w:rPr>
      </w:pPr>
    </w:p>
    <w:p w14:paraId="2EA7E28D">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宋体" w:hAnsi="宋体"/>
          <w:b/>
          <w:color w:val="auto"/>
          <w:sz w:val="24"/>
          <w:szCs w:val="24"/>
          <w:highlight w:val="none"/>
        </w:rPr>
      </w:pPr>
    </w:p>
    <w:p w14:paraId="37A1F07D">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宋体" w:hAnsi="宋体"/>
          <w:b/>
          <w:color w:val="auto"/>
          <w:sz w:val="72"/>
          <w:szCs w:val="72"/>
          <w:highlight w:val="none"/>
        </w:rPr>
      </w:pPr>
      <w:r>
        <w:rPr>
          <w:rFonts w:hint="eastAsia" w:ascii="宋体" w:hAnsi="宋体"/>
          <w:b/>
          <w:color w:val="auto"/>
          <w:sz w:val="72"/>
          <w:szCs w:val="72"/>
          <w:highlight w:val="none"/>
        </w:rPr>
        <w:t>竞争性磋商文件</w:t>
      </w:r>
    </w:p>
    <w:p w14:paraId="4E62E9D0">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 xml:space="preserve">   项目编号:</w:t>
      </w:r>
      <w:r>
        <w:rPr>
          <w:rFonts w:hint="eastAsia" w:ascii="宋体" w:hAnsi="宋体"/>
          <w:b/>
          <w:color w:val="auto"/>
          <w:sz w:val="30"/>
          <w:szCs w:val="30"/>
          <w:highlight w:val="none"/>
          <w:lang w:val="en-US" w:eastAsia="zh-CN"/>
        </w:rPr>
        <w:t>陕州竞磋采购-2025-75、SZGZ[2025]121-ZC082</w:t>
      </w:r>
    </w:p>
    <w:p w14:paraId="429C8270">
      <w:pPr>
        <w:pageBreakBefore w:val="0"/>
        <w:kinsoku/>
        <w:overflowPunct/>
        <w:bidi w:val="0"/>
        <w:spacing w:line="500" w:lineRule="exact"/>
        <w:jc w:val="center"/>
        <w:rPr>
          <w:rFonts w:hint="default" w:ascii="宋体" w:hAnsi="宋体"/>
          <w:b/>
          <w:color w:val="auto"/>
          <w:sz w:val="30"/>
          <w:szCs w:val="30"/>
          <w:highlight w:val="none"/>
          <w:lang w:val="en-US"/>
        </w:rPr>
      </w:pPr>
    </w:p>
    <w:p w14:paraId="3715B3E7">
      <w:pPr>
        <w:pageBreakBefore w:val="0"/>
        <w:kinsoku/>
        <w:overflowPunct/>
        <w:bidi w:val="0"/>
        <w:spacing w:line="500" w:lineRule="exact"/>
        <w:jc w:val="center"/>
        <w:rPr>
          <w:rFonts w:hint="default" w:ascii="宋体" w:hAnsi="宋体"/>
          <w:b/>
          <w:color w:val="auto"/>
          <w:sz w:val="30"/>
          <w:szCs w:val="30"/>
          <w:highlight w:val="none"/>
          <w:lang w:val="en-US"/>
        </w:rPr>
      </w:pPr>
    </w:p>
    <w:p w14:paraId="252D10FD">
      <w:pPr>
        <w:pageBreakBefore w:val="0"/>
        <w:kinsoku/>
        <w:overflowPunct/>
        <w:bidi w:val="0"/>
        <w:spacing w:line="500" w:lineRule="exact"/>
        <w:jc w:val="center"/>
        <w:rPr>
          <w:rFonts w:hint="default" w:ascii="宋体" w:hAnsi="宋体" w:eastAsia="宋体"/>
          <w:color w:val="auto"/>
          <w:sz w:val="28"/>
          <w:szCs w:val="28"/>
          <w:highlight w:val="none"/>
          <w:lang w:val="en-US" w:eastAsia="zh-CN"/>
        </w:rPr>
      </w:pPr>
    </w:p>
    <w:p w14:paraId="71E66862">
      <w:pPr>
        <w:pageBreakBefore w:val="0"/>
        <w:kinsoku/>
        <w:overflowPunct/>
        <w:bidi w:val="0"/>
        <w:spacing w:line="500" w:lineRule="exact"/>
        <w:ind w:firstLine="2508" w:firstLineChars="896"/>
        <w:rPr>
          <w:rFonts w:hint="eastAsia" w:ascii="宋体" w:hAnsi="宋体"/>
          <w:color w:val="auto"/>
          <w:sz w:val="28"/>
          <w:szCs w:val="28"/>
          <w:highlight w:val="none"/>
        </w:rPr>
      </w:pPr>
    </w:p>
    <w:p w14:paraId="64228C02">
      <w:pPr>
        <w:pStyle w:val="24"/>
        <w:rPr>
          <w:rFonts w:hint="eastAsia"/>
        </w:rPr>
      </w:pPr>
    </w:p>
    <w:p w14:paraId="57178F7C">
      <w:pPr>
        <w:pageBreakBefore w:val="0"/>
        <w:kinsoku/>
        <w:overflowPunct/>
        <w:bidi w:val="0"/>
        <w:spacing w:line="500" w:lineRule="exact"/>
        <w:ind w:firstLine="2233" w:firstLineChars="695"/>
        <w:rPr>
          <w:rFonts w:hint="eastAsia" w:ascii="宋体" w:hAnsi="宋体"/>
          <w:b/>
          <w:color w:val="auto"/>
          <w:sz w:val="32"/>
          <w:szCs w:val="32"/>
          <w:highlight w:val="none"/>
        </w:rPr>
      </w:pPr>
    </w:p>
    <w:p w14:paraId="1BF0CDC8">
      <w:pPr>
        <w:pageBreakBefore w:val="0"/>
        <w:kinsoku/>
        <w:overflowPunct/>
        <w:bidi w:val="0"/>
        <w:spacing w:line="500" w:lineRule="exact"/>
        <w:rPr>
          <w:rFonts w:hint="eastAsia" w:ascii="宋体" w:hAnsi="宋体"/>
          <w:b/>
          <w:color w:val="auto"/>
          <w:sz w:val="44"/>
          <w:szCs w:val="44"/>
          <w:highlight w:val="none"/>
        </w:rPr>
      </w:pPr>
    </w:p>
    <w:p w14:paraId="3481CEDC">
      <w:pPr>
        <w:pageBreakBefore w:val="0"/>
        <w:kinsoku/>
        <w:overflowPunct/>
        <w:bidi w:val="0"/>
        <w:spacing w:line="500" w:lineRule="exact"/>
        <w:rPr>
          <w:rFonts w:hint="eastAsia" w:ascii="宋体" w:hAnsi="宋体"/>
          <w:b/>
          <w:color w:val="auto"/>
          <w:sz w:val="44"/>
          <w:szCs w:val="44"/>
          <w:highlight w:val="none"/>
        </w:rPr>
      </w:pPr>
    </w:p>
    <w:p w14:paraId="7795C613">
      <w:pPr>
        <w:pStyle w:val="24"/>
        <w:rPr>
          <w:rFonts w:hint="eastAsia" w:ascii="宋体" w:hAnsi="宋体"/>
          <w:b/>
          <w:color w:val="auto"/>
          <w:sz w:val="44"/>
          <w:szCs w:val="44"/>
          <w:highlight w:val="none"/>
        </w:rPr>
      </w:pPr>
    </w:p>
    <w:p w14:paraId="6360BCFF">
      <w:pPr>
        <w:pStyle w:val="24"/>
        <w:ind w:left="0" w:leftChars="0" w:firstLine="0" w:firstLineChars="0"/>
        <w:rPr>
          <w:rFonts w:hint="eastAsia"/>
          <w:highlight w:val="none"/>
        </w:rPr>
      </w:pPr>
    </w:p>
    <w:p w14:paraId="53027CB4">
      <w:pPr>
        <w:pageBreakBefore w:val="0"/>
        <w:kinsoku/>
        <w:overflowPunct/>
        <w:bidi w:val="0"/>
        <w:spacing w:line="500" w:lineRule="exact"/>
        <w:ind w:firstLine="643" w:firstLineChars="2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采</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购</w:t>
      </w:r>
      <w:r>
        <w:rPr>
          <w:rFonts w:hint="eastAsia" w:ascii="宋体" w:hAnsi="宋体"/>
          <w:b/>
          <w:color w:val="auto"/>
          <w:sz w:val="32"/>
          <w:szCs w:val="32"/>
          <w:highlight w:val="none"/>
        </w:rPr>
        <w:t xml:space="preserve"> 人：</w:t>
      </w:r>
      <w:r>
        <w:rPr>
          <w:rFonts w:hint="eastAsia" w:ascii="宋体" w:hAnsi="宋体"/>
          <w:b/>
          <w:color w:val="auto"/>
          <w:sz w:val="32"/>
          <w:szCs w:val="32"/>
          <w:highlight w:val="none"/>
          <w:lang w:eastAsia="zh-CN"/>
        </w:rPr>
        <w:t>三门峡市陕州区菜园乡人民政府</w:t>
      </w:r>
    </w:p>
    <w:p w14:paraId="687653FD">
      <w:pPr>
        <w:pageBreakBefore w:val="0"/>
        <w:kinsoku/>
        <w:overflowPunct/>
        <w:bidi w:val="0"/>
        <w:spacing w:line="500" w:lineRule="exact"/>
        <w:ind w:firstLine="643" w:firstLineChars="2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代理机构：</w:t>
      </w:r>
      <w:r>
        <w:rPr>
          <w:rFonts w:hint="eastAsia" w:ascii="宋体" w:hAnsi="宋体"/>
          <w:b/>
          <w:color w:val="auto"/>
          <w:sz w:val="32"/>
          <w:szCs w:val="32"/>
          <w:highlight w:val="none"/>
          <w:lang w:eastAsia="zh-CN"/>
        </w:rPr>
        <w:t>河南锦霖工程管理有限公司</w:t>
      </w:r>
    </w:p>
    <w:p w14:paraId="1BA3F49A">
      <w:pPr>
        <w:pageBreakBefore w:val="0"/>
        <w:kinsoku/>
        <w:overflowPunct/>
        <w:bidi w:val="0"/>
        <w:spacing w:line="500" w:lineRule="exact"/>
        <w:ind w:firstLine="643" w:firstLineChars="200"/>
        <w:rPr>
          <w:rFonts w:ascii="宋体" w:hAnsi="宋体"/>
          <w:b/>
          <w:color w:val="auto"/>
          <w:sz w:val="32"/>
          <w:szCs w:val="32"/>
          <w:highlight w:val="none"/>
        </w:rPr>
      </w:pPr>
      <w:r>
        <w:rPr>
          <w:rFonts w:hint="eastAsia" w:ascii="宋体" w:hAnsi="宋体"/>
          <w:b/>
          <w:color w:val="auto"/>
          <w:sz w:val="32"/>
          <w:szCs w:val="32"/>
          <w:highlight w:val="none"/>
        </w:rPr>
        <w:t>日    期：</w:t>
      </w:r>
      <w:r>
        <w:rPr>
          <w:rFonts w:hint="eastAsia" w:ascii="宋体" w:hAnsi="宋体"/>
          <w:b/>
          <w:color w:val="auto"/>
          <w:sz w:val="32"/>
          <w:szCs w:val="32"/>
          <w:highlight w:val="none"/>
          <w:lang w:val="en-US" w:eastAsia="zh-CN"/>
        </w:rPr>
        <w:t>2025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7</w:t>
      </w:r>
      <w:r>
        <w:rPr>
          <w:rFonts w:hint="eastAsia" w:ascii="宋体" w:hAnsi="宋体"/>
          <w:b/>
          <w:color w:val="auto"/>
          <w:sz w:val="32"/>
          <w:szCs w:val="32"/>
          <w:highlight w:val="none"/>
        </w:rPr>
        <w:t>月</w:t>
      </w:r>
    </w:p>
    <w:p w14:paraId="6FA0084E">
      <w:pPr>
        <w:pStyle w:val="20"/>
        <w:pageBreakBefore w:val="0"/>
        <w:kinsoku/>
        <w:overflowPunct/>
        <w:bidi w:val="0"/>
        <w:spacing w:line="500" w:lineRule="exact"/>
        <w:jc w:val="both"/>
        <w:rPr>
          <w:rFonts w:hint="eastAsia" w:ascii="宋体" w:hAnsi="宋体" w:eastAsia="宋体"/>
          <w:color w:val="auto"/>
          <w:sz w:val="44"/>
          <w:szCs w:val="44"/>
          <w:highlight w:val="none"/>
        </w:rPr>
        <w:sectPr>
          <w:footerReference r:id="rId6" w:type="first"/>
          <w:headerReference r:id="rId3" w:type="default"/>
          <w:footerReference r:id="rId4" w:type="default"/>
          <w:footerReference r:id="rId5" w:type="even"/>
          <w:pgSz w:w="12240" w:h="15840"/>
          <w:pgMar w:top="1417" w:right="1134" w:bottom="1417" w:left="1417" w:header="720" w:footer="720" w:gutter="0"/>
          <w:pgNumType w:fmt="decimal" w:start="1"/>
          <w:cols w:space="720" w:num="1"/>
          <w:rtlGutter w:val="0"/>
        </w:sectPr>
      </w:pPr>
    </w:p>
    <w:p w14:paraId="43DC9AC0">
      <w:pPr>
        <w:pageBreakBefore w:val="0"/>
        <w:kinsoku/>
        <w:overflowPunct/>
        <w:bidi w:val="0"/>
        <w:spacing w:line="500" w:lineRule="exact"/>
        <w:jc w:val="center"/>
        <w:rPr>
          <w:rFonts w:ascii="宋体" w:hAnsi="宋体"/>
          <w:b/>
          <w:bCs/>
          <w:sz w:val="36"/>
          <w:szCs w:val="36"/>
          <w:highlight w:val="none"/>
        </w:rPr>
      </w:pPr>
      <w:r>
        <w:rPr>
          <w:rFonts w:ascii="宋体" w:hAnsi="宋体"/>
          <w:b/>
          <w:bCs/>
          <w:sz w:val="36"/>
          <w:szCs w:val="36"/>
          <w:highlight w:val="none"/>
        </w:rPr>
        <w:t>目</w:t>
      </w:r>
      <w:r>
        <w:rPr>
          <w:rFonts w:hint="eastAsia" w:ascii="宋体" w:hAnsi="宋体"/>
          <w:b/>
          <w:bCs/>
          <w:sz w:val="36"/>
          <w:szCs w:val="36"/>
          <w:highlight w:val="none"/>
          <w:lang w:val="en-US" w:eastAsia="zh-CN"/>
        </w:rPr>
        <w:t xml:space="preserve">  </w:t>
      </w:r>
      <w:r>
        <w:rPr>
          <w:rFonts w:ascii="宋体" w:hAnsi="宋体"/>
          <w:b/>
          <w:bCs/>
          <w:sz w:val="36"/>
          <w:szCs w:val="36"/>
          <w:highlight w:val="none"/>
        </w:rPr>
        <w:t>录</w:t>
      </w:r>
    </w:p>
    <w:p w14:paraId="76B99240">
      <w:pPr>
        <w:pStyle w:val="10"/>
        <w:pageBreakBefore w:val="0"/>
        <w:kinsoku/>
        <w:overflowPunct/>
        <w:bidi w:val="0"/>
        <w:spacing w:line="500" w:lineRule="exact"/>
        <w:rPr>
          <w:highlight w:val="none"/>
        </w:rPr>
      </w:pPr>
    </w:p>
    <w:p w14:paraId="16E2EDAC">
      <w:pPr>
        <w:pStyle w:val="21"/>
        <w:pageBreakBefore w:val="0"/>
        <w:kinsoku/>
        <w:overflowPunct/>
        <w:bidi w:val="0"/>
        <w:spacing w:line="500" w:lineRule="exact"/>
        <w:rPr>
          <w:highlight w:val="none"/>
        </w:rPr>
      </w:pPr>
    </w:p>
    <w:p w14:paraId="35C79EF7">
      <w:pPr>
        <w:pageBreakBefore w:val="0"/>
        <w:kinsoku/>
        <w:overflowPunct/>
        <w:bidi w:val="0"/>
        <w:spacing w:line="500" w:lineRule="exact"/>
        <w:rPr>
          <w:highlight w:val="none"/>
        </w:rPr>
      </w:pPr>
    </w:p>
    <w:p w14:paraId="2E20C018">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cs="宋体"/>
          <w:kern w:val="2"/>
          <w:sz w:val="32"/>
          <w:szCs w:val="32"/>
          <w:highlight w:val="none"/>
        </w:rPr>
        <w:fldChar w:fldCharType="begin"/>
      </w:r>
      <w:r>
        <w:rPr>
          <w:rFonts w:hint="eastAsia" w:cs="宋体"/>
          <w:kern w:val="2"/>
          <w:sz w:val="32"/>
          <w:szCs w:val="32"/>
          <w:highlight w:val="none"/>
        </w:rPr>
        <w:instrText xml:space="preserve">TOC \o "1-3" \h \u </w:instrText>
      </w:r>
      <w:r>
        <w:rPr>
          <w:rFonts w:hint="eastAsia" w:cs="宋体"/>
          <w:kern w:val="2"/>
          <w:sz w:val="32"/>
          <w:szCs w:val="32"/>
          <w:highlight w:val="none"/>
        </w:rPr>
        <w:fldChar w:fldCharType="separate"/>
      </w: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_Toc6232 </w:instrText>
      </w:r>
      <w:r>
        <w:rPr>
          <w:rFonts w:hint="eastAsia" w:ascii="宋体" w:hAnsi="宋体" w:eastAsia="宋体" w:cs="宋体"/>
          <w:kern w:val="2"/>
          <w:sz w:val="24"/>
          <w:szCs w:val="24"/>
          <w:highlight w:val="none"/>
        </w:rPr>
        <w:fldChar w:fldCharType="separate"/>
      </w:r>
      <w:r>
        <w:rPr>
          <w:rFonts w:hint="eastAsia" w:ascii="宋体" w:hAnsi="宋体" w:eastAsia="宋体" w:cs="宋体"/>
          <w:sz w:val="24"/>
          <w:szCs w:val="24"/>
          <w:highlight w:val="none"/>
        </w:rPr>
        <w:t>第一章 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_Toc6232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50167832">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_Toc7999 </w:instrText>
      </w:r>
      <w:r>
        <w:rPr>
          <w:rFonts w:hint="eastAsia" w:ascii="宋体" w:hAnsi="宋体" w:eastAsia="宋体" w:cs="宋体"/>
          <w:kern w:val="2"/>
          <w:sz w:val="24"/>
          <w:szCs w:val="24"/>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_Toc7999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341B0C72">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_Toc22255 </w:instrText>
      </w:r>
      <w:r>
        <w:rPr>
          <w:rFonts w:hint="eastAsia" w:ascii="宋体" w:hAnsi="宋体" w:eastAsia="宋体" w:cs="宋体"/>
          <w:kern w:val="2"/>
          <w:sz w:val="24"/>
          <w:szCs w:val="24"/>
          <w:highlight w:val="none"/>
        </w:rPr>
        <w:fldChar w:fldCharType="separate"/>
      </w:r>
      <w:r>
        <w:rPr>
          <w:rFonts w:hint="eastAsia" w:ascii="宋体" w:hAnsi="宋体" w:eastAsia="宋体" w:cs="宋体"/>
          <w:sz w:val="24"/>
          <w:szCs w:val="24"/>
          <w:highlight w:val="none"/>
        </w:rPr>
        <w:t>第三章采购</w:t>
      </w:r>
      <w:r>
        <w:rPr>
          <w:rFonts w:hint="eastAsia" w:ascii="宋体" w:hAnsi="宋体" w:eastAsia="宋体" w:cs="宋体"/>
          <w:sz w:val="24"/>
          <w:szCs w:val="24"/>
          <w:highlight w:val="none"/>
          <w:lang w:eastAsia="zh-CN"/>
        </w:rPr>
        <w:t>清单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_Toc22255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3194ED8C">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_Toc22626 </w:instrText>
      </w:r>
      <w:r>
        <w:rPr>
          <w:rFonts w:hint="eastAsia" w:ascii="宋体" w:hAnsi="宋体" w:eastAsia="宋体" w:cs="宋体"/>
          <w:kern w:val="2"/>
          <w:sz w:val="24"/>
          <w:szCs w:val="24"/>
          <w:highlight w:val="none"/>
        </w:rPr>
        <w:fldChar w:fldCharType="separate"/>
      </w:r>
      <w:r>
        <w:rPr>
          <w:rFonts w:hint="eastAsia" w:ascii="宋体" w:hAnsi="宋体" w:eastAsia="宋体" w:cs="宋体"/>
          <w:sz w:val="24"/>
          <w:szCs w:val="24"/>
          <w:highlight w:val="none"/>
        </w:rPr>
        <w:t>第四章</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办法（综合评分法）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_Toc22626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5876203C">
      <w:pPr>
        <w:pStyle w:val="21"/>
        <w:keepNext w:val="0"/>
        <w:keepLines w:val="0"/>
        <w:pageBreakBefore w:val="0"/>
        <w:widowControl w:val="0"/>
        <w:tabs>
          <w:tab w:val="right" w:leader="dot" w:pos="903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_Toc24517 </w:instrText>
      </w:r>
      <w:r>
        <w:rPr>
          <w:rFonts w:hint="eastAsia" w:ascii="宋体" w:hAnsi="宋体" w:eastAsia="宋体" w:cs="宋体"/>
          <w:kern w:val="2"/>
          <w:sz w:val="24"/>
          <w:szCs w:val="24"/>
          <w:highlight w:val="none"/>
        </w:rPr>
        <w:fldChar w:fldCharType="separate"/>
      </w:r>
      <w:r>
        <w:rPr>
          <w:rFonts w:hint="eastAsia" w:ascii="宋体" w:hAnsi="宋体" w:cs="宋体"/>
          <w:sz w:val="24"/>
          <w:szCs w:val="24"/>
          <w:highlight w:val="none"/>
          <w:lang w:eastAsia="zh-CN"/>
        </w:rPr>
        <w:t>评审办法前附表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_Toc24517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4E51E898">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_Toc19153 </w:instrText>
      </w:r>
      <w:r>
        <w:rPr>
          <w:rFonts w:hint="eastAsia" w:ascii="宋体" w:hAnsi="宋体" w:eastAsia="宋体" w:cs="宋体"/>
          <w:kern w:val="2"/>
          <w:sz w:val="24"/>
          <w:szCs w:val="24"/>
          <w:highlight w:val="none"/>
        </w:rPr>
        <w:fldChar w:fldCharType="separate"/>
      </w:r>
      <w:r>
        <w:rPr>
          <w:rFonts w:hint="eastAsia" w:ascii="宋体" w:hAnsi="宋体" w:eastAsia="宋体" w:cs="宋体"/>
          <w:bCs/>
          <w:sz w:val="24"/>
          <w:szCs w:val="24"/>
          <w:highlight w:val="none"/>
        </w:rPr>
        <w:t>第五章合同条款及格式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3E617C75">
      <w:pPr>
        <w:pStyle w:val="20"/>
        <w:keepNext w:val="0"/>
        <w:keepLines w:val="0"/>
        <w:pageBreakBefore w:val="0"/>
        <w:widowControl w:val="0"/>
        <w:tabs>
          <w:tab w:val="right" w:leader="dot" w:pos="9035"/>
          <w:tab w:val="clear" w:pos="9345"/>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fldChar w:fldCharType="begin"/>
      </w:r>
      <w:r>
        <w:rPr>
          <w:rFonts w:hint="eastAsia" w:ascii="宋体" w:hAnsi="宋体" w:eastAsia="宋体" w:cs="宋体"/>
          <w:kern w:val="2"/>
          <w:sz w:val="24"/>
          <w:szCs w:val="24"/>
          <w:highlight w:val="none"/>
        </w:rPr>
        <w:instrText xml:space="preserve"> HYPERLINK \l _Toc22719 </w:instrText>
      </w:r>
      <w:r>
        <w:rPr>
          <w:rFonts w:hint="eastAsia" w:ascii="宋体" w:hAnsi="宋体" w:eastAsia="宋体" w:cs="宋体"/>
          <w:kern w:val="2"/>
          <w:sz w:val="24"/>
          <w:szCs w:val="24"/>
          <w:highlight w:val="none"/>
        </w:rPr>
        <w:fldChar w:fldCharType="separate"/>
      </w:r>
      <w:r>
        <w:rPr>
          <w:rFonts w:hint="eastAsia" w:ascii="宋体" w:hAnsi="宋体" w:eastAsia="宋体" w:cs="宋体"/>
          <w:kern w:val="2"/>
          <w:sz w:val="24"/>
          <w:szCs w:val="24"/>
          <w:highlight w:val="none"/>
        </w:rPr>
        <w:t>第六章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_Toc22719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45</w:t>
      </w:r>
      <w:r>
        <w:rPr>
          <w:rFonts w:hint="eastAsia" w:ascii="宋体" w:hAnsi="宋体" w:eastAsia="宋体" w:cs="宋体"/>
          <w:sz w:val="24"/>
          <w:szCs w:val="24"/>
          <w:highlight w:val="none"/>
        </w:rPr>
        <w:fldChar w:fldCharType="end"/>
      </w:r>
      <w:r>
        <w:rPr>
          <w:rFonts w:hint="eastAsia" w:ascii="宋体" w:hAnsi="宋体" w:eastAsia="宋体" w:cs="宋体"/>
          <w:kern w:val="2"/>
          <w:sz w:val="24"/>
          <w:szCs w:val="24"/>
          <w:highlight w:val="none"/>
        </w:rPr>
        <w:fldChar w:fldCharType="end"/>
      </w:r>
    </w:p>
    <w:p w14:paraId="6957493E">
      <w:pPr>
        <w:pStyle w:val="21"/>
        <w:pageBreakBefore w:val="0"/>
        <w:tabs>
          <w:tab w:val="right" w:leader="dot" w:pos="9035"/>
        </w:tabs>
        <w:kinsoku/>
        <w:overflowPunct/>
        <w:bidi w:val="0"/>
        <w:spacing w:line="500" w:lineRule="exact"/>
        <w:rPr>
          <w:highlight w:val="none"/>
        </w:rPr>
      </w:pPr>
    </w:p>
    <w:p w14:paraId="43E0A13D">
      <w:pPr>
        <w:pageBreakBefore w:val="0"/>
        <w:kinsoku/>
        <w:overflowPunct/>
        <w:bidi w:val="0"/>
        <w:spacing w:line="500" w:lineRule="exact"/>
        <w:rPr>
          <w:rFonts w:hint="eastAsia" w:cs="宋体"/>
          <w:kern w:val="2"/>
          <w:sz w:val="32"/>
          <w:szCs w:val="32"/>
          <w:highlight w:val="none"/>
        </w:rPr>
      </w:pPr>
      <w:r>
        <w:rPr>
          <w:rFonts w:hint="eastAsia" w:cs="宋体"/>
          <w:kern w:val="2"/>
          <w:szCs w:val="32"/>
          <w:highlight w:val="none"/>
        </w:rPr>
        <w:fldChar w:fldCharType="end"/>
      </w:r>
    </w:p>
    <w:p w14:paraId="6A54479F">
      <w:pPr>
        <w:pageBreakBefore w:val="0"/>
        <w:kinsoku/>
        <w:overflowPunct/>
        <w:bidi w:val="0"/>
        <w:spacing w:line="500" w:lineRule="exact"/>
        <w:rPr>
          <w:rFonts w:hint="eastAsia"/>
          <w:highlight w:val="none"/>
        </w:rPr>
      </w:pPr>
    </w:p>
    <w:p w14:paraId="5307F412">
      <w:pPr>
        <w:pageBreakBefore w:val="0"/>
        <w:kinsoku/>
        <w:overflowPunct/>
        <w:bidi w:val="0"/>
        <w:spacing w:line="500" w:lineRule="exact"/>
        <w:rPr>
          <w:rFonts w:hint="eastAsia"/>
          <w:highlight w:val="none"/>
        </w:rPr>
      </w:pPr>
    </w:p>
    <w:p w14:paraId="30D9A095">
      <w:pPr>
        <w:pageBreakBefore w:val="0"/>
        <w:kinsoku/>
        <w:overflowPunct/>
        <w:bidi w:val="0"/>
        <w:spacing w:line="500" w:lineRule="exact"/>
        <w:rPr>
          <w:rFonts w:hint="eastAsia"/>
          <w:highlight w:val="none"/>
        </w:rPr>
      </w:pPr>
    </w:p>
    <w:p w14:paraId="131B9F3D">
      <w:pPr>
        <w:pageBreakBefore w:val="0"/>
        <w:kinsoku/>
        <w:overflowPunct/>
        <w:bidi w:val="0"/>
        <w:spacing w:line="500" w:lineRule="exact"/>
        <w:rPr>
          <w:rFonts w:hint="eastAsia"/>
          <w:highlight w:val="none"/>
        </w:rPr>
      </w:pPr>
    </w:p>
    <w:p w14:paraId="70F983F2">
      <w:pPr>
        <w:pageBreakBefore w:val="0"/>
        <w:kinsoku/>
        <w:overflowPunct/>
        <w:bidi w:val="0"/>
        <w:spacing w:line="500" w:lineRule="exact"/>
        <w:rPr>
          <w:rFonts w:hint="eastAsia"/>
          <w:highlight w:val="none"/>
        </w:rPr>
      </w:pPr>
    </w:p>
    <w:p w14:paraId="3B6F0200">
      <w:pPr>
        <w:pageBreakBefore w:val="0"/>
        <w:kinsoku/>
        <w:overflowPunct/>
        <w:bidi w:val="0"/>
        <w:spacing w:line="500" w:lineRule="exact"/>
        <w:rPr>
          <w:rFonts w:hint="eastAsia"/>
          <w:highlight w:val="none"/>
        </w:rPr>
      </w:pPr>
    </w:p>
    <w:p w14:paraId="351F6563">
      <w:pPr>
        <w:pageBreakBefore w:val="0"/>
        <w:kinsoku/>
        <w:overflowPunct/>
        <w:bidi w:val="0"/>
        <w:spacing w:line="500" w:lineRule="exact"/>
        <w:rPr>
          <w:rFonts w:hint="eastAsia"/>
          <w:highlight w:val="none"/>
        </w:rPr>
      </w:pPr>
    </w:p>
    <w:p w14:paraId="610B9DDC">
      <w:pPr>
        <w:pageBreakBefore w:val="0"/>
        <w:kinsoku/>
        <w:overflowPunct/>
        <w:bidi w:val="0"/>
        <w:spacing w:line="500" w:lineRule="exact"/>
        <w:rPr>
          <w:rFonts w:hint="eastAsia"/>
          <w:highlight w:val="none"/>
        </w:rPr>
      </w:pPr>
    </w:p>
    <w:p w14:paraId="1C9A63D9">
      <w:pPr>
        <w:pStyle w:val="25"/>
        <w:pageBreakBefore w:val="0"/>
        <w:kinsoku/>
        <w:overflowPunct/>
        <w:bidi w:val="0"/>
        <w:spacing w:line="500" w:lineRule="exact"/>
        <w:rPr>
          <w:rFonts w:hint="eastAsia"/>
          <w:highlight w:val="none"/>
        </w:rPr>
      </w:pPr>
    </w:p>
    <w:p w14:paraId="694352AE">
      <w:pPr>
        <w:pageBreakBefore w:val="0"/>
        <w:kinsoku/>
        <w:overflowPunct/>
        <w:bidi w:val="0"/>
        <w:spacing w:line="500" w:lineRule="exact"/>
        <w:rPr>
          <w:rFonts w:hint="eastAsia"/>
          <w:highlight w:val="none"/>
        </w:rPr>
      </w:pPr>
    </w:p>
    <w:p w14:paraId="653338AE">
      <w:pPr>
        <w:pageBreakBefore w:val="0"/>
        <w:kinsoku/>
        <w:overflowPunct/>
        <w:bidi w:val="0"/>
        <w:spacing w:line="500" w:lineRule="exact"/>
        <w:rPr>
          <w:rFonts w:hint="eastAsia"/>
          <w:highlight w:val="none"/>
        </w:rPr>
      </w:pPr>
    </w:p>
    <w:p w14:paraId="6AC4A1D3">
      <w:pPr>
        <w:pageBreakBefore w:val="0"/>
        <w:kinsoku/>
        <w:overflowPunct/>
        <w:bidi w:val="0"/>
        <w:spacing w:line="500" w:lineRule="exact"/>
        <w:rPr>
          <w:rFonts w:hint="eastAsia"/>
          <w:highlight w:val="none"/>
        </w:rPr>
      </w:pPr>
    </w:p>
    <w:p w14:paraId="37C40F58">
      <w:pPr>
        <w:pageBreakBefore w:val="0"/>
        <w:kinsoku/>
        <w:overflowPunct/>
        <w:bidi w:val="0"/>
        <w:spacing w:line="500" w:lineRule="exact"/>
        <w:rPr>
          <w:rFonts w:hint="eastAsia"/>
          <w:highlight w:val="none"/>
        </w:rPr>
      </w:pPr>
    </w:p>
    <w:p w14:paraId="36A3E318">
      <w:pPr>
        <w:pStyle w:val="2"/>
        <w:pageBreakBefore w:val="0"/>
        <w:kinsoku/>
        <w:overflowPunct/>
        <w:bidi w:val="0"/>
        <w:spacing w:line="500" w:lineRule="exact"/>
        <w:rPr>
          <w:highlight w:val="none"/>
        </w:rPr>
      </w:pPr>
      <w:bookmarkStart w:id="0" w:name="_Toc6232"/>
      <w:r>
        <w:rPr>
          <w:rFonts w:hint="eastAsia"/>
          <w:highlight w:val="none"/>
        </w:rPr>
        <w:t>第一章 竞争性磋商公告</w:t>
      </w:r>
      <w:bookmarkEnd w:id="0"/>
    </w:p>
    <w:p w14:paraId="76B4B28C">
      <w:pPr>
        <w:pStyle w:val="2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default"/>
          <w:b w:val="0"/>
          <w:bCs w:val="0"/>
          <w:color w:val="auto"/>
          <w:shd w:val="clear" w:color="auto" w:fill="FFFFFF"/>
          <w:lang w:val="en-US" w:eastAsia="zh-CN"/>
        </w:rPr>
      </w:pPr>
      <w:bookmarkStart w:id="1" w:name="_Toc35393621"/>
      <w:bookmarkStart w:id="2" w:name="_Toc28359002"/>
      <w:bookmarkStart w:id="3" w:name="_Toc35393790"/>
      <w:bookmarkStart w:id="4" w:name="_Toc28359079"/>
      <w:bookmarkStart w:id="5" w:name="_Hlk24379207"/>
      <w:r>
        <w:rPr>
          <w:rFonts w:hint="eastAsia"/>
          <w:b/>
          <w:bCs/>
          <w:color w:val="auto"/>
          <w:shd w:val="clear" w:color="auto" w:fill="FFFFFF"/>
          <w:lang w:val="en-US" w:eastAsia="zh-CN"/>
        </w:rPr>
        <w:t>项目概况</w:t>
      </w:r>
    </w:p>
    <w:p w14:paraId="3DEC9A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highlight w:val="none"/>
          <w:lang w:val="en-US" w:eastAsia="zh-CN"/>
        </w:rPr>
      </w:pPr>
      <w:r>
        <w:rPr>
          <w:rFonts w:hint="eastAsia" w:ascii="宋体" w:hAnsi="宋体" w:cs="Times New Roman"/>
          <w:sz w:val="24"/>
          <w:highlight w:val="none"/>
          <w:lang w:val="en-US" w:eastAsia="zh-CN"/>
        </w:rPr>
        <w:t>2025年陕州区菜园乡沟南村冷库建设项目—设备采购</w:t>
      </w:r>
      <w:r>
        <w:rPr>
          <w:rFonts w:hint="default" w:ascii="宋体" w:hAnsi="宋体" w:eastAsia="宋体" w:cs="Times New Roman"/>
          <w:sz w:val="24"/>
          <w:highlight w:val="none"/>
          <w:lang w:val="en-US" w:eastAsia="zh-CN"/>
        </w:rPr>
        <w:t>招标项目的潜在</w:t>
      </w:r>
      <w:r>
        <w:rPr>
          <w:rFonts w:hint="eastAsia" w:ascii="宋体" w:hAnsi="宋体" w:eastAsia="宋体" w:cs="Times New Roman"/>
          <w:sz w:val="24"/>
          <w:highlight w:val="none"/>
          <w:lang w:val="en-US" w:eastAsia="zh-CN"/>
        </w:rPr>
        <w:t>供应商</w:t>
      </w:r>
      <w:r>
        <w:rPr>
          <w:rFonts w:hint="default" w:ascii="宋体" w:hAnsi="宋体" w:eastAsia="宋体" w:cs="Times New Roman"/>
          <w:sz w:val="24"/>
          <w:highlight w:val="none"/>
          <w:lang w:val="en-US" w:eastAsia="zh-CN"/>
        </w:rPr>
        <w:t>应在三门峡市公共资源交易中心网（网址：http://gzjy.smx.gov.cn/）获取</w:t>
      </w:r>
      <w:r>
        <w:rPr>
          <w:rFonts w:hint="eastAsia" w:ascii="宋体" w:hAnsi="宋体" w:eastAsia="宋体" w:cs="Times New Roman"/>
          <w:sz w:val="24"/>
          <w:highlight w:val="none"/>
          <w:lang w:val="en-US" w:eastAsia="zh-CN"/>
        </w:rPr>
        <w:t>磋商</w:t>
      </w:r>
      <w:r>
        <w:rPr>
          <w:rFonts w:hint="default" w:ascii="宋体" w:hAnsi="宋体" w:eastAsia="宋体" w:cs="Times New Roman"/>
          <w:sz w:val="24"/>
          <w:highlight w:val="none"/>
          <w:lang w:val="en-US" w:eastAsia="zh-CN"/>
        </w:rPr>
        <w:t>文件，并于202</w:t>
      </w:r>
      <w:r>
        <w:rPr>
          <w:rFonts w:hint="eastAsia" w:ascii="宋体" w:hAnsi="宋体" w:cs="Times New Roman"/>
          <w:sz w:val="24"/>
          <w:highlight w:val="none"/>
          <w:lang w:val="en-US" w:eastAsia="zh-CN"/>
        </w:rPr>
        <w:t>5</w:t>
      </w:r>
      <w:r>
        <w:rPr>
          <w:rFonts w:hint="default" w:ascii="宋体" w:hAnsi="宋体" w:eastAsia="宋体" w:cs="Times New Roman"/>
          <w:sz w:val="24"/>
          <w:highlight w:val="none"/>
          <w:lang w:val="en-US" w:eastAsia="zh-CN"/>
        </w:rPr>
        <w:t>年</w:t>
      </w:r>
      <w:r>
        <w:rPr>
          <w:rFonts w:hint="eastAsia" w:ascii="宋体" w:hAnsi="宋体" w:cs="Times New Roman"/>
          <w:sz w:val="24"/>
          <w:highlight w:val="none"/>
          <w:lang w:val="en-US" w:eastAsia="zh-CN"/>
        </w:rPr>
        <w:t>7</w:t>
      </w:r>
      <w:r>
        <w:rPr>
          <w:rFonts w:hint="default" w:ascii="宋体" w:hAnsi="宋体" w:eastAsia="宋体" w:cs="Times New Roman"/>
          <w:sz w:val="24"/>
          <w:highlight w:val="none"/>
          <w:lang w:val="en-US" w:eastAsia="zh-CN"/>
        </w:rPr>
        <w:t>月</w:t>
      </w:r>
      <w:r>
        <w:rPr>
          <w:rFonts w:hint="eastAsia" w:ascii="宋体" w:hAnsi="宋体" w:cs="Times New Roman"/>
          <w:sz w:val="24"/>
          <w:highlight w:val="none"/>
          <w:lang w:val="en-US" w:eastAsia="zh-CN"/>
        </w:rPr>
        <w:t>22</w:t>
      </w:r>
      <w:r>
        <w:rPr>
          <w:rFonts w:hint="default" w:ascii="宋体" w:hAnsi="宋体" w:eastAsia="宋体" w:cs="Times New Roman"/>
          <w:sz w:val="24"/>
          <w:highlight w:val="none"/>
          <w:lang w:val="en-US" w:eastAsia="zh-CN"/>
        </w:rPr>
        <w:t>日</w:t>
      </w:r>
      <w:r>
        <w:rPr>
          <w:rFonts w:hint="eastAsia" w:ascii="宋体" w:hAnsi="宋体" w:eastAsia="宋体" w:cs="Times New Roman"/>
          <w:sz w:val="24"/>
          <w:highlight w:val="none"/>
          <w:lang w:val="en-US" w:eastAsia="zh-CN"/>
        </w:rPr>
        <w:t>08</w:t>
      </w:r>
      <w:r>
        <w:rPr>
          <w:rFonts w:hint="default" w:ascii="宋体" w:hAnsi="宋体" w:eastAsia="宋体" w:cs="Times New Roman"/>
          <w:sz w:val="24"/>
          <w:highlight w:val="none"/>
          <w:lang w:val="en-US" w:eastAsia="zh-CN"/>
        </w:rPr>
        <w:t>时</w:t>
      </w:r>
      <w:r>
        <w:rPr>
          <w:rFonts w:hint="eastAsia" w:ascii="宋体" w:hAnsi="宋体" w:eastAsia="宋体" w:cs="Times New Roman"/>
          <w:sz w:val="24"/>
          <w:highlight w:val="none"/>
          <w:lang w:val="en-US" w:eastAsia="zh-CN"/>
        </w:rPr>
        <w:t>30</w:t>
      </w:r>
      <w:r>
        <w:rPr>
          <w:rFonts w:hint="default" w:ascii="宋体" w:hAnsi="宋体" w:eastAsia="宋体" w:cs="Times New Roman"/>
          <w:sz w:val="24"/>
          <w:highlight w:val="none"/>
          <w:lang w:val="en-US" w:eastAsia="zh-CN"/>
        </w:rPr>
        <w:t>分（北京时间）前提交响应文件。</w:t>
      </w:r>
    </w:p>
    <w:p w14:paraId="4C913BB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bCs/>
          <w:sz w:val="24"/>
          <w:highlight w:val="none"/>
        </w:rPr>
      </w:pPr>
      <w:r>
        <w:rPr>
          <w:rFonts w:hint="eastAsia" w:ascii="宋体" w:hAnsi="宋体"/>
          <w:b/>
          <w:bCs/>
          <w:sz w:val="24"/>
          <w:highlight w:val="none"/>
        </w:rPr>
        <w:t>一、项目基本情况</w:t>
      </w:r>
      <w:bookmarkEnd w:id="1"/>
      <w:bookmarkEnd w:id="2"/>
      <w:bookmarkEnd w:id="3"/>
      <w:bookmarkEnd w:id="4"/>
    </w:p>
    <w:p w14:paraId="4A51CC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sz w:val="24"/>
          <w:highlight w:val="none"/>
          <w:lang w:val="en-US" w:eastAsia="zh-CN"/>
        </w:rPr>
      </w:pPr>
      <w:r>
        <w:rPr>
          <w:rFonts w:hint="eastAsia" w:ascii="宋体" w:hAnsi="宋体"/>
          <w:sz w:val="24"/>
          <w:highlight w:val="none"/>
        </w:rPr>
        <w:t>1、项目编号：</w:t>
      </w:r>
      <w:r>
        <w:rPr>
          <w:rFonts w:hint="eastAsia" w:ascii="宋体" w:hAnsi="宋体"/>
          <w:sz w:val="24"/>
          <w:highlight w:val="none"/>
          <w:lang w:val="en-US" w:eastAsia="zh-CN"/>
        </w:rPr>
        <w:t>陕州竞磋采购-2025-75、SZGZ[2025]121-ZC082</w:t>
      </w:r>
    </w:p>
    <w:p w14:paraId="7A10EF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highlight w:val="none"/>
        </w:rPr>
      </w:pPr>
      <w:r>
        <w:rPr>
          <w:rFonts w:hint="eastAsia" w:ascii="宋体" w:hAnsi="宋体"/>
          <w:sz w:val="24"/>
          <w:highlight w:val="none"/>
        </w:rPr>
        <w:t>2、项目名称：</w:t>
      </w:r>
      <w:r>
        <w:rPr>
          <w:rFonts w:hint="eastAsia" w:ascii="宋体" w:hAnsi="宋体"/>
          <w:sz w:val="24"/>
          <w:highlight w:val="none"/>
          <w:lang w:eastAsia="zh-CN"/>
        </w:rPr>
        <w:t>2025年陕州区菜园乡沟南村冷库建设项目—设备采购</w:t>
      </w:r>
    </w:p>
    <w:bookmarkEnd w:id="5"/>
    <w:p w14:paraId="755EAD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3、预算金额：</w:t>
      </w:r>
      <w:r>
        <w:rPr>
          <w:rFonts w:hint="eastAsia" w:ascii="宋体" w:hAnsi="宋体" w:cs="宋体"/>
          <w:color w:val="auto"/>
          <w:sz w:val="24"/>
          <w:highlight w:val="none"/>
          <w:lang w:val="en-US" w:eastAsia="zh-CN"/>
        </w:rPr>
        <w:t>997160.00</w:t>
      </w:r>
      <w:r>
        <w:rPr>
          <w:rFonts w:hint="eastAsia" w:ascii="宋体" w:hAnsi="宋体"/>
          <w:color w:val="auto"/>
          <w:sz w:val="24"/>
          <w:highlight w:val="none"/>
        </w:rPr>
        <w:t>元</w:t>
      </w:r>
    </w:p>
    <w:p w14:paraId="47C9CC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4、最高限价：</w:t>
      </w:r>
      <w:r>
        <w:rPr>
          <w:rFonts w:hint="eastAsia" w:ascii="宋体" w:hAnsi="宋体" w:cs="宋体"/>
          <w:color w:val="auto"/>
          <w:sz w:val="24"/>
          <w:highlight w:val="none"/>
          <w:lang w:val="en-US" w:eastAsia="zh-CN"/>
        </w:rPr>
        <w:t>997160.00</w:t>
      </w:r>
      <w:r>
        <w:rPr>
          <w:rFonts w:hint="eastAsia" w:ascii="宋体" w:hAnsi="宋体"/>
          <w:color w:val="auto"/>
          <w:sz w:val="24"/>
          <w:highlight w:val="none"/>
        </w:rPr>
        <w:t>元</w:t>
      </w:r>
      <w:r>
        <w:rPr>
          <w:rFonts w:hint="eastAsia" w:ascii="宋体" w:hAnsi="宋体"/>
          <w:color w:val="auto"/>
          <w:sz w:val="24"/>
          <w:highlight w:val="none"/>
          <w:lang w:eastAsia="zh-CN"/>
        </w:rPr>
        <w:t>；</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3248"/>
        <w:gridCol w:w="1889"/>
        <w:gridCol w:w="1841"/>
        <w:gridCol w:w="1841"/>
      </w:tblGrid>
      <w:tr w14:paraId="2A38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395" w:type="pct"/>
            <w:noWrap w:val="0"/>
            <w:vAlign w:val="center"/>
          </w:tcPr>
          <w:p w14:paraId="4695C442">
            <w:pPr>
              <w:pStyle w:val="25"/>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序号</w:t>
            </w:r>
          </w:p>
        </w:tc>
        <w:tc>
          <w:tcPr>
            <w:tcW w:w="1695" w:type="pct"/>
            <w:noWrap w:val="0"/>
            <w:vAlign w:val="center"/>
          </w:tcPr>
          <w:p w14:paraId="1487717A">
            <w:pPr>
              <w:pStyle w:val="25"/>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包号</w:t>
            </w:r>
          </w:p>
        </w:tc>
        <w:tc>
          <w:tcPr>
            <w:tcW w:w="986" w:type="pct"/>
            <w:noWrap w:val="0"/>
            <w:vAlign w:val="center"/>
          </w:tcPr>
          <w:p w14:paraId="5A8C98F5">
            <w:pPr>
              <w:pStyle w:val="25"/>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包名称</w:t>
            </w:r>
          </w:p>
        </w:tc>
        <w:tc>
          <w:tcPr>
            <w:tcW w:w="961" w:type="pct"/>
            <w:noWrap w:val="0"/>
            <w:vAlign w:val="center"/>
          </w:tcPr>
          <w:p w14:paraId="33CE43E3">
            <w:pPr>
              <w:pStyle w:val="25"/>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包预算（元）</w:t>
            </w:r>
          </w:p>
        </w:tc>
        <w:tc>
          <w:tcPr>
            <w:tcW w:w="961" w:type="pct"/>
            <w:noWrap w:val="0"/>
            <w:vAlign w:val="center"/>
          </w:tcPr>
          <w:p w14:paraId="7C2A2258">
            <w:pPr>
              <w:pStyle w:val="25"/>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包最高限价（元）</w:t>
            </w:r>
          </w:p>
        </w:tc>
      </w:tr>
      <w:tr w14:paraId="4E4D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5" w:type="pct"/>
            <w:noWrap w:val="0"/>
            <w:vAlign w:val="center"/>
          </w:tcPr>
          <w:p w14:paraId="05EA4E55">
            <w:pPr>
              <w:pStyle w:val="25"/>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695" w:type="pct"/>
            <w:noWrap w:val="0"/>
            <w:vAlign w:val="center"/>
          </w:tcPr>
          <w:p w14:paraId="709C7F4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jc w:val="left"/>
              <w:rPr>
                <w:rFonts w:hint="default" w:ascii="宋体" w:hAnsi="宋体" w:eastAsia="宋体" w:cs="宋体"/>
                <w:sz w:val="24"/>
                <w:szCs w:val="24"/>
                <w:highlight w:val="none"/>
                <w:vertAlign w:val="baseline"/>
                <w:lang w:val="en-US" w:eastAsia="zh-CN"/>
              </w:rPr>
            </w:pPr>
            <w:r>
              <w:rPr>
                <w:rFonts w:hint="default" w:ascii="宋体" w:hAnsi="宋体" w:eastAsia="宋体" w:cs="宋体"/>
                <w:sz w:val="24"/>
                <w:szCs w:val="24"/>
                <w:highlight w:val="none"/>
                <w:vertAlign w:val="baseline"/>
                <w:lang w:val="en-US" w:eastAsia="zh-CN"/>
              </w:rPr>
              <w:t>SZGZ[2025]121-ZC082</w:t>
            </w:r>
          </w:p>
        </w:tc>
        <w:tc>
          <w:tcPr>
            <w:tcW w:w="986" w:type="pct"/>
            <w:noWrap w:val="0"/>
            <w:vAlign w:val="center"/>
          </w:tcPr>
          <w:p w14:paraId="58AA4B6A">
            <w:pPr>
              <w:pStyle w:val="25"/>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2025年陕州区菜园乡沟南村冷库建设项目—设备采购</w:t>
            </w:r>
          </w:p>
        </w:tc>
        <w:tc>
          <w:tcPr>
            <w:tcW w:w="961" w:type="pct"/>
            <w:noWrap w:val="0"/>
            <w:vAlign w:val="center"/>
          </w:tcPr>
          <w:p w14:paraId="2136FB4F">
            <w:pPr>
              <w:ind w:left="0" w:leftChars="0" w:firstLine="0" w:firstLineChars="0"/>
              <w:jc w:val="both"/>
              <w:rPr>
                <w:rFonts w:hint="default" w:ascii="宋体" w:hAnsi="宋体" w:eastAsia="宋体" w:cs="宋体"/>
                <w:sz w:val="24"/>
                <w:szCs w:val="24"/>
                <w:highlight w:val="yellow"/>
                <w:vertAlign w:val="baseline"/>
                <w:lang w:val="en-US" w:eastAsia="zh-CN"/>
              </w:rPr>
            </w:pPr>
            <w:r>
              <w:rPr>
                <w:rFonts w:hint="eastAsia" w:ascii="宋体" w:hAnsi="宋体" w:cs="宋体"/>
                <w:color w:val="auto"/>
                <w:sz w:val="24"/>
                <w:highlight w:val="none"/>
                <w:lang w:val="en-US" w:eastAsia="zh-CN"/>
              </w:rPr>
              <w:t>997160.00</w:t>
            </w:r>
          </w:p>
        </w:tc>
        <w:tc>
          <w:tcPr>
            <w:tcW w:w="961" w:type="pct"/>
            <w:noWrap w:val="0"/>
            <w:vAlign w:val="center"/>
          </w:tcPr>
          <w:p w14:paraId="02D6887D">
            <w:pPr>
              <w:ind w:left="0" w:leftChars="0" w:firstLine="0" w:firstLineChars="0"/>
              <w:jc w:val="both"/>
              <w:rPr>
                <w:rFonts w:hint="default" w:ascii="宋体" w:hAnsi="宋体" w:eastAsia="宋体" w:cs="宋体"/>
                <w:sz w:val="24"/>
                <w:szCs w:val="24"/>
                <w:highlight w:val="none"/>
                <w:vertAlign w:val="baseline"/>
                <w:lang w:val="en-US" w:eastAsia="zh-CN"/>
              </w:rPr>
            </w:pPr>
            <w:r>
              <w:rPr>
                <w:rFonts w:hint="eastAsia" w:ascii="宋体" w:hAnsi="宋体" w:cs="宋体"/>
                <w:color w:val="auto"/>
                <w:sz w:val="24"/>
                <w:highlight w:val="none"/>
                <w:lang w:val="en-US" w:eastAsia="zh-CN"/>
              </w:rPr>
              <w:t>997160.00</w:t>
            </w:r>
          </w:p>
        </w:tc>
      </w:tr>
    </w:tbl>
    <w:p w14:paraId="7FC6D2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5、采购需求：</w:t>
      </w:r>
    </w:p>
    <w:p w14:paraId="7859F6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5.1采购内容：</w:t>
      </w:r>
      <w:r>
        <w:rPr>
          <w:rFonts w:hint="eastAsia" w:ascii="宋体" w:hAnsi="宋体"/>
          <w:color w:val="auto"/>
          <w:sz w:val="24"/>
          <w:highlight w:val="none"/>
          <w:lang w:val="en-US" w:eastAsia="zh-CN"/>
        </w:rPr>
        <w:t>包含冷库库体保温部分、制冷设备部分、电器部分、安装材料及辅材、叉车、苹果筐等设备的采购及安装、调试、验收、培训、质保期服务、与货物有关的运输和保险及其他伴随服务；</w:t>
      </w:r>
    </w:p>
    <w:p w14:paraId="4EA3AF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5.2交货地点：采购人指定地点</w:t>
      </w:r>
    </w:p>
    <w:p w14:paraId="4BE217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5.3交货期：</w:t>
      </w:r>
      <w:r>
        <w:rPr>
          <w:rFonts w:hint="eastAsia" w:ascii="宋体" w:hAnsi="宋体"/>
          <w:color w:val="auto"/>
          <w:sz w:val="24"/>
          <w:szCs w:val="24"/>
          <w:highlight w:val="none"/>
          <w:lang w:val="en-US" w:eastAsia="zh-CN"/>
        </w:rPr>
        <w:t>自合同签订后120日历天内供货并安装调试完毕</w:t>
      </w:r>
    </w:p>
    <w:p w14:paraId="07EE3D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4</w:t>
      </w:r>
      <w:r>
        <w:rPr>
          <w:rFonts w:hint="eastAsia" w:ascii="宋体" w:hAnsi="宋体"/>
          <w:sz w:val="24"/>
          <w:highlight w:val="none"/>
        </w:rPr>
        <w:t>质量标准：符合国家或行业规定的合格标准</w:t>
      </w:r>
    </w:p>
    <w:p w14:paraId="1C76D0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5.5质保期：</w:t>
      </w:r>
      <w:r>
        <w:rPr>
          <w:rFonts w:hint="eastAsia" w:ascii="宋体" w:hAnsi="宋体" w:cs="Times New Roman"/>
          <w:color w:val="auto"/>
          <w:sz w:val="24"/>
          <w:highlight w:val="none"/>
          <w:lang w:val="en-US" w:eastAsia="zh-CN"/>
        </w:rPr>
        <w:t>1年</w:t>
      </w:r>
    </w:p>
    <w:p w14:paraId="244088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6、合同履</w:t>
      </w:r>
      <w:r>
        <w:rPr>
          <w:rFonts w:hint="eastAsia" w:ascii="宋体" w:hAnsi="宋体" w:eastAsia="宋体" w:cs="Times New Roman"/>
          <w:color w:val="auto"/>
          <w:sz w:val="24"/>
          <w:highlight w:val="none"/>
          <w:lang w:val="en-US" w:eastAsia="zh-CN"/>
        </w:rPr>
        <w:t>行期限：</w:t>
      </w:r>
      <w:r>
        <w:rPr>
          <w:rFonts w:hint="eastAsia" w:ascii="宋体" w:hAnsi="宋体" w:cs="Times New Roman"/>
          <w:color w:val="auto"/>
          <w:sz w:val="24"/>
          <w:highlight w:val="none"/>
          <w:lang w:val="en-US" w:eastAsia="zh-CN"/>
        </w:rPr>
        <w:t>同交货期</w:t>
      </w:r>
    </w:p>
    <w:p w14:paraId="789A11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7、本项目不接受联合体磋商。</w:t>
      </w:r>
    </w:p>
    <w:p w14:paraId="71BA45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8、是否接受进口产品：否</w:t>
      </w:r>
    </w:p>
    <w:p w14:paraId="1C0A09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highlight w:val="none"/>
        </w:rPr>
      </w:pPr>
      <w:r>
        <w:rPr>
          <w:rFonts w:hint="eastAsia" w:ascii="宋体" w:hAnsi="宋体" w:eastAsia="宋体" w:cs="Times New Roman"/>
          <w:color w:val="auto"/>
          <w:sz w:val="24"/>
          <w:highlight w:val="none"/>
          <w:lang w:val="en-US" w:eastAsia="zh-CN"/>
        </w:rPr>
        <w:t>9、是否专门面向中小企业：</w:t>
      </w:r>
      <w:r>
        <w:rPr>
          <w:rFonts w:hint="eastAsia" w:ascii="宋体" w:hAnsi="宋体" w:cs="Times New Roman"/>
          <w:color w:val="auto"/>
          <w:sz w:val="24"/>
          <w:highlight w:val="none"/>
          <w:lang w:val="en-US" w:eastAsia="zh-CN"/>
        </w:rPr>
        <w:t>否</w:t>
      </w:r>
    </w:p>
    <w:p w14:paraId="275443C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highlight w:val="none"/>
        </w:rPr>
      </w:pPr>
      <w:bookmarkStart w:id="6" w:name="_Toc28359080"/>
      <w:bookmarkStart w:id="7" w:name="_Toc35393791"/>
      <w:bookmarkStart w:id="8" w:name="_Toc35393622"/>
      <w:bookmarkStart w:id="9" w:name="_Toc28359003"/>
      <w:r>
        <w:rPr>
          <w:rFonts w:hint="eastAsia" w:ascii="宋体" w:hAnsi="宋体"/>
          <w:sz w:val="24"/>
          <w:highlight w:val="none"/>
        </w:rPr>
        <w:t>二、申请人的资格要求：</w:t>
      </w:r>
      <w:bookmarkEnd w:id="6"/>
      <w:bookmarkEnd w:id="7"/>
      <w:bookmarkEnd w:id="8"/>
      <w:bookmarkEnd w:id="9"/>
    </w:p>
    <w:p w14:paraId="6CE17128">
      <w:pPr>
        <w:pageBreakBefore w:val="0"/>
        <w:kinsoku/>
        <w:overflowPunct/>
        <w:bidi w:val="0"/>
        <w:spacing w:line="500" w:lineRule="exact"/>
        <w:ind w:firstLine="480" w:firstLineChars="200"/>
        <w:rPr>
          <w:rFonts w:hint="eastAsia" w:ascii="宋体" w:hAnsi="宋体"/>
          <w:color w:val="auto"/>
          <w:sz w:val="24"/>
          <w:szCs w:val="24"/>
          <w:highlight w:val="none"/>
        </w:rPr>
      </w:pPr>
      <w:bookmarkStart w:id="10" w:name="_Toc28359004"/>
      <w:bookmarkStart w:id="11" w:name="_Toc28359081"/>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满足《中华人民共和国政府采购法》第二十二条规定；</w:t>
      </w:r>
    </w:p>
    <w:p w14:paraId="2A08CB7F">
      <w:pPr>
        <w:pageBreakBefore w:val="0"/>
        <w:kinsoku/>
        <w:overflowPunct/>
        <w:bidi w:val="0"/>
        <w:spacing w:line="500" w:lineRule="exact"/>
        <w:ind w:firstLine="480" w:firstLineChars="200"/>
        <w:rPr>
          <w:rFonts w:hint="eastAsia" w:ascii="宋体" w:hAnsi="宋体" w:eastAsia="宋体"/>
          <w:color w:val="auto"/>
          <w:sz w:val="24"/>
          <w:szCs w:val="24"/>
          <w:highlight w:val="yellow"/>
          <w:lang w:eastAsia="zh-CN"/>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落实政府采购政策需满足的资格要求：本项目</w:t>
      </w:r>
      <w:r>
        <w:rPr>
          <w:rFonts w:hint="eastAsia" w:ascii="宋体" w:hAnsi="宋体"/>
          <w:color w:val="auto"/>
          <w:sz w:val="24"/>
          <w:szCs w:val="24"/>
          <w:highlight w:val="none"/>
          <w:lang w:val="en-US" w:eastAsia="zh-CN"/>
        </w:rPr>
        <w:t>非</w:t>
      </w:r>
      <w:r>
        <w:rPr>
          <w:rFonts w:hint="eastAsia" w:ascii="宋体" w:hAnsi="宋体"/>
          <w:color w:val="auto"/>
          <w:sz w:val="24"/>
          <w:szCs w:val="24"/>
          <w:highlight w:val="none"/>
        </w:rPr>
        <w:t>专门面向中小企业采购项目，</w:t>
      </w:r>
      <w:r>
        <w:rPr>
          <w:rFonts w:hint="eastAsia" w:ascii="宋体" w:hAnsi="宋体"/>
          <w:color w:val="auto"/>
          <w:sz w:val="24"/>
          <w:szCs w:val="24"/>
          <w:highlight w:val="none"/>
          <w:lang w:val="en-US" w:eastAsia="zh-CN"/>
        </w:rPr>
        <w:t>但</w:t>
      </w:r>
      <w:r>
        <w:rPr>
          <w:rFonts w:hint="eastAsia" w:ascii="宋体" w:hAnsi="宋体"/>
          <w:color w:val="auto"/>
          <w:sz w:val="24"/>
          <w:szCs w:val="24"/>
          <w:highlight w:val="none"/>
        </w:rPr>
        <w:t>执行促进中小企业（监狱企业、残疾人福利性企业）发展等政府采购政策</w:t>
      </w:r>
      <w:r>
        <w:rPr>
          <w:rFonts w:hint="eastAsia" w:ascii="宋体" w:hAnsi="宋体"/>
          <w:color w:val="auto"/>
          <w:sz w:val="24"/>
          <w:szCs w:val="24"/>
          <w:highlight w:val="none"/>
          <w:lang w:eastAsia="zh-CN"/>
        </w:rPr>
        <w:t>；</w:t>
      </w:r>
    </w:p>
    <w:p w14:paraId="61074884">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本项目的特定资格要求：</w:t>
      </w:r>
    </w:p>
    <w:p w14:paraId="1BA81DFB">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3.1、供应商须具有独立法人资格，具备有效的营业执照；</w:t>
      </w:r>
    </w:p>
    <w:p w14:paraId="7F41B63E">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3.2、参加政府采购活动近3年内无行贿犯罪记录、无商业贿赂、无不正当竞争行为、无骗取中标、无严重违约及重大工程质量等问题的承诺书；</w:t>
      </w:r>
    </w:p>
    <w:p w14:paraId="0E945FB3">
      <w:pPr>
        <w:pageBreakBefore w:val="0"/>
        <w:kinsoku/>
        <w:overflowPunct/>
        <w:bidi w:val="0"/>
        <w:spacing w:line="5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3.3、供应商自行出具本企业无商业贿赂和不正当竞争行为承诺书</w:t>
      </w:r>
      <w:r>
        <w:rPr>
          <w:rFonts w:hint="eastAsia" w:ascii="宋体" w:hAnsi="宋体"/>
          <w:color w:val="auto"/>
          <w:sz w:val="24"/>
          <w:szCs w:val="24"/>
          <w:highlight w:val="none"/>
          <w:lang w:eastAsia="zh-CN"/>
        </w:rPr>
        <w:t>；</w:t>
      </w:r>
    </w:p>
    <w:p w14:paraId="2FD806B8">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3.4、根据《关于在政府采购活动中查询及使用信用记录有关问题的通知》(财库[2016]125号)和豫财购</w:t>
      </w:r>
      <w:r>
        <w:rPr>
          <w:rFonts w:hint="eastAsia" w:ascii="宋体" w:hAnsi="宋体" w:cs="Times New Roman"/>
          <w:color w:val="auto"/>
          <w:sz w:val="24"/>
          <w:szCs w:val="24"/>
          <w:highlight w:val="none"/>
        </w:rPr>
        <w:t>【2016】15号的规定，</w:t>
      </w:r>
      <w:r>
        <w:rPr>
          <w:rFonts w:hint="eastAsia" w:ascii="宋体" w:hAnsi="宋体" w:cs="Times New Roman"/>
          <w:color w:val="auto"/>
          <w:sz w:val="24"/>
          <w:szCs w:val="24"/>
          <w:highlight w:val="none"/>
          <w:lang w:val="en-US" w:eastAsia="zh-CN"/>
        </w:rPr>
        <w:t>供应商</w:t>
      </w:r>
      <w:r>
        <w:rPr>
          <w:rFonts w:hint="eastAsia" w:ascii="宋体" w:hAnsi="宋体" w:cs="Times New Roman"/>
          <w:color w:val="auto"/>
          <w:sz w:val="24"/>
          <w:szCs w:val="24"/>
          <w:highlight w:val="none"/>
        </w:rPr>
        <w:t>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https://www.creditchina.gov.cn/xinxigongshi/）、中国政府采购网（www.ccgp.gov.cn），提供网站的查询结果截图，截图要显示查询时间，查询时间自本公告发布之日起；</w:t>
      </w:r>
    </w:p>
    <w:p w14:paraId="35E10A49">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color w:val="auto"/>
          <w:sz w:val="24"/>
          <w:szCs w:val="24"/>
          <w:highlight w:val="none"/>
        </w:rPr>
        <w:t>3.5、本项目不接受联合体</w:t>
      </w:r>
      <w:r>
        <w:rPr>
          <w:rFonts w:hint="eastAsia" w:ascii="宋体" w:hAnsi="宋体"/>
          <w:color w:val="auto"/>
          <w:sz w:val="24"/>
          <w:szCs w:val="24"/>
          <w:highlight w:val="none"/>
          <w:lang w:eastAsia="zh-CN"/>
        </w:rPr>
        <w:t>参加</w:t>
      </w:r>
      <w:r>
        <w:rPr>
          <w:rFonts w:hint="eastAsia" w:ascii="宋体" w:hAnsi="宋体"/>
          <w:color w:val="auto"/>
          <w:sz w:val="24"/>
          <w:szCs w:val="24"/>
          <w:highlight w:val="none"/>
        </w:rPr>
        <w:t>。</w:t>
      </w:r>
    </w:p>
    <w:p w14:paraId="5E3D4415">
      <w:pPr>
        <w:pageBreakBefore w:val="0"/>
        <w:kinsoku/>
        <w:wordWrap w:val="0"/>
        <w:overflowPunct/>
        <w:bidi w:val="0"/>
        <w:spacing w:line="500" w:lineRule="exact"/>
        <w:ind w:firstLine="482" w:firstLineChars="201"/>
        <w:rPr>
          <w:rFonts w:hint="default" w:ascii="宋体" w:hAnsi="宋体" w:eastAsia="宋体"/>
          <w:sz w:val="24"/>
          <w:highlight w:val="none"/>
          <w:lang w:val="en-US" w:eastAsia="zh-CN"/>
        </w:rPr>
      </w:pPr>
      <w:bookmarkStart w:id="12" w:name="_Toc35393792"/>
      <w:bookmarkStart w:id="13" w:name="_Toc35393623"/>
      <w:r>
        <w:rPr>
          <w:rFonts w:hint="eastAsia" w:ascii="宋体" w:hAnsi="宋体"/>
          <w:sz w:val="24"/>
          <w:highlight w:val="none"/>
        </w:rPr>
        <w:t>三、获取</w:t>
      </w:r>
      <w:bookmarkEnd w:id="10"/>
      <w:bookmarkEnd w:id="11"/>
      <w:bookmarkEnd w:id="12"/>
      <w:bookmarkEnd w:id="13"/>
      <w:r>
        <w:rPr>
          <w:rFonts w:hint="eastAsia" w:ascii="宋体" w:hAnsi="宋体"/>
          <w:sz w:val="24"/>
          <w:highlight w:val="none"/>
          <w:lang w:val="en-US" w:eastAsia="zh-CN"/>
        </w:rPr>
        <w:t>采购文件</w:t>
      </w:r>
    </w:p>
    <w:p w14:paraId="4C3D25C6">
      <w:pPr>
        <w:pStyle w:val="23"/>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bookmarkStart w:id="14" w:name="_Toc28359005"/>
      <w:bookmarkStart w:id="15" w:name="_Toc28359082"/>
      <w:bookmarkStart w:id="16" w:name="_Toc35393793"/>
      <w:bookmarkStart w:id="17" w:name="_Toc35393624"/>
      <w:r>
        <w:rPr>
          <w:rFonts w:hint="eastAsia" w:ascii="宋体" w:hAnsi="宋体"/>
          <w:sz w:val="24"/>
          <w:highlight w:val="none"/>
          <w:lang w:val="en-US" w:eastAsia="zh-CN"/>
        </w:rPr>
        <w:t>时间：202</w:t>
      </w:r>
      <w:r>
        <w:rPr>
          <w:rFonts w:hint="eastAsia"/>
          <w:sz w:val="24"/>
          <w:highlight w:val="none"/>
          <w:lang w:val="en-US" w:eastAsia="zh-CN"/>
        </w:rPr>
        <w:t>5</w:t>
      </w:r>
      <w:r>
        <w:rPr>
          <w:rFonts w:hint="eastAsia" w:ascii="宋体" w:hAnsi="宋体"/>
          <w:sz w:val="24"/>
          <w:highlight w:val="none"/>
          <w:lang w:val="en-US" w:eastAsia="zh-CN"/>
        </w:rPr>
        <w:t>年</w:t>
      </w:r>
      <w:r>
        <w:rPr>
          <w:rFonts w:hint="eastAsia"/>
          <w:sz w:val="24"/>
          <w:highlight w:val="none"/>
          <w:lang w:val="en-US" w:eastAsia="zh-CN"/>
        </w:rPr>
        <w:t>7</w:t>
      </w:r>
      <w:r>
        <w:rPr>
          <w:rFonts w:hint="eastAsia" w:ascii="宋体" w:hAnsi="宋体"/>
          <w:sz w:val="24"/>
          <w:highlight w:val="none"/>
          <w:lang w:val="en-US" w:eastAsia="zh-CN"/>
        </w:rPr>
        <w:t>月</w:t>
      </w:r>
      <w:r>
        <w:rPr>
          <w:rFonts w:hint="eastAsia"/>
          <w:sz w:val="24"/>
          <w:highlight w:val="none"/>
          <w:lang w:val="en-US" w:eastAsia="zh-CN"/>
        </w:rPr>
        <w:t>11</w:t>
      </w:r>
      <w:r>
        <w:rPr>
          <w:rFonts w:hint="eastAsia" w:ascii="宋体" w:hAnsi="宋体"/>
          <w:sz w:val="24"/>
          <w:highlight w:val="none"/>
          <w:lang w:val="en-US" w:eastAsia="zh-CN"/>
        </w:rPr>
        <w:t>日 至 202</w:t>
      </w:r>
      <w:r>
        <w:rPr>
          <w:rFonts w:hint="eastAsia"/>
          <w:sz w:val="24"/>
          <w:highlight w:val="none"/>
          <w:lang w:val="en-US" w:eastAsia="zh-CN"/>
        </w:rPr>
        <w:t>5</w:t>
      </w:r>
      <w:r>
        <w:rPr>
          <w:rFonts w:hint="eastAsia" w:ascii="宋体" w:hAnsi="宋体"/>
          <w:sz w:val="24"/>
          <w:highlight w:val="none"/>
          <w:lang w:val="en-US" w:eastAsia="zh-CN"/>
        </w:rPr>
        <w:t>年</w:t>
      </w:r>
      <w:r>
        <w:rPr>
          <w:rFonts w:hint="eastAsia"/>
          <w:sz w:val="24"/>
          <w:highlight w:val="none"/>
          <w:lang w:val="en-US" w:eastAsia="zh-CN"/>
        </w:rPr>
        <w:t>7</w:t>
      </w:r>
      <w:r>
        <w:rPr>
          <w:rFonts w:hint="eastAsia" w:ascii="宋体" w:hAnsi="宋体"/>
          <w:sz w:val="24"/>
          <w:highlight w:val="none"/>
          <w:lang w:val="en-US" w:eastAsia="zh-CN"/>
        </w:rPr>
        <w:t>月</w:t>
      </w:r>
      <w:r>
        <w:rPr>
          <w:rFonts w:hint="eastAsia"/>
          <w:sz w:val="24"/>
          <w:highlight w:val="none"/>
          <w:lang w:val="en-US" w:eastAsia="zh-CN"/>
        </w:rPr>
        <w:t>21</w:t>
      </w:r>
      <w:r>
        <w:rPr>
          <w:rFonts w:hint="eastAsia" w:ascii="宋体" w:hAnsi="宋体"/>
          <w:sz w:val="24"/>
          <w:highlight w:val="none"/>
          <w:lang w:val="en-US" w:eastAsia="zh-CN"/>
        </w:rPr>
        <w:t>日，每天上午00:00至12:00，下午12:00至23:59（北京时间，法定节假日除外。）</w:t>
      </w:r>
    </w:p>
    <w:p w14:paraId="60C5B63B">
      <w:pPr>
        <w:pStyle w:val="23"/>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地点：三门峡市公共资源交易中心网（网址：http://gzjy.smx.gov.cn/）</w:t>
      </w:r>
    </w:p>
    <w:p w14:paraId="7E3925F4">
      <w:pPr>
        <w:pStyle w:val="23"/>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方式：本项目没有报名环节，供应商凭CA数字证书通过三门峡市公共资源交易中心网（网址：</w:t>
      </w:r>
      <w:r>
        <w:rPr>
          <w:rFonts w:hint="eastAsia" w:ascii="宋体" w:hAnsi="宋体"/>
          <w:sz w:val="24"/>
          <w:highlight w:val="none"/>
          <w:lang w:val="en-US" w:eastAsia="zh-CN"/>
        </w:rPr>
        <w:fldChar w:fldCharType="begin"/>
      </w:r>
      <w:r>
        <w:rPr>
          <w:rFonts w:hint="eastAsia" w:ascii="宋体" w:hAnsi="宋体"/>
          <w:sz w:val="24"/>
          <w:highlight w:val="none"/>
          <w:lang w:val="en-US" w:eastAsia="zh-CN"/>
        </w:rPr>
        <w:instrText xml:space="preserve"> HYPERLINK "http://gzjy.smx.gov.cn/）点击交易平台选择\“市场主体登录\”，在所参与项目右侧点击参与投标，即可直接下载本项目磋商文件。" </w:instrText>
      </w:r>
      <w:r>
        <w:rPr>
          <w:rFonts w:hint="eastAsia" w:ascii="宋体" w:hAnsi="宋体"/>
          <w:sz w:val="24"/>
          <w:highlight w:val="none"/>
          <w:lang w:val="en-US" w:eastAsia="zh-CN"/>
        </w:rPr>
        <w:fldChar w:fldCharType="separate"/>
      </w:r>
      <w:r>
        <w:rPr>
          <w:rFonts w:hint="eastAsia" w:ascii="宋体" w:hAnsi="宋体"/>
          <w:sz w:val="24"/>
          <w:highlight w:val="none"/>
          <w:lang w:val="en-US" w:eastAsia="zh-CN"/>
        </w:rPr>
        <w:t>http://gzjy.smx.gov.cn/）点击交易平台选择“市场主体登录”，在所参与项目右侧点击参与投标，即可直接下载本项目磋商文件。</w:t>
      </w:r>
      <w:r>
        <w:rPr>
          <w:rFonts w:hint="eastAsia" w:ascii="宋体" w:hAnsi="宋体"/>
          <w:sz w:val="24"/>
          <w:highlight w:val="none"/>
          <w:lang w:val="en-US" w:eastAsia="zh-CN"/>
        </w:rPr>
        <w:fldChar w:fldCharType="end"/>
      </w:r>
    </w:p>
    <w:p w14:paraId="61FED65A">
      <w:pPr>
        <w:pStyle w:val="23"/>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办理CA证书：</w:t>
      </w:r>
    </w:p>
    <w:p w14:paraId="78D0B034">
      <w:pPr>
        <w:pStyle w:val="23"/>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http://gzjy.smx.gov.cn/bzzx/008001/20211105/57b16af9-ab87-4395-a723-7758c628a3f8.html</w:t>
      </w:r>
    </w:p>
    <w:p w14:paraId="0E8A98C2">
      <w:pPr>
        <w:pStyle w:val="23"/>
        <w:pageBreakBefore w:val="0"/>
        <w:shd w:val="clear" w:color="auto" w:fill="FFFFFF"/>
        <w:kinsoku/>
        <w:overflowPunct/>
        <w:bidi w:val="0"/>
        <w:spacing w:before="0" w:beforeAutospacing="0" w:after="0" w:afterAutospacing="0" w:line="500" w:lineRule="exact"/>
        <w:ind w:firstLine="470" w:firstLineChars="196"/>
        <w:rPr>
          <w:rFonts w:ascii="宋体" w:hAnsi="宋体"/>
          <w:sz w:val="24"/>
          <w:highlight w:val="none"/>
        </w:rPr>
      </w:pPr>
      <w:r>
        <w:rPr>
          <w:rFonts w:hint="eastAsia" w:ascii="宋体" w:hAnsi="宋体"/>
          <w:sz w:val="24"/>
          <w:highlight w:val="none"/>
          <w:lang w:val="en-US" w:eastAsia="zh-CN"/>
        </w:rPr>
        <w:t>售价：0元</w:t>
      </w:r>
    </w:p>
    <w:p w14:paraId="31E04D2E">
      <w:pPr>
        <w:pageBreakBefore w:val="0"/>
        <w:kinsoku/>
        <w:wordWrap w:val="0"/>
        <w:overflowPunct/>
        <w:bidi w:val="0"/>
        <w:spacing w:line="500" w:lineRule="exact"/>
        <w:ind w:firstLine="484" w:firstLineChars="201"/>
        <w:rPr>
          <w:rFonts w:ascii="宋体" w:hAnsi="宋体"/>
          <w:b/>
          <w:bCs/>
          <w:sz w:val="24"/>
          <w:highlight w:val="none"/>
        </w:rPr>
      </w:pPr>
      <w:r>
        <w:rPr>
          <w:rFonts w:hint="eastAsia" w:ascii="宋体" w:hAnsi="宋体"/>
          <w:b/>
          <w:bCs/>
          <w:sz w:val="24"/>
          <w:highlight w:val="none"/>
        </w:rPr>
        <w:t>四、响应文件</w:t>
      </w:r>
      <w:bookmarkEnd w:id="14"/>
      <w:bookmarkEnd w:id="15"/>
      <w:r>
        <w:rPr>
          <w:rFonts w:hint="eastAsia" w:ascii="宋体" w:hAnsi="宋体"/>
          <w:b/>
          <w:bCs/>
          <w:sz w:val="24"/>
          <w:highlight w:val="none"/>
          <w:lang w:eastAsia="zh-CN"/>
        </w:rPr>
        <w:t>提交</w:t>
      </w:r>
      <w:bookmarkEnd w:id="16"/>
      <w:bookmarkEnd w:id="17"/>
    </w:p>
    <w:p w14:paraId="622DA3AF">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shd w:val="clear" w:color="auto" w:fill="FFFFFF"/>
        </w:rPr>
      </w:pPr>
      <w:bookmarkStart w:id="18" w:name="_Toc35393625"/>
      <w:bookmarkStart w:id="19" w:name="_Toc28359084"/>
      <w:bookmarkStart w:id="20" w:name="_Toc28359007"/>
      <w:bookmarkStart w:id="21" w:name="_Toc35393794"/>
      <w:r>
        <w:rPr>
          <w:rFonts w:hint="eastAsia"/>
          <w:color w:val="auto"/>
          <w:shd w:val="clear" w:color="auto" w:fill="FFFFFF"/>
        </w:rPr>
        <w:t>1、</w:t>
      </w:r>
      <w:r>
        <w:rPr>
          <w:rFonts w:hint="eastAsia"/>
          <w:color w:val="auto"/>
          <w:shd w:val="clear" w:color="auto" w:fill="FFFFFF"/>
          <w:lang w:val="en-US" w:eastAsia="zh-CN"/>
        </w:rPr>
        <w:t>截止</w:t>
      </w:r>
      <w:r>
        <w:rPr>
          <w:rFonts w:hint="eastAsia"/>
          <w:color w:val="auto"/>
          <w:shd w:val="clear" w:color="auto" w:fill="FFFFFF"/>
        </w:rPr>
        <w:t>时间：20</w:t>
      </w:r>
      <w:r>
        <w:rPr>
          <w:rFonts w:hint="eastAsia"/>
          <w:color w:val="auto"/>
          <w:shd w:val="clear" w:color="auto" w:fill="FFFFFF"/>
          <w:lang w:val="en-US" w:eastAsia="zh-CN"/>
        </w:rPr>
        <w:t>25</w:t>
      </w:r>
      <w:r>
        <w:rPr>
          <w:rFonts w:hint="eastAsia"/>
          <w:color w:val="auto"/>
          <w:shd w:val="clear" w:color="auto" w:fill="FFFFFF"/>
        </w:rPr>
        <w:t>年</w:t>
      </w:r>
      <w:r>
        <w:rPr>
          <w:rFonts w:hint="eastAsia"/>
          <w:color w:val="auto"/>
          <w:shd w:val="clear" w:color="auto" w:fill="FFFFFF"/>
          <w:lang w:val="en-US" w:eastAsia="zh-CN"/>
        </w:rPr>
        <w:t>7</w:t>
      </w:r>
      <w:r>
        <w:rPr>
          <w:rFonts w:hint="eastAsia"/>
          <w:color w:val="auto"/>
          <w:shd w:val="clear" w:color="auto" w:fill="FFFFFF"/>
        </w:rPr>
        <w:t>月</w:t>
      </w:r>
      <w:r>
        <w:rPr>
          <w:rFonts w:hint="eastAsia"/>
          <w:color w:val="auto"/>
          <w:shd w:val="clear" w:color="auto" w:fill="FFFFFF"/>
          <w:lang w:val="en-US" w:eastAsia="zh-CN"/>
        </w:rPr>
        <w:t>22</w:t>
      </w:r>
      <w:r>
        <w:rPr>
          <w:rFonts w:hint="eastAsia"/>
          <w:color w:val="auto"/>
          <w:shd w:val="clear" w:color="auto" w:fill="FFFFFF"/>
        </w:rPr>
        <w:t>日</w:t>
      </w:r>
      <w:r>
        <w:rPr>
          <w:rFonts w:hint="eastAsia"/>
          <w:color w:val="auto"/>
          <w:shd w:val="clear" w:color="auto" w:fill="FFFFFF"/>
          <w:lang w:val="en-US" w:eastAsia="zh-CN"/>
        </w:rPr>
        <w:t>8</w:t>
      </w:r>
      <w:r>
        <w:rPr>
          <w:rFonts w:hint="eastAsia"/>
          <w:color w:val="auto"/>
          <w:shd w:val="clear" w:color="auto" w:fill="FFFFFF"/>
        </w:rPr>
        <w:t>时</w:t>
      </w:r>
      <w:r>
        <w:rPr>
          <w:rFonts w:hint="eastAsia"/>
          <w:color w:val="auto"/>
          <w:shd w:val="clear" w:color="auto" w:fill="FFFFFF"/>
          <w:lang w:val="en-US" w:eastAsia="zh-CN"/>
        </w:rPr>
        <w:t>30</w:t>
      </w:r>
      <w:r>
        <w:rPr>
          <w:rFonts w:hint="eastAsia"/>
          <w:color w:val="auto"/>
          <w:shd w:val="clear" w:color="auto" w:fill="FFFFFF"/>
        </w:rPr>
        <w:t>分（北京时间）</w:t>
      </w:r>
    </w:p>
    <w:p w14:paraId="040DB693">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shd w:val="clear" w:color="auto" w:fill="FFFFFF"/>
        </w:rPr>
      </w:pPr>
      <w:r>
        <w:rPr>
          <w:rFonts w:hint="eastAsia"/>
          <w:color w:val="auto"/>
          <w:shd w:val="clear" w:color="auto" w:fill="FFFFFF"/>
        </w:rPr>
        <w:t>2、地点：上传至三门峡市公共资源交易中心系统</w:t>
      </w:r>
    </w:p>
    <w:p w14:paraId="544CC54D">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2" w:firstLineChars="196"/>
        <w:textAlignment w:val="auto"/>
        <w:rPr>
          <w:rFonts w:hint="eastAsia"/>
          <w:b/>
          <w:bCs/>
          <w:color w:val="auto"/>
          <w:shd w:val="clear" w:color="auto" w:fill="FFFFFF"/>
        </w:rPr>
      </w:pPr>
      <w:r>
        <w:rPr>
          <w:rFonts w:hint="eastAsia"/>
          <w:b/>
          <w:bCs/>
          <w:color w:val="auto"/>
          <w:shd w:val="clear" w:color="auto" w:fill="FFFFFF"/>
          <w:lang w:val="en-US" w:eastAsia="zh-CN"/>
        </w:rPr>
        <w:t>五</w:t>
      </w:r>
      <w:r>
        <w:rPr>
          <w:rFonts w:hint="eastAsia"/>
          <w:b/>
          <w:bCs/>
          <w:color w:val="auto"/>
          <w:shd w:val="clear" w:color="auto" w:fill="FFFFFF"/>
        </w:rPr>
        <w:t>、响应文件开启</w:t>
      </w:r>
    </w:p>
    <w:p w14:paraId="39A3336F">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shd w:val="clear" w:color="auto" w:fill="FFFFFF"/>
        </w:rPr>
      </w:pPr>
      <w:r>
        <w:rPr>
          <w:rFonts w:hint="eastAsia"/>
          <w:color w:val="auto"/>
          <w:shd w:val="clear" w:color="auto" w:fill="FFFFFF"/>
        </w:rPr>
        <w:t>1、时间：20</w:t>
      </w:r>
      <w:r>
        <w:rPr>
          <w:rFonts w:hint="eastAsia"/>
          <w:color w:val="auto"/>
          <w:shd w:val="clear" w:color="auto" w:fill="FFFFFF"/>
          <w:lang w:val="en-US" w:eastAsia="zh-CN"/>
        </w:rPr>
        <w:t>25</w:t>
      </w:r>
      <w:r>
        <w:rPr>
          <w:rFonts w:hint="eastAsia"/>
          <w:color w:val="auto"/>
          <w:shd w:val="clear" w:color="auto" w:fill="FFFFFF"/>
        </w:rPr>
        <w:t>年</w:t>
      </w:r>
      <w:r>
        <w:rPr>
          <w:rFonts w:hint="eastAsia"/>
          <w:color w:val="auto"/>
          <w:shd w:val="clear" w:color="auto" w:fill="FFFFFF"/>
          <w:lang w:val="en-US" w:eastAsia="zh-CN"/>
        </w:rPr>
        <w:t>7</w:t>
      </w:r>
      <w:r>
        <w:rPr>
          <w:rFonts w:hint="eastAsia"/>
          <w:color w:val="auto"/>
          <w:shd w:val="clear" w:color="auto" w:fill="FFFFFF"/>
        </w:rPr>
        <w:t>月</w:t>
      </w:r>
      <w:r>
        <w:rPr>
          <w:rFonts w:hint="eastAsia"/>
          <w:color w:val="auto"/>
          <w:shd w:val="clear" w:color="auto" w:fill="FFFFFF"/>
          <w:lang w:val="en-US" w:eastAsia="zh-CN"/>
        </w:rPr>
        <w:t>22</w:t>
      </w:r>
      <w:r>
        <w:rPr>
          <w:rFonts w:hint="eastAsia"/>
          <w:color w:val="auto"/>
          <w:shd w:val="clear" w:color="auto" w:fill="FFFFFF"/>
        </w:rPr>
        <w:t>日</w:t>
      </w:r>
      <w:r>
        <w:rPr>
          <w:rFonts w:hint="eastAsia"/>
          <w:color w:val="auto"/>
          <w:shd w:val="clear" w:color="auto" w:fill="FFFFFF"/>
          <w:lang w:val="en-US" w:eastAsia="zh-CN"/>
        </w:rPr>
        <w:t>8</w:t>
      </w:r>
      <w:r>
        <w:rPr>
          <w:rFonts w:hint="eastAsia"/>
          <w:color w:val="auto"/>
          <w:shd w:val="clear" w:color="auto" w:fill="FFFFFF"/>
        </w:rPr>
        <w:t>时</w:t>
      </w:r>
      <w:r>
        <w:rPr>
          <w:rFonts w:hint="eastAsia"/>
          <w:color w:val="auto"/>
          <w:shd w:val="clear" w:color="auto" w:fill="FFFFFF"/>
          <w:lang w:val="en-US" w:eastAsia="zh-CN"/>
        </w:rPr>
        <w:t>30</w:t>
      </w:r>
      <w:r>
        <w:rPr>
          <w:rFonts w:hint="eastAsia"/>
          <w:color w:val="auto"/>
          <w:shd w:val="clear" w:color="auto" w:fill="FFFFFF"/>
        </w:rPr>
        <w:t>分（北京时间）</w:t>
      </w:r>
    </w:p>
    <w:p w14:paraId="0BED98AB">
      <w:pPr>
        <w:pageBreakBefore w:val="0"/>
        <w:kinsoku/>
        <w:wordWrap w:val="0"/>
        <w:overflowPunct/>
        <w:bidi w:val="0"/>
        <w:spacing w:line="500" w:lineRule="exact"/>
        <w:ind w:firstLine="422" w:firstLineChars="201"/>
        <w:rPr>
          <w:rFonts w:hint="eastAsia" w:ascii="宋体" w:hAnsi="宋体"/>
          <w:sz w:val="24"/>
          <w:highlight w:val="none"/>
        </w:rPr>
      </w:pPr>
      <w:r>
        <w:rPr>
          <w:rFonts w:hint="eastAsia"/>
          <w:color w:val="auto"/>
          <w:shd w:val="clear" w:color="auto" w:fill="FFFFFF"/>
        </w:rPr>
        <w:t>2、地点：</w:t>
      </w:r>
      <w:r>
        <w:rPr>
          <w:rFonts w:hint="eastAsia" w:ascii="宋体" w:hAnsi="宋体" w:eastAsia="宋体" w:cs="Times New Roman"/>
          <w:color w:val="auto"/>
          <w:kern w:val="0"/>
          <w:sz w:val="24"/>
          <w:szCs w:val="24"/>
          <w:shd w:val="clear" w:color="auto" w:fill="FFFFFF"/>
          <w:lang w:val="en-US" w:eastAsia="zh-CN" w:bidi="ar-SA"/>
        </w:rPr>
        <w:t>三门峡市陕州区公共资源交易中心开标室</w:t>
      </w:r>
    </w:p>
    <w:p w14:paraId="60B672E6">
      <w:pPr>
        <w:pageBreakBefore w:val="0"/>
        <w:kinsoku/>
        <w:wordWrap w:val="0"/>
        <w:overflowPunct/>
        <w:bidi w:val="0"/>
        <w:spacing w:line="500" w:lineRule="exact"/>
        <w:ind w:firstLine="484" w:firstLineChars="201"/>
        <w:rPr>
          <w:rFonts w:hint="default" w:ascii="宋体" w:hAnsi="宋体" w:eastAsia="宋体"/>
          <w:b/>
          <w:bCs/>
          <w:sz w:val="24"/>
          <w:highlight w:val="none"/>
          <w:lang w:val="en-US" w:eastAsia="zh-CN"/>
        </w:rPr>
      </w:pPr>
      <w:r>
        <w:rPr>
          <w:rFonts w:hint="eastAsia" w:ascii="宋体" w:hAnsi="宋体"/>
          <w:b/>
          <w:bCs/>
          <w:sz w:val="24"/>
          <w:highlight w:val="none"/>
          <w:lang w:val="en-US" w:eastAsia="zh-CN"/>
        </w:rPr>
        <w:t>六</w:t>
      </w:r>
      <w:r>
        <w:rPr>
          <w:rFonts w:hint="eastAsia" w:ascii="宋体" w:hAnsi="宋体"/>
          <w:b/>
          <w:bCs/>
          <w:sz w:val="24"/>
          <w:highlight w:val="none"/>
        </w:rPr>
        <w:t>、</w:t>
      </w:r>
      <w:bookmarkEnd w:id="18"/>
      <w:bookmarkEnd w:id="19"/>
      <w:bookmarkEnd w:id="20"/>
      <w:bookmarkEnd w:id="21"/>
      <w:r>
        <w:rPr>
          <w:rFonts w:hint="eastAsia" w:ascii="宋体" w:hAnsi="宋体"/>
          <w:b/>
          <w:bCs/>
          <w:sz w:val="24"/>
          <w:highlight w:val="none"/>
        </w:rPr>
        <w:t>发布公告的媒介</w:t>
      </w:r>
      <w:r>
        <w:rPr>
          <w:rFonts w:hint="eastAsia" w:ascii="宋体" w:hAnsi="宋体"/>
          <w:b/>
          <w:bCs/>
          <w:sz w:val="24"/>
          <w:highlight w:val="none"/>
          <w:lang w:val="en-US" w:eastAsia="zh-CN"/>
        </w:rPr>
        <w:t>及公告期限</w:t>
      </w:r>
    </w:p>
    <w:p w14:paraId="050ABDE3">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rPr>
        <w:t>本次公告同时在《中国采购与招标网》、《河南省政府采购网》</w:t>
      </w:r>
      <w:r>
        <w:rPr>
          <w:rFonts w:hint="eastAsia" w:ascii="宋体" w:hAnsi="宋体"/>
          <w:sz w:val="24"/>
          <w:highlight w:val="none"/>
          <w:lang w:eastAsia="zh-CN"/>
        </w:rPr>
        <w:t>、《中国招标投标公共服务平台》</w:t>
      </w:r>
      <w:r>
        <w:rPr>
          <w:rFonts w:hint="eastAsia" w:ascii="宋体" w:hAnsi="宋体"/>
          <w:sz w:val="24"/>
          <w:highlight w:val="none"/>
        </w:rPr>
        <w:t>和《三门峡市公共资源交易中心网》发布</w:t>
      </w:r>
      <w:r>
        <w:rPr>
          <w:rFonts w:hint="eastAsia" w:ascii="宋体" w:hAnsi="宋体"/>
          <w:sz w:val="24"/>
          <w:highlight w:val="none"/>
          <w:lang w:eastAsia="zh-CN"/>
        </w:rPr>
        <w:t>，</w:t>
      </w:r>
      <w:r>
        <w:rPr>
          <w:rFonts w:hint="eastAsia" w:ascii="宋体" w:hAnsi="宋体"/>
          <w:sz w:val="24"/>
          <w:highlight w:val="none"/>
          <w:lang w:val="en-US" w:eastAsia="zh-CN"/>
        </w:rPr>
        <w:t>公告期限为三个工作日</w:t>
      </w:r>
      <w:r>
        <w:rPr>
          <w:rFonts w:hint="eastAsia" w:ascii="宋体" w:hAnsi="宋体"/>
          <w:sz w:val="24"/>
          <w:highlight w:val="none"/>
        </w:rPr>
        <w:t>。</w:t>
      </w:r>
    </w:p>
    <w:p w14:paraId="59010C31">
      <w:pPr>
        <w:pageBreakBefore w:val="0"/>
        <w:kinsoku/>
        <w:wordWrap w:val="0"/>
        <w:overflowPunct/>
        <w:bidi w:val="0"/>
        <w:spacing w:line="500" w:lineRule="exact"/>
        <w:ind w:firstLine="484" w:firstLineChars="201"/>
        <w:rPr>
          <w:rFonts w:ascii="宋体" w:hAnsi="宋体"/>
          <w:b/>
          <w:bCs/>
          <w:sz w:val="24"/>
          <w:highlight w:val="none"/>
        </w:rPr>
      </w:pPr>
      <w:bookmarkStart w:id="22" w:name="_Toc35393795"/>
      <w:bookmarkStart w:id="23" w:name="_Toc35393626"/>
      <w:r>
        <w:rPr>
          <w:rFonts w:hint="eastAsia" w:ascii="宋体" w:hAnsi="宋体"/>
          <w:b/>
          <w:bCs/>
          <w:sz w:val="24"/>
          <w:highlight w:val="none"/>
          <w:lang w:val="en-US" w:eastAsia="zh-CN"/>
        </w:rPr>
        <w:t>七</w:t>
      </w:r>
      <w:r>
        <w:rPr>
          <w:rFonts w:hint="eastAsia" w:ascii="宋体" w:hAnsi="宋体"/>
          <w:b/>
          <w:bCs/>
          <w:sz w:val="24"/>
          <w:highlight w:val="none"/>
        </w:rPr>
        <w:t>、其他补充事宜</w:t>
      </w:r>
      <w:bookmarkEnd w:id="22"/>
      <w:bookmarkEnd w:id="23"/>
    </w:p>
    <w:p w14:paraId="04232C3F">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1.本项目为不见面开标项目，开标当日，供应商无需到开标现场参加开标会议，供应商应当在投标截止时间前，登陆不见面开标大厅选择登陆三门峡市公共资源电子招投标系统进行登陆（网址为</w:t>
      </w:r>
    </w:p>
    <w:p w14:paraId="7FBCE898">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http://120.194.249.36:10094/BidOpening/bidopeninghallaction/hall/login）,在线准时参加开标活动并进行响应文件解密等。每位供应商的解密时间为开标时间起30分钟内完成。因供应商原因未能解密、解密失败或解密超时的将被拒绝。</w:t>
      </w:r>
    </w:p>
    <w:p w14:paraId="480AB6B4">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2.本项目为电子化、无纸化交易项目，开标时不再接受任何纸质资料，为保证您能投标成功，请需仔细阅读招标文件和三门峡市公共资源交易中心官网业务办理指南。</w:t>
      </w:r>
    </w:p>
    <w:p w14:paraId="7AA52BE6">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3.根据《河南省财政厅关于优化政府采购营商环境有关问题的通知》（豫财购【2019】4号）第6条的规定，磋商保证金不再收取。</w:t>
      </w:r>
    </w:p>
    <w:p w14:paraId="7BA14052">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4.资格评审部分：资格评审以响应文件为准，可使用电子营业执照，其上传资料真实性由供应商自行承担，同时，供应商应在开标前自行完善主体库信息。</w:t>
      </w:r>
    </w:p>
    <w:p w14:paraId="03069C1D">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5.评审打分部分：评审打分部分按照100分制原则进行，涉及到资格审查、企业荣誉、人员业绩、企业业绩等计分部分时，以供应商自行上传到响应文件中的各类相应内容为准。</w:t>
      </w:r>
    </w:p>
    <w:p w14:paraId="3B0A62FE">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6.响应文件编制部分：在磋商文件中要求供应商按照响应文件格式进行响应文件编制，在响应文件编制时，应明确将供应商企业基本情况、资质情况、人员情况、财务情况、业绩情况编入响应文件，便于进行资格审查及评审打分。</w:t>
      </w:r>
    </w:p>
    <w:p w14:paraId="56BD0339">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7.我单位（采购人）严格按三财购【2021】9号文要求的时限发布成交结果公告，发出成交通知书，签订采购合同，上传采购合同。</w:t>
      </w:r>
    </w:p>
    <w:p w14:paraId="448C75E2">
      <w:pPr>
        <w:pageBreakBefore w:val="0"/>
        <w:kinsoku/>
        <w:wordWrap w:val="0"/>
        <w:overflowPunct/>
        <w:bidi w:val="0"/>
        <w:spacing w:line="500" w:lineRule="exact"/>
        <w:ind w:firstLine="484" w:firstLineChars="201"/>
        <w:rPr>
          <w:rFonts w:ascii="宋体" w:hAnsi="宋体"/>
          <w:b/>
          <w:bCs/>
          <w:sz w:val="24"/>
          <w:highlight w:val="none"/>
        </w:rPr>
      </w:pPr>
      <w:bookmarkStart w:id="24" w:name="_Toc35393796"/>
      <w:bookmarkStart w:id="25" w:name="_Toc28359008"/>
      <w:bookmarkStart w:id="26" w:name="_Toc28359085"/>
      <w:bookmarkStart w:id="27" w:name="_Toc35393627"/>
      <w:r>
        <w:rPr>
          <w:rFonts w:hint="eastAsia" w:ascii="宋体" w:hAnsi="宋体"/>
          <w:b/>
          <w:bCs/>
          <w:sz w:val="24"/>
          <w:highlight w:val="none"/>
          <w:lang w:val="en-US" w:eastAsia="zh-CN"/>
        </w:rPr>
        <w:t>八</w:t>
      </w:r>
      <w:r>
        <w:rPr>
          <w:rFonts w:hint="eastAsia" w:ascii="宋体" w:hAnsi="宋体"/>
          <w:b/>
          <w:bCs/>
          <w:sz w:val="24"/>
          <w:highlight w:val="none"/>
        </w:rPr>
        <w:t>、对本次磋商提出询问，请按</w:t>
      </w:r>
      <w:r>
        <w:rPr>
          <w:rFonts w:ascii="宋体" w:hAnsi="宋体"/>
          <w:b/>
          <w:bCs/>
          <w:sz w:val="24"/>
          <w:highlight w:val="none"/>
        </w:rPr>
        <w:t>以下方式</w:t>
      </w:r>
      <w:r>
        <w:rPr>
          <w:rFonts w:hint="eastAsia" w:ascii="宋体" w:hAnsi="宋体"/>
          <w:b/>
          <w:bCs/>
          <w:sz w:val="24"/>
          <w:highlight w:val="none"/>
        </w:rPr>
        <w:t>联系。</w:t>
      </w:r>
      <w:bookmarkEnd w:id="24"/>
      <w:bookmarkEnd w:id="25"/>
      <w:bookmarkEnd w:id="26"/>
      <w:bookmarkEnd w:id="27"/>
    </w:p>
    <w:p w14:paraId="7039344C">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highlight w:val="none"/>
          <w:shd w:val="clear" w:color="auto" w:fill="FFFFFF"/>
        </w:rPr>
      </w:pPr>
      <w:r>
        <w:rPr>
          <w:rFonts w:hint="eastAsia"/>
          <w:color w:val="auto"/>
          <w:highlight w:val="none"/>
          <w:shd w:val="clear" w:color="auto" w:fill="FFFFFF"/>
          <w:lang w:val="en-US" w:eastAsia="zh-CN"/>
        </w:rPr>
        <w:t>1.监督部门信息：</w:t>
      </w:r>
    </w:p>
    <w:p w14:paraId="44663F61">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监督部门：</w:t>
      </w:r>
      <w:r>
        <w:rPr>
          <w:rFonts w:hint="default" w:ascii="宋体" w:hAnsi="宋体" w:eastAsia="宋体" w:cs="Times New Roman"/>
          <w:color w:val="auto"/>
          <w:sz w:val="24"/>
          <w:szCs w:val="24"/>
          <w:highlight w:val="none"/>
          <w:lang w:val="en-US" w:eastAsia="zh-CN"/>
        </w:rPr>
        <w:t>三门峡市陕州区财政局政府采购监督管理科</w:t>
      </w:r>
    </w:p>
    <w:p w14:paraId="0154CBEF">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default" w:ascii="宋体" w:hAnsi="宋体"/>
          <w:sz w:val="24"/>
          <w:highlight w:val="none"/>
          <w:lang w:val="en-US"/>
        </w:rPr>
      </w:pPr>
      <w:r>
        <w:rPr>
          <w:rFonts w:hint="eastAsia"/>
          <w:color w:val="auto"/>
          <w:shd w:val="clear" w:color="auto" w:fill="FFFFFF"/>
          <w:lang w:val="en-US" w:eastAsia="zh-CN"/>
        </w:rPr>
        <w:t>联系方式</w:t>
      </w:r>
      <w:r>
        <w:rPr>
          <w:rFonts w:hint="eastAsia"/>
          <w:color w:val="auto"/>
          <w:highlight w:val="none"/>
          <w:shd w:val="clear" w:color="auto" w:fill="FFFFFF"/>
          <w:lang w:val="en-US" w:eastAsia="zh-CN"/>
        </w:rPr>
        <w:t>：0</w:t>
      </w:r>
      <w:r>
        <w:rPr>
          <w:rFonts w:hint="default" w:ascii="宋体" w:hAnsi="宋体" w:eastAsia="宋体" w:cs="Times New Roman"/>
          <w:color w:val="auto"/>
          <w:sz w:val="24"/>
          <w:szCs w:val="24"/>
          <w:highlight w:val="none"/>
          <w:lang w:val="en-US" w:eastAsia="zh-CN"/>
        </w:rPr>
        <w:t>398-3839210</w:t>
      </w:r>
    </w:p>
    <w:p w14:paraId="4E30505B">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.采购人信息</w:t>
      </w:r>
    </w:p>
    <w:p w14:paraId="3D90107C">
      <w:pPr>
        <w:pageBreakBefore w:val="0"/>
        <w:kinsoku/>
        <w:wordWrap w:val="0"/>
        <w:overflowPunct/>
        <w:bidi w:val="0"/>
        <w:spacing w:line="500" w:lineRule="exact"/>
        <w:ind w:firstLine="482" w:firstLineChars="201"/>
        <w:rPr>
          <w:rFonts w:hint="eastAsia" w:ascii="宋体" w:hAnsi="宋体" w:eastAsia="宋体"/>
          <w:sz w:val="24"/>
          <w:highlight w:val="none"/>
          <w:lang w:eastAsia="zh-CN"/>
        </w:rPr>
      </w:pPr>
      <w:r>
        <w:rPr>
          <w:rFonts w:hint="eastAsia" w:ascii="宋体" w:hAnsi="宋体"/>
          <w:sz w:val="24"/>
          <w:highlight w:val="none"/>
        </w:rPr>
        <w:t>名称：</w:t>
      </w:r>
      <w:r>
        <w:rPr>
          <w:rFonts w:hint="eastAsia" w:ascii="宋体" w:hAnsi="宋体"/>
          <w:sz w:val="24"/>
          <w:highlight w:val="none"/>
          <w:lang w:eastAsia="zh-CN"/>
        </w:rPr>
        <w:t>三门峡市陕州区菜园乡人民政府</w:t>
      </w:r>
    </w:p>
    <w:p w14:paraId="531AB00D">
      <w:pPr>
        <w:pageBreakBefore w:val="0"/>
        <w:kinsoku/>
        <w:wordWrap w:val="0"/>
        <w:overflowPunct/>
        <w:bidi w:val="0"/>
        <w:spacing w:line="500" w:lineRule="exact"/>
        <w:ind w:firstLine="482" w:firstLineChars="201"/>
        <w:rPr>
          <w:rFonts w:hint="eastAsia" w:ascii="宋体" w:hAnsi="宋体" w:eastAsia="宋体"/>
          <w:sz w:val="24"/>
          <w:highlight w:val="none"/>
          <w:lang w:val="en-US" w:eastAsia="zh-CN"/>
        </w:rPr>
      </w:pPr>
      <w:r>
        <w:rPr>
          <w:rFonts w:hint="eastAsia" w:ascii="宋体" w:hAnsi="宋体"/>
          <w:sz w:val="24"/>
          <w:highlight w:val="none"/>
        </w:rPr>
        <w:t>地址：</w:t>
      </w:r>
      <w:r>
        <w:rPr>
          <w:rFonts w:hint="eastAsia" w:ascii="宋体" w:hAnsi="宋体"/>
          <w:sz w:val="24"/>
          <w:highlight w:val="none"/>
          <w:lang w:eastAsia="zh-CN"/>
        </w:rPr>
        <w:t>三门峡市陕州区</w:t>
      </w:r>
      <w:r>
        <w:rPr>
          <w:rFonts w:hint="eastAsia" w:ascii="宋体" w:hAnsi="宋体"/>
          <w:sz w:val="24"/>
          <w:highlight w:val="none"/>
          <w:lang w:val="en-US" w:eastAsia="zh-CN"/>
        </w:rPr>
        <w:t>菜园乡</w:t>
      </w:r>
    </w:p>
    <w:p w14:paraId="1B5A977A">
      <w:pPr>
        <w:pageBreakBefore w:val="0"/>
        <w:kinsoku/>
        <w:wordWrap w:val="0"/>
        <w:overflowPunct/>
        <w:bidi w:val="0"/>
        <w:spacing w:line="500" w:lineRule="exact"/>
        <w:ind w:firstLine="482" w:firstLineChars="201"/>
        <w:rPr>
          <w:rFonts w:hint="eastAsia"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王先生</w:t>
      </w:r>
    </w:p>
    <w:p w14:paraId="4152C2A4">
      <w:pPr>
        <w:pageBreakBefore w:val="0"/>
        <w:kinsoku/>
        <w:wordWrap w:val="0"/>
        <w:overflowPunct/>
        <w:bidi w:val="0"/>
        <w:spacing w:line="500" w:lineRule="exact"/>
        <w:ind w:firstLine="482" w:firstLineChars="201"/>
        <w:rPr>
          <w:rFonts w:hint="default" w:ascii="宋体" w:hAnsi="宋体" w:eastAsia="宋体"/>
          <w:sz w:val="24"/>
          <w:highlight w:val="none"/>
          <w:lang w:val="en-US" w:eastAsia="zh-CN"/>
        </w:rPr>
      </w:pPr>
      <w:r>
        <w:rPr>
          <w:rFonts w:hint="eastAsia" w:ascii="宋体" w:hAnsi="宋体"/>
          <w:sz w:val="24"/>
          <w:highlight w:val="none"/>
        </w:rPr>
        <w:t>联系方式：</w:t>
      </w:r>
      <w:bookmarkStart w:id="28" w:name="_Toc28359009"/>
      <w:bookmarkStart w:id="29" w:name="_Toc28359086"/>
      <w:r>
        <w:rPr>
          <w:rFonts w:hint="eastAsia" w:ascii="宋体" w:cs="Times New Roman"/>
          <w:sz w:val="24"/>
          <w:szCs w:val="24"/>
          <w:highlight w:val="none"/>
          <w:lang w:val="en-US" w:eastAsia="zh-CN"/>
        </w:rPr>
        <w:t>18668093987</w:t>
      </w:r>
    </w:p>
    <w:p w14:paraId="5B3131F4">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bookmarkEnd w:id="28"/>
      <w:bookmarkEnd w:id="29"/>
      <w:bookmarkStart w:id="30" w:name="_Toc28359010"/>
      <w:bookmarkStart w:id="31" w:name="_Toc28359087"/>
      <w:r>
        <w:rPr>
          <w:rFonts w:hint="eastAsia" w:ascii="宋体" w:hAnsi="宋体"/>
          <w:sz w:val="24"/>
          <w:highlight w:val="none"/>
        </w:rPr>
        <w:t>采购代理机构：</w:t>
      </w:r>
      <w:r>
        <w:rPr>
          <w:rFonts w:hint="eastAsia" w:ascii="宋体" w:hAnsi="宋体"/>
          <w:color w:val="auto"/>
          <w:sz w:val="24"/>
          <w:szCs w:val="24"/>
          <w:highlight w:val="none"/>
          <w:lang w:eastAsia="zh-CN"/>
        </w:rPr>
        <w:t>河南锦霖工程管理有限公司</w:t>
      </w:r>
    </w:p>
    <w:p w14:paraId="48A79465">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rPr>
        <w:t>地    址：</w:t>
      </w:r>
      <w:r>
        <w:rPr>
          <w:rFonts w:hint="eastAsia" w:ascii="宋体" w:hAnsi="宋体"/>
          <w:color w:val="auto"/>
          <w:sz w:val="24"/>
          <w:szCs w:val="24"/>
          <w:highlight w:val="none"/>
        </w:rPr>
        <w:t>三门峡市湖滨区嘉亿广场4号楼6</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1室</w:t>
      </w:r>
    </w:p>
    <w:p w14:paraId="4AB393F3">
      <w:pPr>
        <w:pageBreakBefore w:val="0"/>
        <w:kinsoku/>
        <w:wordWrap w:val="0"/>
        <w:overflowPunct/>
        <w:bidi w:val="0"/>
        <w:spacing w:line="500" w:lineRule="exact"/>
        <w:ind w:firstLine="482" w:firstLineChars="201"/>
        <w:rPr>
          <w:rFonts w:hint="default" w:ascii="宋体" w:hAnsi="宋体"/>
          <w:sz w:val="24"/>
          <w:highlight w:val="none"/>
          <w:lang w:val="en-US"/>
        </w:rPr>
      </w:pPr>
      <w:r>
        <w:rPr>
          <w:rFonts w:hint="eastAsia" w:ascii="宋体" w:hAnsi="宋体"/>
          <w:sz w:val="24"/>
          <w:highlight w:val="none"/>
        </w:rPr>
        <w:t>联 系 人：</w:t>
      </w:r>
      <w:r>
        <w:rPr>
          <w:rFonts w:hint="eastAsia" w:ascii="宋体" w:hAnsi="宋体"/>
          <w:color w:val="auto"/>
          <w:sz w:val="24"/>
          <w:szCs w:val="24"/>
          <w:highlight w:val="none"/>
          <w:lang w:val="en-US" w:eastAsia="zh-CN"/>
        </w:rPr>
        <w:t>陈女士</w:t>
      </w:r>
    </w:p>
    <w:p w14:paraId="2B8418B8">
      <w:pPr>
        <w:pageBreakBefore w:val="0"/>
        <w:kinsoku/>
        <w:wordWrap w:val="0"/>
        <w:overflowPunct/>
        <w:bidi w:val="0"/>
        <w:spacing w:line="500" w:lineRule="exact"/>
        <w:ind w:firstLine="482" w:firstLineChars="201"/>
        <w:rPr>
          <w:rFonts w:hint="default" w:ascii="宋体" w:hAnsi="宋体"/>
          <w:sz w:val="24"/>
          <w:highlight w:val="none"/>
          <w:lang w:val="en-US"/>
        </w:rPr>
      </w:pPr>
      <w:r>
        <w:rPr>
          <w:rFonts w:hint="eastAsia" w:ascii="宋体" w:hAnsi="宋体"/>
          <w:sz w:val="24"/>
          <w:highlight w:val="none"/>
        </w:rPr>
        <w:t>电    话：</w:t>
      </w:r>
      <w:r>
        <w:rPr>
          <w:rFonts w:hint="eastAsia" w:ascii="宋体" w:hAnsi="宋体"/>
          <w:color w:val="auto"/>
          <w:sz w:val="24"/>
          <w:szCs w:val="24"/>
          <w:highlight w:val="none"/>
          <w:lang w:val="en-US" w:eastAsia="zh-CN"/>
        </w:rPr>
        <w:t>0398-2739966</w:t>
      </w:r>
    </w:p>
    <w:p w14:paraId="2CFB42BA">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.项目</w:t>
      </w:r>
      <w:r>
        <w:rPr>
          <w:rFonts w:ascii="宋体" w:hAnsi="宋体"/>
          <w:sz w:val="24"/>
          <w:highlight w:val="none"/>
        </w:rPr>
        <w:t>联系方式</w:t>
      </w:r>
      <w:bookmarkEnd w:id="30"/>
      <w:bookmarkEnd w:id="31"/>
    </w:p>
    <w:p w14:paraId="35F7CDEB">
      <w:pPr>
        <w:pageBreakBefore w:val="0"/>
        <w:kinsoku/>
        <w:wordWrap w:val="0"/>
        <w:overflowPunct/>
        <w:bidi w:val="0"/>
        <w:spacing w:line="500" w:lineRule="exact"/>
        <w:ind w:firstLine="482" w:firstLineChars="201"/>
        <w:rPr>
          <w:rFonts w:hint="default" w:ascii="宋体" w:hAnsi="宋体"/>
          <w:sz w:val="24"/>
          <w:highlight w:val="none"/>
          <w:lang w:val="en-US"/>
        </w:rPr>
      </w:pPr>
      <w:r>
        <w:rPr>
          <w:rFonts w:hint="eastAsia" w:ascii="宋体" w:hAnsi="宋体"/>
          <w:sz w:val="24"/>
          <w:highlight w:val="none"/>
        </w:rPr>
        <w:t>项目联系人：</w:t>
      </w:r>
      <w:r>
        <w:rPr>
          <w:rFonts w:hint="eastAsia" w:ascii="宋体" w:hAnsi="宋体"/>
          <w:sz w:val="24"/>
          <w:highlight w:val="none"/>
          <w:lang w:val="en-US" w:eastAsia="zh-CN"/>
        </w:rPr>
        <w:t>陈女士</w:t>
      </w:r>
    </w:p>
    <w:p w14:paraId="0DF1149B">
      <w:pPr>
        <w:pageBreakBefore w:val="0"/>
        <w:kinsoku/>
        <w:wordWrap w:val="0"/>
        <w:overflowPunct/>
        <w:bidi w:val="0"/>
        <w:spacing w:line="500" w:lineRule="exact"/>
        <w:ind w:firstLine="482" w:firstLineChars="201"/>
        <w:rPr>
          <w:rFonts w:hint="default" w:ascii="宋体" w:hAnsi="宋体"/>
          <w:color w:val="auto"/>
          <w:sz w:val="24"/>
          <w:szCs w:val="24"/>
          <w:highlight w:val="none"/>
          <w:lang w:val="en-US" w:eastAsia="zh-CN"/>
        </w:rPr>
      </w:pPr>
      <w:r>
        <w:rPr>
          <w:rFonts w:hint="eastAsia" w:ascii="宋体" w:hAnsi="宋体"/>
          <w:sz w:val="24"/>
          <w:highlight w:val="none"/>
        </w:rPr>
        <w:t>电    话：</w:t>
      </w:r>
      <w:r>
        <w:rPr>
          <w:rFonts w:hint="eastAsia" w:ascii="宋体" w:hAnsi="宋体"/>
          <w:color w:val="auto"/>
          <w:sz w:val="24"/>
          <w:szCs w:val="24"/>
          <w:highlight w:val="none"/>
          <w:lang w:val="en-US" w:eastAsia="zh-CN"/>
        </w:rPr>
        <w:t>0398-2739966</w:t>
      </w:r>
    </w:p>
    <w:p w14:paraId="2F0FC92C">
      <w:pPr>
        <w:pStyle w:val="25"/>
        <w:pageBreakBefore w:val="0"/>
        <w:kinsoku/>
        <w:overflowPunct/>
        <w:bidi w:val="0"/>
        <w:spacing w:line="500" w:lineRule="exact"/>
        <w:rPr>
          <w:rFonts w:hint="eastAsia"/>
          <w:highlight w:val="none"/>
        </w:rPr>
      </w:pPr>
    </w:p>
    <w:p w14:paraId="363D4EF8">
      <w:pPr>
        <w:pageBreakBefore w:val="0"/>
        <w:kinsoku/>
        <w:overflowPunct/>
        <w:bidi w:val="0"/>
        <w:spacing w:line="500" w:lineRule="exact"/>
        <w:rPr>
          <w:rFonts w:hint="eastAsia"/>
          <w:highlight w:val="none"/>
        </w:rPr>
      </w:pPr>
    </w:p>
    <w:p w14:paraId="7F18C35E">
      <w:pPr>
        <w:pStyle w:val="25"/>
        <w:pageBreakBefore w:val="0"/>
        <w:kinsoku/>
        <w:overflowPunct/>
        <w:bidi w:val="0"/>
        <w:spacing w:line="500" w:lineRule="exact"/>
        <w:rPr>
          <w:rFonts w:hint="eastAsia"/>
          <w:highlight w:val="none"/>
        </w:rPr>
      </w:pPr>
    </w:p>
    <w:p w14:paraId="51D62B4E">
      <w:pPr>
        <w:pageBreakBefore w:val="0"/>
        <w:kinsoku/>
        <w:overflowPunct/>
        <w:bidi w:val="0"/>
        <w:spacing w:line="500" w:lineRule="exact"/>
        <w:rPr>
          <w:rFonts w:hint="eastAsia"/>
          <w:highlight w:val="none"/>
        </w:rPr>
      </w:pPr>
    </w:p>
    <w:p w14:paraId="24AA205C">
      <w:pPr>
        <w:pStyle w:val="24"/>
        <w:rPr>
          <w:rFonts w:hint="eastAsia"/>
          <w:highlight w:val="none"/>
        </w:rPr>
      </w:pPr>
    </w:p>
    <w:p w14:paraId="0F3D0F3B">
      <w:pPr>
        <w:pStyle w:val="24"/>
        <w:ind w:left="0" w:leftChars="0" w:firstLine="0" w:firstLineChars="0"/>
        <w:rPr>
          <w:rFonts w:hint="eastAsia"/>
          <w:highlight w:val="none"/>
        </w:rPr>
      </w:pPr>
    </w:p>
    <w:p w14:paraId="49D7E67C">
      <w:pPr>
        <w:pStyle w:val="24"/>
        <w:ind w:left="0" w:leftChars="0" w:firstLine="0" w:firstLineChars="0"/>
        <w:rPr>
          <w:rFonts w:hint="eastAsia"/>
          <w:highlight w:val="none"/>
        </w:rPr>
      </w:pPr>
    </w:p>
    <w:p w14:paraId="697DD323">
      <w:pPr>
        <w:pStyle w:val="2"/>
        <w:pageBreakBefore w:val="0"/>
        <w:kinsoku/>
        <w:overflowPunct/>
        <w:bidi w:val="0"/>
        <w:spacing w:line="500" w:lineRule="exact"/>
        <w:rPr>
          <w:highlight w:val="none"/>
        </w:rPr>
      </w:pPr>
      <w:r>
        <w:rPr>
          <w:rFonts w:hint="eastAsia"/>
          <w:highlight w:val="none"/>
          <w:lang w:val="en-US" w:eastAsia="zh-CN"/>
        </w:rPr>
        <w:t xml:space="preserve"> </w:t>
      </w:r>
      <w:bookmarkStart w:id="32" w:name="_Toc7999"/>
      <w:r>
        <w:rPr>
          <w:rFonts w:hint="eastAsia"/>
          <w:highlight w:val="none"/>
        </w:rPr>
        <w:t>第二章 供应商须知</w:t>
      </w:r>
      <w:bookmarkEnd w:id="32"/>
      <w:bookmarkStart w:id="33" w:name="_Toc497301886"/>
      <w:bookmarkEnd w:id="33"/>
      <w:bookmarkStart w:id="34" w:name="_Toc465990882"/>
      <w:bookmarkEnd w:id="34"/>
      <w:bookmarkStart w:id="35" w:name="_Toc522798795"/>
      <w:bookmarkEnd w:id="35"/>
      <w:bookmarkStart w:id="36" w:name="_Toc522085734"/>
      <w:bookmarkEnd w:id="36"/>
      <w:bookmarkStart w:id="37" w:name="_Toc521997939"/>
    </w:p>
    <w:p w14:paraId="029337B6">
      <w:pPr>
        <w:pStyle w:val="3"/>
        <w:pageBreakBefore w:val="0"/>
        <w:kinsoku/>
        <w:overflowPunct/>
        <w:bidi w:val="0"/>
        <w:spacing w:line="500" w:lineRule="exact"/>
        <w:rPr>
          <w:rFonts w:hint="eastAsia"/>
          <w:highlight w:val="none"/>
        </w:rPr>
      </w:pPr>
      <w:bookmarkStart w:id="38" w:name="_Toc18947"/>
      <w:r>
        <w:rPr>
          <w:rFonts w:hint="eastAsia"/>
          <w:highlight w:val="none"/>
        </w:rPr>
        <w:t>供应商须知前附表</w:t>
      </w:r>
      <w:bookmarkEnd w:id="37"/>
      <w:bookmarkEnd w:id="38"/>
    </w:p>
    <w:tbl>
      <w:tblPr>
        <w:tblStyle w:val="26"/>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988"/>
        <w:gridCol w:w="6653"/>
      </w:tblGrid>
      <w:tr w14:paraId="4097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20163F1">
            <w:pPr>
              <w:pStyle w:val="23"/>
              <w:pageBreakBefore w:val="0"/>
              <w:widowControl w:val="0"/>
              <w:kinsoku/>
              <w:overflowPunct/>
              <w:bidi w:val="0"/>
              <w:spacing w:before="0" w:beforeAutospacing="0" w:after="0" w:afterAutospacing="0" w:line="500" w:lineRule="exact"/>
              <w:ind w:firstLine="0" w:firstLineChars="0"/>
              <w:jc w:val="center"/>
              <w:rPr>
                <w:rFonts w:cs="宋体"/>
                <w:b/>
                <w:color w:val="auto"/>
                <w:kern w:val="2"/>
                <w:highlight w:val="none"/>
              </w:rPr>
            </w:pPr>
            <w:r>
              <w:rPr>
                <w:rFonts w:hint="eastAsia" w:cs="宋体"/>
                <w:b/>
                <w:color w:val="auto"/>
                <w:highlight w:val="none"/>
              </w:rPr>
              <w:t>条款号</w:t>
            </w:r>
          </w:p>
        </w:tc>
        <w:tc>
          <w:tcPr>
            <w:tcW w:w="1988" w:type="dxa"/>
            <w:tcBorders>
              <w:top w:val="single" w:color="auto" w:sz="4" w:space="0"/>
              <w:left w:val="nil"/>
              <w:bottom w:val="single" w:color="auto" w:sz="4" w:space="0"/>
              <w:right w:val="single" w:color="auto" w:sz="4" w:space="0"/>
            </w:tcBorders>
            <w:vAlign w:val="center"/>
          </w:tcPr>
          <w:p w14:paraId="479E8F31">
            <w:pPr>
              <w:pStyle w:val="23"/>
              <w:pageBreakBefore w:val="0"/>
              <w:widowControl w:val="0"/>
              <w:kinsoku/>
              <w:overflowPunct/>
              <w:bidi w:val="0"/>
              <w:spacing w:before="0" w:beforeAutospacing="0" w:after="0" w:afterAutospacing="0" w:line="500" w:lineRule="exact"/>
              <w:ind w:firstLine="482"/>
              <w:jc w:val="center"/>
              <w:rPr>
                <w:rFonts w:cs="宋体"/>
                <w:b/>
                <w:color w:val="auto"/>
                <w:kern w:val="2"/>
                <w:highlight w:val="none"/>
              </w:rPr>
            </w:pPr>
            <w:r>
              <w:rPr>
                <w:rFonts w:hint="eastAsia" w:cs="宋体"/>
                <w:b/>
                <w:color w:val="auto"/>
                <w:highlight w:val="none"/>
              </w:rPr>
              <w:t>条款名称</w:t>
            </w:r>
          </w:p>
        </w:tc>
        <w:tc>
          <w:tcPr>
            <w:tcW w:w="6653" w:type="dxa"/>
            <w:tcBorders>
              <w:top w:val="single" w:color="auto" w:sz="4" w:space="0"/>
              <w:left w:val="nil"/>
              <w:bottom w:val="single" w:color="auto" w:sz="4" w:space="0"/>
              <w:right w:val="single" w:color="auto" w:sz="4" w:space="0"/>
            </w:tcBorders>
            <w:vAlign w:val="center"/>
          </w:tcPr>
          <w:p w14:paraId="6E870ED0">
            <w:pPr>
              <w:pStyle w:val="23"/>
              <w:pageBreakBefore w:val="0"/>
              <w:widowControl w:val="0"/>
              <w:kinsoku/>
              <w:overflowPunct/>
              <w:bidi w:val="0"/>
              <w:spacing w:before="0" w:beforeAutospacing="0" w:after="0" w:afterAutospacing="0" w:line="500" w:lineRule="exact"/>
              <w:ind w:firstLine="482"/>
              <w:jc w:val="center"/>
              <w:rPr>
                <w:rFonts w:cs="宋体"/>
                <w:b/>
                <w:color w:val="auto"/>
                <w:kern w:val="2"/>
                <w:highlight w:val="none"/>
              </w:rPr>
            </w:pPr>
            <w:r>
              <w:rPr>
                <w:rFonts w:hint="eastAsia" w:cs="宋体"/>
                <w:b/>
                <w:color w:val="auto"/>
                <w:highlight w:val="none"/>
              </w:rPr>
              <w:t>编列内容</w:t>
            </w:r>
          </w:p>
        </w:tc>
      </w:tr>
      <w:tr w14:paraId="009A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BF20963">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1</w:t>
            </w:r>
          </w:p>
        </w:tc>
        <w:tc>
          <w:tcPr>
            <w:tcW w:w="1988" w:type="dxa"/>
            <w:tcBorders>
              <w:top w:val="single" w:color="auto" w:sz="4" w:space="0"/>
              <w:left w:val="nil"/>
              <w:bottom w:val="single" w:color="auto" w:sz="4" w:space="0"/>
              <w:right w:val="single" w:color="auto" w:sz="4" w:space="0"/>
            </w:tcBorders>
            <w:vAlign w:val="center"/>
          </w:tcPr>
          <w:p w14:paraId="6C8DEFAF">
            <w:pPr>
              <w:pStyle w:val="23"/>
              <w:pageBreakBefore w:val="0"/>
              <w:widowControl w:val="0"/>
              <w:kinsoku/>
              <w:overflowPunct/>
              <w:bidi w:val="0"/>
              <w:spacing w:before="0" w:beforeAutospacing="0" w:after="0" w:afterAutospacing="0" w:line="500" w:lineRule="exact"/>
              <w:ind w:firstLine="679" w:firstLineChars="283"/>
              <w:jc w:val="both"/>
              <w:rPr>
                <w:rFonts w:cs="宋体"/>
                <w:color w:val="auto"/>
                <w:kern w:val="2"/>
                <w:highlight w:val="none"/>
              </w:rPr>
            </w:pPr>
            <w:r>
              <w:rPr>
                <w:rFonts w:hint="eastAsia" w:cs="宋体"/>
                <w:color w:val="auto"/>
                <w:highlight w:val="none"/>
              </w:rPr>
              <w:t>采购人</w:t>
            </w:r>
          </w:p>
        </w:tc>
        <w:tc>
          <w:tcPr>
            <w:tcW w:w="6653" w:type="dxa"/>
            <w:tcBorders>
              <w:top w:val="single" w:color="auto" w:sz="4" w:space="0"/>
              <w:left w:val="nil"/>
              <w:bottom w:val="single" w:color="auto" w:sz="4" w:space="0"/>
              <w:right w:val="single" w:color="auto" w:sz="4" w:space="0"/>
            </w:tcBorders>
            <w:vAlign w:val="center"/>
          </w:tcPr>
          <w:p w14:paraId="3E951C04">
            <w:pPr>
              <w:pageBreakBefore w:val="0"/>
              <w:kinsoku/>
              <w:overflowPunct/>
              <w:bidi w:val="0"/>
              <w:spacing w:line="500" w:lineRule="exact"/>
              <w:rPr>
                <w:rFonts w:ascii="宋体" w:hAnsi="宋体"/>
                <w:color w:val="auto"/>
                <w:sz w:val="24"/>
                <w:highlight w:val="none"/>
              </w:rPr>
            </w:pPr>
            <w:r>
              <w:rPr>
                <w:rFonts w:hint="eastAsia" w:ascii="宋体" w:hAnsi="宋体"/>
                <w:color w:val="auto"/>
                <w:sz w:val="24"/>
                <w:highlight w:val="none"/>
              </w:rPr>
              <w:t>名称：</w:t>
            </w:r>
            <w:r>
              <w:rPr>
                <w:rFonts w:hint="eastAsia" w:ascii="宋体" w:hAnsi="宋体"/>
                <w:color w:val="auto"/>
                <w:sz w:val="24"/>
                <w:szCs w:val="24"/>
                <w:highlight w:val="none"/>
                <w:lang w:eastAsia="zh-CN"/>
              </w:rPr>
              <w:t>三门峡市陕州区菜园乡人民政府</w:t>
            </w:r>
          </w:p>
          <w:p w14:paraId="4C040374">
            <w:pPr>
              <w:pageBreakBefore w:val="0"/>
              <w:kinsoku/>
              <w:overflowPunct/>
              <w:bidi w:val="0"/>
              <w:spacing w:line="500" w:lineRule="exact"/>
              <w:rPr>
                <w:rFonts w:hint="default" w:ascii="宋体" w:hAnsi="宋体" w:eastAsia="宋体"/>
                <w:color w:val="auto"/>
                <w:sz w:val="24"/>
                <w:highlight w:val="none"/>
                <w:lang w:val="en-US" w:eastAsia="zh-CN"/>
              </w:rPr>
            </w:pPr>
            <w:r>
              <w:rPr>
                <w:rFonts w:hint="eastAsia" w:ascii="宋体" w:hAnsi="宋体"/>
                <w:color w:val="auto"/>
                <w:sz w:val="24"/>
                <w:highlight w:val="none"/>
              </w:rPr>
              <w:t>地址：</w:t>
            </w:r>
            <w:r>
              <w:rPr>
                <w:rFonts w:hint="eastAsia" w:ascii="宋体" w:hAnsi="宋体"/>
                <w:sz w:val="24"/>
                <w:highlight w:val="none"/>
                <w:lang w:eastAsia="zh-CN"/>
              </w:rPr>
              <w:t>三门峡市陕州区</w:t>
            </w:r>
            <w:r>
              <w:rPr>
                <w:rFonts w:hint="eastAsia" w:ascii="宋体" w:hAnsi="宋体"/>
                <w:sz w:val="24"/>
                <w:highlight w:val="none"/>
                <w:lang w:val="en-US" w:eastAsia="zh-CN"/>
              </w:rPr>
              <w:t>菜园乡</w:t>
            </w:r>
          </w:p>
          <w:p w14:paraId="5814B7F8">
            <w:pPr>
              <w:pageBreakBefore w:val="0"/>
              <w:kinsoku/>
              <w:overflowPunct/>
              <w:bidi w:val="0"/>
              <w:spacing w:line="500" w:lineRule="exact"/>
              <w:rPr>
                <w:rFonts w:hint="default" w:ascii="宋体" w:hAnsi="宋体" w:eastAsia="宋体"/>
                <w:color w:val="auto"/>
                <w:sz w:val="21"/>
                <w:szCs w:val="21"/>
                <w:highlight w:val="none"/>
                <w:lang w:val="en-US" w:eastAsia="zh-CN"/>
              </w:rPr>
            </w:pPr>
            <w:r>
              <w:rPr>
                <w:rFonts w:hint="eastAsia" w:ascii="宋体" w:hAnsi="宋体"/>
                <w:color w:val="auto"/>
                <w:sz w:val="24"/>
                <w:highlight w:val="none"/>
              </w:rPr>
              <w:t>联系人：</w:t>
            </w:r>
            <w:r>
              <w:rPr>
                <w:rFonts w:hint="eastAsia" w:ascii="宋体" w:hAnsi="宋体"/>
                <w:sz w:val="24"/>
                <w:highlight w:val="none"/>
                <w:lang w:val="en-US" w:eastAsia="zh-CN"/>
              </w:rPr>
              <w:t>王先生</w:t>
            </w:r>
          </w:p>
          <w:p w14:paraId="17645981">
            <w:pPr>
              <w:pageBreakBefore w:val="0"/>
              <w:kinsoku/>
              <w:overflowPunct/>
              <w:bidi w:val="0"/>
              <w:spacing w:line="500" w:lineRule="exact"/>
              <w:rPr>
                <w:rFonts w:hint="default" w:ascii="宋体" w:hAnsi="宋体" w:eastAsia="宋体" w:cs="宋体"/>
                <w:color w:val="auto"/>
                <w:sz w:val="24"/>
                <w:highlight w:val="none"/>
                <w:lang w:val="en-US" w:eastAsia="zh-CN"/>
              </w:rPr>
            </w:pPr>
            <w:r>
              <w:rPr>
                <w:rFonts w:hint="eastAsia" w:ascii="宋体" w:hAnsi="宋体"/>
                <w:color w:val="auto"/>
                <w:sz w:val="24"/>
                <w:highlight w:val="none"/>
              </w:rPr>
              <w:t>联系方式：</w:t>
            </w:r>
            <w:r>
              <w:rPr>
                <w:rFonts w:hint="eastAsia" w:ascii="宋体" w:cs="Times New Roman"/>
                <w:sz w:val="24"/>
                <w:szCs w:val="24"/>
                <w:highlight w:val="none"/>
                <w:lang w:val="en-US" w:eastAsia="zh-CN"/>
              </w:rPr>
              <w:t>18668093987</w:t>
            </w:r>
          </w:p>
        </w:tc>
      </w:tr>
      <w:tr w14:paraId="6D4B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C64B35C">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2</w:t>
            </w:r>
          </w:p>
        </w:tc>
        <w:tc>
          <w:tcPr>
            <w:tcW w:w="1988" w:type="dxa"/>
            <w:tcBorders>
              <w:top w:val="single" w:color="auto" w:sz="4" w:space="0"/>
              <w:left w:val="nil"/>
              <w:bottom w:val="single" w:color="auto" w:sz="4" w:space="0"/>
              <w:right w:val="single" w:color="auto" w:sz="4" w:space="0"/>
            </w:tcBorders>
            <w:vAlign w:val="center"/>
          </w:tcPr>
          <w:p w14:paraId="3A68E157">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采购代理机构</w:t>
            </w:r>
          </w:p>
        </w:tc>
        <w:tc>
          <w:tcPr>
            <w:tcW w:w="6653" w:type="dxa"/>
            <w:tcBorders>
              <w:top w:val="single" w:color="auto" w:sz="4" w:space="0"/>
              <w:left w:val="nil"/>
              <w:bottom w:val="single" w:color="auto" w:sz="4" w:space="0"/>
              <w:right w:val="single" w:color="auto" w:sz="4" w:space="0"/>
            </w:tcBorders>
            <w:vAlign w:val="center"/>
          </w:tcPr>
          <w:p w14:paraId="337F2BBC">
            <w:pPr>
              <w:pageBreakBefore w:val="0"/>
              <w:kinsoku/>
              <w:overflowPunct/>
              <w:bidi w:val="0"/>
              <w:spacing w:line="500" w:lineRule="exac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名  称：河南锦霖工程管理有限公司</w:t>
            </w:r>
          </w:p>
          <w:p w14:paraId="1CFCAC02">
            <w:pPr>
              <w:pageBreakBefore w:val="0"/>
              <w:kinsoku/>
              <w:overflowPunct/>
              <w:bidi w:val="0"/>
              <w:spacing w:line="500" w:lineRule="exac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地  址：三门峡市湖滨区嘉亿广场4号楼6</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1室</w:t>
            </w:r>
          </w:p>
          <w:p w14:paraId="4BAD5818">
            <w:pPr>
              <w:pageBreakBefore w:val="0"/>
              <w:kinsoku/>
              <w:overflowPunct/>
              <w:bidi w:val="0"/>
              <w:spacing w:line="500" w:lineRule="exac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联系人：</w:t>
            </w:r>
            <w:r>
              <w:rPr>
                <w:rFonts w:hint="eastAsia" w:ascii="宋体" w:hAnsi="宋体"/>
                <w:color w:val="auto"/>
                <w:sz w:val="24"/>
                <w:szCs w:val="24"/>
                <w:highlight w:val="none"/>
                <w:lang w:val="en-US" w:eastAsia="zh-CN"/>
              </w:rPr>
              <w:t>陈女士</w:t>
            </w:r>
          </w:p>
          <w:p w14:paraId="15DADC45">
            <w:pPr>
              <w:pageBreakBefore w:val="0"/>
              <w:kinsoku/>
              <w:overflowPunct/>
              <w:bidi w:val="0"/>
              <w:spacing w:line="500" w:lineRule="exact"/>
              <w:rPr>
                <w:rFonts w:hint="default" w:ascii="宋体" w:hAnsi="宋体"/>
                <w:color w:val="auto"/>
                <w:sz w:val="24"/>
                <w:szCs w:val="24"/>
                <w:highlight w:val="none"/>
                <w:lang w:val="en-US" w:eastAsia="zh-CN"/>
              </w:rPr>
            </w:pPr>
            <w:r>
              <w:rPr>
                <w:rFonts w:hint="eastAsia" w:ascii="宋体" w:hAnsi="宋体"/>
                <w:color w:val="auto"/>
                <w:sz w:val="24"/>
                <w:szCs w:val="24"/>
                <w:highlight w:val="none"/>
                <w:lang w:eastAsia="zh-CN"/>
              </w:rPr>
              <w:t>电  话：</w:t>
            </w:r>
            <w:r>
              <w:rPr>
                <w:rFonts w:hint="eastAsia" w:ascii="宋体" w:hAnsi="宋体"/>
                <w:color w:val="auto"/>
                <w:sz w:val="24"/>
                <w:szCs w:val="24"/>
                <w:highlight w:val="none"/>
                <w:lang w:val="en-US" w:eastAsia="zh-CN"/>
              </w:rPr>
              <w:t>0398-2739966</w:t>
            </w:r>
          </w:p>
          <w:p w14:paraId="619EB16C">
            <w:pPr>
              <w:pageBreakBefore w:val="0"/>
              <w:kinsoku/>
              <w:overflowPunct/>
              <w:bidi w:val="0"/>
              <w:spacing w:line="500" w:lineRule="exact"/>
              <w:rPr>
                <w:rFonts w:hint="default"/>
                <w:color w:val="auto"/>
                <w:highlight w:val="none"/>
                <w:lang w:val="en-US"/>
              </w:rPr>
            </w:pPr>
            <w:r>
              <w:rPr>
                <w:rFonts w:hint="eastAsia" w:ascii="宋体" w:hAnsi="宋体"/>
                <w:color w:val="auto"/>
                <w:sz w:val="24"/>
                <w:szCs w:val="24"/>
                <w:highlight w:val="none"/>
                <w:lang w:val="en-US" w:eastAsia="zh-CN"/>
              </w:rPr>
              <w:t>邮箱：hnjlgcgl@126.com</w:t>
            </w:r>
          </w:p>
        </w:tc>
      </w:tr>
      <w:tr w14:paraId="62DF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5C01024F">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988" w:type="dxa"/>
            <w:tcBorders>
              <w:top w:val="single" w:color="auto" w:sz="4" w:space="0"/>
              <w:left w:val="nil"/>
              <w:bottom w:val="single" w:color="auto" w:sz="4" w:space="0"/>
              <w:right w:val="single" w:color="auto" w:sz="4" w:space="0"/>
            </w:tcBorders>
            <w:vAlign w:val="center"/>
          </w:tcPr>
          <w:p w14:paraId="4FD201EA">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53" w:type="dxa"/>
            <w:tcBorders>
              <w:top w:val="single" w:color="auto" w:sz="4" w:space="0"/>
              <w:left w:val="nil"/>
              <w:bottom w:val="single" w:color="auto" w:sz="4" w:space="0"/>
              <w:right w:val="single" w:color="auto" w:sz="4" w:space="0"/>
            </w:tcBorders>
            <w:vAlign w:val="center"/>
          </w:tcPr>
          <w:p w14:paraId="0E4ABEAC">
            <w:pPr>
              <w:pageBreakBefore w:val="0"/>
              <w:kinsoku/>
              <w:overflowPunct/>
              <w:bidi w:val="0"/>
              <w:spacing w:line="500" w:lineRule="exact"/>
              <w:rPr>
                <w:rFonts w:ascii="宋体" w:hAnsi="宋体"/>
                <w:color w:val="auto"/>
                <w:sz w:val="24"/>
                <w:highlight w:val="none"/>
              </w:rPr>
            </w:pPr>
            <w:r>
              <w:rPr>
                <w:rFonts w:hint="eastAsia" w:ascii="宋体" w:hAnsi="宋体"/>
                <w:color w:val="auto"/>
                <w:sz w:val="24"/>
                <w:szCs w:val="24"/>
                <w:highlight w:val="none"/>
                <w:lang w:eastAsia="zh-CN"/>
              </w:rPr>
              <w:t>2025年陕州区菜园乡沟南村冷库建设项目—设备采购</w:t>
            </w:r>
          </w:p>
        </w:tc>
      </w:tr>
      <w:tr w14:paraId="741F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CAB2249">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988" w:type="dxa"/>
            <w:tcBorders>
              <w:top w:val="single" w:color="auto" w:sz="4" w:space="0"/>
              <w:left w:val="nil"/>
              <w:bottom w:val="single" w:color="auto" w:sz="4" w:space="0"/>
              <w:right w:val="single" w:color="auto" w:sz="4" w:space="0"/>
            </w:tcBorders>
            <w:vAlign w:val="center"/>
          </w:tcPr>
          <w:p w14:paraId="6BDABADA">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交货地点</w:t>
            </w:r>
          </w:p>
        </w:tc>
        <w:tc>
          <w:tcPr>
            <w:tcW w:w="6653" w:type="dxa"/>
            <w:tcBorders>
              <w:top w:val="single" w:color="auto" w:sz="4" w:space="0"/>
              <w:left w:val="nil"/>
              <w:bottom w:val="single" w:color="auto" w:sz="4" w:space="0"/>
              <w:right w:val="single" w:color="auto" w:sz="4" w:space="0"/>
            </w:tcBorders>
            <w:vAlign w:val="center"/>
          </w:tcPr>
          <w:p w14:paraId="5845BD33">
            <w:pPr>
              <w:pageBreakBefore w:val="0"/>
              <w:kinsoku/>
              <w:overflowPunct/>
              <w:bidi w:val="0"/>
              <w:spacing w:line="500" w:lineRule="exact"/>
              <w:rPr>
                <w:rFonts w:ascii="宋体" w:hAnsi="宋体"/>
                <w:color w:val="auto"/>
                <w:sz w:val="24"/>
                <w:highlight w:val="none"/>
              </w:rPr>
            </w:pPr>
            <w:r>
              <w:rPr>
                <w:rFonts w:hint="eastAsia" w:ascii="宋体" w:hAnsi="宋体"/>
                <w:color w:val="auto"/>
                <w:sz w:val="24"/>
                <w:highlight w:val="none"/>
              </w:rPr>
              <w:t>采购人指定地点</w:t>
            </w:r>
          </w:p>
        </w:tc>
      </w:tr>
      <w:tr w14:paraId="1128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8477DB5">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5</w:t>
            </w:r>
          </w:p>
        </w:tc>
        <w:tc>
          <w:tcPr>
            <w:tcW w:w="1988" w:type="dxa"/>
            <w:tcBorders>
              <w:top w:val="single" w:color="auto" w:sz="4" w:space="0"/>
              <w:left w:val="nil"/>
              <w:bottom w:val="single" w:color="auto" w:sz="4" w:space="0"/>
              <w:right w:val="single" w:color="auto" w:sz="4" w:space="0"/>
            </w:tcBorders>
            <w:vAlign w:val="center"/>
          </w:tcPr>
          <w:p w14:paraId="0F9017FE">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资金来源及比例</w:t>
            </w:r>
          </w:p>
        </w:tc>
        <w:tc>
          <w:tcPr>
            <w:tcW w:w="6653" w:type="dxa"/>
            <w:tcBorders>
              <w:top w:val="single" w:color="auto" w:sz="4" w:space="0"/>
              <w:left w:val="nil"/>
              <w:bottom w:val="single" w:color="auto" w:sz="4" w:space="0"/>
              <w:right w:val="single" w:color="auto" w:sz="4" w:space="0"/>
            </w:tcBorders>
            <w:vAlign w:val="center"/>
          </w:tcPr>
          <w:p w14:paraId="04F43ADB">
            <w:pPr>
              <w:pageBreakBefore w:val="0"/>
              <w:kinsoku/>
              <w:overflowPunct/>
              <w:bidi w:val="0"/>
              <w:spacing w:before="120" w:after="120" w:line="500" w:lineRule="exact"/>
              <w:rPr>
                <w:rFonts w:ascii="宋体" w:hAnsi="宋体"/>
                <w:color w:val="auto"/>
                <w:sz w:val="24"/>
                <w:highlight w:val="none"/>
              </w:rPr>
            </w:pPr>
            <w:r>
              <w:rPr>
                <w:rFonts w:hint="eastAsia" w:ascii="宋体" w:hAnsi="宋体"/>
                <w:color w:val="auto"/>
                <w:sz w:val="24"/>
                <w:highlight w:val="none"/>
                <w:lang w:eastAsia="zh-CN"/>
              </w:rPr>
              <w:t>财政资金</w:t>
            </w:r>
            <w:r>
              <w:rPr>
                <w:rFonts w:hint="eastAsia" w:ascii="宋体" w:hAnsi="宋体"/>
                <w:color w:val="auto"/>
                <w:sz w:val="24"/>
                <w:highlight w:val="none"/>
              </w:rPr>
              <w:t>，100%</w:t>
            </w:r>
          </w:p>
        </w:tc>
      </w:tr>
      <w:tr w14:paraId="3F3C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C7160A9">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6</w:t>
            </w:r>
          </w:p>
        </w:tc>
        <w:tc>
          <w:tcPr>
            <w:tcW w:w="1988" w:type="dxa"/>
            <w:tcBorders>
              <w:top w:val="single" w:color="auto" w:sz="4" w:space="0"/>
              <w:left w:val="nil"/>
              <w:bottom w:val="single" w:color="auto" w:sz="4" w:space="0"/>
              <w:right w:val="single" w:color="auto" w:sz="4" w:space="0"/>
            </w:tcBorders>
            <w:vAlign w:val="center"/>
          </w:tcPr>
          <w:p w14:paraId="343EA320">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资金落实情况</w:t>
            </w:r>
          </w:p>
        </w:tc>
        <w:tc>
          <w:tcPr>
            <w:tcW w:w="6653" w:type="dxa"/>
            <w:tcBorders>
              <w:top w:val="single" w:color="auto" w:sz="4" w:space="0"/>
              <w:left w:val="nil"/>
              <w:bottom w:val="single" w:color="auto" w:sz="4" w:space="0"/>
              <w:right w:val="single" w:color="auto" w:sz="4" w:space="0"/>
            </w:tcBorders>
            <w:vAlign w:val="center"/>
          </w:tcPr>
          <w:p w14:paraId="66C7C0D5">
            <w:pPr>
              <w:pageBreakBefore w:val="0"/>
              <w:kinsoku/>
              <w:overflowPunct/>
              <w:bidi w:val="0"/>
              <w:spacing w:before="120" w:after="120" w:line="500" w:lineRule="exact"/>
              <w:rPr>
                <w:rFonts w:ascii="宋体" w:hAnsi="宋体"/>
                <w:color w:val="auto"/>
                <w:sz w:val="24"/>
                <w:highlight w:val="none"/>
              </w:rPr>
            </w:pPr>
            <w:r>
              <w:rPr>
                <w:rFonts w:hint="eastAsia" w:ascii="宋体" w:hAnsi="宋体"/>
                <w:color w:val="auto"/>
                <w:sz w:val="24"/>
                <w:highlight w:val="none"/>
              </w:rPr>
              <w:t>已落实</w:t>
            </w:r>
          </w:p>
        </w:tc>
      </w:tr>
      <w:tr w14:paraId="20B9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3045A69">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7</w:t>
            </w:r>
          </w:p>
        </w:tc>
        <w:tc>
          <w:tcPr>
            <w:tcW w:w="1988" w:type="dxa"/>
            <w:tcBorders>
              <w:top w:val="single" w:color="auto" w:sz="4" w:space="0"/>
              <w:left w:val="nil"/>
              <w:bottom w:val="single" w:color="auto" w:sz="4" w:space="0"/>
              <w:right w:val="single" w:color="auto" w:sz="4" w:space="0"/>
            </w:tcBorders>
            <w:vAlign w:val="center"/>
          </w:tcPr>
          <w:p w14:paraId="49FE729B">
            <w:pPr>
              <w:pageBreakBefore w:val="0"/>
              <w:kinsoku/>
              <w:overflowPunct/>
              <w:bidi w:val="0"/>
              <w:spacing w:before="120" w:after="120" w:line="500" w:lineRule="exact"/>
              <w:jc w:val="center"/>
              <w:rPr>
                <w:rFonts w:ascii="宋体" w:hAnsi="宋体"/>
                <w:color w:val="auto"/>
                <w:sz w:val="24"/>
                <w:highlight w:val="none"/>
              </w:rPr>
            </w:pPr>
            <w:r>
              <w:rPr>
                <w:rFonts w:hint="eastAsia" w:ascii="宋体" w:hAnsi="宋体"/>
                <w:color w:val="auto"/>
                <w:sz w:val="24"/>
                <w:highlight w:val="none"/>
              </w:rPr>
              <w:t>采购内容</w:t>
            </w:r>
          </w:p>
        </w:tc>
        <w:tc>
          <w:tcPr>
            <w:tcW w:w="6653" w:type="dxa"/>
            <w:tcBorders>
              <w:top w:val="single" w:color="auto" w:sz="4" w:space="0"/>
              <w:left w:val="nil"/>
              <w:bottom w:val="single" w:color="auto" w:sz="4" w:space="0"/>
              <w:right w:val="single" w:color="auto" w:sz="4" w:space="0"/>
            </w:tcBorders>
            <w:vAlign w:val="center"/>
          </w:tcPr>
          <w:p w14:paraId="40E50ED1">
            <w:pPr>
              <w:pageBreakBefore w:val="0"/>
              <w:kinsoku/>
              <w:overflowPunct/>
              <w:bidi w:val="0"/>
              <w:spacing w:before="120" w:after="120" w:line="500" w:lineRule="exac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包含冷库库体保温部分、制冷设备部分、电器部分、安装材料及辅材、叉车、苹果筐等设备的采购及安装、调试、验收、培训、质保期服务、与货物有关的运输和保险及其他伴随服务</w:t>
            </w:r>
            <w:r>
              <w:rPr>
                <w:rFonts w:hint="eastAsia" w:ascii="宋体" w:hAnsi="宋体" w:eastAsia="宋体"/>
                <w:color w:val="auto"/>
                <w:sz w:val="24"/>
                <w:highlight w:val="none"/>
                <w:lang w:eastAsia="zh-CN"/>
              </w:rPr>
              <w:t>；</w:t>
            </w:r>
          </w:p>
        </w:tc>
      </w:tr>
      <w:tr w14:paraId="652D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5CBFEF0">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8</w:t>
            </w:r>
          </w:p>
        </w:tc>
        <w:tc>
          <w:tcPr>
            <w:tcW w:w="1988" w:type="dxa"/>
            <w:tcBorders>
              <w:top w:val="single" w:color="auto" w:sz="4" w:space="0"/>
              <w:left w:val="nil"/>
              <w:bottom w:val="single" w:color="auto" w:sz="4" w:space="0"/>
              <w:right w:val="single" w:color="auto" w:sz="4" w:space="0"/>
            </w:tcBorders>
            <w:vAlign w:val="center"/>
          </w:tcPr>
          <w:p w14:paraId="779CF159">
            <w:pPr>
              <w:pStyle w:val="23"/>
              <w:pageBreakBefore w:val="0"/>
              <w:widowControl w:val="0"/>
              <w:kinsoku/>
              <w:overflowPunct/>
              <w:bidi w:val="0"/>
              <w:spacing w:before="0" w:beforeAutospacing="0" w:after="0" w:afterAutospacing="0" w:line="500" w:lineRule="exact"/>
              <w:ind w:firstLine="0" w:firstLineChars="0"/>
              <w:jc w:val="center"/>
              <w:rPr>
                <w:rFonts w:hint="eastAsia" w:eastAsia="宋体" w:cs="宋体"/>
                <w:color w:val="auto"/>
                <w:kern w:val="2"/>
                <w:highlight w:val="none"/>
                <w:lang w:val="en-US" w:eastAsia="zh-CN"/>
              </w:rPr>
            </w:pPr>
            <w:r>
              <w:rPr>
                <w:rFonts w:hint="eastAsia" w:cs="宋体"/>
                <w:color w:val="auto"/>
                <w:highlight w:val="none"/>
              </w:rPr>
              <w:t>合同履行期限</w:t>
            </w:r>
            <w:r>
              <w:rPr>
                <w:rFonts w:hint="eastAsia" w:cs="宋体"/>
                <w:color w:val="auto"/>
                <w:highlight w:val="none"/>
                <w:lang w:val="en-US" w:eastAsia="zh-CN"/>
              </w:rPr>
              <w:t>/交货期</w:t>
            </w:r>
          </w:p>
        </w:tc>
        <w:tc>
          <w:tcPr>
            <w:tcW w:w="6653" w:type="dxa"/>
            <w:tcBorders>
              <w:top w:val="single" w:color="auto" w:sz="4" w:space="0"/>
              <w:left w:val="nil"/>
              <w:bottom w:val="single" w:color="auto" w:sz="4" w:space="0"/>
              <w:right w:val="single" w:color="auto" w:sz="4" w:space="0"/>
            </w:tcBorders>
            <w:vAlign w:val="center"/>
          </w:tcPr>
          <w:p w14:paraId="02F26184">
            <w:pPr>
              <w:pageBreakBefore w:val="0"/>
              <w:kinsoku/>
              <w:overflowPunct/>
              <w:bidi w:val="0"/>
              <w:spacing w:before="120" w:after="120" w:line="500" w:lineRule="exact"/>
              <w:rPr>
                <w:rFonts w:hint="default" w:ascii="宋体" w:hAnsi="宋体"/>
                <w:color w:val="auto"/>
                <w:sz w:val="24"/>
                <w:highlight w:val="none"/>
                <w:lang w:val="en-US"/>
              </w:rPr>
            </w:pPr>
            <w:r>
              <w:rPr>
                <w:rFonts w:hint="eastAsia" w:ascii="宋体" w:hAnsi="宋体"/>
                <w:color w:val="auto"/>
                <w:sz w:val="24"/>
                <w:szCs w:val="24"/>
                <w:highlight w:val="none"/>
                <w:lang w:val="en-US" w:eastAsia="zh-CN"/>
              </w:rPr>
              <w:t>自合同签订后120日历天内供货并安装调试完毕</w:t>
            </w:r>
          </w:p>
        </w:tc>
      </w:tr>
      <w:tr w14:paraId="0691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849E1BC">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9</w:t>
            </w:r>
          </w:p>
        </w:tc>
        <w:tc>
          <w:tcPr>
            <w:tcW w:w="1988" w:type="dxa"/>
            <w:tcBorders>
              <w:top w:val="single" w:color="auto" w:sz="4" w:space="0"/>
              <w:left w:val="nil"/>
              <w:bottom w:val="single" w:color="auto" w:sz="4" w:space="0"/>
              <w:right w:val="single" w:color="auto" w:sz="4" w:space="0"/>
            </w:tcBorders>
            <w:vAlign w:val="center"/>
          </w:tcPr>
          <w:p w14:paraId="39D25937">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交货地点</w:t>
            </w:r>
          </w:p>
        </w:tc>
        <w:tc>
          <w:tcPr>
            <w:tcW w:w="6653" w:type="dxa"/>
            <w:tcBorders>
              <w:top w:val="single" w:color="auto" w:sz="4" w:space="0"/>
              <w:left w:val="nil"/>
              <w:bottom w:val="single" w:color="auto" w:sz="4" w:space="0"/>
              <w:right w:val="single" w:color="auto" w:sz="4" w:space="0"/>
            </w:tcBorders>
            <w:vAlign w:val="center"/>
          </w:tcPr>
          <w:p w14:paraId="5F8F0997">
            <w:pPr>
              <w:pageBreakBefore w:val="0"/>
              <w:kinsoku/>
              <w:overflowPunct/>
              <w:bidi w:val="0"/>
              <w:spacing w:before="120" w:after="120" w:line="500" w:lineRule="exact"/>
              <w:rPr>
                <w:rFonts w:ascii="宋体" w:hAnsi="宋体" w:cs="宋体"/>
                <w:color w:val="auto"/>
                <w:sz w:val="24"/>
                <w:highlight w:val="none"/>
              </w:rPr>
            </w:pPr>
            <w:r>
              <w:rPr>
                <w:rFonts w:hint="eastAsia" w:ascii="宋体" w:hAnsi="宋体" w:cs="宋体"/>
                <w:color w:val="auto"/>
                <w:sz w:val="24"/>
                <w:highlight w:val="none"/>
              </w:rPr>
              <w:t>采购人指定地点</w:t>
            </w:r>
          </w:p>
        </w:tc>
      </w:tr>
      <w:tr w14:paraId="6254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4C91E5D">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10</w:t>
            </w:r>
          </w:p>
        </w:tc>
        <w:tc>
          <w:tcPr>
            <w:tcW w:w="1988" w:type="dxa"/>
            <w:tcBorders>
              <w:top w:val="single" w:color="auto" w:sz="4" w:space="0"/>
              <w:left w:val="nil"/>
              <w:bottom w:val="single" w:color="auto" w:sz="4" w:space="0"/>
              <w:right w:val="single" w:color="auto" w:sz="4" w:space="0"/>
            </w:tcBorders>
            <w:vAlign w:val="center"/>
          </w:tcPr>
          <w:p w14:paraId="042B157B">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质量标准</w:t>
            </w:r>
          </w:p>
        </w:tc>
        <w:tc>
          <w:tcPr>
            <w:tcW w:w="6653" w:type="dxa"/>
            <w:tcBorders>
              <w:top w:val="single" w:color="auto" w:sz="4" w:space="0"/>
              <w:left w:val="nil"/>
              <w:bottom w:val="single" w:color="auto" w:sz="4" w:space="0"/>
              <w:right w:val="single" w:color="auto" w:sz="4" w:space="0"/>
            </w:tcBorders>
            <w:vAlign w:val="center"/>
          </w:tcPr>
          <w:p w14:paraId="57917D1A">
            <w:pPr>
              <w:pageBreakBefore w:val="0"/>
              <w:kinsoku/>
              <w:overflowPunct/>
              <w:bidi w:val="0"/>
              <w:spacing w:before="120" w:after="120" w:line="5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符合国家或行业规定的合格标准</w:t>
            </w:r>
            <w:r>
              <w:rPr>
                <w:rFonts w:hint="eastAsia" w:ascii="宋体" w:hAnsi="宋体" w:cs="宋体"/>
                <w:color w:val="auto"/>
                <w:sz w:val="24"/>
                <w:highlight w:val="none"/>
                <w:lang w:eastAsia="zh-CN"/>
              </w:rPr>
              <w:t>；</w:t>
            </w:r>
          </w:p>
        </w:tc>
      </w:tr>
      <w:tr w14:paraId="3EE8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F89F006">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highlight w:val="none"/>
                <w:lang w:val="en-US" w:eastAsia="zh-CN"/>
              </w:rPr>
            </w:pPr>
            <w:r>
              <w:rPr>
                <w:rFonts w:hint="eastAsia" w:cs="宋体"/>
                <w:color w:val="auto"/>
                <w:highlight w:val="none"/>
                <w:lang w:val="en-US" w:eastAsia="zh-CN"/>
              </w:rPr>
              <w:t>11</w:t>
            </w:r>
          </w:p>
        </w:tc>
        <w:tc>
          <w:tcPr>
            <w:tcW w:w="1988" w:type="dxa"/>
            <w:tcBorders>
              <w:top w:val="single" w:color="auto" w:sz="4" w:space="0"/>
              <w:left w:val="nil"/>
              <w:bottom w:val="single" w:color="auto" w:sz="4" w:space="0"/>
              <w:right w:val="single" w:color="auto" w:sz="4" w:space="0"/>
            </w:tcBorders>
            <w:vAlign w:val="center"/>
          </w:tcPr>
          <w:p w14:paraId="1D53241F">
            <w:pPr>
              <w:pStyle w:val="23"/>
              <w:pageBreakBefore w:val="0"/>
              <w:widowControl w:val="0"/>
              <w:kinsoku/>
              <w:overflowPunct/>
              <w:bidi w:val="0"/>
              <w:spacing w:before="0" w:beforeAutospacing="0" w:after="0" w:afterAutospacing="0" w:line="500" w:lineRule="exact"/>
              <w:ind w:firstLine="0" w:firstLineChars="0"/>
              <w:jc w:val="center"/>
              <w:rPr>
                <w:rFonts w:hint="eastAsia" w:eastAsia="宋体" w:cs="宋体"/>
                <w:color w:val="auto"/>
                <w:highlight w:val="none"/>
                <w:lang w:eastAsia="zh-CN"/>
              </w:rPr>
            </w:pPr>
            <w:r>
              <w:rPr>
                <w:rFonts w:hint="eastAsia" w:cs="宋体"/>
                <w:color w:val="auto"/>
                <w:highlight w:val="none"/>
                <w:lang w:eastAsia="zh-CN"/>
              </w:rPr>
              <w:t>质保期</w:t>
            </w:r>
          </w:p>
        </w:tc>
        <w:tc>
          <w:tcPr>
            <w:tcW w:w="6653" w:type="dxa"/>
            <w:tcBorders>
              <w:top w:val="single" w:color="auto" w:sz="4" w:space="0"/>
              <w:left w:val="nil"/>
              <w:bottom w:val="single" w:color="auto" w:sz="4" w:space="0"/>
              <w:right w:val="single" w:color="auto" w:sz="4" w:space="0"/>
            </w:tcBorders>
            <w:vAlign w:val="center"/>
          </w:tcPr>
          <w:p w14:paraId="7E9F867E">
            <w:pPr>
              <w:pageBreakBefore w:val="0"/>
              <w:kinsoku/>
              <w:overflowPunct/>
              <w:bidi w:val="0"/>
              <w:spacing w:before="120" w:after="120" w:line="5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1年</w:t>
            </w:r>
          </w:p>
        </w:tc>
      </w:tr>
      <w:tr w14:paraId="2C48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42226F7">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highlight w:val="none"/>
                <w:lang w:val="en-US" w:eastAsia="zh-CN"/>
              </w:rPr>
              <w:t>12</w:t>
            </w:r>
          </w:p>
        </w:tc>
        <w:tc>
          <w:tcPr>
            <w:tcW w:w="1988" w:type="dxa"/>
            <w:tcBorders>
              <w:top w:val="single" w:color="auto" w:sz="4" w:space="0"/>
              <w:left w:val="nil"/>
              <w:bottom w:val="single" w:color="auto" w:sz="4" w:space="0"/>
              <w:right w:val="single" w:color="auto" w:sz="4" w:space="0"/>
            </w:tcBorders>
            <w:vAlign w:val="center"/>
          </w:tcPr>
          <w:p w14:paraId="4F4FBF3F">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kern w:val="2"/>
                <w:highlight w:val="none"/>
              </w:rPr>
              <w:t>供应商资格要求</w:t>
            </w:r>
          </w:p>
        </w:tc>
        <w:tc>
          <w:tcPr>
            <w:tcW w:w="6653" w:type="dxa"/>
            <w:tcBorders>
              <w:top w:val="single" w:color="auto" w:sz="4" w:space="0"/>
              <w:left w:val="nil"/>
              <w:bottom w:val="single" w:color="auto" w:sz="4" w:space="0"/>
              <w:right w:val="single" w:color="auto" w:sz="4" w:space="0"/>
            </w:tcBorders>
            <w:vAlign w:val="center"/>
          </w:tcPr>
          <w:p w14:paraId="49CE8C19">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满足《中华人民共和国政府采购法》第二十二条规定；</w:t>
            </w:r>
          </w:p>
          <w:p w14:paraId="6B5F78EB">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落实政府采购政策需满足的资格要求：本项目</w:t>
            </w:r>
            <w:r>
              <w:rPr>
                <w:rFonts w:hint="eastAsia" w:ascii="宋体" w:hAnsi="宋体"/>
                <w:color w:val="auto"/>
                <w:sz w:val="24"/>
                <w:szCs w:val="24"/>
                <w:highlight w:val="none"/>
                <w:lang w:val="en-US" w:eastAsia="zh-CN"/>
              </w:rPr>
              <w:t>非</w:t>
            </w:r>
            <w:r>
              <w:rPr>
                <w:rFonts w:hint="eastAsia" w:ascii="宋体" w:hAnsi="宋体"/>
                <w:color w:val="auto"/>
                <w:sz w:val="24"/>
                <w:szCs w:val="24"/>
                <w:highlight w:val="none"/>
              </w:rPr>
              <w:t>专门面向中小企业采购项目，</w:t>
            </w:r>
            <w:r>
              <w:rPr>
                <w:rFonts w:hint="eastAsia" w:ascii="宋体" w:hAnsi="宋体"/>
                <w:color w:val="auto"/>
                <w:sz w:val="24"/>
                <w:szCs w:val="24"/>
                <w:highlight w:val="none"/>
                <w:lang w:val="en-US" w:eastAsia="zh-CN"/>
              </w:rPr>
              <w:t>但</w:t>
            </w:r>
            <w:r>
              <w:rPr>
                <w:rFonts w:hint="eastAsia" w:ascii="宋体" w:hAnsi="宋体"/>
                <w:color w:val="auto"/>
                <w:sz w:val="24"/>
                <w:szCs w:val="24"/>
                <w:highlight w:val="none"/>
              </w:rPr>
              <w:t>执行促进中小企业（监狱企业、残疾人福利性企业）发展等政府采购政策；</w:t>
            </w:r>
          </w:p>
          <w:p w14:paraId="5D494B1D">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本项目的特定资格要求：</w:t>
            </w:r>
          </w:p>
          <w:p w14:paraId="1DE95910">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3.1、供应商须具有独立法人资格，具备有效的营业执照；</w:t>
            </w:r>
          </w:p>
          <w:p w14:paraId="4992276C">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3.2、参加政府采购活动近3年内无行贿犯罪记录、无商业贿赂、无不正当竞争行为、无骗取中标、无严重违约及重大工程质量等问题的承诺书；</w:t>
            </w:r>
          </w:p>
          <w:p w14:paraId="5AF3279E">
            <w:pPr>
              <w:pageBreakBefore w:val="0"/>
              <w:kinsoku/>
              <w:overflowPunct/>
              <w:bidi w:val="0"/>
              <w:spacing w:line="5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3.3、供应商自行出具本企业无商业贿赂和不正当竞争行为承诺书</w:t>
            </w:r>
            <w:r>
              <w:rPr>
                <w:rFonts w:hint="eastAsia" w:ascii="宋体" w:hAnsi="宋体"/>
                <w:color w:val="auto"/>
                <w:sz w:val="24"/>
                <w:szCs w:val="24"/>
                <w:highlight w:val="none"/>
                <w:lang w:eastAsia="zh-CN"/>
              </w:rPr>
              <w:t>；</w:t>
            </w:r>
          </w:p>
          <w:p w14:paraId="4DEA61E4">
            <w:pPr>
              <w:pageBreakBefore w:val="0"/>
              <w:kinsoku/>
              <w:overflowPunct/>
              <w:bidi w:val="0"/>
              <w:spacing w:line="500" w:lineRule="exact"/>
              <w:ind w:firstLine="480" w:firstLineChars="200"/>
              <w:rPr>
                <w:color w:val="auto"/>
                <w:highlight w:val="none"/>
              </w:rPr>
            </w:pPr>
            <w:r>
              <w:rPr>
                <w:rFonts w:hint="eastAsia" w:ascii="宋体" w:hAnsi="宋体"/>
                <w:color w:val="auto"/>
                <w:sz w:val="24"/>
                <w:szCs w:val="24"/>
                <w:highlight w:val="none"/>
              </w:rPr>
              <w:t>3.4、根据《关于在政府采购活动中查询及使用信用记录有关问题的通知》(财库[2016]125号)和豫财购【2016】15号的规定，</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https://www.creditchina.gov.cn/xinxigongshi/）、中国政府采购网（www.ccgp.gov.cn），提供网站的查询结果截图，截图要显示查询时间，查询时间自本公告发布之日起；</w:t>
            </w:r>
          </w:p>
        </w:tc>
      </w:tr>
      <w:tr w14:paraId="7F36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AFB077B">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13</w:t>
            </w:r>
          </w:p>
        </w:tc>
        <w:tc>
          <w:tcPr>
            <w:tcW w:w="1988" w:type="dxa"/>
            <w:tcBorders>
              <w:top w:val="single" w:color="auto" w:sz="4" w:space="0"/>
              <w:left w:val="nil"/>
              <w:bottom w:val="single" w:color="auto" w:sz="4" w:space="0"/>
              <w:right w:val="single" w:color="auto" w:sz="4" w:space="0"/>
            </w:tcBorders>
            <w:vAlign w:val="center"/>
          </w:tcPr>
          <w:p w14:paraId="4E9AE2AA">
            <w:pPr>
              <w:pageBreakBefore w:val="0"/>
              <w:kinsoku/>
              <w:overflowPunct/>
              <w:bidi w:val="0"/>
              <w:spacing w:before="120" w:after="120" w:line="5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是否接受联合体</w:t>
            </w:r>
          </w:p>
        </w:tc>
        <w:tc>
          <w:tcPr>
            <w:tcW w:w="6653" w:type="dxa"/>
            <w:tcBorders>
              <w:top w:val="single" w:color="auto" w:sz="4" w:space="0"/>
              <w:left w:val="nil"/>
              <w:bottom w:val="single" w:color="auto" w:sz="4" w:space="0"/>
              <w:right w:val="single" w:color="auto" w:sz="4" w:space="0"/>
            </w:tcBorders>
            <w:vAlign w:val="center"/>
          </w:tcPr>
          <w:p w14:paraId="089AAB4D">
            <w:pPr>
              <w:pageBreakBefore w:val="0"/>
              <w:kinsoku/>
              <w:overflowPunct/>
              <w:bidi w:val="0"/>
              <w:spacing w:before="120" w:after="120" w:line="500" w:lineRule="exact"/>
              <w:jc w:val="left"/>
              <w:rPr>
                <w:rFonts w:ascii="宋体" w:hAnsi="宋体" w:cs="宋体"/>
                <w:color w:val="auto"/>
                <w:sz w:val="24"/>
                <w:highlight w:val="none"/>
              </w:rPr>
            </w:pPr>
            <w:r>
              <w:rPr>
                <w:rFonts w:hint="eastAsia" w:ascii="宋体" w:hAnsi="宋体" w:cs="宋体"/>
                <w:color w:val="auto"/>
                <w:sz w:val="24"/>
                <w:highlight w:val="none"/>
              </w:rPr>
              <w:t>不接受</w:t>
            </w:r>
          </w:p>
        </w:tc>
      </w:tr>
      <w:tr w14:paraId="0522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3D048F3">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14</w:t>
            </w:r>
          </w:p>
        </w:tc>
        <w:tc>
          <w:tcPr>
            <w:tcW w:w="1988" w:type="dxa"/>
            <w:tcBorders>
              <w:top w:val="single" w:color="auto" w:sz="4" w:space="0"/>
              <w:left w:val="nil"/>
              <w:bottom w:val="single" w:color="auto" w:sz="4" w:space="0"/>
              <w:right w:val="single" w:color="auto" w:sz="4" w:space="0"/>
            </w:tcBorders>
            <w:vAlign w:val="center"/>
          </w:tcPr>
          <w:p w14:paraId="35B46C1F">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供应商不得存在的其他情形</w:t>
            </w:r>
          </w:p>
        </w:tc>
        <w:tc>
          <w:tcPr>
            <w:tcW w:w="6653" w:type="dxa"/>
            <w:tcBorders>
              <w:top w:val="single" w:color="auto" w:sz="4" w:space="0"/>
              <w:left w:val="nil"/>
              <w:bottom w:val="single" w:color="auto" w:sz="4" w:space="0"/>
              <w:right w:val="single" w:color="auto" w:sz="4" w:space="0"/>
            </w:tcBorders>
            <w:vAlign w:val="center"/>
          </w:tcPr>
          <w:p w14:paraId="53A2FF22">
            <w:pPr>
              <w:pageBreakBefore w:val="0"/>
              <w:kinsoku/>
              <w:overflowPunct/>
              <w:bidi w:val="0"/>
              <w:spacing w:before="120" w:after="120" w:line="500" w:lineRule="exact"/>
              <w:jc w:val="left"/>
              <w:rPr>
                <w:rFonts w:ascii="宋体" w:hAnsi="宋体" w:cs="宋体"/>
                <w:color w:val="auto"/>
                <w:sz w:val="24"/>
                <w:highlight w:val="none"/>
              </w:rPr>
            </w:pPr>
            <w:r>
              <w:rPr>
                <w:rFonts w:hint="eastAsia" w:ascii="宋体" w:hAnsi="宋体" w:cs="宋体"/>
                <w:color w:val="auto"/>
                <w:sz w:val="24"/>
                <w:highlight w:val="none"/>
              </w:rPr>
              <w:t>详见供应商须知正文</w:t>
            </w:r>
          </w:p>
        </w:tc>
      </w:tr>
      <w:tr w14:paraId="66C3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D474FF5">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15</w:t>
            </w:r>
          </w:p>
        </w:tc>
        <w:tc>
          <w:tcPr>
            <w:tcW w:w="1988" w:type="dxa"/>
            <w:tcBorders>
              <w:top w:val="single" w:color="auto" w:sz="4" w:space="0"/>
              <w:left w:val="nil"/>
              <w:bottom w:val="single" w:color="auto" w:sz="4" w:space="0"/>
              <w:right w:val="single" w:color="auto" w:sz="4" w:space="0"/>
            </w:tcBorders>
            <w:vAlign w:val="center"/>
          </w:tcPr>
          <w:p w14:paraId="5DAE709D">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lang w:eastAsia="zh-CN"/>
              </w:rPr>
              <w:t>磋商</w:t>
            </w:r>
            <w:r>
              <w:rPr>
                <w:rFonts w:hint="eastAsia" w:ascii="宋体" w:hAnsi="宋体" w:cs="宋体"/>
                <w:color w:val="auto"/>
                <w:sz w:val="24"/>
                <w:highlight w:val="none"/>
              </w:rPr>
              <w:t>预备会</w:t>
            </w:r>
          </w:p>
        </w:tc>
        <w:tc>
          <w:tcPr>
            <w:tcW w:w="6653" w:type="dxa"/>
            <w:tcBorders>
              <w:top w:val="single" w:color="auto" w:sz="4" w:space="0"/>
              <w:left w:val="nil"/>
              <w:bottom w:val="single" w:color="auto" w:sz="4" w:space="0"/>
              <w:right w:val="single" w:color="auto" w:sz="4" w:space="0"/>
            </w:tcBorders>
            <w:vAlign w:val="center"/>
          </w:tcPr>
          <w:p w14:paraId="7A9616E2">
            <w:pPr>
              <w:pageBreakBefore w:val="0"/>
              <w:kinsoku/>
              <w:overflowPunct/>
              <w:bidi w:val="0"/>
              <w:spacing w:before="120" w:after="120" w:line="500" w:lineRule="exact"/>
              <w:jc w:val="left"/>
              <w:rPr>
                <w:rFonts w:ascii="宋体" w:hAnsi="宋体" w:cs="宋体"/>
                <w:color w:val="auto"/>
                <w:sz w:val="24"/>
                <w:highlight w:val="none"/>
              </w:rPr>
            </w:pPr>
            <w:r>
              <w:rPr>
                <w:rFonts w:hint="eastAsia" w:ascii="宋体" w:hAnsi="宋体" w:cs="宋体"/>
                <w:color w:val="auto"/>
                <w:sz w:val="24"/>
                <w:highlight w:val="none"/>
              </w:rPr>
              <w:t>不召开</w:t>
            </w:r>
          </w:p>
        </w:tc>
      </w:tr>
      <w:tr w14:paraId="47AB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A4FC971">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16</w:t>
            </w:r>
          </w:p>
        </w:tc>
        <w:tc>
          <w:tcPr>
            <w:tcW w:w="1988" w:type="dxa"/>
            <w:tcBorders>
              <w:top w:val="single" w:color="auto" w:sz="4" w:space="0"/>
              <w:left w:val="nil"/>
              <w:bottom w:val="single" w:color="auto" w:sz="4" w:space="0"/>
              <w:right w:val="single" w:color="auto" w:sz="4" w:space="0"/>
            </w:tcBorders>
            <w:vAlign w:val="center"/>
          </w:tcPr>
          <w:p w14:paraId="1B6B89FB">
            <w:pPr>
              <w:pageBreakBefore w:val="0"/>
              <w:widowControl/>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供应商提出问题的截止时间</w:t>
            </w:r>
          </w:p>
        </w:tc>
        <w:tc>
          <w:tcPr>
            <w:tcW w:w="6653" w:type="dxa"/>
            <w:tcBorders>
              <w:top w:val="single" w:color="auto" w:sz="4" w:space="0"/>
              <w:left w:val="nil"/>
              <w:bottom w:val="single" w:color="auto" w:sz="4" w:space="0"/>
              <w:right w:val="single" w:color="auto" w:sz="4" w:space="0"/>
            </w:tcBorders>
            <w:vAlign w:val="center"/>
          </w:tcPr>
          <w:p w14:paraId="0C42E013">
            <w:pPr>
              <w:pageBreakBefore w:val="0"/>
              <w:widowControl/>
              <w:kinsoku/>
              <w:overflowPunct/>
              <w:bidi w:val="0"/>
              <w:spacing w:line="500" w:lineRule="exact"/>
              <w:jc w:val="left"/>
              <w:rPr>
                <w:rFonts w:ascii="宋体" w:hAnsi="宋体" w:cs="宋体"/>
                <w:color w:val="auto"/>
                <w:sz w:val="24"/>
                <w:highlight w:val="none"/>
              </w:rPr>
            </w:pPr>
            <w:r>
              <w:rPr>
                <w:rFonts w:hint="eastAsia" w:ascii="宋体" w:hAnsi="宋体" w:cs="宋体"/>
                <w:color w:val="auto"/>
                <w:kern w:val="0"/>
                <w:sz w:val="24"/>
                <w:highlight w:val="none"/>
              </w:rPr>
              <w:t>递交响应文件的截止之日3日前</w:t>
            </w:r>
          </w:p>
        </w:tc>
      </w:tr>
      <w:tr w14:paraId="3AF8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05C67BB">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17</w:t>
            </w:r>
          </w:p>
        </w:tc>
        <w:tc>
          <w:tcPr>
            <w:tcW w:w="1988" w:type="dxa"/>
            <w:tcBorders>
              <w:top w:val="single" w:color="auto" w:sz="4" w:space="0"/>
              <w:left w:val="nil"/>
              <w:bottom w:val="single" w:color="auto" w:sz="4" w:space="0"/>
              <w:right w:val="single" w:color="auto" w:sz="4" w:space="0"/>
            </w:tcBorders>
            <w:vAlign w:val="center"/>
          </w:tcPr>
          <w:p w14:paraId="5A1396F1">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分包</w:t>
            </w:r>
          </w:p>
        </w:tc>
        <w:tc>
          <w:tcPr>
            <w:tcW w:w="6653" w:type="dxa"/>
            <w:tcBorders>
              <w:top w:val="single" w:color="auto" w:sz="4" w:space="0"/>
              <w:left w:val="nil"/>
              <w:bottom w:val="single" w:color="auto" w:sz="4" w:space="0"/>
              <w:right w:val="single" w:color="auto" w:sz="4" w:space="0"/>
            </w:tcBorders>
            <w:vAlign w:val="center"/>
          </w:tcPr>
          <w:p w14:paraId="275C8C4B">
            <w:pPr>
              <w:pageBreakBefore w:val="0"/>
              <w:kinsoku/>
              <w:overflowPunct/>
              <w:bidi w:val="0"/>
              <w:spacing w:before="120" w:after="120" w:line="500" w:lineRule="exact"/>
              <w:jc w:val="left"/>
              <w:rPr>
                <w:rFonts w:ascii="宋体" w:hAnsi="宋体" w:cs="宋体"/>
                <w:color w:val="auto"/>
                <w:sz w:val="24"/>
                <w:highlight w:val="none"/>
              </w:rPr>
            </w:pPr>
            <w:r>
              <w:rPr>
                <w:rFonts w:hint="eastAsia" w:ascii="宋体" w:hAnsi="宋体" w:cs="宋体"/>
                <w:color w:val="auto"/>
                <w:sz w:val="24"/>
                <w:highlight w:val="none"/>
              </w:rPr>
              <w:t>不允许</w:t>
            </w:r>
          </w:p>
        </w:tc>
      </w:tr>
      <w:tr w14:paraId="75BB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D96C0B2">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18</w:t>
            </w:r>
          </w:p>
        </w:tc>
        <w:tc>
          <w:tcPr>
            <w:tcW w:w="1988" w:type="dxa"/>
            <w:tcBorders>
              <w:top w:val="single" w:color="auto" w:sz="4" w:space="0"/>
              <w:left w:val="nil"/>
              <w:bottom w:val="single" w:color="auto" w:sz="4" w:space="0"/>
              <w:right w:val="single" w:color="auto" w:sz="4" w:space="0"/>
            </w:tcBorders>
            <w:vAlign w:val="center"/>
          </w:tcPr>
          <w:p w14:paraId="15A98A95">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其他可以被接受的技术支持资料</w:t>
            </w:r>
          </w:p>
        </w:tc>
        <w:tc>
          <w:tcPr>
            <w:tcW w:w="6653" w:type="dxa"/>
            <w:tcBorders>
              <w:top w:val="single" w:color="auto" w:sz="4" w:space="0"/>
              <w:left w:val="nil"/>
              <w:bottom w:val="single" w:color="auto" w:sz="4" w:space="0"/>
              <w:right w:val="single" w:color="auto" w:sz="4" w:space="0"/>
            </w:tcBorders>
            <w:vAlign w:val="center"/>
          </w:tcPr>
          <w:p w14:paraId="1ACF74F2">
            <w:pPr>
              <w:pageBreakBefore w:val="0"/>
              <w:kinsoku/>
              <w:overflowPunct/>
              <w:bidi w:val="0"/>
              <w:spacing w:line="500" w:lineRule="exact"/>
              <w:rPr>
                <w:rFonts w:ascii="宋体" w:hAnsi="宋体" w:cs="宋体"/>
                <w:color w:val="auto"/>
                <w:sz w:val="24"/>
                <w:highlight w:val="none"/>
              </w:rPr>
            </w:pPr>
            <w:r>
              <w:rPr>
                <w:rFonts w:hint="eastAsia" w:ascii="宋体" w:hAnsi="宋体" w:cs="宋体"/>
                <w:color w:val="auto"/>
                <w:sz w:val="24"/>
                <w:highlight w:val="none"/>
              </w:rPr>
              <w:t>供应商认为有必要的其他资料</w:t>
            </w:r>
          </w:p>
        </w:tc>
      </w:tr>
      <w:tr w14:paraId="79E4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DD8F138">
            <w:pPr>
              <w:pStyle w:val="23"/>
              <w:pageBreakBefore w:val="0"/>
              <w:widowControl w:val="0"/>
              <w:kinsoku/>
              <w:overflowPunct/>
              <w:bidi w:val="0"/>
              <w:spacing w:before="0" w:beforeAutospacing="0" w:after="0" w:afterAutospacing="0" w:line="5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highlight w:val="none"/>
                <w:lang w:val="en-US" w:eastAsia="zh-CN"/>
              </w:rPr>
              <w:t>19</w:t>
            </w:r>
          </w:p>
        </w:tc>
        <w:tc>
          <w:tcPr>
            <w:tcW w:w="1988" w:type="dxa"/>
            <w:tcBorders>
              <w:top w:val="single" w:color="auto" w:sz="4" w:space="0"/>
              <w:left w:val="nil"/>
              <w:bottom w:val="single" w:color="auto" w:sz="4" w:space="0"/>
              <w:right w:val="single" w:color="auto" w:sz="4" w:space="0"/>
            </w:tcBorders>
            <w:vAlign w:val="center"/>
          </w:tcPr>
          <w:p w14:paraId="45F097D6">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构成竞争性磋商文件的其他材料</w:t>
            </w:r>
          </w:p>
        </w:tc>
        <w:tc>
          <w:tcPr>
            <w:tcW w:w="6653" w:type="dxa"/>
            <w:tcBorders>
              <w:top w:val="single" w:color="auto" w:sz="4" w:space="0"/>
              <w:left w:val="nil"/>
              <w:bottom w:val="single" w:color="auto" w:sz="4" w:space="0"/>
              <w:right w:val="single" w:color="auto" w:sz="4" w:space="0"/>
            </w:tcBorders>
            <w:vAlign w:val="center"/>
          </w:tcPr>
          <w:p w14:paraId="140607CF">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hint="eastAsia" w:ascii="宋体" w:hAnsi="宋体" w:cs="宋体"/>
                <w:color w:val="auto"/>
                <w:sz w:val="24"/>
                <w:highlight w:val="none"/>
              </w:rPr>
              <w:t>竞争性磋商文件的修改、澄清、竞争性磋商文件的补充文件（如有）</w:t>
            </w:r>
          </w:p>
        </w:tc>
      </w:tr>
      <w:tr w14:paraId="42EF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1EB0D77">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kern w:val="2"/>
                <w:highlight w:val="none"/>
                <w:lang w:val="en-US" w:eastAsia="zh-CN"/>
              </w:rPr>
              <w:t>20</w:t>
            </w:r>
          </w:p>
        </w:tc>
        <w:tc>
          <w:tcPr>
            <w:tcW w:w="1988" w:type="dxa"/>
            <w:tcBorders>
              <w:top w:val="single" w:color="auto" w:sz="4" w:space="0"/>
              <w:left w:val="nil"/>
              <w:bottom w:val="single" w:color="auto" w:sz="4" w:space="0"/>
              <w:right w:val="single" w:color="auto" w:sz="4" w:space="0"/>
            </w:tcBorders>
            <w:vAlign w:val="center"/>
          </w:tcPr>
          <w:p w14:paraId="4B7DBC97">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供应商要求澄清竞争性磋商文件的截止时间</w:t>
            </w:r>
          </w:p>
        </w:tc>
        <w:tc>
          <w:tcPr>
            <w:tcW w:w="6653" w:type="dxa"/>
            <w:tcBorders>
              <w:top w:val="single" w:color="auto" w:sz="4" w:space="0"/>
              <w:left w:val="nil"/>
              <w:bottom w:val="single" w:color="auto" w:sz="4" w:space="0"/>
              <w:right w:val="single" w:color="auto" w:sz="4" w:space="0"/>
            </w:tcBorders>
            <w:vAlign w:val="center"/>
          </w:tcPr>
          <w:p w14:paraId="58049F38">
            <w:pPr>
              <w:pageBreakBefore w:val="0"/>
              <w:widowControl/>
              <w:kinsoku/>
              <w:overflowPunct/>
              <w:bidi w:val="0"/>
              <w:spacing w:line="500" w:lineRule="exact"/>
              <w:jc w:val="left"/>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kern w:val="0"/>
                <w:sz w:val="24"/>
                <w:highlight w:val="none"/>
              </w:rPr>
              <w:t>递交响应文件的截止之日5日前</w:t>
            </w:r>
          </w:p>
        </w:tc>
      </w:tr>
      <w:tr w14:paraId="2D5E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EE62816">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988" w:type="dxa"/>
            <w:tcBorders>
              <w:top w:val="single" w:color="auto" w:sz="4" w:space="0"/>
              <w:left w:val="nil"/>
              <w:bottom w:val="single" w:color="auto" w:sz="4" w:space="0"/>
              <w:right w:val="single" w:color="auto" w:sz="4" w:space="0"/>
            </w:tcBorders>
            <w:vAlign w:val="center"/>
          </w:tcPr>
          <w:p w14:paraId="24AF82F4">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供应商确认收到竞争性磋商文件澄清和修改</w:t>
            </w:r>
          </w:p>
        </w:tc>
        <w:tc>
          <w:tcPr>
            <w:tcW w:w="6653" w:type="dxa"/>
            <w:tcBorders>
              <w:top w:val="single" w:color="auto" w:sz="4" w:space="0"/>
              <w:left w:val="nil"/>
              <w:bottom w:val="single" w:color="auto" w:sz="4" w:space="0"/>
              <w:right w:val="single" w:color="auto" w:sz="4" w:space="0"/>
            </w:tcBorders>
            <w:vAlign w:val="center"/>
          </w:tcPr>
          <w:p w14:paraId="13DD38E4">
            <w:pPr>
              <w:pageBreakBefore w:val="0"/>
              <w:kinsoku/>
              <w:overflowPunct/>
              <w:bidi w:val="0"/>
              <w:spacing w:line="500" w:lineRule="exact"/>
              <w:rPr>
                <w:rFonts w:ascii="宋体" w:hAnsi="宋体" w:cs="宋体"/>
                <w:color w:val="auto"/>
                <w:sz w:val="24"/>
                <w:highlight w:val="none"/>
              </w:rPr>
            </w:pPr>
            <w:r>
              <w:rPr>
                <w:rFonts w:hint="eastAsia" w:ascii="宋体" w:hAnsi="宋体" w:cs="宋体"/>
                <w:color w:val="auto"/>
                <w:sz w:val="24"/>
                <w:highlight w:val="none"/>
              </w:rPr>
              <w:t>所有潜在供应商应密切关注三门峡市公共资源交易中心网站，自行查收、下载变更资料。</w:t>
            </w:r>
          </w:p>
        </w:tc>
      </w:tr>
      <w:tr w14:paraId="76FA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7B6E557">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highlight w:val="none"/>
                <w:lang w:val="en-US" w:eastAsia="zh-CN"/>
              </w:rPr>
              <w:t>22</w:t>
            </w:r>
          </w:p>
        </w:tc>
        <w:tc>
          <w:tcPr>
            <w:tcW w:w="1988" w:type="dxa"/>
            <w:tcBorders>
              <w:top w:val="single" w:color="auto" w:sz="4" w:space="0"/>
              <w:left w:val="nil"/>
              <w:bottom w:val="single" w:color="auto" w:sz="4" w:space="0"/>
              <w:right w:val="single" w:color="auto" w:sz="4" w:space="0"/>
            </w:tcBorders>
            <w:vAlign w:val="center"/>
          </w:tcPr>
          <w:p w14:paraId="03DFBDBC">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lang w:eastAsia="zh-CN"/>
              </w:rPr>
              <w:t>磋商</w:t>
            </w:r>
            <w:r>
              <w:rPr>
                <w:rFonts w:hint="eastAsia" w:cs="宋体"/>
                <w:color w:val="auto"/>
                <w:highlight w:val="none"/>
              </w:rPr>
              <w:t>有效期</w:t>
            </w:r>
          </w:p>
        </w:tc>
        <w:tc>
          <w:tcPr>
            <w:tcW w:w="6653" w:type="dxa"/>
            <w:tcBorders>
              <w:top w:val="single" w:color="auto" w:sz="4" w:space="0"/>
              <w:left w:val="nil"/>
              <w:bottom w:val="single" w:color="auto" w:sz="4" w:space="0"/>
              <w:right w:val="single" w:color="auto" w:sz="4" w:space="0"/>
            </w:tcBorders>
            <w:vAlign w:val="center"/>
          </w:tcPr>
          <w:p w14:paraId="5616DB87">
            <w:pPr>
              <w:pStyle w:val="23"/>
              <w:pageBreakBefore w:val="0"/>
              <w:widowControl w:val="0"/>
              <w:kinsoku/>
              <w:overflowPunct/>
              <w:bidi w:val="0"/>
              <w:spacing w:before="0" w:beforeAutospacing="0" w:after="0" w:afterAutospacing="0" w:line="500" w:lineRule="exact"/>
              <w:ind w:firstLine="0" w:firstLineChars="0"/>
              <w:jc w:val="both"/>
              <w:rPr>
                <w:rFonts w:cs="宋体"/>
                <w:color w:val="auto"/>
                <w:kern w:val="2"/>
                <w:highlight w:val="none"/>
              </w:rPr>
            </w:pPr>
            <w:r>
              <w:rPr>
                <w:rFonts w:hint="eastAsia" w:cs="宋体"/>
                <w:color w:val="auto"/>
                <w:highlight w:val="none"/>
                <w:lang w:val="en-US" w:eastAsia="zh-CN"/>
              </w:rPr>
              <w:t>60</w:t>
            </w:r>
            <w:r>
              <w:rPr>
                <w:rFonts w:hint="eastAsia" w:cs="宋体"/>
                <w:color w:val="auto"/>
                <w:highlight w:val="none"/>
              </w:rPr>
              <w:t>日历天（从</w:t>
            </w:r>
            <w:r>
              <w:rPr>
                <w:rFonts w:hint="eastAsia" w:cs="宋体"/>
                <w:color w:val="auto"/>
                <w:highlight w:val="none"/>
                <w:lang w:eastAsia="zh-CN"/>
              </w:rPr>
              <w:t>响应文件提交</w:t>
            </w:r>
            <w:r>
              <w:rPr>
                <w:rFonts w:hint="eastAsia" w:cs="宋体"/>
                <w:color w:val="auto"/>
                <w:highlight w:val="none"/>
              </w:rPr>
              <w:t>截止之日起）</w:t>
            </w:r>
          </w:p>
        </w:tc>
      </w:tr>
      <w:tr w14:paraId="6094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21AA1DA">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highlight w:val="none"/>
                <w:lang w:val="en-US" w:eastAsia="zh-CN"/>
              </w:rPr>
              <w:t>23</w:t>
            </w:r>
          </w:p>
        </w:tc>
        <w:tc>
          <w:tcPr>
            <w:tcW w:w="1988" w:type="dxa"/>
            <w:tcBorders>
              <w:top w:val="single" w:color="auto" w:sz="4" w:space="0"/>
              <w:left w:val="nil"/>
              <w:bottom w:val="single" w:color="auto" w:sz="4" w:space="0"/>
              <w:right w:val="single" w:color="auto" w:sz="4" w:space="0"/>
            </w:tcBorders>
            <w:vAlign w:val="center"/>
          </w:tcPr>
          <w:p w14:paraId="296909F9">
            <w:pPr>
              <w:pStyle w:val="23"/>
              <w:pageBreakBefore w:val="0"/>
              <w:widowControl w:val="0"/>
              <w:kinsoku/>
              <w:overflowPunct/>
              <w:bidi w:val="0"/>
              <w:spacing w:before="0" w:beforeAutospacing="0" w:after="0" w:afterAutospacing="0" w:line="500" w:lineRule="exact"/>
              <w:ind w:firstLine="0" w:firstLineChars="0"/>
              <w:jc w:val="center"/>
              <w:rPr>
                <w:rFonts w:cs="宋体"/>
                <w:color w:val="auto"/>
                <w:kern w:val="2"/>
                <w:highlight w:val="none"/>
              </w:rPr>
            </w:pPr>
            <w:r>
              <w:rPr>
                <w:rFonts w:hint="eastAsia" w:cs="宋体"/>
                <w:color w:val="auto"/>
                <w:highlight w:val="none"/>
              </w:rPr>
              <w:t>资格审查资料的特殊要求</w:t>
            </w:r>
          </w:p>
        </w:tc>
        <w:tc>
          <w:tcPr>
            <w:tcW w:w="6653" w:type="dxa"/>
            <w:tcBorders>
              <w:top w:val="single" w:color="auto" w:sz="4" w:space="0"/>
              <w:left w:val="nil"/>
              <w:bottom w:val="single" w:color="auto" w:sz="4" w:space="0"/>
              <w:right w:val="single" w:color="auto" w:sz="4" w:space="0"/>
            </w:tcBorders>
            <w:vAlign w:val="center"/>
          </w:tcPr>
          <w:p w14:paraId="2E11E602">
            <w:pPr>
              <w:pageBreakBefore w:val="0"/>
              <w:kinsoku/>
              <w:overflowPunct/>
              <w:autoSpaceDE w:val="0"/>
              <w:autoSpaceDN w:val="0"/>
              <w:bidi w:val="0"/>
              <w:adjustRightInd w:val="0"/>
              <w:spacing w:line="500" w:lineRule="exact"/>
              <w:rPr>
                <w:rFonts w:ascii="宋体" w:hAnsi="宋体" w:cs="宋体"/>
                <w:color w:val="auto"/>
                <w:sz w:val="24"/>
                <w:highlight w:val="none"/>
              </w:rPr>
            </w:pPr>
            <w:r>
              <w:rPr>
                <w:rFonts w:hint="eastAsia" w:ascii="宋体" w:hAnsi="宋体" w:cs="宋体"/>
                <w:color w:val="auto"/>
                <w:sz w:val="24"/>
                <w:highlight w:val="none"/>
              </w:rPr>
              <w:t>1、资格审查资料符合供应商须知前附表</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款规定。</w:t>
            </w:r>
          </w:p>
          <w:p w14:paraId="50D1DB05">
            <w:pPr>
              <w:pageBreakBefore w:val="0"/>
              <w:kinsoku/>
              <w:overflowPunct/>
              <w:autoSpaceDE w:val="0"/>
              <w:autoSpaceDN w:val="0"/>
              <w:bidi w:val="0"/>
              <w:adjustRightInd w:val="0"/>
              <w:spacing w:line="5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本项目实行资格后审，资格审查内容以</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为准，其资料真实性由供应商自行承担</w:t>
            </w:r>
            <w:r>
              <w:rPr>
                <w:rFonts w:hint="eastAsia" w:ascii="宋体" w:hAnsi="宋体" w:cs="宋体"/>
                <w:color w:val="auto"/>
                <w:sz w:val="24"/>
                <w:highlight w:val="none"/>
                <w:lang w:eastAsia="zh-CN"/>
              </w:rPr>
              <w:t>，同时，供应商要完善主体库</w:t>
            </w:r>
            <w:r>
              <w:rPr>
                <w:rFonts w:hint="eastAsia" w:ascii="宋体" w:hAnsi="宋体" w:cs="宋体"/>
                <w:color w:val="auto"/>
                <w:sz w:val="24"/>
                <w:highlight w:val="none"/>
              </w:rPr>
              <w:t>。</w:t>
            </w:r>
          </w:p>
          <w:p w14:paraId="641BBC65">
            <w:pPr>
              <w:pageBreakBefore w:val="0"/>
              <w:kinsoku/>
              <w:overflowPunct/>
              <w:autoSpaceDE w:val="0"/>
              <w:autoSpaceDN w:val="0"/>
              <w:bidi w:val="0"/>
              <w:adjustRightInd w:val="0"/>
              <w:spacing w:line="5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评审</w:t>
            </w:r>
            <w:r>
              <w:rPr>
                <w:rFonts w:hint="eastAsia" w:ascii="宋体" w:hAnsi="宋体" w:cs="宋体"/>
                <w:color w:val="auto"/>
                <w:sz w:val="24"/>
                <w:highlight w:val="none"/>
              </w:rPr>
              <w:t>打分部分：</w:t>
            </w:r>
            <w:r>
              <w:rPr>
                <w:rFonts w:hint="eastAsia" w:ascii="宋体" w:hAnsi="宋体" w:cs="宋体"/>
                <w:color w:val="auto"/>
                <w:sz w:val="24"/>
                <w:highlight w:val="none"/>
                <w:lang w:eastAsia="zh-CN"/>
              </w:rPr>
              <w:t>评审</w:t>
            </w:r>
            <w:r>
              <w:rPr>
                <w:rFonts w:hint="eastAsia" w:ascii="宋体" w:hAnsi="宋体" w:cs="宋体"/>
                <w:color w:val="auto"/>
                <w:sz w:val="24"/>
                <w:highlight w:val="none"/>
              </w:rPr>
              <w:t>打分部分仍按照100分制原则进行，涉及到资格审查、企业荣誉、人员业绩、企业业绩等计分部分时，以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自行上传到</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中的相应内容为准。</w:t>
            </w:r>
          </w:p>
          <w:p w14:paraId="0EF8C407">
            <w:pPr>
              <w:pageBreakBefore w:val="0"/>
              <w:kinsoku/>
              <w:overflowPunct/>
              <w:autoSpaceDE w:val="0"/>
              <w:autoSpaceDN w:val="0"/>
              <w:bidi w:val="0"/>
              <w:adjustRightInd w:val="0"/>
              <w:spacing w:line="500" w:lineRule="exac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格式进行</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编制，在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编制时，应明确将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企业基本情况、资质情况、人员情况、财务情况、业绩情况等信息编入</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，便于进行资格审查及</w:t>
            </w:r>
            <w:r>
              <w:rPr>
                <w:rFonts w:hint="eastAsia" w:ascii="宋体" w:hAnsi="宋体" w:cs="宋体"/>
                <w:color w:val="auto"/>
                <w:sz w:val="24"/>
                <w:highlight w:val="none"/>
                <w:lang w:eastAsia="zh-CN"/>
              </w:rPr>
              <w:t>评审</w:t>
            </w:r>
            <w:r>
              <w:rPr>
                <w:rFonts w:hint="eastAsia" w:ascii="宋体" w:hAnsi="宋体" w:cs="宋体"/>
                <w:color w:val="auto"/>
                <w:sz w:val="24"/>
                <w:highlight w:val="none"/>
              </w:rPr>
              <w:t>打分。</w:t>
            </w:r>
          </w:p>
        </w:tc>
      </w:tr>
      <w:tr w14:paraId="3F05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BEA0A40">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1988" w:type="dxa"/>
            <w:tcBorders>
              <w:top w:val="single" w:color="auto" w:sz="4" w:space="0"/>
              <w:left w:val="nil"/>
              <w:bottom w:val="single" w:color="auto" w:sz="4" w:space="0"/>
              <w:right w:val="single" w:color="auto" w:sz="4" w:space="0"/>
            </w:tcBorders>
            <w:vAlign w:val="center"/>
          </w:tcPr>
          <w:p w14:paraId="0BA0BA29">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近年完成的类似项目的时间要求</w:t>
            </w:r>
          </w:p>
        </w:tc>
        <w:tc>
          <w:tcPr>
            <w:tcW w:w="6653" w:type="dxa"/>
            <w:tcBorders>
              <w:top w:val="single" w:color="auto" w:sz="4" w:space="0"/>
              <w:left w:val="nil"/>
              <w:bottom w:val="single" w:color="auto" w:sz="4" w:space="0"/>
              <w:right w:val="single" w:color="auto" w:sz="4" w:space="0"/>
            </w:tcBorders>
            <w:vAlign w:val="center"/>
          </w:tcPr>
          <w:p w14:paraId="269E4312">
            <w:pPr>
              <w:pStyle w:val="23"/>
              <w:pageBreakBefore w:val="0"/>
              <w:widowControl w:val="0"/>
              <w:kinsoku/>
              <w:overflowPunct/>
              <w:bidi w:val="0"/>
              <w:spacing w:before="0" w:beforeAutospacing="0" w:after="0" w:afterAutospacing="0" w:line="500" w:lineRule="exact"/>
              <w:ind w:firstLine="0" w:firstLineChars="0"/>
              <w:jc w:val="both"/>
              <w:rPr>
                <w:rFonts w:cs="宋体"/>
                <w:color w:val="auto"/>
                <w:kern w:val="2"/>
                <w:highlight w:val="none"/>
              </w:rPr>
            </w:pPr>
            <w:r>
              <w:rPr>
                <w:rFonts w:hint="eastAsia" w:cs="宋体"/>
                <w:color w:val="auto"/>
                <w:kern w:val="2"/>
                <w:highlight w:val="none"/>
              </w:rPr>
              <w:t>近三年，指20</w:t>
            </w:r>
            <w:r>
              <w:rPr>
                <w:rFonts w:hint="eastAsia" w:cs="宋体"/>
                <w:color w:val="auto"/>
                <w:kern w:val="2"/>
                <w:highlight w:val="none"/>
                <w:lang w:val="en-US" w:eastAsia="zh-CN"/>
              </w:rPr>
              <w:t>22</w:t>
            </w:r>
            <w:r>
              <w:rPr>
                <w:rFonts w:hint="eastAsia" w:cs="宋体"/>
                <w:color w:val="auto"/>
                <w:kern w:val="2"/>
                <w:highlight w:val="none"/>
              </w:rPr>
              <w:t>年01 月 01日 至今</w:t>
            </w:r>
          </w:p>
        </w:tc>
      </w:tr>
      <w:tr w14:paraId="605B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BFB41C6">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1988" w:type="dxa"/>
            <w:tcBorders>
              <w:top w:val="single" w:color="auto" w:sz="4" w:space="0"/>
              <w:left w:val="nil"/>
              <w:bottom w:val="single" w:color="auto" w:sz="4" w:space="0"/>
              <w:right w:val="single" w:color="auto" w:sz="4" w:space="0"/>
            </w:tcBorders>
            <w:vAlign w:val="center"/>
          </w:tcPr>
          <w:p w14:paraId="4A0C286B">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近年发生的诉讼及仲裁情况的时间要求</w:t>
            </w:r>
          </w:p>
        </w:tc>
        <w:tc>
          <w:tcPr>
            <w:tcW w:w="6653" w:type="dxa"/>
            <w:tcBorders>
              <w:top w:val="single" w:color="auto" w:sz="4" w:space="0"/>
              <w:left w:val="nil"/>
              <w:bottom w:val="single" w:color="auto" w:sz="4" w:space="0"/>
              <w:right w:val="single" w:color="auto" w:sz="4" w:space="0"/>
            </w:tcBorders>
            <w:vAlign w:val="center"/>
          </w:tcPr>
          <w:p w14:paraId="4B35C986">
            <w:pPr>
              <w:pStyle w:val="23"/>
              <w:pageBreakBefore w:val="0"/>
              <w:widowControl w:val="0"/>
              <w:kinsoku/>
              <w:overflowPunct/>
              <w:bidi w:val="0"/>
              <w:spacing w:before="0" w:beforeAutospacing="0" w:after="0" w:afterAutospacing="0" w:line="500" w:lineRule="exact"/>
              <w:ind w:firstLine="0" w:firstLineChars="0"/>
              <w:jc w:val="both"/>
              <w:rPr>
                <w:rFonts w:cs="宋体"/>
                <w:color w:val="auto"/>
                <w:kern w:val="2"/>
                <w:highlight w:val="none"/>
              </w:rPr>
            </w:pPr>
            <w:r>
              <w:rPr>
                <w:rFonts w:hint="eastAsia" w:cs="宋体"/>
                <w:color w:val="auto"/>
                <w:kern w:val="2"/>
                <w:highlight w:val="none"/>
              </w:rPr>
              <w:t>近三年，指20</w:t>
            </w:r>
            <w:r>
              <w:rPr>
                <w:rFonts w:hint="eastAsia" w:cs="宋体"/>
                <w:color w:val="auto"/>
                <w:kern w:val="2"/>
                <w:highlight w:val="none"/>
                <w:lang w:val="en-US" w:eastAsia="zh-CN"/>
              </w:rPr>
              <w:t>22</w:t>
            </w:r>
            <w:r>
              <w:rPr>
                <w:rFonts w:hint="eastAsia" w:cs="宋体"/>
                <w:color w:val="auto"/>
                <w:kern w:val="2"/>
                <w:highlight w:val="none"/>
              </w:rPr>
              <w:t>年 01月 01日 至今</w:t>
            </w:r>
          </w:p>
        </w:tc>
      </w:tr>
      <w:tr w14:paraId="1FCF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6379E7B">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highlight w:val="none"/>
                <w:lang w:val="en-US" w:eastAsia="zh-CN"/>
              </w:rPr>
              <w:t>26</w:t>
            </w:r>
          </w:p>
        </w:tc>
        <w:tc>
          <w:tcPr>
            <w:tcW w:w="1988" w:type="dxa"/>
            <w:tcBorders>
              <w:top w:val="single" w:color="auto" w:sz="4" w:space="0"/>
              <w:left w:val="nil"/>
              <w:bottom w:val="single" w:color="auto" w:sz="4" w:space="0"/>
              <w:right w:val="single" w:color="auto" w:sz="4" w:space="0"/>
            </w:tcBorders>
            <w:vAlign w:val="center"/>
          </w:tcPr>
          <w:p w14:paraId="38890C84">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是否允许递交备选方案</w:t>
            </w:r>
          </w:p>
        </w:tc>
        <w:tc>
          <w:tcPr>
            <w:tcW w:w="6653" w:type="dxa"/>
            <w:tcBorders>
              <w:top w:val="single" w:color="auto" w:sz="4" w:space="0"/>
              <w:left w:val="nil"/>
              <w:bottom w:val="single" w:color="auto" w:sz="4" w:space="0"/>
              <w:right w:val="single" w:color="auto" w:sz="4" w:space="0"/>
            </w:tcBorders>
            <w:vAlign w:val="center"/>
          </w:tcPr>
          <w:p w14:paraId="02C935DB">
            <w:pPr>
              <w:pStyle w:val="23"/>
              <w:pageBreakBefore w:val="0"/>
              <w:widowControl w:val="0"/>
              <w:kinsoku/>
              <w:overflowPunct/>
              <w:bidi w:val="0"/>
              <w:spacing w:before="0" w:beforeAutospacing="0" w:after="0" w:afterAutospacing="0" w:line="500" w:lineRule="exact"/>
              <w:ind w:firstLine="0" w:firstLineChars="0"/>
              <w:jc w:val="both"/>
              <w:rPr>
                <w:rFonts w:cs="宋体"/>
                <w:color w:val="auto"/>
                <w:kern w:val="2"/>
                <w:highlight w:val="none"/>
              </w:rPr>
            </w:pPr>
            <w:r>
              <w:rPr>
                <w:rFonts w:hint="eastAsia" w:cs="宋体"/>
                <w:color w:val="auto"/>
                <w:highlight w:val="none"/>
              </w:rPr>
              <w:t>不允许</w:t>
            </w:r>
          </w:p>
        </w:tc>
      </w:tr>
      <w:tr w14:paraId="7091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ABB0134">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highlight w:val="none"/>
                <w:lang w:val="en-US" w:eastAsia="zh-CN"/>
              </w:rPr>
              <w:t>27</w:t>
            </w:r>
          </w:p>
        </w:tc>
        <w:tc>
          <w:tcPr>
            <w:tcW w:w="1988" w:type="dxa"/>
            <w:tcBorders>
              <w:top w:val="single" w:color="auto" w:sz="4" w:space="0"/>
              <w:left w:val="nil"/>
              <w:bottom w:val="single" w:color="auto" w:sz="4" w:space="0"/>
              <w:right w:val="single" w:color="auto" w:sz="4" w:space="0"/>
            </w:tcBorders>
            <w:vAlign w:val="center"/>
          </w:tcPr>
          <w:p w14:paraId="1100628B">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响应文件签字或盖章要求</w:t>
            </w:r>
          </w:p>
        </w:tc>
        <w:tc>
          <w:tcPr>
            <w:tcW w:w="6653" w:type="dxa"/>
            <w:tcBorders>
              <w:top w:val="single" w:color="auto" w:sz="4" w:space="0"/>
              <w:left w:val="nil"/>
              <w:bottom w:val="single" w:color="auto" w:sz="4" w:space="0"/>
              <w:right w:val="single" w:color="auto" w:sz="4" w:space="0"/>
            </w:tcBorders>
            <w:vAlign w:val="center"/>
          </w:tcPr>
          <w:p w14:paraId="408C63F0">
            <w:pPr>
              <w:pageBreakBefore w:val="0"/>
              <w:kinsoku/>
              <w:overflowPunct/>
              <w:autoSpaceDE w:val="0"/>
              <w:autoSpaceDN w:val="0"/>
              <w:bidi w:val="0"/>
              <w:adjustRightInd w:val="0"/>
              <w:spacing w:line="500" w:lineRule="exact"/>
              <w:rPr>
                <w:rFonts w:ascii="宋体" w:hAnsi="宋体" w:cs="宋体"/>
                <w:color w:val="auto"/>
                <w:kern w:val="0"/>
                <w:sz w:val="24"/>
                <w:highlight w:val="none"/>
              </w:rPr>
            </w:pPr>
            <w:r>
              <w:rPr>
                <w:rFonts w:hint="eastAsia" w:ascii="宋体" w:hAnsi="宋体" w:cs="宋体"/>
                <w:color w:val="auto"/>
                <w:kern w:val="0"/>
                <w:sz w:val="24"/>
                <w:highlight w:val="none"/>
              </w:rPr>
              <w:t>1、本项目为电子化、无纸化交易项目，响应文件应经过电子签章和加密后生成的电子化响应文件，未对电子化文件进行签章的视为无效</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eastAsia="zh-CN"/>
              </w:rPr>
              <w:t>磋商</w:t>
            </w:r>
            <w:r>
              <w:rPr>
                <w:rFonts w:hint="eastAsia" w:ascii="宋体" w:hAnsi="宋体" w:cs="宋体"/>
                <w:color w:val="auto"/>
                <w:kern w:val="0"/>
                <w:sz w:val="24"/>
                <w:highlight w:val="none"/>
              </w:rPr>
              <w:t>时，将不再接受任何纸质文件资料。</w:t>
            </w:r>
          </w:p>
          <w:p w14:paraId="62343B41">
            <w:pPr>
              <w:pageBreakBefore w:val="0"/>
              <w:kinsoku/>
              <w:overflowPunct/>
              <w:autoSpaceDE w:val="0"/>
              <w:autoSpaceDN w:val="0"/>
              <w:bidi w:val="0"/>
              <w:adjustRightInd w:val="0"/>
              <w:spacing w:line="500" w:lineRule="exact"/>
              <w:rPr>
                <w:rFonts w:ascii="宋体" w:hAnsi="宋体" w:cs="宋体"/>
                <w:color w:val="auto"/>
                <w:kern w:val="0"/>
                <w:sz w:val="24"/>
                <w:highlight w:val="none"/>
              </w:rPr>
            </w:pPr>
            <w:r>
              <w:rPr>
                <w:rFonts w:hint="eastAsia" w:ascii="宋体" w:hAnsi="宋体" w:cs="宋体"/>
                <w:color w:val="auto"/>
                <w:kern w:val="0"/>
                <w:sz w:val="24"/>
                <w:highlight w:val="none"/>
              </w:rPr>
              <w:t>2、要求法定代表人或授权委托人签字或盖章的，供应商在进行电子化响应文件签章时，以签盖法定代表人签章为准。</w:t>
            </w:r>
          </w:p>
        </w:tc>
      </w:tr>
      <w:tr w14:paraId="2491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489FFA4">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w:t>
            </w:r>
          </w:p>
        </w:tc>
        <w:tc>
          <w:tcPr>
            <w:tcW w:w="1988" w:type="dxa"/>
            <w:tcBorders>
              <w:top w:val="single" w:color="auto" w:sz="4" w:space="0"/>
              <w:left w:val="nil"/>
              <w:bottom w:val="single" w:color="auto" w:sz="4" w:space="0"/>
              <w:right w:val="single" w:color="auto" w:sz="4" w:space="0"/>
            </w:tcBorders>
            <w:vAlign w:val="center"/>
          </w:tcPr>
          <w:p w14:paraId="42C25558">
            <w:pPr>
              <w:pageBreakBefore w:val="0"/>
              <w:kinsoku/>
              <w:overflowPunct/>
              <w:bidi w:val="0"/>
              <w:spacing w:line="5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提交首次响应文件截止时间</w:t>
            </w:r>
          </w:p>
        </w:tc>
        <w:tc>
          <w:tcPr>
            <w:tcW w:w="6653" w:type="dxa"/>
            <w:tcBorders>
              <w:top w:val="single" w:color="auto" w:sz="4" w:space="0"/>
              <w:left w:val="nil"/>
              <w:bottom w:val="single" w:color="auto" w:sz="4" w:space="0"/>
              <w:right w:val="single" w:color="auto" w:sz="4" w:space="0"/>
            </w:tcBorders>
            <w:vAlign w:val="center"/>
          </w:tcPr>
          <w:p w14:paraId="4D59D666">
            <w:pPr>
              <w:pageBreakBefore w:val="0"/>
              <w:kinsoku/>
              <w:overflowPunct/>
              <w:autoSpaceDE w:val="0"/>
              <w:autoSpaceDN w:val="0"/>
              <w:bidi w:val="0"/>
              <w:adjustRightInd w:val="0"/>
              <w:spacing w:before="50" w:line="500" w:lineRule="exact"/>
              <w:ind w:right="35"/>
              <w:rPr>
                <w:rFonts w:ascii="宋体" w:hAnsi="宋体" w:cs="宋体"/>
                <w:color w:val="auto"/>
                <w:kern w:val="0"/>
                <w:sz w:val="24"/>
                <w:highlight w:val="none"/>
              </w:rPr>
            </w:pPr>
            <w:r>
              <w:rPr>
                <w:rFonts w:hint="eastAsia" w:ascii="宋体" w:hAnsi="宋体" w:cs="宋体"/>
                <w:color w:val="auto"/>
                <w:kern w:val="0"/>
                <w:sz w:val="24"/>
                <w:highlight w:val="none"/>
              </w:rPr>
              <w:t>20</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日8时30分</w:t>
            </w:r>
          </w:p>
        </w:tc>
      </w:tr>
      <w:tr w14:paraId="3B0E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35F2D8D">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kern w:val="2"/>
                <w:highlight w:val="none"/>
                <w:lang w:val="en-US" w:eastAsia="zh-CN"/>
              </w:rPr>
              <w:t>29</w:t>
            </w:r>
          </w:p>
        </w:tc>
        <w:tc>
          <w:tcPr>
            <w:tcW w:w="1988" w:type="dxa"/>
            <w:tcBorders>
              <w:top w:val="single" w:color="auto" w:sz="4" w:space="0"/>
              <w:left w:val="nil"/>
              <w:bottom w:val="single" w:color="auto" w:sz="4" w:space="0"/>
              <w:right w:val="single" w:color="auto" w:sz="4" w:space="0"/>
            </w:tcBorders>
            <w:vAlign w:val="center"/>
          </w:tcPr>
          <w:p w14:paraId="5FC8838C">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磋商时间和地点</w:t>
            </w:r>
          </w:p>
        </w:tc>
        <w:tc>
          <w:tcPr>
            <w:tcW w:w="6653" w:type="dxa"/>
            <w:tcBorders>
              <w:top w:val="single" w:color="auto" w:sz="4" w:space="0"/>
              <w:left w:val="nil"/>
              <w:bottom w:val="single" w:color="auto" w:sz="4" w:space="0"/>
              <w:right w:val="single" w:color="auto" w:sz="4" w:space="0"/>
            </w:tcBorders>
            <w:vAlign w:val="center"/>
          </w:tcPr>
          <w:p w14:paraId="108971EB">
            <w:pPr>
              <w:pageBreakBefore w:val="0"/>
              <w:kinsoku/>
              <w:overflowPunct/>
              <w:autoSpaceDE w:val="0"/>
              <w:autoSpaceDN w:val="0"/>
              <w:bidi w:val="0"/>
              <w:adjustRightInd w:val="0"/>
              <w:spacing w:before="50" w:line="500" w:lineRule="exact"/>
              <w:ind w:right="35"/>
              <w:jc w:val="left"/>
              <w:rPr>
                <w:rFonts w:ascii="宋体" w:hAnsi="宋体" w:cs="宋体"/>
                <w:color w:val="auto"/>
                <w:kern w:val="0"/>
                <w:sz w:val="24"/>
                <w:highlight w:val="none"/>
              </w:rPr>
            </w:pPr>
            <w:r>
              <w:rPr>
                <w:rFonts w:hint="eastAsia" w:ascii="宋体" w:hAnsi="宋体" w:cs="宋体"/>
                <w:color w:val="auto"/>
                <w:kern w:val="0"/>
                <w:sz w:val="24"/>
                <w:highlight w:val="none"/>
              </w:rPr>
              <w:t>磋商时间：同</w:t>
            </w:r>
            <w:r>
              <w:rPr>
                <w:rFonts w:hint="eastAsia" w:ascii="宋体" w:hAnsi="宋体" w:cs="宋体"/>
                <w:color w:val="auto"/>
                <w:sz w:val="24"/>
                <w:highlight w:val="none"/>
                <w:lang w:eastAsia="zh-CN"/>
              </w:rPr>
              <w:t>提交首次响应文件截止时间</w:t>
            </w:r>
          </w:p>
          <w:p w14:paraId="57F8AFC3">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hint="eastAsia" w:ascii="宋体" w:hAnsi="宋体" w:cs="宋体"/>
                <w:color w:val="auto"/>
                <w:kern w:val="0"/>
                <w:sz w:val="24"/>
                <w:highlight w:val="none"/>
              </w:rPr>
              <w:t>磋商地点：</w:t>
            </w:r>
            <w:r>
              <w:rPr>
                <w:rFonts w:hint="eastAsia" w:ascii="宋体" w:hAnsi="宋体"/>
                <w:color w:val="auto"/>
                <w:sz w:val="24"/>
                <w:highlight w:val="none"/>
              </w:rPr>
              <w:t>三门峡市陕州区公共资源交易中心开标室</w:t>
            </w:r>
          </w:p>
        </w:tc>
      </w:tr>
      <w:tr w14:paraId="2B62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DC05AB5">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1988" w:type="dxa"/>
            <w:tcBorders>
              <w:top w:val="single" w:color="auto" w:sz="4" w:space="0"/>
              <w:left w:val="nil"/>
              <w:bottom w:val="single" w:color="auto" w:sz="4" w:space="0"/>
              <w:right w:val="single" w:color="auto" w:sz="4" w:space="0"/>
            </w:tcBorders>
            <w:vAlign w:val="center"/>
          </w:tcPr>
          <w:p w14:paraId="0818668C">
            <w:pPr>
              <w:pageBreakBefore w:val="0"/>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磋商程序</w:t>
            </w:r>
          </w:p>
        </w:tc>
        <w:tc>
          <w:tcPr>
            <w:tcW w:w="6653" w:type="dxa"/>
            <w:tcBorders>
              <w:top w:val="single" w:color="auto" w:sz="4" w:space="0"/>
              <w:left w:val="nil"/>
              <w:bottom w:val="single" w:color="auto" w:sz="4" w:space="0"/>
              <w:right w:val="single" w:color="auto" w:sz="4" w:space="0"/>
            </w:tcBorders>
            <w:vAlign w:val="center"/>
          </w:tcPr>
          <w:p w14:paraId="3B6FB554">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成立磋商小组</w:t>
            </w:r>
          </w:p>
          <w:p w14:paraId="3A2A5ACA">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制定或确认竞争性磋商文件</w:t>
            </w:r>
          </w:p>
          <w:p w14:paraId="472A1336">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确定不少于</w:t>
            </w:r>
            <w:r>
              <w:rPr>
                <w:rFonts w:ascii="宋体" w:hAnsi="宋体" w:cs="宋体"/>
                <w:color w:val="auto"/>
                <w:sz w:val="24"/>
                <w:highlight w:val="none"/>
              </w:rPr>
              <w:t>3</w:t>
            </w:r>
            <w:r>
              <w:rPr>
                <w:rFonts w:hint="eastAsia" w:ascii="宋体" w:hAnsi="宋体" w:cs="宋体"/>
                <w:color w:val="auto"/>
                <w:sz w:val="24"/>
                <w:highlight w:val="none"/>
              </w:rPr>
              <w:t>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参加磋商</w:t>
            </w:r>
          </w:p>
          <w:p w14:paraId="5F51D130">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磋商</w:t>
            </w:r>
          </w:p>
          <w:p w14:paraId="4125AF6D">
            <w:pPr>
              <w:pageBreakBefore w:val="0"/>
              <w:kinsoku/>
              <w:overflowPunct/>
              <w:autoSpaceDE w:val="0"/>
              <w:autoSpaceDN w:val="0"/>
              <w:bidi w:val="0"/>
              <w:adjustRightInd w:val="0"/>
              <w:spacing w:before="50" w:line="500" w:lineRule="exact"/>
              <w:ind w:right="35"/>
              <w:jc w:val="left"/>
              <w:rPr>
                <w:rFonts w:hint="eastAsia" w:ascii="宋体" w:hAnsi="宋体" w:cs="宋体"/>
                <w:color w:val="auto"/>
                <w:sz w:val="24"/>
                <w:highlight w:val="none"/>
                <w:lang w:eastAsia="zh-CN"/>
              </w:rPr>
            </w:pPr>
            <w:r>
              <w:rPr>
                <w:rFonts w:ascii="宋体" w:hAnsi="宋体" w:cs="宋体"/>
                <w:color w:val="auto"/>
                <w:sz w:val="24"/>
                <w:highlight w:val="none"/>
              </w:rPr>
              <w:t>5.</w:t>
            </w:r>
            <w:r>
              <w:rPr>
                <w:rFonts w:hint="eastAsia" w:ascii="宋体" w:hAnsi="宋体" w:cs="宋体"/>
                <w:color w:val="auto"/>
                <w:sz w:val="24"/>
                <w:highlight w:val="none"/>
              </w:rPr>
              <w:t>确定</w:t>
            </w:r>
            <w:r>
              <w:rPr>
                <w:rFonts w:hint="eastAsia" w:ascii="宋体" w:hAnsi="宋体" w:cs="宋体"/>
                <w:color w:val="auto"/>
                <w:sz w:val="24"/>
                <w:highlight w:val="none"/>
                <w:lang w:eastAsia="zh-CN"/>
              </w:rPr>
              <w:t>成交供应商</w:t>
            </w:r>
          </w:p>
          <w:p w14:paraId="35A3CB70">
            <w:pPr>
              <w:pageBreakBefore w:val="0"/>
              <w:kinsoku/>
              <w:overflowPunct/>
              <w:autoSpaceDE w:val="0"/>
              <w:autoSpaceDN w:val="0"/>
              <w:bidi w:val="0"/>
              <w:adjustRightInd w:val="0"/>
              <w:spacing w:before="50" w:line="500" w:lineRule="exact"/>
              <w:ind w:right="35"/>
              <w:jc w:val="left"/>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在指定媒体公布结果</w:t>
            </w:r>
          </w:p>
        </w:tc>
      </w:tr>
      <w:tr w14:paraId="053B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5FBF2D1">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1988" w:type="dxa"/>
            <w:tcBorders>
              <w:top w:val="single" w:color="auto" w:sz="4" w:space="0"/>
              <w:left w:val="nil"/>
              <w:bottom w:val="single" w:color="auto" w:sz="4" w:space="0"/>
              <w:right w:val="single" w:color="auto" w:sz="4" w:space="0"/>
            </w:tcBorders>
            <w:vAlign w:val="center"/>
          </w:tcPr>
          <w:p w14:paraId="79A027D4">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磋商小组的</w:t>
            </w:r>
          </w:p>
          <w:p w14:paraId="7FB4E53E">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rPr>
              <w:t>组建</w:t>
            </w:r>
          </w:p>
        </w:tc>
        <w:tc>
          <w:tcPr>
            <w:tcW w:w="6653" w:type="dxa"/>
            <w:tcBorders>
              <w:top w:val="single" w:color="auto" w:sz="4" w:space="0"/>
              <w:left w:val="nil"/>
              <w:bottom w:val="single" w:color="auto" w:sz="4" w:space="0"/>
              <w:right w:val="single" w:color="auto" w:sz="4" w:space="0"/>
            </w:tcBorders>
            <w:vAlign w:val="center"/>
          </w:tcPr>
          <w:p w14:paraId="6B7E83C6">
            <w:pPr>
              <w:pageBreakBefore w:val="0"/>
              <w:kinsoku/>
              <w:overflowPunct/>
              <w:bidi w:val="0"/>
              <w:spacing w:line="5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rPr>
              <w:t>磋商小组由</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人代表和评审专家</w:t>
            </w:r>
            <w:r>
              <w:rPr>
                <w:rFonts w:hint="eastAsia" w:ascii="宋体" w:hAnsi="宋体" w:cs="宋体"/>
                <w:color w:val="auto"/>
                <w:sz w:val="24"/>
                <w:highlight w:val="none"/>
                <w:lang w:eastAsia="zh-CN"/>
              </w:rPr>
              <w:t>共</w:t>
            </w:r>
            <w:r>
              <w:rPr>
                <w:rFonts w:hint="eastAsia" w:ascii="宋体" w:hAnsi="宋体" w:cs="宋体"/>
                <w:color w:val="auto"/>
                <w:sz w:val="24"/>
                <w:highlight w:val="none"/>
                <w:lang w:val="en-US" w:eastAsia="zh-CN"/>
              </w:rPr>
              <w:t>3人</w:t>
            </w:r>
            <w:r>
              <w:rPr>
                <w:rFonts w:hint="eastAsia" w:ascii="宋体" w:hAnsi="宋体" w:cs="宋体"/>
                <w:color w:val="auto"/>
                <w:sz w:val="24"/>
                <w:highlight w:val="none"/>
              </w:rPr>
              <w:t>组成，</w:t>
            </w:r>
            <w:r>
              <w:rPr>
                <w:rFonts w:hint="eastAsia" w:ascii="宋体" w:hAnsi="宋体" w:cs="宋体"/>
                <w:color w:val="auto"/>
                <w:sz w:val="24"/>
                <w:highlight w:val="none"/>
                <w:lang w:eastAsia="zh-CN"/>
              </w:rPr>
              <w:t>其中</w:t>
            </w:r>
            <w:r>
              <w:rPr>
                <w:rFonts w:hint="eastAsia" w:ascii="宋体" w:hAnsi="宋体" w:cs="宋体"/>
                <w:color w:val="auto"/>
                <w:sz w:val="24"/>
                <w:highlight w:val="none"/>
                <w:lang w:val="en-US" w:eastAsia="zh-CN"/>
              </w:rPr>
              <w:t>采购人代表1人，其余</w:t>
            </w:r>
            <w:r>
              <w:rPr>
                <w:rFonts w:hint="eastAsia" w:ascii="宋体" w:hAnsi="宋体" w:cs="宋体"/>
                <w:color w:val="auto"/>
                <w:sz w:val="24"/>
                <w:highlight w:val="none"/>
              </w:rPr>
              <w:t>评审专家</w:t>
            </w:r>
            <w:r>
              <w:rPr>
                <w:rFonts w:hint="eastAsia" w:ascii="宋体" w:hAnsi="宋体" w:cs="宋体"/>
                <w:color w:val="auto"/>
                <w:sz w:val="24"/>
                <w:highlight w:val="none"/>
                <w:lang w:val="en-US" w:eastAsia="zh-CN"/>
              </w:rPr>
              <w:t>2人磋商当天从河南省政府采购评审专家库随机抽取确定。</w:t>
            </w:r>
          </w:p>
          <w:p w14:paraId="222733FB">
            <w:pPr>
              <w:pageBreakBefore w:val="0"/>
              <w:kinsoku/>
              <w:overflowPunct/>
              <w:bidi w:val="0"/>
              <w:spacing w:line="500" w:lineRule="exact"/>
              <w:rPr>
                <w:rFonts w:hint="default"/>
                <w:lang w:val="en-US"/>
              </w:rPr>
            </w:pPr>
            <w:r>
              <w:rPr>
                <w:rFonts w:hint="eastAsia" w:ascii="宋体" w:hAnsi="宋体" w:cs="宋体"/>
                <w:b/>
                <w:bCs/>
                <w:color w:val="auto"/>
                <w:sz w:val="24"/>
                <w:highlight w:val="none"/>
                <w:lang w:val="en-US" w:eastAsia="zh-CN"/>
              </w:rPr>
              <w:t>注：业主评委无评审劳务费。</w:t>
            </w:r>
          </w:p>
        </w:tc>
      </w:tr>
      <w:tr w14:paraId="55A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EF8FF16">
            <w:pPr>
              <w:pageBreakBefore w:val="0"/>
              <w:kinsoku/>
              <w:overflowPunct/>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1988" w:type="dxa"/>
            <w:tcBorders>
              <w:top w:val="single" w:color="auto" w:sz="4" w:space="0"/>
              <w:left w:val="nil"/>
              <w:bottom w:val="single" w:color="auto" w:sz="4" w:space="0"/>
              <w:right w:val="single" w:color="auto" w:sz="4" w:space="0"/>
            </w:tcBorders>
            <w:vAlign w:val="center"/>
          </w:tcPr>
          <w:p w14:paraId="1960DF39">
            <w:pPr>
              <w:pageBreakBefore w:val="0"/>
              <w:tabs>
                <w:tab w:val="left" w:pos="180"/>
              </w:tabs>
              <w:kinsoku/>
              <w:overflowPunct/>
              <w:bidi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是否授权磋商小组确定成交人</w:t>
            </w:r>
          </w:p>
        </w:tc>
        <w:tc>
          <w:tcPr>
            <w:tcW w:w="6653" w:type="dxa"/>
            <w:tcBorders>
              <w:top w:val="single" w:color="auto" w:sz="4" w:space="0"/>
              <w:left w:val="nil"/>
              <w:bottom w:val="single" w:color="auto" w:sz="4" w:space="0"/>
              <w:right w:val="single" w:color="auto" w:sz="4" w:space="0"/>
            </w:tcBorders>
            <w:vAlign w:val="center"/>
          </w:tcPr>
          <w:p w14:paraId="1C10D8FD">
            <w:pPr>
              <w:pageBreakBefore w:val="0"/>
              <w:tabs>
                <w:tab w:val="left" w:pos="180"/>
              </w:tabs>
              <w:kinsoku/>
              <w:overflowPunct/>
              <w:bidi w:val="0"/>
              <w:spacing w:line="50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否，推荐的成交候选人数：3名</w:t>
            </w:r>
            <w:r>
              <w:rPr>
                <w:rFonts w:hint="eastAsia" w:ascii="宋体" w:hAnsi="宋体" w:cs="宋体"/>
                <w:color w:val="auto"/>
                <w:sz w:val="24"/>
                <w:highlight w:val="none"/>
                <w:lang w:eastAsia="zh-CN"/>
              </w:rPr>
              <w:t>，并排序</w:t>
            </w:r>
          </w:p>
        </w:tc>
      </w:tr>
      <w:tr w14:paraId="37C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60BBC55">
            <w:pPr>
              <w:pStyle w:val="23"/>
              <w:pageBreakBefore w:val="0"/>
              <w:widowControl w:val="0"/>
              <w:kinsoku/>
              <w:overflowPunct/>
              <w:bidi w:val="0"/>
              <w:spacing w:before="0" w:beforeAutospacing="0" w:after="0" w:afterAutospacing="0" w:line="500" w:lineRule="exact"/>
              <w:ind w:firstLine="0" w:firstLineChars="0"/>
              <w:jc w:val="center"/>
              <w:rPr>
                <w:rFonts w:hint="default" w:eastAsia="宋体" w:cs="宋体"/>
                <w:color w:val="auto"/>
                <w:kern w:val="2"/>
                <w:highlight w:val="none"/>
                <w:lang w:val="en-US" w:eastAsia="zh-CN"/>
              </w:rPr>
            </w:pPr>
            <w:r>
              <w:rPr>
                <w:rFonts w:hint="eastAsia" w:cs="宋体"/>
                <w:color w:val="auto"/>
                <w:kern w:val="2"/>
                <w:highlight w:val="none"/>
                <w:lang w:val="en-US" w:eastAsia="zh-CN"/>
              </w:rPr>
              <w:t>33</w:t>
            </w:r>
          </w:p>
        </w:tc>
        <w:tc>
          <w:tcPr>
            <w:tcW w:w="1988" w:type="dxa"/>
            <w:tcBorders>
              <w:top w:val="single" w:color="auto" w:sz="4" w:space="0"/>
              <w:left w:val="nil"/>
              <w:bottom w:val="single" w:color="auto" w:sz="4" w:space="0"/>
              <w:right w:val="single" w:color="auto" w:sz="4" w:space="0"/>
            </w:tcBorders>
            <w:vAlign w:val="center"/>
          </w:tcPr>
          <w:p w14:paraId="6F199AB6">
            <w:pPr>
              <w:pageBreakBefore w:val="0"/>
              <w:kinsoku/>
              <w:overflowPunct/>
              <w:bidi w:val="0"/>
              <w:spacing w:line="500" w:lineRule="exact"/>
              <w:jc w:val="center"/>
              <w:rPr>
                <w:rFonts w:ascii="宋体" w:hAnsi="宋体" w:cs="_5b8b_4f53"/>
                <w:color w:val="auto"/>
                <w:sz w:val="24"/>
                <w:highlight w:val="none"/>
              </w:rPr>
            </w:pPr>
            <w:r>
              <w:rPr>
                <w:rFonts w:hint="eastAsia" w:ascii="宋体" w:hAnsi="宋体" w:cs="_5b8b_4f53"/>
                <w:color w:val="auto"/>
                <w:sz w:val="24"/>
                <w:highlight w:val="none"/>
              </w:rPr>
              <w:t>电子化交易</w:t>
            </w:r>
          </w:p>
          <w:p w14:paraId="29602F6B">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_5b8b_4f53"/>
                <w:color w:val="auto"/>
                <w:sz w:val="24"/>
                <w:highlight w:val="none"/>
              </w:rPr>
              <w:t>注意事项</w:t>
            </w:r>
          </w:p>
        </w:tc>
        <w:tc>
          <w:tcPr>
            <w:tcW w:w="6653" w:type="dxa"/>
            <w:tcBorders>
              <w:top w:val="single" w:color="auto" w:sz="4" w:space="0"/>
              <w:left w:val="nil"/>
              <w:bottom w:val="single" w:color="auto" w:sz="4" w:space="0"/>
              <w:right w:val="single" w:color="auto" w:sz="4" w:space="0"/>
            </w:tcBorders>
            <w:vAlign w:val="center"/>
          </w:tcPr>
          <w:p w14:paraId="215A16E8">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具体要求：本项目为电子化、无纸化交易项目，响应文件是供应商通过中心磋商响应文件制作系统制作，并经过签章和加密后生成的电子版磋商响应文件。</w:t>
            </w:r>
          </w:p>
          <w:p w14:paraId="75EF8158">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电子化磋商响应文件具体制作文件请点击</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"http://t.cn/A6ZvtVob" </w:instrText>
            </w:r>
            <w:r>
              <w:rPr>
                <w:rFonts w:ascii="宋体" w:hAnsi="宋体" w:cs="宋体"/>
                <w:color w:val="auto"/>
                <w:sz w:val="24"/>
                <w:highlight w:val="none"/>
              </w:rPr>
              <w:fldChar w:fldCharType="separate"/>
            </w:r>
            <w:r>
              <w:rPr>
                <w:rStyle w:val="37"/>
                <w:rFonts w:ascii="宋体" w:hAnsi="宋体" w:cs="宋体"/>
                <w:color w:val="auto"/>
                <w:sz w:val="24"/>
                <w:highlight w:val="none"/>
              </w:rPr>
              <w:t>http://t.cn/A6ZvtVob</w:t>
            </w:r>
            <w:r>
              <w:rPr>
                <w:rFonts w:ascii="宋体" w:hAnsi="宋体" w:cs="宋体"/>
                <w:color w:val="auto"/>
                <w:sz w:val="24"/>
                <w:highlight w:val="none"/>
              </w:rPr>
              <w:fldChar w:fldCharType="end"/>
            </w:r>
            <w:r>
              <w:rPr>
                <w:rFonts w:hint="eastAsia" w:ascii="宋体" w:hAnsi="宋体" w:cs="宋体"/>
                <w:color w:val="auto"/>
                <w:sz w:val="24"/>
                <w:highlight w:val="none"/>
              </w:rPr>
              <w:t>进行下载。</w:t>
            </w:r>
          </w:p>
          <w:p w14:paraId="19E52B84">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b/>
                <w:color w:val="auto"/>
                <w:sz w:val="24"/>
                <w:highlight w:val="none"/>
              </w:rPr>
              <w:t>温馨提示：本项目为电子化、无纸化交易项目，为保证您能投标成功，请需仔细阅读以下条款。</w:t>
            </w:r>
          </w:p>
          <w:p w14:paraId="1B221D51">
            <w:pPr>
              <w:pageBreakBefore w:val="0"/>
              <w:kinsoku/>
              <w:overflowPunct/>
              <w:bidi w:val="0"/>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一、电子化投标</w:t>
            </w:r>
          </w:p>
          <w:p w14:paraId="48307B10">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（一）网上磋商保证金的缴纳</w:t>
            </w:r>
          </w:p>
          <w:p w14:paraId="169A42F1">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本项目不收取磋商保证金。</w:t>
            </w:r>
          </w:p>
          <w:p w14:paraId="68601129">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（二）电子化</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文件的签章</w:t>
            </w:r>
          </w:p>
          <w:p w14:paraId="60354E4D">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1、供应商在生成电子化磋商响应文件后，应对电子化磋商响应文件进行签章，未进行签章的视为无效</w:t>
            </w:r>
            <w:r>
              <w:rPr>
                <w:rFonts w:hint="eastAsia" w:ascii="宋体" w:hAnsi="宋体" w:cs="宋体"/>
                <w:color w:val="auto"/>
                <w:sz w:val="24"/>
                <w:highlight w:val="none"/>
                <w:lang w:eastAsia="zh-CN"/>
              </w:rPr>
              <w:t>响应</w:t>
            </w:r>
            <w:r>
              <w:rPr>
                <w:rFonts w:hint="eastAsia" w:ascii="宋体" w:hAnsi="宋体" w:cs="宋体"/>
                <w:color w:val="auto"/>
                <w:sz w:val="24"/>
                <w:highlight w:val="none"/>
              </w:rPr>
              <w:t>。</w:t>
            </w:r>
          </w:p>
          <w:p w14:paraId="63316CCB">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竞争性磋商文件中要求磋商响应供应商盖章的，以签盖单位章为准；要求法定代表人或授权代理人签章的，以签盖法定代表人签章为准</w:t>
            </w:r>
            <w:r>
              <w:rPr>
                <w:rFonts w:hint="eastAsia" w:ascii="宋体" w:hAnsi="宋体" w:cs="宋体"/>
                <w:color w:val="auto"/>
                <w:sz w:val="24"/>
                <w:highlight w:val="none"/>
              </w:rPr>
              <w:t>。</w:t>
            </w:r>
          </w:p>
          <w:p w14:paraId="4F33B4E0">
            <w:pPr>
              <w:pageBreakBefore w:val="0"/>
              <w:kinsoku/>
              <w:overflowPunct/>
              <w:bidi w:val="0"/>
              <w:spacing w:line="500" w:lineRule="exact"/>
              <w:rPr>
                <w:rFonts w:hint="eastAsia" w:ascii="宋体" w:hAnsi="宋体" w:cs="宋体"/>
                <w:b/>
                <w:color w:val="auto"/>
                <w:sz w:val="24"/>
                <w:highlight w:val="none"/>
              </w:rPr>
            </w:pPr>
            <w:r>
              <w:rPr>
                <w:rFonts w:hint="eastAsia" w:ascii="宋体" w:hAnsi="宋体" w:cs="宋体"/>
                <w:color w:val="auto"/>
                <w:sz w:val="24"/>
                <w:highlight w:val="none"/>
              </w:rPr>
              <w:t>（三）电子化磋商响应文件的格式及上传</w:t>
            </w:r>
          </w:p>
          <w:p w14:paraId="1D8CEDF5">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1、供应商所上传的电子化磋商响应文件，应是通过中心投标文件制作系统制作的（投标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w:t>
            </w:r>
          </w:p>
          <w:p w14:paraId="04A50E02">
            <w:pPr>
              <w:pageBreakBefore w:val="0"/>
              <w:kinsoku/>
              <w:overflowPunct/>
              <w:bidi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电子化磋商响应文件具体制作教材请供应商点击以下链接学习</w:t>
            </w:r>
            <w:r>
              <w:rPr>
                <w:rFonts w:ascii="宋体" w:hAnsi="宋体" w:cs="宋体"/>
                <w:color w:val="auto"/>
                <w:sz w:val="24"/>
                <w:highlight w:val="none"/>
              </w:rPr>
              <w:t>https://t.cn/A625r72N</w:t>
            </w:r>
          </w:p>
          <w:p w14:paraId="769F383F">
            <w:pPr>
              <w:pageBreakBefore w:val="0"/>
              <w:kinsoku/>
              <w:overflowPunct/>
              <w:bidi w:val="0"/>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注：供应商投报多个标段的，需要每个标段单独制作电子磋商响应文件。</w:t>
            </w:r>
          </w:p>
          <w:p w14:paraId="4278AFEF">
            <w:pPr>
              <w:pageBreakBefore w:val="0"/>
              <w:numPr>
                <w:ilvl w:val="0"/>
                <w:numId w:val="1"/>
              </w:numPr>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电子化磋商响应文件应在</w:t>
            </w:r>
            <w:r>
              <w:rPr>
                <w:rFonts w:hint="eastAsia" w:ascii="宋体" w:hAnsi="宋体" w:cs="宋体"/>
                <w:color w:val="auto"/>
                <w:sz w:val="24"/>
                <w:highlight w:val="none"/>
                <w:lang w:eastAsia="zh-CN"/>
              </w:rPr>
              <w:t>磋商</w:t>
            </w:r>
            <w:r>
              <w:rPr>
                <w:rFonts w:hint="eastAsia" w:ascii="宋体" w:hAnsi="宋体" w:cs="宋体"/>
                <w:color w:val="auto"/>
                <w:sz w:val="24"/>
                <w:highlight w:val="none"/>
              </w:rPr>
              <w:t>时间前成功上传至三门峡市公共资源电子化交易系统。至</w:t>
            </w:r>
            <w:r>
              <w:rPr>
                <w:rFonts w:hint="eastAsia" w:ascii="宋体" w:hAnsi="宋体" w:cs="宋体"/>
                <w:color w:val="auto"/>
                <w:sz w:val="24"/>
                <w:highlight w:val="none"/>
                <w:lang w:eastAsia="zh-CN"/>
              </w:rPr>
              <w:t>磋商</w:t>
            </w:r>
            <w:r>
              <w:rPr>
                <w:rFonts w:hint="eastAsia" w:ascii="宋体" w:hAnsi="宋体" w:cs="宋体"/>
                <w:color w:val="auto"/>
                <w:sz w:val="24"/>
                <w:highlight w:val="none"/>
              </w:rPr>
              <w:t>时间止，仍未上传成功的电子化磋商响应文件将不予接收。</w:t>
            </w:r>
          </w:p>
          <w:p w14:paraId="00CD988C">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如按照电子化投标操作教材制作完成的电子化磋商响应文件无法上传的，供应商应在</w:t>
            </w:r>
            <w:r>
              <w:rPr>
                <w:rFonts w:hint="eastAsia" w:ascii="宋体" w:hAnsi="宋体" w:cs="宋体"/>
                <w:b/>
                <w:color w:val="auto"/>
                <w:sz w:val="24"/>
                <w:highlight w:val="none"/>
                <w:lang w:eastAsia="zh-CN"/>
              </w:rPr>
              <w:t>磋商</w:t>
            </w:r>
            <w:r>
              <w:rPr>
                <w:rFonts w:hint="eastAsia" w:ascii="宋体" w:hAnsi="宋体" w:cs="宋体"/>
                <w:b/>
                <w:color w:val="auto"/>
                <w:sz w:val="24"/>
                <w:highlight w:val="none"/>
              </w:rPr>
              <w:t>时间前尽早的</w:t>
            </w:r>
            <w:r>
              <w:rPr>
                <w:rFonts w:hint="eastAsia" w:ascii="宋体" w:hAnsi="宋体" w:cs="宋体"/>
                <w:color w:val="auto"/>
                <w:sz w:val="24"/>
                <w:highlight w:val="none"/>
              </w:rPr>
              <w:t>联系中心技术人员，以便有充分的时间进行处理。</w:t>
            </w:r>
            <w:r>
              <w:rPr>
                <w:rFonts w:hint="eastAsia" w:ascii="宋体" w:hAnsi="宋体" w:cs="宋体"/>
                <w:b/>
                <w:color w:val="auto"/>
                <w:sz w:val="24"/>
                <w:highlight w:val="none"/>
              </w:rPr>
              <w:t>供应商应充分考虑到处理技术问题和上传数据等工作所需的时间问题，响应文件未在</w:t>
            </w:r>
            <w:r>
              <w:rPr>
                <w:rFonts w:hint="eastAsia" w:ascii="宋体" w:hAnsi="宋体" w:cs="宋体"/>
                <w:b/>
                <w:color w:val="auto"/>
                <w:sz w:val="24"/>
                <w:highlight w:val="none"/>
                <w:lang w:eastAsia="zh-CN"/>
              </w:rPr>
              <w:t>磋商</w:t>
            </w:r>
            <w:r>
              <w:rPr>
                <w:rFonts w:hint="eastAsia" w:ascii="宋体" w:hAnsi="宋体" w:cs="宋体"/>
                <w:b/>
                <w:color w:val="auto"/>
                <w:sz w:val="24"/>
                <w:highlight w:val="none"/>
              </w:rPr>
              <w:t>时间前成功上传的，其磋商响应文件不予接收。</w:t>
            </w:r>
          </w:p>
          <w:p w14:paraId="7C221322">
            <w:pPr>
              <w:pageBreakBefore w:val="0"/>
              <w:kinsoku/>
              <w:overflowPunct/>
              <w:bidi w:val="0"/>
              <w:spacing w:line="500" w:lineRule="exact"/>
              <w:ind w:left="1680" w:hanging="1680" w:hangingChars="700"/>
              <w:rPr>
                <w:rFonts w:hint="eastAsia" w:ascii="宋体" w:hAnsi="宋体" w:cs="宋体"/>
                <w:color w:val="auto"/>
                <w:sz w:val="24"/>
                <w:highlight w:val="none"/>
              </w:rPr>
            </w:pPr>
            <w:r>
              <w:rPr>
                <w:rFonts w:hint="eastAsia" w:ascii="宋体" w:hAnsi="宋体" w:cs="宋体"/>
                <w:color w:val="auto"/>
                <w:sz w:val="24"/>
                <w:highlight w:val="none"/>
              </w:rPr>
              <w:t>技术联系电话：4009980000</w:t>
            </w:r>
          </w:p>
          <w:p w14:paraId="7A020BCF">
            <w:pPr>
              <w:pageBreakBefore w:val="0"/>
              <w:kinsoku/>
              <w:overflowPunct/>
              <w:bidi w:val="0"/>
              <w:spacing w:line="5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（四）电子化项目开标、解密、唱标、</w:t>
            </w:r>
            <w:r>
              <w:rPr>
                <w:rFonts w:hint="eastAsia" w:ascii="宋体" w:hAnsi="宋体" w:cs="宋体"/>
                <w:color w:val="auto"/>
                <w:sz w:val="24"/>
                <w:highlight w:val="none"/>
                <w:lang w:eastAsia="zh-CN"/>
              </w:rPr>
              <w:t>评审</w:t>
            </w:r>
          </w:p>
          <w:p w14:paraId="38A258E8">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1、本项目采用</w:t>
            </w:r>
            <w:r>
              <w:rPr>
                <w:rFonts w:hint="eastAsia" w:ascii="宋体" w:hAnsi="宋体" w:cs="宋体"/>
                <w:b/>
                <w:color w:val="auto"/>
                <w:sz w:val="24"/>
                <w:highlight w:val="none"/>
              </w:rPr>
              <w:t>电子化、无纸化</w:t>
            </w:r>
            <w:r>
              <w:rPr>
                <w:rFonts w:hint="eastAsia" w:ascii="宋体" w:hAnsi="宋体" w:cs="宋体"/>
                <w:color w:val="auto"/>
                <w:sz w:val="24"/>
                <w:highlight w:val="none"/>
              </w:rPr>
              <w:t>进行</w:t>
            </w:r>
            <w:r>
              <w:rPr>
                <w:rFonts w:hint="eastAsia" w:ascii="宋体" w:hAnsi="宋体" w:cs="宋体"/>
                <w:color w:val="auto"/>
                <w:sz w:val="24"/>
                <w:highlight w:val="none"/>
                <w:lang w:eastAsia="zh-CN"/>
              </w:rPr>
              <w:t>采购</w:t>
            </w:r>
            <w:r>
              <w:rPr>
                <w:rFonts w:hint="eastAsia" w:ascii="宋体" w:hAnsi="宋体" w:cs="宋体"/>
                <w:color w:val="auto"/>
                <w:sz w:val="24"/>
                <w:highlight w:val="none"/>
              </w:rPr>
              <w:t>，</w:t>
            </w:r>
            <w:r>
              <w:rPr>
                <w:rFonts w:hint="eastAsia" w:ascii="宋体" w:hAnsi="宋体" w:cs="宋体"/>
                <w:color w:val="auto"/>
                <w:sz w:val="24"/>
                <w:highlight w:val="none"/>
                <w:lang w:eastAsia="zh-CN"/>
              </w:rPr>
              <w:t>磋商</w:t>
            </w:r>
            <w:r>
              <w:rPr>
                <w:rFonts w:hint="eastAsia" w:ascii="宋体" w:hAnsi="宋体" w:cs="宋体"/>
                <w:color w:val="auto"/>
                <w:sz w:val="24"/>
                <w:highlight w:val="none"/>
              </w:rPr>
              <w:t>当日，供应商无需到现场参加</w:t>
            </w:r>
            <w:r>
              <w:rPr>
                <w:rFonts w:hint="eastAsia" w:ascii="宋体" w:hAnsi="宋体" w:cs="宋体"/>
                <w:color w:val="auto"/>
                <w:sz w:val="24"/>
                <w:highlight w:val="none"/>
                <w:lang w:eastAsia="zh-CN"/>
              </w:rPr>
              <w:t>磋商</w:t>
            </w:r>
            <w:r>
              <w:rPr>
                <w:rFonts w:hint="eastAsia" w:ascii="宋体" w:hAnsi="宋体" w:cs="宋体"/>
                <w:color w:val="auto"/>
                <w:sz w:val="24"/>
                <w:highlight w:val="none"/>
              </w:rPr>
              <w:t>会议，供应商应当在</w:t>
            </w:r>
            <w:r>
              <w:rPr>
                <w:rFonts w:hint="eastAsia" w:ascii="宋体" w:hAnsi="宋体" w:cs="宋体"/>
                <w:color w:val="auto"/>
                <w:sz w:val="24"/>
                <w:highlight w:val="none"/>
                <w:lang w:eastAsia="zh-CN"/>
              </w:rPr>
              <w:t>磋商</w:t>
            </w:r>
            <w:r>
              <w:rPr>
                <w:rFonts w:hint="eastAsia" w:ascii="宋体" w:hAnsi="宋体" w:cs="宋体"/>
                <w:color w:val="auto"/>
                <w:sz w:val="24"/>
                <w:highlight w:val="none"/>
              </w:rPr>
              <w:t>时间前，登陆不见面开标大厅选择登陆三门峡市公共资源电子招投标系统进行登陆（网址为http://t.cn/A6huPROa）,在线准时参加开标活动并进行磋商响应文件解密等。</w:t>
            </w:r>
          </w:p>
          <w:p w14:paraId="164F3FE6">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2、电子化磋商响应文件采用一次加密方式。</w:t>
            </w:r>
            <w:r>
              <w:rPr>
                <w:rFonts w:hint="eastAsia" w:ascii="宋体" w:hAnsi="宋体" w:cs="宋体"/>
                <w:color w:val="auto"/>
                <w:sz w:val="24"/>
                <w:highlight w:val="none"/>
                <w:lang w:eastAsia="zh-CN"/>
              </w:rPr>
              <w:t>磋商</w:t>
            </w:r>
            <w:r>
              <w:rPr>
                <w:rFonts w:hint="eastAsia" w:ascii="宋体" w:hAnsi="宋体" w:cs="宋体"/>
                <w:color w:val="auto"/>
                <w:sz w:val="24"/>
                <w:highlight w:val="none"/>
              </w:rPr>
              <w:t>时，由供应商使用CA 证书，在规定时间内对其电子化磋商响应文件进行解密。每位供应商的解密时间为开标时间起30 分钟内，如在规定时间内未完成解密的，其磋商响应文件不予开标、唱标。</w:t>
            </w:r>
          </w:p>
          <w:p w14:paraId="00BFBEEA">
            <w:pPr>
              <w:pageBreakBefore w:val="0"/>
              <w:kinsoku/>
              <w:overflowPunct/>
              <w:bidi w:val="0"/>
              <w:spacing w:line="500" w:lineRule="exact"/>
              <w:ind w:firstLine="573"/>
              <w:rPr>
                <w:rFonts w:hint="eastAsia" w:ascii="宋体" w:hAnsi="宋体" w:cs="宋体"/>
                <w:b/>
                <w:color w:val="auto"/>
                <w:sz w:val="24"/>
                <w:highlight w:val="none"/>
              </w:rPr>
            </w:pPr>
            <w:r>
              <w:rPr>
                <w:rFonts w:hint="eastAsia" w:ascii="宋体" w:hAnsi="宋体" w:cs="宋体"/>
                <w:color w:val="auto"/>
                <w:sz w:val="24"/>
                <w:highlight w:val="none"/>
              </w:rPr>
              <w:t>3、电子化磋商响应文件解密异常的处理</w:t>
            </w:r>
          </w:p>
          <w:p w14:paraId="37BD704B">
            <w:pPr>
              <w:pageBreakBefore w:val="0"/>
              <w:kinsoku/>
              <w:overflowPunct/>
              <w:bidi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如出现供应商的电子磋商响应文件无法解密等异常情况，供应商应及时致电中介服务机构说明。磋商响应文件异常，按以下步骤进行处理：</w:t>
            </w:r>
          </w:p>
          <w:p w14:paraId="52C97035">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（1）首先由技术人员进行问题排查。</w:t>
            </w:r>
          </w:p>
          <w:p w14:paraId="4965995F">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（2）经技术人员排查后，是供应商文件自身问题导致磋商响应文件无法解密的，该磋商响应文件将不予接收、解密和唱标。开标会议继续进行。</w:t>
            </w:r>
          </w:p>
          <w:p w14:paraId="02D0FC94">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6EA51077">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4、待所有供应商磋商响应文件解密完成后，由中介服务机构操作，对所有已解密磋商响应文件进行唱标。</w:t>
            </w:r>
          </w:p>
          <w:p w14:paraId="731609D4">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b/>
                <w:color w:val="auto"/>
                <w:sz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01F0FFBD">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磋商</w:t>
            </w:r>
            <w:r>
              <w:rPr>
                <w:rFonts w:hint="eastAsia" w:ascii="宋体" w:hAnsi="宋体" w:cs="宋体"/>
                <w:color w:val="auto"/>
                <w:sz w:val="24"/>
                <w:highlight w:val="none"/>
              </w:rPr>
              <w:t>时供应商可登录到交易系统中在开标解密栏中点击报价一览表查看自己的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35E773C1">
            <w:pPr>
              <w:pageBreakBefore w:val="0"/>
              <w:kinsoku/>
              <w:overflowPunct/>
              <w:bidi w:val="0"/>
              <w:spacing w:line="500" w:lineRule="exact"/>
              <w:ind w:firstLine="573"/>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评审</w:t>
            </w:r>
            <w:r>
              <w:rPr>
                <w:rFonts w:hint="eastAsia" w:ascii="宋体" w:hAnsi="宋体" w:cs="宋体"/>
                <w:color w:val="auto"/>
                <w:sz w:val="24"/>
                <w:highlight w:val="none"/>
              </w:rPr>
              <w:t>时，</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w:t>
            </w:r>
          </w:p>
          <w:p w14:paraId="6CDF2148">
            <w:pPr>
              <w:pageBreakBefore w:val="0"/>
              <w:kinsoku/>
              <w:overflowPunct/>
              <w:bidi w:val="0"/>
              <w:spacing w:line="500" w:lineRule="exact"/>
              <w:ind w:firstLine="573"/>
              <w:rPr>
                <w:rFonts w:ascii="宋体" w:hAnsi="宋体" w:cs="宋体"/>
                <w:b/>
                <w:color w:val="auto"/>
                <w:sz w:val="24"/>
                <w:highlight w:val="none"/>
              </w:rPr>
            </w:pPr>
            <w:r>
              <w:rPr>
                <w:rFonts w:hint="eastAsia" w:ascii="宋体" w:hAnsi="宋体" w:cs="宋体"/>
                <w:color w:val="auto"/>
                <w:sz w:val="24"/>
                <w:highlight w:val="none"/>
              </w:rPr>
              <w:t>7、如</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对需要回复的供应商连续三次致电未接通的，视为供应商放弃回复，</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将自行对需要回复的内容进行认定。</w:t>
            </w:r>
          </w:p>
        </w:tc>
      </w:tr>
      <w:tr w14:paraId="13D7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0" w:type="dxa"/>
            <w:gridSpan w:val="3"/>
            <w:tcBorders>
              <w:top w:val="single" w:color="auto" w:sz="4" w:space="0"/>
              <w:left w:val="single" w:color="auto" w:sz="4" w:space="0"/>
              <w:bottom w:val="single" w:color="auto" w:sz="4" w:space="0"/>
              <w:right w:val="single" w:color="auto" w:sz="4" w:space="0"/>
            </w:tcBorders>
            <w:vAlign w:val="center"/>
          </w:tcPr>
          <w:p w14:paraId="59CB1DEF">
            <w:pPr>
              <w:pageBreakBefore w:val="0"/>
              <w:kinsoku/>
              <w:overflowPunct/>
              <w:bidi w:val="0"/>
              <w:spacing w:before="120" w:after="120" w:line="500" w:lineRule="exact"/>
              <w:rPr>
                <w:rFonts w:ascii="宋体" w:hAnsi="宋体" w:cs="宋体"/>
                <w:color w:val="auto"/>
                <w:sz w:val="24"/>
                <w:highlight w:val="none"/>
              </w:rPr>
            </w:pPr>
            <w:r>
              <w:rPr>
                <w:rFonts w:hint="eastAsia" w:ascii="宋体" w:hAnsi="宋体" w:cs="宋体"/>
                <w:b/>
                <w:color w:val="auto"/>
                <w:sz w:val="24"/>
                <w:highlight w:val="none"/>
              </w:rPr>
              <w:t>需要补充的其他内容</w:t>
            </w:r>
          </w:p>
        </w:tc>
      </w:tr>
      <w:tr w14:paraId="1346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4576868">
            <w:pPr>
              <w:pageBreakBefore w:val="0"/>
              <w:kinsoku/>
              <w:overflowPunct/>
              <w:bidi w:val="0"/>
              <w:spacing w:before="120" w:after="120"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34</w:t>
            </w:r>
          </w:p>
        </w:tc>
        <w:tc>
          <w:tcPr>
            <w:tcW w:w="1988" w:type="dxa"/>
            <w:tcBorders>
              <w:top w:val="single" w:color="auto" w:sz="4" w:space="0"/>
              <w:left w:val="nil"/>
              <w:bottom w:val="single" w:color="auto" w:sz="4" w:space="0"/>
              <w:right w:val="single" w:color="auto" w:sz="4" w:space="0"/>
            </w:tcBorders>
            <w:vAlign w:val="center"/>
          </w:tcPr>
          <w:p w14:paraId="3CA3A1C0">
            <w:pPr>
              <w:pageBreakBefore w:val="0"/>
              <w:kinsoku/>
              <w:overflowPunct/>
              <w:bidi w:val="0"/>
              <w:spacing w:before="120" w:after="120" w:line="500" w:lineRule="exact"/>
              <w:jc w:val="center"/>
              <w:rPr>
                <w:rFonts w:ascii="宋体" w:hAnsi="宋体" w:cs="宋体"/>
                <w:color w:val="auto"/>
                <w:sz w:val="24"/>
                <w:highlight w:val="none"/>
              </w:rPr>
            </w:pPr>
            <w:r>
              <w:rPr>
                <w:rFonts w:hint="eastAsia" w:ascii="宋体" w:hAnsi="宋体" w:cs="宋体"/>
                <w:color w:val="auto"/>
                <w:sz w:val="24"/>
                <w:highlight w:val="none"/>
                <w:lang w:eastAsia="zh-CN"/>
              </w:rPr>
              <w:t>最高限价</w:t>
            </w:r>
          </w:p>
        </w:tc>
        <w:tc>
          <w:tcPr>
            <w:tcW w:w="6653" w:type="dxa"/>
            <w:tcBorders>
              <w:top w:val="single" w:color="auto" w:sz="4" w:space="0"/>
              <w:left w:val="nil"/>
              <w:bottom w:val="single" w:color="auto" w:sz="4" w:space="0"/>
              <w:right w:val="single" w:color="auto" w:sz="4" w:space="0"/>
            </w:tcBorders>
            <w:vAlign w:val="center"/>
          </w:tcPr>
          <w:p w14:paraId="6DCDABB4">
            <w:pPr>
              <w:pageBreakBefore w:val="0"/>
              <w:numPr>
                <w:ilvl w:val="0"/>
                <w:numId w:val="2"/>
              </w:numPr>
              <w:kinsoku/>
              <w:overflowPunct/>
              <w:bidi w:val="0"/>
              <w:spacing w:line="500" w:lineRule="exact"/>
              <w:rPr>
                <w:rFonts w:hint="eastAsia" w:ascii="宋体" w:hAnsi="宋体" w:cs="宋体"/>
                <w:color w:val="auto"/>
                <w:sz w:val="24"/>
                <w:highlight w:val="none"/>
                <w:lang w:eastAsia="zh-CN"/>
              </w:rPr>
            </w:pPr>
            <w:r>
              <w:rPr>
                <w:rFonts w:hint="eastAsia" w:ascii="宋体" w:hAnsi="宋体" w:cs="宋体"/>
                <w:color w:val="auto"/>
                <w:sz w:val="24"/>
                <w:highlight w:val="none"/>
              </w:rPr>
              <w:t>本</w:t>
            </w:r>
            <w:r>
              <w:rPr>
                <w:rFonts w:hint="eastAsia" w:ascii="宋体" w:hAnsi="宋体" w:cs="宋体"/>
                <w:color w:val="auto"/>
                <w:sz w:val="24"/>
                <w:highlight w:val="none"/>
                <w:lang w:eastAsia="zh-CN"/>
              </w:rPr>
              <w:t>项目最高限价为：</w:t>
            </w:r>
          </w:p>
          <w:p w14:paraId="2AF28BCF">
            <w:pPr>
              <w:pageBreakBefore w:val="0"/>
              <w:numPr>
                <w:ilvl w:val="0"/>
                <w:numId w:val="0"/>
              </w:numPr>
              <w:kinsoku/>
              <w:overflowPunct/>
              <w:bidi w:val="0"/>
              <w:spacing w:line="5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玖拾玖万柒仟壹佰陆拾元整（￥997160.00元）</w:t>
            </w:r>
          </w:p>
          <w:p w14:paraId="548361AD">
            <w:pPr>
              <w:pageBreakBefore w:val="0"/>
              <w:kinsoku/>
              <w:overflowPunct/>
              <w:bidi w:val="0"/>
              <w:spacing w:line="500" w:lineRule="exact"/>
              <w:rPr>
                <w:rFonts w:ascii="宋体" w:hAnsi="宋体" w:cs="宋体"/>
                <w:color w:val="auto"/>
                <w:szCs w:val="21"/>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最高限价</w:t>
            </w:r>
            <w:r>
              <w:rPr>
                <w:rFonts w:hint="eastAsia" w:ascii="宋体" w:hAnsi="宋体" w:cs="宋体"/>
                <w:color w:val="auto"/>
                <w:sz w:val="24"/>
                <w:highlight w:val="none"/>
              </w:rPr>
              <w:t>是采购人控制采购项目的最高限价，供应商的磋商报价高于</w:t>
            </w:r>
            <w:r>
              <w:rPr>
                <w:rFonts w:hint="eastAsia" w:ascii="宋体" w:hAnsi="宋体" w:cs="宋体"/>
                <w:color w:val="auto"/>
                <w:sz w:val="24"/>
                <w:highlight w:val="none"/>
                <w:lang w:eastAsia="zh-CN"/>
              </w:rPr>
              <w:t>最高限价</w:t>
            </w:r>
            <w:r>
              <w:rPr>
                <w:rFonts w:hint="eastAsia" w:ascii="宋体" w:hAnsi="宋体" w:cs="宋体"/>
                <w:color w:val="auto"/>
                <w:sz w:val="24"/>
                <w:highlight w:val="none"/>
              </w:rPr>
              <w:t>的视为无效报价，其</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予以拒绝。</w:t>
            </w:r>
          </w:p>
        </w:tc>
      </w:tr>
      <w:tr w14:paraId="5C7D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67E70B8">
            <w:pPr>
              <w:pageBreakBefore w:val="0"/>
              <w:kinsoku/>
              <w:overflowPunct/>
              <w:bidi w:val="0"/>
              <w:spacing w:before="120" w:after="120" w:line="5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w:t>
            </w:r>
          </w:p>
        </w:tc>
        <w:tc>
          <w:tcPr>
            <w:tcW w:w="1988" w:type="dxa"/>
            <w:tcBorders>
              <w:top w:val="single" w:color="auto" w:sz="4" w:space="0"/>
              <w:left w:val="nil"/>
              <w:bottom w:val="single" w:color="auto" w:sz="4" w:space="0"/>
              <w:right w:val="single" w:color="auto" w:sz="4" w:space="0"/>
            </w:tcBorders>
            <w:vAlign w:val="center"/>
          </w:tcPr>
          <w:p w14:paraId="7EDBA7F4">
            <w:pPr>
              <w:pageBreakBefore w:val="0"/>
              <w:kinsoku/>
              <w:overflowPunct/>
              <w:bidi w:val="0"/>
              <w:spacing w:line="500" w:lineRule="exact"/>
              <w:ind w:right="105" w:rightChars="50"/>
              <w:jc w:val="center"/>
              <w:rPr>
                <w:rFonts w:hint="eastAsia" w:ascii="宋体" w:hAnsi="宋体" w:eastAsia="宋体" w:cs="宋体"/>
                <w:color w:val="auto"/>
                <w:sz w:val="24"/>
                <w:highlight w:val="none"/>
                <w:lang w:eastAsia="zh-CN"/>
              </w:rPr>
            </w:pPr>
            <w:r>
              <w:rPr>
                <w:rFonts w:hint="eastAsia" w:ascii="宋体" w:hAnsi="宋体" w:cs="_5b8b_4f53"/>
                <w:color w:val="auto"/>
                <w:sz w:val="24"/>
                <w:highlight w:val="none"/>
              </w:rPr>
              <w:t>付款方式</w:t>
            </w:r>
          </w:p>
        </w:tc>
        <w:tc>
          <w:tcPr>
            <w:tcW w:w="6653" w:type="dxa"/>
            <w:tcBorders>
              <w:top w:val="single" w:color="auto" w:sz="4" w:space="0"/>
              <w:left w:val="nil"/>
              <w:bottom w:val="single" w:color="auto" w:sz="4" w:space="0"/>
              <w:right w:val="single" w:color="auto" w:sz="4" w:space="0"/>
            </w:tcBorders>
            <w:vAlign w:val="center"/>
          </w:tcPr>
          <w:p w14:paraId="7C9DBE91">
            <w:pPr>
              <w:pageBreakBefore w:val="0"/>
              <w:kinsoku/>
              <w:overflowPunct/>
              <w:bidi w:val="0"/>
              <w:spacing w:line="500" w:lineRule="exact"/>
              <w:ind w:right="105" w:rightChars="50"/>
              <w:rPr>
                <w:rFonts w:hint="eastAsia" w:ascii="宋体" w:hAnsi="宋体" w:eastAsia="宋体" w:cs="宋体"/>
                <w:color w:val="auto"/>
                <w:sz w:val="24"/>
                <w:highlight w:val="none"/>
                <w:lang w:eastAsia="zh-CN"/>
              </w:rPr>
            </w:pPr>
            <w:r>
              <w:rPr>
                <w:rFonts w:hint="eastAsia" w:ascii="宋体" w:hAnsi="宋体" w:cs="_5b8b_4f53"/>
                <w:color w:val="auto"/>
                <w:sz w:val="24"/>
                <w:highlight w:val="none"/>
              </w:rPr>
              <w:t>签订合同时，双方协商。</w:t>
            </w:r>
          </w:p>
        </w:tc>
      </w:tr>
      <w:tr w14:paraId="5E7A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9D7AF1A">
            <w:pPr>
              <w:pageBreakBefore w:val="0"/>
              <w:kinsoku/>
              <w:overflowPunct/>
              <w:bidi w:val="0"/>
              <w:spacing w:before="120" w:after="120" w:line="5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36</w:t>
            </w:r>
          </w:p>
        </w:tc>
        <w:tc>
          <w:tcPr>
            <w:tcW w:w="1988" w:type="dxa"/>
            <w:tcBorders>
              <w:top w:val="single" w:color="auto" w:sz="4" w:space="0"/>
              <w:left w:val="nil"/>
              <w:bottom w:val="single" w:color="auto" w:sz="4" w:space="0"/>
              <w:right w:val="single" w:color="auto" w:sz="4" w:space="0"/>
            </w:tcBorders>
            <w:vAlign w:val="center"/>
          </w:tcPr>
          <w:p w14:paraId="182B75FD">
            <w:pPr>
              <w:pageBreakBefore w:val="0"/>
              <w:kinsoku/>
              <w:overflowPunct/>
              <w:bidi w:val="0"/>
              <w:spacing w:line="500" w:lineRule="exact"/>
              <w:jc w:val="center"/>
              <w:rPr>
                <w:rFonts w:hint="eastAsia" w:ascii="宋体" w:hAnsi="宋体" w:cs="宋体"/>
                <w:color w:val="auto"/>
                <w:sz w:val="24"/>
                <w:highlight w:val="none"/>
                <w:lang w:eastAsia="zh-CN"/>
              </w:rPr>
            </w:pPr>
            <w:r>
              <w:rPr>
                <w:rFonts w:hint="eastAsia"/>
                <w:color w:val="auto"/>
                <w:sz w:val="24"/>
                <w:szCs w:val="24"/>
                <w:highlight w:val="none"/>
              </w:rPr>
              <w:t>履约保证金</w:t>
            </w:r>
          </w:p>
        </w:tc>
        <w:tc>
          <w:tcPr>
            <w:tcW w:w="6653" w:type="dxa"/>
            <w:tcBorders>
              <w:top w:val="single" w:color="auto" w:sz="4" w:space="0"/>
              <w:left w:val="nil"/>
              <w:bottom w:val="single" w:color="auto" w:sz="4" w:space="0"/>
              <w:right w:val="single" w:color="auto" w:sz="4" w:space="0"/>
            </w:tcBorders>
            <w:vAlign w:val="center"/>
          </w:tcPr>
          <w:p w14:paraId="07A5914A">
            <w:pPr>
              <w:pageBreakBefore w:val="0"/>
              <w:kinsoku/>
              <w:overflowPunct/>
              <w:bidi w:val="0"/>
              <w:spacing w:line="5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根据三门峡市财政局三财购【</w:t>
            </w:r>
            <w:r>
              <w:rPr>
                <w:rFonts w:hint="eastAsia" w:ascii="宋体" w:hAnsi="宋体" w:cs="宋体"/>
                <w:color w:val="auto"/>
                <w:sz w:val="24"/>
                <w:highlight w:val="none"/>
                <w:lang w:val="en-US" w:eastAsia="zh-CN"/>
              </w:rPr>
              <w:t>2021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14号文的规定，</w:t>
            </w:r>
            <w:r>
              <w:rPr>
                <w:rFonts w:hint="eastAsia" w:ascii="宋体" w:hAnsi="宋体" w:cs="宋体"/>
                <w:color w:val="auto"/>
                <w:sz w:val="24"/>
                <w:highlight w:val="none"/>
                <w:lang w:eastAsia="zh-CN"/>
              </w:rPr>
              <w:t>本项目不收取履约保证金。</w:t>
            </w:r>
          </w:p>
        </w:tc>
      </w:tr>
      <w:tr w14:paraId="6EE6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0590E6E">
            <w:pPr>
              <w:pageBreakBefore w:val="0"/>
              <w:kinsoku/>
              <w:overflowPunct/>
              <w:bidi w:val="0"/>
              <w:spacing w:before="120" w:after="120" w:line="5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1988" w:type="dxa"/>
            <w:tcBorders>
              <w:top w:val="single" w:color="auto" w:sz="4" w:space="0"/>
              <w:left w:val="nil"/>
              <w:bottom w:val="single" w:color="auto" w:sz="4" w:space="0"/>
              <w:right w:val="single" w:color="auto" w:sz="4" w:space="0"/>
            </w:tcBorders>
            <w:vAlign w:val="center"/>
          </w:tcPr>
          <w:p w14:paraId="3E575FFD">
            <w:pPr>
              <w:spacing w:line="360" w:lineRule="auto"/>
              <w:jc w:val="center"/>
              <w:rPr>
                <w:rFonts w:hint="eastAsia"/>
                <w:color w:val="auto"/>
                <w:sz w:val="24"/>
                <w:szCs w:val="24"/>
                <w:highlight w:val="none"/>
              </w:rPr>
            </w:pPr>
            <w:r>
              <w:rPr>
                <w:rFonts w:hint="eastAsia"/>
                <w:color w:val="auto"/>
                <w:sz w:val="24"/>
                <w:szCs w:val="24"/>
                <w:highlight w:val="none"/>
              </w:rPr>
              <w:t>专门面向中小企业采购</w:t>
            </w:r>
          </w:p>
        </w:tc>
        <w:tc>
          <w:tcPr>
            <w:tcW w:w="6653" w:type="dxa"/>
            <w:tcBorders>
              <w:top w:val="single" w:color="auto" w:sz="4" w:space="0"/>
              <w:left w:val="nil"/>
              <w:bottom w:val="single" w:color="auto" w:sz="4" w:space="0"/>
              <w:right w:val="single" w:color="auto" w:sz="4" w:space="0"/>
            </w:tcBorders>
            <w:vAlign w:val="center"/>
          </w:tcPr>
          <w:p w14:paraId="3A890B68">
            <w:pPr>
              <w:spacing w:line="360" w:lineRule="auto"/>
              <w:rPr>
                <w:rFonts w:hint="eastAsia"/>
                <w:color w:val="auto"/>
                <w:sz w:val="24"/>
                <w:szCs w:val="24"/>
                <w:highlight w:val="none"/>
              </w:rPr>
            </w:pPr>
            <w:r>
              <w:rPr>
                <w:rFonts w:hint="eastAsia"/>
                <w:color w:val="auto"/>
                <w:sz w:val="24"/>
                <w:szCs w:val="24"/>
                <w:highlight w:val="none"/>
              </w:rPr>
              <w:t>本</w:t>
            </w:r>
            <w:r>
              <w:rPr>
                <w:color w:val="auto"/>
                <w:sz w:val="24"/>
                <w:szCs w:val="24"/>
                <w:highlight w:val="none"/>
              </w:rPr>
              <w:t>项目</w:t>
            </w:r>
            <w:r>
              <w:rPr>
                <w:rFonts w:hint="eastAsia"/>
                <w:color w:val="auto"/>
                <w:sz w:val="24"/>
                <w:szCs w:val="24"/>
                <w:highlight w:val="none"/>
              </w:rPr>
              <w:t>是否</w:t>
            </w:r>
            <w:r>
              <w:rPr>
                <w:color w:val="auto"/>
                <w:sz w:val="24"/>
                <w:szCs w:val="24"/>
                <w:highlight w:val="none"/>
              </w:rPr>
              <w:t>专门面向中小企业采购</w:t>
            </w:r>
            <w:r>
              <w:rPr>
                <w:rFonts w:hint="eastAsia"/>
                <w:color w:val="auto"/>
                <w:sz w:val="24"/>
                <w:szCs w:val="24"/>
                <w:highlight w:val="none"/>
              </w:rPr>
              <w:t>：</w:t>
            </w:r>
          </w:p>
          <w:p w14:paraId="18D0867A">
            <w:pPr>
              <w:spacing w:line="360" w:lineRule="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是：本项目是</w:t>
            </w:r>
            <w:r>
              <w:rPr>
                <w:color w:val="auto"/>
                <w:sz w:val="24"/>
                <w:szCs w:val="24"/>
                <w:highlight w:val="none"/>
              </w:rPr>
              <w:t>专门面向中小企业采购</w:t>
            </w:r>
          </w:p>
          <w:p w14:paraId="3E00910C">
            <w:pPr>
              <w:spacing w:line="360" w:lineRule="auto"/>
              <w:rPr>
                <w:rFonts w:hint="eastAsia" w:ascii="宋体" w:hAnsi="宋体" w:cs="宋体"/>
                <w:color w:val="auto"/>
                <w:sz w:val="24"/>
                <w:highlight w:val="none"/>
                <w:lang w:eastAsia="zh-CN"/>
              </w:rPr>
            </w:pPr>
            <w:r>
              <w:rPr>
                <w:rFonts w:hint="eastAsia"/>
                <w:color w:val="auto"/>
                <w:sz w:val="24"/>
                <w:szCs w:val="24"/>
                <w:highlight w:val="none"/>
                <w:lang w:eastAsia="zh-CN"/>
              </w:rPr>
              <w:t>☑</w:t>
            </w:r>
            <w:r>
              <w:rPr>
                <w:rFonts w:hint="eastAsia"/>
                <w:color w:val="auto"/>
                <w:sz w:val="24"/>
                <w:szCs w:val="24"/>
                <w:highlight w:val="none"/>
              </w:rPr>
              <w:t>否</w:t>
            </w:r>
          </w:p>
        </w:tc>
      </w:tr>
      <w:tr w14:paraId="475A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7872A15">
            <w:pPr>
              <w:pageBreakBefore w:val="0"/>
              <w:kinsoku/>
              <w:overflowPunct/>
              <w:bidi w:val="0"/>
              <w:spacing w:before="120" w:after="120" w:line="5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988" w:type="dxa"/>
            <w:tcBorders>
              <w:top w:val="single" w:color="auto" w:sz="4" w:space="0"/>
              <w:left w:val="nil"/>
              <w:bottom w:val="single" w:color="auto" w:sz="4" w:space="0"/>
              <w:right w:val="single" w:color="auto" w:sz="4" w:space="0"/>
            </w:tcBorders>
            <w:vAlign w:val="center"/>
          </w:tcPr>
          <w:p w14:paraId="228627D4">
            <w:pPr>
              <w:spacing w:line="360" w:lineRule="auto"/>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落实的政府采购政策</w:t>
            </w:r>
          </w:p>
        </w:tc>
        <w:tc>
          <w:tcPr>
            <w:tcW w:w="6653" w:type="dxa"/>
            <w:tcBorders>
              <w:top w:val="single" w:color="auto" w:sz="4" w:space="0"/>
              <w:left w:val="nil"/>
              <w:bottom w:val="single" w:color="auto" w:sz="4" w:space="0"/>
              <w:right w:val="single" w:color="auto" w:sz="4" w:space="0"/>
            </w:tcBorders>
            <w:vAlign w:val="center"/>
          </w:tcPr>
          <w:p w14:paraId="75555E2F">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中小微企业按照《政府采购促进中小企业发展管理办法》第四条规定：在政府采购活动中，供应商提供的货物、工程 或者服务符合下列情形的，享受本办法规定的中小企业扶持政策：</w:t>
            </w:r>
          </w:p>
          <w:p w14:paraId="4FDDFCC6">
            <w:pPr>
              <w:widowControl/>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在货物采购项目中，供应商所提供的货物由小微企业制造（即货物由小微企业生产且使用该小微企业商号或者注册商标）的响应报价给予20%的扣除，用扣除后的价格参与评审</w:t>
            </w:r>
            <w:r>
              <w:rPr>
                <w:rFonts w:hint="eastAsia" w:ascii="宋体" w:hAnsi="宋体" w:eastAsia="宋体" w:cs="宋体"/>
                <w:sz w:val="24"/>
                <w:szCs w:val="24"/>
                <w:highlight w:val="none"/>
              </w:rPr>
              <w:t>。</w:t>
            </w:r>
            <w:r>
              <w:rPr>
                <w:rFonts w:hint="eastAsia" w:ascii="宋体" w:hAnsi="宋体" w:eastAsia="宋体" w:cs="宋体"/>
                <w:b w:val="0"/>
                <w:bCs w:val="0"/>
                <w:color w:val="000000"/>
                <w:sz w:val="24"/>
                <w:szCs w:val="24"/>
              </w:rPr>
              <w:t>本项目的扣除比例为：小型企业扣除20%，微型企业扣除20%，监狱企业扣除 20%，残疾人福利性单位扣除 20%。 监狱企业和残疾人福利性单位属于小型、微型企业的，不重复享受政策。</w:t>
            </w:r>
            <w:r>
              <w:rPr>
                <w:rFonts w:hint="eastAsia" w:ascii="宋体" w:hAnsi="宋体" w:eastAsia="宋体" w:cs="宋体"/>
                <w:sz w:val="24"/>
                <w:szCs w:val="24"/>
                <w:highlight w:val="none"/>
              </w:rPr>
              <w:t>参加投标的企业，应当按照《政府采购促进中小企业发展管理办法》（财库﹝2020﹞46号）的规定提供《中小企业声明函》（中小企业划型标准详见《关于印发中小企业划型标准规定的通知》工信部联企业〔2011〕300号）。</w:t>
            </w:r>
          </w:p>
          <w:p w14:paraId="2C8BDABD">
            <w:pPr>
              <w:widowControl/>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关于监狱企业：视同小微企业。须提供由省级以上监狱管理局、戒毒管理局（含新疆生产建设兵团）出具的属于监狱企业的证明文件；</w:t>
            </w:r>
          </w:p>
          <w:p w14:paraId="24A643A7">
            <w:pPr>
              <w:widowControl/>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val="en-US" w:eastAsia="zh-CN"/>
              </w:rPr>
              <w:t>）关于残疾人福利性单位：视同小微企业。须提供完整的“残疾人福利性单位声明函”。</w:t>
            </w:r>
          </w:p>
          <w:p w14:paraId="4E11F01E">
            <w:pPr>
              <w:spacing w:line="360" w:lineRule="auto"/>
              <w:rPr>
                <w:rFonts w:hint="eastAsia"/>
                <w:lang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tc>
      </w:tr>
      <w:tr w14:paraId="5D0F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6F11176">
            <w:pPr>
              <w:pageBreakBefore w:val="0"/>
              <w:kinsoku/>
              <w:overflowPunct/>
              <w:bidi w:val="0"/>
              <w:spacing w:before="120" w:after="120" w:line="5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39</w:t>
            </w:r>
          </w:p>
        </w:tc>
        <w:tc>
          <w:tcPr>
            <w:tcW w:w="1988" w:type="dxa"/>
            <w:tcBorders>
              <w:top w:val="single" w:color="auto" w:sz="4" w:space="0"/>
              <w:left w:val="nil"/>
              <w:bottom w:val="single" w:color="auto" w:sz="4" w:space="0"/>
              <w:right w:val="single" w:color="auto" w:sz="4" w:space="0"/>
            </w:tcBorders>
            <w:vAlign w:val="center"/>
          </w:tcPr>
          <w:p w14:paraId="4EDF01BC">
            <w:pPr>
              <w:spacing w:line="360" w:lineRule="auto"/>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标的所属行业</w:t>
            </w:r>
          </w:p>
        </w:tc>
        <w:tc>
          <w:tcPr>
            <w:tcW w:w="6653" w:type="dxa"/>
            <w:tcBorders>
              <w:top w:val="single" w:color="auto" w:sz="4" w:space="0"/>
              <w:left w:val="nil"/>
              <w:bottom w:val="single" w:color="auto" w:sz="4" w:space="0"/>
              <w:right w:val="single" w:color="auto" w:sz="4" w:space="0"/>
            </w:tcBorders>
            <w:vAlign w:val="center"/>
          </w:tcPr>
          <w:p w14:paraId="5AFD97E4">
            <w:pPr>
              <w:spacing w:line="360" w:lineRule="auto"/>
              <w:jc w:val="center"/>
              <w:rPr>
                <w:rFonts w:hint="eastAsia" w:eastAsia="宋体" w:cs="Times New Roman"/>
                <w:color w:val="auto"/>
                <w:sz w:val="24"/>
                <w:szCs w:val="24"/>
                <w:highlight w:val="none"/>
                <w:lang w:eastAsia="zh-CN"/>
              </w:rPr>
            </w:pPr>
            <w:r>
              <w:rPr>
                <w:rFonts w:hint="eastAsia" w:eastAsia="宋体" w:cs="Times New Roman"/>
                <w:color w:val="auto"/>
                <w:sz w:val="24"/>
                <w:szCs w:val="24"/>
                <w:highlight w:val="none"/>
              </w:rPr>
              <w:t>本项目采购标的对应的中小企业划分标准所属行业：</w:t>
            </w:r>
            <w:r>
              <w:rPr>
                <w:rFonts w:hint="eastAsia" w:eastAsia="宋体" w:cs="Times New Roman"/>
                <w:color w:val="auto"/>
                <w:sz w:val="24"/>
                <w:szCs w:val="24"/>
                <w:highlight w:val="none"/>
                <w:lang w:eastAsia="zh-CN"/>
              </w:rPr>
              <w:t>工业</w:t>
            </w:r>
          </w:p>
        </w:tc>
      </w:tr>
      <w:tr w14:paraId="4538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CC5A82B">
            <w:pPr>
              <w:pageBreakBefore w:val="0"/>
              <w:kinsoku/>
              <w:overflowPunct/>
              <w:bidi w:val="0"/>
              <w:spacing w:before="120" w:after="120" w:line="5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40</w:t>
            </w:r>
          </w:p>
        </w:tc>
        <w:tc>
          <w:tcPr>
            <w:tcW w:w="1988" w:type="dxa"/>
            <w:tcBorders>
              <w:top w:val="single" w:color="auto" w:sz="4" w:space="0"/>
              <w:left w:val="nil"/>
              <w:bottom w:val="single" w:color="auto" w:sz="4" w:space="0"/>
              <w:right w:val="single" w:color="auto" w:sz="4" w:space="0"/>
            </w:tcBorders>
            <w:vAlign w:val="center"/>
          </w:tcPr>
          <w:p w14:paraId="47315C5F">
            <w:pPr>
              <w:spacing w:line="360" w:lineRule="auto"/>
              <w:jc w:val="center"/>
              <w:rPr>
                <w:rFonts w:hint="eastAsia"/>
                <w:color w:val="auto"/>
                <w:sz w:val="24"/>
                <w:szCs w:val="24"/>
                <w:highlight w:val="none"/>
              </w:rPr>
            </w:pPr>
            <w:r>
              <w:rPr>
                <w:rFonts w:hint="eastAsia"/>
                <w:color w:val="auto"/>
                <w:sz w:val="24"/>
                <w:szCs w:val="24"/>
                <w:highlight w:val="none"/>
              </w:rPr>
              <w:t>相同品牌产品的处理</w:t>
            </w:r>
          </w:p>
        </w:tc>
        <w:tc>
          <w:tcPr>
            <w:tcW w:w="6653" w:type="dxa"/>
            <w:tcBorders>
              <w:top w:val="single" w:color="auto" w:sz="4" w:space="0"/>
              <w:left w:val="nil"/>
              <w:bottom w:val="single" w:color="auto" w:sz="4" w:space="0"/>
              <w:right w:val="single" w:color="auto" w:sz="4" w:space="0"/>
            </w:tcBorders>
            <w:vAlign w:val="center"/>
          </w:tcPr>
          <w:p w14:paraId="420163DF">
            <w:pPr>
              <w:pageBreakBefore w:val="0"/>
              <w:numPr>
                <w:ilvl w:val="0"/>
                <w:numId w:val="4"/>
              </w:numPr>
              <w:kinsoku/>
              <w:wordWrap/>
              <w:overflowPunct/>
              <w:topLinePunct w:val="0"/>
              <w:autoSpaceDE/>
              <w:autoSpaceDN/>
              <w:bidi w:val="0"/>
              <w:adjustRightInd/>
              <w:snapToGrid/>
              <w:spacing w:line="500" w:lineRule="exac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单一产品采购项目，提供相同品牌产品且通过资格审查、符合性审查的不同供应商参加同一 合同项下投标的，按一家供应商计算，评审后得分最高的同品牌供应商获得中标人推荐资格；评审得 分相同的，投标报价低的供应商获得中标人推荐资格；投标报价也相同的，采取随机抽取方式确定一家供应商获得中标人推荐资格，其他同品牌供应商不作为中标候选人。</w:t>
            </w:r>
          </w:p>
          <w:p w14:paraId="71BAC46B">
            <w:pPr>
              <w:pageBreakBefore w:val="0"/>
              <w:numPr>
                <w:ilvl w:val="0"/>
                <w:numId w:val="0"/>
              </w:numPr>
              <w:kinsoku/>
              <w:wordWrap/>
              <w:overflowPunct/>
              <w:topLinePunct w:val="0"/>
              <w:autoSpaceDE/>
              <w:autoSpaceDN/>
              <w:bidi w:val="0"/>
              <w:adjustRightInd/>
              <w:snapToGrid/>
              <w:spacing w:line="500" w:lineRule="exact"/>
              <w:textAlignment w:val="auto"/>
              <w:rPr>
                <w:rFonts w:hint="eastAsia"/>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非单一产品采购项目，采购人将根据采购项目技术构成、产品价格比重等合理确定核心产品。多家供应商提供的核心产品品牌相同，且通过资格审查、符合性审查的不同供应商参加同一合同项下投标的，按一家供应商计算，评审后得分最高的同品牌供应商获得中标人推荐资格；评审得分相同的，投标报价低的供应商获得中标人推荐资格；投标报价也相同的，采取随机抽取方式确定一家供应商获得中标人推荐资格，其他同品牌供应商不作为中标候选人。</w:t>
            </w:r>
          </w:p>
        </w:tc>
      </w:tr>
      <w:tr w14:paraId="0E39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712AC06">
            <w:pPr>
              <w:pageBreakBefore w:val="0"/>
              <w:kinsoku/>
              <w:overflowPunct/>
              <w:bidi w:val="0"/>
              <w:spacing w:before="120" w:after="120" w:line="5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41</w:t>
            </w:r>
          </w:p>
        </w:tc>
        <w:tc>
          <w:tcPr>
            <w:tcW w:w="1988" w:type="dxa"/>
            <w:tcBorders>
              <w:top w:val="single" w:color="auto" w:sz="4" w:space="0"/>
              <w:left w:val="nil"/>
              <w:bottom w:val="single" w:color="auto" w:sz="4" w:space="0"/>
              <w:right w:val="single" w:color="auto" w:sz="4" w:space="0"/>
            </w:tcBorders>
            <w:vAlign w:val="center"/>
          </w:tcPr>
          <w:p w14:paraId="7F7D1948">
            <w:pPr>
              <w:spacing w:line="360" w:lineRule="auto"/>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核心货物清单</w:t>
            </w:r>
          </w:p>
        </w:tc>
        <w:tc>
          <w:tcPr>
            <w:tcW w:w="6653" w:type="dxa"/>
            <w:tcBorders>
              <w:top w:val="single" w:color="auto" w:sz="4" w:space="0"/>
              <w:left w:val="nil"/>
              <w:bottom w:val="single" w:color="auto" w:sz="4" w:space="0"/>
              <w:right w:val="single" w:color="auto" w:sz="4" w:space="0"/>
            </w:tcBorders>
            <w:vAlign w:val="center"/>
          </w:tcPr>
          <w:p w14:paraId="53948A9A">
            <w:pPr>
              <w:pageBreakBefore w:val="0"/>
              <w:numPr>
                <w:ilvl w:val="0"/>
                <w:numId w:val="0"/>
              </w:numPr>
              <w:kinsoku/>
              <w:wordWrap/>
              <w:overflowPunct/>
              <w:topLinePunct w:val="0"/>
              <w:autoSpaceDE/>
              <w:autoSpaceDN/>
              <w:bidi w:val="0"/>
              <w:adjustRightInd/>
              <w:snapToGrid/>
              <w:spacing w:line="500" w:lineRule="exact"/>
              <w:textAlignment w:val="auto"/>
              <w:rPr>
                <w:rFonts w:hint="default"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本项目的核心产品为：制冷机组、蒸发冷凝器、冷风机、电动叉车、30吨电子磅</w:t>
            </w:r>
          </w:p>
        </w:tc>
      </w:tr>
    </w:tbl>
    <w:p w14:paraId="65DAEC7E">
      <w:pPr>
        <w:pageBreakBefore w:val="0"/>
        <w:kinsoku/>
        <w:overflowPunct/>
        <w:bidi w:val="0"/>
        <w:spacing w:line="500" w:lineRule="exact"/>
        <w:rPr>
          <w:rFonts w:hint="eastAsia"/>
          <w:highlight w:val="none"/>
        </w:rPr>
      </w:pPr>
    </w:p>
    <w:p w14:paraId="3DA255A3">
      <w:pPr>
        <w:rPr>
          <w:rFonts w:hint="eastAsia"/>
        </w:rPr>
      </w:pPr>
    </w:p>
    <w:p w14:paraId="39921E91">
      <w:pPr>
        <w:rPr>
          <w:rFonts w:hint="eastAsia"/>
        </w:rPr>
      </w:pPr>
    </w:p>
    <w:p w14:paraId="4C5699D7">
      <w:pPr>
        <w:rPr>
          <w:rFonts w:hint="eastAsia"/>
        </w:rPr>
      </w:pPr>
    </w:p>
    <w:p w14:paraId="768285C1">
      <w:pPr>
        <w:rPr>
          <w:rFonts w:hint="eastAsia"/>
        </w:rPr>
      </w:pPr>
    </w:p>
    <w:p w14:paraId="7B63886A">
      <w:pPr>
        <w:rPr>
          <w:rFonts w:hint="eastAsia"/>
        </w:rPr>
      </w:pPr>
    </w:p>
    <w:p w14:paraId="03287473">
      <w:pPr>
        <w:rPr>
          <w:rFonts w:hint="eastAsia"/>
        </w:rPr>
      </w:pPr>
    </w:p>
    <w:p w14:paraId="5ECA12FD">
      <w:pPr>
        <w:rPr>
          <w:rFonts w:hint="eastAsia"/>
        </w:rPr>
      </w:pPr>
    </w:p>
    <w:p w14:paraId="42D0F9C3">
      <w:pPr>
        <w:rPr>
          <w:rFonts w:hint="eastAsia"/>
        </w:rPr>
      </w:pPr>
    </w:p>
    <w:p w14:paraId="1DC11192">
      <w:pPr>
        <w:rPr>
          <w:rFonts w:hint="eastAsia"/>
        </w:rPr>
      </w:pPr>
    </w:p>
    <w:p w14:paraId="77D8E7ED">
      <w:pPr>
        <w:rPr>
          <w:rFonts w:hint="eastAsia"/>
        </w:rPr>
      </w:pPr>
    </w:p>
    <w:p w14:paraId="5C7F991B">
      <w:pPr>
        <w:rPr>
          <w:rFonts w:hint="eastAsia"/>
        </w:rPr>
      </w:pPr>
    </w:p>
    <w:p w14:paraId="7FEFB3A8">
      <w:pPr>
        <w:rPr>
          <w:rFonts w:hint="eastAsia"/>
        </w:rPr>
      </w:pPr>
    </w:p>
    <w:p w14:paraId="4C882397">
      <w:pPr>
        <w:rPr>
          <w:rFonts w:hint="eastAsia"/>
        </w:rPr>
      </w:pPr>
    </w:p>
    <w:p w14:paraId="15F81E0A">
      <w:pPr>
        <w:rPr>
          <w:rFonts w:hint="eastAsia"/>
        </w:rPr>
      </w:pPr>
    </w:p>
    <w:p w14:paraId="047E5BA8">
      <w:pPr>
        <w:rPr>
          <w:rFonts w:hint="eastAsia"/>
        </w:rPr>
      </w:pPr>
    </w:p>
    <w:p w14:paraId="0B38C5E8">
      <w:pPr>
        <w:rPr>
          <w:rFonts w:hint="eastAsia"/>
        </w:rPr>
      </w:pPr>
    </w:p>
    <w:p w14:paraId="56381E63">
      <w:pPr>
        <w:rPr>
          <w:rFonts w:hint="eastAsia"/>
        </w:rPr>
      </w:pPr>
    </w:p>
    <w:p w14:paraId="5133C095">
      <w:pPr>
        <w:rPr>
          <w:rFonts w:hint="eastAsia"/>
        </w:rPr>
      </w:pPr>
    </w:p>
    <w:p w14:paraId="2F6F4A45">
      <w:pPr>
        <w:rPr>
          <w:rFonts w:hint="eastAsia"/>
        </w:rPr>
      </w:pPr>
    </w:p>
    <w:p w14:paraId="0CC230DD">
      <w:pPr>
        <w:rPr>
          <w:rFonts w:hint="eastAsia"/>
        </w:rPr>
      </w:pPr>
    </w:p>
    <w:p w14:paraId="174AA64C">
      <w:pPr>
        <w:rPr>
          <w:rFonts w:hint="eastAsia"/>
        </w:rPr>
      </w:pPr>
    </w:p>
    <w:p w14:paraId="1F01C942">
      <w:pPr>
        <w:rPr>
          <w:rFonts w:hint="eastAsia"/>
        </w:rPr>
      </w:pPr>
    </w:p>
    <w:p w14:paraId="6A4E1ED5">
      <w:pPr>
        <w:rPr>
          <w:rFonts w:hint="eastAsia"/>
        </w:rPr>
      </w:pPr>
    </w:p>
    <w:p w14:paraId="3A3EB4ED">
      <w:pPr>
        <w:rPr>
          <w:rFonts w:hint="eastAsia"/>
        </w:rPr>
      </w:pPr>
    </w:p>
    <w:p w14:paraId="7B062912">
      <w:pPr>
        <w:rPr>
          <w:rFonts w:hint="eastAsia"/>
        </w:rPr>
      </w:pPr>
    </w:p>
    <w:p w14:paraId="43AFD270">
      <w:pPr>
        <w:rPr>
          <w:rFonts w:hint="eastAsia"/>
        </w:rPr>
      </w:pPr>
    </w:p>
    <w:p w14:paraId="68EC1848">
      <w:pPr>
        <w:rPr>
          <w:rFonts w:hint="eastAsia"/>
        </w:rPr>
      </w:pPr>
    </w:p>
    <w:p w14:paraId="72FDBA8D">
      <w:pPr>
        <w:rPr>
          <w:rFonts w:hint="eastAsia"/>
        </w:rPr>
      </w:pPr>
    </w:p>
    <w:p w14:paraId="6E48CEA4">
      <w:pPr>
        <w:rPr>
          <w:rFonts w:hint="eastAsia"/>
        </w:rPr>
      </w:pPr>
    </w:p>
    <w:p w14:paraId="622BAC2A">
      <w:pPr>
        <w:rPr>
          <w:rFonts w:hint="eastAsia"/>
        </w:rPr>
      </w:pPr>
    </w:p>
    <w:p w14:paraId="1240C4E4">
      <w:pPr>
        <w:rPr>
          <w:rFonts w:hint="eastAsia"/>
        </w:rPr>
      </w:pPr>
    </w:p>
    <w:p w14:paraId="5BC4AA30">
      <w:pPr>
        <w:pStyle w:val="3"/>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highlight w:val="none"/>
        </w:rPr>
      </w:pPr>
      <w:bookmarkStart w:id="39" w:name="_Toc521997940"/>
      <w:bookmarkStart w:id="40" w:name="_Toc12094"/>
      <w:r>
        <w:rPr>
          <w:rFonts w:hint="eastAsia" w:ascii="宋体" w:hAnsi="宋体" w:eastAsia="宋体" w:cs="宋体"/>
          <w:sz w:val="24"/>
          <w:szCs w:val="24"/>
          <w:highlight w:val="none"/>
        </w:rPr>
        <w:t>一、适用范围</w:t>
      </w:r>
    </w:p>
    <w:p w14:paraId="2FBDAF4C">
      <w:pPr>
        <w:pStyle w:val="56"/>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本竞争性磋商文件仅适用于本次竞争性磋商公告中所叙述的项目。通过竞争性磋商方式择优选择一家成交人。</w:t>
      </w:r>
    </w:p>
    <w:p w14:paraId="2687A622">
      <w:pPr>
        <w:pStyle w:val="3"/>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highlight w:val="none"/>
        </w:rPr>
      </w:pPr>
      <w:bookmarkStart w:id="41" w:name="_Toc183264285"/>
      <w:bookmarkStart w:id="42" w:name="_Toc359865654"/>
      <w:r>
        <w:rPr>
          <w:rFonts w:hint="eastAsia" w:ascii="宋体" w:hAnsi="宋体" w:eastAsia="宋体" w:cs="宋体"/>
          <w:sz w:val="24"/>
          <w:szCs w:val="24"/>
          <w:highlight w:val="none"/>
        </w:rPr>
        <w:t>二、定义</w:t>
      </w:r>
      <w:bookmarkEnd w:id="41"/>
      <w:bookmarkEnd w:id="42"/>
    </w:p>
    <w:p w14:paraId="2A40727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bookmarkStart w:id="43" w:name="_Toc183264286"/>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”系指</w:t>
      </w:r>
      <w:r>
        <w:rPr>
          <w:rFonts w:hint="eastAsia" w:ascii="宋体" w:hAnsi="宋体" w:cs="宋体"/>
          <w:color w:val="auto"/>
          <w:sz w:val="24"/>
          <w:szCs w:val="24"/>
          <w:highlight w:val="none"/>
          <w:lang w:eastAsia="zh-CN"/>
        </w:rPr>
        <w:t>三门峡市陕州区菜园乡人民政府</w:t>
      </w:r>
      <w:r>
        <w:rPr>
          <w:rFonts w:hint="eastAsia" w:ascii="宋体" w:hAnsi="宋体" w:eastAsia="宋体" w:cs="宋体"/>
          <w:color w:val="auto"/>
          <w:sz w:val="24"/>
          <w:szCs w:val="24"/>
          <w:highlight w:val="none"/>
        </w:rPr>
        <w:t>。</w:t>
      </w:r>
    </w:p>
    <w:p w14:paraId="3218BE9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eastAsia="宋体" w:cs="宋体"/>
          <w:color w:val="auto"/>
          <w:sz w:val="24"/>
          <w:szCs w:val="24"/>
          <w:highlight w:val="none"/>
          <w:lang w:eastAsia="zh-CN"/>
        </w:rPr>
        <w:t>河南锦霖工程管理有限公司</w:t>
      </w:r>
      <w:r>
        <w:rPr>
          <w:rFonts w:hint="eastAsia" w:ascii="宋体" w:hAnsi="宋体" w:eastAsia="宋体" w:cs="宋体"/>
          <w:color w:val="auto"/>
          <w:sz w:val="24"/>
          <w:szCs w:val="24"/>
          <w:highlight w:val="none"/>
        </w:rPr>
        <w:t>。</w:t>
      </w:r>
    </w:p>
    <w:p w14:paraId="4FC8EF5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”系指响应磋商并进行报价竞争的单位。</w:t>
      </w:r>
    </w:p>
    <w:p w14:paraId="78C523B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4.“成交人”系指由磋商小组评审确定的取得与采购人签订合同资格的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5BDFE4C1">
      <w:pPr>
        <w:pStyle w:val="3"/>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highlight w:val="none"/>
        </w:rPr>
      </w:pPr>
      <w:bookmarkStart w:id="44" w:name="_Toc359865655"/>
      <w:r>
        <w:rPr>
          <w:rFonts w:hint="eastAsia" w:ascii="宋体" w:hAnsi="宋体" w:eastAsia="宋体" w:cs="宋体"/>
          <w:sz w:val="24"/>
          <w:szCs w:val="24"/>
          <w:highlight w:val="none"/>
        </w:rPr>
        <w:t>三、踏勘现场</w:t>
      </w:r>
      <w:bookmarkEnd w:id="44"/>
    </w:p>
    <w:p w14:paraId="519AA164">
      <w:pPr>
        <w:pStyle w:val="57"/>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color w:val="auto"/>
          <w:spacing w:val="6"/>
          <w:kern w:val="0"/>
          <w:sz w:val="24"/>
          <w:szCs w:val="24"/>
          <w:highlight w:val="none"/>
        </w:rPr>
        <w:t>1.不组织踏勘现场</w:t>
      </w:r>
    </w:p>
    <w:p w14:paraId="1A846154">
      <w:pPr>
        <w:pStyle w:val="56"/>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自行对本项目的现状及周围环境进行踏勘和审阅，踏勘现场所需车辆及相关费用自理。</w:t>
      </w:r>
    </w:p>
    <w:p w14:paraId="227AF7FB">
      <w:pPr>
        <w:pStyle w:val="3"/>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highlight w:val="none"/>
        </w:rPr>
      </w:pPr>
      <w:bookmarkStart w:id="45" w:name="_Toc359865656"/>
      <w:r>
        <w:rPr>
          <w:rFonts w:hint="eastAsia" w:ascii="宋体" w:hAnsi="宋体" w:eastAsia="宋体" w:cs="宋体"/>
          <w:sz w:val="24"/>
          <w:szCs w:val="24"/>
          <w:highlight w:val="none"/>
        </w:rPr>
        <w:t>四、竞争性磋商文件说明</w:t>
      </w:r>
      <w:bookmarkEnd w:id="43"/>
      <w:bookmarkEnd w:id="45"/>
    </w:p>
    <w:p w14:paraId="28A3C3EA">
      <w:pPr>
        <w:pStyle w:val="57"/>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（一）竞争性磋商文件的组成</w:t>
      </w:r>
    </w:p>
    <w:p w14:paraId="290FF6C0">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eastAsia="zh-CN"/>
        </w:rPr>
        <w:t>竞争性磋商</w:t>
      </w:r>
      <w:r>
        <w:rPr>
          <w:rFonts w:hint="eastAsia" w:ascii="宋体" w:hAnsi="宋体" w:eastAsia="宋体" w:cs="宋体"/>
          <w:color w:val="auto"/>
          <w:spacing w:val="6"/>
          <w:sz w:val="24"/>
          <w:szCs w:val="24"/>
          <w:highlight w:val="none"/>
        </w:rPr>
        <w:t>公告；</w:t>
      </w:r>
    </w:p>
    <w:p w14:paraId="360F40B0">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（2）供应商须知；</w:t>
      </w:r>
    </w:p>
    <w:p w14:paraId="2CB3BA35">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（3）采购</w:t>
      </w:r>
      <w:r>
        <w:rPr>
          <w:rFonts w:hint="eastAsia" w:ascii="宋体" w:hAnsi="宋体" w:eastAsia="宋体" w:cs="宋体"/>
          <w:color w:val="auto"/>
          <w:spacing w:val="6"/>
          <w:sz w:val="24"/>
          <w:szCs w:val="24"/>
          <w:highlight w:val="none"/>
          <w:lang w:eastAsia="zh-CN"/>
        </w:rPr>
        <w:t>清单</w:t>
      </w:r>
      <w:r>
        <w:rPr>
          <w:rFonts w:hint="eastAsia" w:ascii="宋体" w:hAnsi="宋体" w:eastAsia="宋体" w:cs="宋体"/>
          <w:color w:val="auto"/>
          <w:spacing w:val="6"/>
          <w:sz w:val="24"/>
          <w:szCs w:val="24"/>
          <w:highlight w:val="none"/>
        </w:rPr>
        <w:t>；</w:t>
      </w:r>
    </w:p>
    <w:p w14:paraId="6B66E011">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6"/>
          <w:sz w:val="24"/>
          <w:szCs w:val="24"/>
          <w:highlight w:val="none"/>
          <w:lang w:eastAsia="zh-CN"/>
        </w:rPr>
        <w:t>评审</w:t>
      </w:r>
      <w:r>
        <w:rPr>
          <w:rFonts w:hint="eastAsia" w:ascii="宋体" w:hAnsi="宋体" w:eastAsia="宋体" w:cs="宋体"/>
          <w:color w:val="auto"/>
          <w:spacing w:val="6"/>
          <w:sz w:val="24"/>
          <w:szCs w:val="24"/>
          <w:highlight w:val="none"/>
        </w:rPr>
        <w:t>办法（综合评分法）；</w:t>
      </w:r>
    </w:p>
    <w:p w14:paraId="6AA850C1">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（5）合同条款及格式；</w:t>
      </w:r>
    </w:p>
    <w:p w14:paraId="75F2734C">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（6）响应文件格式；</w:t>
      </w:r>
    </w:p>
    <w:p w14:paraId="4566023F">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（二）竞争性磋商文件的修改</w:t>
      </w:r>
    </w:p>
    <w:p w14:paraId="240224AE">
      <w:pPr>
        <w:pageBreakBefore w:val="0"/>
        <w:widowControl w:val="0"/>
        <w:kinsoku/>
        <w:wordWrap/>
        <w:overflowPunct/>
        <w:topLinePunct w:val="0"/>
        <w:autoSpaceDE/>
        <w:autoSpaceDN/>
        <w:bidi w:val="0"/>
        <w:adjustRightInd/>
        <w:snapToGrid/>
        <w:spacing w:line="500" w:lineRule="exact"/>
        <w:ind w:right="120" w:firstLine="480" w:firstLineChars="200"/>
        <w:jc w:val="both"/>
        <w:textAlignment w:val="auto"/>
        <w:rPr>
          <w:rFonts w:hint="eastAsia" w:ascii="宋体" w:hAnsi="宋体" w:eastAsia="宋体" w:cs="宋体"/>
          <w:color w:val="auto"/>
          <w:sz w:val="24"/>
          <w:szCs w:val="24"/>
          <w:highlight w:val="none"/>
        </w:rPr>
      </w:pPr>
      <w:bookmarkStart w:id="46" w:name="_Toc183264287"/>
      <w:bookmarkStart w:id="47" w:name="_Toc359865657"/>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、代理机构或者磋商小组可以对已发出的磋商文件进行必要的澄清或者修改，澄清或者修改的内容作为磋商文件的组成部分，澄清或者修改的内容可能影响响应文件编制的，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、代理机构应当在提交首次响应文件截止时间至少5日前，以书面形式通知所有获取磋商文件的磋商供应商；不足5日的，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、代理机构应当顺延提交首次响应文件截止时间。</w:t>
      </w:r>
    </w:p>
    <w:p w14:paraId="4261A59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2.在磋商过程中，磋商小组可以根据磋商文件和磋商情况实质性变动技术标准和要求以及合同草案条款，但不得变动磋商文件中的其他内容。实质性变动的内容，须经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代表确认。对磋商文件作出的实质性变动是磋商文件的有效组成部分，磋商小组应当及时以书面形式同时通知所有参加磋商的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应当按照磋商文件的变动情况和磋商小组的要求重新提交响应文件，并由法定代表人或授权代表签字或者加盖公章。由授权代表签字的，应当附法定代表人授权书。</w:t>
      </w:r>
    </w:p>
    <w:p w14:paraId="367AC898">
      <w:pPr>
        <w:pageBreakBefore w:val="0"/>
        <w:widowControl w:val="0"/>
        <w:kinsoku/>
        <w:wordWrap/>
        <w:overflowPunct/>
        <w:topLinePunct w:val="0"/>
        <w:autoSpaceDE/>
        <w:autoSpaceDN/>
        <w:bidi w:val="0"/>
        <w:adjustRightInd/>
        <w:snapToGrid/>
        <w:spacing w:line="500" w:lineRule="exact"/>
        <w:ind w:right="1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视项目具体情况，延长响应文件截止时间和开启时间，但至少应当在竞争性磋商文件要求提交响应文件截止时间三日前，将变更时间书面通知所有竞争性磋商文件收受人，并在财政部门指定的政府采购信息发布媒体上发布变更公告。</w:t>
      </w:r>
    </w:p>
    <w:p w14:paraId="70D0BF58">
      <w:pPr>
        <w:pStyle w:val="3"/>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五、响应文件的编</w:t>
      </w:r>
      <w:bookmarkEnd w:id="46"/>
      <w:bookmarkEnd w:id="47"/>
      <w:r>
        <w:rPr>
          <w:rFonts w:hint="eastAsia" w:ascii="宋体" w:hAnsi="宋体" w:eastAsia="宋体" w:cs="宋体"/>
          <w:sz w:val="24"/>
          <w:szCs w:val="24"/>
          <w:highlight w:val="none"/>
        </w:rPr>
        <w:t>制</w:t>
      </w:r>
    </w:p>
    <w:p w14:paraId="56DCD96A">
      <w:pPr>
        <w:pStyle w:val="4"/>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响应文件的组成</w:t>
      </w:r>
    </w:p>
    <w:p w14:paraId="358C812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响应文件应包括下列内容：</w:t>
      </w:r>
    </w:p>
    <w:p w14:paraId="5399C30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函及</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函附录</w:t>
      </w:r>
    </w:p>
    <w:p w14:paraId="685B1C0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（2）技术参数一览表</w:t>
      </w:r>
    </w:p>
    <w:p w14:paraId="36FB4B7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（3）法定代表人身份证明</w:t>
      </w:r>
    </w:p>
    <w:p w14:paraId="120369F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）资格审查资料</w:t>
      </w:r>
    </w:p>
    <w:p w14:paraId="7E24073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技术方案</w:t>
      </w:r>
    </w:p>
    <w:p w14:paraId="6FC4850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）售后服务承诺</w:t>
      </w:r>
    </w:p>
    <w:p w14:paraId="1069795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中小企业声明函</w:t>
      </w:r>
    </w:p>
    <w:p w14:paraId="3CBB0BA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）其他材料</w:t>
      </w:r>
    </w:p>
    <w:p w14:paraId="0C7D1A6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供应商在</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过程中作出的符合法律法规和竞争性磋商文件规定的澄清确认，构成响应文件的组成部分。</w:t>
      </w:r>
    </w:p>
    <w:p w14:paraId="4A2B2E3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不允许联合体。</w:t>
      </w:r>
    </w:p>
    <w:p w14:paraId="2E0D9844">
      <w:pPr>
        <w:pStyle w:val="4"/>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（二）磋商报价</w:t>
      </w:r>
    </w:p>
    <w:p w14:paraId="2F3F72E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本次报价为非一次性报价，报价币种为人民币。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时首次</w:t>
      </w:r>
      <w:r>
        <w:rPr>
          <w:rFonts w:hint="eastAsia" w:ascii="宋体" w:hAnsi="宋体" w:eastAsia="宋体" w:cs="宋体"/>
          <w:sz w:val="24"/>
          <w:szCs w:val="24"/>
          <w:highlight w:val="none"/>
        </w:rPr>
        <w:t>报价超出</w:t>
      </w:r>
      <w:r>
        <w:rPr>
          <w:rFonts w:hint="eastAsia" w:ascii="宋体" w:hAnsi="宋体" w:eastAsia="宋体" w:cs="宋体"/>
          <w:sz w:val="24"/>
          <w:szCs w:val="24"/>
          <w:highlight w:val="none"/>
          <w:lang w:eastAsia="zh-CN"/>
        </w:rPr>
        <w:t>最高限价</w:t>
      </w:r>
      <w:r>
        <w:rPr>
          <w:rFonts w:hint="eastAsia" w:ascii="宋体" w:hAnsi="宋体" w:eastAsia="宋体" w:cs="宋体"/>
          <w:sz w:val="24"/>
          <w:szCs w:val="24"/>
          <w:highlight w:val="none"/>
        </w:rPr>
        <w:t>的视为无效报价。</w:t>
      </w:r>
    </w:p>
    <w:p w14:paraId="62B5337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总报价是指采购人指定地点交货的，包括基于交货发生的各种税费、运费及保险费、运杂费、安装费、检验费以及伴随的消耗材料、备品备件</w:t>
      </w:r>
      <w:r>
        <w:rPr>
          <w:rFonts w:hint="eastAsia" w:ascii="宋体" w:hAnsi="宋体" w:cs="宋体"/>
          <w:sz w:val="24"/>
          <w:szCs w:val="24"/>
          <w:highlight w:val="none"/>
          <w:lang w:val="en-US" w:eastAsia="zh-CN"/>
        </w:rPr>
        <w:t>等</w:t>
      </w:r>
      <w:r>
        <w:rPr>
          <w:rFonts w:hint="eastAsia" w:ascii="宋体" w:hAnsi="宋体" w:eastAsia="宋体" w:cs="宋体"/>
          <w:sz w:val="24"/>
          <w:szCs w:val="24"/>
          <w:highlight w:val="none"/>
        </w:rPr>
        <w:t>总报价。供应商还应按照竞争性磋商文件提供的报价明细表格式填写提供各项货物单价、小计和合计总价。</w:t>
      </w:r>
    </w:p>
    <w:p w14:paraId="3474AE3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报价应完全包括竞争性磋商文件规定的全部货物及其伴随的服务范围，不得任意分割或合并所规定的货物及其伴随的服务分项。</w:t>
      </w:r>
    </w:p>
    <w:p w14:paraId="229DEB6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供应商对每种货物只允许有一个报价，采购人和采购代理机构不接受有任何选择报价的</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w:t>
      </w:r>
    </w:p>
    <w:p w14:paraId="6350DE9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供应商不得以任何理由在磋商后对报价予以修改，报价在</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有效期内是固定的，不因任何原因而改变。任何包含价格调整要求和条件的</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，将被视为非实质性响应而予以拒绝。最低报价并不意味着一定成交。</w:t>
      </w:r>
    </w:p>
    <w:p w14:paraId="7C71D0D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本次磋商有二次报价的机会，二次报价即为最终报价，最终报价为响应文件的一部分。</w:t>
      </w:r>
    </w:p>
    <w:p w14:paraId="39D1065D">
      <w:pPr>
        <w:pStyle w:val="58"/>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lang w:eastAsia="zh-CN"/>
        </w:rPr>
        <w:t>报价错误的修正</w:t>
      </w:r>
    </w:p>
    <w:p w14:paraId="1BC4FEB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响应文件中的响应函附录与响应文件中明细表内容不一致的，以响应函附录为准。</w:t>
      </w:r>
    </w:p>
    <w:p w14:paraId="73A2B14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如果以文字表示的数据与数字表示的有差别，以文字为准。如果报价表大写金额与小写金额不一致，以大写的金额为准；最终报价时，大写金额书写错误导致无法读取报价的，按无效报价处理。</w:t>
      </w:r>
    </w:p>
    <w:p w14:paraId="2C449E2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调整后的数据对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不同意以上修正，其报价将被拒绝。</w:t>
      </w:r>
    </w:p>
    <w:p w14:paraId="02247D39">
      <w:pPr>
        <w:pStyle w:val="4"/>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（三）备选方案</w:t>
      </w:r>
    </w:p>
    <w:p w14:paraId="68D49170">
      <w:pPr>
        <w:pStyle w:val="58"/>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不允许</w:t>
      </w:r>
    </w:p>
    <w:p w14:paraId="61FDD54B">
      <w:pPr>
        <w:pStyle w:val="4"/>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（四）响应文件的编制</w:t>
      </w:r>
    </w:p>
    <w:p w14:paraId="391CCA1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响应文件应按“响应文件格式”进行编写，如有必要，可以增加附页，作为响应文件的组成部分。</w:t>
      </w:r>
    </w:p>
    <w:p w14:paraId="13E9C95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响应文件应当对竞争性磋商文件有关合同履行期限</w:t>
      </w:r>
      <w:r>
        <w:rPr>
          <w:rFonts w:hint="eastAsia" w:ascii="宋体" w:hAnsi="宋体" w:eastAsia="宋体" w:cs="宋体"/>
          <w:sz w:val="24"/>
          <w:szCs w:val="24"/>
          <w:highlight w:val="none"/>
          <w:lang w:val="en-US" w:eastAsia="zh-CN"/>
        </w:rPr>
        <w:t>/交货期</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w:t>
      </w:r>
      <w:r>
        <w:rPr>
          <w:rFonts w:hint="eastAsia" w:ascii="宋体" w:hAnsi="宋体" w:eastAsia="宋体" w:cs="宋体"/>
          <w:sz w:val="24"/>
          <w:szCs w:val="24"/>
          <w:highlight w:val="none"/>
          <w:lang w:eastAsia="zh-CN"/>
        </w:rPr>
        <w:t>质保期、</w:t>
      </w:r>
      <w:r>
        <w:rPr>
          <w:rFonts w:hint="eastAsia" w:ascii="宋体" w:hAnsi="宋体" w:eastAsia="宋体" w:cs="宋体"/>
          <w:sz w:val="24"/>
          <w:szCs w:val="24"/>
          <w:highlight w:val="none"/>
        </w:rPr>
        <w:t>采购项目需求及技术要求等实质性内容作出响应。响应文件在满足竞争性磋商文件实质性要求的基础上，可以提出比竞争性磋商文件要求更有利于采购人的承诺。</w:t>
      </w:r>
    </w:p>
    <w:p w14:paraId="596D57B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签字或盖章的具体要求见供应商须知前附表规定。</w:t>
      </w:r>
    </w:p>
    <w:p w14:paraId="0888B1F0">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kern w:val="2"/>
          <w:sz w:val="24"/>
          <w:szCs w:val="24"/>
          <w:highlight w:val="none"/>
          <w:lang w:eastAsia="zh-CN"/>
        </w:rPr>
      </w:pPr>
      <w:bookmarkStart w:id="48" w:name="_Toc183264288"/>
      <w:r>
        <w:rPr>
          <w:rFonts w:hint="eastAsia" w:ascii="宋体" w:hAnsi="宋体" w:eastAsia="宋体" w:cs="宋体"/>
          <w:b/>
          <w:kern w:val="2"/>
          <w:sz w:val="24"/>
          <w:szCs w:val="24"/>
          <w:highlight w:val="none"/>
          <w:lang w:eastAsia="zh-CN"/>
        </w:rPr>
        <w:t>四、响应文件提交</w:t>
      </w:r>
    </w:p>
    <w:p w14:paraId="5222D921">
      <w:pPr>
        <w:pStyle w:val="23"/>
        <w:pageBreakBefore w:val="0"/>
        <w:widowControl w:val="0"/>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rPr>
          <w:rFonts w:hint="eastAsia" w:ascii="宋体" w:hAnsi="宋体" w:eastAsia="宋体" w:cs="宋体"/>
          <w:b/>
          <w:sz w:val="24"/>
          <w:szCs w:val="24"/>
          <w:highlight w:val="none"/>
        </w:rPr>
      </w:pPr>
      <w:bookmarkStart w:id="49" w:name="_Toc522085761"/>
      <w:bookmarkEnd w:id="49"/>
      <w:bookmarkStart w:id="50" w:name="_Toc521997966"/>
      <w:bookmarkEnd w:id="50"/>
      <w:r>
        <w:rPr>
          <w:rFonts w:hint="eastAsia" w:ascii="宋体" w:hAnsi="宋体" w:eastAsia="宋体" w:cs="宋体"/>
          <w:b/>
          <w:kern w:val="2"/>
          <w:sz w:val="24"/>
          <w:szCs w:val="24"/>
          <w:highlight w:val="none"/>
          <w:lang w:eastAsia="zh-CN"/>
        </w:rPr>
        <w:t>（一）</w:t>
      </w:r>
      <w:r>
        <w:rPr>
          <w:rFonts w:hint="eastAsia" w:ascii="宋体" w:hAnsi="宋体" w:eastAsia="宋体" w:cs="宋体"/>
          <w:b/>
          <w:kern w:val="2"/>
          <w:sz w:val="24"/>
          <w:szCs w:val="24"/>
          <w:highlight w:val="none"/>
        </w:rPr>
        <w:t>供应商应当按照竞争性磋商文件和电子招标投标交易平台的要求加密响应文件，具体要求见供应商须知前附表。</w:t>
      </w:r>
    </w:p>
    <w:p w14:paraId="2803609B">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51" w:name="_Toc522798823"/>
      <w:bookmarkEnd w:id="51"/>
      <w:bookmarkStart w:id="52" w:name="page28"/>
      <w:bookmarkEnd w:id="52"/>
      <w:bookmarkStart w:id="53" w:name="_Toc521997968"/>
      <w:bookmarkEnd w:id="53"/>
      <w:bookmarkStart w:id="54" w:name="_Toc11886"/>
      <w:bookmarkStart w:id="55" w:name="_Toc522085763"/>
      <w:r>
        <w:rPr>
          <w:rFonts w:hint="eastAsia" w:ascii="宋体" w:hAnsi="宋体" w:eastAsia="宋体" w:cs="宋体"/>
          <w:b/>
          <w:kern w:val="2"/>
          <w:sz w:val="24"/>
          <w:szCs w:val="24"/>
          <w:highlight w:val="none"/>
          <w:lang w:eastAsia="zh-CN"/>
        </w:rPr>
        <w:t>（二）</w:t>
      </w:r>
      <w:r>
        <w:rPr>
          <w:rFonts w:hint="eastAsia" w:ascii="宋体" w:hAnsi="宋体" w:eastAsia="宋体" w:cs="宋体"/>
          <w:b/>
          <w:kern w:val="2"/>
          <w:sz w:val="24"/>
          <w:szCs w:val="24"/>
          <w:highlight w:val="none"/>
        </w:rPr>
        <w:t>响应文件的递交</w:t>
      </w:r>
      <w:bookmarkEnd w:id="54"/>
      <w:bookmarkEnd w:id="55"/>
    </w:p>
    <w:p w14:paraId="4125C54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bookmarkStart w:id="56" w:name="_Toc522798824"/>
      <w:bookmarkEnd w:id="56"/>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供应商应在供应商须知前附表规定的</w:t>
      </w:r>
      <w:r>
        <w:rPr>
          <w:rFonts w:hint="eastAsia" w:ascii="宋体" w:hAnsi="宋体" w:eastAsia="宋体" w:cs="宋体"/>
          <w:sz w:val="24"/>
          <w:szCs w:val="24"/>
          <w:highlight w:val="none"/>
          <w:lang w:eastAsia="zh-CN"/>
        </w:rPr>
        <w:t>响应文件递交</w:t>
      </w:r>
      <w:r>
        <w:rPr>
          <w:rFonts w:hint="eastAsia" w:ascii="宋体" w:hAnsi="宋体" w:eastAsia="宋体" w:cs="宋体"/>
          <w:sz w:val="24"/>
          <w:szCs w:val="24"/>
          <w:highlight w:val="none"/>
        </w:rPr>
        <w:t>截止时间前递交响应文件。</w:t>
      </w:r>
    </w:p>
    <w:p w14:paraId="39A423D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供应商通过下载竞争性磋商文件的电子招标投标交易平台递交电子响应文件。</w:t>
      </w:r>
    </w:p>
    <w:p w14:paraId="09C9D86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除供应商须知前附表另有规定外，供应商所递交的响应文件不予退还。</w:t>
      </w:r>
    </w:p>
    <w:p w14:paraId="2A91581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逾期送达的响应文件，电子招标投标交易平台将予以拒收。</w:t>
      </w:r>
    </w:p>
    <w:p w14:paraId="7FEDAA98">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b/>
          <w:kern w:val="2"/>
          <w:sz w:val="24"/>
          <w:szCs w:val="24"/>
          <w:highlight w:val="none"/>
          <w:lang w:eastAsia="zh-CN"/>
        </w:rPr>
      </w:pPr>
      <w:bookmarkStart w:id="57" w:name="_Toc522798825"/>
      <w:bookmarkEnd w:id="57"/>
      <w:bookmarkStart w:id="58" w:name="_Toc30026"/>
      <w:r>
        <w:rPr>
          <w:rFonts w:hint="eastAsia" w:ascii="宋体" w:hAnsi="宋体" w:eastAsia="宋体" w:cs="宋体"/>
          <w:b/>
          <w:kern w:val="2"/>
          <w:sz w:val="24"/>
          <w:szCs w:val="24"/>
          <w:highlight w:val="none"/>
          <w:lang w:eastAsia="zh-CN"/>
        </w:rPr>
        <w:t>（三）响应文件的修改与撤回</w:t>
      </w:r>
      <w:bookmarkEnd w:id="58"/>
    </w:p>
    <w:p w14:paraId="1001564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磋商文件规定的磋商</w:t>
      </w:r>
      <w:r>
        <w:rPr>
          <w:rFonts w:hint="eastAsia" w:ascii="宋体" w:hAnsi="宋体" w:eastAsia="宋体" w:cs="宋体"/>
          <w:sz w:val="24"/>
          <w:szCs w:val="24"/>
          <w:highlight w:val="none"/>
        </w:rPr>
        <w:t>时间前，供应商可以修改或撤回已递交的响应文件。</w:t>
      </w:r>
    </w:p>
    <w:p w14:paraId="572F0F6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修改的内容为响应文件的组成部分。</w:t>
      </w:r>
    </w:p>
    <w:p w14:paraId="06A9C10F">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kern w:val="2"/>
          <w:sz w:val="24"/>
          <w:szCs w:val="24"/>
          <w:highlight w:val="none"/>
        </w:rPr>
      </w:pPr>
      <w:bookmarkStart w:id="59" w:name="_Toc521997969"/>
      <w:bookmarkEnd w:id="59"/>
      <w:bookmarkStart w:id="60" w:name="_Toc522085764"/>
      <w:bookmarkEnd w:id="60"/>
      <w:bookmarkStart w:id="61" w:name="_Toc497301891"/>
      <w:bookmarkEnd w:id="61"/>
      <w:bookmarkStart w:id="62" w:name="_Toc13210_WPSOffice_Level2"/>
      <w:bookmarkEnd w:id="62"/>
      <w:bookmarkStart w:id="63" w:name="_Toc19390"/>
      <w:r>
        <w:rPr>
          <w:rFonts w:hint="eastAsia" w:ascii="宋体" w:hAnsi="宋体" w:eastAsia="宋体" w:cs="宋体"/>
          <w:b/>
          <w:kern w:val="2"/>
          <w:sz w:val="24"/>
          <w:szCs w:val="24"/>
          <w:highlight w:val="none"/>
          <w:lang w:eastAsia="zh-CN"/>
        </w:rPr>
        <w:t>五、</w:t>
      </w:r>
      <w:r>
        <w:rPr>
          <w:rFonts w:hint="eastAsia" w:ascii="宋体" w:hAnsi="宋体" w:eastAsia="宋体" w:cs="宋体"/>
          <w:b/>
          <w:kern w:val="2"/>
          <w:sz w:val="24"/>
          <w:szCs w:val="24"/>
          <w:highlight w:val="none"/>
        </w:rPr>
        <w:t>磋商</w:t>
      </w:r>
      <w:bookmarkEnd w:id="63"/>
    </w:p>
    <w:p w14:paraId="7C1F67D1">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64" w:name="_Toc521997970"/>
      <w:bookmarkEnd w:id="64"/>
      <w:bookmarkStart w:id="65" w:name="_Toc522085765"/>
      <w:bookmarkEnd w:id="65"/>
      <w:bookmarkStart w:id="66" w:name="_Toc522798827"/>
      <w:bookmarkStart w:id="67" w:name="_Toc14395"/>
      <w:r>
        <w:rPr>
          <w:rFonts w:hint="eastAsia" w:ascii="宋体" w:hAnsi="宋体" w:eastAsia="宋体" w:cs="宋体"/>
          <w:b/>
          <w:kern w:val="2"/>
          <w:sz w:val="24"/>
          <w:szCs w:val="24"/>
          <w:highlight w:val="none"/>
          <w:lang w:eastAsia="zh-CN"/>
        </w:rPr>
        <w:t>（一）</w:t>
      </w:r>
      <w:r>
        <w:rPr>
          <w:rFonts w:hint="eastAsia" w:ascii="宋体" w:hAnsi="宋体" w:eastAsia="宋体" w:cs="宋体"/>
          <w:b/>
          <w:kern w:val="2"/>
          <w:sz w:val="24"/>
          <w:szCs w:val="24"/>
          <w:highlight w:val="none"/>
        </w:rPr>
        <w:t>磋商时间和地点</w:t>
      </w:r>
      <w:bookmarkEnd w:id="66"/>
      <w:bookmarkEnd w:id="67"/>
    </w:p>
    <w:p w14:paraId="5AC9A72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采购人在规定的磋商时间和供应商须知前附表规定的地点磋商，通过电子招标投标交易平台磋商。</w:t>
      </w:r>
      <w:bookmarkStart w:id="68" w:name="_Toc522085766"/>
      <w:bookmarkEnd w:id="68"/>
      <w:bookmarkStart w:id="69" w:name="_Toc521997971"/>
      <w:bookmarkEnd w:id="69"/>
      <w:bookmarkStart w:id="70" w:name="_Toc522798828"/>
      <w:r>
        <w:rPr>
          <w:rFonts w:hint="eastAsia" w:ascii="宋体" w:hAnsi="宋体" w:eastAsia="宋体" w:cs="宋体"/>
          <w:sz w:val="24"/>
          <w:szCs w:val="24"/>
          <w:highlight w:val="none"/>
        </w:rPr>
        <w:t>供应商不足3家的，不得磋商。</w:t>
      </w:r>
    </w:p>
    <w:p w14:paraId="213453CF">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磋商程序</w:t>
      </w:r>
      <w:bookmarkEnd w:id="70"/>
    </w:p>
    <w:p w14:paraId="6A0BF12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bookmarkStart w:id="71" w:name="_Toc522798833"/>
      <w:bookmarkEnd w:id="71"/>
      <w:bookmarkStart w:id="72" w:name="_Toc30969"/>
      <w:bookmarkStart w:id="73" w:name="_Toc32123"/>
      <w:bookmarkStart w:id="74" w:name="_Toc21355"/>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本项目采用电子化、无纸化进行</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，磋商当日，供应商无需到磋商现场参加磋商会议，供应商应当在</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时间前，登陆不见面开标大厅选择登陆（网址为</w:t>
      </w:r>
      <w:r>
        <w:rPr>
          <w:rFonts w:hint="eastAsia" w:ascii="宋体" w:hAnsi="宋体" w:eastAsia="宋体" w:cs="宋体"/>
          <w:sz w:val="24"/>
          <w:szCs w:val="24"/>
          <w:highlight w:val="none"/>
          <w:lang w:val="en-US" w:eastAsia="zh-CN"/>
        </w:rPr>
        <w:t>http://120.194.249.36:10094/BidOpening/bidopeninghallaction/hall/login</w:t>
      </w:r>
      <w:r>
        <w:rPr>
          <w:rFonts w:hint="eastAsia" w:ascii="宋体" w:hAnsi="宋体" w:eastAsia="宋体" w:cs="宋体"/>
          <w:sz w:val="24"/>
          <w:szCs w:val="24"/>
          <w:highlight w:val="none"/>
        </w:rPr>
        <w:t>）,在线准时参加磋商活动并进行响应文件解密等。</w:t>
      </w:r>
    </w:p>
    <w:p w14:paraId="0D85AEF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电子化响应文件采用一次加密方式。磋商时，由供应商使用CA 证书，在规定时间内对其电子化响应文件进行解密。每位供应商的解密时间为磋商时间起30 分钟内，如在规定时间内未完成解密的，其响应文件不予磋商、唱标。</w:t>
      </w:r>
    </w:p>
    <w:p w14:paraId="23334F2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电子化响应文件解密异常的处理</w:t>
      </w:r>
    </w:p>
    <w:p w14:paraId="46C4A82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如出现供应商的电子响应文件无法解密等异常情况，供应商应及时致电采购代理机构说明。响应文件异常，按以下步骤进行处理：</w:t>
      </w:r>
    </w:p>
    <w:p w14:paraId="65B8571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（1）首先由技术人员进行问题排查。</w:t>
      </w:r>
    </w:p>
    <w:p w14:paraId="225B3C9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（2）经技术人员排查后，是供应商文件自身问题导致响应文件无法解密的，该响应文件将不予接收、解密和唱标。磋商会议继续进行。</w:t>
      </w:r>
    </w:p>
    <w:p w14:paraId="795B664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待所有供应商响应文件解密完成后，由采购代理机构操作，对所有已解密响应文件进行唱标。</w:t>
      </w:r>
    </w:p>
    <w:p w14:paraId="73C33314">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供应商应保证在磋商期间电话、电脑、网络能够正常工作，供应商因停电、电脑病毒、网络堵塞等原因，未在规定的解密时间内对响应文件进行解密的，其响应文件不予接收、唱标。</w:t>
      </w:r>
    </w:p>
    <w:bookmarkEnd w:id="72"/>
    <w:bookmarkEnd w:id="73"/>
    <w:bookmarkEnd w:id="74"/>
    <w:p w14:paraId="2A715021">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kern w:val="2"/>
          <w:sz w:val="24"/>
          <w:szCs w:val="24"/>
          <w:highlight w:val="none"/>
          <w:lang w:eastAsia="zh-CN"/>
        </w:rPr>
      </w:pPr>
      <w:bookmarkStart w:id="75" w:name="_Toc497301892"/>
      <w:bookmarkEnd w:id="75"/>
      <w:bookmarkStart w:id="76" w:name="_Toc11905_WPSOffice_Level2"/>
      <w:bookmarkEnd w:id="76"/>
      <w:bookmarkStart w:id="77" w:name="_Toc521997973"/>
      <w:bookmarkEnd w:id="77"/>
      <w:bookmarkStart w:id="78" w:name="_Toc522085768"/>
      <w:bookmarkEnd w:id="78"/>
      <w:r>
        <w:rPr>
          <w:rFonts w:hint="eastAsia" w:ascii="宋体" w:hAnsi="宋体" w:eastAsia="宋体" w:cs="宋体"/>
          <w:b/>
          <w:kern w:val="2"/>
          <w:sz w:val="24"/>
          <w:szCs w:val="24"/>
          <w:highlight w:val="none"/>
          <w:lang w:eastAsia="zh-CN"/>
        </w:rPr>
        <w:t>六、评审</w:t>
      </w:r>
    </w:p>
    <w:p w14:paraId="55BD21A8">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b/>
          <w:kern w:val="2"/>
          <w:sz w:val="24"/>
          <w:szCs w:val="24"/>
          <w:highlight w:val="none"/>
        </w:rPr>
      </w:pPr>
      <w:bookmarkStart w:id="79" w:name="_Toc522085769"/>
      <w:bookmarkEnd w:id="79"/>
      <w:bookmarkStart w:id="80" w:name="_Toc521997974"/>
      <w:bookmarkEnd w:id="80"/>
      <w:bookmarkStart w:id="81" w:name="_Toc522798835"/>
      <w:bookmarkStart w:id="82" w:name="_Toc10088"/>
      <w:r>
        <w:rPr>
          <w:rFonts w:hint="eastAsia" w:ascii="宋体" w:hAnsi="宋体" w:eastAsia="宋体" w:cs="宋体"/>
          <w:b/>
          <w:kern w:val="2"/>
          <w:sz w:val="24"/>
          <w:szCs w:val="24"/>
          <w:highlight w:val="none"/>
          <w:lang w:eastAsia="zh-CN"/>
        </w:rPr>
        <w:t>（一）</w:t>
      </w:r>
      <w:r>
        <w:rPr>
          <w:rFonts w:hint="eastAsia" w:ascii="宋体" w:hAnsi="宋体" w:eastAsia="宋体" w:cs="宋体"/>
          <w:b/>
          <w:kern w:val="2"/>
          <w:sz w:val="24"/>
          <w:szCs w:val="24"/>
          <w:highlight w:val="none"/>
        </w:rPr>
        <w:t>磋商小组</w:t>
      </w:r>
      <w:bookmarkEnd w:id="81"/>
      <w:bookmarkEnd w:id="82"/>
    </w:p>
    <w:p w14:paraId="0D61862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由采购人依法组建的磋商小组负责。磋商小组由采购人代表以及有关技术、经济等方面的专家组成。磋商小组成员人数以及技术、经济等方面专家的确定方式，见供应商须知前附表。</w:t>
      </w:r>
    </w:p>
    <w:p w14:paraId="595D7A5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磋商小组成员有下列情形之一的，应当回避：</w:t>
      </w:r>
    </w:p>
    <w:p w14:paraId="4979C80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1）供应商或供应商主要负责人的近亲属；</w:t>
      </w:r>
    </w:p>
    <w:p w14:paraId="3F30C55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2）项目主管部门或者行政监督部门的人员；</w:t>
      </w:r>
    </w:p>
    <w:p w14:paraId="15511A3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3）与供应商有经济利益关系，可能影响对公正评审的；</w:t>
      </w:r>
    </w:p>
    <w:p w14:paraId="46BF6EE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4）曾因在</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以及其他与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有关活动中从事违法行为而受过行政处罚或刑事处罚的；</w:t>
      </w:r>
    </w:p>
    <w:p w14:paraId="11D93C9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5）与供应商有其他利害关系。</w:t>
      </w:r>
    </w:p>
    <w:p w14:paraId="5C899E5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过程中，磋商小组成员有回避事由、擅离职守或者因健康等原因不能继续</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的，采购人有权更换。被更换的磋商小组成员作出的评审结论无效，由更换后的磋商小组成员重新进行评审。</w:t>
      </w:r>
    </w:p>
    <w:p w14:paraId="0E2B87B5">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b/>
          <w:kern w:val="2"/>
          <w:sz w:val="24"/>
          <w:szCs w:val="24"/>
          <w:highlight w:val="none"/>
        </w:rPr>
      </w:pPr>
      <w:bookmarkStart w:id="83" w:name="_Toc522085770"/>
      <w:bookmarkEnd w:id="83"/>
      <w:bookmarkStart w:id="84" w:name="_Toc521997975"/>
      <w:bookmarkEnd w:id="84"/>
      <w:bookmarkStart w:id="85" w:name="_Toc23172"/>
      <w:bookmarkStart w:id="86" w:name="_Toc522798836"/>
      <w:r>
        <w:rPr>
          <w:rFonts w:hint="eastAsia" w:ascii="宋体" w:hAnsi="宋体" w:eastAsia="宋体" w:cs="宋体"/>
          <w:b/>
          <w:kern w:val="2"/>
          <w:sz w:val="24"/>
          <w:szCs w:val="24"/>
          <w:highlight w:val="none"/>
          <w:lang w:eastAsia="zh-CN"/>
        </w:rPr>
        <w:t>（二）评审</w:t>
      </w:r>
      <w:r>
        <w:rPr>
          <w:rFonts w:hint="eastAsia" w:ascii="宋体" w:hAnsi="宋体" w:eastAsia="宋体" w:cs="宋体"/>
          <w:b/>
          <w:kern w:val="2"/>
          <w:sz w:val="24"/>
          <w:szCs w:val="24"/>
          <w:highlight w:val="none"/>
        </w:rPr>
        <w:t>原则</w:t>
      </w:r>
      <w:bookmarkEnd w:id="85"/>
      <w:bookmarkEnd w:id="86"/>
    </w:p>
    <w:p w14:paraId="2F8DF76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活动遵循公平、公正、科学和择优的原则。</w:t>
      </w:r>
    </w:p>
    <w:p w14:paraId="6C10B254">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lang w:eastAsia="zh-CN"/>
        </w:rPr>
      </w:pPr>
      <w:bookmarkStart w:id="87" w:name="_Toc522085771"/>
      <w:bookmarkEnd w:id="87"/>
      <w:bookmarkStart w:id="88" w:name="_Toc521997976"/>
      <w:bookmarkEnd w:id="88"/>
      <w:bookmarkStart w:id="89" w:name="page30"/>
      <w:bookmarkEnd w:id="89"/>
      <w:r>
        <w:rPr>
          <w:rFonts w:hint="eastAsia" w:ascii="宋体" w:hAnsi="宋体" w:eastAsia="宋体" w:cs="宋体"/>
          <w:b/>
          <w:kern w:val="2"/>
          <w:sz w:val="24"/>
          <w:szCs w:val="24"/>
          <w:highlight w:val="none"/>
          <w:lang w:eastAsia="zh-CN"/>
        </w:rPr>
        <w:t>（三）评审</w:t>
      </w:r>
    </w:p>
    <w:p w14:paraId="20A89EB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磋商小组按照第四章“</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办法（综合评分法）”规定的方法、评审因素、标准和程序对响应文件进行评审。第四章“</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办法（综合评分法）”没有规定的方法、评审因素和标准，不作为</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依据。</w:t>
      </w:r>
    </w:p>
    <w:p w14:paraId="376A924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完成后，磋商小组应当向采购人提交</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报告和成交候选人名单</w:t>
      </w:r>
      <w:r>
        <w:rPr>
          <w:rFonts w:hint="eastAsia" w:ascii="宋体" w:hAnsi="宋体" w:eastAsia="宋体" w:cs="宋体"/>
          <w:sz w:val="24"/>
          <w:szCs w:val="24"/>
          <w:highlight w:val="none"/>
          <w:lang w:eastAsia="zh-CN"/>
        </w:rPr>
        <w:t>并排序</w:t>
      </w:r>
      <w:r>
        <w:rPr>
          <w:rFonts w:hint="eastAsia" w:ascii="宋体" w:hAnsi="宋体" w:eastAsia="宋体" w:cs="宋体"/>
          <w:sz w:val="24"/>
          <w:szCs w:val="24"/>
          <w:highlight w:val="none"/>
        </w:rPr>
        <w:t>。磋商小组推荐成交候选人的</w:t>
      </w:r>
      <w:r>
        <w:rPr>
          <w:rFonts w:hint="eastAsia" w:ascii="宋体" w:hAnsi="宋体" w:eastAsia="宋体" w:cs="宋体"/>
          <w:sz w:val="24"/>
          <w:szCs w:val="24"/>
          <w:highlight w:val="none"/>
          <w:lang w:eastAsia="zh-CN"/>
        </w:rPr>
        <w:t>数量</w:t>
      </w:r>
      <w:r>
        <w:rPr>
          <w:rFonts w:hint="eastAsia" w:ascii="宋体" w:hAnsi="宋体" w:eastAsia="宋体" w:cs="宋体"/>
          <w:sz w:val="24"/>
          <w:szCs w:val="24"/>
          <w:highlight w:val="none"/>
        </w:rPr>
        <w:t>见供应商须知前附表。</w:t>
      </w:r>
      <w:bookmarkStart w:id="90" w:name="_Toc521997977"/>
      <w:bookmarkEnd w:id="90"/>
      <w:bookmarkStart w:id="91" w:name="_Toc497301893"/>
      <w:bookmarkEnd w:id="91"/>
      <w:bookmarkStart w:id="92" w:name="_Toc1080_WPSOffice_Level2"/>
      <w:bookmarkEnd w:id="92"/>
      <w:bookmarkStart w:id="93" w:name="_Toc522085772"/>
      <w:bookmarkEnd w:id="93"/>
      <w:bookmarkStart w:id="94" w:name="_Toc522798838"/>
    </w:p>
    <w:bookmarkEnd w:id="94"/>
    <w:p w14:paraId="6A936A6B">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eastAsia="zh-CN"/>
        </w:rPr>
        <w:t>七、</w:t>
      </w:r>
      <w:r>
        <w:rPr>
          <w:rFonts w:hint="eastAsia" w:ascii="宋体" w:hAnsi="宋体" w:eastAsia="宋体" w:cs="宋体"/>
          <w:b/>
          <w:kern w:val="2"/>
          <w:sz w:val="24"/>
          <w:szCs w:val="24"/>
          <w:highlight w:val="none"/>
        </w:rPr>
        <w:t>合同授予</w:t>
      </w:r>
      <w:bookmarkStart w:id="95" w:name="_Toc6320"/>
      <w:bookmarkStart w:id="96" w:name="_Toc32241"/>
      <w:bookmarkStart w:id="97" w:name="_Toc7898"/>
      <w:bookmarkStart w:id="98" w:name="_Toc3574"/>
      <w:bookmarkStart w:id="99" w:name="_Toc15637"/>
      <w:bookmarkStart w:id="100" w:name="_Toc27126"/>
      <w:bookmarkStart w:id="101" w:name="_Toc22971"/>
      <w:bookmarkStart w:id="102" w:name="_Toc16230"/>
      <w:bookmarkStart w:id="103" w:name="_Toc18920439"/>
      <w:bookmarkStart w:id="104" w:name="_Toc22245"/>
      <w:bookmarkStart w:id="105" w:name="_Toc13599"/>
      <w:bookmarkStart w:id="106" w:name="_Toc21756"/>
    </w:p>
    <w:p w14:paraId="4922B999">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b/>
          <w:kern w:val="2"/>
          <w:sz w:val="24"/>
          <w:szCs w:val="24"/>
          <w:highlight w:val="none"/>
          <w:lang w:eastAsia="zh-CN"/>
        </w:rPr>
      </w:pPr>
      <w:r>
        <w:rPr>
          <w:rFonts w:hint="eastAsia" w:ascii="宋体" w:hAnsi="宋体" w:eastAsia="宋体" w:cs="宋体"/>
          <w:b/>
          <w:kern w:val="2"/>
          <w:sz w:val="24"/>
          <w:szCs w:val="24"/>
          <w:highlight w:val="none"/>
          <w:lang w:eastAsia="zh-CN"/>
        </w:rPr>
        <w:t>（一）成交公告</w:t>
      </w:r>
      <w:bookmarkEnd w:id="95"/>
      <w:bookmarkEnd w:id="96"/>
      <w:bookmarkEnd w:id="97"/>
      <w:bookmarkEnd w:id="98"/>
      <w:bookmarkEnd w:id="99"/>
      <w:bookmarkEnd w:id="100"/>
      <w:bookmarkEnd w:id="101"/>
      <w:bookmarkEnd w:id="102"/>
      <w:bookmarkEnd w:id="103"/>
      <w:bookmarkEnd w:id="104"/>
      <w:bookmarkEnd w:id="105"/>
      <w:bookmarkEnd w:id="106"/>
      <w:bookmarkStart w:id="107" w:name="_Toc521997981"/>
      <w:bookmarkEnd w:id="107"/>
      <w:bookmarkStart w:id="108" w:name="_Toc522085776"/>
      <w:bookmarkEnd w:id="108"/>
      <w:bookmarkStart w:id="109" w:name="_Toc522798840"/>
    </w:p>
    <w:p w14:paraId="66CBDAE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采购代理机构应当在</w:t>
      </w:r>
      <w:r>
        <w:rPr>
          <w:rFonts w:hint="eastAsia" w:ascii="宋体" w:hAnsi="宋体" w:eastAsia="宋体" w:cs="宋体"/>
          <w:bCs/>
          <w:sz w:val="24"/>
          <w:szCs w:val="24"/>
          <w:highlight w:val="none"/>
          <w:lang w:eastAsia="zh-CN"/>
        </w:rPr>
        <w:t>评审</w:t>
      </w:r>
      <w:r>
        <w:rPr>
          <w:rFonts w:hint="eastAsia" w:ascii="宋体" w:hAnsi="宋体" w:eastAsia="宋体" w:cs="宋体"/>
          <w:bCs/>
          <w:sz w:val="24"/>
          <w:szCs w:val="24"/>
          <w:highlight w:val="none"/>
        </w:rPr>
        <w:t>结束后2个工作日内将</w:t>
      </w:r>
      <w:r>
        <w:rPr>
          <w:rFonts w:hint="eastAsia" w:ascii="宋体" w:hAnsi="宋体" w:eastAsia="宋体" w:cs="宋体"/>
          <w:bCs/>
          <w:sz w:val="24"/>
          <w:szCs w:val="24"/>
          <w:highlight w:val="none"/>
          <w:lang w:eastAsia="zh-CN"/>
        </w:rPr>
        <w:t>评审</w:t>
      </w:r>
      <w:r>
        <w:rPr>
          <w:rFonts w:hint="eastAsia" w:ascii="宋体" w:hAnsi="宋体" w:eastAsia="宋体" w:cs="宋体"/>
          <w:bCs/>
          <w:sz w:val="24"/>
          <w:szCs w:val="24"/>
          <w:highlight w:val="none"/>
        </w:rPr>
        <w:t>报告送采购人。采购人应自收到</w:t>
      </w:r>
      <w:r>
        <w:rPr>
          <w:rFonts w:hint="eastAsia" w:ascii="宋体" w:hAnsi="宋体" w:eastAsia="宋体" w:cs="宋体"/>
          <w:bCs/>
          <w:sz w:val="24"/>
          <w:szCs w:val="24"/>
          <w:highlight w:val="none"/>
          <w:lang w:eastAsia="zh-CN"/>
        </w:rPr>
        <w:t>评审</w:t>
      </w:r>
      <w:r>
        <w:rPr>
          <w:rFonts w:hint="eastAsia" w:ascii="宋体" w:hAnsi="宋体" w:eastAsia="宋体" w:cs="宋体"/>
          <w:bCs/>
          <w:sz w:val="24"/>
          <w:szCs w:val="24"/>
          <w:highlight w:val="none"/>
        </w:rPr>
        <w:t>报告之日起5个工作日内，在</w:t>
      </w:r>
      <w:r>
        <w:rPr>
          <w:rFonts w:hint="eastAsia" w:ascii="宋体" w:hAnsi="宋体" w:eastAsia="宋体" w:cs="宋体"/>
          <w:bCs/>
          <w:sz w:val="24"/>
          <w:szCs w:val="24"/>
          <w:highlight w:val="none"/>
          <w:lang w:eastAsia="zh-CN"/>
        </w:rPr>
        <w:t>评审</w:t>
      </w:r>
      <w:r>
        <w:rPr>
          <w:rFonts w:hint="eastAsia" w:ascii="宋体" w:hAnsi="宋体" w:eastAsia="宋体" w:cs="宋体"/>
          <w:bCs/>
          <w:sz w:val="24"/>
          <w:szCs w:val="24"/>
          <w:highlight w:val="none"/>
        </w:rPr>
        <w:t>报告确定的成交候选人名单中按顺序确定成交人。</w:t>
      </w:r>
    </w:p>
    <w:p w14:paraId="395DC54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采购代理机构应当自成交人确定之日起2个工作日内，</w:t>
      </w:r>
      <w:r>
        <w:rPr>
          <w:rFonts w:hint="eastAsia" w:ascii="宋体" w:hAnsi="宋体" w:cs="宋体"/>
          <w:bCs/>
          <w:sz w:val="24"/>
          <w:szCs w:val="24"/>
          <w:highlight w:val="none"/>
          <w:lang w:eastAsia="zh-CN"/>
        </w:rPr>
        <w:t>向成交供应商发出成交通知书，同时</w:t>
      </w:r>
      <w:r>
        <w:rPr>
          <w:rFonts w:hint="eastAsia" w:ascii="宋体" w:hAnsi="宋体" w:eastAsia="宋体" w:cs="宋体"/>
          <w:bCs/>
          <w:sz w:val="24"/>
          <w:szCs w:val="24"/>
          <w:highlight w:val="none"/>
        </w:rPr>
        <w:t>在省级以上财政部门指定的媒体上公告成交结果，公告期限为1个工作日。</w:t>
      </w:r>
    </w:p>
    <w:p w14:paraId="7F71D292">
      <w:pPr>
        <w:pageBreakBefore w:val="0"/>
        <w:kinsoku/>
        <w:wordWrap/>
        <w:overflowPunct/>
        <w:topLinePunct w:val="0"/>
        <w:autoSpaceDE/>
        <w:autoSpaceDN/>
        <w:bidi w:val="0"/>
        <w:adjustRightInd/>
        <w:snapToGrid/>
        <w:spacing w:line="500" w:lineRule="exact"/>
        <w:ind w:firstLine="480" w:firstLineChars="200"/>
        <w:textAlignment w:val="auto"/>
        <w:rPr>
          <w:rFonts w:hint="eastAsia"/>
          <w:highlight w:val="none"/>
        </w:rPr>
      </w:pPr>
      <w:r>
        <w:rPr>
          <w:rFonts w:hint="eastAsia" w:ascii="宋体" w:hAnsi="宋体" w:eastAsia="宋体" w:cs="宋体"/>
          <w:bCs/>
          <w:sz w:val="24"/>
          <w:szCs w:val="22"/>
          <w:highlight w:val="none"/>
        </w:rPr>
        <w:t>成交结果将在《中国采购与招标网》、《</w:t>
      </w:r>
      <w:r>
        <w:rPr>
          <w:rFonts w:hint="eastAsia" w:ascii="宋体" w:hAnsi="宋体" w:cs="宋体"/>
          <w:bCs/>
          <w:sz w:val="24"/>
          <w:szCs w:val="22"/>
          <w:highlight w:val="none"/>
          <w:lang w:eastAsia="zh-CN"/>
        </w:rPr>
        <w:t>中国招标投标公共服务平台</w:t>
      </w:r>
      <w:r>
        <w:rPr>
          <w:rFonts w:hint="eastAsia" w:ascii="宋体" w:hAnsi="宋体" w:eastAsia="宋体" w:cs="宋体"/>
          <w:bCs/>
          <w:sz w:val="24"/>
          <w:szCs w:val="22"/>
          <w:highlight w:val="none"/>
        </w:rPr>
        <w:t>》、《河南省政府采购网》、《三门峡市公共资源交易中心</w:t>
      </w:r>
      <w:r>
        <w:rPr>
          <w:rFonts w:hint="eastAsia" w:ascii="宋体" w:hAnsi="宋体" w:eastAsia="宋体" w:cs="宋体"/>
          <w:bCs/>
          <w:sz w:val="24"/>
          <w:szCs w:val="22"/>
          <w:highlight w:val="none"/>
          <w:lang w:eastAsia="zh-CN"/>
        </w:rPr>
        <w:t>网</w:t>
      </w:r>
      <w:r>
        <w:rPr>
          <w:rFonts w:hint="eastAsia" w:ascii="宋体" w:hAnsi="宋体" w:eastAsia="宋体" w:cs="宋体"/>
          <w:bCs/>
          <w:sz w:val="24"/>
          <w:szCs w:val="22"/>
          <w:highlight w:val="none"/>
        </w:rPr>
        <w:t>》网站上公布，确定成交</w:t>
      </w:r>
      <w:r>
        <w:rPr>
          <w:rFonts w:hint="eastAsia" w:ascii="宋体" w:hAnsi="宋体" w:eastAsia="宋体" w:cs="宋体"/>
          <w:bCs/>
          <w:sz w:val="24"/>
          <w:szCs w:val="22"/>
          <w:highlight w:val="none"/>
          <w:lang w:eastAsia="zh-CN"/>
        </w:rPr>
        <w:t>供应商</w:t>
      </w:r>
      <w:r>
        <w:rPr>
          <w:rFonts w:hint="eastAsia" w:ascii="宋体" w:hAnsi="宋体" w:eastAsia="宋体" w:cs="宋体"/>
          <w:bCs/>
          <w:sz w:val="24"/>
          <w:szCs w:val="22"/>
          <w:highlight w:val="none"/>
        </w:rPr>
        <w:t>并发布成交公告，不再以书面方式通知未成交</w:t>
      </w:r>
      <w:r>
        <w:rPr>
          <w:rFonts w:hint="eastAsia" w:ascii="宋体" w:hAnsi="宋体" w:eastAsia="宋体" w:cs="宋体"/>
          <w:bCs/>
          <w:sz w:val="24"/>
          <w:szCs w:val="22"/>
          <w:highlight w:val="none"/>
          <w:lang w:eastAsia="zh-CN"/>
        </w:rPr>
        <w:t>供应商。</w:t>
      </w:r>
    </w:p>
    <w:p w14:paraId="1ED6C44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成交通知书发出后，采购人不得违法改变成交结果，成交人无正当理由不得放弃成交。</w:t>
      </w:r>
    </w:p>
    <w:p w14:paraId="5B06F4B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成交人为残疾人福利性单位的，采购代理机构将随成交结果同时公告其《残疾人福利性单位声明函》，接受社会监督。</w:t>
      </w:r>
      <w:bookmarkStart w:id="110" w:name="_Toc30581"/>
    </w:p>
    <w:p w14:paraId="71FC09B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有关当事人对成交结果有异议的，可以在成交结果公告期限届满之日起七个工作日内，按《政府采购质疑和投诉办法》（中华人民共和国财政部令第94号）要求以书面形式同时向采购人和采购代理机构提出质疑，逾期提交或未按照要求提交的质疑函将不予受理。</w:t>
      </w:r>
      <w:bookmarkEnd w:id="110"/>
    </w:p>
    <w:bookmarkEnd w:id="109"/>
    <w:p w14:paraId="4894BCD8">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b/>
          <w:kern w:val="2"/>
          <w:sz w:val="24"/>
          <w:szCs w:val="24"/>
          <w:highlight w:val="none"/>
        </w:rPr>
      </w:pPr>
      <w:bookmarkStart w:id="111" w:name="_Toc13956"/>
      <w:r>
        <w:rPr>
          <w:rFonts w:hint="eastAsia" w:ascii="宋体" w:hAnsi="宋体" w:eastAsia="宋体" w:cs="宋体"/>
          <w:b/>
          <w:kern w:val="2"/>
          <w:sz w:val="24"/>
          <w:szCs w:val="24"/>
          <w:highlight w:val="none"/>
          <w:lang w:eastAsia="zh-CN"/>
        </w:rPr>
        <w:t>（二）</w:t>
      </w:r>
      <w:r>
        <w:rPr>
          <w:rFonts w:hint="eastAsia" w:ascii="宋体" w:hAnsi="宋体" w:eastAsia="宋体" w:cs="宋体"/>
          <w:b/>
          <w:kern w:val="2"/>
          <w:sz w:val="24"/>
          <w:szCs w:val="24"/>
          <w:highlight w:val="none"/>
        </w:rPr>
        <w:t>采购任务取消</w:t>
      </w:r>
      <w:bookmarkEnd w:id="111"/>
    </w:p>
    <w:p w14:paraId="40353A5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因重大变故采购任务取消时，采购人有权拒绝任何供应商成交，且对受影响的供应商不承担任何责任。</w:t>
      </w:r>
    </w:p>
    <w:p w14:paraId="1D4EA51F">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12" w:name="_Toc522085778"/>
      <w:bookmarkEnd w:id="112"/>
      <w:bookmarkStart w:id="113" w:name="_Toc521997983"/>
      <w:bookmarkEnd w:id="113"/>
      <w:bookmarkStart w:id="114" w:name="_Toc12710"/>
      <w:r>
        <w:rPr>
          <w:rFonts w:hint="eastAsia" w:ascii="宋体" w:hAnsi="宋体" w:eastAsia="宋体" w:cs="宋体"/>
          <w:b/>
          <w:kern w:val="2"/>
          <w:sz w:val="24"/>
          <w:szCs w:val="24"/>
          <w:highlight w:val="none"/>
          <w:lang w:eastAsia="zh-CN"/>
        </w:rPr>
        <w:t>（</w:t>
      </w:r>
      <w:r>
        <w:rPr>
          <w:rFonts w:hint="eastAsia" w:cs="宋体"/>
          <w:b/>
          <w:kern w:val="2"/>
          <w:sz w:val="24"/>
          <w:szCs w:val="24"/>
          <w:highlight w:val="none"/>
          <w:lang w:eastAsia="zh-CN"/>
        </w:rPr>
        <w:t>三</w:t>
      </w:r>
      <w:r>
        <w:rPr>
          <w:rFonts w:hint="eastAsia" w:ascii="宋体" w:hAnsi="宋体" w:eastAsia="宋体" w:cs="宋体"/>
          <w:b/>
          <w:kern w:val="2"/>
          <w:sz w:val="24"/>
          <w:szCs w:val="24"/>
          <w:highlight w:val="none"/>
          <w:lang w:eastAsia="zh-CN"/>
        </w:rPr>
        <w:t>）</w:t>
      </w:r>
      <w:r>
        <w:rPr>
          <w:rFonts w:hint="eastAsia" w:ascii="宋体" w:hAnsi="宋体" w:eastAsia="宋体" w:cs="宋体"/>
          <w:b/>
          <w:kern w:val="2"/>
          <w:sz w:val="24"/>
          <w:szCs w:val="24"/>
          <w:highlight w:val="none"/>
        </w:rPr>
        <w:t>签订合同</w:t>
      </w:r>
      <w:bookmarkEnd w:id="114"/>
    </w:p>
    <w:p w14:paraId="45651F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《成交通知书》发出后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人与成交人签订合同。竞争性磋商文件、成交人的报价文件以及磋商过程中的最终报价、有关澄清、承诺文件均为合同的组成部分。</w:t>
      </w:r>
    </w:p>
    <w:p w14:paraId="4EC2CD7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不按约定签订或履行合同，给对方造成损失的，应承担赔偿责任。</w:t>
      </w:r>
    </w:p>
    <w:p w14:paraId="4687DEAE">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sz w:val="24"/>
          <w:szCs w:val="24"/>
          <w:highlight w:val="none"/>
        </w:rPr>
      </w:pPr>
      <w:bookmarkStart w:id="115" w:name="_Toc521997984"/>
      <w:bookmarkEnd w:id="115"/>
      <w:bookmarkStart w:id="116" w:name="_Toc26500_WPSOffice_Level2"/>
      <w:bookmarkEnd w:id="116"/>
      <w:bookmarkStart w:id="117" w:name="_Toc522798842"/>
      <w:bookmarkEnd w:id="117"/>
      <w:bookmarkStart w:id="118" w:name="_Toc497301894"/>
      <w:bookmarkEnd w:id="118"/>
      <w:bookmarkStart w:id="119" w:name="_Toc3644"/>
      <w:r>
        <w:rPr>
          <w:rFonts w:hint="eastAsia" w:ascii="宋体" w:hAnsi="宋体" w:eastAsia="宋体" w:cs="宋体"/>
          <w:b/>
          <w:sz w:val="24"/>
          <w:szCs w:val="24"/>
          <w:highlight w:val="none"/>
          <w:lang w:eastAsia="zh-CN"/>
        </w:rPr>
        <w:t>八、</w:t>
      </w:r>
      <w:r>
        <w:rPr>
          <w:rFonts w:hint="eastAsia" w:ascii="宋体" w:hAnsi="宋体" w:eastAsia="宋体" w:cs="宋体"/>
          <w:b/>
          <w:sz w:val="24"/>
          <w:szCs w:val="24"/>
          <w:highlight w:val="none"/>
        </w:rPr>
        <w:t>纪律和监督</w:t>
      </w:r>
      <w:bookmarkEnd w:id="119"/>
    </w:p>
    <w:p w14:paraId="0530DA07">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20" w:name="_Toc521997985"/>
      <w:bookmarkEnd w:id="120"/>
      <w:bookmarkStart w:id="121" w:name="_Toc522085780"/>
      <w:bookmarkEnd w:id="121"/>
      <w:bookmarkStart w:id="122" w:name="_Toc27060"/>
      <w:bookmarkStart w:id="123" w:name="_Toc522798843"/>
      <w:r>
        <w:rPr>
          <w:rFonts w:hint="eastAsia" w:ascii="宋体" w:hAnsi="宋体" w:eastAsia="宋体" w:cs="宋体"/>
          <w:b/>
          <w:kern w:val="2"/>
          <w:sz w:val="24"/>
          <w:szCs w:val="24"/>
          <w:highlight w:val="none"/>
          <w:lang w:eastAsia="zh-CN"/>
        </w:rPr>
        <w:t>（一）</w:t>
      </w:r>
      <w:r>
        <w:rPr>
          <w:rFonts w:hint="eastAsia" w:ascii="宋体" w:hAnsi="宋体" w:eastAsia="宋体" w:cs="宋体"/>
          <w:b/>
          <w:kern w:val="2"/>
          <w:sz w:val="24"/>
          <w:szCs w:val="24"/>
          <w:highlight w:val="none"/>
        </w:rPr>
        <w:t xml:space="preserve"> 对采购人的纪律要求</w:t>
      </w:r>
      <w:bookmarkEnd w:id="122"/>
      <w:bookmarkEnd w:id="123"/>
    </w:p>
    <w:p w14:paraId="3B0A415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采购人不得泄露</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活动中应当保密的情况和资料，不得与供应商串通损害国家利益、社会公共利益或者他人合法权益。</w:t>
      </w:r>
    </w:p>
    <w:p w14:paraId="0D54D516">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24" w:name="_Toc522085781"/>
      <w:bookmarkEnd w:id="124"/>
      <w:bookmarkStart w:id="125" w:name="_Toc521997986"/>
      <w:bookmarkEnd w:id="125"/>
      <w:bookmarkStart w:id="126" w:name="_Toc12819"/>
      <w:bookmarkStart w:id="127" w:name="_Toc522798844"/>
      <w:r>
        <w:rPr>
          <w:rFonts w:hint="eastAsia" w:ascii="宋体" w:hAnsi="宋体" w:eastAsia="宋体" w:cs="宋体"/>
          <w:b/>
          <w:kern w:val="2"/>
          <w:sz w:val="24"/>
          <w:szCs w:val="24"/>
          <w:highlight w:val="none"/>
          <w:lang w:eastAsia="zh-CN"/>
        </w:rPr>
        <w:t>（二）</w:t>
      </w:r>
      <w:r>
        <w:rPr>
          <w:rFonts w:hint="eastAsia" w:ascii="宋体" w:hAnsi="宋体" w:eastAsia="宋体" w:cs="宋体"/>
          <w:b/>
          <w:kern w:val="2"/>
          <w:sz w:val="24"/>
          <w:szCs w:val="24"/>
          <w:highlight w:val="none"/>
        </w:rPr>
        <w:t>对供应商的纪律要求</w:t>
      </w:r>
      <w:bookmarkEnd w:id="126"/>
      <w:bookmarkEnd w:id="127"/>
    </w:p>
    <w:p w14:paraId="367C405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供应商不得相互串通或者与采购人串通，不得向采购人或者磋商小组成员行贿谋取成交，不得以他人名义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或者以其他方式弄虚作假骗取成交；供应商不得以任何方式干扰、影响</w:t>
      </w:r>
      <w:r>
        <w:rPr>
          <w:rFonts w:hint="eastAsia" w:ascii="宋体" w:hAnsi="宋体" w:cs="宋体"/>
          <w:sz w:val="24"/>
          <w:szCs w:val="24"/>
          <w:highlight w:val="none"/>
          <w:lang w:eastAsia="zh-CN"/>
        </w:rPr>
        <w:t>评标</w:t>
      </w:r>
      <w:r>
        <w:rPr>
          <w:rFonts w:hint="eastAsia" w:ascii="宋体" w:hAnsi="宋体" w:eastAsia="宋体" w:cs="宋体"/>
          <w:sz w:val="24"/>
          <w:szCs w:val="24"/>
          <w:highlight w:val="none"/>
        </w:rPr>
        <w:t>工作。</w:t>
      </w:r>
    </w:p>
    <w:p w14:paraId="7DB9F9FD">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28" w:name="_Toc521997987"/>
      <w:bookmarkEnd w:id="128"/>
      <w:bookmarkStart w:id="129" w:name="_Toc522085782"/>
      <w:bookmarkEnd w:id="129"/>
      <w:bookmarkStart w:id="130" w:name="_Toc32084"/>
      <w:bookmarkStart w:id="131" w:name="_Toc522798845"/>
      <w:r>
        <w:rPr>
          <w:rFonts w:hint="eastAsia" w:ascii="宋体" w:hAnsi="宋体" w:eastAsia="宋体" w:cs="宋体"/>
          <w:b/>
          <w:kern w:val="2"/>
          <w:sz w:val="24"/>
          <w:szCs w:val="24"/>
          <w:highlight w:val="none"/>
          <w:lang w:eastAsia="zh-CN"/>
        </w:rPr>
        <w:t>（三）</w:t>
      </w:r>
      <w:r>
        <w:rPr>
          <w:rFonts w:hint="eastAsia" w:ascii="宋体" w:hAnsi="宋体" w:eastAsia="宋体" w:cs="宋体"/>
          <w:b/>
          <w:kern w:val="2"/>
          <w:sz w:val="24"/>
          <w:szCs w:val="24"/>
          <w:highlight w:val="none"/>
        </w:rPr>
        <w:t>对磋商小组成员的纪律要求</w:t>
      </w:r>
      <w:bookmarkEnd w:id="130"/>
      <w:bookmarkEnd w:id="131"/>
    </w:p>
    <w:p w14:paraId="7EC563C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磋商小组成员不得收受他人的财物或者其他好处，不得向他人透露对响应文件的评审和比较、成交候选人的推荐情况以及</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有关的其他情况。在</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活动中，磋商小组成员应当客观、公正地履行职责，遵守职业道德，不得擅离职守，影响</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程序正常进行，不得使用第</w:t>
      </w:r>
      <w:bookmarkStart w:id="132" w:name="page32"/>
      <w:bookmarkEnd w:id="132"/>
      <w:r>
        <w:rPr>
          <w:rFonts w:hint="eastAsia" w:ascii="宋体" w:hAnsi="宋体" w:eastAsia="宋体" w:cs="宋体"/>
          <w:sz w:val="24"/>
          <w:szCs w:val="24"/>
          <w:highlight w:val="none"/>
        </w:rPr>
        <w:t>四章“</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办法（综合评分法）”没有规定的评审因素和标准进行</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w:t>
      </w:r>
    </w:p>
    <w:p w14:paraId="400E56E5">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33" w:name="_Toc521997988"/>
      <w:bookmarkEnd w:id="133"/>
      <w:bookmarkStart w:id="134" w:name="_Toc522085783"/>
      <w:bookmarkEnd w:id="134"/>
      <w:bookmarkStart w:id="135" w:name="_Toc522798846"/>
      <w:bookmarkStart w:id="136" w:name="_Toc20579"/>
      <w:r>
        <w:rPr>
          <w:rFonts w:hint="eastAsia" w:ascii="宋体" w:hAnsi="宋体" w:eastAsia="宋体" w:cs="宋体"/>
          <w:b/>
          <w:kern w:val="2"/>
          <w:sz w:val="24"/>
          <w:szCs w:val="24"/>
          <w:highlight w:val="none"/>
          <w:lang w:eastAsia="zh-CN"/>
        </w:rPr>
        <w:t>（四）</w:t>
      </w:r>
      <w:r>
        <w:rPr>
          <w:rFonts w:hint="eastAsia" w:ascii="宋体" w:hAnsi="宋体" w:eastAsia="宋体" w:cs="宋体"/>
          <w:b/>
          <w:kern w:val="2"/>
          <w:sz w:val="24"/>
          <w:szCs w:val="24"/>
          <w:highlight w:val="none"/>
        </w:rPr>
        <w:t>对与</w:t>
      </w:r>
      <w:r>
        <w:rPr>
          <w:rFonts w:hint="eastAsia" w:ascii="宋体" w:hAnsi="宋体" w:eastAsia="宋体" w:cs="宋体"/>
          <w:b/>
          <w:kern w:val="2"/>
          <w:sz w:val="24"/>
          <w:szCs w:val="24"/>
          <w:highlight w:val="none"/>
          <w:lang w:eastAsia="zh-CN"/>
        </w:rPr>
        <w:t>评审</w:t>
      </w:r>
      <w:r>
        <w:rPr>
          <w:rFonts w:hint="eastAsia" w:ascii="宋体" w:hAnsi="宋体" w:eastAsia="宋体" w:cs="宋体"/>
          <w:b/>
          <w:kern w:val="2"/>
          <w:sz w:val="24"/>
          <w:szCs w:val="24"/>
          <w:highlight w:val="none"/>
        </w:rPr>
        <w:t>活动有关的工作人员的纪律要求</w:t>
      </w:r>
      <w:bookmarkEnd w:id="135"/>
      <w:bookmarkEnd w:id="136"/>
    </w:p>
    <w:p w14:paraId="420542E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活动有关的工作人员不得收受他人的财物或者其他好处，不得向他人透露对响应文件的评审和比较、成交候选人的推荐情况以及</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有关的其他情况。在</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活动中，与</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活动有关的工作人员不得擅离职守，影响</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程序正常进行。</w:t>
      </w:r>
    </w:p>
    <w:p w14:paraId="4B26100C">
      <w:pPr>
        <w:pStyle w:val="23"/>
        <w:keepNext/>
        <w:keepLines/>
        <w:pageBreakBefore w:val="0"/>
        <w:widowControl w:val="0"/>
        <w:tabs>
          <w:tab w:val="left" w:pos="425"/>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auto"/>
        <w:outlineLvl w:val="2"/>
        <w:rPr>
          <w:rFonts w:hint="eastAsia" w:ascii="宋体" w:hAnsi="宋体" w:eastAsia="宋体" w:cs="宋体"/>
          <w:sz w:val="24"/>
          <w:szCs w:val="24"/>
          <w:highlight w:val="none"/>
        </w:rPr>
      </w:pPr>
      <w:bookmarkStart w:id="137" w:name="_Toc522085784"/>
      <w:bookmarkEnd w:id="137"/>
      <w:bookmarkStart w:id="138" w:name="_Toc521997989"/>
      <w:bookmarkEnd w:id="138"/>
      <w:bookmarkStart w:id="139" w:name="_Toc522798847"/>
      <w:bookmarkStart w:id="140" w:name="_Toc4851"/>
      <w:r>
        <w:rPr>
          <w:rFonts w:hint="eastAsia" w:ascii="宋体" w:hAnsi="宋体" w:eastAsia="宋体" w:cs="宋体"/>
          <w:b/>
          <w:kern w:val="2"/>
          <w:sz w:val="24"/>
          <w:szCs w:val="24"/>
          <w:highlight w:val="none"/>
          <w:lang w:eastAsia="zh-CN"/>
        </w:rPr>
        <w:t>（五）</w:t>
      </w:r>
      <w:r>
        <w:rPr>
          <w:rFonts w:hint="eastAsia" w:ascii="宋体" w:hAnsi="宋体" w:eastAsia="宋体" w:cs="宋体"/>
          <w:b/>
          <w:kern w:val="2"/>
          <w:sz w:val="24"/>
          <w:szCs w:val="24"/>
          <w:highlight w:val="none"/>
        </w:rPr>
        <w:t>投诉</w:t>
      </w:r>
      <w:bookmarkEnd w:id="139"/>
      <w:bookmarkEnd w:id="140"/>
    </w:p>
    <w:p w14:paraId="6307ED6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供应商或者其他利害关系人认为</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活动不符合法律、行政法规规定的，可以自知道或者应当知道之日起7日内向有关行政监督部门投诉。投诉应当有明确的请求和必要的证明材料；</w:t>
      </w:r>
    </w:p>
    <w:p w14:paraId="3A757C9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供应商或者其他利害关系人对竞争性磋商文件、磋商和评标结果提出投诉的，应当按照供应商须知</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规定先向采购人提出异议。</w:t>
      </w:r>
    </w:p>
    <w:p w14:paraId="4D61724A">
      <w:pPr>
        <w:pStyle w:val="23"/>
        <w:keepNext/>
        <w:keepLines/>
        <w:pageBreakBefore w:val="0"/>
        <w:widowControl w:val="0"/>
        <w:kinsoku/>
        <w:wordWrap/>
        <w:overflowPunct/>
        <w:topLinePunct w:val="0"/>
        <w:autoSpaceDE/>
        <w:autoSpaceDN/>
        <w:bidi w:val="0"/>
        <w:adjustRightInd/>
        <w:snapToGrid/>
        <w:spacing w:beforeAutospacing="0" w:after="0" w:afterAutospacing="0" w:line="500" w:lineRule="exact"/>
        <w:ind w:firstLine="482" w:firstLineChars="200"/>
        <w:jc w:val="both"/>
        <w:textAlignment w:val="auto"/>
        <w:outlineLvl w:val="1"/>
        <w:rPr>
          <w:rFonts w:hint="eastAsia" w:ascii="宋体" w:hAnsi="宋体" w:eastAsia="宋体" w:cs="宋体"/>
          <w:b/>
          <w:kern w:val="2"/>
          <w:sz w:val="24"/>
          <w:szCs w:val="24"/>
          <w:highlight w:val="none"/>
        </w:rPr>
      </w:pPr>
      <w:bookmarkStart w:id="141" w:name="_Toc10555_WPSOffice_Level2"/>
      <w:bookmarkEnd w:id="141"/>
      <w:bookmarkStart w:id="142" w:name="_Toc522085786"/>
      <w:bookmarkEnd w:id="142"/>
      <w:bookmarkStart w:id="143" w:name="_Toc521997990"/>
      <w:bookmarkEnd w:id="143"/>
      <w:bookmarkStart w:id="144" w:name="_Toc522798849"/>
      <w:bookmarkEnd w:id="144"/>
      <w:bookmarkStart w:id="145" w:name="_Toc497301896"/>
      <w:bookmarkEnd w:id="145"/>
      <w:bookmarkStart w:id="146" w:name="_Toc522085785"/>
      <w:bookmarkEnd w:id="146"/>
      <w:bookmarkStart w:id="147" w:name="_Toc522798848"/>
      <w:bookmarkEnd w:id="147"/>
      <w:bookmarkStart w:id="148" w:name="_Toc521997991"/>
      <w:bookmarkEnd w:id="148"/>
      <w:bookmarkStart w:id="149" w:name="_Toc18810"/>
      <w:r>
        <w:rPr>
          <w:rFonts w:hint="eastAsia" w:ascii="宋体" w:hAnsi="宋体" w:eastAsia="宋体" w:cs="宋体"/>
          <w:b/>
          <w:kern w:val="2"/>
          <w:sz w:val="24"/>
          <w:szCs w:val="24"/>
          <w:highlight w:val="none"/>
          <w:lang w:eastAsia="zh-CN"/>
        </w:rPr>
        <w:t>九、</w:t>
      </w:r>
      <w:r>
        <w:rPr>
          <w:rFonts w:hint="eastAsia" w:ascii="宋体" w:hAnsi="宋体" w:eastAsia="宋体" w:cs="宋体"/>
          <w:b/>
          <w:kern w:val="2"/>
          <w:sz w:val="24"/>
          <w:szCs w:val="24"/>
          <w:highlight w:val="none"/>
        </w:rPr>
        <w:t>需要补充的其他内容</w:t>
      </w:r>
      <w:bookmarkEnd w:id="149"/>
    </w:p>
    <w:p w14:paraId="0F7C38C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需要补充的其他内容：见供应商须知前附表。未尽事宜按国家有关规定执行。本竞争性磋商文件最终解释权归采购人。</w:t>
      </w:r>
    </w:p>
    <w:bookmarkEnd w:id="48"/>
    <w:p w14:paraId="11465AE7">
      <w:pPr>
        <w:pageBreakBefore w:val="0"/>
        <w:kinsoku/>
        <w:overflowPunct/>
        <w:bidi w:val="0"/>
        <w:spacing w:line="500" w:lineRule="exact"/>
        <w:rPr>
          <w:rFonts w:hint="eastAsia"/>
          <w:highlight w:val="none"/>
        </w:rPr>
      </w:pPr>
    </w:p>
    <w:p w14:paraId="5C6B0BDF">
      <w:pPr>
        <w:pageBreakBefore w:val="0"/>
        <w:kinsoku/>
        <w:overflowPunct/>
        <w:bidi w:val="0"/>
        <w:spacing w:line="500" w:lineRule="exact"/>
        <w:rPr>
          <w:rFonts w:hint="eastAsia"/>
          <w:highlight w:val="none"/>
        </w:rPr>
      </w:pPr>
    </w:p>
    <w:p w14:paraId="4296B814">
      <w:pPr>
        <w:pageBreakBefore w:val="0"/>
        <w:kinsoku/>
        <w:overflowPunct/>
        <w:bidi w:val="0"/>
        <w:spacing w:line="500" w:lineRule="exact"/>
        <w:rPr>
          <w:rFonts w:hint="eastAsia"/>
          <w:highlight w:val="none"/>
        </w:rPr>
      </w:pPr>
    </w:p>
    <w:p w14:paraId="33E29326">
      <w:pPr>
        <w:pageBreakBefore w:val="0"/>
        <w:kinsoku/>
        <w:overflowPunct/>
        <w:bidi w:val="0"/>
        <w:spacing w:line="500" w:lineRule="exact"/>
        <w:rPr>
          <w:rFonts w:hint="eastAsia"/>
          <w:highlight w:val="none"/>
        </w:rPr>
      </w:pPr>
    </w:p>
    <w:p w14:paraId="0923A529">
      <w:pPr>
        <w:pageBreakBefore w:val="0"/>
        <w:kinsoku/>
        <w:overflowPunct/>
        <w:bidi w:val="0"/>
        <w:spacing w:line="500" w:lineRule="exact"/>
        <w:rPr>
          <w:rFonts w:hint="eastAsia"/>
          <w:highlight w:val="none"/>
        </w:rPr>
      </w:pPr>
    </w:p>
    <w:p w14:paraId="5C13DFDB">
      <w:pPr>
        <w:pageBreakBefore w:val="0"/>
        <w:kinsoku/>
        <w:overflowPunct/>
        <w:bidi w:val="0"/>
        <w:spacing w:line="500" w:lineRule="exact"/>
        <w:rPr>
          <w:rFonts w:hint="eastAsia"/>
          <w:highlight w:val="none"/>
        </w:rPr>
      </w:pPr>
    </w:p>
    <w:bookmarkEnd w:id="39"/>
    <w:bookmarkEnd w:id="40"/>
    <w:p w14:paraId="7E273B55">
      <w:pPr>
        <w:pageBreakBefore w:val="0"/>
        <w:kinsoku/>
        <w:overflowPunct/>
        <w:bidi w:val="0"/>
        <w:spacing w:line="500" w:lineRule="exact"/>
        <w:rPr>
          <w:rFonts w:hint="eastAsia" w:ascii="宋体" w:hAnsi="宋体" w:cs="宋体"/>
          <w:sz w:val="24"/>
          <w:highlight w:val="none"/>
        </w:rPr>
        <w:sectPr>
          <w:footerReference r:id="rId7" w:type="default"/>
          <w:pgSz w:w="11915" w:h="16840"/>
          <w:pgMar w:top="1417" w:right="1134" w:bottom="1417" w:left="1417" w:header="720" w:footer="720" w:gutter="0"/>
          <w:pgNumType w:fmt="decimal"/>
          <w:cols w:space="720" w:num="1"/>
          <w:rtlGutter w:val="0"/>
          <w:docGrid w:type="lines" w:linePitch="312" w:charSpace="0"/>
        </w:sectPr>
      </w:pPr>
    </w:p>
    <w:p w14:paraId="4B75644A">
      <w:pPr>
        <w:pStyle w:val="2"/>
        <w:pageBreakBefore w:val="0"/>
        <w:tabs>
          <w:tab w:val="left" w:pos="7980"/>
        </w:tabs>
        <w:kinsoku/>
        <w:overflowPunct/>
        <w:bidi w:val="0"/>
        <w:spacing w:line="500" w:lineRule="exact"/>
        <w:rPr>
          <w:rFonts w:hint="eastAsia" w:eastAsia="宋体"/>
          <w:highlight w:val="none"/>
          <w:lang w:eastAsia="zh-CN"/>
        </w:rPr>
      </w:pPr>
      <w:bookmarkStart w:id="150" w:name="_Toc22255"/>
      <w:r>
        <w:rPr>
          <w:rFonts w:hint="eastAsia"/>
          <w:highlight w:val="none"/>
        </w:rPr>
        <w:t>第三章</w:t>
      </w:r>
      <w:bookmarkEnd w:id="150"/>
      <w:r>
        <w:rPr>
          <w:rFonts w:hint="eastAsia"/>
          <w:highlight w:val="none"/>
          <w:lang w:val="en-US" w:eastAsia="zh-CN"/>
        </w:rPr>
        <w:t xml:space="preserve">  </w:t>
      </w:r>
      <w:r>
        <w:rPr>
          <w:rFonts w:hint="eastAsia"/>
          <w:highlight w:val="none"/>
          <w:lang w:eastAsia="zh-CN"/>
        </w:rPr>
        <w:t>采购清单</w:t>
      </w:r>
    </w:p>
    <w:p w14:paraId="38B0FAF3">
      <w:pPr>
        <w:rPr>
          <w:rFonts w:hint="eastAsia"/>
          <w:highlight w:val="none"/>
          <w:lang w:val="en-US" w:eastAsia="zh-CN"/>
        </w:rPr>
      </w:pPr>
    </w:p>
    <w:tbl>
      <w:tblPr>
        <w:tblStyle w:val="26"/>
        <w:tblW w:w="10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6"/>
        <w:gridCol w:w="2175"/>
        <w:gridCol w:w="2913"/>
        <w:gridCol w:w="665"/>
        <w:gridCol w:w="755"/>
        <w:gridCol w:w="576"/>
        <w:gridCol w:w="576"/>
        <w:gridCol w:w="935"/>
      </w:tblGrid>
      <w:tr w14:paraId="1A85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1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6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59"/>
                <w:lang w:val="en-US" w:eastAsia="zh-CN" w:bidi="ar"/>
              </w:rPr>
              <w:t>冷库36米×12.4米×8米；共4间；用途：果蔬保鲜，冷冻冷藏两用。</w:t>
            </w:r>
          </w:p>
        </w:tc>
      </w:tr>
      <w:tr w14:paraId="02FA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1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5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冷库温度；正负5度，-18度</w:t>
            </w:r>
          </w:p>
        </w:tc>
      </w:tr>
      <w:tr w14:paraId="456B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1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A5CB">
            <w:pPr>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333333"/>
                <w:kern w:val="0"/>
                <w:sz w:val="22"/>
                <w:szCs w:val="22"/>
                <w:u w:val="none"/>
                <w:lang w:val="en-US" w:eastAsia="zh-CN" w:bidi="ar"/>
              </w:rPr>
              <w:t>一、冷库库体保温及维护结构部分</w:t>
            </w:r>
          </w:p>
        </w:tc>
      </w:tr>
      <w:tr w14:paraId="494F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6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7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设备设备名称</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4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E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C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9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9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E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175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4E5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2076">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冷库板顶板</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5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双面彩钢钢聚氨酯厚度150mm,B1阻燃</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7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446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9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DD71">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148E">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0E7E">
            <w:pPr>
              <w:jc w:val="center"/>
              <w:rPr>
                <w:rFonts w:hint="eastAsia" w:ascii="宋体" w:hAnsi="宋体" w:eastAsia="宋体" w:cs="宋体"/>
                <w:i w:val="0"/>
                <w:iCs w:val="0"/>
                <w:color w:val="000000"/>
                <w:sz w:val="22"/>
                <w:szCs w:val="22"/>
                <w:u w:val="none"/>
              </w:rPr>
            </w:pPr>
          </w:p>
        </w:tc>
      </w:tr>
      <w:tr w14:paraId="4DCD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5736">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DC1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冷库板墙板</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3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双面彩钢聚氨酯厚度150mm,B1阻燃</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C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1,180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0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40DB">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71A4">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0145">
            <w:pPr>
              <w:jc w:val="center"/>
              <w:rPr>
                <w:rFonts w:hint="eastAsia" w:ascii="宋体" w:hAnsi="宋体" w:eastAsia="宋体" w:cs="宋体"/>
                <w:i w:val="0"/>
                <w:iCs w:val="0"/>
                <w:color w:val="000000"/>
                <w:sz w:val="22"/>
                <w:szCs w:val="22"/>
                <w:u w:val="none"/>
              </w:rPr>
            </w:pPr>
          </w:p>
        </w:tc>
      </w:tr>
      <w:tr w14:paraId="3EA5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8805">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279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冷库门</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1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双面彩钢钢聚氨酯，2200mm×2600mm</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5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1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D005">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8359">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A30E">
            <w:pPr>
              <w:jc w:val="center"/>
              <w:rPr>
                <w:rFonts w:hint="eastAsia" w:ascii="宋体" w:hAnsi="宋体" w:eastAsia="宋体" w:cs="宋体"/>
                <w:i w:val="0"/>
                <w:iCs w:val="0"/>
                <w:color w:val="000000"/>
                <w:sz w:val="22"/>
                <w:szCs w:val="22"/>
                <w:u w:val="none"/>
              </w:rPr>
            </w:pPr>
          </w:p>
        </w:tc>
      </w:tr>
      <w:tr w14:paraId="518B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332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CE4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密封胶</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2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703 </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A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4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23CC">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DA0A">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8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冷库密封</w:t>
            </w:r>
          </w:p>
        </w:tc>
      </w:tr>
      <w:tr w14:paraId="1792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4BB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B9BF">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发泡胶</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1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自喷发泡剂</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1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3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AEFF">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379E">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2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冷库密封</w:t>
            </w:r>
          </w:p>
        </w:tc>
      </w:tr>
      <w:tr w14:paraId="6695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E5B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0965">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装饰板</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C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内外角封</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5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C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7BB5">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8241">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77F6">
            <w:pPr>
              <w:jc w:val="center"/>
              <w:rPr>
                <w:rFonts w:hint="eastAsia" w:ascii="宋体" w:hAnsi="宋体" w:eastAsia="宋体" w:cs="宋体"/>
                <w:i w:val="0"/>
                <w:iCs w:val="0"/>
                <w:color w:val="000000"/>
                <w:sz w:val="22"/>
                <w:szCs w:val="22"/>
                <w:u w:val="none"/>
              </w:rPr>
            </w:pPr>
          </w:p>
        </w:tc>
      </w:tr>
      <w:tr w14:paraId="558F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A0BB">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7A9A">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应急报警灯</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3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C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F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13F">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3BC7">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DEFD">
            <w:pPr>
              <w:jc w:val="center"/>
              <w:rPr>
                <w:rFonts w:hint="eastAsia" w:ascii="宋体" w:hAnsi="宋体" w:eastAsia="宋体" w:cs="宋体"/>
                <w:i w:val="0"/>
                <w:iCs w:val="0"/>
                <w:color w:val="000000"/>
                <w:sz w:val="22"/>
                <w:szCs w:val="22"/>
                <w:u w:val="none"/>
              </w:rPr>
            </w:pPr>
          </w:p>
        </w:tc>
      </w:tr>
      <w:tr w14:paraId="5588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253B">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E319">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风幕机</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8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2200mm</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2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2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40DD">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7026">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0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静音</w:t>
            </w:r>
          </w:p>
        </w:tc>
      </w:tr>
      <w:tr w14:paraId="34B2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9EDF">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E97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库体安装辅材</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6C1F">
            <w:pPr>
              <w:jc w:val="left"/>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0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4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ADE3">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804A">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EBFF">
            <w:pPr>
              <w:jc w:val="center"/>
              <w:rPr>
                <w:rFonts w:hint="eastAsia" w:ascii="宋体" w:hAnsi="宋体" w:eastAsia="宋体" w:cs="宋体"/>
                <w:i w:val="0"/>
                <w:iCs w:val="0"/>
                <w:color w:val="000000"/>
                <w:sz w:val="22"/>
                <w:szCs w:val="22"/>
                <w:u w:val="none"/>
              </w:rPr>
            </w:pPr>
          </w:p>
        </w:tc>
      </w:tr>
      <w:tr w14:paraId="4906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DF46">
            <w:pPr>
              <w:rPr>
                <w:rFonts w:hint="eastAsia" w:ascii="宋体" w:hAnsi="宋体" w:eastAsia="宋体" w:cs="宋体"/>
                <w:i w:val="0"/>
                <w:iCs w:val="0"/>
                <w:color w:val="333333"/>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42AE">
            <w:pPr>
              <w:jc w:val="center"/>
              <w:rPr>
                <w:rFonts w:hint="eastAsia" w:ascii="宋体" w:hAnsi="宋体" w:eastAsia="宋体" w:cs="宋体"/>
                <w:i w:val="0"/>
                <w:iCs w:val="0"/>
                <w:color w:val="333333"/>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64B6">
            <w:pPr>
              <w:jc w:val="left"/>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1BC3">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8ED1">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7800">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5AD7">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F352">
            <w:pPr>
              <w:jc w:val="center"/>
              <w:rPr>
                <w:rFonts w:hint="eastAsia" w:ascii="宋体" w:hAnsi="宋体" w:eastAsia="宋体" w:cs="宋体"/>
                <w:i w:val="0"/>
                <w:iCs w:val="0"/>
                <w:color w:val="000000"/>
                <w:sz w:val="22"/>
                <w:szCs w:val="22"/>
                <w:u w:val="none"/>
              </w:rPr>
            </w:pPr>
          </w:p>
        </w:tc>
      </w:tr>
      <w:tr w14:paraId="579F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1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0AE8">
            <w:pPr>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333333"/>
                <w:kern w:val="0"/>
                <w:sz w:val="22"/>
                <w:szCs w:val="22"/>
                <w:u w:val="none"/>
                <w:lang w:val="en-US" w:eastAsia="zh-CN" w:bidi="ar"/>
              </w:rPr>
              <w:t>二、制冷设备部分</w:t>
            </w:r>
          </w:p>
        </w:tc>
      </w:tr>
      <w:tr w14:paraId="3F2A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C3D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D43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制冷机组</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3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40匹*2，在运行工况-10℃/35℃时机组的制冷量＞160KW；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单台机头的能量调节：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制冷压缩机的起动、停机均能自动进行。所有制冷压缩机均有高压、低压、油压、过流、过热等自动保护装置，电动机断相及相序保护装置及故障报警装置；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制冷机组的供液管、回气管、排气管、均需安装截止阀；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机组必须有储液器、供液过滤器、吸气过滤器等；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制冷系统需要配置远程监控及报警系统，可监控机组运行情况，各冷库内温度等，便于日常管理；</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E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CAE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CEB6">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31A5">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3608">
            <w:pPr>
              <w:jc w:val="center"/>
              <w:rPr>
                <w:rFonts w:hint="eastAsia" w:ascii="宋体" w:hAnsi="宋体" w:eastAsia="宋体" w:cs="宋体"/>
                <w:i w:val="0"/>
                <w:iCs w:val="0"/>
                <w:color w:val="000000"/>
                <w:sz w:val="22"/>
                <w:szCs w:val="22"/>
                <w:u w:val="none"/>
              </w:rPr>
            </w:pPr>
          </w:p>
        </w:tc>
      </w:tr>
      <w:tr w14:paraId="16DB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1FF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1E2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蒸发冷凝器</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9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换热量≥600KW；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冷凝温度35℃、夏季室外计算日平均温度27℃，最热月平均相对湿度78%;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风扇电机及接线盒：防水防潮；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水飘逸率低于0.001%；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配套检修设施，进出风口加防护网；高配</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B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102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AF36">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729C">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1A40">
            <w:pPr>
              <w:jc w:val="center"/>
              <w:rPr>
                <w:rFonts w:hint="eastAsia" w:ascii="宋体" w:hAnsi="宋体" w:eastAsia="宋体" w:cs="宋体"/>
                <w:i w:val="0"/>
                <w:iCs w:val="0"/>
                <w:color w:val="000000"/>
                <w:sz w:val="22"/>
                <w:szCs w:val="22"/>
                <w:u w:val="none"/>
              </w:rPr>
            </w:pPr>
          </w:p>
        </w:tc>
      </w:tr>
      <w:tr w14:paraId="6DE9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697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785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冷风机</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D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28kw，550W电机，4个；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采用国内知名品牌自带热保护；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铜管加铝翅片制成，铜管厚度≥0.4mm，翅片厚度≥0.11mm，片距≥9mm，换热面积≥库房面积的两倍；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外壳材质：镀铝锌板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化霜方式：水冲霜；高配</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4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8FF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B914">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5195">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A10F">
            <w:pPr>
              <w:jc w:val="center"/>
              <w:rPr>
                <w:rFonts w:hint="eastAsia" w:ascii="宋体" w:hAnsi="宋体" w:eastAsia="宋体" w:cs="宋体"/>
                <w:i w:val="0"/>
                <w:iCs w:val="0"/>
                <w:color w:val="000000"/>
                <w:sz w:val="22"/>
                <w:szCs w:val="22"/>
                <w:u w:val="none"/>
              </w:rPr>
            </w:pPr>
          </w:p>
        </w:tc>
      </w:tr>
      <w:tr w14:paraId="0B47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1E1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02A6">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冷风机</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F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52kw,1500W的电机，3个；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采用国内知名品牌自带热保护；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铜管加铝翅片制成，铜管厚度≥0.4mm，翅片厚度≥0.11mm，片距≥6mm，换热面积≥库房面积的两倍；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外壳材质：镀铝锌板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化霜方式：水冲霜；高配</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E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4CF3">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A1CA">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3A50">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8480">
            <w:pPr>
              <w:jc w:val="center"/>
              <w:rPr>
                <w:rFonts w:hint="eastAsia" w:ascii="宋体" w:hAnsi="宋体" w:eastAsia="宋体" w:cs="宋体"/>
                <w:i w:val="0"/>
                <w:iCs w:val="0"/>
                <w:color w:val="000000"/>
                <w:sz w:val="22"/>
                <w:szCs w:val="22"/>
                <w:u w:val="none"/>
              </w:rPr>
            </w:pPr>
          </w:p>
        </w:tc>
      </w:tr>
      <w:tr w14:paraId="2930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D48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B73C">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氟利昂制冷剂</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4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9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9D0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瓶</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D4DD">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A0B6">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89FE">
            <w:pPr>
              <w:jc w:val="center"/>
              <w:rPr>
                <w:rFonts w:hint="eastAsia" w:ascii="宋体" w:hAnsi="宋体" w:eastAsia="宋体" w:cs="宋体"/>
                <w:i w:val="0"/>
                <w:iCs w:val="0"/>
                <w:color w:val="000000"/>
                <w:sz w:val="22"/>
                <w:szCs w:val="22"/>
                <w:u w:val="none"/>
              </w:rPr>
            </w:pPr>
          </w:p>
        </w:tc>
      </w:tr>
      <w:tr w14:paraId="5A5A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0A5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795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膨胀阀</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B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E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E7E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6346">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05AD">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4798">
            <w:pPr>
              <w:jc w:val="center"/>
              <w:rPr>
                <w:rFonts w:hint="eastAsia" w:ascii="宋体" w:hAnsi="宋体" w:eastAsia="宋体" w:cs="宋体"/>
                <w:i w:val="0"/>
                <w:iCs w:val="0"/>
                <w:color w:val="000000"/>
                <w:sz w:val="22"/>
                <w:szCs w:val="22"/>
                <w:u w:val="none"/>
              </w:rPr>
            </w:pPr>
          </w:p>
        </w:tc>
      </w:tr>
      <w:tr w14:paraId="257E3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DF92">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189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制冷系统管道</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9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酸洗钝化无缝钢管DN89DN76DN45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8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F87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0569">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39C8">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78BB">
            <w:pPr>
              <w:jc w:val="center"/>
              <w:rPr>
                <w:rFonts w:hint="eastAsia" w:ascii="宋体" w:hAnsi="宋体" w:eastAsia="宋体" w:cs="宋体"/>
                <w:i w:val="0"/>
                <w:iCs w:val="0"/>
                <w:color w:val="000000"/>
                <w:sz w:val="22"/>
                <w:szCs w:val="22"/>
                <w:u w:val="none"/>
              </w:rPr>
            </w:pPr>
          </w:p>
        </w:tc>
      </w:tr>
      <w:tr w14:paraId="5EF1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6EF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8316">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化霜系统管道</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6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酸洗钝化无缝钢管DN89DN76DN45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C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CF65">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B84F">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2BA2">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10D6">
            <w:pPr>
              <w:jc w:val="center"/>
              <w:rPr>
                <w:rFonts w:hint="eastAsia" w:ascii="宋体" w:hAnsi="宋体" w:eastAsia="宋体" w:cs="宋体"/>
                <w:i w:val="0"/>
                <w:iCs w:val="0"/>
                <w:color w:val="000000"/>
                <w:sz w:val="22"/>
                <w:szCs w:val="22"/>
                <w:u w:val="none"/>
              </w:rPr>
            </w:pPr>
          </w:p>
        </w:tc>
      </w:tr>
      <w:tr w14:paraId="4539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CD65">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13DC">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过滤器</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5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DCL16</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C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A53A">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9E7D">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E14E">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ADBF">
            <w:pPr>
              <w:jc w:val="center"/>
              <w:rPr>
                <w:rFonts w:hint="eastAsia" w:ascii="宋体" w:hAnsi="宋体" w:eastAsia="宋体" w:cs="宋体"/>
                <w:i w:val="0"/>
                <w:iCs w:val="0"/>
                <w:color w:val="000000"/>
                <w:sz w:val="22"/>
                <w:szCs w:val="22"/>
                <w:u w:val="none"/>
              </w:rPr>
            </w:pPr>
          </w:p>
        </w:tc>
      </w:tr>
      <w:tr w14:paraId="0C94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F83E">
            <w:pPr>
              <w:rPr>
                <w:rFonts w:hint="eastAsia" w:ascii="宋体" w:hAnsi="宋体" w:eastAsia="宋体" w:cs="宋体"/>
                <w:i w:val="0"/>
                <w:iCs w:val="0"/>
                <w:color w:val="333333"/>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B25B">
            <w:pPr>
              <w:jc w:val="center"/>
              <w:rPr>
                <w:rFonts w:hint="eastAsia" w:ascii="宋体" w:hAnsi="宋体" w:eastAsia="宋体" w:cs="宋体"/>
                <w:i w:val="0"/>
                <w:iCs w:val="0"/>
                <w:color w:val="333333"/>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50A2">
            <w:pPr>
              <w:jc w:val="left"/>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A09A">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7E76">
            <w:pPr>
              <w:jc w:val="center"/>
              <w:rPr>
                <w:rFonts w:hint="eastAsia" w:ascii="宋体" w:hAnsi="宋体" w:eastAsia="宋体" w:cs="宋体"/>
                <w:i w:val="0"/>
                <w:iCs w:val="0"/>
                <w:color w:val="333333"/>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8C2F">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3BAC">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A167">
            <w:pPr>
              <w:jc w:val="center"/>
              <w:rPr>
                <w:rFonts w:hint="eastAsia" w:ascii="宋体" w:hAnsi="宋体" w:eastAsia="宋体" w:cs="宋体"/>
                <w:i w:val="0"/>
                <w:iCs w:val="0"/>
                <w:color w:val="000000"/>
                <w:sz w:val="22"/>
                <w:szCs w:val="22"/>
                <w:u w:val="none"/>
              </w:rPr>
            </w:pPr>
          </w:p>
        </w:tc>
      </w:tr>
      <w:tr w14:paraId="6375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A1E9">
            <w:pPr>
              <w:keepNext w:val="0"/>
              <w:keepLines w:val="0"/>
              <w:widowControl/>
              <w:suppressLineNumbers w:val="0"/>
              <w:jc w:val="left"/>
              <w:textAlignment w:val="center"/>
              <w:rPr>
                <w:rFonts w:hint="eastAsia" w:ascii="宋体" w:hAnsi="宋体" w:eastAsia="宋体" w:cs="宋体"/>
                <w:b/>
                <w:bCs/>
                <w:i w:val="0"/>
                <w:iCs w:val="0"/>
                <w:color w:val="333333"/>
                <w:sz w:val="22"/>
                <w:szCs w:val="22"/>
                <w:u w:val="none"/>
              </w:rPr>
            </w:pPr>
            <w:r>
              <w:rPr>
                <w:rFonts w:hint="eastAsia" w:ascii="宋体" w:hAnsi="宋体" w:eastAsia="宋体" w:cs="宋体"/>
                <w:b/>
                <w:bCs/>
                <w:i w:val="0"/>
                <w:iCs w:val="0"/>
                <w:color w:val="333333"/>
                <w:kern w:val="0"/>
                <w:sz w:val="22"/>
                <w:szCs w:val="22"/>
                <w:u w:val="none"/>
                <w:lang w:val="en-US" w:eastAsia="zh-CN" w:bidi="ar"/>
              </w:rPr>
              <w:t>C、电器部分</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4F71">
            <w:pPr>
              <w:jc w:val="center"/>
              <w:rPr>
                <w:rFonts w:hint="eastAsia" w:ascii="宋体" w:hAnsi="宋体" w:eastAsia="宋体" w:cs="宋体"/>
                <w:b/>
                <w:bCs/>
                <w:i w:val="0"/>
                <w:iCs w:val="0"/>
                <w:color w:val="333333"/>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7ED4">
            <w:pPr>
              <w:jc w:val="left"/>
              <w:rPr>
                <w:rFonts w:hint="eastAsia" w:ascii="宋体" w:hAnsi="宋体" w:eastAsia="宋体" w:cs="宋体"/>
                <w:i w:val="0"/>
                <w:iCs w:val="0"/>
                <w:color w:val="333333"/>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2845">
            <w:pPr>
              <w:jc w:val="center"/>
              <w:rPr>
                <w:rFonts w:hint="eastAsia" w:ascii="宋体" w:hAnsi="宋体" w:eastAsia="宋体" w:cs="宋体"/>
                <w:i w:val="0"/>
                <w:iCs w:val="0"/>
                <w:color w:val="333333"/>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1207">
            <w:pPr>
              <w:jc w:val="center"/>
              <w:rPr>
                <w:rFonts w:hint="eastAsia" w:ascii="宋体" w:hAnsi="宋体" w:eastAsia="宋体" w:cs="宋体"/>
                <w:i w:val="0"/>
                <w:iCs w:val="0"/>
                <w:color w:val="333333"/>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DB35">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8533">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DA8D">
            <w:pPr>
              <w:jc w:val="center"/>
              <w:rPr>
                <w:rFonts w:hint="eastAsia" w:ascii="宋体" w:hAnsi="宋体" w:eastAsia="宋体" w:cs="宋体"/>
                <w:i w:val="0"/>
                <w:iCs w:val="0"/>
                <w:color w:val="000000"/>
                <w:sz w:val="22"/>
                <w:szCs w:val="22"/>
                <w:u w:val="none"/>
              </w:rPr>
            </w:pPr>
          </w:p>
        </w:tc>
      </w:tr>
      <w:tr w14:paraId="7010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7E59">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E04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电控柜</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1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全自动微电脑控制柜</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9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C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AC58">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A3FF">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3621">
            <w:pPr>
              <w:jc w:val="center"/>
              <w:rPr>
                <w:rFonts w:hint="eastAsia" w:ascii="宋体" w:hAnsi="宋体" w:eastAsia="宋体" w:cs="宋体"/>
                <w:i w:val="0"/>
                <w:iCs w:val="0"/>
                <w:color w:val="000000"/>
                <w:sz w:val="22"/>
                <w:szCs w:val="22"/>
                <w:u w:val="none"/>
              </w:rPr>
            </w:pPr>
          </w:p>
        </w:tc>
      </w:tr>
      <w:tr w14:paraId="40F0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AB7C">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B64C">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电线</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1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8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0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EB1C">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5B93">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DCEA">
            <w:pPr>
              <w:jc w:val="center"/>
              <w:rPr>
                <w:rFonts w:hint="eastAsia" w:ascii="宋体" w:hAnsi="宋体" w:eastAsia="宋体" w:cs="宋体"/>
                <w:i w:val="0"/>
                <w:iCs w:val="0"/>
                <w:color w:val="000000"/>
                <w:sz w:val="22"/>
                <w:szCs w:val="22"/>
                <w:u w:val="none"/>
              </w:rPr>
            </w:pPr>
          </w:p>
        </w:tc>
      </w:tr>
      <w:tr w14:paraId="5CC9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566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8F5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开关</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8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8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0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4A60">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E0DF">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34E4">
            <w:pPr>
              <w:jc w:val="center"/>
              <w:rPr>
                <w:rFonts w:hint="eastAsia" w:ascii="宋体" w:hAnsi="宋体" w:eastAsia="宋体" w:cs="宋体"/>
                <w:i w:val="0"/>
                <w:iCs w:val="0"/>
                <w:color w:val="000000"/>
                <w:sz w:val="22"/>
                <w:szCs w:val="22"/>
                <w:u w:val="none"/>
              </w:rPr>
            </w:pPr>
          </w:p>
        </w:tc>
      </w:tr>
      <w:tr w14:paraId="3C38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745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7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冷库灯</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B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LED三防冷库灯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A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2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7DF3">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C980">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BFB4">
            <w:pPr>
              <w:jc w:val="center"/>
              <w:rPr>
                <w:rFonts w:hint="eastAsia" w:ascii="宋体" w:hAnsi="宋体" w:eastAsia="宋体" w:cs="宋体"/>
                <w:i w:val="0"/>
                <w:iCs w:val="0"/>
                <w:color w:val="000000"/>
                <w:sz w:val="22"/>
                <w:szCs w:val="22"/>
                <w:u w:val="none"/>
              </w:rPr>
            </w:pPr>
          </w:p>
        </w:tc>
      </w:tr>
      <w:tr w14:paraId="7350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0F20">
            <w:pP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171C">
            <w:pPr>
              <w:jc w:val="center"/>
              <w:rPr>
                <w:rFonts w:hint="eastAsia" w:ascii="宋体" w:hAnsi="宋体" w:eastAsia="宋体" w:cs="宋体"/>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3922">
            <w:pPr>
              <w:jc w:val="left"/>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E369">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56CE">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0FFE">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470C">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1397">
            <w:pPr>
              <w:jc w:val="center"/>
              <w:rPr>
                <w:rFonts w:hint="eastAsia" w:ascii="宋体" w:hAnsi="宋体" w:eastAsia="宋体" w:cs="宋体"/>
                <w:i w:val="0"/>
                <w:iCs w:val="0"/>
                <w:color w:val="000000"/>
                <w:sz w:val="22"/>
                <w:szCs w:val="22"/>
                <w:u w:val="none"/>
              </w:rPr>
            </w:pPr>
          </w:p>
        </w:tc>
      </w:tr>
      <w:tr w14:paraId="325D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91B8">
            <w:pPr>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333333"/>
                <w:kern w:val="0"/>
                <w:sz w:val="22"/>
                <w:szCs w:val="22"/>
                <w:u w:val="none"/>
                <w:lang w:val="en-US" w:eastAsia="zh-CN" w:bidi="ar"/>
              </w:rPr>
              <w:t>三、安装材料料及辅材</w:t>
            </w:r>
          </w:p>
        </w:tc>
      </w:tr>
      <w:tr w14:paraId="53DB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1382">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417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紫铜管</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BA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国标Φ54，Φ22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0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C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3BC5">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D187">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D492">
            <w:pPr>
              <w:jc w:val="center"/>
              <w:rPr>
                <w:rFonts w:hint="eastAsia" w:ascii="宋体" w:hAnsi="宋体" w:eastAsia="宋体" w:cs="宋体"/>
                <w:i w:val="0"/>
                <w:iCs w:val="0"/>
                <w:color w:val="000000"/>
                <w:sz w:val="22"/>
                <w:szCs w:val="22"/>
                <w:u w:val="none"/>
              </w:rPr>
            </w:pPr>
          </w:p>
        </w:tc>
      </w:tr>
      <w:tr w14:paraId="7ACC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C7C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5FD4">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保温管</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0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0"/>
                <w:lang w:val="en-US" w:eastAsia="zh-CN" w:bidi="ar"/>
              </w:rPr>
              <w:t>加厚</w:t>
            </w:r>
            <w:r>
              <w:rPr>
                <w:rStyle w:val="59"/>
                <w:lang w:val="en-US" w:eastAsia="zh-CN" w:bidi="ar"/>
              </w:rPr>
              <w:t>B2</w:t>
            </w:r>
            <w:r>
              <w:rPr>
                <w:rStyle w:val="60"/>
                <w:lang w:val="en-US" w:eastAsia="zh-CN" w:bidi="ar"/>
              </w:rPr>
              <w:t>阻燃</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B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E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1C50">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4799">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B50F">
            <w:pPr>
              <w:jc w:val="center"/>
              <w:rPr>
                <w:rFonts w:hint="eastAsia" w:ascii="宋体" w:hAnsi="宋体" w:eastAsia="宋体" w:cs="宋体"/>
                <w:i w:val="0"/>
                <w:iCs w:val="0"/>
                <w:color w:val="000000"/>
                <w:sz w:val="22"/>
                <w:szCs w:val="22"/>
                <w:u w:val="none"/>
              </w:rPr>
            </w:pPr>
          </w:p>
        </w:tc>
      </w:tr>
      <w:tr w14:paraId="4A4C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20A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2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包扎带</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5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铝箔布</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5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2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4CD4">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933B">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9DF2">
            <w:pPr>
              <w:jc w:val="center"/>
              <w:rPr>
                <w:rFonts w:hint="eastAsia" w:ascii="宋体" w:hAnsi="宋体" w:eastAsia="宋体" w:cs="宋体"/>
                <w:i w:val="0"/>
                <w:iCs w:val="0"/>
                <w:color w:val="000000"/>
                <w:sz w:val="22"/>
                <w:szCs w:val="22"/>
                <w:u w:val="none"/>
              </w:rPr>
            </w:pPr>
          </w:p>
        </w:tc>
      </w:tr>
      <w:tr w14:paraId="51D6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5C7B">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730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紫铜管件</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A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Φ54，Φ22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0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5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045B">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29C2">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B868">
            <w:pPr>
              <w:jc w:val="center"/>
              <w:rPr>
                <w:rFonts w:hint="eastAsia" w:ascii="宋体" w:hAnsi="宋体" w:eastAsia="宋体" w:cs="宋体"/>
                <w:i w:val="0"/>
                <w:iCs w:val="0"/>
                <w:color w:val="000000"/>
                <w:sz w:val="22"/>
                <w:szCs w:val="22"/>
                <w:u w:val="none"/>
              </w:rPr>
            </w:pPr>
          </w:p>
        </w:tc>
      </w:tr>
      <w:tr w14:paraId="681C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FE5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E69F">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银铜焊条</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1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4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0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34C9">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AA30">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67D8">
            <w:pPr>
              <w:jc w:val="center"/>
              <w:rPr>
                <w:rFonts w:hint="eastAsia" w:ascii="宋体" w:hAnsi="宋体" w:eastAsia="宋体" w:cs="宋体"/>
                <w:i w:val="0"/>
                <w:iCs w:val="0"/>
                <w:color w:val="000000"/>
                <w:sz w:val="22"/>
                <w:szCs w:val="22"/>
                <w:u w:val="none"/>
              </w:rPr>
            </w:pPr>
          </w:p>
        </w:tc>
      </w:tr>
      <w:tr w14:paraId="6FC7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5C7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DD4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焊接试压气体</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5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氧气，氮气</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E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1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92D2">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22F5">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A7F2">
            <w:pPr>
              <w:jc w:val="center"/>
              <w:rPr>
                <w:rFonts w:hint="eastAsia" w:ascii="宋体" w:hAnsi="宋体" w:eastAsia="宋体" w:cs="宋体"/>
                <w:i w:val="0"/>
                <w:iCs w:val="0"/>
                <w:color w:val="000000"/>
                <w:sz w:val="22"/>
                <w:szCs w:val="22"/>
                <w:u w:val="none"/>
              </w:rPr>
            </w:pPr>
          </w:p>
        </w:tc>
      </w:tr>
      <w:tr w14:paraId="1E10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827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2AAF">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冷风机支架</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1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C型钢</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4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7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0AA9">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BD10">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01FA">
            <w:pPr>
              <w:jc w:val="center"/>
              <w:rPr>
                <w:rFonts w:hint="eastAsia" w:ascii="宋体" w:hAnsi="宋体" w:eastAsia="宋体" w:cs="宋体"/>
                <w:i w:val="0"/>
                <w:iCs w:val="0"/>
                <w:color w:val="000000"/>
                <w:sz w:val="22"/>
                <w:szCs w:val="22"/>
                <w:u w:val="none"/>
              </w:rPr>
            </w:pPr>
          </w:p>
        </w:tc>
      </w:tr>
      <w:tr w14:paraId="51AF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DF3F">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B1A0">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制冷机组支架</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F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C型钢</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A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0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1879">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1CB9">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75DF">
            <w:pPr>
              <w:jc w:val="center"/>
              <w:rPr>
                <w:rFonts w:hint="eastAsia" w:ascii="宋体" w:hAnsi="宋体" w:eastAsia="宋体" w:cs="宋体"/>
                <w:i w:val="0"/>
                <w:iCs w:val="0"/>
                <w:color w:val="000000"/>
                <w:sz w:val="22"/>
                <w:szCs w:val="22"/>
                <w:u w:val="none"/>
              </w:rPr>
            </w:pPr>
          </w:p>
        </w:tc>
      </w:tr>
      <w:tr w14:paraId="39F1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4B3A">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282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吊丝</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9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0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D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D787">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688E">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2EF9">
            <w:pPr>
              <w:jc w:val="center"/>
              <w:rPr>
                <w:rFonts w:hint="eastAsia" w:ascii="宋体" w:hAnsi="宋体" w:eastAsia="宋体" w:cs="宋体"/>
                <w:i w:val="0"/>
                <w:iCs w:val="0"/>
                <w:color w:val="000000"/>
                <w:sz w:val="22"/>
                <w:szCs w:val="22"/>
                <w:u w:val="none"/>
              </w:rPr>
            </w:pPr>
          </w:p>
        </w:tc>
      </w:tr>
      <w:tr w14:paraId="6C23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3C45">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DDA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冷冻油</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0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0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4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BEDB">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AC99">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96D9">
            <w:pPr>
              <w:jc w:val="center"/>
              <w:rPr>
                <w:rFonts w:hint="eastAsia" w:ascii="宋体" w:hAnsi="宋体" w:eastAsia="宋体" w:cs="宋体"/>
                <w:i w:val="0"/>
                <w:iCs w:val="0"/>
                <w:color w:val="000000"/>
                <w:sz w:val="22"/>
                <w:szCs w:val="22"/>
                <w:u w:val="none"/>
              </w:rPr>
            </w:pPr>
          </w:p>
        </w:tc>
      </w:tr>
      <w:tr w14:paraId="671F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0109">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9DC1">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线管，线卡</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5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8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D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B687">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AE12">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E76E">
            <w:pPr>
              <w:jc w:val="center"/>
              <w:rPr>
                <w:rFonts w:hint="eastAsia" w:ascii="宋体" w:hAnsi="宋体" w:eastAsia="宋体" w:cs="宋体"/>
                <w:i w:val="0"/>
                <w:iCs w:val="0"/>
                <w:color w:val="000000"/>
                <w:sz w:val="22"/>
                <w:szCs w:val="22"/>
                <w:u w:val="none"/>
              </w:rPr>
            </w:pPr>
          </w:p>
        </w:tc>
      </w:tr>
      <w:tr w14:paraId="18E9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923E">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CBBD">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管道安装辅材</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4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A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B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E154">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939A">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AB07">
            <w:pPr>
              <w:jc w:val="center"/>
              <w:rPr>
                <w:rFonts w:hint="eastAsia" w:ascii="宋体" w:hAnsi="宋体" w:eastAsia="宋体" w:cs="宋体"/>
                <w:i w:val="0"/>
                <w:iCs w:val="0"/>
                <w:color w:val="000000"/>
                <w:sz w:val="22"/>
                <w:szCs w:val="22"/>
                <w:u w:val="none"/>
              </w:rPr>
            </w:pPr>
          </w:p>
        </w:tc>
      </w:tr>
      <w:tr w14:paraId="6895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EF72">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5D0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化霜水管防冻</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C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1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B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21AC">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AEB4">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3727">
            <w:pPr>
              <w:jc w:val="center"/>
              <w:rPr>
                <w:rFonts w:hint="eastAsia" w:ascii="宋体" w:hAnsi="宋体" w:eastAsia="宋体" w:cs="宋体"/>
                <w:i w:val="0"/>
                <w:iCs w:val="0"/>
                <w:color w:val="000000"/>
                <w:sz w:val="22"/>
                <w:szCs w:val="22"/>
                <w:u w:val="none"/>
              </w:rPr>
            </w:pPr>
          </w:p>
        </w:tc>
      </w:tr>
      <w:tr w14:paraId="2371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CD18">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14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0D17">
            <w:pPr>
              <w:keepNext w:val="0"/>
              <w:keepLines w:val="0"/>
              <w:widowControl/>
              <w:suppressLineNumbers w:val="0"/>
              <w:jc w:val="center"/>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lang w:val="en-US" w:eastAsia="zh-CN" w:bidi="ar"/>
              </w:rPr>
              <w:t>其他安装辅材</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2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1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D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C495">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FB49">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CDA9">
            <w:pPr>
              <w:jc w:val="center"/>
              <w:rPr>
                <w:rFonts w:hint="eastAsia" w:ascii="宋体" w:hAnsi="宋体" w:eastAsia="宋体" w:cs="宋体"/>
                <w:i w:val="0"/>
                <w:iCs w:val="0"/>
                <w:color w:val="000000"/>
                <w:sz w:val="22"/>
                <w:szCs w:val="22"/>
                <w:u w:val="none"/>
              </w:rPr>
            </w:pPr>
          </w:p>
        </w:tc>
      </w:tr>
      <w:tr w14:paraId="52EC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31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四、焊接苹果筐货架</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7DCC">
            <w:pPr>
              <w:jc w:val="center"/>
              <w:rPr>
                <w:rFonts w:hint="eastAsia" w:ascii="宋体" w:hAnsi="宋体" w:eastAsia="宋体" w:cs="宋体"/>
                <w:b/>
                <w:bCs/>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EAEA">
            <w:pPr>
              <w:jc w:val="left"/>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7772">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C1DF">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5AA8">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4D6E">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0C65">
            <w:pPr>
              <w:jc w:val="center"/>
              <w:rPr>
                <w:rFonts w:hint="eastAsia" w:ascii="宋体" w:hAnsi="宋体" w:eastAsia="宋体" w:cs="宋体"/>
                <w:i w:val="0"/>
                <w:iCs w:val="0"/>
                <w:color w:val="000000"/>
                <w:sz w:val="22"/>
                <w:szCs w:val="22"/>
                <w:u w:val="none"/>
              </w:rPr>
            </w:pPr>
          </w:p>
        </w:tc>
      </w:tr>
      <w:tr w14:paraId="705B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A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C5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焊接苹果筐</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2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镀锌角铁、铁板，焊接加工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尺寸：800×1000×1100mm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重量：≥31公斤</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A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0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C28E">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5487">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48BF">
            <w:pPr>
              <w:jc w:val="center"/>
              <w:rPr>
                <w:rFonts w:hint="eastAsia" w:ascii="宋体" w:hAnsi="宋体" w:eastAsia="宋体" w:cs="宋体"/>
                <w:i w:val="0"/>
                <w:iCs w:val="0"/>
                <w:color w:val="000000"/>
                <w:sz w:val="22"/>
                <w:szCs w:val="22"/>
                <w:u w:val="none"/>
              </w:rPr>
            </w:pPr>
          </w:p>
        </w:tc>
      </w:tr>
      <w:tr w14:paraId="0098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0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3D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小筐堆垛货架</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4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镀锌角铁、铁板，焊接加工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外部尺寸：1320×1250×2000mm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重量：≥58公斤</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9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0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0765">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17D1">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A46C">
            <w:pPr>
              <w:jc w:val="center"/>
              <w:rPr>
                <w:rFonts w:hint="eastAsia" w:ascii="宋体" w:hAnsi="宋体" w:eastAsia="宋体" w:cs="宋体"/>
                <w:i w:val="0"/>
                <w:iCs w:val="0"/>
                <w:color w:val="000000"/>
                <w:sz w:val="22"/>
                <w:szCs w:val="22"/>
                <w:u w:val="none"/>
              </w:rPr>
            </w:pPr>
          </w:p>
        </w:tc>
      </w:tr>
      <w:tr w14:paraId="3907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20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五、叉车</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80ED">
            <w:pPr>
              <w:jc w:val="center"/>
              <w:rPr>
                <w:rFonts w:hint="eastAsia" w:ascii="宋体" w:hAnsi="宋体" w:eastAsia="宋体" w:cs="宋体"/>
                <w:b/>
                <w:bCs/>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5EA8">
            <w:pPr>
              <w:jc w:val="left"/>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FA4B">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7227">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C96C">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3232">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E655">
            <w:pPr>
              <w:jc w:val="center"/>
              <w:rPr>
                <w:rFonts w:hint="eastAsia" w:ascii="宋体" w:hAnsi="宋体" w:eastAsia="宋体" w:cs="宋体"/>
                <w:i w:val="0"/>
                <w:iCs w:val="0"/>
                <w:color w:val="000000"/>
                <w:sz w:val="22"/>
                <w:szCs w:val="22"/>
                <w:u w:val="none"/>
              </w:rPr>
            </w:pPr>
          </w:p>
        </w:tc>
      </w:tr>
      <w:tr w14:paraId="1442C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5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DD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电动叉车</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3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载重：2 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门架起升高度：3级 5000mm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带侧移器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驾驶方式：座驾式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电瓶容量：锂电池80V/202AH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接插件：防水防尘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制动： 机械/液压</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A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C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4EF3">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5D37">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1D1C">
            <w:pPr>
              <w:jc w:val="center"/>
              <w:rPr>
                <w:rFonts w:hint="eastAsia" w:ascii="宋体" w:hAnsi="宋体" w:eastAsia="宋体" w:cs="宋体"/>
                <w:i w:val="0"/>
                <w:iCs w:val="0"/>
                <w:color w:val="000000"/>
                <w:sz w:val="22"/>
                <w:szCs w:val="22"/>
                <w:u w:val="none"/>
              </w:rPr>
            </w:pPr>
          </w:p>
        </w:tc>
      </w:tr>
      <w:tr w14:paraId="1AE1B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0F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六、地磅  </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2B2F">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EDF8">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5C09">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C71C">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37C0">
            <w:pPr>
              <w:jc w:val="center"/>
              <w:rPr>
                <w:rFonts w:hint="eastAsia" w:ascii="宋体" w:hAnsi="宋体" w:eastAsia="宋体" w:cs="宋体"/>
                <w:i w:val="0"/>
                <w:iCs w:val="0"/>
                <w:color w:val="000000"/>
                <w:sz w:val="22"/>
                <w:szCs w:val="22"/>
                <w:u w:val="none"/>
              </w:rPr>
            </w:pPr>
          </w:p>
        </w:tc>
      </w:tr>
      <w:tr w14:paraId="0B9B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4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B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30吨电子磅</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A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30吨电子地磅，磅板尺寸2.5×6m ，面板厚度8mm,含250mm U梁头厚度8mm，基础垫板4块，4只E型数字传感器单只30吨，防作弊数字仪表1台，4线中控器，4芯防作弊主线16m。</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5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6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7637">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95DA">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BE5E">
            <w:pPr>
              <w:jc w:val="center"/>
              <w:rPr>
                <w:rFonts w:hint="eastAsia" w:ascii="宋体" w:hAnsi="宋体" w:eastAsia="宋体" w:cs="宋体"/>
                <w:i w:val="0"/>
                <w:iCs w:val="0"/>
                <w:color w:val="000000"/>
                <w:sz w:val="22"/>
                <w:szCs w:val="22"/>
                <w:u w:val="none"/>
              </w:rPr>
            </w:pPr>
          </w:p>
        </w:tc>
      </w:tr>
      <w:tr w14:paraId="4E55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4612">
            <w:pP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5FF0">
            <w:pPr>
              <w:jc w:val="center"/>
              <w:rPr>
                <w:rFonts w:hint="eastAsia" w:ascii="宋体" w:hAnsi="宋体" w:eastAsia="宋体" w:cs="宋体"/>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829D">
            <w:pPr>
              <w:jc w:val="left"/>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36DD">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D17C">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4E80">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E099">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5F7F">
            <w:pPr>
              <w:jc w:val="center"/>
              <w:rPr>
                <w:rFonts w:hint="eastAsia" w:ascii="宋体" w:hAnsi="宋体" w:eastAsia="宋体" w:cs="宋体"/>
                <w:i w:val="0"/>
                <w:iCs w:val="0"/>
                <w:color w:val="000000"/>
                <w:sz w:val="22"/>
                <w:szCs w:val="22"/>
                <w:u w:val="none"/>
              </w:rPr>
            </w:pPr>
          </w:p>
        </w:tc>
      </w:tr>
      <w:tr w14:paraId="2F70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723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七、伸缩门  </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CFC8">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A4FF">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D6A7">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0DE9">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E89E">
            <w:pPr>
              <w:jc w:val="center"/>
              <w:rPr>
                <w:rFonts w:hint="eastAsia" w:ascii="宋体" w:hAnsi="宋体" w:eastAsia="宋体" w:cs="宋体"/>
                <w:i w:val="0"/>
                <w:iCs w:val="0"/>
                <w:color w:val="000000"/>
                <w:sz w:val="22"/>
                <w:szCs w:val="22"/>
                <w:u w:val="none"/>
              </w:rPr>
            </w:pPr>
          </w:p>
        </w:tc>
      </w:tr>
      <w:tr w14:paraId="45FF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B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C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电动伸缩门</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9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电动伸缩门总长14米，门高1.6米，加厚材质，抗风9级，无轨电机系统，可远程控制。</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D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4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A1B2">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67A5">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7AFC">
            <w:pPr>
              <w:jc w:val="center"/>
              <w:rPr>
                <w:rFonts w:hint="eastAsia" w:ascii="宋体" w:hAnsi="宋体" w:eastAsia="宋体" w:cs="宋体"/>
                <w:i w:val="0"/>
                <w:iCs w:val="0"/>
                <w:color w:val="000000"/>
                <w:sz w:val="22"/>
                <w:szCs w:val="22"/>
                <w:u w:val="none"/>
              </w:rPr>
            </w:pPr>
          </w:p>
        </w:tc>
      </w:tr>
      <w:tr w14:paraId="1296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A887">
            <w:pP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5BD9">
            <w:pPr>
              <w:jc w:val="center"/>
              <w:rPr>
                <w:rFonts w:hint="eastAsia" w:ascii="宋体" w:hAnsi="宋体" w:eastAsia="宋体" w:cs="宋体"/>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7F6C">
            <w:pPr>
              <w:jc w:val="left"/>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FEA6">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2719">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FD46">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034C">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BF8D">
            <w:pPr>
              <w:jc w:val="center"/>
              <w:rPr>
                <w:rFonts w:hint="eastAsia" w:ascii="宋体" w:hAnsi="宋体" w:eastAsia="宋体" w:cs="宋体"/>
                <w:i w:val="0"/>
                <w:iCs w:val="0"/>
                <w:color w:val="000000"/>
                <w:sz w:val="22"/>
                <w:szCs w:val="22"/>
                <w:u w:val="none"/>
              </w:rPr>
            </w:pPr>
          </w:p>
        </w:tc>
      </w:tr>
      <w:tr w14:paraId="6947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CAEB">
            <w:pP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F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AEE7">
            <w:pPr>
              <w:jc w:val="left"/>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1F63">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6062">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6429">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2DC7">
            <w:pPr>
              <w:jc w:val="center"/>
              <w:rPr>
                <w:rFonts w:hint="eastAsia" w:ascii="宋体" w:hAnsi="宋体" w:eastAsia="宋体" w:cs="宋体"/>
                <w:i w:val="0"/>
                <w:iCs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7A9B">
            <w:pPr>
              <w:jc w:val="center"/>
              <w:rPr>
                <w:rFonts w:hint="eastAsia" w:ascii="宋体" w:hAnsi="宋体" w:eastAsia="宋体" w:cs="宋体"/>
                <w:i w:val="0"/>
                <w:iCs w:val="0"/>
                <w:color w:val="000000"/>
                <w:sz w:val="22"/>
                <w:szCs w:val="22"/>
                <w:u w:val="none"/>
              </w:rPr>
            </w:pPr>
          </w:p>
        </w:tc>
      </w:tr>
    </w:tbl>
    <w:p w14:paraId="289FC71C">
      <w:pPr>
        <w:pStyle w:val="25"/>
        <w:rPr>
          <w:rFonts w:hint="eastAsia"/>
          <w:highlight w:val="none"/>
          <w:lang w:val="en-US" w:eastAsia="zh-CN"/>
        </w:rPr>
        <w:sectPr>
          <w:pgSz w:w="11915" w:h="16840"/>
          <w:pgMar w:top="1417" w:right="1134" w:bottom="1417" w:left="1417" w:header="720" w:footer="720" w:gutter="0"/>
          <w:pgNumType w:fmt="decimal"/>
          <w:cols w:space="720" w:num="1"/>
          <w:rtlGutter w:val="0"/>
          <w:docGrid w:type="lines" w:linePitch="312" w:charSpace="0"/>
        </w:sectPr>
      </w:pPr>
    </w:p>
    <w:p w14:paraId="3EAC178E">
      <w:pPr>
        <w:pStyle w:val="2"/>
        <w:pageBreakBefore w:val="0"/>
        <w:kinsoku/>
        <w:overflowPunct/>
        <w:bidi w:val="0"/>
        <w:spacing w:line="500" w:lineRule="exact"/>
        <w:rPr>
          <w:highlight w:val="none"/>
        </w:rPr>
      </w:pPr>
      <w:bookmarkStart w:id="151" w:name="_Toc22626"/>
      <w:r>
        <w:rPr>
          <w:rFonts w:hint="eastAsia"/>
          <w:highlight w:val="none"/>
        </w:rPr>
        <w:t>第四章</w:t>
      </w:r>
      <w:r>
        <w:rPr>
          <w:rFonts w:hint="eastAsia"/>
          <w:highlight w:val="none"/>
          <w:lang w:val="en-US" w:eastAsia="zh-CN"/>
        </w:rPr>
        <w:t xml:space="preserve"> </w:t>
      </w:r>
      <w:r>
        <w:rPr>
          <w:rFonts w:hint="eastAsia"/>
          <w:highlight w:val="none"/>
          <w:lang w:eastAsia="zh-CN"/>
        </w:rPr>
        <w:t>评审</w:t>
      </w:r>
      <w:r>
        <w:rPr>
          <w:rFonts w:hint="eastAsia"/>
          <w:highlight w:val="none"/>
        </w:rPr>
        <w:t>办法（综合评分法）</w:t>
      </w:r>
      <w:bookmarkEnd w:id="151"/>
    </w:p>
    <w:p w14:paraId="3555CFA0">
      <w:pPr>
        <w:pStyle w:val="57"/>
        <w:spacing w:line="480" w:lineRule="auto"/>
        <w:rPr>
          <w:rFonts w:hint="eastAsia" w:ascii="宋体" w:hAnsi="宋体" w:eastAsia="宋体" w:cs="宋体"/>
          <w:color w:val="auto"/>
          <w:sz w:val="24"/>
          <w:szCs w:val="24"/>
          <w:highlight w:val="none"/>
        </w:rPr>
      </w:pPr>
      <w:bookmarkStart w:id="152" w:name="_Toc359865667"/>
      <w:bookmarkStart w:id="153" w:name="_Toc27528"/>
      <w:bookmarkStart w:id="154" w:name="_Toc9448"/>
      <w:bookmarkStart w:id="155" w:name="_Toc485222552"/>
      <w:bookmarkStart w:id="156" w:name="_Toc21260"/>
      <w:bookmarkStart w:id="157" w:name="_Toc24517"/>
      <w:bookmarkStart w:id="158" w:name="_Toc6132"/>
      <w:r>
        <w:rPr>
          <w:rFonts w:hint="eastAsia" w:ascii="宋体" w:hAnsi="宋体" w:eastAsia="宋体" w:cs="宋体"/>
          <w:color w:val="auto"/>
          <w:sz w:val="24"/>
          <w:szCs w:val="24"/>
          <w:highlight w:val="none"/>
        </w:rPr>
        <w:t>一、</w:t>
      </w:r>
      <w:bookmarkEnd w:id="152"/>
      <w:r>
        <w:rPr>
          <w:rFonts w:hint="eastAsia" w:ascii="宋体" w:hAnsi="宋体" w:eastAsia="宋体" w:cs="宋体"/>
          <w:color w:val="auto"/>
          <w:sz w:val="24"/>
          <w:szCs w:val="24"/>
          <w:highlight w:val="none"/>
        </w:rPr>
        <w:t>磋商小组</w:t>
      </w:r>
      <w:bookmarkEnd w:id="153"/>
      <w:bookmarkEnd w:id="154"/>
      <w:bookmarkEnd w:id="155"/>
      <w:bookmarkEnd w:id="156"/>
    </w:p>
    <w:p w14:paraId="43793EBE">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将根据本项目的特点依法组建磋商小组，其成员由有关方面的专家以及</w:t>
      </w:r>
      <w:r>
        <w:rPr>
          <w:rFonts w:hint="eastAsia" w:ascii="宋体" w:hAnsi="宋体" w:cs="宋体"/>
          <w:color w:val="auto"/>
          <w:sz w:val="24"/>
          <w:highlight w:val="none"/>
          <w:lang w:eastAsia="zh-CN"/>
        </w:rPr>
        <w:t>采购人评审</w:t>
      </w:r>
      <w:r>
        <w:rPr>
          <w:rFonts w:hint="eastAsia" w:ascii="宋体" w:hAnsi="宋体" w:cs="宋体"/>
          <w:color w:val="auto"/>
          <w:sz w:val="24"/>
          <w:highlight w:val="none"/>
        </w:rPr>
        <w:t>代表三人组成，其中技术、经济方面的专家不得少于磋商小组成员总数的三分之二，磋商小组负责审阅响应文件，与各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进行商务、技术磋商，确定成交候选人。</w:t>
      </w:r>
    </w:p>
    <w:p w14:paraId="273EE0D4">
      <w:pPr>
        <w:pStyle w:val="57"/>
        <w:spacing w:line="480" w:lineRule="auto"/>
        <w:rPr>
          <w:rFonts w:hint="eastAsia" w:ascii="宋体" w:hAnsi="宋体" w:eastAsia="宋体" w:cs="宋体"/>
          <w:color w:val="auto"/>
          <w:sz w:val="24"/>
          <w:szCs w:val="24"/>
          <w:highlight w:val="none"/>
        </w:rPr>
      </w:pPr>
      <w:bookmarkStart w:id="159" w:name="_Toc8264"/>
      <w:bookmarkStart w:id="160" w:name="_Toc22876"/>
      <w:bookmarkStart w:id="161" w:name="_Toc359865668"/>
      <w:bookmarkStart w:id="162" w:name="_Toc16201"/>
      <w:bookmarkStart w:id="163" w:name="_Toc485222553"/>
      <w:r>
        <w:rPr>
          <w:rFonts w:hint="eastAsia" w:ascii="宋体" w:hAnsi="宋体" w:eastAsia="宋体" w:cs="宋体"/>
          <w:color w:val="auto"/>
          <w:sz w:val="24"/>
          <w:szCs w:val="24"/>
          <w:highlight w:val="none"/>
        </w:rPr>
        <w:t>二、磋商原则和评审办法</w:t>
      </w:r>
      <w:bookmarkEnd w:id="159"/>
      <w:bookmarkEnd w:id="160"/>
      <w:bookmarkEnd w:id="161"/>
      <w:bookmarkEnd w:id="162"/>
      <w:bookmarkEnd w:id="163"/>
    </w:p>
    <w:p w14:paraId="07565B3C">
      <w:pPr>
        <w:pStyle w:val="5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（一）磋商原则</w:t>
      </w:r>
    </w:p>
    <w:p w14:paraId="4E134BD1">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“公平、公正、择优、效益”为本次竞争性磋商的基本原则，磋商小组按照这一原则的要求，公正、平等地对待各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。同时，在磋商过程中恪守以下原则：</w:t>
      </w:r>
    </w:p>
    <w:p w14:paraId="20F591DE">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1、统一性原则：磋商小组将按照统一的磋商原则和磋商方法，用同一标准进行评审。</w:t>
      </w:r>
    </w:p>
    <w:p w14:paraId="71FA939B">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2、独立性原则：磋商工作在磋商小组内部独立进行，不受外界任何因素的干扰和影响；磋商小组成员对出具的磋商意见承担个人责任。</w:t>
      </w:r>
    </w:p>
    <w:p w14:paraId="6273EAB5">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3、物有所值原则：通过第一轮的公开报价，激发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展开竞争，进一步优化方案，并使报价符合预期目标。</w:t>
      </w:r>
    </w:p>
    <w:p w14:paraId="7087980A">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4、保密性原则：代理机构应当采取必要的措施，保证磋商在严格保密的情况下进行。</w:t>
      </w:r>
    </w:p>
    <w:p w14:paraId="79957E93">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5、综合性原则：磋商小组将综合分析、评审</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的各项指标，而不以单项指标的优劣评定出成交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018E70A5">
      <w:pPr>
        <w:spacing w:line="480" w:lineRule="auto"/>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lang w:eastAsia="zh-CN"/>
        </w:rPr>
        <w:t>（二）评审</w:t>
      </w:r>
      <w:r>
        <w:rPr>
          <w:rFonts w:hint="eastAsia" w:ascii="宋体" w:hAnsi="宋体" w:cs="宋体"/>
          <w:b/>
          <w:bCs/>
          <w:color w:val="auto"/>
          <w:sz w:val="24"/>
          <w:szCs w:val="22"/>
          <w:highlight w:val="none"/>
        </w:rPr>
        <w:t>方法</w:t>
      </w:r>
    </w:p>
    <w:p w14:paraId="569DFBC1">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本次</w:t>
      </w:r>
      <w:r>
        <w:rPr>
          <w:rFonts w:hint="eastAsia" w:ascii="宋体" w:hAnsi="宋体" w:cs="宋体"/>
          <w:color w:val="auto"/>
          <w:sz w:val="24"/>
          <w:szCs w:val="22"/>
          <w:highlight w:val="none"/>
          <w:lang w:eastAsia="zh-CN"/>
        </w:rPr>
        <w:t>评审</w:t>
      </w:r>
      <w:r>
        <w:rPr>
          <w:rFonts w:hint="eastAsia" w:ascii="宋体" w:hAnsi="宋体" w:cs="宋体"/>
          <w:color w:val="auto"/>
          <w:sz w:val="24"/>
          <w:szCs w:val="22"/>
          <w:highlight w:val="none"/>
        </w:rPr>
        <w:t>采用综合评</w:t>
      </w:r>
      <w:r>
        <w:rPr>
          <w:rFonts w:hint="eastAsia" w:ascii="宋体" w:hAnsi="宋体" w:cs="宋体"/>
          <w:color w:val="auto"/>
          <w:sz w:val="24"/>
          <w:szCs w:val="22"/>
          <w:highlight w:val="none"/>
          <w:lang w:eastAsia="zh-CN"/>
        </w:rPr>
        <w:t>分</w:t>
      </w:r>
      <w:r>
        <w:rPr>
          <w:rFonts w:hint="eastAsia" w:ascii="宋体" w:hAnsi="宋体" w:cs="宋体"/>
          <w:color w:val="auto"/>
          <w:sz w:val="24"/>
          <w:szCs w:val="22"/>
          <w:highlight w:val="none"/>
        </w:rPr>
        <w:t>法。</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对满足</w:t>
      </w:r>
      <w:r>
        <w:rPr>
          <w:rFonts w:hint="eastAsia" w:ascii="宋体" w:hAnsi="宋体" w:cs="宋体"/>
          <w:color w:val="auto"/>
          <w:sz w:val="24"/>
          <w:szCs w:val="22"/>
          <w:highlight w:val="none"/>
          <w:lang w:eastAsia="zh-CN"/>
        </w:rPr>
        <w:t>磋商</w:t>
      </w:r>
      <w:r>
        <w:rPr>
          <w:rFonts w:hint="eastAsia" w:ascii="宋体" w:hAnsi="宋体" w:cs="宋体"/>
          <w:color w:val="auto"/>
          <w:sz w:val="24"/>
          <w:szCs w:val="22"/>
          <w:highlight w:val="none"/>
        </w:rPr>
        <w:t>文件实质性要求的</w:t>
      </w:r>
      <w:r>
        <w:rPr>
          <w:rFonts w:hint="eastAsia" w:ascii="宋体" w:hAnsi="宋体" w:cs="宋体"/>
          <w:color w:val="auto"/>
          <w:sz w:val="24"/>
          <w:szCs w:val="22"/>
          <w:highlight w:val="none"/>
          <w:lang w:eastAsia="zh-CN"/>
        </w:rPr>
        <w:t>响应</w:t>
      </w:r>
      <w:r>
        <w:rPr>
          <w:rFonts w:hint="eastAsia" w:ascii="宋体" w:hAnsi="宋体" w:cs="宋体"/>
          <w:color w:val="auto"/>
          <w:sz w:val="24"/>
          <w:szCs w:val="22"/>
          <w:highlight w:val="none"/>
        </w:rPr>
        <w:t>文件，按照本章第2.2款规定的评分标准进行打分，并按得分由高到低顺序推荐中标候选人，但</w:t>
      </w:r>
      <w:r>
        <w:rPr>
          <w:rFonts w:hint="eastAsia" w:ascii="宋体" w:hAnsi="宋体" w:cs="宋体"/>
          <w:color w:val="auto"/>
          <w:sz w:val="24"/>
          <w:szCs w:val="22"/>
          <w:highlight w:val="none"/>
          <w:lang w:eastAsia="zh-CN"/>
        </w:rPr>
        <w:t>磋商</w:t>
      </w:r>
      <w:r>
        <w:rPr>
          <w:rFonts w:hint="eastAsia" w:ascii="宋体" w:hAnsi="宋体" w:cs="宋体"/>
          <w:color w:val="auto"/>
          <w:sz w:val="24"/>
          <w:szCs w:val="22"/>
          <w:highlight w:val="none"/>
        </w:rPr>
        <w:t>报价低于其成本的除外。综合评分相等时，以</w:t>
      </w:r>
      <w:r>
        <w:rPr>
          <w:rFonts w:hint="eastAsia" w:ascii="宋体" w:hAnsi="宋体" w:cs="宋体"/>
          <w:color w:val="auto"/>
          <w:sz w:val="24"/>
          <w:szCs w:val="22"/>
          <w:highlight w:val="none"/>
          <w:lang w:eastAsia="zh-CN"/>
        </w:rPr>
        <w:t>磋商</w:t>
      </w:r>
      <w:r>
        <w:rPr>
          <w:rFonts w:hint="eastAsia" w:ascii="宋体" w:hAnsi="宋体" w:cs="宋体"/>
          <w:color w:val="auto"/>
          <w:sz w:val="24"/>
          <w:szCs w:val="22"/>
          <w:highlight w:val="none"/>
        </w:rPr>
        <w:t>报价低的优先；</w:t>
      </w:r>
      <w:r>
        <w:rPr>
          <w:rFonts w:hint="eastAsia" w:ascii="宋体" w:hAnsi="宋体" w:cs="宋体"/>
          <w:color w:val="auto"/>
          <w:sz w:val="24"/>
          <w:szCs w:val="22"/>
          <w:highlight w:val="none"/>
          <w:lang w:eastAsia="zh-CN"/>
        </w:rPr>
        <w:t>磋商</w:t>
      </w:r>
      <w:r>
        <w:rPr>
          <w:rFonts w:hint="eastAsia" w:ascii="宋体" w:hAnsi="宋体" w:cs="宋体"/>
          <w:color w:val="auto"/>
          <w:sz w:val="24"/>
          <w:szCs w:val="22"/>
          <w:highlight w:val="none"/>
        </w:rPr>
        <w:t>报价也相等的，由</w:t>
      </w:r>
      <w:r>
        <w:rPr>
          <w:rFonts w:hint="eastAsia" w:ascii="宋体" w:hAnsi="宋体" w:cs="宋体"/>
          <w:color w:val="auto"/>
          <w:sz w:val="24"/>
          <w:szCs w:val="22"/>
          <w:highlight w:val="none"/>
          <w:lang w:eastAsia="zh-CN"/>
        </w:rPr>
        <w:t>采购人</w:t>
      </w:r>
      <w:r>
        <w:rPr>
          <w:rFonts w:hint="eastAsia" w:ascii="宋体" w:hAnsi="宋体" w:cs="宋体"/>
          <w:color w:val="auto"/>
          <w:sz w:val="24"/>
          <w:szCs w:val="22"/>
          <w:highlight w:val="none"/>
        </w:rPr>
        <w:t>或其授权的</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自行确定。</w:t>
      </w:r>
      <w:bookmarkStart w:id="164" w:name="_Toc246996244"/>
      <w:bookmarkStart w:id="165" w:name="_Toc144974568"/>
      <w:bookmarkStart w:id="166" w:name="_Toc296602489"/>
      <w:bookmarkStart w:id="167" w:name="_Toc246996987"/>
      <w:bookmarkStart w:id="168" w:name="_Toc152042378"/>
      <w:bookmarkStart w:id="169" w:name="_Toc152045601"/>
      <w:bookmarkStart w:id="170" w:name="_Toc247085759"/>
      <w:bookmarkStart w:id="171" w:name="_Toc179632619"/>
    </w:p>
    <w:bookmarkEnd w:id="164"/>
    <w:bookmarkEnd w:id="165"/>
    <w:bookmarkEnd w:id="166"/>
    <w:bookmarkEnd w:id="167"/>
    <w:bookmarkEnd w:id="168"/>
    <w:bookmarkEnd w:id="169"/>
    <w:bookmarkEnd w:id="170"/>
    <w:bookmarkEnd w:id="171"/>
    <w:p w14:paraId="61373959">
      <w:pPr>
        <w:spacing w:line="480" w:lineRule="auto"/>
        <w:ind w:firstLine="480" w:firstLineChars="200"/>
        <w:rPr>
          <w:rFonts w:hint="eastAsia" w:ascii="宋体" w:hAnsi="宋体" w:cs="宋体"/>
          <w:color w:val="auto"/>
          <w:sz w:val="24"/>
          <w:szCs w:val="22"/>
          <w:highlight w:val="none"/>
        </w:rPr>
      </w:pPr>
      <w:bookmarkStart w:id="172" w:name="_Toc152045602"/>
      <w:bookmarkStart w:id="173" w:name="_Toc179632620"/>
      <w:bookmarkStart w:id="174" w:name="_Toc152042379"/>
      <w:bookmarkStart w:id="175" w:name="_Toc296602490"/>
      <w:bookmarkStart w:id="176" w:name="_Toc246996245"/>
      <w:bookmarkStart w:id="177" w:name="_Toc246996988"/>
      <w:bookmarkStart w:id="178" w:name="_Toc144974569"/>
      <w:bookmarkStart w:id="179" w:name="_Toc247085760"/>
      <w:r>
        <w:rPr>
          <w:rFonts w:hint="eastAsia" w:ascii="宋体" w:hAnsi="宋体" w:cs="宋体"/>
          <w:color w:val="auto"/>
          <w:sz w:val="24"/>
          <w:szCs w:val="22"/>
          <w:highlight w:val="none"/>
        </w:rPr>
        <w:t>2.1 初步评审标准</w:t>
      </w:r>
      <w:bookmarkEnd w:id="172"/>
      <w:bookmarkEnd w:id="173"/>
      <w:bookmarkEnd w:id="174"/>
      <w:bookmarkEnd w:id="175"/>
      <w:bookmarkEnd w:id="176"/>
      <w:bookmarkEnd w:id="177"/>
      <w:bookmarkEnd w:id="178"/>
      <w:bookmarkEnd w:id="179"/>
    </w:p>
    <w:p w14:paraId="5BD9BB7C">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2.1.1 形式评审标准：见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19C98DE7">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2.1.2 资格评审标准：见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0DCF6193">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2.1.3 响应性评审标准：见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5EB205D3">
      <w:pPr>
        <w:spacing w:line="480" w:lineRule="auto"/>
        <w:ind w:firstLine="480" w:firstLineChars="200"/>
        <w:rPr>
          <w:rFonts w:hint="eastAsia" w:ascii="宋体" w:hAnsi="宋体" w:cs="宋体"/>
          <w:color w:val="auto"/>
          <w:sz w:val="24"/>
          <w:szCs w:val="22"/>
          <w:highlight w:val="none"/>
        </w:rPr>
      </w:pPr>
      <w:bookmarkStart w:id="180" w:name="_Toc246996246"/>
      <w:bookmarkStart w:id="181" w:name="_Toc247085761"/>
      <w:bookmarkStart w:id="182" w:name="_Toc246996989"/>
      <w:bookmarkStart w:id="183" w:name="_Toc179632621"/>
      <w:bookmarkStart w:id="184" w:name="_Toc296602491"/>
      <w:r>
        <w:rPr>
          <w:rFonts w:hint="eastAsia" w:ascii="宋体" w:hAnsi="宋体" w:cs="宋体"/>
          <w:color w:val="auto"/>
          <w:sz w:val="24"/>
          <w:szCs w:val="22"/>
          <w:highlight w:val="none"/>
        </w:rPr>
        <w:t>2.2 分值构成与评分标准</w:t>
      </w:r>
      <w:bookmarkEnd w:id="180"/>
      <w:bookmarkEnd w:id="181"/>
      <w:bookmarkEnd w:id="182"/>
      <w:bookmarkEnd w:id="183"/>
      <w:bookmarkEnd w:id="184"/>
    </w:p>
    <w:p w14:paraId="38C593EA">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2.2.1 分值构成</w:t>
      </w:r>
    </w:p>
    <w:p w14:paraId="3F1C41FD">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（1）技术</w:t>
      </w:r>
      <w:r>
        <w:rPr>
          <w:rFonts w:hint="eastAsia" w:ascii="宋体" w:hAnsi="宋体" w:cs="宋体"/>
          <w:color w:val="auto"/>
          <w:sz w:val="24"/>
          <w:szCs w:val="22"/>
          <w:highlight w:val="none"/>
          <w:lang w:eastAsia="zh-CN"/>
        </w:rPr>
        <w:t>部分</w:t>
      </w:r>
      <w:r>
        <w:rPr>
          <w:rFonts w:hint="eastAsia" w:ascii="宋体" w:hAnsi="宋体" w:cs="宋体"/>
          <w:color w:val="auto"/>
          <w:sz w:val="24"/>
          <w:szCs w:val="22"/>
          <w:highlight w:val="none"/>
        </w:rPr>
        <w:t>：见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4228FE20">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w:t>
      </w:r>
      <w:r>
        <w:rPr>
          <w:rFonts w:hint="eastAsia" w:ascii="宋体" w:hAnsi="宋体" w:cs="宋体"/>
          <w:color w:val="auto"/>
          <w:sz w:val="24"/>
          <w:szCs w:val="22"/>
          <w:highlight w:val="none"/>
          <w:lang w:eastAsia="zh-CN"/>
        </w:rPr>
        <w:t>磋商报价</w:t>
      </w:r>
      <w:r>
        <w:rPr>
          <w:rFonts w:hint="eastAsia" w:ascii="宋体" w:hAnsi="宋体" w:cs="宋体"/>
          <w:color w:val="auto"/>
          <w:sz w:val="24"/>
          <w:szCs w:val="22"/>
          <w:highlight w:val="none"/>
        </w:rPr>
        <w:t>：见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53310C39">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eastAsia="zh-CN"/>
        </w:rPr>
        <w:t>综合部分</w:t>
      </w:r>
      <w:r>
        <w:rPr>
          <w:rFonts w:hint="eastAsia" w:ascii="宋体" w:hAnsi="宋体" w:cs="宋体"/>
          <w:color w:val="auto"/>
          <w:sz w:val="24"/>
          <w:szCs w:val="22"/>
          <w:highlight w:val="none"/>
        </w:rPr>
        <w:t>：见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2277A787">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2.2.2 评分标准</w:t>
      </w:r>
    </w:p>
    <w:p w14:paraId="3B296D3C">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（1）技术</w:t>
      </w:r>
      <w:r>
        <w:rPr>
          <w:rFonts w:hint="eastAsia" w:ascii="宋体" w:hAnsi="宋体" w:cs="宋体"/>
          <w:color w:val="auto"/>
          <w:sz w:val="24"/>
          <w:szCs w:val="22"/>
          <w:highlight w:val="none"/>
          <w:lang w:eastAsia="zh-CN"/>
        </w:rPr>
        <w:t>部分</w:t>
      </w:r>
      <w:r>
        <w:rPr>
          <w:rFonts w:hint="eastAsia" w:ascii="宋体" w:hAnsi="宋体" w:cs="宋体"/>
          <w:color w:val="auto"/>
          <w:sz w:val="24"/>
          <w:szCs w:val="22"/>
          <w:highlight w:val="none"/>
        </w:rPr>
        <w:t>评分标准：见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1BDC16AF">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w:t>
      </w:r>
      <w:r>
        <w:rPr>
          <w:rFonts w:hint="eastAsia" w:ascii="宋体" w:hAnsi="宋体" w:cs="宋体"/>
          <w:color w:val="auto"/>
          <w:sz w:val="24"/>
          <w:szCs w:val="22"/>
          <w:highlight w:val="none"/>
          <w:lang w:eastAsia="zh-CN"/>
        </w:rPr>
        <w:t>磋商报价</w:t>
      </w:r>
      <w:r>
        <w:rPr>
          <w:rFonts w:hint="eastAsia" w:ascii="宋体" w:hAnsi="宋体" w:cs="宋体"/>
          <w:color w:val="auto"/>
          <w:sz w:val="24"/>
          <w:szCs w:val="22"/>
          <w:highlight w:val="none"/>
        </w:rPr>
        <w:t>评分标准：见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p>
    <w:p w14:paraId="6D2D2A6B">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（3）综合</w:t>
      </w:r>
      <w:r>
        <w:rPr>
          <w:rFonts w:hint="eastAsia" w:ascii="宋体" w:hAnsi="宋体" w:cs="宋体"/>
          <w:color w:val="auto"/>
          <w:sz w:val="24"/>
          <w:szCs w:val="22"/>
          <w:highlight w:val="none"/>
          <w:lang w:eastAsia="zh-CN"/>
        </w:rPr>
        <w:t>部分</w:t>
      </w:r>
      <w:r>
        <w:rPr>
          <w:rFonts w:hint="eastAsia" w:ascii="宋体" w:hAnsi="宋体" w:cs="宋体"/>
          <w:color w:val="auto"/>
          <w:sz w:val="24"/>
          <w:szCs w:val="22"/>
          <w:highlight w:val="none"/>
        </w:rPr>
        <w:t>评分标准：见</w:t>
      </w:r>
      <w:r>
        <w:rPr>
          <w:rFonts w:hint="eastAsia" w:ascii="宋体" w:hAnsi="宋体" w:cs="宋体"/>
          <w:color w:val="auto"/>
          <w:sz w:val="24"/>
          <w:szCs w:val="22"/>
          <w:highlight w:val="none"/>
          <w:lang w:eastAsia="zh-CN"/>
        </w:rPr>
        <w:t>评审办法前附表</w:t>
      </w:r>
      <w:r>
        <w:rPr>
          <w:rFonts w:hint="eastAsia" w:ascii="宋体" w:hAnsi="宋体" w:cs="宋体"/>
          <w:color w:val="auto"/>
          <w:sz w:val="24"/>
          <w:szCs w:val="22"/>
          <w:highlight w:val="none"/>
        </w:rPr>
        <w:t>。</w:t>
      </w:r>
      <w:bookmarkStart w:id="185" w:name="_Toc246996247"/>
      <w:bookmarkStart w:id="186" w:name="_Toc296602492"/>
      <w:bookmarkStart w:id="187" w:name="_Toc144974571"/>
      <w:bookmarkStart w:id="188" w:name="_Toc152045604"/>
      <w:bookmarkStart w:id="189" w:name="_Toc179632622"/>
      <w:bookmarkStart w:id="190" w:name="_Toc152042381"/>
      <w:bookmarkStart w:id="191" w:name="_Toc246996990"/>
      <w:bookmarkStart w:id="192" w:name="_Toc247085762"/>
    </w:p>
    <w:p w14:paraId="53883153">
      <w:pPr>
        <w:spacing w:line="480" w:lineRule="auto"/>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lang w:eastAsia="zh-CN"/>
        </w:rPr>
        <w:t>（三）</w:t>
      </w:r>
      <w:r>
        <w:rPr>
          <w:rFonts w:hint="eastAsia" w:ascii="宋体" w:hAnsi="宋体" w:cs="宋体"/>
          <w:b/>
          <w:bCs/>
          <w:color w:val="auto"/>
          <w:sz w:val="24"/>
          <w:szCs w:val="22"/>
          <w:highlight w:val="none"/>
        </w:rPr>
        <w:t xml:space="preserve"> </w:t>
      </w:r>
      <w:r>
        <w:rPr>
          <w:rFonts w:hint="eastAsia" w:ascii="宋体" w:hAnsi="宋体" w:cs="宋体"/>
          <w:b/>
          <w:bCs/>
          <w:color w:val="auto"/>
          <w:sz w:val="24"/>
          <w:szCs w:val="22"/>
          <w:highlight w:val="none"/>
          <w:lang w:eastAsia="zh-CN"/>
        </w:rPr>
        <w:t>评审</w:t>
      </w:r>
      <w:r>
        <w:rPr>
          <w:rFonts w:hint="eastAsia" w:ascii="宋体" w:hAnsi="宋体" w:cs="宋体"/>
          <w:b/>
          <w:bCs/>
          <w:color w:val="auto"/>
          <w:sz w:val="24"/>
          <w:szCs w:val="22"/>
          <w:highlight w:val="none"/>
        </w:rPr>
        <w:t>程序</w:t>
      </w:r>
      <w:bookmarkEnd w:id="185"/>
      <w:bookmarkEnd w:id="186"/>
      <w:bookmarkEnd w:id="187"/>
      <w:bookmarkEnd w:id="188"/>
      <w:bookmarkEnd w:id="189"/>
      <w:bookmarkEnd w:id="190"/>
      <w:bookmarkEnd w:id="191"/>
      <w:bookmarkEnd w:id="192"/>
    </w:p>
    <w:p w14:paraId="2AADC636">
      <w:pPr>
        <w:spacing w:line="48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3.1评审程序</w:t>
      </w:r>
    </w:p>
    <w:p w14:paraId="151523C9">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1、初步评审</w:t>
      </w:r>
    </w:p>
    <w:p w14:paraId="6082FC3F">
      <w:pPr>
        <w:spacing w:line="480" w:lineRule="auto"/>
        <w:ind w:firstLine="480" w:firstLineChars="200"/>
        <w:rPr>
          <w:rFonts w:ascii="宋体" w:hAnsi="宋体"/>
          <w:color w:val="auto"/>
          <w:sz w:val="24"/>
          <w:highlight w:val="none"/>
        </w:rPr>
      </w:pPr>
      <w:r>
        <w:rPr>
          <w:rFonts w:hint="eastAsia" w:ascii="宋体" w:hAnsi="宋体" w:cs="宋体"/>
          <w:color w:val="auto"/>
          <w:sz w:val="24"/>
          <w:szCs w:val="24"/>
          <w:highlight w:val="none"/>
        </w:rPr>
        <w:t>磋商小组对</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w:t>
      </w:r>
      <w:r>
        <w:rPr>
          <w:rFonts w:hint="eastAsia" w:ascii="宋体" w:hAnsi="宋体"/>
          <w:color w:val="auto"/>
          <w:sz w:val="24"/>
          <w:highlight w:val="none"/>
        </w:rPr>
        <w:t>形式评审、</w:t>
      </w:r>
      <w:r>
        <w:rPr>
          <w:rFonts w:hint="eastAsia" w:ascii="宋体" w:hAnsi="宋体" w:cs="宋体"/>
          <w:color w:val="auto"/>
          <w:sz w:val="24"/>
          <w:szCs w:val="24"/>
          <w:highlight w:val="none"/>
        </w:rPr>
        <w:t>资格性检查、</w:t>
      </w:r>
      <w:r>
        <w:rPr>
          <w:rFonts w:hint="eastAsia" w:ascii="宋体" w:hAnsi="宋体"/>
          <w:color w:val="auto"/>
          <w:sz w:val="24"/>
          <w:highlight w:val="none"/>
        </w:rPr>
        <w:t>响应性评审</w:t>
      </w:r>
      <w:r>
        <w:rPr>
          <w:rFonts w:hint="eastAsia" w:ascii="宋体" w:hAnsi="宋体" w:cs="宋体"/>
          <w:color w:val="auto"/>
          <w:sz w:val="24"/>
          <w:szCs w:val="24"/>
          <w:highlight w:val="none"/>
        </w:rPr>
        <w:t>。</w:t>
      </w:r>
      <w:r>
        <w:rPr>
          <w:rFonts w:hint="eastAsia" w:ascii="宋体" w:hAnsi="宋体"/>
          <w:color w:val="auto"/>
          <w:sz w:val="24"/>
          <w:highlight w:val="none"/>
        </w:rPr>
        <w:t>形式评审、</w:t>
      </w:r>
      <w:r>
        <w:rPr>
          <w:rFonts w:hint="eastAsia" w:ascii="宋体" w:hAnsi="宋体" w:cs="宋体"/>
          <w:color w:val="auto"/>
          <w:sz w:val="24"/>
          <w:szCs w:val="24"/>
          <w:highlight w:val="none"/>
        </w:rPr>
        <w:t>资格性检查、</w:t>
      </w:r>
      <w:r>
        <w:rPr>
          <w:rFonts w:hint="eastAsia" w:ascii="宋体" w:hAnsi="宋体"/>
          <w:color w:val="auto"/>
          <w:sz w:val="24"/>
          <w:highlight w:val="none"/>
        </w:rPr>
        <w:t>响应性评审</w:t>
      </w:r>
      <w:r>
        <w:rPr>
          <w:rFonts w:hint="eastAsia" w:ascii="宋体" w:hAnsi="宋体" w:cs="宋体"/>
          <w:color w:val="auto"/>
          <w:sz w:val="24"/>
          <w:szCs w:val="24"/>
          <w:highlight w:val="none"/>
        </w:rPr>
        <w:t>检查指依据法律、法规和竞争性磋商文件的规定，</w:t>
      </w:r>
      <w:r>
        <w:rPr>
          <w:rFonts w:hint="eastAsia" w:ascii="宋体" w:hAnsi="宋体"/>
          <w:color w:val="auto"/>
          <w:sz w:val="24"/>
          <w:highlight w:val="none"/>
          <w:lang w:eastAsia="zh-CN"/>
        </w:rPr>
        <w:t>磋商小组</w:t>
      </w:r>
      <w:r>
        <w:rPr>
          <w:rFonts w:hint="eastAsia" w:ascii="宋体" w:hAnsi="宋体"/>
          <w:color w:val="auto"/>
          <w:sz w:val="24"/>
          <w:highlight w:val="none"/>
        </w:rPr>
        <w:t>依据本章第2.1.1项、第2.1.2项、第2.1.3项规定的评审标准对响应文件进行初步评审。有一项不符合评审标准的，其响应将被否决。</w:t>
      </w:r>
    </w:p>
    <w:p w14:paraId="160BB8D0">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2、磋商：磋商小组将与通过初步评审的单一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分别进行磋商。在磋商中，磋商的任何一方不得透露与磋商有关的其他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的技术资料、价格和其他信息。竞争性磋商文件有实质性变动的，磋商小组将以书面形式通知所有参加磋商的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w:t>
      </w:r>
    </w:p>
    <w:p w14:paraId="458C40DE">
      <w:pPr>
        <w:spacing w:line="48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进行二次报价。</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须严格按照要求进行报价，</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所报价格高于</w:t>
      </w:r>
      <w:r>
        <w:rPr>
          <w:rFonts w:hint="eastAsia" w:ascii="宋体" w:hAnsi="宋体" w:cs="宋体"/>
          <w:color w:val="auto"/>
          <w:sz w:val="24"/>
          <w:szCs w:val="24"/>
          <w:highlight w:val="none"/>
          <w:lang w:eastAsia="zh-CN"/>
        </w:rPr>
        <w:t>最高限价</w:t>
      </w:r>
      <w:r>
        <w:rPr>
          <w:rFonts w:hint="eastAsia" w:ascii="宋体" w:hAnsi="宋体" w:cs="宋体"/>
          <w:color w:val="auto"/>
          <w:sz w:val="24"/>
          <w:szCs w:val="24"/>
          <w:highlight w:val="none"/>
        </w:rPr>
        <w:t>或低于</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认可的成本价，恶意竞标的，按无效响应处理。</w:t>
      </w:r>
    </w:p>
    <w:p w14:paraId="756BE38B">
      <w:pPr>
        <w:spacing w:line="48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（2）最终报价后，重大偏离不允许被修正，但磋商小组将允许修正报价中不构成重大偏离的地方，这些修正不会对其他实质上响应竞争性磋商文件要求的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的竞争地位产生不公正的影响。</w:t>
      </w:r>
    </w:p>
    <w:p w14:paraId="6E06BD86">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3、综合评分</w:t>
      </w:r>
    </w:p>
    <w:p w14:paraId="48B3000B">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最终报价结束后，磋商小组根据评分细则（评分标准）进行综合打分，以综合得分最高的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作为成交人或按综合得分由高到低的顺序推荐成交候选人。</w:t>
      </w:r>
    </w:p>
    <w:p w14:paraId="0C2260DD">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4、评审过程保密</w:t>
      </w:r>
    </w:p>
    <w:p w14:paraId="5EBD254A">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公开报价之后，直到签订合同止，凡是属于审查、澄清、评价和比较报价的有关资料以及成交意向等，均不向</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或者其他与评审无关的人员透露。</w:t>
      </w:r>
    </w:p>
    <w:p w14:paraId="13CFD733">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、特殊情况下的磋商方法：如出现</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达不到法定数量、最终报价全部超出项目预算、串通报价、全部不符合磋商文件要求以及</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互相诋毁，导致磋商小组无法磋商时，磋商小组有权停止磋商，否决所有报价，</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报请采购监督管理机构同意后可改用其它方式进行</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w:t>
      </w:r>
    </w:p>
    <w:p w14:paraId="5D9D5324">
      <w:pPr>
        <w:spacing w:line="480" w:lineRule="auto"/>
        <w:ind w:firstLine="482" w:firstLineChars="200"/>
        <w:rPr>
          <w:rFonts w:hint="eastAsia" w:ascii="宋体" w:hAnsi="宋体" w:cs="宋体"/>
          <w:b/>
          <w:bCs/>
          <w:color w:val="auto"/>
          <w:sz w:val="24"/>
          <w:szCs w:val="22"/>
          <w:highlight w:val="none"/>
        </w:rPr>
      </w:pPr>
      <w:bookmarkStart w:id="193" w:name="_Toc144974575"/>
      <w:bookmarkStart w:id="194" w:name="_Toc179632625"/>
      <w:bookmarkStart w:id="195" w:name="_Toc246996993"/>
      <w:bookmarkStart w:id="196" w:name="_Toc296602495"/>
      <w:bookmarkStart w:id="197" w:name="_Toc247085765"/>
      <w:bookmarkStart w:id="198" w:name="_Toc152045607"/>
      <w:bookmarkStart w:id="199" w:name="_Toc152042385"/>
      <w:bookmarkStart w:id="200" w:name="_Toc246996250"/>
      <w:r>
        <w:rPr>
          <w:rFonts w:hint="eastAsia" w:ascii="宋体" w:hAnsi="宋体" w:cs="宋体"/>
          <w:b/>
          <w:bCs/>
          <w:color w:val="auto"/>
          <w:sz w:val="24"/>
          <w:szCs w:val="22"/>
          <w:highlight w:val="none"/>
        </w:rPr>
        <w:t>3.</w:t>
      </w:r>
      <w:r>
        <w:rPr>
          <w:rFonts w:hint="eastAsia" w:ascii="宋体" w:hAnsi="宋体" w:cs="宋体"/>
          <w:b/>
          <w:bCs/>
          <w:color w:val="auto"/>
          <w:sz w:val="24"/>
          <w:szCs w:val="22"/>
          <w:highlight w:val="none"/>
          <w:lang w:val="en-US" w:eastAsia="zh-CN"/>
        </w:rPr>
        <w:t>2</w:t>
      </w:r>
      <w:r>
        <w:rPr>
          <w:rFonts w:hint="eastAsia" w:ascii="宋体" w:hAnsi="宋体" w:cs="宋体"/>
          <w:b/>
          <w:bCs/>
          <w:color w:val="auto"/>
          <w:sz w:val="24"/>
          <w:szCs w:val="22"/>
          <w:highlight w:val="none"/>
        </w:rPr>
        <w:t xml:space="preserve"> </w:t>
      </w:r>
      <w:r>
        <w:rPr>
          <w:rFonts w:hint="eastAsia" w:ascii="宋体" w:hAnsi="宋体" w:cs="宋体"/>
          <w:b/>
          <w:bCs/>
          <w:color w:val="auto"/>
          <w:sz w:val="24"/>
          <w:szCs w:val="22"/>
          <w:highlight w:val="none"/>
          <w:lang w:eastAsia="zh-CN"/>
        </w:rPr>
        <w:t>响应</w:t>
      </w:r>
      <w:r>
        <w:rPr>
          <w:rFonts w:hint="eastAsia" w:ascii="宋体" w:hAnsi="宋体" w:cs="宋体"/>
          <w:b/>
          <w:bCs/>
          <w:color w:val="auto"/>
          <w:sz w:val="24"/>
          <w:szCs w:val="22"/>
          <w:highlight w:val="none"/>
        </w:rPr>
        <w:t>文件的澄清</w:t>
      </w:r>
      <w:bookmarkEnd w:id="193"/>
      <w:r>
        <w:rPr>
          <w:rFonts w:hint="eastAsia" w:ascii="宋体" w:hAnsi="宋体" w:cs="宋体"/>
          <w:b/>
          <w:bCs/>
          <w:color w:val="auto"/>
          <w:sz w:val="24"/>
          <w:szCs w:val="22"/>
          <w:highlight w:val="none"/>
        </w:rPr>
        <w:t>和补正</w:t>
      </w:r>
      <w:bookmarkEnd w:id="194"/>
      <w:bookmarkEnd w:id="195"/>
      <w:bookmarkEnd w:id="196"/>
      <w:bookmarkEnd w:id="197"/>
      <w:bookmarkEnd w:id="198"/>
      <w:bookmarkEnd w:id="199"/>
      <w:bookmarkEnd w:id="200"/>
    </w:p>
    <w:p w14:paraId="1D6CEF03">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.1在</w:t>
      </w:r>
      <w:r>
        <w:rPr>
          <w:rFonts w:hint="eastAsia" w:ascii="宋体" w:hAnsi="宋体" w:cs="宋体"/>
          <w:color w:val="auto"/>
          <w:sz w:val="24"/>
          <w:szCs w:val="22"/>
          <w:highlight w:val="none"/>
          <w:lang w:eastAsia="zh-CN"/>
        </w:rPr>
        <w:t>评审</w:t>
      </w:r>
      <w:r>
        <w:rPr>
          <w:rFonts w:hint="eastAsia" w:ascii="宋体" w:hAnsi="宋体" w:cs="宋体"/>
          <w:color w:val="auto"/>
          <w:sz w:val="24"/>
          <w:szCs w:val="22"/>
          <w:highlight w:val="none"/>
        </w:rPr>
        <w:t>过程中，</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可以书面形式要求</w:t>
      </w:r>
      <w:r>
        <w:rPr>
          <w:rFonts w:hint="eastAsia" w:ascii="宋体" w:hAnsi="宋体" w:cs="宋体"/>
          <w:color w:val="auto"/>
          <w:sz w:val="24"/>
          <w:szCs w:val="22"/>
          <w:highlight w:val="none"/>
          <w:lang w:eastAsia="zh-CN"/>
        </w:rPr>
        <w:t>供应商</w:t>
      </w:r>
      <w:r>
        <w:rPr>
          <w:rFonts w:hint="eastAsia" w:ascii="宋体" w:hAnsi="宋体" w:cs="宋体"/>
          <w:color w:val="auto"/>
          <w:sz w:val="24"/>
          <w:szCs w:val="22"/>
          <w:highlight w:val="none"/>
        </w:rPr>
        <w:t>对所提交</w:t>
      </w:r>
      <w:r>
        <w:rPr>
          <w:rFonts w:hint="eastAsia" w:ascii="宋体" w:hAnsi="宋体" w:cs="宋体"/>
          <w:color w:val="auto"/>
          <w:sz w:val="24"/>
          <w:szCs w:val="22"/>
          <w:highlight w:val="none"/>
          <w:lang w:eastAsia="zh-CN"/>
        </w:rPr>
        <w:t>响应</w:t>
      </w:r>
      <w:r>
        <w:rPr>
          <w:rFonts w:hint="eastAsia" w:ascii="宋体" w:hAnsi="宋体" w:cs="宋体"/>
          <w:color w:val="auto"/>
          <w:sz w:val="24"/>
          <w:szCs w:val="22"/>
          <w:highlight w:val="none"/>
        </w:rPr>
        <w:t>文件中不明确的内容进行书面澄清或说明，或者对细微偏差进行补正。</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不接受</w:t>
      </w:r>
      <w:r>
        <w:rPr>
          <w:rFonts w:hint="eastAsia" w:ascii="宋体" w:hAnsi="宋体" w:cs="宋体"/>
          <w:color w:val="auto"/>
          <w:sz w:val="24"/>
          <w:szCs w:val="22"/>
          <w:highlight w:val="none"/>
          <w:lang w:eastAsia="zh-CN"/>
        </w:rPr>
        <w:t>供应商</w:t>
      </w:r>
      <w:r>
        <w:rPr>
          <w:rFonts w:hint="eastAsia" w:ascii="宋体" w:hAnsi="宋体" w:cs="宋体"/>
          <w:color w:val="auto"/>
          <w:sz w:val="24"/>
          <w:szCs w:val="22"/>
          <w:highlight w:val="none"/>
        </w:rPr>
        <w:t>主动提出的澄清、说明或补正。</w:t>
      </w:r>
    </w:p>
    <w:p w14:paraId="65381AEA">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.2 澄清、说明和补正不得改变</w:t>
      </w:r>
      <w:r>
        <w:rPr>
          <w:rFonts w:hint="eastAsia" w:ascii="宋体" w:hAnsi="宋体" w:cs="宋体"/>
          <w:color w:val="auto"/>
          <w:sz w:val="24"/>
          <w:szCs w:val="22"/>
          <w:highlight w:val="none"/>
          <w:lang w:eastAsia="zh-CN"/>
        </w:rPr>
        <w:t>响应</w:t>
      </w:r>
      <w:r>
        <w:rPr>
          <w:rFonts w:hint="eastAsia" w:ascii="宋体" w:hAnsi="宋体" w:cs="宋体"/>
          <w:color w:val="auto"/>
          <w:sz w:val="24"/>
          <w:szCs w:val="22"/>
          <w:highlight w:val="none"/>
        </w:rPr>
        <w:t>文件的实质性内容。</w:t>
      </w:r>
      <w:r>
        <w:rPr>
          <w:rFonts w:hint="eastAsia" w:ascii="宋体" w:hAnsi="宋体" w:cs="宋体"/>
          <w:color w:val="auto"/>
          <w:sz w:val="24"/>
          <w:szCs w:val="22"/>
          <w:highlight w:val="none"/>
          <w:lang w:eastAsia="zh-CN"/>
        </w:rPr>
        <w:t>供应商</w:t>
      </w:r>
      <w:r>
        <w:rPr>
          <w:rFonts w:hint="eastAsia" w:ascii="宋体" w:hAnsi="宋体" w:cs="宋体"/>
          <w:color w:val="auto"/>
          <w:sz w:val="24"/>
          <w:szCs w:val="22"/>
          <w:highlight w:val="none"/>
        </w:rPr>
        <w:t>的书面澄清、说明和补正属于</w:t>
      </w:r>
      <w:r>
        <w:rPr>
          <w:rFonts w:hint="eastAsia" w:ascii="宋体" w:hAnsi="宋体" w:cs="宋体"/>
          <w:color w:val="auto"/>
          <w:sz w:val="24"/>
          <w:szCs w:val="22"/>
          <w:highlight w:val="none"/>
          <w:lang w:eastAsia="zh-CN"/>
        </w:rPr>
        <w:t>响应</w:t>
      </w:r>
      <w:r>
        <w:rPr>
          <w:rFonts w:hint="eastAsia" w:ascii="宋体" w:hAnsi="宋体" w:cs="宋体"/>
          <w:color w:val="auto"/>
          <w:sz w:val="24"/>
          <w:szCs w:val="22"/>
          <w:highlight w:val="none"/>
        </w:rPr>
        <w:t>文件的组成部分。</w:t>
      </w:r>
    </w:p>
    <w:p w14:paraId="77FEA6DC">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 xml:space="preserve">.3 </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对</w:t>
      </w:r>
      <w:r>
        <w:rPr>
          <w:rFonts w:hint="eastAsia" w:ascii="宋体" w:hAnsi="宋体" w:cs="宋体"/>
          <w:color w:val="auto"/>
          <w:sz w:val="24"/>
          <w:szCs w:val="22"/>
          <w:highlight w:val="none"/>
          <w:lang w:eastAsia="zh-CN"/>
        </w:rPr>
        <w:t>供应商</w:t>
      </w:r>
      <w:r>
        <w:rPr>
          <w:rFonts w:hint="eastAsia" w:ascii="宋体" w:hAnsi="宋体" w:cs="宋体"/>
          <w:color w:val="auto"/>
          <w:sz w:val="24"/>
          <w:szCs w:val="22"/>
          <w:highlight w:val="none"/>
        </w:rPr>
        <w:t>提交的澄清、说明或补正有疑问的，可以要求</w:t>
      </w:r>
      <w:r>
        <w:rPr>
          <w:rFonts w:hint="eastAsia" w:ascii="宋体" w:hAnsi="宋体" w:cs="宋体"/>
          <w:color w:val="auto"/>
          <w:sz w:val="24"/>
          <w:szCs w:val="22"/>
          <w:highlight w:val="none"/>
          <w:lang w:eastAsia="zh-CN"/>
        </w:rPr>
        <w:t>供应商</w:t>
      </w:r>
      <w:r>
        <w:rPr>
          <w:rFonts w:hint="eastAsia" w:ascii="宋体" w:hAnsi="宋体" w:cs="宋体"/>
          <w:color w:val="auto"/>
          <w:sz w:val="24"/>
          <w:szCs w:val="22"/>
          <w:highlight w:val="none"/>
        </w:rPr>
        <w:t>进一步澄清、说明或补正，直至满足要求。</w:t>
      </w:r>
    </w:p>
    <w:p w14:paraId="4B9124AC">
      <w:pPr>
        <w:spacing w:line="480" w:lineRule="auto"/>
        <w:ind w:firstLine="482" w:firstLineChars="200"/>
        <w:rPr>
          <w:rFonts w:hint="eastAsia" w:ascii="宋体" w:hAnsi="宋体" w:cs="宋体"/>
          <w:b/>
          <w:bCs/>
          <w:color w:val="auto"/>
          <w:sz w:val="24"/>
          <w:szCs w:val="22"/>
          <w:highlight w:val="none"/>
        </w:rPr>
      </w:pPr>
      <w:bookmarkStart w:id="201" w:name="_Toc247085766"/>
      <w:bookmarkStart w:id="202" w:name="_Toc246996994"/>
      <w:bookmarkStart w:id="203" w:name="_Toc296602496"/>
      <w:bookmarkStart w:id="204" w:name="_Toc246996251"/>
      <w:bookmarkStart w:id="205" w:name="_Toc179632626"/>
      <w:bookmarkStart w:id="206" w:name="_Toc144974576"/>
      <w:bookmarkStart w:id="207" w:name="_Toc152042386"/>
      <w:bookmarkStart w:id="208" w:name="_Toc152045608"/>
      <w:r>
        <w:rPr>
          <w:rFonts w:hint="eastAsia" w:ascii="宋体" w:hAnsi="宋体" w:cs="宋体"/>
          <w:b/>
          <w:bCs/>
          <w:color w:val="auto"/>
          <w:sz w:val="24"/>
          <w:szCs w:val="22"/>
          <w:highlight w:val="none"/>
        </w:rPr>
        <w:t>3.</w:t>
      </w:r>
      <w:r>
        <w:rPr>
          <w:rFonts w:hint="eastAsia" w:ascii="宋体" w:hAnsi="宋体" w:cs="宋体"/>
          <w:b/>
          <w:bCs/>
          <w:color w:val="auto"/>
          <w:sz w:val="24"/>
          <w:szCs w:val="22"/>
          <w:highlight w:val="none"/>
          <w:lang w:val="en-US" w:eastAsia="zh-CN"/>
        </w:rPr>
        <w:t>3</w:t>
      </w:r>
      <w:r>
        <w:rPr>
          <w:rFonts w:hint="eastAsia" w:ascii="宋体" w:hAnsi="宋体" w:cs="宋体"/>
          <w:b/>
          <w:bCs/>
          <w:color w:val="auto"/>
          <w:sz w:val="24"/>
          <w:szCs w:val="22"/>
          <w:highlight w:val="none"/>
          <w:lang w:eastAsia="zh-CN"/>
        </w:rPr>
        <w:t>评审</w:t>
      </w:r>
      <w:r>
        <w:rPr>
          <w:rFonts w:hint="eastAsia" w:ascii="宋体" w:hAnsi="宋体" w:cs="宋体"/>
          <w:b/>
          <w:bCs/>
          <w:color w:val="auto"/>
          <w:sz w:val="24"/>
          <w:szCs w:val="22"/>
          <w:highlight w:val="none"/>
        </w:rPr>
        <w:t>结果</w:t>
      </w:r>
      <w:bookmarkEnd w:id="201"/>
      <w:bookmarkEnd w:id="202"/>
      <w:bookmarkEnd w:id="203"/>
      <w:bookmarkEnd w:id="204"/>
      <w:bookmarkEnd w:id="205"/>
      <w:bookmarkEnd w:id="206"/>
      <w:bookmarkEnd w:id="207"/>
      <w:bookmarkEnd w:id="208"/>
    </w:p>
    <w:p w14:paraId="4930E971">
      <w:pPr>
        <w:spacing w:line="48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rPr>
        <w:t>.1</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按照得分由高到低的顺序推荐</w:t>
      </w:r>
      <w:r>
        <w:rPr>
          <w:rFonts w:hint="eastAsia" w:ascii="宋体" w:hAnsi="宋体" w:cs="宋体"/>
          <w:color w:val="auto"/>
          <w:sz w:val="24"/>
          <w:szCs w:val="22"/>
          <w:highlight w:val="none"/>
          <w:lang w:eastAsia="zh-CN"/>
        </w:rPr>
        <w:t>成交</w:t>
      </w:r>
      <w:r>
        <w:rPr>
          <w:rFonts w:hint="eastAsia" w:ascii="宋体" w:hAnsi="宋体" w:cs="宋体"/>
          <w:color w:val="auto"/>
          <w:sz w:val="24"/>
          <w:szCs w:val="22"/>
          <w:highlight w:val="none"/>
        </w:rPr>
        <w:t>候选人。</w:t>
      </w:r>
    </w:p>
    <w:p w14:paraId="6F2BBF15">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szCs w:val="22"/>
          <w:highlight w:val="none"/>
        </w:rPr>
        <w:t>3.</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rPr>
        <w:t xml:space="preserve">.2 </w:t>
      </w:r>
      <w:r>
        <w:rPr>
          <w:rFonts w:hint="eastAsia" w:ascii="宋体" w:hAnsi="宋体" w:cs="宋体"/>
          <w:color w:val="auto"/>
          <w:sz w:val="24"/>
          <w:szCs w:val="22"/>
          <w:highlight w:val="none"/>
          <w:lang w:eastAsia="zh-CN"/>
        </w:rPr>
        <w:t>磋商小组</w:t>
      </w:r>
      <w:r>
        <w:rPr>
          <w:rFonts w:hint="eastAsia" w:ascii="宋体" w:hAnsi="宋体" w:cs="宋体"/>
          <w:color w:val="auto"/>
          <w:sz w:val="24"/>
          <w:szCs w:val="22"/>
          <w:highlight w:val="none"/>
        </w:rPr>
        <w:t>完成</w:t>
      </w:r>
      <w:r>
        <w:rPr>
          <w:rFonts w:hint="eastAsia" w:ascii="宋体" w:hAnsi="宋体" w:cs="宋体"/>
          <w:color w:val="auto"/>
          <w:sz w:val="24"/>
          <w:szCs w:val="22"/>
          <w:highlight w:val="none"/>
          <w:lang w:eastAsia="zh-CN"/>
        </w:rPr>
        <w:t>评审</w:t>
      </w:r>
      <w:r>
        <w:rPr>
          <w:rFonts w:hint="eastAsia" w:ascii="宋体" w:hAnsi="宋体" w:cs="宋体"/>
          <w:color w:val="auto"/>
          <w:sz w:val="24"/>
          <w:szCs w:val="22"/>
          <w:highlight w:val="none"/>
        </w:rPr>
        <w:t>后，应当向</w:t>
      </w:r>
      <w:r>
        <w:rPr>
          <w:rFonts w:hint="eastAsia" w:ascii="宋体" w:hAnsi="宋体" w:cs="宋体"/>
          <w:color w:val="auto"/>
          <w:sz w:val="24"/>
          <w:szCs w:val="22"/>
          <w:highlight w:val="none"/>
          <w:lang w:eastAsia="zh-CN"/>
        </w:rPr>
        <w:t>采购人</w:t>
      </w:r>
      <w:r>
        <w:rPr>
          <w:rFonts w:hint="eastAsia" w:ascii="宋体" w:hAnsi="宋体" w:cs="宋体"/>
          <w:color w:val="auto"/>
          <w:sz w:val="24"/>
          <w:szCs w:val="22"/>
          <w:highlight w:val="none"/>
        </w:rPr>
        <w:t>提交</w:t>
      </w:r>
      <w:r>
        <w:rPr>
          <w:rFonts w:hint="eastAsia" w:ascii="宋体" w:hAnsi="宋体" w:cs="宋体"/>
          <w:color w:val="auto"/>
          <w:sz w:val="24"/>
          <w:szCs w:val="22"/>
          <w:highlight w:val="none"/>
          <w:lang w:eastAsia="zh-CN"/>
        </w:rPr>
        <w:t>评审</w:t>
      </w:r>
      <w:r>
        <w:rPr>
          <w:rFonts w:hint="eastAsia" w:ascii="宋体" w:hAnsi="宋体" w:cs="宋体"/>
          <w:color w:val="auto"/>
          <w:sz w:val="24"/>
          <w:szCs w:val="22"/>
          <w:highlight w:val="none"/>
        </w:rPr>
        <w:t>报告。</w:t>
      </w:r>
    </w:p>
    <w:p w14:paraId="5A5BCC0C">
      <w:pPr>
        <w:pStyle w:val="3"/>
        <w:pageBreakBefore w:val="0"/>
        <w:kinsoku/>
        <w:overflowPunct/>
        <w:bidi w:val="0"/>
        <w:spacing w:line="500" w:lineRule="exact"/>
        <w:rPr>
          <w:rFonts w:hint="eastAsia"/>
          <w:highlight w:val="none"/>
          <w:lang w:eastAsia="zh-CN"/>
        </w:rPr>
      </w:pPr>
    </w:p>
    <w:p w14:paraId="4BB5EE97">
      <w:pPr>
        <w:rPr>
          <w:rFonts w:hint="eastAsia"/>
          <w:highlight w:val="none"/>
          <w:lang w:eastAsia="zh-CN"/>
        </w:rPr>
      </w:pPr>
    </w:p>
    <w:p w14:paraId="58D922F7">
      <w:pPr>
        <w:pStyle w:val="24"/>
        <w:rPr>
          <w:rFonts w:hint="eastAsia"/>
          <w:highlight w:val="none"/>
          <w:lang w:eastAsia="zh-CN"/>
        </w:rPr>
      </w:pPr>
    </w:p>
    <w:p w14:paraId="2179DEE5">
      <w:pPr>
        <w:pStyle w:val="25"/>
        <w:rPr>
          <w:rFonts w:hint="eastAsia"/>
          <w:highlight w:val="none"/>
          <w:lang w:eastAsia="zh-CN"/>
        </w:rPr>
      </w:pPr>
    </w:p>
    <w:p w14:paraId="17112F2B">
      <w:pPr>
        <w:rPr>
          <w:rFonts w:hint="eastAsia"/>
          <w:highlight w:val="none"/>
          <w:lang w:eastAsia="zh-CN"/>
        </w:rPr>
      </w:pPr>
    </w:p>
    <w:p w14:paraId="7D360510">
      <w:pPr>
        <w:pStyle w:val="24"/>
        <w:rPr>
          <w:rFonts w:hint="eastAsia"/>
          <w:highlight w:val="none"/>
          <w:lang w:eastAsia="zh-CN"/>
        </w:rPr>
      </w:pPr>
    </w:p>
    <w:p w14:paraId="5D4D6B2C">
      <w:pPr>
        <w:pStyle w:val="25"/>
        <w:rPr>
          <w:rFonts w:hint="eastAsia"/>
          <w:highlight w:val="none"/>
          <w:lang w:eastAsia="zh-CN"/>
        </w:rPr>
      </w:pPr>
    </w:p>
    <w:p w14:paraId="3E24C445">
      <w:pPr>
        <w:rPr>
          <w:rFonts w:hint="eastAsia"/>
          <w:highlight w:val="none"/>
          <w:lang w:eastAsia="zh-CN"/>
        </w:rPr>
      </w:pPr>
    </w:p>
    <w:p w14:paraId="57B99F41">
      <w:pPr>
        <w:pStyle w:val="24"/>
        <w:rPr>
          <w:rFonts w:hint="eastAsia"/>
          <w:highlight w:val="none"/>
          <w:lang w:eastAsia="zh-CN"/>
        </w:rPr>
      </w:pPr>
    </w:p>
    <w:p w14:paraId="5195BB8B">
      <w:pPr>
        <w:pStyle w:val="25"/>
        <w:rPr>
          <w:rFonts w:hint="eastAsia"/>
          <w:highlight w:val="none"/>
          <w:lang w:eastAsia="zh-CN"/>
        </w:rPr>
      </w:pPr>
    </w:p>
    <w:p w14:paraId="35425007">
      <w:pPr>
        <w:rPr>
          <w:rFonts w:hint="eastAsia"/>
          <w:highlight w:val="none"/>
          <w:lang w:eastAsia="zh-CN"/>
        </w:rPr>
      </w:pPr>
    </w:p>
    <w:p w14:paraId="10F3BF9C">
      <w:pPr>
        <w:pStyle w:val="24"/>
        <w:rPr>
          <w:rFonts w:hint="eastAsia"/>
          <w:highlight w:val="none"/>
          <w:lang w:eastAsia="zh-CN"/>
        </w:rPr>
      </w:pPr>
    </w:p>
    <w:p w14:paraId="16092E80">
      <w:pPr>
        <w:pStyle w:val="25"/>
        <w:rPr>
          <w:rFonts w:hint="eastAsia"/>
          <w:highlight w:val="none"/>
          <w:lang w:eastAsia="zh-CN"/>
        </w:rPr>
      </w:pPr>
    </w:p>
    <w:p w14:paraId="5BB7A0C0">
      <w:pPr>
        <w:rPr>
          <w:rFonts w:hint="eastAsia"/>
          <w:highlight w:val="none"/>
          <w:lang w:eastAsia="zh-CN"/>
        </w:rPr>
      </w:pPr>
    </w:p>
    <w:p w14:paraId="7E5884CE">
      <w:pPr>
        <w:pStyle w:val="24"/>
        <w:rPr>
          <w:rFonts w:hint="eastAsia"/>
          <w:highlight w:val="none"/>
          <w:lang w:eastAsia="zh-CN"/>
        </w:rPr>
      </w:pPr>
    </w:p>
    <w:p w14:paraId="43DC065F">
      <w:pPr>
        <w:pStyle w:val="25"/>
        <w:rPr>
          <w:rFonts w:hint="eastAsia"/>
          <w:highlight w:val="none"/>
          <w:lang w:eastAsia="zh-CN"/>
        </w:rPr>
      </w:pPr>
    </w:p>
    <w:p w14:paraId="5DC41A87">
      <w:pPr>
        <w:rPr>
          <w:rFonts w:hint="eastAsia"/>
          <w:highlight w:val="none"/>
          <w:lang w:eastAsia="zh-CN"/>
        </w:rPr>
      </w:pPr>
    </w:p>
    <w:p w14:paraId="2C6F8507">
      <w:pPr>
        <w:pStyle w:val="24"/>
        <w:rPr>
          <w:rFonts w:hint="eastAsia"/>
          <w:highlight w:val="none"/>
          <w:lang w:eastAsia="zh-CN"/>
        </w:rPr>
      </w:pPr>
    </w:p>
    <w:p w14:paraId="4C384B52">
      <w:pPr>
        <w:pStyle w:val="25"/>
        <w:rPr>
          <w:rFonts w:hint="eastAsia"/>
          <w:highlight w:val="none"/>
          <w:lang w:eastAsia="zh-CN"/>
        </w:rPr>
      </w:pPr>
    </w:p>
    <w:p w14:paraId="3F86221C">
      <w:pPr>
        <w:rPr>
          <w:rFonts w:hint="eastAsia"/>
          <w:highlight w:val="none"/>
          <w:lang w:eastAsia="zh-CN"/>
        </w:rPr>
      </w:pPr>
    </w:p>
    <w:p w14:paraId="7E844500">
      <w:pPr>
        <w:pStyle w:val="24"/>
        <w:rPr>
          <w:rFonts w:hint="eastAsia"/>
          <w:highlight w:val="none"/>
          <w:lang w:eastAsia="zh-CN"/>
        </w:rPr>
      </w:pPr>
    </w:p>
    <w:p w14:paraId="579BE208">
      <w:pPr>
        <w:rPr>
          <w:rFonts w:hint="eastAsia"/>
          <w:lang w:eastAsia="zh-CN"/>
        </w:rPr>
      </w:pPr>
    </w:p>
    <w:p w14:paraId="3FAEB138">
      <w:pPr>
        <w:rPr>
          <w:rFonts w:hint="eastAsia"/>
          <w:highlight w:val="none"/>
          <w:lang w:eastAsia="zh-CN"/>
        </w:rPr>
      </w:pPr>
    </w:p>
    <w:p w14:paraId="15FEC7D7">
      <w:pPr>
        <w:pStyle w:val="3"/>
        <w:pageBreakBefore w:val="0"/>
        <w:kinsoku/>
        <w:overflowPunct/>
        <w:bidi w:val="0"/>
        <w:spacing w:line="500" w:lineRule="exact"/>
        <w:rPr>
          <w:highlight w:val="none"/>
        </w:rPr>
      </w:pPr>
      <w:r>
        <w:rPr>
          <w:rFonts w:hint="eastAsia"/>
          <w:highlight w:val="none"/>
          <w:lang w:eastAsia="zh-CN"/>
        </w:rPr>
        <w:t>评审</w:t>
      </w:r>
      <w:r>
        <w:rPr>
          <w:rFonts w:hint="eastAsia"/>
          <w:highlight w:val="none"/>
        </w:rPr>
        <w:t>办法前附表</w:t>
      </w:r>
      <w:bookmarkEnd w:id="157"/>
      <w:bookmarkEnd w:id="158"/>
    </w:p>
    <w:tbl>
      <w:tblPr>
        <w:tblStyle w:val="26"/>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265"/>
        <w:gridCol w:w="2923"/>
        <w:gridCol w:w="5151"/>
      </w:tblGrid>
      <w:tr w14:paraId="0E0E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4" w:type="dxa"/>
            <w:gridSpan w:val="2"/>
            <w:vAlign w:val="center"/>
          </w:tcPr>
          <w:p w14:paraId="1DBE6DFA">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条款号</w:t>
            </w:r>
          </w:p>
        </w:tc>
        <w:tc>
          <w:tcPr>
            <w:tcW w:w="2923" w:type="dxa"/>
            <w:vAlign w:val="center"/>
          </w:tcPr>
          <w:p w14:paraId="68DDC5C4">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评审因素</w:t>
            </w:r>
          </w:p>
        </w:tc>
        <w:tc>
          <w:tcPr>
            <w:tcW w:w="5151" w:type="dxa"/>
            <w:vAlign w:val="center"/>
          </w:tcPr>
          <w:p w14:paraId="0656D273">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评审标准</w:t>
            </w:r>
          </w:p>
        </w:tc>
      </w:tr>
      <w:tr w14:paraId="7130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79" w:type="dxa"/>
            <w:vMerge w:val="restart"/>
            <w:vAlign w:val="center"/>
          </w:tcPr>
          <w:p w14:paraId="0CFA664D">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2.1.1</w:t>
            </w:r>
          </w:p>
        </w:tc>
        <w:tc>
          <w:tcPr>
            <w:tcW w:w="1265" w:type="dxa"/>
            <w:vMerge w:val="restart"/>
            <w:vAlign w:val="center"/>
          </w:tcPr>
          <w:p w14:paraId="1F9F44F8">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形式评审</w:t>
            </w:r>
          </w:p>
          <w:p w14:paraId="4C4E113E">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标   准</w:t>
            </w:r>
          </w:p>
        </w:tc>
        <w:tc>
          <w:tcPr>
            <w:tcW w:w="2923" w:type="dxa"/>
            <w:vAlign w:val="center"/>
          </w:tcPr>
          <w:p w14:paraId="444BABFC">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w:t>
            </w:r>
          </w:p>
        </w:tc>
        <w:tc>
          <w:tcPr>
            <w:tcW w:w="5151" w:type="dxa"/>
            <w:vAlign w:val="center"/>
          </w:tcPr>
          <w:p w14:paraId="421ADE28">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rPr>
              <w:t>与营业执照一致</w:t>
            </w:r>
          </w:p>
        </w:tc>
      </w:tr>
      <w:tr w14:paraId="3FD6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79" w:type="dxa"/>
            <w:vMerge w:val="continue"/>
            <w:vAlign w:val="center"/>
          </w:tcPr>
          <w:p w14:paraId="02D1CF2C">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3C3EACAE">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14941549">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响应函签字盖章</w:t>
            </w:r>
          </w:p>
        </w:tc>
        <w:tc>
          <w:tcPr>
            <w:tcW w:w="5151" w:type="dxa"/>
            <w:vAlign w:val="center"/>
          </w:tcPr>
          <w:p w14:paraId="053F0721">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rPr>
              <w:t>符合竞争性磋商文件规定</w:t>
            </w:r>
          </w:p>
        </w:tc>
      </w:tr>
      <w:tr w14:paraId="6441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79" w:type="dxa"/>
            <w:vMerge w:val="continue"/>
            <w:vAlign w:val="center"/>
          </w:tcPr>
          <w:p w14:paraId="71F76B31">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61467F92">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7256A10E">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报价唯一</w:t>
            </w:r>
          </w:p>
        </w:tc>
        <w:tc>
          <w:tcPr>
            <w:tcW w:w="5151" w:type="dxa"/>
            <w:vAlign w:val="center"/>
          </w:tcPr>
          <w:p w14:paraId="47E3EEFB">
            <w:pPr>
              <w:pageBreakBefore w:val="0"/>
              <w:kinsoku/>
              <w:overflowPunct/>
              <w:bidi w:val="0"/>
              <w:spacing w:line="5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rPr>
              <w:t>只能有一个有效报价</w:t>
            </w:r>
            <w:r>
              <w:rPr>
                <w:rFonts w:hint="eastAsia" w:ascii="宋体" w:hAnsi="宋体" w:cs="宋体"/>
                <w:sz w:val="21"/>
                <w:szCs w:val="21"/>
                <w:highlight w:val="none"/>
                <w:lang w:eastAsia="zh-CN"/>
              </w:rPr>
              <w:t>，且不超过最高限价</w:t>
            </w:r>
          </w:p>
        </w:tc>
      </w:tr>
      <w:tr w14:paraId="3B00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79" w:type="dxa"/>
            <w:vMerge w:val="restart"/>
            <w:vAlign w:val="center"/>
          </w:tcPr>
          <w:p w14:paraId="6D0F4B23">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2.1.2</w:t>
            </w:r>
          </w:p>
        </w:tc>
        <w:tc>
          <w:tcPr>
            <w:tcW w:w="1265" w:type="dxa"/>
            <w:vMerge w:val="restart"/>
            <w:vAlign w:val="center"/>
          </w:tcPr>
          <w:p w14:paraId="0DE8FC42">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 xml:space="preserve">资格评审 </w:t>
            </w:r>
          </w:p>
          <w:p w14:paraId="75F9BA8B">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标  准</w:t>
            </w:r>
          </w:p>
        </w:tc>
        <w:tc>
          <w:tcPr>
            <w:tcW w:w="2923" w:type="dxa"/>
            <w:vAlign w:val="center"/>
          </w:tcPr>
          <w:p w14:paraId="7B0ABCBC">
            <w:pPr>
              <w:pageBreakBefore w:val="0"/>
              <w:kinsoku/>
              <w:overflowPunct/>
              <w:bidi w:val="0"/>
              <w:spacing w:line="500" w:lineRule="exact"/>
              <w:jc w:val="center"/>
              <w:rPr>
                <w:rFonts w:ascii="宋体" w:hAnsi="宋体" w:cs="宋体"/>
                <w:sz w:val="21"/>
                <w:szCs w:val="21"/>
                <w:highlight w:val="none"/>
              </w:rPr>
            </w:pPr>
            <w:r>
              <w:rPr>
                <w:rFonts w:hint="eastAsia" w:ascii="宋体" w:hAnsi="宋体" w:eastAsia="宋体" w:cs="宋体"/>
                <w:kern w:val="2"/>
                <w:sz w:val="21"/>
                <w:szCs w:val="21"/>
                <w:highlight w:val="none"/>
                <w:lang w:val="en-US" w:eastAsia="zh-CN" w:bidi="ar-SA"/>
              </w:rPr>
              <w:t>满足《中华人民共和国政府采购法》第二十二条规定</w:t>
            </w:r>
          </w:p>
        </w:tc>
        <w:tc>
          <w:tcPr>
            <w:tcW w:w="5151" w:type="dxa"/>
            <w:vAlign w:val="center"/>
          </w:tcPr>
          <w:p w14:paraId="6ECACF06">
            <w:pPr>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满足《中华人民共和国政府采购法》第二十二条规定，</w:t>
            </w:r>
            <w:r>
              <w:rPr>
                <w:rFonts w:hint="eastAsia" w:ascii="宋体" w:hAnsi="宋体" w:eastAsia="宋体" w:cs="宋体"/>
                <w:b/>
                <w:bCs/>
                <w:kern w:val="2"/>
                <w:sz w:val="21"/>
                <w:szCs w:val="21"/>
                <w:highlight w:val="none"/>
                <w:lang w:val="en-US" w:eastAsia="zh-CN" w:bidi="ar-SA"/>
              </w:rPr>
              <w:t>提供承诺书</w:t>
            </w:r>
          </w:p>
        </w:tc>
      </w:tr>
      <w:tr w14:paraId="1E1F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79" w:type="dxa"/>
            <w:vMerge w:val="continue"/>
            <w:vAlign w:val="center"/>
          </w:tcPr>
          <w:p w14:paraId="12370F83">
            <w:pPr>
              <w:pageBreakBefore w:val="0"/>
              <w:kinsoku/>
              <w:overflowPunct/>
              <w:bidi w:val="0"/>
              <w:spacing w:line="500" w:lineRule="exact"/>
              <w:jc w:val="center"/>
              <w:rPr>
                <w:rFonts w:hint="eastAsia" w:ascii="宋体" w:hAnsi="宋体" w:cs="宋体"/>
                <w:sz w:val="21"/>
                <w:szCs w:val="21"/>
                <w:highlight w:val="none"/>
              </w:rPr>
            </w:pPr>
          </w:p>
        </w:tc>
        <w:tc>
          <w:tcPr>
            <w:tcW w:w="1265" w:type="dxa"/>
            <w:vMerge w:val="continue"/>
            <w:vAlign w:val="center"/>
          </w:tcPr>
          <w:p w14:paraId="2768A925">
            <w:pPr>
              <w:pageBreakBefore w:val="0"/>
              <w:kinsoku/>
              <w:overflowPunct/>
              <w:bidi w:val="0"/>
              <w:spacing w:line="500" w:lineRule="exact"/>
              <w:jc w:val="center"/>
              <w:rPr>
                <w:rFonts w:hint="eastAsia" w:ascii="宋体" w:hAnsi="宋体" w:cs="宋体"/>
                <w:sz w:val="21"/>
                <w:szCs w:val="21"/>
                <w:highlight w:val="none"/>
              </w:rPr>
            </w:pPr>
          </w:p>
        </w:tc>
        <w:tc>
          <w:tcPr>
            <w:tcW w:w="2923" w:type="dxa"/>
            <w:vAlign w:val="center"/>
          </w:tcPr>
          <w:p w14:paraId="3CBB7B50">
            <w:pPr>
              <w:pageBreakBefore w:val="0"/>
              <w:kinsoku/>
              <w:overflowPunct/>
              <w:bidi w:val="0"/>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营业执照</w:t>
            </w:r>
          </w:p>
        </w:tc>
        <w:tc>
          <w:tcPr>
            <w:tcW w:w="5151" w:type="dxa"/>
            <w:vAlign w:val="center"/>
          </w:tcPr>
          <w:p w14:paraId="5550B814">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符合第二章“供应商须知前附表”第12项的规定</w:t>
            </w:r>
          </w:p>
        </w:tc>
      </w:tr>
      <w:tr w14:paraId="3C52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9" w:type="dxa"/>
            <w:vMerge w:val="continue"/>
            <w:vAlign w:val="center"/>
          </w:tcPr>
          <w:p w14:paraId="074D52E6">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39E16F1B">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1915D970">
            <w:pPr>
              <w:pStyle w:val="16"/>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参加政府采购活动近3年内无行贿犯罪记录、无商业贿赂、无不正当竞争行为、无骗取中标、无严重违约及重大工程质量等问题的承诺书</w:t>
            </w:r>
          </w:p>
        </w:tc>
        <w:tc>
          <w:tcPr>
            <w:tcW w:w="5151" w:type="dxa"/>
            <w:vAlign w:val="center"/>
          </w:tcPr>
          <w:p w14:paraId="0D304550">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符合第二章“供应商须知前附表”第12项的规定</w:t>
            </w:r>
          </w:p>
        </w:tc>
      </w:tr>
      <w:tr w14:paraId="777D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9" w:type="dxa"/>
            <w:vMerge w:val="continue"/>
            <w:vAlign w:val="center"/>
          </w:tcPr>
          <w:p w14:paraId="2BCD7A04">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0D38065C">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6D18B9B8">
            <w:pPr>
              <w:pStyle w:val="16"/>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无商业贿赂和不正当竞争行为承诺书</w:t>
            </w:r>
          </w:p>
        </w:tc>
        <w:tc>
          <w:tcPr>
            <w:tcW w:w="5151" w:type="dxa"/>
            <w:vAlign w:val="center"/>
          </w:tcPr>
          <w:p w14:paraId="4B40FA0E">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符合第二章“供应商须知前附表”第12项的规定</w:t>
            </w:r>
          </w:p>
        </w:tc>
      </w:tr>
      <w:tr w14:paraId="2DF8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9" w:type="dxa"/>
            <w:vMerge w:val="continue"/>
            <w:vAlign w:val="center"/>
          </w:tcPr>
          <w:p w14:paraId="63E7D699">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182A8899">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7FA01A64">
            <w:pPr>
              <w:pStyle w:val="16"/>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信用查询</w:t>
            </w:r>
          </w:p>
        </w:tc>
        <w:tc>
          <w:tcPr>
            <w:tcW w:w="5151" w:type="dxa"/>
            <w:vAlign w:val="center"/>
          </w:tcPr>
          <w:p w14:paraId="70DDB9FE">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符合第二章“供应商须知前附表”第12项的规定</w:t>
            </w:r>
          </w:p>
        </w:tc>
      </w:tr>
      <w:tr w14:paraId="079A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restart"/>
            <w:vAlign w:val="center"/>
          </w:tcPr>
          <w:p w14:paraId="35FC9ED0">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2.1.3</w:t>
            </w:r>
          </w:p>
        </w:tc>
        <w:tc>
          <w:tcPr>
            <w:tcW w:w="1265" w:type="dxa"/>
            <w:vMerge w:val="restart"/>
            <w:vAlign w:val="center"/>
          </w:tcPr>
          <w:p w14:paraId="0603E181">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响 应 性</w:t>
            </w:r>
          </w:p>
          <w:p w14:paraId="1D15142F">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评审标准</w:t>
            </w:r>
          </w:p>
        </w:tc>
        <w:tc>
          <w:tcPr>
            <w:tcW w:w="2923" w:type="dxa"/>
            <w:vAlign w:val="center"/>
          </w:tcPr>
          <w:p w14:paraId="33299114">
            <w:pPr>
              <w:pStyle w:val="16"/>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磋商</w:t>
            </w:r>
            <w:r>
              <w:rPr>
                <w:rFonts w:hint="eastAsia" w:ascii="宋体" w:hAnsi="宋体" w:eastAsia="宋体" w:cs="宋体"/>
                <w:kern w:val="2"/>
                <w:sz w:val="21"/>
                <w:szCs w:val="21"/>
                <w:highlight w:val="none"/>
                <w:lang w:val="en-US" w:eastAsia="zh-CN" w:bidi="ar-SA"/>
              </w:rPr>
              <w:t>内容</w:t>
            </w:r>
          </w:p>
        </w:tc>
        <w:tc>
          <w:tcPr>
            <w:tcW w:w="5151" w:type="dxa"/>
            <w:vAlign w:val="center"/>
          </w:tcPr>
          <w:p w14:paraId="5EB5309B">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符合第二章“供应商须知前附表”第</w:t>
            </w:r>
            <w:r>
              <w:rPr>
                <w:rFonts w:hint="eastAsia" w:ascii="宋体" w:hAnsi="宋体" w:cs="宋体"/>
                <w:kern w:val="2"/>
                <w:sz w:val="21"/>
                <w:szCs w:val="21"/>
                <w:highlight w:val="none"/>
                <w:lang w:val="en-US" w:eastAsia="zh-CN" w:bidi="ar-SA"/>
              </w:rPr>
              <w:t>7</w:t>
            </w:r>
            <w:r>
              <w:rPr>
                <w:rFonts w:hint="eastAsia" w:ascii="宋体" w:hAnsi="宋体" w:eastAsia="宋体" w:cs="宋体"/>
                <w:kern w:val="2"/>
                <w:sz w:val="21"/>
                <w:szCs w:val="21"/>
                <w:highlight w:val="none"/>
                <w:lang w:val="en-US" w:eastAsia="zh-CN" w:bidi="ar-SA"/>
              </w:rPr>
              <w:t>项的规定</w:t>
            </w:r>
          </w:p>
        </w:tc>
      </w:tr>
      <w:tr w14:paraId="3C5E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5FA53F6B">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0D150FEF">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7EBF84DB">
            <w:pPr>
              <w:pStyle w:val="16"/>
              <w:pageBreakBefore w:val="0"/>
              <w:kinsoku/>
              <w:overflowPunct/>
              <w:bidi w:val="0"/>
              <w:spacing w:line="5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合同履行期限/交货期</w:t>
            </w:r>
          </w:p>
        </w:tc>
        <w:tc>
          <w:tcPr>
            <w:tcW w:w="5151" w:type="dxa"/>
            <w:vAlign w:val="center"/>
          </w:tcPr>
          <w:p w14:paraId="6C22F4C9">
            <w:pPr>
              <w:pageBreakBefore w:val="0"/>
              <w:kinsoku/>
              <w:overflowPunct/>
              <w:bidi w:val="0"/>
              <w:spacing w:line="50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符合第二章“供应商须知前附表”规定</w:t>
            </w:r>
          </w:p>
        </w:tc>
      </w:tr>
      <w:tr w14:paraId="0B16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4B3A8B8C">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0AA0880E">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5D739142">
            <w:pPr>
              <w:pStyle w:val="16"/>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质量标准</w:t>
            </w:r>
          </w:p>
        </w:tc>
        <w:tc>
          <w:tcPr>
            <w:tcW w:w="5151" w:type="dxa"/>
            <w:vAlign w:val="center"/>
          </w:tcPr>
          <w:p w14:paraId="0DEC0AAB">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符合第二章“供应商须知前附表”规定</w:t>
            </w:r>
          </w:p>
        </w:tc>
      </w:tr>
      <w:tr w14:paraId="73AE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7639F36D">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4DC215FB">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229C9849">
            <w:pPr>
              <w:pStyle w:val="16"/>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质保期</w:t>
            </w:r>
          </w:p>
        </w:tc>
        <w:tc>
          <w:tcPr>
            <w:tcW w:w="5151" w:type="dxa"/>
            <w:vAlign w:val="center"/>
          </w:tcPr>
          <w:p w14:paraId="3AD9C597">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符合第二章“供应商须知前附表”规定</w:t>
            </w:r>
          </w:p>
        </w:tc>
      </w:tr>
      <w:tr w14:paraId="0826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41E5FAA6">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52C03554">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40FFFEB8">
            <w:pPr>
              <w:pStyle w:val="16"/>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磋商有效期</w:t>
            </w:r>
          </w:p>
        </w:tc>
        <w:tc>
          <w:tcPr>
            <w:tcW w:w="5151" w:type="dxa"/>
            <w:vAlign w:val="center"/>
          </w:tcPr>
          <w:p w14:paraId="47411A6D">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符合第二章“供应商须知前附表”规定</w:t>
            </w:r>
          </w:p>
        </w:tc>
      </w:tr>
      <w:tr w14:paraId="617A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17C59B19">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00637335">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050FA008">
            <w:pPr>
              <w:pStyle w:val="16"/>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磋商</w:t>
            </w:r>
            <w:r>
              <w:rPr>
                <w:rFonts w:hint="eastAsia" w:ascii="宋体" w:hAnsi="宋体" w:eastAsia="宋体" w:cs="宋体"/>
                <w:kern w:val="2"/>
                <w:sz w:val="21"/>
                <w:szCs w:val="21"/>
                <w:highlight w:val="none"/>
                <w:lang w:val="en-US" w:eastAsia="zh-CN" w:bidi="ar-SA"/>
              </w:rPr>
              <w:t>报价</w:t>
            </w:r>
          </w:p>
        </w:tc>
        <w:tc>
          <w:tcPr>
            <w:tcW w:w="5151" w:type="dxa"/>
            <w:vAlign w:val="center"/>
          </w:tcPr>
          <w:p w14:paraId="1053499E">
            <w:pPr>
              <w:pageBreakBefore w:val="0"/>
              <w:kinsoku/>
              <w:overflowPunct/>
              <w:bidi w:val="0"/>
              <w:spacing w:line="5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w:t>
            </w:r>
            <w:r>
              <w:rPr>
                <w:rFonts w:hint="eastAsia" w:ascii="宋体" w:hAnsi="宋体" w:cs="宋体"/>
                <w:kern w:val="2"/>
                <w:sz w:val="21"/>
                <w:szCs w:val="21"/>
                <w:highlight w:val="none"/>
                <w:lang w:val="en-US" w:eastAsia="zh-CN" w:bidi="ar-SA"/>
              </w:rPr>
              <w:t>的磋商</w:t>
            </w:r>
            <w:r>
              <w:rPr>
                <w:rFonts w:hint="eastAsia" w:ascii="宋体" w:hAnsi="宋体" w:eastAsia="宋体" w:cs="宋体"/>
                <w:kern w:val="2"/>
                <w:sz w:val="21"/>
                <w:szCs w:val="21"/>
                <w:highlight w:val="none"/>
                <w:lang w:val="en-US" w:eastAsia="zh-CN" w:bidi="ar-SA"/>
              </w:rPr>
              <w:t>报价不得高于采购人公布的最高限价数额，否则按照无效响应处理。</w:t>
            </w:r>
          </w:p>
        </w:tc>
      </w:tr>
      <w:tr w14:paraId="23C2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144" w:type="dxa"/>
            <w:gridSpan w:val="2"/>
            <w:vAlign w:val="center"/>
          </w:tcPr>
          <w:p w14:paraId="58F80373">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条款号</w:t>
            </w:r>
          </w:p>
        </w:tc>
        <w:tc>
          <w:tcPr>
            <w:tcW w:w="2923" w:type="dxa"/>
            <w:vAlign w:val="center"/>
          </w:tcPr>
          <w:p w14:paraId="0DDBEA7B">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条款内容</w:t>
            </w:r>
          </w:p>
        </w:tc>
        <w:tc>
          <w:tcPr>
            <w:tcW w:w="5151" w:type="dxa"/>
            <w:vAlign w:val="center"/>
          </w:tcPr>
          <w:p w14:paraId="092D7434">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编列内容</w:t>
            </w:r>
          </w:p>
        </w:tc>
      </w:tr>
      <w:tr w14:paraId="6A69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144" w:type="dxa"/>
            <w:gridSpan w:val="2"/>
            <w:vAlign w:val="center"/>
          </w:tcPr>
          <w:p w14:paraId="79F4EA87">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2.2.1</w:t>
            </w:r>
          </w:p>
        </w:tc>
        <w:tc>
          <w:tcPr>
            <w:tcW w:w="2923" w:type="dxa"/>
            <w:vAlign w:val="center"/>
          </w:tcPr>
          <w:p w14:paraId="4D22F1EA">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分值构成</w:t>
            </w:r>
          </w:p>
          <w:p w14:paraId="5D63A2E0">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（总分100分）</w:t>
            </w:r>
          </w:p>
        </w:tc>
        <w:tc>
          <w:tcPr>
            <w:tcW w:w="5151" w:type="dxa"/>
            <w:vAlign w:val="center"/>
          </w:tcPr>
          <w:p w14:paraId="5F67E0CD">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rPr>
              <w:t>技术标：</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50</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w:t>
            </w:r>
          </w:p>
          <w:p w14:paraId="01C16AA4">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rPr>
              <w:t>商务标：</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30</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w:t>
            </w:r>
          </w:p>
          <w:p w14:paraId="6A5CC1C9">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rPr>
              <w:t>综合标：</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20</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w:t>
            </w:r>
          </w:p>
        </w:tc>
      </w:tr>
      <w:tr w14:paraId="6EF4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144" w:type="dxa"/>
            <w:gridSpan w:val="2"/>
            <w:vAlign w:val="center"/>
          </w:tcPr>
          <w:p w14:paraId="4B3C2A7C">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条款号</w:t>
            </w:r>
          </w:p>
        </w:tc>
        <w:tc>
          <w:tcPr>
            <w:tcW w:w="2923" w:type="dxa"/>
            <w:vAlign w:val="center"/>
          </w:tcPr>
          <w:p w14:paraId="40B2261B">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评分因素</w:t>
            </w:r>
          </w:p>
        </w:tc>
        <w:tc>
          <w:tcPr>
            <w:tcW w:w="5151" w:type="dxa"/>
            <w:vAlign w:val="center"/>
          </w:tcPr>
          <w:p w14:paraId="08358A1A">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评分标准</w:t>
            </w:r>
          </w:p>
        </w:tc>
      </w:tr>
      <w:tr w14:paraId="7E11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79" w:type="dxa"/>
            <w:vMerge w:val="restart"/>
            <w:vAlign w:val="center"/>
          </w:tcPr>
          <w:p w14:paraId="6B996A08">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2.2.2</w:t>
            </w:r>
          </w:p>
          <w:p w14:paraId="458052B0">
            <w:pPr>
              <w:pageBreakBefore w:val="0"/>
              <w:kinsoku/>
              <w:overflowPunct/>
              <w:bidi w:val="0"/>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p>
        </w:tc>
        <w:tc>
          <w:tcPr>
            <w:tcW w:w="1265" w:type="dxa"/>
            <w:vMerge w:val="restart"/>
            <w:vAlign w:val="center"/>
          </w:tcPr>
          <w:p w14:paraId="2999D50B">
            <w:pPr>
              <w:pageBreakBefore w:val="0"/>
              <w:kinsoku/>
              <w:overflowPunct/>
              <w:bidi w:val="0"/>
              <w:spacing w:line="50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技术部分评分标准（</w:t>
            </w:r>
            <w:r>
              <w:rPr>
                <w:rFonts w:hint="eastAsia" w:ascii="宋体" w:hAnsi="宋体" w:cs="宋体"/>
                <w:sz w:val="21"/>
                <w:szCs w:val="21"/>
                <w:highlight w:val="none"/>
                <w:lang w:val="en-US" w:eastAsia="zh-CN"/>
              </w:rPr>
              <w:t>50分</w:t>
            </w:r>
            <w:r>
              <w:rPr>
                <w:rFonts w:hint="eastAsia" w:ascii="宋体" w:hAnsi="宋体" w:cs="宋体"/>
                <w:sz w:val="21"/>
                <w:szCs w:val="21"/>
                <w:highlight w:val="none"/>
                <w:lang w:eastAsia="zh-CN"/>
              </w:rPr>
              <w:t>）</w:t>
            </w:r>
          </w:p>
        </w:tc>
        <w:tc>
          <w:tcPr>
            <w:tcW w:w="2923" w:type="dxa"/>
            <w:vAlign w:val="center"/>
          </w:tcPr>
          <w:p w14:paraId="374ED469">
            <w:pPr>
              <w:pageBreakBefore w:val="0"/>
              <w:kinsoku/>
              <w:overflowPunct/>
              <w:bidi w:val="0"/>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技术响应程度（</w:t>
            </w:r>
            <w:r>
              <w:rPr>
                <w:rFonts w:hint="eastAsia" w:ascii="宋体" w:hAnsi="宋体" w:cs="宋体"/>
                <w:sz w:val="21"/>
                <w:szCs w:val="21"/>
                <w:highlight w:val="none"/>
                <w:lang w:val="en-US" w:eastAsia="zh-CN"/>
              </w:rPr>
              <w:t>10分</w:t>
            </w:r>
            <w:r>
              <w:rPr>
                <w:rFonts w:hint="eastAsia" w:ascii="宋体" w:hAnsi="宋体" w:cs="宋体"/>
                <w:sz w:val="21"/>
                <w:szCs w:val="21"/>
                <w:highlight w:val="none"/>
                <w:lang w:eastAsia="zh-CN"/>
              </w:rPr>
              <w:t>）</w:t>
            </w:r>
          </w:p>
        </w:tc>
        <w:tc>
          <w:tcPr>
            <w:tcW w:w="5151" w:type="dxa"/>
            <w:vAlign w:val="center"/>
          </w:tcPr>
          <w:p w14:paraId="70669DC1">
            <w:pPr>
              <w:pageBreakBefore w:val="0"/>
              <w:kinsoku/>
              <w:overflowPunct/>
              <w:bidi w:val="0"/>
              <w:spacing w:line="5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供应商所投货物的技术参数、性能指标能够全部满足</w:t>
            </w:r>
            <w:r>
              <w:rPr>
                <w:rFonts w:hint="eastAsia" w:ascii="宋体" w:hAnsi="宋体" w:cs="宋体"/>
                <w:kern w:val="2"/>
                <w:sz w:val="21"/>
                <w:szCs w:val="21"/>
                <w:highlight w:val="none"/>
                <w:lang w:val="en-US" w:eastAsia="zh-CN" w:bidi="ar-SA"/>
              </w:rPr>
              <w:t>或优于</w:t>
            </w:r>
            <w:r>
              <w:rPr>
                <w:rFonts w:hint="eastAsia" w:ascii="宋体" w:hAnsi="宋体" w:eastAsia="宋体" w:cs="宋体"/>
                <w:kern w:val="2"/>
                <w:sz w:val="21"/>
                <w:szCs w:val="21"/>
                <w:highlight w:val="none"/>
                <w:lang w:val="en-US" w:eastAsia="zh-CN" w:bidi="ar-SA"/>
              </w:rPr>
              <w:t>磋商文件要求得</w:t>
            </w: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分；技术</w:t>
            </w:r>
            <w:r>
              <w:rPr>
                <w:rFonts w:hint="eastAsia" w:ascii="宋体" w:hAnsi="宋体" w:cs="宋体"/>
                <w:kern w:val="2"/>
                <w:sz w:val="21"/>
                <w:szCs w:val="21"/>
                <w:highlight w:val="none"/>
                <w:lang w:val="en-US" w:eastAsia="zh-CN" w:bidi="ar-SA"/>
              </w:rPr>
              <w:t>参数</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性能指标低于</w:t>
            </w:r>
            <w:r>
              <w:rPr>
                <w:rFonts w:hint="eastAsia" w:ascii="宋体" w:hAnsi="宋体" w:eastAsia="宋体" w:cs="宋体"/>
                <w:kern w:val="2"/>
                <w:sz w:val="21"/>
                <w:szCs w:val="21"/>
                <w:highlight w:val="none"/>
                <w:lang w:val="en-US" w:eastAsia="zh-CN" w:bidi="ar-SA"/>
              </w:rPr>
              <w:t>磋商文件要求的，由磋商小组对所</w:t>
            </w:r>
            <w:r>
              <w:rPr>
                <w:rFonts w:hint="eastAsia" w:ascii="宋体" w:hAnsi="宋体" w:cs="宋体"/>
                <w:kern w:val="2"/>
                <w:sz w:val="21"/>
                <w:szCs w:val="21"/>
                <w:highlight w:val="none"/>
                <w:lang w:val="en-US" w:eastAsia="zh-CN" w:bidi="ar-SA"/>
              </w:rPr>
              <w:t>响应</w:t>
            </w:r>
            <w:r>
              <w:rPr>
                <w:rFonts w:hint="eastAsia" w:ascii="宋体" w:hAnsi="宋体" w:eastAsia="宋体" w:cs="宋体"/>
                <w:kern w:val="2"/>
                <w:sz w:val="21"/>
                <w:szCs w:val="21"/>
                <w:highlight w:val="none"/>
                <w:lang w:val="en-US" w:eastAsia="zh-CN" w:bidi="ar-SA"/>
              </w:rPr>
              <w:t>产品偏离内容进行</w:t>
            </w:r>
            <w:r>
              <w:rPr>
                <w:rFonts w:hint="eastAsia" w:ascii="宋体" w:hAnsi="宋体" w:cs="宋体"/>
                <w:kern w:val="2"/>
                <w:sz w:val="21"/>
                <w:szCs w:val="21"/>
                <w:highlight w:val="none"/>
                <w:lang w:val="en-US" w:eastAsia="zh-CN" w:bidi="ar-SA"/>
              </w:rPr>
              <w:t>扣分</w:t>
            </w:r>
            <w:r>
              <w:rPr>
                <w:rFonts w:hint="eastAsia" w:ascii="宋体" w:hAnsi="宋体" w:eastAsia="宋体" w:cs="宋体"/>
                <w:kern w:val="2"/>
                <w:sz w:val="21"/>
                <w:szCs w:val="21"/>
                <w:highlight w:val="none"/>
                <w:lang w:val="en-US" w:eastAsia="zh-CN" w:bidi="ar-SA"/>
              </w:rPr>
              <w:t>，每</w:t>
            </w:r>
            <w:r>
              <w:rPr>
                <w:rFonts w:hint="eastAsia" w:ascii="宋体" w:hAnsi="宋体" w:cs="宋体"/>
                <w:kern w:val="2"/>
                <w:sz w:val="21"/>
                <w:szCs w:val="21"/>
                <w:highlight w:val="none"/>
                <w:lang w:val="en-US" w:eastAsia="zh-CN" w:bidi="ar-SA"/>
              </w:rPr>
              <w:t>有</w:t>
            </w:r>
            <w:r>
              <w:rPr>
                <w:rFonts w:hint="eastAsia" w:ascii="宋体" w:hAnsi="宋体" w:eastAsia="宋体" w:cs="宋体"/>
                <w:kern w:val="2"/>
                <w:sz w:val="21"/>
                <w:szCs w:val="21"/>
                <w:highlight w:val="none"/>
                <w:lang w:val="en-US" w:eastAsia="zh-CN" w:bidi="ar-SA"/>
              </w:rPr>
              <w:t>一个</w:t>
            </w:r>
            <w:r>
              <w:rPr>
                <w:rFonts w:hint="eastAsia" w:ascii="宋体" w:hAnsi="宋体" w:cs="宋体"/>
                <w:kern w:val="2"/>
                <w:sz w:val="21"/>
                <w:szCs w:val="21"/>
                <w:highlight w:val="none"/>
                <w:lang w:val="en-US" w:eastAsia="zh-CN" w:bidi="ar-SA"/>
              </w:rPr>
              <w:t>负</w:t>
            </w:r>
            <w:r>
              <w:rPr>
                <w:rFonts w:hint="eastAsia" w:ascii="宋体" w:hAnsi="宋体" w:eastAsia="宋体" w:cs="宋体"/>
                <w:kern w:val="2"/>
                <w:sz w:val="21"/>
                <w:szCs w:val="21"/>
                <w:highlight w:val="none"/>
                <w:lang w:val="en-US" w:eastAsia="zh-CN" w:bidi="ar-SA"/>
              </w:rPr>
              <w:t>偏离</w:t>
            </w:r>
            <w:r>
              <w:rPr>
                <w:rFonts w:hint="eastAsia" w:ascii="宋体" w:hAnsi="宋体" w:cs="宋体"/>
                <w:kern w:val="2"/>
                <w:sz w:val="21"/>
                <w:szCs w:val="21"/>
                <w:highlight w:val="none"/>
                <w:lang w:val="en-US" w:eastAsia="zh-CN" w:bidi="ar-SA"/>
              </w:rPr>
              <w:t>扣1</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扣完为止</w:t>
            </w:r>
            <w:r>
              <w:rPr>
                <w:rFonts w:hint="eastAsia" w:ascii="宋体" w:hAnsi="宋体" w:eastAsia="宋体" w:cs="宋体"/>
                <w:kern w:val="2"/>
                <w:sz w:val="21"/>
                <w:szCs w:val="21"/>
                <w:highlight w:val="none"/>
                <w:lang w:val="en-US" w:eastAsia="zh-CN" w:bidi="ar-SA"/>
              </w:rPr>
              <w:t>。</w:t>
            </w:r>
          </w:p>
        </w:tc>
      </w:tr>
      <w:tr w14:paraId="642A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vMerge w:val="continue"/>
            <w:vAlign w:val="center"/>
          </w:tcPr>
          <w:p w14:paraId="6C4546E4">
            <w:pPr>
              <w:pageBreakBefore w:val="0"/>
              <w:kinsoku/>
              <w:overflowPunct/>
              <w:bidi w:val="0"/>
              <w:spacing w:line="500" w:lineRule="exact"/>
              <w:jc w:val="center"/>
              <w:rPr>
                <w:sz w:val="21"/>
                <w:szCs w:val="21"/>
                <w:highlight w:val="none"/>
              </w:rPr>
            </w:pPr>
          </w:p>
        </w:tc>
        <w:tc>
          <w:tcPr>
            <w:tcW w:w="1265" w:type="dxa"/>
            <w:vMerge w:val="continue"/>
            <w:vAlign w:val="center"/>
          </w:tcPr>
          <w:p w14:paraId="446AFB4F">
            <w:pPr>
              <w:pageBreakBefore w:val="0"/>
              <w:kinsoku/>
              <w:overflowPunct/>
              <w:bidi w:val="0"/>
              <w:spacing w:line="500" w:lineRule="exact"/>
              <w:jc w:val="center"/>
              <w:rPr>
                <w:sz w:val="21"/>
                <w:szCs w:val="21"/>
                <w:highlight w:val="none"/>
              </w:rPr>
            </w:pPr>
          </w:p>
        </w:tc>
        <w:tc>
          <w:tcPr>
            <w:tcW w:w="2923" w:type="dxa"/>
            <w:vAlign w:val="center"/>
          </w:tcPr>
          <w:p w14:paraId="5D9119F4">
            <w:pPr>
              <w:pageBreakBefore w:val="0"/>
              <w:kinsoku/>
              <w:overflowPunct/>
              <w:bidi w:val="0"/>
              <w:spacing w:line="50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安装方案（</w:t>
            </w:r>
            <w:r>
              <w:rPr>
                <w:rFonts w:hint="eastAsia" w:ascii="宋体" w:hAnsi="宋体" w:cs="宋体"/>
                <w:sz w:val="21"/>
                <w:szCs w:val="21"/>
                <w:highlight w:val="none"/>
                <w:lang w:val="en-US" w:eastAsia="zh-CN"/>
              </w:rPr>
              <w:t>8分</w:t>
            </w:r>
            <w:r>
              <w:rPr>
                <w:rFonts w:hint="eastAsia" w:ascii="宋体" w:hAnsi="宋体" w:cs="宋体"/>
                <w:sz w:val="21"/>
                <w:szCs w:val="21"/>
                <w:highlight w:val="none"/>
                <w:lang w:eastAsia="zh-CN"/>
              </w:rPr>
              <w:t>）</w:t>
            </w:r>
          </w:p>
        </w:tc>
        <w:tc>
          <w:tcPr>
            <w:tcW w:w="5151" w:type="dxa"/>
            <w:vAlign w:val="center"/>
          </w:tcPr>
          <w:p w14:paraId="3DB2A0A8">
            <w:pPr>
              <w:keepNext w:val="0"/>
              <w:keepLines w:val="0"/>
              <w:pageBreakBefore w:val="0"/>
              <w:widowControl/>
              <w:suppressLineNumbers w:val="0"/>
              <w:kinsoku/>
              <w:overflowPunct/>
              <w:bidi w:val="0"/>
              <w:spacing w:line="500" w:lineRule="exact"/>
              <w:jc w:val="left"/>
              <w:rPr>
                <w:rFonts w:ascii="宋体" w:hAnsi="宋体" w:cs="宋体"/>
                <w:sz w:val="21"/>
                <w:szCs w:val="21"/>
                <w:highlight w:val="none"/>
              </w:rPr>
            </w:pPr>
            <w:r>
              <w:rPr>
                <w:rFonts w:hint="eastAsia" w:ascii="宋体" w:hAnsi="宋体" w:eastAsia="宋体" w:cs="宋体"/>
                <w:color w:val="000000"/>
                <w:kern w:val="0"/>
                <w:sz w:val="21"/>
                <w:szCs w:val="21"/>
                <w:highlight w:val="none"/>
                <w:lang w:val="en-US" w:eastAsia="zh-CN" w:bidi="ar"/>
              </w:rPr>
              <w:t>提出完整的安装方案、应急方案；内容详实，科学、合理、安全，考虑周全措施到位，针对性强，完全能够满足</w:t>
            </w:r>
            <w:r>
              <w:rPr>
                <w:rFonts w:hint="eastAsia" w:ascii="宋体" w:hAnsi="宋体" w:cs="宋体"/>
                <w:color w:val="000000"/>
                <w:kern w:val="0"/>
                <w:sz w:val="21"/>
                <w:szCs w:val="21"/>
                <w:highlight w:val="none"/>
                <w:lang w:val="en-US" w:eastAsia="zh-CN" w:bidi="ar"/>
              </w:rPr>
              <w:t>采购</w:t>
            </w:r>
            <w:r>
              <w:rPr>
                <w:rFonts w:hint="eastAsia" w:ascii="宋体" w:hAnsi="宋体" w:eastAsia="宋体" w:cs="宋体"/>
                <w:color w:val="000000"/>
                <w:kern w:val="0"/>
                <w:sz w:val="21"/>
                <w:szCs w:val="21"/>
                <w:highlight w:val="none"/>
                <w:lang w:val="en-US" w:eastAsia="zh-CN" w:bidi="ar"/>
              </w:rPr>
              <w:t>的需要者</w:t>
            </w:r>
            <w:r>
              <w:rPr>
                <w:rFonts w:hint="eastAsia" w:ascii="宋体" w:hAnsi="宋体" w:cs="宋体"/>
                <w:color w:val="000000"/>
                <w:kern w:val="0"/>
                <w:sz w:val="21"/>
                <w:szCs w:val="21"/>
                <w:highlight w:val="none"/>
                <w:lang w:val="en-US" w:eastAsia="zh-CN" w:bidi="ar"/>
              </w:rPr>
              <w:t>，得8分；内容完整，基本科学、合理、安全，基本考虑周全，措施基本到位，可以满足采购的基本需要，但有个别细节需要进一步完善或提高者，得5分；内容差或者不完整得2分。未提供不得分；</w:t>
            </w:r>
          </w:p>
        </w:tc>
      </w:tr>
      <w:tr w14:paraId="1AE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vMerge w:val="continue"/>
            <w:vAlign w:val="center"/>
          </w:tcPr>
          <w:p w14:paraId="3898E6FF">
            <w:pPr>
              <w:pageBreakBefore w:val="0"/>
              <w:kinsoku/>
              <w:overflowPunct/>
              <w:bidi w:val="0"/>
              <w:spacing w:line="500" w:lineRule="exact"/>
              <w:jc w:val="center"/>
              <w:rPr>
                <w:sz w:val="21"/>
                <w:szCs w:val="21"/>
                <w:highlight w:val="none"/>
              </w:rPr>
            </w:pPr>
          </w:p>
        </w:tc>
        <w:tc>
          <w:tcPr>
            <w:tcW w:w="1265" w:type="dxa"/>
            <w:vMerge w:val="continue"/>
            <w:vAlign w:val="center"/>
          </w:tcPr>
          <w:p w14:paraId="2D5B22B3">
            <w:pPr>
              <w:pageBreakBefore w:val="0"/>
              <w:kinsoku/>
              <w:overflowPunct/>
              <w:bidi w:val="0"/>
              <w:spacing w:line="500" w:lineRule="exact"/>
              <w:jc w:val="center"/>
              <w:rPr>
                <w:sz w:val="21"/>
                <w:szCs w:val="21"/>
                <w:highlight w:val="none"/>
              </w:rPr>
            </w:pPr>
          </w:p>
        </w:tc>
        <w:tc>
          <w:tcPr>
            <w:tcW w:w="2923" w:type="dxa"/>
            <w:vAlign w:val="center"/>
          </w:tcPr>
          <w:p w14:paraId="37892A2B">
            <w:pPr>
              <w:pageBreakBefore w:val="0"/>
              <w:kinsoku/>
              <w:overflowPunct/>
              <w:bidi w:val="0"/>
              <w:spacing w:line="50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质量保证措施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8分</w:t>
            </w:r>
            <w:r>
              <w:rPr>
                <w:rFonts w:hint="eastAsia" w:ascii="宋体" w:hAnsi="宋体" w:cs="宋体"/>
                <w:sz w:val="21"/>
                <w:szCs w:val="21"/>
                <w:highlight w:val="none"/>
                <w:lang w:eastAsia="zh-CN"/>
              </w:rPr>
              <w:t>）</w:t>
            </w:r>
          </w:p>
        </w:tc>
        <w:tc>
          <w:tcPr>
            <w:tcW w:w="5151" w:type="dxa"/>
            <w:vAlign w:val="center"/>
          </w:tcPr>
          <w:p w14:paraId="14CD85F6">
            <w:pPr>
              <w:keepNext w:val="0"/>
              <w:keepLines w:val="0"/>
              <w:pageBreakBefore w:val="0"/>
              <w:widowControl/>
              <w:suppressLineNumbers w:val="0"/>
              <w:kinsoku/>
              <w:overflowPunct/>
              <w:bidi w:val="0"/>
              <w:spacing w:line="500" w:lineRule="exact"/>
              <w:jc w:val="left"/>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详细说明本项目设备安装准备阶段、安装阶段、试运转阶段、现场安装质量、安装中临时事件及突发事件的处理情况；</w:t>
            </w:r>
            <w:r>
              <w:rPr>
                <w:rFonts w:hint="eastAsia" w:ascii="宋体" w:hAnsi="宋体" w:eastAsia="宋体" w:cs="宋体"/>
                <w:color w:val="000000"/>
                <w:kern w:val="0"/>
                <w:sz w:val="21"/>
                <w:szCs w:val="21"/>
                <w:highlight w:val="none"/>
                <w:lang w:val="en-US" w:eastAsia="zh-CN" w:bidi="ar"/>
              </w:rPr>
              <w:t>内容具体全面，可操作性强的，得</w:t>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分；内容片面的或可操作性不强的，得</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分；可操作性差的，得</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分；没有不得分</w:t>
            </w:r>
            <w:r>
              <w:rPr>
                <w:rFonts w:hint="default" w:ascii="宋体" w:hAnsi="宋体" w:eastAsia="宋体" w:cs="宋体"/>
                <w:color w:val="000000"/>
                <w:kern w:val="0"/>
                <w:sz w:val="21"/>
                <w:szCs w:val="21"/>
                <w:highlight w:val="none"/>
                <w:lang w:val="en-US" w:eastAsia="zh-CN" w:bidi="ar"/>
              </w:rPr>
              <w:t>。</w:t>
            </w:r>
          </w:p>
        </w:tc>
      </w:tr>
      <w:tr w14:paraId="24AE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vMerge w:val="continue"/>
            <w:vAlign w:val="center"/>
          </w:tcPr>
          <w:p w14:paraId="249DA82A">
            <w:pPr>
              <w:pageBreakBefore w:val="0"/>
              <w:kinsoku/>
              <w:overflowPunct/>
              <w:bidi w:val="0"/>
              <w:spacing w:line="500" w:lineRule="exact"/>
              <w:jc w:val="center"/>
              <w:rPr>
                <w:sz w:val="21"/>
                <w:szCs w:val="21"/>
                <w:highlight w:val="none"/>
              </w:rPr>
            </w:pPr>
          </w:p>
        </w:tc>
        <w:tc>
          <w:tcPr>
            <w:tcW w:w="1265" w:type="dxa"/>
            <w:vMerge w:val="continue"/>
            <w:vAlign w:val="center"/>
          </w:tcPr>
          <w:p w14:paraId="5D160F02">
            <w:pPr>
              <w:pageBreakBefore w:val="0"/>
              <w:kinsoku/>
              <w:overflowPunct/>
              <w:bidi w:val="0"/>
              <w:spacing w:line="500" w:lineRule="exact"/>
              <w:jc w:val="center"/>
              <w:rPr>
                <w:sz w:val="21"/>
                <w:szCs w:val="21"/>
                <w:highlight w:val="none"/>
              </w:rPr>
            </w:pPr>
          </w:p>
        </w:tc>
        <w:tc>
          <w:tcPr>
            <w:tcW w:w="2923" w:type="dxa"/>
            <w:vAlign w:val="center"/>
          </w:tcPr>
          <w:p w14:paraId="08B1F322">
            <w:pPr>
              <w:pageBreakBefore w:val="0"/>
              <w:kinsoku/>
              <w:overflowPunct/>
              <w:bidi w:val="0"/>
              <w:spacing w:line="50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实施计划（8分）</w:t>
            </w:r>
          </w:p>
        </w:tc>
        <w:tc>
          <w:tcPr>
            <w:tcW w:w="5151" w:type="dxa"/>
            <w:vAlign w:val="center"/>
          </w:tcPr>
          <w:p w14:paraId="6AB1D6AD">
            <w:pPr>
              <w:keepNext w:val="0"/>
              <w:keepLines w:val="0"/>
              <w:pageBreakBefore w:val="0"/>
              <w:widowControl/>
              <w:suppressLineNumbers w:val="0"/>
              <w:kinsoku/>
              <w:overflowPunct/>
              <w:bidi w:val="0"/>
              <w:spacing w:line="500" w:lineRule="exact"/>
              <w:jc w:val="left"/>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提供实施计划方案，符合本项目实际情况，有完整的实施计划方案，且科学可行得</w:t>
            </w:r>
            <w:r>
              <w:rPr>
                <w:rFonts w:hint="eastAsia" w:ascii="宋体" w:hAnsi="宋体" w:cs="宋体"/>
                <w:color w:val="000000"/>
                <w:kern w:val="0"/>
                <w:sz w:val="21"/>
                <w:szCs w:val="21"/>
                <w:highlight w:val="none"/>
                <w:lang w:val="en-US" w:eastAsia="zh-CN" w:bidi="ar"/>
              </w:rPr>
              <w:t>8</w:t>
            </w:r>
            <w:r>
              <w:rPr>
                <w:rFonts w:hint="default" w:ascii="宋体" w:hAnsi="宋体" w:eastAsia="宋体" w:cs="宋体"/>
                <w:color w:val="000000"/>
                <w:kern w:val="0"/>
                <w:sz w:val="21"/>
                <w:szCs w:val="21"/>
                <w:highlight w:val="none"/>
                <w:lang w:val="en-US" w:eastAsia="zh-CN" w:bidi="ar"/>
              </w:rPr>
              <w:t>分。</w:t>
            </w:r>
          </w:p>
          <w:p w14:paraId="484807FD">
            <w:pPr>
              <w:keepNext w:val="0"/>
              <w:keepLines w:val="0"/>
              <w:pageBreakBefore w:val="0"/>
              <w:widowControl/>
              <w:suppressLineNumbers w:val="0"/>
              <w:kinsoku/>
              <w:overflowPunct/>
              <w:bidi w:val="0"/>
              <w:spacing w:line="500" w:lineRule="exact"/>
              <w:jc w:val="left"/>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提</w:t>
            </w:r>
            <w:r>
              <w:rPr>
                <w:rFonts w:hint="default" w:ascii="宋体" w:hAnsi="宋体" w:eastAsia="宋体" w:cs="宋体"/>
                <w:color w:val="000000"/>
                <w:kern w:val="0"/>
                <w:sz w:val="21"/>
                <w:szCs w:val="21"/>
                <w:highlight w:val="none"/>
                <w:lang w:val="en-US" w:eastAsia="zh-CN" w:bidi="ar"/>
              </w:rPr>
              <w:t>供提实施计划方案，基本符合本项目实际情况，有较完整实施计划方案，较科学可行得</w:t>
            </w:r>
            <w:r>
              <w:rPr>
                <w:rFonts w:hint="eastAsia" w:ascii="宋体" w:hAnsi="宋体" w:cs="宋体"/>
                <w:color w:val="000000"/>
                <w:kern w:val="0"/>
                <w:sz w:val="21"/>
                <w:szCs w:val="21"/>
                <w:highlight w:val="none"/>
                <w:lang w:val="en-US" w:eastAsia="zh-CN" w:bidi="ar"/>
              </w:rPr>
              <w:t>5</w:t>
            </w:r>
            <w:r>
              <w:rPr>
                <w:rFonts w:hint="default" w:ascii="宋体" w:hAnsi="宋体" w:eastAsia="宋体" w:cs="宋体"/>
                <w:color w:val="000000"/>
                <w:kern w:val="0"/>
                <w:sz w:val="21"/>
                <w:szCs w:val="21"/>
                <w:highlight w:val="none"/>
                <w:lang w:val="en-US" w:eastAsia="zh-CN" w:bidi="ar"/>
              </w:rPr>
              <w:t>分。</w:t>
            </w:r>
          </w:p>
          <w:p w14:paraId="33727EB1">
            <w:pPr>
              <w:keepNext w:val="0"/>
              <w:keepLines w:val="0"/>
              <w:pageBreakBefore w:val="0"/>
              <w:widowControl/>
              <w:suppressLineNumbers w:val="0"/>
              <w:kinsoku/>
              <w:overflowPunct/>
              <w:bidi w:val="0"/>
              <w:spacing w:line="500" w:lineRule="exact"/>
              <w:jc w:val="left"/>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 xml:space="preserve"> 内容差或者不完整得</w:t>
            </w:r>
            <w:r>
              <w:rPr>
                <w:rFonts w:hint="eastAsia" w:ascii="宋体" w:hAnsi="宋体" w:cs="宋体"/>
                <w:color w:val="000000"/>
                <w:kern w:val="0"/>
                <w:sz w:val="21"/>
                <w:szCs w:val="21"/>
                <w:highlight w:val="none"/>
                <w:lang w:val="en-US" w:eastAsia="zh-CN" w:bidi="ar"/>
              </w:rPr>
              <w:t>2</w:t>
            </w:r>
            <w:r>
              <w:rPr>
                <w:rFonts w:hint="default" w:ascii="宋体" w:hAnsi="宋体" w:eastAsia="宋体" w:cs="宋体"/>
                <w:color w:val="000000"/>
                <w:kern w:val="0"/>
                <w:sz w:val="21"/>
                <w:szCs w:val="21"/>
                <w:highlight w:val="none"/>
                <w:lang w:val="en-US" w:eastAsia="zh-CN" w:bidi="ar"/>
              </w:rPr>
              <w:t>分，未提供不得分。</w:t>
            </w:r>
          </w:p>
        </w:tc>
      </w:tr>
      <w:tr w14:paraId="67E8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vMerge w:val="continue"/>
            <w:vAlign w:val="center"/>
          </w:tcPr>
          <w:p w14:paraId="4CA775CD">
            <w:pPr>
              <w:pageBreakBefore w:val="0"/>
              <w:kinsoku/>
              <w:overflowPunct/>
              <w:bidi w:val="0"/>
              <w:spacing w:line="500" w:lineRule="exact"/>
              <w:jc w:val="center"/>
              <w:rPr>
                <w:sz w:val="21"/>
                <w:szCs w:val="21"/>
                <w:highlight w:val="none"/>
              </w:rPr>
            </w:pPr>
          </w:p>
        </w:tc>
        <w:tc>
          <w:tcPr>
            <w:tcW w:w="1265" w:type="dxa"/>
            <w:vMerge w:val="continue"/>
            <w:vAlign w:val="center"/>
          </w:tcPr>
          <w:p w14:paraId="2B8EBBED">
            <w:pPr>
              <w:pageBreakBefore w:val="0"/>
              <w:kinsoku/>
              <w:overflowPunct/>
              <w:bidi w:val="0"/>
              <w:spacing w:line="500" w:lineRule="exact"/>
              <w:jc w:val="center"/>
              <w:rPr>
                <w:sz w:val="21"/>
                <w:szCs w:val="21"/>
                <w:highlight w:val="none"/>
              </w:rPr>
            </w:pPr>
          </w:p>
        </w:tc>
        <w:tc>
          <w:tcPr>
            <w:tcW w:w="2923" w:type="dxa"/>
            <w:vAlign w:val="center"/>
          </w:tcPr>
          <w:p w14:paraId="6A7D8D04">
            <w:pPr>
              <w:keepNext w:val="0"/>
              <w:keepLines w:val="0"/>
              <w:pageBreakBefore w:val="0"/>
              <w:widowControl/>
              <w:suppressLineNumbers w:val="0"/>
              <w:kinsoku/>
              <w:overflowPunct/>
              <w:bidi w:val="0"/>
              <w:spacing w:line="500" w:lineRule="exact"/>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运输供货保障方案（</w:t>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分）</w:t>
            </w:r>
          </w:p>
        </w:tc>
        <w:tc>
          <w:tcPr>
            <w:tcW w:w="5151" w:type="dxa"/>
            <w:vAlign w:val="center"/>
          </w:tcPr>
          <w:p w14:paraId="6531D07E">
            <w:pPr>
              <w:keepNext w:val="0"/>
              <w:keepLines w:val="0"/>
              <w:pageBreakBefore w:val="0"/>
              <w:widowControl/>
              <w:suppressLineNumbers w:val="0"/>
              <w:kinsoku/>
              <w:overflowPunct/>
              <w:bidi w:val="0"/>
              <w:spacing w:line="500" w:lineRule="exact"/>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有详细的供货保障方案，且具有明确的工作流程，措施科学、完整得</w:t>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 xml:space="preserve">分。 </w:t>
            </w:r>
          </w:p>
          <w:p w14:paraId="18EE0F7B">
            <w:pPr>
              <w:keepNext w:val="0"/>
              <w:keepLines w:val="0"/>
              <w:pageBreakBefore w:val="0"/>
              <w:widowControl/>
              <w:suppressLineNumbers w:val="0"/>
              <w:kinsoku/>
              <w:overflowPunct/>
              <w:bidi w:val="0"/>
              <w:spacing w:line="500" w:lineRule="exact"/>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有较详细的供货方案，但工作流程一般，措施较为科学得</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 xml:space="preserve">分。 </w:t>
            </w:r>
          </w:p>
          <w:p w14:paraId="4AF6EB8B">
            <w:pPr>
              <w:keepNext w:val="0"/>
              <w:keepLines w:val="0"/>
              <w:pageBreakBefore w:val="0"/>
              <w:widowControl/>
              <w:suppressLineNumbers w:val="0"/>
              <w:kinsoku/>
              <w:overflowPunct/>
              <w:bidi w:val="0"/>
              <w:spacing w:line="500" w:lineRule="exact"/>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内容差或者不完整得</w:t>
            </w:r>
            <w:r>
              <w:rPr>
                <w:rFonts w:hint="eastAsia" w:ascii="宋体" w:hAnsi="宋体" w:cs="宋体"/>
                <w:color w:val="000000"/>
                <w:kern w:val="0"/>
                <w:sz w:val="21"/>
                <w:szCs w:val="21"/>
                <w:highlight w:val="none"/>
                <w:lang w:val="en-US" w:eastAsia="zh-CN" w:bidi="ar"/>
              </w:rPr>
              <w:t>2</w:t>
            </w:r>
            <w:r>
              <w:rPr>
                <w:rFonts w:hint="default" w:ascii="宋体" w:hAnsi="宋体" w:eastAsia="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分，未提供不得分。 </w:t>
            </w:r>
          </w:p>
        </w:tc>
      </w:tr>
      <w:tr w14:paraId="1675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vMerge w:val="continue"/>
            <w:vAlign w:val="center"/>
          </w:tcPr>
          <w:p w14:paraId="70C96C63">
            <w:pPr>
              <w:pageBreakBefore w:val="0"/>
              <w:kinsoku/>
              <w:overflowPunct/>
              <w:bidi w:val="0"/>
              <w:spacing w:line="500" w:lineRule="exact"/>
              <w:jc w:val="center"/>
              <w:rPr>
                <w:sz w:val="21"/>
                <w:szCs w:val="21"/>
                <w:highlight w:val="none"/>
              </w:rPr>
            </w:pPr>
          </w:p>
        </w:tc>
        <w:tc>
          <w:tcPr>
            <w:tcW w:w="1265" w:type="dxa"/>
            <w:vMerge w:val="continue"/>
            <w:vAlign w:val="center"/>
          </w:tcPr>
          <w:p w14:paraId="1718F99B">
            <w:pPr>
              <w:pageBreakBefore w:val="0"/>
              <w:kinsoku/>
              <w:overflowPunct/>
              <w:bidi w:val="0"/>
              <w:spacing w:line="500" w:lineRule="exact"/>
              <w:jc w:val="center"/>
              <w:rPr>
                <w:sz w:val="21"/>
                <w:szCs w:val="21"/>
                <w:highlight w:val="none"/>
              </w:rPr>
            </w:pPr>
          </w:p>
        </w:tc>
        <w:tc>
          <w:tcPr>
            <w:tcW w:w="2923" w:type="dxa"/>
            <w:vAlign w:val="center"/>
          </w:tcPr>
          <w:p w14:paraId="3BCC80C9">
            <w:pPr>
              <w:keepNext w:val="0"/>
              <w:keepLines w:val="0"/>
              <w:pageBreakBefore w:val="0"/>
              <w:widowControl/>
              <w:suppressLineNumbers w:val="0"/>
              <w:kinsoku/>
              <w:overflowPunct/>
              <w:bidi w:val="0"/>
              <w:spacing w:line="50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管理制度（8分）</w:t>
            </w:r>
          </w:p>
        </w:tc>
        <w:tc>
          <w:tcPr>
            <w:tcW w:w="5151" w:type="dxa"/>
            <w:vAlign w:val="center"/>
          </w:tcPr>
          <w:p w14:paraId="693C9AFA">
            <w:pPr>
              <w:keepNext w:val="0"/>
              <w:keepLines w:val="0"/>
              <w:pageBreakBefore w:val="0"/>
              <w:widowControl/>
              <w:suppressLineNumbers w:val="0"/>
              <w:kinsoku/>
              <w:overflowPunct/>
              <w:bidi w:val="0"/>
              <w:spacing w:line="5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编制的管理制度合理，能提高服务质量，切实可行的得 8分；</w:t>
            </w:r>
          </w:p>
          <w:p w14:paraId="6F0063F0">
            <w:pPr>
              <w:keepNext w:val="0"/>
              <w:keepLines w:val="0"/>
              <w:pageBreakBefore w:val="0"/>
              <w:widowControl/>
              <w:suppressLineNumbers w:val="0"/>
              <w:kinsoku/>
              <w:overflowPunct/>
              <w:bidi w:val="0"/>
              <w:spacing w:line="5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制度基本合理，能基本提高整体服务质量，基本可行的得5分。 </w:t>
            </w:r>
          </w:p>
          <w:p w14:paraId="035D6716">
            <w:pPr>
              <w:keepNext w:val="0"/>
              <w:keepLines w:val="0"/>
              <w:pageBreakBefore w:val="0"/>
              <w:widowControl/>
              <w:suppressLineNumbers w:val="0"/>
              <w:kinsoku/>
              <w:overflowPunct/>
              <w:bidi w:val="0"/>
              <w:spacing w:line="5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内容差或者不完整得2分，未提供不得分</w:t>
            </w:r>
          </w:p>
        </w:tc>
      </w:tr>
      <w:tr w14:paraId="5289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879" w:type="dxa"/>
            <w:vAlign w:val="center"/>
          </w:tcPr>
          <w:p w14:paraId="2004ADDB">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2.2.2</w:t>
            </w:r>
          </w:p>
          <w:p w14:paraId="5D7737BD">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w:t>
            </w:r>
          </w:p>
        </w:tc>
        <w:tc>
          <w:tcPr>
            <w:tcW w:w="1265" w:type="dxa"/>
            <w:vAlign w:val="center"/>
          </w:tcPr>
          <w:p w14:paraId="1B53FAE1">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lang w:eastAsia="zh-CN"/>
              </w:rPr>
              <w:t>磋商报价</w:t>
            </w:r>
            <w:r>
              <w:rPr>
                <w:rFonts w:hint="eastAsia" w:ascii="宋体" w:hAnsi="宋体" w:cs="宋体"/>
                <w:sz w:val="21"/>
                <w:szCs w:val="21"/>
                <w:highlight w:val="none"/>
              </w:rPr>
              <w:t>评分标准</w:t>
            </w:r>
          </w:p>
          <w:p w14:paraId="7E34FE9E">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30</w:t>
            </w:r>
            <w:r>
              <w:rPr>
                <w:rFonts w:hint="eastAsia" w:ascii="宋体" w:hAnsi="宋体" w:cs="宋体"/>
                <w:sz w:val="21"/>
                <w:szCs w:val="21"/>
                <w:highlight w:val="none"/>
              </w:rPr>
              <w:t>分）</w:t>
            </w:r>
          </w:p>
        </w:tc>
        <w:tc>
          <w:tcPr>
            <w:tcW w:w="2923" w:type="dxa"/>
            <w:vAlign w:val="center"/>
          </w:tcPr>
          <w:p w14:paraId="2A3858B8">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磋商报价</w:t>
            </w:r>
          </w:p>
        </w:tc>
        <w:tc>
          <w:tcPr>
            <w:tcW w:w="5151" w:type="dxa"/>
            <w:vAlign w:val="center"/>
          </w:tcPr>
          <w:p w14:paraId="46C927FF">
            <w:pPr>
              <w:pageBreakBefore w:val="0"/>
              <w:kinsoku/>
              <w:overflowPunct/>
              <w:bidi w:val="0"/>
              <w:spacing w:line="500" w:lineRule="exact"/>
              <w:jc w:val="left"/>
              <w:rPr>
                <w:rFonts w:hint="default"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rPr>
              <w:t>综合评分法中的价格分统一采用低价优先法计算，即满足磋商文件要求且最后报价最低的</w:t>
            </w:r>
            <w:r>
              <w:rPr>
                <w:rFonts w:hint="eastAsia" w:cs="宋体" w:asciiTheme="minorEastAsia" w:hAnsiTheme="minorEastAsia" w:eastAsiaTheme="minorEastAsia"/>
                <w:sz w:val="21"/>
                <w:szCs w:val="21"/>
                <w:highlight w:val="none"/>
                <w:lang w:eastAsia="zh-CN"/>
              </w:rPr>
              <w:t>供应商</w:t>
            </w:r>
            <w:r>
              <w:rPr>
                <w:rFonts w:hint="eastAsia" w:cs="宋体" w:asciiTheme="minorEastAsia" w:hAnsiTheme="minorEastAsia" w:eastAsiaTheme="minorEastAsia"/>
                <w:sz w:val="21"/>
                <w:szCs w:val="21"/>
                <w:highlight w:val="none"/>
              </w:rPr>
              <w:t>的价格为磋商基准价，其价格分为满分。其他</w:t>
            </w:r>
            <w:r>
              <w:rPr>
                <w:rFonts w:hint="eastAsia" w:cs="宋体" w:asciiTheme="minorEastAsia" w:hAnsiTheme="minorEastAsia" w:eastAsiaTheme="minorEastAsia"/>
                <w:sz w:val="21"/>
                <w:szCs w:val="21"/>
                <w:highlight w:val="none"/>
                <w:lang w:eastAsia="zh-CN"/>
              </w:rPr>
              <w:t>供应商</w:t>
            </w:r>
            <w:r>
              <w:rPr>
                <w:rFonts w:hint="eastAsia" w:cs="宋体" w:asciiTheme="minorEastAsia" w:hAnsiTheme="minorEastAsia" w:eastAsiaTheme="minorEastAsia"/>
                <w:sz w:val="21"/>
                <w:szCs w:val="21"/>
                <w:highlight w:val="none"/>
              </w:rPr>
              <w:t>的价格分统一按照下列公式计算：磋商报价得分=（磋商基准价/最后磋商报价）×</w:t>
            </w:r>
            <w:r>
              <w:rPr>
                <w:rFonts w:hint="eastAsia" w:cs="宋体" w:asciiTheme="minorEastAsia" w:hAnsiTheme="minorEastAsia" w:eastAsiaTheme="minorEastAsia"/>
                <w:sz w:val="21"/>
                <w:szCs w:val="21"/>
                <w:highlight w:val="none"/>
                <w:lang w:val="en-US" w:eastAsia="zh-CN"/>
              </w:rPr>
              <w:t>30</w:t>
            </w:r>
          </w:p>
          <w:p w14:paraId="44AA1B5E">
            <w:pPr>
              <w:keepNext w:val="0"/>
              <w:keepLines w:val="0"/>
              <w:pageBreakBefore w:val="0"/>
              <w:widowControl/>
              <w:suppressLineNumbers w:val="0"/>
              <w:kinsoku/>
              <w:overflowPunct/>
              <w:bidi w:val="0"/>
              <w:spacing w:line="500" w:lineRule="exact"/>
              <w:jc w:val="left"/>
              <w:rPr>
                <w:rFonts w:hint="eastAsia" w:ascii="宋体" w:hAnsi="宋体" w:cs="宋体"/>
                <w:b/>
                <w:color w:val="000000"/>
                <w:kern w:val="0"/>
                <w:sz w:val="21"/>
                <w:szCs w:val="21"/>
                <w:highlight w:val="none"/>
                <w:lang w:val="en-US" w:eastAsia="zh-CN" w:bidi="ar"/>
              </w:rPr>
            </w:pPr>
            <w:r>
              <w:rPr>
                <w:rFonts w:hint="eastAsia" w:ascii="宋体" w:hAnsi="宋体" w:cs="宋体"/>
                <w:b/>
                <w:color w:val="000000"/>
                <w:kern w:val="0"/>
                <w:sz w:val="21"/>
                <w:szCs w:val="21"/>
                <w:highlight w:val="none"/>
                <w:lang w:val="en-US" w:eastAsia="zh-CN" w:bidi="ar"/>
              </w:rPr>
              <w:t>注：1、中小微企业按照《政府采购促进中小企业发展管理办法》第四条规定：在政府采购活动中，供应商提供的货物、工程 或者服务符合下列情形的，享受本办法规定的中小企业扶持政策：</w:t>
            </w:r>
          </w:p>
          <w:p w14:paraId="3DFA54F9">
            <w:pPr>
              <w:keepNext w:val="0"/>
              <w:keepLines w:val="0"/>
              <w:pageBreakBefore w:val="0"/>
              <w:widowControl/>
              <w:suppressLineNumbers w:val="0"/>
              <w:kinsoku/>
              <w:overflowPunct/>
              <w:bidi w:val="0"/>
              <w:spacing w:line="500" w:lineRule="exact"/>
              <w:jc w:val="left"/>
              <w:rPr>
                <w:rFonts w:hint="eastAsia" w:ascii="宋体" w:hAnsi="宋体" w:cs="宋体"/>
                <w:b/>
                <w:color w:val="000000"/>
                <w:kern w:val="0"/>
                <w:sz w:val="21"/>
                <w:szCs w:val="21"/>
                <w:highlight w:val="none"/>
                <w:lang w:val="en-US" w:eastAsia="zh-CN" w:bidi="ar"/>
              </w:rPr>
            </w:pPr>
            <w:r>
              <w:rPr>
                <w:rFonts w:hint="eastAsia" w:ascii="宋体" w:hAnsi="宋体" w:cs="宋体"/>
                <w:b/>
                <w:color w:val="000000"/>
                <w:kern w:val="0"/>
                <w:sz w:val="21"/>
                <w:szCs w:val="21"/>
                <w:highlight w:val="none"/>
                <w:lang w:val="en-US" w:eastAsia="zh-CN" w:bidi="ar"/>
              </w:rPr>
              <w:t>在货物采购项目中，供应商所提供的货物由小微企业制造（即货物由小微企业生产且使用该小微企业商号或者注册商标）的响应报价给予20%的扣除，用扣除后的价格参与评审。本项目的扣除比例为：小型企业扣除20%，微型企业扣除20%，监狱企业扣除 20%，残疾人福利性单位扣除 20%。 监狱企业和残疾人福利性单位属于小型、微型企业的，不重复享受政策。参加磋商的企业，应当按照《政府采购促进中小企业发展管理办法》（财库﹝2020﹞46号）的规定提供《中小企业声明函》（中小企业划型标准详见《关于印发中小企业划型标准规定的通知》工信部联企业〔2011〕300号）。</w:t>
            </w:r>
          </w:p>
          <w:p w14:paraId="0FD24437">
            <w:pPr>
              <w:keepNext w:val="0"/>
              <w:keepLines w:val="0"/>
              <w:pageBreakBefore w:val="0"/>
              <w:widowControl/>
              <w:suppressLineNumbers w:val="0"/>
              <w:kinsoku/>
              <w:overflowPunct/>
              <w:bidi w:val="0"/>
              <w:spacing w:line="500" w:lineRule="exact"/>
              <w:jc w:val="left"/>
              <w:rPr>
                <w:rFonts w:hint="eastAsia" w:ascii="宋体" w:hAnsi="宋体" w:cs="宋体"/>
                <w:b/>
                <w:color w:val="000000"/>
                <w:kern w:val="0"/>
                <w:sz w:val="21"/>
                <w:szCs w:val="21"/>
                <w:highlight w:val="none"/>
                <w:lang w:val="en-US" w:eastAsia="zh-CN" w:bidi="ar"/>
              </w:rPr>
            </w:pPr>
            <w:r>
              <w:rPr>
                <w:rFonts w:hint="eastAsia" w:ascii="宋体" w:hAnsi="宋体" w:cs="宋体"/>
                <w:b/>
                <w:color w:val="000000"/>
                <w:kern w:val="0"/>
                <w:sz w:val="21"/>
                <w:szCs w:val="21"/>
                <w:highlight w:val="none"/>
                <w:lang w:val="en-US" w:eastAsia="zh-CN" w:bidi="ar"/>
              </w:rPr>
              <w:t>（二）关于监狱企业：视同小微企业。须提供由省级以上监狱管理局、戒毒管理局（含新疆生产建设兵团）出具的属于监狱企业的证明文件；</w:t>
            </w:r>
          </w:p>
          <w:p w14:paraId="2C92429E">
            <w:pPr>
              <w:keepNext w:val="0"/>
              <w:keepLines w:val="0"/>
              <w:pageBreakBefore w:val="0"/>
              <w:widowControl/>
              <w:suppressLineNumbers w:val="0"/>
              <w:kinsoku/>
              <w:overflowPunct/>
              <w:bidi w:val="0"/>
              <w:spacing w:line="500" w:lineRule="exact"/>
              <w:jc w:val="left"/>
              <w:rPr>
                <w:rFonts w:hint="eastAsia" w:ascii="宋体" w:hAnsi="宋体" w:cs="宋体"/>
                <w:b/>
                <w:color w:val="000000"/>
                <w:kern w:val="0"/>
                <w:sz w:val="21"/>
                <w:szCs w:val="21"/>
                <w:highlight w:val="none"/>
                <w:lang w:val="en-US" w:eastAsia="zh-CN" w:bidi="ar"/>
              </w:rPr>
            </w:pPr>
            <w:r>
              <w:rPr>
                <w:rFonts w:hint="eastAsia" w:ascii="宋体" w:hAnsi="宋体" w:cs="宋体"/>
                <w:b/>
                <w:color w:val="000000"/>
                <w:kern w:val="0"/>
                <w:sz w:val="21"/>
                <w:szCs w:val="21"/>
                <w:highlight w:val="none"/>
                <w:lang w:val="en-US" w:eastAsia="zh-CN" w:bidi="ar"/>
              </w:rPr>
              <w:t>（三）关于残疾人福利性单位：视同小微企业。须提供完整的“残疾人福利性单位声明函”。</w:t>
            </w:r>
          </w:p>
          <w:p w14:paraId="748AF02C">
            <w:pPr>
              <w:keepNext w:val="0"/>
              <w:keepLines w:val="0"/>
              <w:pageBreakBefore w:val="0"/>
              <w:widowControl/>
              <w:suppressLineNumbers w:val="0"/>
              <w:kinsoku/>
              <w:overflowPunct/>
              <w:bidi w:val="0"/>
              <w:spacing w:line="500" w:lineRule="exact"/>
              <w:jc w:val="left"/>
              <w:rPr>
                <w:rFonts w:cs="宋体" w:asciiTheme="minorEastAsia" w:hAnsiTheme="minorEastAsia" w:eastAsiaTheme="minorEastAsia"/>
                <w:sz w:val="21"/>
                <w:szCs w:val="21"/>
                <w:highlight w:val="none"/>
              </w:rPr>
            </w:pPr>
            <w:r>
              <w:rPr>
                <w:rFonts w:hint="eastAsia" w:ascii="宋体" w:hAnsi="宋体" w:cs="宋体"/>
                <w:b/>
                <w:color w:val="000000"/>
                <w:kern w:val="0"/>
                <w:sz w:val="21"/>
                <w:szCs w:val="21"/>
                <w:highlight w:val="none"/>
                <w:lang w:val="en-US" w:eastAsia="zh-CN" w:bidi="ar"/>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tc>
      </w:tr>
      <w:tr w14:paraId="23E1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79" w:type="dxa"/>
            <w:vMerge w:val="restart"/>
            <w:vAlign w:val="center"/>
          </w:tcPr>
          <w:p w14:paraId="216B865A">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2.2.2</w:t>
            </w:r>
          </w:p>
          <w:p w14:paraId="2D3C0933">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(3)</w:t>
            </w:r>
          </w:p>
        </w:tc>
        <w:tc>
          <w:tcPr>
            <w:tcW w:w="1265" w:type="dxa"/>
            <w:vMerge w:val="restart"/>
            <w:vAlign w:val="center"/>
          </w:tcPr>
          <w:p w14:paraId="7796911D">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lang w:eastAsia="zh-CN"/>
              </w:rPr>
              <w:t>综合部分评分标准</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20</w:t>
            </w:r>
            <w:r>
              <w:rPr>
                <w:rFonts w:hint="eastAsia" w:ascii="宋体" w:hAnsi="宋体" w:cs="宋体"/>
                <w:sz w:val="21"/>
                <w:szCs w:val="21"/>
                <w:highlight w:val="none"/>
              </w:rPr>
              <w:t>分）</w:t>
            </w:r>
          </w:p>
        </w:tc>
        <w:tc>
          <w:tcPr>
            <w:tcW w:w="2923" w:type="dxa"/>
            <w:vAlign w:val="center"/>
          </w:tcPr>
          <w:p w14:paraId="2512433C">
            <w:pPr>
              <w:pageBreakBefore w:val="0"/>
              <w:kinsoku/>
              <w:overflowPunct/>
              <w:bidi w:val="0"/>
              <w:spacing w:line="500" w:lineRule="exact"/>
              <w:jc w:val="center"/>
              <w:rPr>
                <w:rFonts w:ascii="宋体" w:hAnsi="宋体" w:cs="宋体"/>
                <w:bCs/>
                <w:sz w:val="21"/>
                <w:szCs w:val="21"/>
                <w:highlight w:val="none"/>
              </w:rPr>
            </w:pPr>
            <w:r>
              <w:rPr>
                <w:rFonts w:hint="eastAsia" w:ascii="宋体" w:hAnsi="宋体" w:cs="宋体"/>
                <w:bCs/>
                <w:sz w:val="21"/>
                <w:szCs w:val="21"/>
                <w:highlight w:val="none"/>
              </w:rPr>
              <w:t>企业业绩</w:t>
            </w:r>
          </w:p>
          <w:p w14:paraId="77FB99EB">
            <w:pPr>
              <w:pageBreakBefore w:val="0"/>
              <w:kinsoku/>
              <w:overflowPunct/>
              <w:bidi w:val="0"/>
              <w:spacing w:line="500" w:lineRule="exact"/>
              <w:jc w:val="center"/>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tc>
        <w:tc>
          <w:tcPr>
            <w:tcW w:w="5151" w:type="dxa"/>
            <w:vAlign w:val="center"/>
          </w:tcPr>
          <w:p w14:paraId="3F5EE926">
            <w:pPr>
              <w:pageBreakBefore w:val="0"/>
              <w:kinsoku/>
              <w:overflowPunct/>
              <w:bidi w:val="0"/>
              <w:spacing w:line="500" w:lineRule="exact"/>
              <w:rPr>
                <w:rFonts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自20</w:t>
            </w:r>
            <w:r>
              <w:rPr>
                <w:rFonts w:hint="eastAsia" w:ascii="宋体" w:hAnsi="宋体" w:cs="宋体"/>
                <w:sz w:val="21"/>
                <w:szCs w:val="21"/>
                <w:highlight w:val="none"/>
                <w:lang w:val="en-US" w:eastAsia="zh-CN"/>
              </w:rPr>
              <w:t>22</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月1日以来</w:t>
            </w:r>
            <w:r>
              <w:rPr>
                <w:rFonts w:ascii="宋体" w:hAnsi="宋体" w:cs="宋体"/>
                <w:sz w:val="21"/>
                <w:szCs w:val="21"/>
                <w:highlight w:val="none"/>
              </w:rPr>
              <w:t>完成</w:t>
            </w:r>
            <w:r>
              <w:rPr>
                <w:rFonts w:hint="eastAsia" w:ascii="宋体" w:hAnsi="宋体" w:cs="宋体"/>
                <w:sz w:val="21"/>
                <w:szCs w:val="21"/>
                <w:highlight w:val="none"/>
              </w:rPr>
              <w:t>过类似</w:t>
            </w:r>
            <w:r>
              <w:rPr>
                <w:rFonts w:hint="eastAsia" w:ascii="宋体" w:hAnsi="宋体" w:cs="宋体"/>
                <w:sz w:val="21"/>
                <w:szCs w:val="21"/>
                <w:highlight w:val="none"/>
                <w:lang w:eastAsia="zh-CN"/>
              </w:rPr>
              <w:t>项目</w:t>
            </w:r>
            <w:r>
              <w:rPr>
                <w:rFonts w:ascii="宋体" w:hAnsi="宋体" w:cs="宋体"/>
                <w:sz w:val="21"/>
                <w:szCs w:val="21"/>
                <w:highlight w:val="none"/>
              </w:rPr>
              <w:t>业绩</w:t>
            </w:r>
            <w:r>
              <w:rPr>
                <w:rFonts w:hint="eastAsia" w:ascii="宋体" w:hAnsi="宋体" w:cs="宋体"/>
                <w:sz w:val="21"/>
                <w:szCs w:val="21"/>
                <w:highlight w:val="none"/>
              </w:rPr>
              <w:t>的，每提供一项得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分，最多得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r>
              <w:rPr>
                <w:rFonts w:hint="eastAsia" w:ascii="宋体" w:hAnsi="宋体" w:cs="宋体"/>
                <w:b/>
                <w:bCs/>
                <w:sz w:val="21"/>
                <w:szCs w:val="21"/>
                <w:highlight w:val="none"/>
              </w:rPr>
              <w:t>（以中标通知书、合同协议书</w:t>
            </w:r>
            <w:r>
              <w:rPr>
                <w:rFonts w:hint="eastAsia" w:ascii="宋体" w:hAnsi="宋体" w:cs="宋体"/>
                <w:b/>
                <w:bCs/>
                <w:sz w:val="21"/>
                <w:szCs w:val="21"/>
                <w:highlight w:val="none"/>
                <w:lang w:eastAsia="zh-CN"/>
              </w:rPr>
              <w:t>为准，响应</w:t>
            </w:r>
            <w:r>
              <w:rPr>
                <w:rFonts w:hint="eastAsia" w:ascii="宋体" w:hAnsi="宋体" w:cs="宋体"/>
                <w:b/>
                <w:bCs/>
                <w:sz w:val="21"/>
                <w:szCs w:val="21"/>
                <w:highlight w:val="none"/>
              </w:rPr>
              <w:t>文件中附扫描件，否则不得分。）</w:t>
            </w:r>
          </w:p>
        </w:tc>
      </w:tr>
      <w:tr w14:paraId="5A89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79" w:type="dxa"/>
            <w:vMerge w:val="continue"/>
            <w:vAlign w:val="center"/>
          </w:tcPr>
          <w:p w14:paraId="6530FC3E">
            <w:pPr>
              <w:pageBreakBefore w:val="0"/>
              <w:kinsoku/>
              <w:overflowPunct/>
              <w:bidi w:val="0"/>
              <w:spacing w:line="500" w:lineRule="exact"/>
              <w:jc w:val="center"/>
              <w:rPr>
                <w:rFonts w:ascii="宋体" w:hAnsi="宋体" w:cs="宋体"/>
                <w:sz w:val="21"/>
                <w:szCs w:val="21"/>
                <w:highlight w:val="none"/>
              </w:rPr>
            </w:pPr>
          </w:p>
        </w:tc>
        <w:tc>
          <w:tcPr>
            <w:tcW w:w="1265" w:type="dxa"/>
            <w:vMerge w:val="continue"/>
            <w:vAlign w:val="center"/>
          </w:tcPr>
          <w:p w14:paraId="0D0971C9">
            <w:pPr>
              <w:pageBreakBefore w:val="0"/>
              <w:kinsoku/>
              <w:overflowPunct/>
              <w:bidi w:val="0"/>
              <w:spacing w:line="500" w:lineRule="exact"/>
              <w:jc w:val="center"/>
              <w:rPr>
                <w:rFonts w:ascii="宋体" w:hAnsi="宋体" w:cs="宋体"/>
                <w:sz w:val="21"/>
                <w:szCs w:val="21"/>
                <w:highlight w:val="none"/>
              </w:rPr>
            </w:pPr>
          </w:p>
        </w:tc>
        <w:tc>
          <w:tcPr>
            <w:tcW w:w="2923" w:type="dxa"/>
            <w:vAlign w:val="center"/>
          </w:tcPr>
          <w:p w14:paraId="556C633D">
            <w:pPr>
              <w:pageBreakBefore w:val="0"/>
              <w:kinsoku/>
              <w:overflowPunct/>
              <w:bidi w:val="0"/>
              <w:spacing w:line="500" w:lineRule="exact"/>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售后服务及技术支持（8分）</w:t>
            </w:r>
          </w:p>
        </w:tc>
        <w:tc>
          <w:tcPr>
            <w:tcW w:w="5151" w:type="dxa"/>
            <w:vAlign w:val="center"/>
          </w:tcPr>
          <w:p w14:paraId="01DEAE86">
            <w:pPr>
              <w:keepNext w:val="0"/>
              <w:keepLines w:val="0"/>
              <w:pageBreakBefore w:val="0"/>
              <w:widowControl/>
              <w:suppressLineNumbers w:val="0"/>
              <w:kinsoku/>
              <w:overflowPunct/>
              <w:bidi w:val="0"/>
              <w:spacing w:line="5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根据供应商提供的售后服务（包括人员配备、维修队伍、维护周期及维护流程等资料、服务响应时间等）、技术支持的内容、方式及时间等方面进行评审。</w:t>
            </w:r>
            <w:r>
              <w:rPr>
                <w:rFonts w:hint="eastAsia" w:ascii="宋体" w:hAnsi="宋体" w:eastAsia="宋体" w:cs="宋体"/>
                <w:color w:val="000000"/>
                <w:kern w:val="0"/>
                <w:sz w:val="21"/>
                <w:szCs w:val="21"/>
                <w:highlight w:val="none"/>
                <w:lang w:val="en-US" w:eastAsia="zh-CN" w:bidi="ar"/>
              </w:rPr>
              <w:t>内容具体全面，可操作性强的，得</w:t>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分；内容片面的或可</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操作性不强的，得</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分；可操作性差的，得</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分；没有不得分</w:t>
            </w:r>
          </w:p>
        </w:tc>
      </w:tr>
      <w:tr w14:paraId="64FA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79" w:type="dxa"/>
            <w:vMerge w:val="continue"/>
            <w:vAlign w:val="center"/>
          </w:tcPr>
          <w:p w14:paraId="42BFDAC1">
            <w:pPr>
              <w:pageBreakBefore w:val="0"/>
              <w:kinsoku/>
              <w:overflowPunct/>
              <w:bidi w:val="0"/>
              <w:spacing w:line="500" w:lineRule="exact"/>
            </w:pPr>
          </w:p>
        </w:tc>
        <w:tc>
          <w:tcPr>
            <w:tcW w:w="1265" w:type="dxa"/>
            <w:vMerge w:val="continue"/>
            <w:vAlign w:val="center"/>
          </w:tcPr>
          <w:p w14:paraId="6D37C2D8">
            <w:pPr>
              <w:pageBreakBefore w:val="0"/>
              <w:kinsoku/>
              <w:overflowPunct/>
              <w:bidi w:val="0"/>
              <w:spacing w:line="500" w:lineRule="exact"/>
            </w:pPr>
          </w:p>
        </w:tc>
        <w:tc>
          <w:tcPr>
            <w:tcW w:w="2923" w:type="dxa"/>
            <w:vAlign w:val="center"/>
          </w:tcPr>
          <w:p w14:paraId="5459988B">
            <w:pPr>
              <w:pageBreakBefore w:val="0"/>
              <w:kinsoku/>
              <w:overflowPunct/>
              <w:bidi w:val="0"/>
              <w:spacing w:line="500" w:lineRule="exact"/>
              <w:jc w:val="center"/>
            </w:pPr>
            <w:r>
              <w:rPr>
                <w:rFonts w:hint="eastAsia" w:ascii="宋体" w:hAnsi="宋体" w:cs="宋体"/>
                <w:sz w:val="21"/>
                <w:szCs w:val="21"/>
                <w:highlight w:val="none"/>
                <w:lang w:val="en-US" w:eastAsia="zh-CN"/>
              </w:rPr>
              <w:t>培训方案（8分）</w:t>
            </w:r>
          </w:p>
        </w:tc>
        <w:tc>
          <w:tcPr>
            <w:tcW w:w="5151" w:type="dxa"/>
            <w:vAlign w:val="center"/>
          </w:tcPr>
          <w:p w14:paraId="6EA9DB03">
            <w:pPr>
              <w:keepNext w:val="0"/>
              <w:keepLines w:val="0"/>
              <w:pageBreakBefore w:val="0"/>
              <w:widowControl/>
              <w:suppressLineNumbers w:val="0"/>
              <w:kinsoku/>
              <w:overflowPunct/>
              <w:bidi w:val="0"/>
              <w:spacing w:line="500" w:lineRule="exact"/>
              <w:jc w:val="left"/>
              <w:rPr>
                <w:rFonts w:hint="eastAsia" w:ascii="宋体" w:hAnsi="宋体" w:cs="宋体"/>
                <w:sz w:val="21"/>
                <w:szCs w:val="21"/>
                <w:highlight w:val="yellow"/>
                <w:lang w:val="en-US" w:eastAsia="zh-CN"/>
              </w:rPr>
            </w:pPr>
            <w:r>
              <w:rPr>
                <w:rFonts w:hint="default" w:ascii="宋体" w:hAnsi="宋体" w:eastAsia="宋体" w:cs="宋体"/>
                <w:color w:val="000000"/>
                <w:kern w:val="0"/>
                <w:sz w:val="21"/>
                <w:szCs w:val="21"/>
                <w:highlight w:val="none"/>
                <w:lang w:val="en-US" w:eastAsia="zh-CN" w:bidi="ar"/>
              </w:rPr>
              <w:t>根据</w:t>
            </w:r>
            <w:r>
              <w:rPr>
                <w:rFonts w:hint="eastAsia" w:ascii="宋体" w:hAnsi="宋体" w:cs="宋体"/>
                <w:color w:val="000000"/>
                <w:kern w:val="0"/>
                <w:sz w:val="21"/>
                <w:szCs w:val="21"/>
                <w:highlight w:val="none"/>
                <w:lang w:val="en-US" w:eastAsia="zh-CN" w:bidi="ar"/>
              </w:rPr>
              <w:t>供应商</w:t>
            </w:r>
            <w:r>
              <w:rPr>
                <w:rFonts w:hint="default" w:ascii="宋体" w:hAnsi="宋体" w:eastAsia="宋体" w:cs="宋体"/>
                <w:color w:val="000000"/>
                <w:kern w:val="0"/>
                <w:sz w:val="21"/>
                <w:szCs w:val="21"/>
                <w:highlight w:val="none"/>
                <w:lang w:val="en-US" w:eastAsia="zh-CN" w:bidi="ar"/>
              </w:rPr>
              <w:t>培训计划的合理性、全面性、对招标人有利程度打分。</w:t>
            </w:r>
            <w:r>
              <w:rPr>
                <w:rFonts w:hint="eastAsia" w:ascii="宋体" w:hAnsi="宋体" w:eastAsia="宋体" w:cs="宋体"/>
                <w:color w:val="000000"/>
                <w:kern w:val="0"/>
                <w:sz w:val="21"/>
                <w:szCs w:val="21"/>
                <w:highlight w:val="none"/>
                <w:lang w:val="en-US" w:eastAsia="zh-CN" w:bidi="ar"/>
              </w:rPr>
              <w:t>内容具体全面，可操作性强的，得</w:t>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分；内容片面的或可</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操作性不强的，得</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分；可操作性差的，得</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分；没有不得分。</w:t>
            </w:r>
          </w:p>
        </w:tc>
      </w:tr>
    </w:tbl>
    <w:p w14:paraId="28F70120">
      <w:pPr>
        <w:pStyle w:val="24"/>
        <w:rPr>
          <w:rFonts w:hint="eastAsia"/>
          <w:highlight w:val="none"/>
        </w:rPr>
      </w:pPr>
    </w:p>
    <w:p w14:paraId="5FB8B66A">
      <w:pPr>
        <w:bidi w:val="0"/>
        <w:rPr>
          <w:rFonts w:hint="eastAsia"/>
        </w:rPr>
      </w:pPr>
      <w:bookmarkStart w:id="209" w:name="_Toc19153"/>
    </w:p>
    <w:p w14:paraId="1A50CF1B">
      <w:pPr>
        <w:bidi w:val="0"/>
        <w:rPr>
          <w:rFonts w:hint="eastAsia"/>
        </w:rPr>
      </w:pPr>
    </w:p>
    <w:p w14:paraId="4CE983E1">
      <w:pPr>
        <w:bidi w:val="0"/>
        <w:rPr>
          <w:rFonts w:hint="eastAsia"/>
        </w:rPr>
      </w:pPr>
    </w:p>
    <w:p w14:paraId="46C668A7">
      <w:pPr>
        <w:bidi w:val="0"/>
        <w:rPr>
          <w:rFonts w:hint="eastAsia"/>
        </w:rPr>
      </w:pPr>
    </w:p>
    <w:p w14:paraId="59587499">
      <w:pPr>
        <w:bidi w:val="0"/>
        <w:rPr>
          <w:rFonts w:hint="eastAsia"/>
        </w:rPr>
      </w:pPr>
    </w:p>
    <w:p w14:paraId="7B64230E">
      <w:pPr>
        <w:bidi w:val="0"/>
        <w:rPr>
          <w:rFonts w:hint="eastAsia"/>
        </w:rPr>
      </w:pPr>
    </w:p>
    <w:p w14:paraId="01B0B9E8">
      <w:pPr>
        <w:bidi w:val="0"/>
        <w:rPr>
          <w:rFonts w:hint="eastAsia"/>
        </w:rPr>
      </w:pPr>
    </w:p>
    <w:p w14:paraId="619A4968">
      <w:pPr>
        <w:pageBreakBefore w:val="0"/>
        <w:kinsoku/>
        <w:overflowPunct/>
        <w:bidi w:val="0"/>
        <w:spacing w:line="500" w:lineRule="exact"/>
        <w:jc w:val="center"/>
        <w:outlineLvl w:val="0"/>
        <w:rPr>
          <w:b/>
          <w:bCs/>
          <w:sz w:val="32"/>
          <w:szCs w:val="32"/>
          <w:highlight w:val="none"/>
        </w:rPr>
      </w:pPr>
      <w:r>
        <w:rPr>
          <w:rFonts w:hint="eastAsia"/>
          <w:b/>
          <w:bCs/>
          <w:sz w:val="32"/>
          <w:szCs w:val="32"/>
          <w:highlight w:val="none"/>
        </w:rPr>
        <w:t>第五章</w:t>
      </w:r>
      <w:r>
        <w:rPr>
          <w:rFonts w:hint="eastAsia"/>
          <w:b/>
          <w:bCs/>
          <w:sz w:val="32"/>
          <w:szCs w:val="32"/>
          <w:highlight w:val="none"/>
          <w:lang w:val="en-US" w:eastAsia="zh-CN"/>
        </w:rPr>
        <w:t xml:space="preserve"> </w:t>
      </w:r>
      <w:r>
        <w:rPr>
          <w:rFonts w:hint="eastAsia"/>
          <w:b/>
          <w:bCs/>
          <w:sz w:val="32"/>
          <w:szCs w:val="32"/>
          <w:highlight w:val="none"/>
        </w:rPr>
        <w:t>合同条款及格式</w:t>
      </w:r>
      <w:bookmarkEnd w:id="209"/>
    </w:p>
    <w:p w14:paraId="536362DE">
      <w:pPr>
        <w:pStyle w:val="10"/>
        <w:pageBreakBefore w:val="0"/>
        <w:widowControl w:val="0"/>
        <w:tabs>
          <w:tab w:val="left" w:pos="3391"/>
        </w:tabs>
        <w:kinsoku/>
        <w:wordWrap/>
        <w:overflowPunct/>
        <w:topLinePunct w:val="0"/>
        <w:autoSpaceDE/>
        <w:autoSpaceDN/>
        <w:bidi w:val="0"/>
        <w:adjustRightInd/>
        <w:snapToGrid/>
        <w:spacing w:line="500" w:lineRule="exact"/>
        <w:ind w:left="400" w:right="124" w:rightChars="0"/>
        <w:jc w:val="center"/>
        <w:textAlignment w:val="auto"/>
        <w:rPr>
          <w:rFonts w:hint="eastAsia" w:asciiTheme="minorEastAsia" w:hAnsiTheme="minorEastAsia" w:eastAsiaTheme="minorEastAsia" w:cstheme="minorEastAsia"/>
          <w:kern w:val="2"/>
          <w:sz w:val="24"/>
          <w:szCs w:val="24"/>
          <w:highlight w:val="none"/>
          <w:lang w:val="en-US" w:eastAsia="zh-CN" w:bidi="ar-SA"/>
        </w:rPr>
      </w:pPr>
      <w:bookmarkStart w:id="210" w:name="_Toc522085799"/>
      <w:bookmarkEnd w:id="210"/>
      <w:bookmarkStart w:id="211" w:name="_Toc522798774"/>
      <w:bookmarkEnd w:id="211"/>
      <w:bookmarkStart w:id="212" w:name="_Toc512596662"/>
      <w:bookmarkEnd w:id="212"/>
      <w:bookmarkStart w:id="213" w:name="_Toc521998004"/>
      <w:bookmarkEnd w:id="213"/>
      <w:bookmarkStart w:id="214" w:name="_Toc18319_WPSOffice_Level2"/>
      <w:bookmarkEnd w:id="214"/>
      <w:bookmarkStart w:id="215" w:name="_Toc517257919"/>
      <w:bookmarkEnd w:id="215"/>
      <w:r>
        <w:rPr>
          <w:rFonts w:hint="eastAsia" w:asciiTheme="minorEastAsia" w:hAnsiTheme="minorEastAsia" w:eastAsiaTheme="minorEastAsia" w:cstheme="minorEastAsia"/>
          <w:kern w:val="2"/>
          <w:sz w:val="24"/>
          <w:szCs w:val="24"/>
          <w:highlight w:val="none"/>
          <w:lang w:val="en-US" w:eastAsia="zh-CN" w:bidi="ar-SA"/>
        </w:rPr>
        <w:t>（本格式仅供参考，具体合同以成交后甲乙双方签订合同为准）</w:t>
      </w:r>
    </w:p>
    <w:p w14:paraId="6E0106FB">
      <w:pPr>
        <w:pStyle w:val="11"/>
        <w:rPr>
          <w:rFonts w:hint="eastAsia" w:asciiTheme="minorEastAsia" w:hAnsiTheme="minorEastAsia" w:eastAsiaTheme="minorEastAsia" w:cstheme="minorEastAsia"/>
          <w:sz w:val="24"/>
          <w:szCs w:val="24"/>
          <w:highlight w:val="none"/>
          <w:lang w:val="en-US" w:eastAsia="zh-CN"/>
        </w:rPr>
      </w:pPr>
    </w:p>
    <w:p w14:paraId="418475CF">
      <w:pPr>
        <w:pStyle w:val="10"/>
        <w:pageBreakBefore w:val="0"/>
        <w:widowControl w:val="0"/>
        <w:kinsoku/>
        <w:wordWrap/>
        <w:overflowPunct/>
        <w:topLinePunct w:val="0"/>
        <w:autoSpaceDE/>
        <w:autoSpaceDN/>
        <w:bidi w:val="0"/>
        <w:adjustRightInd/>
        <w:snapToGrid/>
        <w:spacing w:before="134" w:line="500" w:lineRule="exact"/>
        <w:ind w:left="400" w:right="340" w:firstLine="42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甲方（全称）：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p>
    <w:p w14:paraId="5C907A10">
      <w:pPr>
        <w:pStyle w:val="10"/>
        <w:pageBreakBefore w:val="0"/>
        <w:widowControl w:val="0"/>
        <w:kinsoku/>
        <w:wordWrap/>
        <w:overflowPunct/>
        <w:topLinePunct w:val="0"/>
        <w:autoSpaceDE/>
        <w:autoSpaceDN/>
        <w:bidi w:val="0"/>
        <w:adjustRightInd/>
        <w:snapToGrid/>
        <w:spacing w:before="134" w:line="500" w:lineRule="exact"/>
        <w:ind w:left="400" w:right="340" w:firstLine="42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乙方（全称）：</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p>
    <w:p w14:paraId="73A1DA51">
      <w:pPr>
        <w:pStyle w:val="10"/>
        <w:pageBreakBefore w:val="0"/>
        <w:widowControl w:val="0"/>
        <w:kinsoku/>
        <w:wordWrap/>
        <w:overflowPunct/>
        <w:topLinePunct w:val="0"/>
        <w:autoSpaceDE/>
        <w:autoSpaceDN/>
        <w:bidi w:val="0"/>
        <w:adjustRightInd/>
        <w:snapToGrid/>
        <w:spacing w:before="134" w:line="500" w:lineRule="exact"/>
        <w:ind w:left="400" w:right="340"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根据《中华人民共和国</w:t>
      </w:r>
      <w:r>
        <w:rPr>
          <w:rFonts w:hint="eastAsia" w:asciiTheme="minorEastAsia" w:hAnsiTheme="minorEastAsia" w:eastAsiaTheme="minorEastAsia" w:cstheme="minorEastAsia"/>
          <w:sz w:val="24"/>
          <w:szCs w:val="24"/>
          <w:highlight w:val="none"/>
          <w:lang w:eastAsia="zh-CN"/>
        </w:rPr>
        <w:t>民法典</w:t>
      </w:r>
      <w:r>
        <w:rPr>
          <w:rFonts w:hint="eastAsia" w:asciiTheme="minorEastAsia" w:hAnsiTheme="minorEastAsia" w:eastAsiaTheme="minorEastAsia" w:cstheme="minorEastAsia"/>
          <w:sz w:val="24"/>
          <w:szCs w:val="24"/>
          <w:highlight w:val="none"/>
        </w:rPr>
        <w:t>》及有关法律规定，遵循平等、自愿、公平和诚实信用的原则，双方就</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及有关事项协商一致，共同达成如下协议：</w:t>
      </w:r>
    </w:p>
    <w:p w14:paraId="6384110C">
      <w:pPr>
        <w:pStyle w:val="5"/>
        <w:pageBreakBefore w:val="0"/>
        <w:widowControl w:val="0"/>
        <w:tabs>
          <w:tab w:val="left" w:pos="7211"/>
        </w:tabs>
        <w:kinsoku/>
        <w:wordWrap/>
        <w:overflowPunct/>
        <w:topLinePunct w:val="0"/>
        <w:autoSpaceDE/>
        <w:autoSpaceDN/>
        <w:bidi w:val="0"/>
        <w:adjustRightInd/>
        <w:snapToGrid/>
        <w:spacing w:line="500" w:lineRule="exact"/>
        <w:ind w:left="4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第一条 合同文件</w:t>
      </w:r>
      <w:r>
        <w:rPr>
          <w:rFonts w:hint="eastAsia" w:asciiTheme="minorEastAsia" w:hAnsiTheme="minorEastAsia" w:eastAsiaTheme="minorEastAsia" w:cstheme="minorEastAsia"/>
          <w:sz w:val="24"/>
          <w:szCs w:val="24"/>
          <w:highlight w:val="none"/>
          <w:lang w:eastAsia="zh-CN"/>
        </w:rPr>
        <w:tab/>
      </w:r>
    </w:p>
    <w:p w14:paraId="38FF7D85">
      <w:pPr>
        <w:pStyle w:val="10"/>
        <w:pageBreakBefore w:val="0"/>
        <w:widowControl w:val="0"/>
        <w:kinsoku/>
        <w:wordWrap/>
        <w:overflowPunct/>
        <w:topLinePunct w:val="0"/>
        <w:autoSpaceDE/>
        <w:autoSpaceDN/>
        <w:bidi w:val="0"/>
        <w:adjustRightInd/>
        <w:snapToGrid/>
        <w:spacing w:before="134" w:line="500" w:lineRule="exact"/>
        <w:ind w:left="400" w:right="340"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下列与本次采购活动有关的文件及附件是本合同不可分割的组成部分，与本合同具有同等法律效力， 这些文件包括但不限于：</w:t>
      </w:r>
    </w:p>
    <w:p w14:paraId="7B424971">
      <w:pPr>
        <w:pStyle w:val="49"/>
        <w:pageBreakBefore w:val="0"/>
        <w:widowControl w:val="0"/>
        <w:numPr>
          <w:ilvl w:val="0"/>
          <w:numId w:val="5"/>
        </w:numPr>
        <w:tabs>
          <w:tab w:val="left" w:pos="1032"/>
        </w:tabs>
        <w:kinsoku/>
        <w:wordWrap/>
        <w:overflowPunct/>
        <w:topLinePunct w:val="0"/>
        <w:autoSpaceDE/>
        <w:autoSpaceDN/>
        <w:bidi w:val="0"/>
        <w:adjustRightInd/>
        <w:snapToGrid/>
        <w:spacing w:before="0" w:after="0" w:line="500" w:lineRule="exact"/>
        <w:ind w:left="1031" w:right="0" w:hanging="212"/>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磋商文件</w:t>
      </w:r>
    </w:p>
    <w:p w14:paraId="7B17CCDA">
      <w:pPr>
        <w:pStyle w:val="49"/>
        <w:pageBreakBefore w:val="0"/>
        <w:widowControl w:val="0"/>
        <w:numPr>
          <w:ilvl w:val="0"/>
          <w:numId w:val="5"/>
        </w:numPr>
        <w:tabs>
          <w:tab w:val="left" w:pos="1032"/>
        </w:tabs>
        <w:kinsoku/>
        <w:wordWrap/>
        <w:overflowPunct/>
        <w:topLinePunct w:val="0"/>
        <w:autoSpaceDE/>
        <w:autoSpaceDN/>
        <w:bidi w:val="0"/>
        <w:adjustRightInd/>
        <w:snapToGrid/>
        <w:spacing w:before="139" w:after="0" w:line="500" w:lineRule="exact"/>
        <w:ind w:left="1031" w:right="0" w:hanging="212"/>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响应文件</w:t>
      </w:r>
    </w:p>
    <w:p w14:paraId="012EEFD4">
      <w:pPr>
        <w:pStyle w:val="49"/>
        <w:pageBreakBefore w:val="0"/>
        <w:widowControl w:val="0"/>
        <w:numPr>
          <w:ilvl w:val="0"/>
          <w:numId w:val="5"/>
        </w:numPr>
        <w:tabs>
          <w:tab w:val="left" w:pos="1032"/>
        </w:tabs>
        <w:kinsoku/>
        <w:wordWrap/>
        <w:overflowPunct/>
        <w:topLinePunct w:val="0"/>
        <w:autoSpaceDE/>
        <w:autoSpaceDN/>
        <w:bidi w:val="0"/>
        <w:adjustRightInd/>
        <w:snapToGrid/>
        <w:spacing w:before="139"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乙方在</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时的书面承诺</w:t>
      </w:r>
    </w:p>
    <w:p w14:paraId="5BC873D6">
      <w:pPr>
        <w:pStyle w:val="49"/>
        <w:pageBreakBefore w:val="0"/>
        <w:widowControl w:val="0"/>
        <w:numPr>
          <w:ilvl w:val="0"/>
          <w:numId w:val="5"/>
        </w:numPr>
        <w:tabs>
          <w:tab w:val="left" w:pos="1032"/>
        </w:tabs>
        <w:kinsoku/>
        <w:wordWrap/>
        <w:overflowPunct/>
        <w:topLinePunct w:val="0"/>
        <w:autoSpaceDE/>
        <w:autoSpaceDN/>
        <w:bidi w:val="0"/>
        <w:adjustRightInd/>
        <w:snapToGrid/>
        <w:spacing w:before="139"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成交</w:t>
      </w:r>
      <w:r>
        <w:rPr>
          <w:rFonts w:hint="eastAsia" w:asciiTheme="minorEastAsia" w:hAnsiTheme="minorEastAsia" w:eastAsiaTheme="minorEastAsia" w:cstheme="minorEastAsia"/>
          <w:sz w:val="24"/>
          <w:szCs w:val="24"/>
          <w:highlight w:val="none"/>
        </w:rPr>
        <w:t>通知书</w:t>
      </w:r>
    </w:p>
    <w:p w14:paraId="24E9CE9D">
      <w:pPr>
        <w:pStyle w:val="49"/>
        <w:pageBreakBefore w:val="0"/>
        <w:widowControl w:val="0"/>
        <w:numPr>
          <w:ilvl w:val="0"/>
          <w:numId w:val="5"/>
        </w:numPr>
        <w:tabs>
          <w:tab w:val="left" w:pos="1032"/>
        </w:tabs>
        <w:kinsoku/>
        <w:wordWrap/>
        <w:overflowPunct/>
        <w:topLinePunct w:val="0"/>
        <w:autoSpaceDE/>
        <w:autoSpaceDN/>
        <w:bidi w:val="0"/>
        <w:adjustRightInd/>
        <w:snapToGrid/>
        <w:spacing w:before="141"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合同补充条款或说明</w:t>
      </w:r>
    </w:p>
    <w:p w14:paraId="4E882E79">
      <w:pPr>
        <w:pStyle w:val="49"/>
        <w:pageBreakBefore w:val="0"/>
        <w:widowControl w:val="0"/>
        <w:numPr>
          <w:ilvl w:val="0"/>
          <w:numId w:val="5"/>
        </w:numPr>
        <w:tabs>
          <w:tab w:val="left" w:pos="1032"/>
        </w:tabs>
        <w:kinsoku/>
        <w:wordWrap/>
        <w:overflowPunct/>
        <w:topLinePunct w:val="0"/>
        <w:autoSpaceDE/>
        <w:autoSpaceDN/>
        <w:bidi w:val="0"/>
        <w:adjustRightInd/>
        <w:snapToGrid/>
        <w:spacing w:before="139"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保密协议或条款</w:t>
      </w:r>
    </w:p>
    <w:p w14:paraId="473594B4">
      <w:pPr>
        <w:pStyle w:val="49"/>
        <w:pageBreakBefore w:val="0"/>
        <w:widowControl w:val="0"/>
        <w:numPr>
          <w:ilvl w:val="0"/>
          <w:numId w:val="5"/>
        </w:numPr>
        <w:tabs>
          <w:tab w:val="left" w:pos="1032"/>
        </w:tabs>
        <w:kinsoku/>
        <w:wordWrap/>
        <w:overflowPunct/>
        <w:topLinePunct w:val="0"/>
        <w:autoSpaceDE/>
        <w:autoSpaceDN/>
        <w:bidi w:val="0"/>
        <w:adjustRightInd/>
        <w:snapToGrid/>
        <w:spacing w:before="139" w:after="0" w:line="500" w:lineRule="exact"/>
        <w:ind w:left="400" w:right="4319" w:rightChars="0" w:firstLine="42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pacing w:val="-2"/>
          <w:sz w:val="24"/>
          <w:szCs w:val="24"/>
          <w:highlight w:val="none"/>
        </w:rPr>
        <w:t>相关附件</w:t>
      </w:r>
    </w:p>
    <w:p w14:paraId="4D89B349">
      <w:pPr>
        <w:pStyle w:val="49"/>
        <w:pageBreakBefore w:val="0"/>
        <w:widowControl w:val="0"/>
        <w:numPr>
          <w:ilvl w:val="0"/>
          <w:numId w:val="0"/>
        </w:numPr>
        <w:tabs>
          <w:tab w:val="left" w:pos="1032"/>
        </w:tabs>
        <w:kinsoku/>
        <w:wordWrap/>
        <w:overflowPunct/>
        <w:topLinePunct w:val="0"/>
        <w:autoSpaceDE/>
        <w:autoSpaceDN/>
        <w:bidi w:val="0"/>
        <w:adjustRightInd/>
        <w:snapToGrid/>
        <w:spacing w:before="139" w:after="0" w:line="500" w:lineRule="exact"/>
        <w:ind w:left="820" w:leftChars="0" w:right="4319" w:rightChars="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pacing w:val="-1"/>
          <w:sz w:val="24"/>
          <w:szCs w:val="24"/>
          <w:highlight w:val="none"/>
        </w:rPr>
        <w:t>第二条 合同标的</w:t>
      </w:r>
    </w:p>
    <w:p w14:paraId="28D22BBF">
      <w:pPr>
        <w:pStyle w:val="10"/>
        <w:pageBreakBefore w:val="0"/>
        <w:widowControl w:val="0"/>
        <w:kinsoku/>
        <w:wordWrap/>
        <w:overflowPunct/>
        <w:topLinePunct w:val="0"/>
        <w:autoSpaceDE/>
        <w:autoSpaceDN/>
        <w:bidi w:val="0"/>
        <w:adjustRightInd/>
        <w:snapToGrid/>
        <w:spacing w:line="500" w:lineRule="exact"/>
        <w:ind w:left="8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乙方根据甲方需求提供下列货物，货物名称、规格及数量等：</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1984"/>
        <w:gridCol w:w="1985"/>
        <w:gridCol w:w="1985"/>
        <w:gridCol w:w="1976"/>
      </w:tblGrid>
      <w:tr w14:paraId="539E1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984" w:type="dxa"/>
          </w:tcPr>
          <w:p w14:paraId="269BF744">
            <w:pPr>
              <w:pStyle w:val="44"/>
              <w:pageBreakBefore w:val="0"/>
              <w:widowControl w:val="0"/>
              <w:kinsoku/>
              <w:wordWrap/>
              <w:overflowPunct/>
              <w:topLinePunct w:val="0"/>
              <w:autoSpaceDE/>
              <w:autoSpaceDN/>
              <w:bidi w:val="0"/>
              <w:adjustRightInd/>
              <w:snapToGrid/>
              <w:spacing w:before="1" w:line="500" w:lineRule="exact"/>
              <w:ind w:left="550" w:right="542"/>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984" w:type="dxa"/>
          </w:tcPr>
          <w:p w14:paraId="3FA4344A">
            <w:pPr>
              <w:pStyle w:val="44"/>
              <w:pageBreakBefore w:val="0"/>
              <w:widowControl w:val="0"/>
              <w:kinsoku/>
              <w:wordWrap/>
              <w:overflowPunct/>
              <w:topLinePunct w:val="0"/>
              <w:autoSpaceDE/>
              <w:autoSpaceDN/>
              <w:bidi w:val="0"/>
              <w:adjustRightInd/>
              <w:snapToGrid/>
              <w:spacing w:before="1" w:line="500" w:lineRule="exact"/>
              <w:ind w:right="543"/>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货物名称</w:t>
            </w:r>
          </w:p>
        </w:tc>
        <w:tc>
          <w:tcPr>
            <w:tcW w:w="1985" w:type="dxa"/>
          </w:tcPr>
          <w:p w14:paraId="0E090B75">
            <w:pPr>
              <w:pStyle w:val="44"/>
              <w:pageBreakBefore w:val="0"/>
              <w:widowControl w:val="0"/>
              <w:kinsoku/>
              <w:wordWrap/>
              <w:overflowPunct/>
              <w:topLinePunct w:val="0"/>
              <w:autoSpaceDE/>
              <w:autoSpaceDN/>
              <w:bidi w:val="0"/>
              <w:adjustRightInd/>
              <w:snapToGrid/>
              <w:spacing w:before="1" w:line="5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w:t>
            </w:r>
          </w:p>
        </w:tc>
        <w:tc>
          <w:tcPr>
            <w:tcW w:w="1985" w:type="dxa"/>
          </w:tcPr>
          <w:p w14:paraId="17519A43">
            <w:pPr>
              <w:pStyle w:val="44"/>
              <w:pageBreakBefore w:val="0"/>
              <w:widowControl w:val="0"/>
              <w:kinsoku/>
              <w:wordWrap/>
              <w:overflowPunct/>
              <w:topLinePunct w:val="0"/>
              <w:autoSpaceDE/>
              <w:autoSpaceDN/>
              <w:bidi w:val="0"/>
              <w:adjustRightInd/>
              <w:snapToGrid/>
              <w:spacing w:before="1" w:line="500" w:lineRule="exact"/>
              <w:ind w:right="755"/>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单价</w:t>
            </w:r>
          </w:p>
        </w:tc>
        <w:tc>
          <w:tcPr>
            <w:tcW w:w="1976" w:type="dxa"/>
          </w:tcPr>
          <w:p w14:paraId="72F2BE8C">
            <w:pPr>
              <w:pStyle w:val="44"/>
              <w:pageBreakBefore w:val="0"/>
              <w:widowControl w:val="0"/>
              <w:kinsoku/>
              <w:wordWrap/>
              <w:overflowPunct/>
              <w:topLinePunct w:val="0"/>
              <w:autoSpaceDE/>
              <w:autoSpaceDN/>
              <w:bidi w:val="0"/>
              <w:adjustRightInd/>
              <w:snapToGrid/>
              <w:spacing w:before="1" w:line="500" w:lineRule="exact"/>
              <w:ind w:right="749"/>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tr w14:paraId="02DA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984" w:type="dxa"/>
          </w:tcPr>
          <w:p w14:paraId="5B0F735A">
            <w:pPr>
              <w:pStyle w:val="44"/>
              <w:pageBreakBefore w:val="0"/>
              <w:widowControl w:val="0"/>
              <w:kinsoku/>
              <w:wordWrap/>
              <w:overflowPunct/>
              <w:topLinePunct w:val="0"/>
              <w:autoSpaceDE/>
              <w:autoSpaceDN/>
              <w:bidi w:val="0"/>
              <w:adjustRightInd/>
              <w:snapToGrid/>
              <w:spacing w:line="500" w:lineRule="exact"/>
              <w:ind w:left="6"/>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9"/>
                <w:sz w:val="24"/>
                <w:szCs w:val="24"/>
                <w:highlight w:val="none"/>
              </w:rPr>
              <w:t>1</w:t>
            </w:r>
          </w:p>
        </w:tc>
        <w:tc>
          <w:tcPr>
            <w:tcW w:w="1984" w:type="dxa"/>
          </w:tcPr>
          <w:p w14:paraId="7174F0B7">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3D4DFC95">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3E09DA7D">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76" w:type="dxa"/>
          </w:tcPr>
          <w:p w14:paraId="09E02523">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r w14:paraId="1CBA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984" w:type="dxa"/>
          </w:tcPr>
          <w:p w14:paraId="0FA30267">
            <w:pPr>
              <w:pStyle w:val="44"/>
              <w:pageBreakBefore w:val="0"/>
              <w:widowControl w:val="0"/>
              <w:kinsoku/>
              <w:wordWrap/>
              <w:overflowPunct/>
              <w:topLinePunct w:val="0"/>
              <w:autoSpaceDE/>
              <w:autoSpaceDN/>
              <w:bidi w:val="0"/>
              <w:adjustRightInd/>
              <w:snapToGrid/>
              <w:spacing w:line="500" w:lineRule="exact"/>
              <w:ind w:left="6"/>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9"/>
                <w:sz w:val="24"/>
                <w:szCs w:val="24"/>
                <w:highlight w:val="none"/>
              </w:rPr>
              <w:t>2</w:t>
            </w:r>
          </w:p>
        </w:tc>
        <w:tc>
          <w:tcPr>
            <w:tcW w:w="1984" w:type="dxa"/>
          </w:tcPr>
          <w:p w14:paraId="441AC690">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108FD901">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63B51446">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76" w:type="dxa"/>
          </w:tcPr>
          <w:p w14:paraId="3D65B574">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r w14:paraId="558E6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984" w:type="dxa"/>
          </w:tcPr>
          <w:p w14:paraId="2FF144BC">
            <w:pPr>
              <w:pStyle w:val="44"/>
              <w:pageBreakBefore w:val="0"/>
              <w:widowControl w:val="0"/>
              <w:kinsoku/>
              <w:wordWrap/>
              <w:overflowPunct/>
              <w:topLinePunct w:val="0"/>
              <w:autoSpaceDE/>
              <w:autoSpaceDN/>
              <w:bidi w:val="0"/>
              <w:adjustRightInd/>
              <w:snapToGrid/>
              <w:spacing w:before="1" w:line="500" w:lineRule="exact"/>
              <w:ind w:left="6"/>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9"/>
                <w:sz w:val="24"/>
                <w:szCs w:val="24"/>
                <w:highlight w:val="none"/>
              </w:rPr>
              <w:t>3</w:t>
            </w:r>
          </w:p>
        </w:tc>
        <w:tc>
          <w:tcPr>
            <w:tcW w:w="1984" w:type="dxa"/>
          </w:tcPr>
          <w:p w14:paraId="5FCFC73E">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540DAF53">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156771A4">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76" w:type="dxa"/>
          </w:tcPr>
          <w:p w14:paraId="7B4F2A8C">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r w14:paraId="2F90B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984" w:type="dxa"/>
          </w:tcPr>
          <w:p w14:paraId="47F2D995">
            <w:pPr>
              <w:pStyle w:val="44"/>
              <w:pageBreakBefore w:val="0"/>
              <w:widowControl w:val="0"/>
              <w:kinsoku/>
              <w:wordWrap/>
              <w:overflowPunct/>
              <w:topLinePunct w:val="0"/>
              <w:autoSpaceDE/>
              <w:autoSpaceDN/>
              <w:bidi w:val="0"/>
              <w:adjustRightInd/>
              <w:snapToGrid/>
              <w:spacing w:line="500" w:lineRule="exact"/>
              <w:ind w:left="6"/>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9"/>
                <w:sz w:val="24"/>
                <w:szCs w:val="24"/>
                <w:highlight w:val="none"/>
              </w:rPr>
              <w:t>4</w:t>
            </w:r>
          </w:p>
        </w:tc>
        <w:tc>
          <w:tcPr>
            <w:tcW w:w="1984" w:type="dxa"/>
          </w:tcPr>
          <w:p w14:paraId="5B66F0A2">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3FCB8997">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0B53DD49">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76" w:type="dxa"/>
          </w:tcPr>
          <w:p w14:paraId="4E9978D6">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r w14:paraId="35FFA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984" w:type="dxa"/>
          </w:tcPr>
          <w:p w14:paraId="04DA0C6C">
            <w:pPr>
              <w:pStyle w:val="44"/>
              <w:pageBreakBefore w:val="0"/>
              <w:widowControl w:val="0"/>
              <w:kinsoku/>
              <w:wordWrap/>
              <w:overflowPunct/>
              <w:topLinePunct w:val="0"/>
              <w:autoSpaceDE/>
              <w:autoSpaceDN/>
              <w:bidi w:val="0"/>
              <w:adjustRightInd/>
              <w:snapToGrid/>
              <w:spacing w:before="1" w:line="500" w:lineRule="exact"/>
              <w:ind w:left="6"/>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9"/>
                <w:sz w:val="24"/>
                <w:szCs w:val="24"/>
                <w:highlight w:val="none"/>
              </w:rPr>
              <w:t>5</w:t>
            </w:r>
          </w:p>
        </w:tc>
        <w:tc>
          <w:tcPr>
            <w:tcW w:w="1984" w:type="dxa"/>
          </w:tcPr>
          <w:p w14:paraId="3F3C0629">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283B07B0">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85" w:type="dxa"/>
          </w:tcPr>
          <w:p w14:paraId="5EF12553">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1976" w:type="dxa"/>
          </w:tcPr>
          <w:p w14:paraId="47558839">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r w14:paraId="49ED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984" w:type="dxa"/>
          </w:tcPr>
          <w:p w14:paraId="4A2B2D9D">
            <w:pPr>
              <w:pStyle w:val="44"/>
              <w:pageBreakBefore w:val="0"/>
              <w:widowControl w:val="0"/>
              <w:kinsoku/>
              <w:wordWrap/>
              <w:overflowPunct/>
              <w:topLinePunct w:val="0"/>
              <w:autoSpaceDE/>
              <w:autoSpaceDN/>
              <w:bidi w:val="0"/>
              <w:adjustRightInd/>
              <w:snapToGrid/>
              <w:spacing w:line="500" w:lineRule="exact"/>
              <w:ind w:left="549" w:right="543"/>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984" w:type="dxa"/>
          </w:tcPr>
          <w:p w14:paraId="6A8C1394">
            <w:pPr>
              <w:pStyle w:val="44"/>
              <w:pageBreakBefore w:val="0"/>
              <w:widowControl w:val="0"/>
              <w:kinsoku/>
              <w:wordWrap/>
              <w:overflowPunct/>
              <w:topLinePunct w:val="0"/>
              <w:autoSpaceDE/>
              <w:autoSpaceDN/>
              <w:bidi w:val="0"/>
              <w:adjustRightInd/>
              <w:snapToGrid/>
              <w:spacing w:line="500" w:lineRule="exact"/>
              <w:ind w:left="550" w:right="542"/>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985" w:type="dxa"/>
          </w:tcPr>
          <w:p w14:paraId="0D82E18D">
            <w:pPr>
              <w:pStyle w:val="44"/>
              <w:pageBreakBefore w:val="0"/>
              <w:widowControl w:val="0"/>
              <w:kinsoku/>
              <w:wordWrap/>
              <w:overflowPunct/>
              <w:topLinePunct w:val="0"/>
              <w:autoSpaceDE/>
              <w:autoSpaceDN/>
              <w:bidi w:val="0"/>
              <w:adjustRightInd/>
              <w:snapToGrid/>
              <w:spacing w:line="500" w:lineRule="exact"/>
              <w:ind w:left="834"/>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985" w:type="dxa"/>
          </w:tcPr>
          <w:p w14:paraId="11EBF8E9">
            <w:pPr>
              <w:pStyle w:val="44"/>
              <w:pageBreakBefore w:val="0"/>
              <w:widowControl w:val="0"/>
              <w:kinsoku/>
              <w:wordWrap/>
              <w:overflowPunct/>
              <w:topLinePunct w:val="0"/>
              <w:autoSpaceDE/>
              <w:autoSpaceDN/>
              <w:bidi w:val="0"/>
              <w:adjustRightInd/>
              <w:snapToGrid/>
              <w:spacing w:line="500" w:lineRule="exact"/>
              <w:ind w:left="760" w:right="752"/>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976" w:type="dxa"/>
          </w:tcPr>
          <w:p w14:paraId="25954DB7">
            <w:pPr>
              <w:pStyle w:val="44"/>
              <w:pageBreakBefore w:val="0"/>
              <w:widowControl w:val="0"/>
              <w:kinsoku/>
              <w:wordWrap/>
              <w:overflowPunct/>
              <w:topLinePunct w:val="0"/>
              <w:autoSpaceDE/>
              <w:autoSpaceDN/>
              <w:bidi w:val="0"/>
              <w:adjustRightInd/>
              <w:snapToGrid/>
              <w:spacing w:line="500" w:lineRule="exact"/>
              <w:ind w:left="756" w:right="749"/>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r>
      <w:tr w14:paraId="079D0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7938" w:type="dxa"/>
            <w:gridSpan w:val="4"/>
          </w:tcPr>
          <w:p w14:paraId="5D01526F">
            <w:pPr>
              <w:pStyle w:val="44"/>
              <w:pageBreakBefore w:val="0"/>
              <w:widowControl w:val="0"/>
              <w:kinsoku/>
              <w:wordWrap/>
              <w:overflowPunct/>
              <w:topLinePunct w:val="0"/>
              <w:autoSpaceDE/>
              <w:autoSpaceDN/>
              <w:bidi w:val="0"/>
              <w:adjustRightInd/>
              <w:snapToGrid/>
              <w:spacing w:line="500" w:lineRule="exact"/>
              <w:ind w:left="3423" w:right="3415"/>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合计（元）</w:t>
            </w:r>
          </w:p>
        </w:tc>
        <w:tc>
          <w:tcPr>
            <w:tcW w:w="1976" w:type="dxa"/>
          </w:tcPr>
          <w:p w14:paraId="66C80FBE">
            <w:pPr>
              <w:pStyle w:val="44"/>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r>
    </w:tbl>
    <w:p w14:paraId="41FDE789">
      <w:pPr>
        <w:pStyle w:val="5"/>
        <w:pageBreakBefore w:val="0"/>
        <w:widowControl w:val="0"/>
        <w:kinsoku/>
        <w:wordWrap/>
        <w:overflowPunct/>
        <w:topLinePunct w:val="0"/>
        <w:autoSpaceDE/>
        <w:autoSpaceDN/>
        <w:bidi w:val="0"/>
        <w:adjustRightInd/>
        <w:snapToGrid/>
        <w:spacing w:before="1" w:line="500" w:lineRule="exact"/>
        <w:ind w:left="4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第三条 合同总价款</w:t>
      </w:r>
    </w:p>
    <w:p w14:paraId="44167AC4">
      <w:pPr>
        <w:pStyle w:val="49"/>
        <w:pageBreakBefore w:val="0"/>
        <w:widowControl w:val="0"/>
        <w:numPr>
          <w:ilvl w:val="0"/>
          <w:numId w:val="6"/>
        </w:numPr>
        <w:tabs>
          <w:tab w:val="left" w:pos="1135"/>
          <w:tab w:val="left" w:pos="2499"/>
          <w:tab w:val="left" w:pos="4285"/>
        </w:tabs>
        <w:kinsoku/>
        <w:wordWrap/>
        <w:overflowPunct/>
        <w:topLinePunct w:val="0"/>
        <w:autoSpaceDE/>
        <w:autoSpaceDN/>
        <w:bidi w:val="0"/>
        <w:adjustRightInd/>
        <w:snapToGrid/>
        <w:spacing w:before="139" w:after="0" w:line="500" w:lineRule="exact"/>
        <w:ind w:left="820" w:right="830" w:rightChars="0" w:firstLine="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本合同项下总价款：￥</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pacing w:val="-16"/>
          <w:sz w:val="24"/>
          <w:szCs w:val="24"/>
          <w:highlight w:val="none"/>
        </w:rPr>
        <w:t>。</w:t>
      </w:r>
      <w:r>
        <w:rPr>
          <w:rFonts w:hint="eastAsia" w:asciiTheme="minorEastAsia" w:hAnsiTheme="minorEastAsia" w:eastAsiaTheme="minorEastAsia" w:cstheme="minorEastAsia"/>
          <w:sz w:val="24"/>
          <w:szCs w:val="24"/>
          <w:highlight w:val="none"/>
        </w:rPr>
        <w:t>大写：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元。</w:t>
      </w:r>
    </w:p>
    <w:p w14:paraId="33F2214E">
      <w:pPr>
        <w:pStyle w:val="49"/>
        <w:pageBreakBefore w:val="0"/>
        <w:widowControl w:val="0"/>
        <w:numPr>
          <w:ilvl w:val="0"/>
          <w:numId w:val="6"/>
        </w:numPr>
        <w:tabs>
          <w:tab w:val="left" w:pos="1032"/>
        </w:tabs>
        <w:kinsoku/>
        <w:wordWrap/>
        <w:overflowPunct/>
        <w:topLinePunct w:val="0"/>
        <w:autoSpaceDE/>
        <w:autoSpaceDN/>
        <w:bidi w:val="0"/>
        <w:adjustRightInd/>
        <w:snapToGrid/>
        <w:spacing w:before="0" w:after="0" w:line="500" w:lineRule="exact"/>
        <w:ind w:left="400" w:right="340"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本合同总价款包括</w:t>
      </w:r>
      <w:r>
        <w:rPr>
          <w:rFonts w:hint="eastAsia" w:ascii="宋体" w:hAnsi="宋体"/>
          <w:color w:val="auto"/>
          <w:sz w:val="24"/>
          <w:highlight w:val="none"/>
          <w:lang w:val="en-US" w:eastAsia="zh-CN"/>
        </w:rPr>
        <w:t>采购及安装、调试、验收、培训、质保期服务、与货物有关的运输和保险及其他伴随服务</w:t>
      </w:r>
      <w:r>
        <w:rPr>
          <w:rFonts w:hint="eastAsia" w:asciiTheme="minorEastAsia" w:hAnsiTheme="minorEastAsia" w:eastAsiaTheme="minorEastAsia" w:cstheme="minorEastAsia"/>
          <w:sz w:val="24"/>
          <w:szCs w:val="24"/>
          <w:highlight w:val="none"/>
        </w:rPr>
        <w:t>的售后服务一切税金和费用。</w:t>
      </w:r>
    </w:p>
    <w:p w14:paraId="068F8834">
      <w:pPr>
        <w:pStyle w:val="10"/>
        <w:pageBreakBefore w:val="0"/>
        <w:widowControl w:val="0"/>
        <w:kinsoku/>
        <w:wordWrap/>
        <w:overflowPunct/>
        <w:topLinePunct w:val="0"/>
        <w:autoSpaceDE/>
        <w:autoSpaceDN/>
        <w:bidi w:val="0"/>
        <w:adjustRightInd/>
        <w:snapToGrid/>
        <w:spacing w:line="500" w:lineRule="exact"/>
        <w:ind w:left="8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4.本合同执行期间合同总价款不变。</w:t>
      </w:r>
    </w:p>
    <w:p w14:paraId="5348CB90">
      <w:pPr>
        <w:pageBreakBefore w:val="0"/>
        <w:widowControl w:val="0"/>
        <w:kinsoku/>
        <w:wordWrap/>
        <w:overflowPunct/>
        <w:topLinePunct w:val="0"/>
        <w:autoSpaceDE/>
        <w:autoSpaceDN/>
        <w:bidi w:val="0"/>
        <w:adjustRightInd/>
        <w:snapToGrid/>
        <w:spacing w:before="42" w:line="500" w:lineRule="exact"/>
        <w:ind w:left="400" w:right="4390" w:rightChars="0" w:firstLine="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第四条 双方一般权利和义务</w:t>
      </w:r>
    </w:p>
    <w:p w14:paraId="4735BBEA">
      <w:pPr>
        <w:pageBreakBefore w:val="0"/>
        <w:widowControl w:val="0"/>
        <w:kinsoku/>
        <w:wordWrap/>
        <w:overflowPunct/>
        <w:topLinePunct w:val="0"/>
        <w:autoSpaceDE/>
        <w:autoSpaceDN/>
        <w:bidi w:val="0"/>
        <w:adjustRightInd/>
        <w:snapToGrid/>
        <w:spacing w:before="42" w:line="500" w:lineRule="exact"/>
        <w:ind w:left="400" w:right="4390" w:rightChars="0" w:firstLine="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1.甲方的义务</w:t>
      </w:r>
    </w:p>
    <w:p w14:paraId="4E4838EA">
      <w:pPr>
        <w:pStyle w:val="49"/>
        <w:pageBreakBefore w:val="0"/>
        <w:widowControl w:val="0"/>
        <w:numPr>
          <w:ilvl w:val="1"/>
          <w:numId w:val="7"/>
        </w:numPr>
        <w:tabs>
          <w:tab w:val="left" w:pos="1240"/>
          <w:tab w:val="left" w:pos="6174"/>
        </w:tabs>
        <w:kinsoku/>
        <w:wordWrap/>
        <w:overflowPunct/>
        <w:topLinePunct w:val="0"/>
        <w:autoSpaceDE/>
        <w:autoSpaceDN/>
        <w:bidi w:val="0"/>
        <w:adjustRightInd/>
        <w:snapToGrid/>
        <w:spacing w:before="0"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委托工作的具体范围和内容：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7F21709B">
      <w:pPr>
        <w:pStyle w:val="49"/>
        <w:pageBreakBefore w:val="0"/>
        <w:widowControl w:val="0"/>
        <w:numPr>
          <w:ilvl w:val="1"/>
          <w:numId w:val="7"/>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甲方应按约定的时间和要求完成下列工作：</w:t>
      </w:r>
    </w:p>
    <w:p w14:paraId="3B13EF9A">
      <w:pPr>
        <w:pStyle w:val="49"/>
        <w:pageBreakBefore w:val="0"/>
        <w:widowControl w:val="0"/>
        <w:numPr>
          <w:ilvl w:val="0"/>
          <w:numId w:val="8"/>
        </w:numPr>
        <w:tabs>
          <w:tab w:val="left" w:pos="1345"/>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向乙方提供保证履行合同所需的全部资料的时间：合同签订后 个工作日内 。</w:t>
      </w:r>
    </w:p>
    <w:p w14:paraId="671164A1">
      <w:pPr>
        <w:pStyle w:val="49"/>
        <w:pageBreakBefore w:val="0"/>
        <w:widowControl w:val="0"/>
        <w:numPr>
          <w:ilvl w:val="0"/>
          <w:numId w:val="8"/>
        </w:numPr>
        <w:tabs>
          <w:tab w:val="left" w:pos="1345"/>
          <w:tab w:val="left" w:pos="5859"/>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向乙方提供保证履行合同顺利完成的条件：</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w:t>
      </w:r>
    </w:p>
    <w:p w14:paraId="2DFB9064">
      <w:pPr>
        <w:pStyle w:val="49"/>
        <w:pageBreakBefore w:val="0"/>
        <w:widowControl w:val="0"/>
        <w:numPr>
          <w:ilvl w:val="0"/>
          <w:numId w:val="8"/>
        </w:numPr>
        <w:tabs>
          <w:tab w:val="left" w:pos="1345"/>
          <w:tab w:val="left" w:pos="4651"/>
        </w:tabs>
        <w:kinsoku/>
        <w:wordWrap/>
        <w:overflowPunct/>
        <w:topLinePunct w:val="0"/>
        <w:autoSpaceDE/>
        <w:autoSpaceDN/>
        <w:bidi w:val="0"/>
        <w:adjustRightInd/>
        <w:snapToGrid/>
        <w:spacing w:before="141"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需要与第三方协调的工作：</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1B4AF667">
      <w:pPr>
        <w:pStyle w:val="49"/>
        <w:pageBreakBefore w:val="0"/>
        <w:widowControl w:val="0"/>
        <w:numPr>
          <w:ilvl w:val="0"/>
          <w:numId w:val="0"/>
        </w:numPr>
        <w:tabs>
          <w:tab w:val="left" w:pos="1240"/>
        </w:tabs>
        <w:kinsoku/>
        <w:wordWrap/>
        <w:overflowPunct/>
        <w:topLinePunct w:val="0"/>
        <w:autoSpaceDE/>
        <w:autoSpaceDN/>
        <w:bidi w:val="0"/>
        <w:adjustRightInd/>
        <w:snapToGrid/>
        <w:spacing w:before="0" w:after="0" w:line="500" w:lineRule="exact"/>
        <w:ind w:left="820" w:leftChars="0" w:right="0"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甲方有义务保守履约合同过程中有关的商业秘密。</w:t>
      </w:r>
    </w:p>
    <w:p w14:paraId="70F2281A">
      <w:pPr>
        <w:pStyle w:val="49"/>
        <w:pageBreakBefore w:val="0"/>
        <w:widowControl w:val="0"/>
        <w:numPr>
          <w:ilvl w:val="0"/>
          <w:numId w:val="0"/>
        </w:numPr>
        <w:tabs>
          <w:tab w:val="left" w:pos="1240"/>
        </w:tabs>
        <w:kinsoku/>
        <w:wordWrap/>
        <w:overflowPunct/>
        <w:topLinePunct w:val="0"/>
        <w:autoSpaceDE/>
        <w:autoSpaceDN/>
        <w:bidi w:val="0"/>
        <w:adjustRightInd/>
        <w:snapToGrid/>
        <w:spacing w:before="139" w:after="0" w:line="500" w:lineRule="exact"/>
        <w:ind w:left="820" w:leftChars="0" w:right="462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5"/>
          <w:sz w:val="24"/>
          <w:szCs w:val="24"/>
          <w:highlight w:val="none"/>
        </w:rPr>
        <w:t xml:space="preserve"> </w:t>
      </w:r>
      <w:r>
        <w:rPr>
          <w:rFonts w:hint="eastAsia" w:asciiTheme="minorEastAsia" w:hAnsiTheme="minorEastAsia" w:eastAsiaTheme="minorEastAsia" w:cstheme="minorEastAsia"/>
          <w:sz w:val="24"/>
          <w:szCs w:val="24"/>
          <w:highlight w:val="none"/>
        </w:rPr>
        <w:t>2.乙方的义务</w:t>
      </w:r>
    </w:p>
    <w:p w14:paraId="46CF9436">
      <w:pPr>
        <w:pStyle w:val="49"/>
        <w:pageBreakBefore w:val="0"/>
        <w:widowControl w:val="0"/>
        <w:numPr>
          <w:ilvl w:val="1"/>
          <w:numId w:val="9"/>
        </w:numPr>
        <w:tabs>
          <w:tab w:val="left" w:pos="1240"/>
        </w:tabs>
        <w:kinsoku/>
        <w:wordWrap/>
        <w:overflowPunct/>
        <w:topLinePunct w:val="0"/>
        <w:autoSpaceDE/>
        <w:autoSpaceDN/>
        <w:bidi w:val="0"/>
        <w:adjustRightInd/>
        <w:snapToGrid/>
        <w:spacing w:before="0"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乙方应按约定的时间和要求完全下列工作：</w:t>
      </w:r>
    </w:p>
    <w:p w14:paraId="5A130C9A">
      <w:pPr>
        <w:pStyle w:val="49"/>
        <w:pageBreakBefore w:val="0"/>
        <w:widowControl w:val="0"/>
        <w:numPr>
          <w:ilvl w:val="0"/>
          <w:numId w:val="10"/>
        </w:numPr>
        <w:tabs>
          <w:tab w:val="left" w:pos="1345"/>
          <w:tab w:val="left" w:pos="5125"/>
        </w:tabs>
        <w:kinsoku/>
        <w:wordWrap/>
        <w:overflowPunct/>
        <w:topLinePunct w:val="0"/>
        <w:autoSpaceDE/>
        <w:autoSpaceDN/>
        <w:bidi w:val="0"/>
        <w:adjustRightInd/>
        <w:snapToGrid/>
        <w:spacing w:before="141"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保证履行合同的内容和时间：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4EA91C4A">
      <w:pPr>
        <w:pStyle w:val="49"/>
        <w:pageBreakBefore w:val="0"/>
        <w:widowControl w:val="0"/>
        <w:numPr>
          <w:ilvl w:val="0"/>
          <w:numId w:val="10"/>
        </w:numPr>
        <w:tabs>
          <w:tab w:val="left" w:pos="1345"/>
          <w:tab w:val="left" w:pos="6805"/>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为甲方提供的为保证履行合同的相关咨询服务：</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2F407A46">
      <w:pPr>
        <w:pStyle w:val="49"/>
        <w:pageBreakBefore w:val="0"/>
        <w:widowControl w:val="0"/>
        <w:numPr>
          <w:ilvl w:val="0"/>
          <w:numId w:val="10"/>
        </w:numPr>
        <w:tabs>
          <w:tab w:val="left" w:pos="1345"/>
          <w:tab w:val="left" w:pos="4074"/>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应尽的其他义务：</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6281C6A7">
      <w:pPr>
        <w:pStyle w:val="49"/>
        <w:pageBreakBefore w:val="0"/>
        <w:widowControl w:val="0"/>
        <w:numPr>
          <w:ilvl w:val="1"/>
          <w:numId w:val="9"/>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乙方有义务保守履约合同过程中有关的商业秘密。</w:t>
      </w:r>
    </w:p>
    <w:p w14:paraId="40E5A4E0">
      <w:pPr>
        <w:pStyle w:val="49"/>
        <w:pageBreakBefore w:val="0"/>
        <w:widowControl w:val="0"/>
        <w:numPr>
          <w:ilvl w:val="0"/>
          <w:numId w:val="6"/>
        </w:numPr>
        <w:tabs>
          <w:tab w:val="left" w:pos="715"/>
        </w:tabs>
        <w:kinsoku/>
        <w:wordWrap/>
        <w:overflowPunct/>
        <w:topLinePunct w:val="0"/>
        <w:autoSpaceDE/>
        <w:autoSpaceDN/>
        <w:bidi w:val="0"/>
        <w:adjustRightInd/>
        <w:snapToGrid/>
        <w:spacing w:before="139" w:after="0" w:line="500" w:lineRule="exact"/>
        <w:ind w:left="714" w:right="0" w:hanging="31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甲方的权利</w:t>
      </w:r>
    </w:p>
    <w:p w14:paraId="11A3B857">
      <w:pPr>
        <w:pStyle w:val="49"/>
        <w:pageBreakBefore w:val="0"/>
        <w:widowControl w:val="0"/>
        <w:numPr>
          <w:ilvl w:val="1"/>
          <w:numId w:val="6"/>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按合同约定，接收项目成果；</w:t>
      </w:r>
    </w:p>
    <w:p w14:paraId="2DA8F1A1">
      <w:pPr>
        <w:pStyle w:val="49"/>
        <w:pageBreakBefore w:val="0"/>
        <w:widowControl w:val="0"/>
        <w:numPr>
          <w:ilvl w:val="1"/>
          <w:numId w:val="6"/>
        </w:numPr>
        <w:tabs>
          <w:tab w:val="left" w:pos="1240"/>
        </w:tabs>
        <w:kinsoku/>
        <w:wordWrap/>
        <w:overflowPunct/>
        <w:topLinePunct w:val="0"/>
        <w:autoSpaceDE/>
        <w:autoSpaceDN/>
        <w:bidi w:val="0"/>
        <w:adjustRightInd/>
        <w:snapToGrid/>
        <w:spacing w:before="141"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向乙方询问履行合同工作进展情况和相关内容或提出不违反法律、行政法规的建议；</w:t>
      </w:r>
    </w:p>
    <w:p w14:paraId="11DA68F4">
      <w:pPr>
        <w:pStyle w:val="49"/>
        <w:pageBreakBefore w:val="0"/>
        <w:widowControl w:val="0"/>
        <w:numPr>
          <w:ilvl w:val="1"/>
          <w:numId w:val="6"/>
        </w:numPr>
        <w:tabs>
          <w:tab w:val="left" w:pos="1240"/>
        </w:tabs>
        <w:kinsoku/>
        <w:wordWrap/>
        <w:overflowPunct/>
        <w:topLinePunct w:val="0"/>
        <w:autoSpaceDE/>
        <w:autoSpaceDN/>
        <w:bidi w:val="0"/>
        <w:adjustRightInd/>
        <w:snapToGrid/>
        <w:spacing w:before="141"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与乙方协商，建议更换其不称职的工作人员；</w:t>
      </w:r>
    </w:p>
    <w:p w14:paraId="17EF2916">
      <w:pPr>
        <w:pStyle w:val="49"/>
        <w:pageBreakBefore w:val="0"/>
        <w:widowControl w:val="0"/>
        <w:numPr>
          <w:ilvl w:val="1"/>
          <w:numId w:val="6"/>
        </w:numPr>
        <w:tabs>
          <w:tab w:val="left" w:pos="1240"/>
        </w:tabs>
        <w:kinsoku/>
        <w:wordWrap/>
        <w:overflowPunct/>
        <w:topLinePunct w:val="0"/>
        <w:autoSpaceDE/>
        <w:autoSpaceDN/>
        <w:bidi w:val="0"/>
        <w:adjustRightInd/>
        <w:snapToGrid/>
        <w:spacing w:before="141"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本合同履行期间，由于乙方不履行合同约定的内容，给甲方造成损失或影响工作正常进行的，甲方有权终止本合同，并依法向乙方追索经济赔偿，直至追究法律责任；</w:t>
      </w:r>
    </w:p>
    <w:p w14:paraId="29FAB22B">
      <w:pPr>
        <w:pStyle w:val="49"/>
        <w:pageBreakBefore w:val="0"/>
        <w:widowControl w:val="0"/>
        <w:numPr>
          <w:ilvl w:val="1"/>
          <w:numId w:val="6"/>
        </w:numPr>
        <w:tabs>
          <w:tab w:val="left" w:pos="1240"/>
        </w:tabs>
        <w:kinsoku/>
        <w:wordWrap/>
        <w:overflowPunct/>
        <w:topLinePunct w:val="0"/>
        <w:autoSpaceDE/>
        <w:autoSpaceDN/>
        <w:bidi w:val="0"/>
        <w:adjustRightInd/>
        <w:snapToGrid/>
        <w:spacing w:before="1"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甲方有权利对乙方在合同履行期间的行为进行监督。</w:t>
      </w:r>
    </w:p>
    <w:p w14:paraId="17CEBCE6">
      <w:pPr>
        <w:pStyle w:val="49"/>
        <w:pageBreakBefore w:val="0"/>
        <w:widowControl w:val="0"/>
        <w:numPr>
          <w:ilvl w:val="0"/>
          <w:numId w:val="6"/>
        </w:numPr>
        <w:tabs>
          <w:tab w:val="left" w:pos="715"/>
        </w:tabs>
        <w:kinsoku/>
        <w:wordWrap/>
        <w:overflowPunct/>
        <w:topLinePunct w:val="0"/>
        <w:autoSpaceDE/>
        <w:autoSpaceDN/>
        <w:bidi w:val="0"/>
        <w:adjustRightInd/>
        <w:snapToGrid/>
        <w:spacing w:before="139" w:after="0" w:line="500" w:lineRule="exact"/>
        <w:ind w:left="714" w:right="0" w:hanging="31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乙方的权利</w:t>
      </w:r>
    </w:p>
    <w:p w14:paraId="27B12562">
      <w:pPr>
        <w:pStyle w:val="49"/>
        <w:pageBreakBefore w:val="0"/>
        <w:widowControl w:val="0"/>
        <w:numPr>
          <w:ilvl w:val="1"/>
          <w:numId w:val="6"/>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按合同约定收取报酬；</w:t>
      </w:r>
    </w:p>
    <w:p w14:paraId="2FCBB734">
      <w:pPr>
        <w:pStyle w:val="49"/>
        <w:pageBreakBefore w:val="0"/>
        <w:widowControl w:val="0"/>
        <w:numPr>
          <w:ilvl w:val="1"/>
          <w:numId w:val="6"/>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对履行合同中应由甲方做出的决定，乙方有权提出建议；</w:t>
      </w:r>
    </w:p>
    <w:p w14:paraId="7E2D7C71">
      <w:pPr>
        <w:pStyle w:val="49"/>
        <w:pageBreakBefore w:val="0"/>
        <w:widowControl w:val="0"/>
        <w:numPr>
          <w:ilvl w:val="1"/>
          <w:numId w:val="6"/>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当甲方提供的资料不足或不明确时，有权要求甲方补足资料或作出明确的答复；</w:t>
      </w:r>
    </w:p>
    <w:p w14:paraId="79F321C4">
      <w:pPr>
        <w:pStyle w:val="49"/>
        <w:pageBreakBefore w:val="0"/>
        <w:widowControl w:val="0"/>
        <w:numPr>
          <w:ilvl w:val="1"/>
          <w:numId w:val="6"/>
        </w:numPr>
        <w:tabs>
          <w:tab w:val="left" w:pos="1240"/>
        </w:tabs>
        <w:kinsoku/>
        <w:wordWrap/>
        <w:overflowPunct/>
        <w:topLinePunct w:val="0"/>
        <w:autoSpaceDE/>
        <w:autoSpaceDN/>
        <w:bidi w:val="0"/>
        <w:adjustRightInd/>
        <w:snapToGrid/>
        <w:spacing w:before="139" w:after="0" w:line="500" w:lineRule="exact"/>
        <w:ind w:left="1240" w:right="0" w:hanging="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拒绝甲方提出的违反法律、行政法规的要求，并向甲方作出解释。 </w:t>
      </w:r>
    </w:p>
    <w:p w14:paraId="3DC2FEEA">
      <w:pPr>
        <w:pStyle w:val="49"/>
        <w:pageBreakBefore w:val="0"/>
        <w:widowControl w:val="0"/>
        <w:numPr>
          <w:ilvl w:val="0"/>
          <w:numId w:val="0"/>
        </w:numPr>
        <w:tabs>
          <w:tab w:val="left" w:pos="1240"/>
        </w:tabs>
        <w:kinsoku/>
        <w:wordWrap/>
        <w:overflowPunct/>
        <w:topLinePunct w:val="0"/>
        <w:autoSpaceDE/>
        <w:autoSpaceDN/>
        <w:bidi w:val="0"/>
        <w:adjustRightInd/>
        <w:snapToGrid/>
        <w:spacing w:before="139" w:after="0" w:line="500" w:lineRule="exact"/>
        <w:ind w:left="820" w:leftChars="0" w:right="3155" w:rightChars="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w w:val="95"/>
          <w:sz w:val="24"/>
          <w:szCs w:val="24"/>
          <w:highlight w:val="none"/>
        </w:rPr>
        <w:t xml:space="preserve"> </w:t>
      </w:r>
      <w:r>
        <w:rPr>
          <w:rFonts w:hint="eastAsia" w:asciiTheme="minorEastAsia" w:hAnsiTheme="minorEastAsia" w:eastAsiaTheme="minorEastAsia" w:cstheme="minorEastAsia"/>
          <w:b/>
          <w:spacing w:val="-1"/>
          <w:sz w:val="24"/>
          <w:szCs w:val="24"/>
          <w:highlight w:val="none"/>
        </w:rPr>
        <w:t>第五条 质量保证</w:t>
      </w:r>
    </w:p>
    <w:p w14:paraId="7C9F023A">
      <w:pPr>
        <w:pStyle w:val="49"/>
        <w:pageBreakBefore w:val="0"/>
        <w:widowControl w:val="0"/>
        <w:numPr>
          <w:ilvl w:val="0"/>
          <w:numId w:val="11"/>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乙方应保证甲方在使用该货物或其任何一部分时不受第三方提出侵犯其专利权、版权、商标权或其他权利的起诉。一旦出现侵权，索赔或诉讼，乙方应承担全部责任。</w:t>
      </w:r>
    </w:p>
    <w:p w14:paraId="6BB912E2">
      <w:pPr>
        <w:pStyle w:val="49"/>
        <w:pageBreakBefore w:val="0"/>
        <w:widowControl w:val="0"/>
        <w:numPr>
          <w:ilvl w:val="0"/>
          <w:numId w:val="11"/>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乙方保证货物是全新的、未使用过的，完全符合国家规范及甲乙双方确认的</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文件、本合同关于货物数量、质量的要求。货物符合实行国家“三包”规定的，应执行“三包”规定。</w:t>
      </w:r>
    </w:p>
    <w:p w14:paraId="5DEEB82F">
      <w:pPr>
        <w:pStyle w:val="49"/>
        <w:pageBreakBefore w:val="0"/>
        <w:widowControl w:val="0"/>
        <w:numPr>
          <w:ilvl w:val="0"/>
          <w:numId w:val="11"/>
        </w:numPr>
        <w:tabs>
          <w:tab w:val="left" w:pos="1032"/>
        </w:tabs>
        <w:kinsoku/>
        <w:wordWrap/>
        <w:overflowPunct/>
        <w:topLinePunct w:val="0"/>
        <w:autoSpaceDE/>
        <w:autoSpaceDN/>
        <w:bidi w:val="0"/>
        <w:adjustRightInd/>
        <w:snapToGrid/>
        <w:spacing w:before="132"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乙方提交的货物应符合</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文件中所记载的详细配置、技术参数、参数及性能，并应附有此类货物完整、详细的技术资料和说明文件。乙方提交的货物必须按照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文件的要求和</w:t>
      </w:r>
      <w:r>
        <w:rPr>
          <w:rFonts w:hint="eastAsia" w:asciiTheme="minorEastAsia" w:hAnsiTheme="minorEastAsia" w:eastAsiaTheme="minorEastAsia" w:cstheme="minorEastAsia"/>
          <w:sz w:val="24"/>
          <w:szCs w:val="24"/>
          <w:highlight w:val="none"/>
          <w:lang w:eastAsia="zh-CN"/>
        </w:rPr>
        <w:t>成交人响应</w:t>
      </w:r>
      <w:r>
        <w:rPr>
          <w:rFonts w:hint="eastAsia" w:asciiTheme="minorEastAsia" w:hAnsiTheme="minorEastAsia" w:eastAsiaTheme="minorEastAsia" w:cstheme="minorEastAsia"/>
          <w:sz w:val="24"/>
          <w:szCs w:val="24"/>
          <w:highlight w:val="none"/>
        </w:rPr>
        <w:t>文件的承诺，以约定标准进行制造、安装； 采购的进口产品应执行原产地国家有关部门最新颁布的相应正式标准并提供国家商检、海关报关等手续。</w:t>
      </w:r>
    </w:p>
    <w:p w14:paraId="6919774E">
      <w:pPr>
        <w:pStyle w:val="49"/>
        <w:pageBreakBefore w:val="0"/>
        <w:widowControl w:val="0"/>
        <w:numPr>
          <w:ilvl w:val="0"/>
          <w:numId w:val="11"/>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乙方应保证将货物按照国家或专业标准包装、确保货物安全无损运抵合同规定的交货地点，并进行安装、试运行。</w:t>
      </w:r>
    </w:p>
    <w:p w14:paraId="3FDAEE2C">
      <w:pPr>
        <w:pStyle w:val="10"/>
        <w:pageBreakBefore w:val="0"/>
        <w:widowControl w:val="0"/>
        <w:numPr>
          <w:ilvl w:val="0"/>
          <w:numId w:val="12"/>
        </w:numPr>
        <w:kinsoku/>
        <w:wordWrap/>
        <w:overflowPunct/>
        <w:topLinePunct w:val="0"/>
        <w:autoSpaceDE/>
        <w:autoSpaceDN/>
        <w:bidi w:val="0"/>
        <w:adjustRightInd/>
        <w:snapToGrid/>
        <w:spacing w:line="500" w:lineRule="exact"/>
        <w:ind w:left="400" w:right="539" w:rightChars="0" w:firstLine="420"/>
        <w:textAlignment w:val="auto"/>
        <w:rPr>
          <w:rFonts w:hint="eastAsia" w:asciiTheme="minorEastAsia" w:hAnsiTheme="minorEastAsia" w:eastAsiaTheme="minorEastAsia" w:cstheme="minorEastAsia"/>
          <w:w w:val="95"/>
          <w:sz w:val="24"/>
          <w:szCs w:val="24"/>
          <w:highlight w:val="none"/>
        </w:rPr>
      </w:pPr>
      <w:r>
        <w:rPr>
          <w:rFonts w:hint="eastAsia" w:asciiTheme="minorEastAsia" w:hAnsiTheme="minorEastAsia" w:eastAsiaTheme="minorEastAsia" w:cstheme="minorEastAsia"/>
          <w:w w:val="95"/>
          <w:sz w:val="24"/>
          <w:szCs w:val="24"/>
          <w:highlight w:val="none"/>
        </w:rPr>
        <w:t xml:space="preserve">乙方保证货物不存在危及人身及财产安全的产品缺陷，否则应承担全部法律责任。 </w:t>
      </w:r>
    </w:p>
    <w:p w14:paraId="78ED00F6">
      <w:pPr>
        <w:pStyle w:val="10"/>
        <w:pageBreakBefore w:val="0"/>
        <w:widowControl w:val="0"/>
        <w:numPr>
          <w:ilvl w:val="0"/>
          <w:numId w:val="0"/>
        </w:numPr>
        <w:kinsoku/>
        <w:wordWrap/>
        <w:overflowPunct/>
        <w:topLinePunct w:val="0"/>
        <w:autoSpaceDE/>
        <w:autoSpaceDN/>
        <w:bidi w:val="0"/>
        <w:adjustRightInd/>
        <w:snapToGrid/>
        <w:spacing w:line="500" w:lineRule="exact"/>
        <w:ind w:left="820" w:leftChars="0" w:right="1789" w:rightChars="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w w:val="95"/>
          <w:sz w:val="24"/>
          <w:szCs w:val="24"/>
          <w:highlight w:val="none"/>
        </w:rPr>
        <w:t xml:space="preserve"> </w:t>
      </w:r>
      <w:r>
        <w:rPr>
          <w:rFonts w:hint="eastAsia" w:asciiTheme="minorEastAsia" w:hAnsiTheme="minorEastAsia" w:eastAsiaTheme="minorEastAsia" w:cstheme="minorEastAsia"/>
          <w:b/>
          <w:spacing w:val="-1"/>
          <w:sz w:val="24"/>
          <w:szCs w:val="24"/>
          <w:highlight w:val="none"/>
        </w:rPr>
        <w:t>第六条 付款方式</w:t>
      </w:r>
    </w:p>
    <w:p w14:paraId="49E20083">
      <w:pPr>
        <w:pStyle w:val="49"/>
        <w:pageBreakBefore w:val="0"/>
        <w:widowControl w:val="0"/>
        <w:numPr>
          <w:ilvl w:val="0"/>
          <w:numId w:val="13"/>
        </w:numPr>
        <w:tabs>
          <w:tab w:val="left" w:pos="1032"/>
        </w:tabs>
        <w:kinsoku/>
        <w:wordWrap/>
        <w:overflowPunct/>
        <w:topLinePunct w:val="0"/>
        <w:autoSpaceDE/>
        <w:autoSpaceDN/>
        <w:bidi w:val="0"/>
        <w:adjustRightInd/>
        <w:snapToGrid/>
        <w:spacing w:before="0"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本合同项下所有款项均以人民币支付。</w:t>
      </w:r>
    </w:p>
    <w:p w14:paraId="14B63B42">
      <w:pPr>
        <w:pStyle w:val="49"/>
        <w:pageBreakBefore w:val="0"/>
        <w:widowControl w:val="0"/>
        <w:numPr>
          <w:ilvl w:val="0"/>
          <w:numId w:val="13"/>
        </w:numPr>
        <w:tabs>
          <w:tab w:val="left" w:pos="1032"/>
        </w:tabs>
        <w:kinsoku/>
        <w:wordWrap/>
        <w:overflowPunct/>
        <w:topLinePunct w:val="0"/>
        <w:autoSpaceDE/>
        <w:autoSpaceDN/>
        <w:bidi w:val="0"/>
        <w:adjustRightInd/>
        <w:snapToGrid/>
        <w:spacing w:before="137"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乙方向甲方提交下列文件材料，经甲方审核无误后支付采购价款：</w:t>
      </w:r>
    </w:p>
    <w:p w14:paraId="29CA7EF2">
      <w:pPr>
        <w:pStyle w:val="49"/>
        <w:pageBreakBefore w:val="0"/>
        <w:widowControl w:val="0"/>
        <w:numPr>
          <w:ilvl w:val="0"/>
          <w:numId w:val="14"/>
        </w:numPr>
        <w:tabs>
          <w:tab w:val="left" w:pos="1345"/>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经甲方确认的发票；</w:t>
      </w:r>
    </w:p>
    <w:p w14:paraId="4C282BDC">
      <w:pPr>
        <w:pStyle w:val="49"/>
        <w:pageBreakBefore w:val="0"/>
        <w:widowControl w:val="0"/>
        <w:numPr>
          <w:ilvl w:val="0"/>
          <w:numId w:val="14"/>
        </w:numPr>
        <w:tabs>
          <w:tab w:val="left" w:pos="1345"/>
        </w:tabs>
        <w:kinsoku/>
        <w:wordWrap/>
        <w:overflowPunct/>
        <w:topLinePunct w:val="0"/>
        <w:autoSpaceDE/>
        <w:autoSpaceDN/>
        <w:bidi w:val="0"/>
        <w:adjustRightInd/>
        <w:snapToGrid/>
        <w:spacing w:before="139"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经甲乙双方确认签署的《验收报告》（或按项目进度阶段性《验收报告》）；</w:t>
      </w:r>
    </w:p>
    <w:p w14:paraId="4A489112">
      <w:pPr>
        <w:pStyle w:val="49"/>
        <w:pageBreakBefore w:val="0"/>
        <w:widowControl w:val="0"/>
        <w:numPr>
          <w:ilvl w:val="0"/>
          <w:numId w:val="14"/>
        </w:numPr>
        <w:tabs>
          <w:tab w:val="left" w:pos="1345"/>
        </w:tabs>
        <w:kinsoku/>
        <w:wordWrap/>
        <w:overflowPunct/>
        <w:topLinePunct w:val="0"/>
        <w:autoSpaceDE/>
        <w:autoSpaceDN/>
        <w:bidi w:val="0"/>
        <w:adjustRightInd/>
        <w:snapToGrid/>
        <w:spacing w:before="142" w:after="0" w:line="500" w:lineRule="exact"/>
        <w:ind w:left="1344" w:right="0" w:hanging="52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其他材料。</w:t>
      </w:r>
    </w:p>
    <w:p w14:paraId="6AC0C1AF">
      <w:pPr>
        <w:pStyle w:val="49"/>
        <w:pageBreakBefore w:val="0"/>
        <w:widowControl w:val="0"/>
        <w:numPr>
          <w:ilvl w:val="0"/>
          <w:numId w:val="13"/>
        </w:numPr>
        <w:tabs>
          <w:tab w:val="left" w:pos="1032"/>
        </w:tabs>
        <w:kinsoku/>
        <w:wordWrap/>
        <w:overflowPunct/>
        <w:topLinePunct w:val="0"/>
        <w:autoSpaceDE/>
        <w:autoSpaceDN/>
        <w:bidi w:val="0"/>
        <w:adjustRightInd/>
        <w:snapToGrid/>
        <w:spacing w:before="139"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款项的支付进度以采购文件的有关规定为准。如采购文件未作特别规定，则付款进度按如下约定履行：</w:t>
      </w:r>
    </w:p>
    <w:p w14:paraId="39BCC488">
      <w:pPr>
        <w:pageBreakBefore w:val="0"/>
        <w:widowControl w:val="0"/>
        <w:tabs>
          <w:tab w:val="left" w:pos="6385"/>
        </w:tabs>
        <w:kinsoku/>
        <w:wordWrap/>
        <w:overflowPunct/>
        <w:topLinePunct w:val="0"/>
        <w:autoSpaceDE/>
        <w:autoSpaceDN/>
        <w:bidi w:val="0"/>
        <w:adjustRightInd/>
        <w:snapToGrid/>
        <w:spacing w:before="0" w:line="500" w:lineRule="exact"/>
        <w:ind w:left="400" w:right="3889" w:firstLine="420"/>
        <w:jc w:val="left"/>
        <w:textAlignment w:val="auto"/>
        <w:rPr>
          <w:rFonts w:hint="eastAsia" w:asciiTheme="minorEastAsia" w:hAnsiTheme="minorEastAsia" w:eastAsiaTheme="minorEastAsia" w:cstheme="minorEastAsia"/>
          <w:spacing w:val="-17"/>
          <w:sz w:val="24"/>
          <w:szCs w:val="24"/>
          <w:highlight w:val="none"/>
          <w:u w:val="single"/>
          <w:lang w:val="en-US" w:eastAsia="zh-CN"/>
        </w:rPr>
      </w:pPr>
      <w:r>
        <w:rPr>
          <w:rFonts w:hint="eastAsia" w:asciiTheme="minorEastAsia" w:hAnsiTheme="minorEastAsia" w:eastAsiaTheme="minorEastAsia" w:cstheme="minorEastAsia"/>
          <w:sz w:val="24"/>
          <w:szCs w:val="24"/>
          <w:highlight w:val="none"/>
        </w:rPr>
        <w:t>付款方式：</w:t>
      </w:r>
      <w:r>
        <w:rPr>
          <w:rFonts w:hint="eastAsia" w:asciiTheme="minorEastAsia" w:hAnsiTheme="minorEastAsia" w:eastAsiaTheme="minorEastAsia" w:cstheme="minorEastAsia"/>
          <w:sz w:val="24"/>
          <w:szCs w:val="24"/>
          <w:highlight w:val="none"/>
          <w:u w:val="single"/>
          <w:lang w:val="en-US" w:eastAsia="zh-CN"/>
        </w:rPr>
        <w:t xml:space="preserve">                 </w:t>
      </w:r>
    </w:p>
    <w:p w14:paraId="3590BBF7">
      <w:pPr>
        <w:pageBreakBefore w:val="0"/>
        <w:widowControl w:val="0"/>
        <w:tabs>
          <w:tab w:val="left" w:pos="6385"/>
        </w:tabs>
        <w:kinsoku/>
        <w:wordWrap/>
        <w:overflowPunct/>
        <w:topLinePunct w:val="0"/>
        <w:autoSpaceDE/>
        <w:autoSpaceDN/>
        <w:bidi w:val="0"/>
        <w:adjustRightInd/>
        <w:snapToGrid/>
        <w:spacing w:before="0" w:line="500" w:lineRule="exact"/>
        <w:ind w:left="400" w:right="3889" w:firstLine="42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第七条</w:t>
      </w:r>
      <w:r>
        <w:rPr>
          <w:rFonts w:hint="eastAsia" w:asciiTheme="minorEastAsia" w:hAnsiTheme="minorEastAsia" w:eastAsiaTheme="minorEastAsia" w:cstheme="minorEastAsia"/>
          <w:b/>
          <w:spacing w:val="-2"/>
          <w:sz w:val="24"/>
          <w:szCs w:val="24"/>
          <w:highlight w:val="none"/>
        </w:rPr>
        <w:t xml:space="preserve"> </w:t>
      </w:r>
      <w:r>
        <w:rPr>
          <w:rFonts w:hint="eastAsia" w:asciiTheme="minorEastAsia" w:hAnsiTheme="minorEastAsia" w:eastAsiaTheme="minorEastAsia" w:cstheme="minorEastAsia"/>
          <w:b/>
          <w:sz w:val="24"/>
          <w:szCs w:val="24"/>
          <w:highlight w:val="none"/>
        </w:rPr>
        <w:t>交货和验收</w:t>
      </w:r>
    </w:p>
    <w:p w14:paraId="68248D45">
      <w:pPr>
        <w:pStyle w:val="49"/>
        <w:pageBreakBefore w:val="0"/>
        <w:widowControl w:val="0"/>
        <w:numPr>
          <w:ilvl w:val="0"/>
          <w:numId w:val="15"/>
        </w:numPr>
        <w:tabs>
          <w:tab w:val="left" w:pos="1032"/>
          <w:tab w:val="left" w:pos="4705"/>
        </w:tabs>
        <w:kinsoku/>
        <w:wordWrap/>
        <w:overflowPunct/>
        <w:topLinePunct w:val="0"/>
        <w:autoSpaceDE/>
        <w:autoSpaceDN/>
        <w:bidi w:val="0"/>
        <w:adjustRightInd/>
        <w:snapToGrid/>
        <w:spacing w:before="0" w:after="0" w:line="500" w:lineRule="exact"/>
        <w:ind w:left="820" w:right="5569" w:firstLine="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交货时间：</w:t>
      </w:r>
      <w:r>
        <w:rPr>
          <w:rFonts w:hint="eastAsia" w:asciiTheme="minorEastAsia" w:hAnsiTheme="minorEastAsia" w:eastAsiaTheme="minorEastAsia" w:cstheme="minorEastAsia"/>
          <w:sz w:val="24"/>
          <w:szCs w:val="24"/>
          <w:highlight w:val="none"/>
          <w:u w:val="single"/>
          <w:lang w:val="en-US" w:eastAsia="zh-CN"/>
        </w:rPr>
        <w:t xml:space="preserve">                        </w:t>
      </w:r>
    </w:p>
    <w:p w14:paraId="60F8EFA1">
      <w:pPr>
        <w:pStyle w:val="49"/>
        <w:pageBreakBefore w:val="0"/>
        <w:widowControl w:val="0"/>
        <w:numPr>
          <w:ilvl w:val="0"/>
          <w:numId w:val="15"/>
        </w:numPr>
        <w:tabs>
          <w:tab w:val="left" w:pos="1032"/>
          <w:tab w:val="left" w:pos="4705"/>
        </w:tabs>
        <w:kinsoku/>
        <w:wordWrap/>
        <w:overflowPunct/>
        <w:topLinePunct w:val="0"/>
        <w:autoSpaceDE/>
        <w:autoSpaceDN/>
        <w:bidi w:val="0"/>
        <w:adjustRightInd/>
        <w:snapToGrid/>
        <w:spacing w:before="0" w:after="0" w:line="500" w:lineRule="exact"/>
        <w:ind w:left="820" w:right="5569" w:firstLine="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交货地点：</w:t>
      </w:r>
      <w:r>
        <w:rPr>
          <w:rFonts w:hint="eastAsia" w:asciiTheme="minorEastAsia" w:hAnsiTheme="minorEastAsia" w:eastAsiaTheme="minorEastAsia" w:cstheme="minorEastAsia"/>
          <w:sz w:val="24"/>
          <w:szCs w:val="24"/>
          <w:highlight w:val="none"/>
          <w:u w:val="single"/>
          <w:lang w:val="en-US" w:eastAsia="zh-CN"/>
        </w:rPr>
        <w:t xml:space="preserve">              </w:t>
      </w:r>
    </w:p>
    <w:p w14:paraId="60E4FB42">
      <w:pPr>
        <w:pStyle w:val="49"/>
        <w:pageBreakBefore w:val="0"/>
        <w:widowControl w:val="0"/>
        <w:numPr>
          <w:ilvl w:val="0"/>
          <w:numId w:val="15"/>
        </w:numPr>
        <w:tabs>
          <w:tab w:val="left" w:pos="1032"/>
        </w:tabs>
        <w:kinsoku/>
        <w:wordWrap/>
        <w:overflowPunct/>
        <w:topLinePunct w:val="0"/>
        <w:autoSpaceDE/>
        <w:autoSpaceDN/>
        <w:bidi w:val="0"/>
        <w:adjustRightInd/>
        <w:snapToGrid/>
        <w:spacing w:before="0" w:after="0" w:line="500" w:lineRule="exact"/>
        <w:ind w:left="1031" w:right="0" w:hanging="212"/>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乙方应对提供的货物作出全面自查和整理，并列出清单，作为甲方验收和使用的技术条件依据，清单应随提供的验收资料交给甲方。</w:t>
      </w:r>
    </w:p>
    <w:p w14:paraId="099120D4">
      <w:pPr>
        <w:pStyle w:val="49"/>
        <w:pageBreakBefore w:val="0"/>
        <w:widowControl w:val="0"/>
        <w:numPr>
          <w:ilvl w:val="0"/>
          <w:numId w:val="15"/>
        </w:numPr>
        <w:tabs>
          <w:tab w:val="left" w:pos="1032"/>
        </w:tabs>
        <w:kinsoku/>
        <w:wordWrap/>
        <w:overflowPunct/>
        <w:topLinePunct w:val="0"/>
        <w:autoSpaceDE/>
        <w:autoSpaceDN/>
        <w:bidi w:val="0"/>
        <w:adjustRightInd/>
        <w:snapToGrid/>
        <w:spacing w:before="0" w:after="0" w:line="500" w:lineRule="exact"/>
        <w:ind w:left="1031" w:right="0" w:hanging="212"/>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乙方提供的货物应包括本合同“第一条 合同</w:t>
      </w:r>
      <w:r>
        <w:rPr>
          <w:rFonts w:hint="eastAsia" w:asciiTheme="minorEastAsia" w:hAnsiTheme="minorEastAsia" w:eastAsiaTheme="minorEastAsia" w:cstheme="minorEastAsia"/>
          <w:spacing w:val="-1"/>
          <w:sz w:val="24"/>
          <w:szCs w:val="24"/>
          <w:highlight w:val="none"/>
        </w:rPr>
        <w:t>文件”规定的全部货物及其附</w:t>
      </w:r>
      <w:r>
        <w:rPr>
          <w:rFonts w:hint="eastAsia" w:asciiTheme="minorEastAsia" w:hAnsiTheme="minorEastAsia" w:eastAsiaTheme="minorEastAsia" w:cstheme="minorEastAsia"/>
          <w:sz w:val="24"/>
          <w:szCs w:val="24"/>
          <w:highlight w:val="none"/>
        </w:rPr>
        <w:t>（辅）件、资料。</w:t>
      </w:r>
    </w:p>
    <w:p w14:paraId="7533E414">
      <w:pPr>
        <w:pStyle w:val="49"/>
        <w:pageBreakBefore w:val="0"/>
        <w:widowControl w:val="0"/>
        <w:numPr>
          <w:ilvl w:val="0"/>
          <w:numId w:val="15"/>
        </w:numPr>
        <w:tabs>
          <w:tab w:val="left" w:pos="1032"/>
        </w:tabs>
        <w:kinsoku/>
        <w:wordWrap/>
        <w:overflowPunct/>
        <w:topLinePunct w:val="0"/>
        <w:autoSpaceDE/>
        <w:autoSpaceDN/>
        <w:bidi w:val="0"/>
        <w:adjustRightInd/>
        <w:snapToGrid/>
        <w:spacing w:before="139" w:after="0" w:line="500" w:lineRule="exact"/>
        <w:ind w:left="400" w:right="337"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甲方应当在到货后的 个工作日内对货物进行验收。货物验收时，甲乙双方必须同时在场，双方共同</w:t>
      </w:r>
      <w:r>
        <w:rPr>
          <w:rFonts w:hint="eastAsia" w:asciiTheme="minorEastAsia" w:hAnsiTheme="minorEastAsia" w:eastAsiaTheme="minorEastAsia" w:cstheme="minorEastAsia"/>
          <w:spacing w:val="-1"/>
          <w:sz w:val="24"/>
          <w:szCs w:val="24"/>
          <w:highlight w:val="none"/>
        </w:rPr>
        <w:t>确认货物与本合同规定的生产厂家产地、品牌、规格型号、数量、质量、技术参数和性能等是否一致。乙</w:t>
      </w:r>
      <w:r>
        <w:rPr>
          <w:rFonts w:hint="eastAsia" w:asciiTheme="minorEastAsia" w:hAnsiTheme="minorEastAsia" w:eastAsiaTheme="minorEastAsia" w:cstheme="minorEastAsia"/>
          <w:sz w:val="24"/>
          <w:szCs w:val="24"/>
          <w:highlight w:val="none"/>
        </w:rPr>
        <w:t>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65EBEF4D">
      <w:pPr>
        <w:pStyle w:val="49"/>
        <w:pageBreakBefore w:val="0"/>
        <w:widowControl w:val="0"/>
        <w:numPr>
          <w:ilvl w:val="0"/>
          <w:numId w:val="15"/>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需要乙方对货物</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包括软件）或系统进行安装调试的，甲乙双方应在货物安装调试完毕后的个工作日内进行运行效果验收。在验收之前，乙方需提前提交相应的调试计划（包括调试程序、环境、内容和检验标准、调试时间安排等</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供甲方确认，乙方还应对所有检验验收调试的结果、步骤、原始数据等作妥善记录。如甲方要求，乙方应将记录提供给甲方。调试检验出现全部或部分未达到本合同所约定的技术指标，   甲方有权选择下列任一处理方式：</w:t>
      </w:r>
    </w:p>
    <w:p w14:paraId="0D014853">
      <w:pPr>
        <w:pStyle w:val="49"/>
        <w:pageBreakBefore w:val="0"/>
        <w:widowControl w:val="0"/>
        <w:numPr>
          <w:ilvl w:val="0"/>
          <w:numId w:val="15"/>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重新调试直至合格为止；</w:t>
      </w:r>
    </w:p>
    <w:p w14:paraId="1C1B173A">
      <w:pPr>
        <w:pStyle w:val="49"/>
        <w:pageBreakBefore w:val="0"/>
        <w:widowControl w:val="0"/>
        <w:numPr>
          <w:ilvl w:val="0"/>
          <w:numId w:val="15"/>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要求乙方对货物进行免费更换，然后重新调试直至合格为止。 甲方因乙方原因所产生的所有费用均由乙方负担。验收合格的，由双方共同签署《验收报告》。</w:t>
      </w:r>
    </w:p>
    <w:p w14:paraId="5259FB95">
      <w:pPr>
        <w:pStyle w:val="49"/>
        <w:pageBreakBefore w:val="0"/>
        <w:widowControl w:val="0"/>
        <w:numPr>
          <w:ilvl w:val="0"/>
          <w:numId w:val="15"/>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甲方可以聘请国家认可的第三方质量检测机构参与验收。</w:t>
      </w:r>
    </w:p>
    <w:p w14:paraId="03E8351D">
      <w:pPr>
        <w:pStyle w:val="49"/>
        <w:pageBreakBefore w:val="0"/>
        <w:widowControl w:val="0"/>
        <w:numPr>
          <w:ilvl w:val="0"/>
          <w:numId w:val="15"/>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w:t>
      </w:r>
    </w:p>
    <w:p w14:paraId="3960BE5F">
      <w:pPr>
        <w:pStyle w:val="49"/>
        <w:pageBreakBefore w:val="0"/>
        <w:widowControl w:val="0"/>
        <w:numPr>
          <w:ilvl w:val="0"/>
          <w:numId w:val="15"/>
        </w:numPr>
        <w:tabs>
          <w:tab w:val="left" w:pos="1032"/>
        </w:tabs>
        <w:kinsoku/>
        <w:wordWrap/>
        <w:overflowPunct/>
        <w:topLinePunct w:val="0"/>
        <w:autoSpaceDE/>
        <w:autoSpaceDN/>
        <w:bidi w:val="0"/>
        <w:adjustRightInd/>
        <w:snapToGrid/>
        <w:spacing w:before="0" w:after="0" w:line="500" w:lineRule="exact"/>
        <w:ind w:left="400" w:right="231"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乙方不能完整交付货物、附（辅）件和资料的，视为未按合同约定交货，乙方负责补齐，因此导致逾期交付的，由乙方承担相关的违约责任。</w:t>
      </w:r>
    </w:p>
    <w:p w14:paraId="3FF3A4F9">
      <w:pPr>
        <w:pStyle w:val="49"/>
        <w:pageBreakBefore w:val="0"/>
        <w:widowControl w:val="0"/>
        <w:numPr>
          <w:ilvl w:val="0"/>
          <w:numId w:val="15"/>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货物达不到本合同“第一条合同文件”规定的数量、质量要求和运行效果，甲方有权拒收，并可以解除合同；由此引起甲方损失及赔偿责任由乙方承担。</w:t>
      </w:r>
    </w:p>
    <w:p w14:paraId="0B4F7B23">
      <w:pPr>
        <w:pStyle w:val="49"/>
        <w:pageBreakBefore w:val="0"/>
        <w:widowControl w:val="0"/>
        <w:numPr>
          <w:ilvl w:val="0"/>
          <w:numId w:val="15"/>
        </w:numPr>
        <w:tabs>
          <w:tab w:val="left" w:pos="1137"/>
        </w:tabs>
        <w:kinsoku/>
        <w:wordWrap/>
        <w:overflowPunct/>
        <w:topLinePunct w:val="0"/>
        <w:autoSpaceDE/>
        <w:autoSpaceDN/>
        <w:bidi w:val="0"/>
        <w:adjustRightInd/>
        <w:snapToGrid/>
        <w:spacing w:before="0" w:after="0" w:line="500" w:lineRule="exact"/>
        <w:ind w:left="400" w:right="339"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如果合同双方对《验收报告》有分歧，双方须于出现分歧后 天内给对方书面声明，以陈述己方的理由及要求，并附有关证据。分歧应通过协商解决。</w:t>
      </w:r>
    </w:p>
    <w:p w14:paraId="675E8679">
      <w:pPr>
        <w:pStyle w:val="5"/>
        <w:pageBreakBefore w:val="0"/>
        <w:widowControl w:val="0"/>
        <w:kinsoku/>
        <w:wordWrap/>
        <w:overflowPunct/>
        <w:topLinePunct w:val="0"/>
        <w:autoSpaceDE/>
        <w:autoSpaceDN/>
        <w:bidi w:val="0"/>
        <w:adjustRightInd/>
        <w:snapToGrid/>
        <w:spacing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第九条 项目管理服务</w:t>
      </w:r>
    </w:p>
    <w:p w14:paraId="380CA574">
      <w:pPr>
        <w:pStyle w:val="10"/>
        <w:pageBreakBefore w:val="0"/>
        <w:widowControl w:val="0"/>
        <w:kinsoku/>
        <w:wordWrap/>
        <w:overflowPunct/>
        <w:topLinePunct w:val="0"/>
        <w:autoSpaceDE/>
        <w:autoSpaceDN/>
        <w:bidi w:val="0"/>
        <w:adjustRightInd/>
        <w:snapToGrid/>
        <w:spacing w:before="129" w:line="500" w:lineRule="exact"/>
        <w:ind w:left="400" w:right="340"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乙方应指定不少于一人全权全程负责本项目的商务服务，以及货物安装、调试、咨询、培训和售后等技术服务工作。</w:t>
      </w:r>
    </w:p>
    <w:p w14:paraId="0AF0823A">
      <w:pPr>
        <w:pageBreakBefore w:val="0"/>
        <w:widowControl w:val="0"/>
        <w:tabs>
          <w:tab w:val="left" w:pos="4179"/>
          <w:tab w:val="left" w:pos="7119"/>
        </w:tabs>
        <w:kinsoku/>
        <w:wordWrap/>
        <w:overflowPunct/>
        <w:topLinePunct w:val="0"/>
        <w:autoSpaceDE/>
        <w:autoSpaceDN/>
        <w:bidi w:val="0"/>
        <w:adjustRightInd/>
        <w:snapToGrid/>
        <w:spacing w:before="0" w:line="500" w:lineRule="exact"/>
        <w:ind w:left="400" w:right="3156" w:firstLine="420"/>
        <w:jc w:val="left"/>
        <w:textAlignment w:val="auto"/>
        <w:rPr>
          <w:rFonts w:hint="eastAsia" w:asciiTheme="minorEastAsia" w:hAnsiTheme="minorEastAsia" w:eastAsiaTheme="minorEastAsia" w:cstheme="minorEastAsia"/>
          <w:spacing w:val="-18"/>
          <w:sz w:val="24"/>
          <w:szCs w:val="24"/>
          <w:highlight w:val="none"/>
        </w:rPr>
      </w:pPr>
      <w:r>
        <w:rPr>
          <w:rFonts w:hint="eastAsia" w:asciiTheme="minorEastAsia" w:hAnsiTheme="minorEastAsia" w:eastAsiaTheme="minorEastAsia" w:cstheme="minorEastAsia"/>
          <w:sz w:val="24"/>
          <w:szCs w:val="24"/>
          <w:highlight w:val="none"/>
        </w:rPr>
        <w:t>项目负责人姓名：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18"/>
          <w:sz w:val="24"/>
          <w:szCs w:val="24"/>
          <w:highlight w:val="none"/>
        </w:rPr>
        <w:t>。</w:t>
      </w:r>
    </w:p>
    <w:p w14:paraId="55A4E766">
      <w:pPr>
        <w:pageBreakBefore w:val="0"/>
        <w:widowControl w:val="0"/>
        <w:tabs>
          <w:tab w:val="left" w:pos="4179"/>
          <w:tab w:val="left" w:pos="7119"/>
        </w:tabs>
        <w:kinsoku/>
        <w:wordWrap/>
        <w:overflowPunct/>
        <w:topLinePunct w:val="0"/>
        <w:autoSpaceDE/>
        <w:autoSpaceDN/>
        <w:bidi w:val="0"/>
        <w:adjustRightInd/>
        <w:snapToGrid/>
        <w:spacing w:before="0" w:line="500" w:lineRule="exact"/>
        <w:ind w:left="400" w:right="3156" w:firstLine="42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第十条</w:t>
      </w:r>
      <w:r>
        <w:rPr>
          <w:rFonts w:hint="eastAsia" w:asciiTheme="minorEastAsia" w:hAnsiTheme="minorEastAsia" w:eastAsiaTheme="minorEastAsia" w:cstheme="minorEastAsia"/>
          <w:b/>
          <w:spacing w:val="-2"/>
          <w:sz w:val="24"/>
          <w:szCs w:val="24"/>
          <w:highlight w:val="none"/>
        </w:rPr>
        <w:t xml:space="preserve"> </w:t>
      </w:r>
      <w:r>
        <w:rPr>
          <w:rFonts w:hint="eastAsia" w:asciiTheme="minorEastAsia" w:hAnsiTheme="minorEastAsia" w:eastAsiaTheme="minorEastAsia" w:cstheme="minorEastAsia"/>
          <w:b/>
          <w:sz w:val="24"/>
          <w:szCs w:val="24"/>
          <w:highlight w:val="none"/>
        </w:rPr>
        <w:t>售后服务</w:t>
      </w:r>
    </w:p>
    <w:p w14:paraId="77F575A0">
      <w:pPr>
        <w:pStyle w:val="49"/>
        <w:pageBreakBefore w:val="0"/>
        <w:widowControl w:val="0"/>
        <w:numPr>
          <w:ilvl w:val="0"/>
          <w:numId w:val="16"/>
        </w:numPr>
        <w:tabs>
          <w:tab w:val="left" w:pos="1032"/>
        </w:tabs>
        <w:kinsoku/>
        <w:wordWrap/>
        <w:overflowPunct/>
        <w:topLinePunct w:val="0"/>
        <w:autoSpaceDE/>
        <w:autoSpaceDN/>
        <w:bidi w:val="0"/>
        <w:adjustRightInd/>
        <w:snapToGrid/>
        <w:spacing w:before="0" w:after="0" w:line="500" w:lineRule="exact"/>
        <w:ind w:left="400" w:right="339"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eastAsia="zh-CN"/>
        </w:rPr>
        <w:t>质保期</w:t>
      </w:r>
      <w:r>
        <w:rPr>
          <w:rFonts w:hint="eastAsia" w:asciiTheme="minorEastAsia" w:hAnsiTheme="minorEastAsia" w:eastAsiaTheme="minorEastAsia" w:cstheme="minorEastAsia"/>
          <w:spacing w:val="-2"/>
          <w:sz w:val="24"/>
          <w:szCs w:val="24"/>
          <w:highlight w:val="none"/>
        </w:rPr>
        <w:t>为自货物通过最终验收之日起</w:t>
      </w:r>
      <w:r>
        <w:rPr>
          <w:rFonts w:hint="eastAsia" w:asciiTheme="minorEastAsia" w:hAnsiTheme="minorEastAsia" w:eastAsiaTheme="minorEastAsia" w:cstheme="minorEastAsia"/>
          <w:spacing w:val="-2"/>
          <w:sz w:val="24"/>
          <w:szCs w:val="24"/>
          <w:highlight w:val="none"/>
          <w:u w:val="single"/>
        </w:rPr>
        <w:t xml:space="preserve"> </w:t>
      </w:r>
      <w:r>
        <w:rPr>
          <w:rFonts w:hint="eastAsia" w:asciiTheme="minorEastAsia" w:hAnsiTheme="minorEastAsia" w:eastAsiaTheme="minorEastAsia" w:cstheme="minorEastAsia"/>
          <w:spacing w:val="-2"/>
          <w:sz w:val="24"/>
          <w:szCs w:val="24"/>
          <w:highlight w:val="none"/>
          <w:u w:val="single"/>
          <w:lang w:val="en-US" w:eastAsia="zh-CN"/>
        </w:rPr>
        <w:t xml:space="preserve">       </w:t>
      </w:r>
      <w:r>
        <w:rPr>
          <w:rFonts w:hint="eastAsia" w:asciiTheme="minorEastAsia" w:hAnsiTheme="minorEastAsia" w:eastAsiaTheme="minorEastAsia" w:cstheme="minorEastAsia"/>
          <w:spacing w:val="-2"/>
          <w:sz w:val="24"/>
          <w:szCs w:val="24"/>
          <w:highlight w:val="none"/>
        </w:rPr>
        <w:t>个月。若国家有明确规定的质量保证期高于此质量保证期的，执行国家规定。</w:t>
      </w:r>
    </w:p>
    <w:p w14:paraId="64818BCE">
      <w:pPr>
        <w:pStyle w:val="49"/>
        <w:pageBreakBefore w:val="0"/>
        <w:widowControl w:val="0"/>
        <w:numPr>
          <w:ilvl w:val="0"/>
          <w:numId w:val="16"/>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在货物质保期内，乙方应对由于设计、工艺、质量</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含环保节能要求）、材料和的缺陷而发生的任何不足或故障负责，并解决存在的问题。</w:t>
      </w:r>
    </w:p>
    <w:p w14:paraId="34A9B83C">
      <w:pPr>
        <w:pStyle w:val="49"/>
        <w:pageBreakBefore w:val="0"/>
        <w:widowControl w:val="0"/>
        <w:numPr>
          <w:ilvl w:val="0"/>
          <w:numId w:val="16"/>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对不符合本合同第四条规定要求的货物应立即进行调换，调换本身并不影响甲方就其损失向乙方索赔的权利。</w:t>
      </w:r>
    </w:p>
    <w:p w14:paraId="7785A577">
      <w:pPr>
        <w:pStyle w:val="49"/>
        <w:pageBreakBefore w:val="0"/>
        <w:widowControl w:val="0"/>
        <w:numPr>
          <w:ilvl w:val="0"/>
          <w:numId w:val="16"/>
        </w:numPr>
        <w:tabs>
          <w:tab w:val="left" w:pos="1032"/>
          <w:tab w:val="left" w:pos="7182"/>
        </w:tabs>
        <w:kinsoku/>
        <w:wordWrap/>
        <w:overflowPunct/>
        <w:topLinePunct w:val="0"/>
        <w:autoSpaceDE/>
        <w:autoSpaceDN/>
        <w:bidi w:val="0"/>
        <w:adjustRightInd/>
        <w:snapToGrid/>
        <w:spacing w:before="0" w:after="0" w:line="500" w:lineRule="exact"/>
        <w:ind w:left="400" w:right="337"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w:t>
      </w:r>
      <w:r>
        <w:rPr>
          <w:rFonts w:hint="eastAsia" w:asciiTheme="minorEastAsia" w:hAnsiTheme="minorEastAsia" w:eastAsiaTheme="minorEastAsia" w:cstheme="minorEastAsia"/>
          <w:spacing w:val="4"/>
          <w:sz w:val="24"/>
          <w:szCs w:val="24"/>
          <w:highlight w:val="none"/>
        </w:rPr>
        <w:t>物</w:t>
      </w:r>
      <w:r>
        <w:rPr>
          <w:rFonts w:hint="eastAsia" w:asciiTheme="minorEastAsia" w:hAnsiTheme="minorEastAsia" w:eastAsiaTheme="minorEastAsia" w:cstheme="minorEastAsia"/>
          <w:sz w:val="24"/>
          <w:szCs w:val="24"/>
          <w:highlight w:val="none"/>
        </w:rPr>
        <w:t>安装</w:t>
      </w:r>
      <w:r>
        <w:rPr>
          <w:rFonts w:hint="eastAsia" w:asciiTheme="minorEastAsia" w:hAnsiTheme="minorEastAsia" w:eastAsiaTheme="minorEastAsia" w:cstheme="minorEastAsia"/>
          <w:spacing w:val="4"/>
          <w:sz w:val="24"/>
          <w:szCs w:val="24"/>
          <w:highlight w:val="none"/>
        </w:rPr>
        <w:t>调</w:t>
      </w:r>
      <w:r>
        <w:rPr>
          <w:rFonts w:hint="eastAsia" w:asciiTheme="minorEastAsia" w:hAnsiTheme="minorEastAsia" w:eastAsiaTheme="minorEastAsia" w:cstheme="minorEastAsia"/>
          <w:sz w:val="24"/>
          <w:szCs w:val="24"/>
          <w:highlight w:val="none"/>
        </w:rPr>
        <w:t>试完</w:t>
      </w:r>
      <w:r>
        <w:rPr>
          <w:rFonts w:hint="eastAsia" w:asciiTheme="minorEastAsia" w:hAnsiTheme="minorEastAsia" w:eastAsiaTheme="minorEastAsia" w:cstheme="minorEastAsia"/>
          <w:spacing w:val="4"/>
          <w:sz w:val="24"/>
          <w:szCs w:val="24"/>
          <w:highlight w:val="none"/>
        </w:rPr>
        <w:t>成</w:t>
      </w:r>
      <w:r>
        <w:rPr>
          <w:rFonts w:hint="eastAsia" w:asciiTheme="minorEastAsia" w:hAnsiTheme="minorEastAsia" w:eastAsiaTheme="minorEastAsia" w:cstheme="minorEastAsia"/>
          <w:sz w:val="24"/>
          <w:szCs w:val="24"/>
          <w:highlight w:val="none"/>
        </w:rPr>
        <w:t>后，</w:t>
      </w:r>
      <w:r>
        <w:rPr>
          <w:rFonts w:hint="eastAsia" w:asciiTheme="minorEastAsia" w:hAnsiTheme="minorEastAsia" w:eastAsiaTheme="minorEastAsia" w:cstheme="minorEastAsia"/>
          <w:spacing w:val="4"/>
          <w:sz w:val="24"/>
          <w:szCs w:val="24"/>
          <w:highlight w:val="none"/>
        </w:rPr>
        <w:t>乙</w:t>
      </w:r>
      <w:r>
        <w:rPr>
          <w:rFonts w:hint="eastAsia" w:asciiTheme="minorEastAsia" w:hAnsiTheme="minorEastAsia" w:eastAsiaTheme="minorEastAsia" w:cstheme="minorEastAsia"/>
          <w:sz w:val="24"/>
          <w:szCs w:val="24"/>
          <w:highlight w:val="none"/>
        </w:rPr>
        <w:t>方应</w:t>
      </w:r>
      <w:r>
        <w:rPr>
          <w:rFonts w:hint="eastAsia" w:asciiTheme="minorEastAsia" w:hAnsiTheme="minorEastAsia" w:eastAsiaTheme="minorEastAsia" w:cstheme="minorEastAsia"/>
          <w:spacing w:val="4"/>
          <w:sz w:val="24"/>
          <w:szCs w:val="24"/>
          <w:highlight w:val="none"/>
        </w:rPr>
        <w:t>继</w:t>
      </w:r>
      <w:r>
        <w:rPr>
          <w:rFonts w:hint="eastAsia" w:asciiTheme="minorEastAsia" w:hAnsiTheme="minorEastAsia" w:eastAsiaTheme="minorEastAsia" w:cstheme="minorEastAsia"/>
          <w:sz w:val="24"/>
          <w:szCs w:val="24"/>
          <w:highlight w:val="none"/>
        </w:rPr>
        <w:t>续向</w:t>
      </w:r>
      <w:r>
        <w:rPr>
          <w:rFonts w:hint="eastAsia" w:asciiTheme="minorEastAsia" w:hAnsiTheme="minorEastAsia" w:eastAsiaTheme="minorEastAsia" w:cstheme="minorEastAsia"/>
          <w:spacing w:val="4"/>
          <w:sz w:val="24"/>
          <w:szCs w:val="24"/>
          <w:highlight w:val="none"/>
        </w:rPr>
        <w:t>甲</w:t>
      </w:r>
      <w:r>
        <w:rPr>
          <w:rFonts w:hint="eastAsia" w:asciiTheme="minorEastAsia" w:hAnsiTheme="minorEastAsia" w:eastAsiaTheme="minorEastAsia" w:cstheme="minorEastAsia"/>
          <w:sz w:val="24"/>
          <w:szCs w:val="24"/>
          <w:highlight w:val="none"/>
        </w:rPr>
        <w:t>方提</w:t>
      </w:r>
      <w:r>
        <w:rPr>
          <w:rFonts w:hint="eastAsia" w:asciiTheme="minorEastAsia" w:hAnsiTheme="minorEastAsia" w:eastAsiaTheme="minorEastAsia" w:cstheme="minorEastAsia"/>
          <w:spacing w:val="4"/>
          <w:sz w:val="24"/>
          <w:szCs w:val="24"/>
          <w:highlight w:val="none"/>
        </w:rPr>
        <w:t>供</w:t>
      </w:r>
      <w:r>
        <w:rPr>
          <w:rFonts w:hint="eastAsia" w:asciiTheme="minorEastAsia" w:hAnsiTheme="minorEastAsia" w:eastAsiaTheme="minorEastAsia" w:cstheme="minorEastAsia"/>
          <w:sz w:val="24"/>
          <w:szCs w:val="24"/>
          <w:highlight w:val="none"/>
        </w:rPr>
        <w:t>良好</w:t>
      </w:r>
      <w:r>
        <w:rPr>
          <w:rFonts w:hint="eastAsia" w:asciiTheme="minorEastAsia" w:hAnsiTheme="minorEastAsia" w:eastAsiaTheme="minorEastAsia" w:cstheme="minorEastAsia"/>
          <w:spacing w:val="4"/>
          <w:sz w:val="24"/>
          <w:szCs w:val="24"/>
          <w:highlight w:val="none"/>
        </w:rPr>
        <w:t>的</w:t>
      </w:r>
      <w:r>
        <w:rPr>
          <w:rFonts w:hint="eastAsia" w:asciiTheme="minorEastAsia" w:hAnsiTheme="minorEastAsia" w:eastAsiaTheme="minorEastAsia" w:cstheme="minorEastAsia"/>
          <w:sz w:val="24"/>
          <w:szCs w:val="24"/>
          <w:highlight w:val="none"/>
        </w:rPr>
        <w:t>技术</w:t>
      </w:r>
      <w:r>
        <w:rPr>
          <w:rFonts w:hint="eastAsia" w:asciiTheme="minorEastAsia" w:hAnsiTheme="minorEastAsia" w:eastAsiaTheme="minorEastAsia" w:cstheme="minorEastAsia"/>
          <w:spacing w:val="4"/>
          <w:sz w:val="24"/>
          <w:szCs w:val="24"/>
          <w:highlight w:val="none"/>
        </w:rPr>
        <w:t>支</w:t>
      </w:r>
      <w:r>
        <w:rPr>
          <w:rFonts w:hint="eastAsia" w:asciiTheme="minorEastAsia" w:hAnsiTheme="minorEastAsia" w:eastAsiaTheme="minorEastAsia" w:cstheme="minorEastAsia"/>
          <w:sz w:val="24"/>
          <w:szCs w:val="24"/>
          <w:highlight w:val="none"/>
        </w:rPr>
        <w:t>持。</w:t>
      </w:r>
      <w:r>
        <w:rPr>
          <w:rFonts w:hint="eastAsia" w:asciiTheme="minorEastAsia" w:hAnsiTheme="minorEastAsia" w:eastAsiaTheme="minorEastAsia" w:cstheme="minorEastAsia"/>
          <w:spacing w:val="4"/>
          <w:sz w:val="24"/>
          <w:szCs w:val="24"/>
          <w:highlight w:val="none"/>
        </w:rPr>
        <w:t>应</w:t>
      </w:r>
      <w:r>
        <w:rPr>
          <w:rFonts w:hint="eastAsia" w:asciiTheme="minorEastAsia" w:hAnsiTheme="minorEastAsia" w:eastAsiaTheme="minorEastAsia" w:cstheme="minorEastAsia"/>
          <w:sz w:val="24"/>
          <w:szCs w:val="24"/>
          <w:highlight w:val="none"/>
        </w:rPr>
        <w:t>当由</w:t>
      </w:r>
      <w:r>
        <w:rPr>
          <w:rFonts w:hint="eastAsia" w:asciiTheme="minorEastAsia" w:hAnsiTheme="minorEastAsia" w:eastAsiaTheme="minorEastAsia" w:cstheme="minorEastAsia"/>
          <w:spacing w:val="4"/>
          <w:sz w:val="24"/>
          <w:szCs w:val="24"/>
          <w:highlight w:val="none"/>
        </w:rPr>
        <w:t>专</w:t>
      </w:r>
      <w:r>
        <w:rPr>
          <w:rFonts w:hint="eastAsia" w:asciiTheme="minorEastAsia" w:hAnsiTheme="minorEastAsia" w:eastAsiaTheme="minorEastAsia" w:cstheme="minorEastAsia"/>
          <w:sz w:val="24"/>
          <w:szCs w:val="24"/>
          <w:highlight w:val="none"/>
        </w:rPr>
        <w:t>门队</w:t>
      </w:r>
      <w:r>
        <w:rPr>
          <w:rFonts w:hint="eastAsia" w:asciiTheme="minorEastAsia" w:hAnsiTheme="minorEastAsia" w:eastAsiaTheme="minorEastAsia" w:cstheme="minorEastAsia"/>
          <w:spacing w:val="4"/>
          <w:sz w:val="24"/>
          <w:szCs w:val="24"/>
          <w:highlight w:val="none"/>
        </w:rPr>
        <w:t>伍</w:t>
      </w:r>
      <w:r>
        <w:rPr>
          <w:rFonts w:hint="eastAsia" w:asciiTheme="minorEastAsia" w:hAnsiTheme="minorEastAsia" w:eastAsiaTheme="minorEastAsia" w:cstheme="minorEastAsia"/>
          <w:sz w:val="24"/>
          <w:szCs w:val="24"/>
          <w:highlight w:val="none"/>
        </w:rPr>
        <w:t>从事</w:t>
      </w:r>
      <w:r>
        <w:rPr>
          <w:rFonts w:hint="eastAsia" w:asciiTheme="minorEastAsia" w:hAnsiTheme="minorEastAsia" w:eastAsiaTheme="minorEastAsia" w:cstheme="minorEastAsia"/>
          <w:spacing w:val="4"/>
          <w:sz w:val="24"/>
          <w:szCs w:val="24"/>
          <w:highlight w:val="none"/>
        </w:rPr>
        <w:t>此</w:t>
      </w:r>
      <w:r>
        <w:rPr>
          <w:rFonts w:hint="eastAsia" w:asciiTheme="minorEastAsia" w:hAnsiTheme="minorEastAsia" w:eastAsiaTheme="minorEastAsia" w:cstheme="minorEastAsia"/>
          <w:sz w:val="24"/>
          <w:szCs w:val="24"/>
          <w:highlight w:val="none"/>
        </w:rPr>
        <w:t>项工</w:t>
      </w:r>
      <w:r>
        <w:rPr>
          <w:rFonts w:hint="eastAsia" w:asciiTheme="minorEastAsia" w:hAnsiTheme="minorEastAsia" w:eastAsiaTheme="minorEastAsia" w:cstheme="minorEastAsia"/>
          <w:spacing w:val="4"/>
          <w:sz w:val="24"/>
          <w:szCs w:val="24"/>
          <w:highlight w:val="none"/>
        </w:rPr>
        <w:t>作</w:t>
      </w:r>
      <w:r>
        <w:rPr>
          <w:rFonts w:hint="eastAsia" w:asciiTheme="minorEastAsia" w:hAnsiTheme="minorEastAsia" w:eastAsiaTheme="minorEastAsia" w:cstheme="minorEastAsia"/>
          <w:sz w:val="24"/>
          <w:szCs w:val="24"/>
          <w:highlight w:val="none"/>
        </w:rPr>
        <w:t>，并提供</w:t>
      </w:r>
      <w:r>
        <w:rPr>
          <w:rFonts w:hint="eastAsia" w:asciiTheme="minorEastAsia" w:hAnsiTheme="minorEastAsia" w:eastAsiaTheme="minorEastAsia" w:cstheme="minorEastAsia"/>
          <w:spacing w:val="4"/>
          <w:sz w:val="24"/>
          <w:szCs w:val="24"/>
          <w:highlight w:val="none"/>
        </w:rPr>
        <w:t>全</w:t>
      </w:r>
      <w:r>
        <w:rPr>
          <w:rFonts w:hint="eastAsia" w:asciiTheme="minorEastAsia" w:hAnsiTheme="minorEastAsia" w:eastAsiaTheme="minorEastAsia" w:cstheme="minorEastAsia"/>
          <w:sz w:val="24"/>
          <w:szCs w:val="24"/>
          <w:highlight w:val="none"/>
        </w:rPr>
        <w:t>天候的</w:t>
      </w:r>
      <w:r>
        <w:rPr>
          <w:rFonts w:hint="eastAsia" w:asciiTheme="minorEastAsia" w:hAnsiTheme="minorEastAsia" w:eastAsiaTheme="minorEastAsia" w:cstheme="minorEastAsia"/>
          <w:spacing w:val="4"/>
          <w:sz w:val="24"/>
          <w:szCs w:val="24"/>
          <w:highlight w:val="none"/>
        </w:rPr>
        <w:t>热</w:t>
      </w:r>
      <w:r>
        <w:rPr>
          <w:rFonts w:hint="eastAsia" w:asciiTheme="minorEastAsia" w:hAnsiTheme="minorEastAsia" w:eastAsiaTheme="minorEastAsia" w:cstheme="minorEastAsia"/>
          <w:sz w:val="24"/>
          <w:szCs w:val="24"/>
          <w:highlight w:val="none"/>
        </w:rPr>
        <w:t>线技术</w:t>
      </w:r>
      <w:r>
        <w:rPr>
          <w:rFonts w:hint="eastAsia" w:asciiTheme="minorEastAsia" w:hAnsiTheme="minorEastAsia" w:eastAsiaTheme="minorEastAsia" w:cstheme="minorEastAsia"/>
          <w:spacing w:val="4"/>
          <w:sz w:val="24"/>
          <w:szCs w:val="24"/>
          <w:highlight w:val="none"/>
        </w:rPr>
        <w:t>支</w:t>
      </w:r>
      <w:r>
        <w:rPr>
          <w:rFonts w:hint="eastAsia" w:asciiTheme="minorEastAsia" w:hAnsiTheme="minorEastAsia" w:eastAsiaTheme="minorEastAsia" w:cstheme="minorEastAsia"/>
          <w:sz w:val="24"/>
          <w:szCs w:val="24"/>
          <w:highlight w:val="none"/>
        </w:rPr>
        <w:t>持服务</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应当对</w:t>
      </w:r>
      <w:r>
        <w:rPr>
          <w:rFonts w:hint="eastAsia" w:asciiTheme="minorEastAsia" w:hAnsiTheme="minorEastAsia" w:eastAsiaTheme="minorEastAsia" w:cstheme="minorEastAsia"/>
          <w:spacing w:val="4"/>
          <w:sz w:val="24"/>
          <w:szCs w:val="24"/>
          <w:highlight w:val="none"/>
        </w:rPr>
        <w:t>甲</w:t>
      </w:r>
      <w:r>
        <w:rPr>
          <w:rFonts w:hint="eastAsia" w:asciiTheme="minorEastAsia" w:hAnsiTheme="minorEastAsia" w:eastAsiaTheme="minorEastAsia" w:cstheme="minorEastAsia"/>
          <w:sz w:val="24"/>
          <w:szCs w:val="24"/>
          <w:highlight w:val="none"/>
        </w:rPr>
        <w:t>方所反</w:t>
      </w:r>
      <w:r>
        <w:rPr>
          <w:rFonts w:hint="eastAsia" w:asciiTheme="minorEastAsia" w:hAnsiTheme="minorEastAsia" w:eastAsiaTheme="minorEastAsia" w:cstheme="minorEastAsia"/>
          <w:spacing w:val="4"/>
          <w:sz w:val="24"/>
          <w:szCs w:val="24"/>
          <w:highlight w:val="none"/>
        </w:rPr>
        <w:t>映</w:t>
      </w:r>
      <w:r>
        <w:rPr>
          <w:rFonts w:hint="eastAsia" w:asciiTheme="minorEastAsia" w:hAnsiTheme="minorEastAsia" w:eastAsiaTheme="minorEastAsia" w:cstheme="minorEastAsia"/>
          <w:sz w:val="24"/>
          <w:szCs w:val="24"/>
          <w:highlight w:val="none"/>
        </w:rPr>
        <w:t>的任何</w:t>
      </w:r>
      <w:r>
        <w:rPr>
          <w:rFonts w:hint="eastAsia" w:asciiTheme="minorEastAsia" w:hAnsiTheme="minorEastAsia" w:eastAsiaTheme="minorEastAsia" w:cstheme="minorEastAsia"/>
          <w:spacing w:val="4"/>
          <w:sz w:val="24"/>
          <w:szCs w:val="24"/>
          <w:highlight w:val="none"/>
        </w:rPr>
        <w:t>问</w:t>
      </w:r>
      <w:r>
        <w:rPr>
          <w:rFonts w:hint="eastAsia" w:asciiTheme="minorEastAsia" w:hAnsiTheme="minorEastAsia" w:eastAsiaTheme="minorEastAsia" w:cstheme="minorEastAsia"/>
          <w:sz w:val="24"/>
          <w:szCs w:val="24"/>
          <w:highlight w:val="none"/>
        </w:rPr>
        <w:t>题在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pacing w:val="4"/>
          <w:sz w:val="24"/>
          <w:szCs w:val="24"/>
          <w:highlight w:val="none"/>
        </w:rPr>
        <w:t>小</w:t>
      </w:r>
      <w:r>
        <w:rPr>
          <w:rFonts w:hint="eastAsia" w:asciiTheme="minorEastAsia" w:hAnsiTheme="minorEastAsia" w:eastAsiaTheme="minorEastAsia" w:cstheme="minorEastAsia"/>
          <w:sz w:val="24"/>
          <w:szCs w:val="24"/>
          <w:highlight w:val="none"/>
        </w:rPr>
        <w:t>时）之</w:t>
      </w:r>
      <w:r>
        <w:rPr>
          <w:rFonts w:hint="eastAsia" w:asciiTheme="minorEastAsia" w:hAnsiTheme="minorEastAsia" w:eastAsiaTheme="minorEastAsia" w:cstheme="minorEastAsia"/>
          <w:spacing w:val="4"/>
          <w:sz w:val="24"/>
          <w:szCs w:val="24"/>
          <w:highlight w:val="none"/>
        </w:rPr>
        <w:t>内</w:t>
      </w:r>
      <w:r>
        <w:rPr>
          <w:rFonts w:hint="eastAsia" w:asciiTheme="minorEastAsia" w:hAnsiTheme="minorEastAsia" w:eastAsiaTheme="minorEastAsia" w:cstheme="minorEastAsia"/>
          <w:sz w:val="24"/>
          <w:szCs w:val="24"/>
          <w:highlight w:val="none"/>
        </w:rPr>
        <w:t>做出及</w:t>
      </w:r>
      <w:r>
        <w:rPr>
          <w:rFonts w:hint="eastAsia" w:asciiTheme="minorEastAsia" w:hAnsiTheme="minorEastAsia" w:eastAsiaTheme="minorEastAsia" w:cstheme="minorEastAsia"/>
          <w:spacing w:val="4"/>
          <w:sz w:val="24"/>
          <w:szCs w:val="24"/>
          <w:highlight w:val="none"/>
        </w:rPr>
        <w:t>时</w:t>
      </w: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pacing w:val="-11"/>
          <w:sz w:val="24"/>
          <w:szCs w:val="24"/>
          <w:highlight w:val="none"/>
        </w:rPr>
        <w:t xml:space="preserve">， </w:t>
      </w:r>
      <w:r>
        <w:rPr>
          <w:rFonts w:hint="eastAsia" w:asciiTheme="minorEastAsia" w:hAnsiTheme="minorEastAsia" w:eastAsiaTheme="minorEastAsia" w:cstheme="minorEastAsia"/>
          <w:sz w:val="24"/>
          <w:szCs w:val="24"/>
          <w:highlight w:val="none"/>
        </w:rPr>
        <w:t>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pacing w:val="4"/>
          <w:sz w:val="24"/>
          <w:szCs w:val="24"/>
          <w:highlight w:val="none"/>
        </w:rPr>
        <w:t>小</w:t>
      </w:r>
      <w:r>
        <w:rPr>
          <w:rFonts w:hint="eastAsia" w:asciiTheme="minorEastAsia" w:hAnsiTheme="minorEastAsia" w:eastAsiaTheme="minorEastAsia" w:cstheme="minorEastAsia"/>
          <w:sz w:val="24"/>
          <w:szCs w:val="24"/>
          <w:highlight w:val="none"/>
        </w:rPr>
        <w:t>时）之</w:t>
      </w:r>
      <w:r>
        <w:rPr>
          <w:rFonts w:hint="eastAsia" w:asciiTheme="minorEastAsia" w:hAnsiTheme="minorEastAsia" w:eastAsiaTheme="minorEastAsia" w:cstheme="minorEastAsia"/>
          <w:spacing w:val="4"/>
          <w:sz w:val="24"/>
          <w:szCs w:val="24"/>
          <w:highlight w:val="none"/>
        </w:rPr>
        <w:t>内</w:t>
      </w:r>
      <w:r>
        <w:rPr>
          <w:rFonts w:hint="eastAsia" w:asciiTheme="minorEastAsia" w:hAnsiTheme="minorEastAsia" w:eastAsiaTheme="minorEastAsia" w:cstheme="minorEastAsia"/>
          <w:sz w:val="24"/>
          <w:szCs w:val="24"/>
          <w:highlight w:val="none"/>
        </w:rPr>
        <w:t>赶到现</w:t>
      </w:r>
      <w:r>
        <w:rPr>
          <w:rFonts w:hint="eastAsia" w:asciiTheme="minorEastAsia" w:hAnsiTheme="minorEastAsia" w:eastAsiaTheme="minorEastAsia" w:cstheme="minorEastAsia"/>
          <w:spacing w:val="4"/>
          <w:sz w:val="24"/>
          <w:szCs w:val="24"/>
          <w:highlight w:val="none"/>
        </w:rPr>
        <w:t>场</w:t>
      </w:r>
      <w:r>
        <w:rPr>
          <w:rFonts w:hint="eastAsia" w:asciiTheme="minorEastAsia" w:hAnsiTheme="minorEastAsia" w:eastAsiaTheme="minorEastAsia" w:cstheme="minorEastAsia"/>
          <w:sz w:val="24"/>
          <w:szCs w:val="24"/>
          <w:highlight w:val="none"/>
        </w:rPr>
        <w:t>实地解决</w:t>
      </w:r>
      <w:r>
        <w:rPr>
          <w:rFonts w:hint="eastAsia" w:asciiTheme="minorEastAsia" w:hAnsiTheme="minorEastAsia" w:eastAsiaTheme="minorEastAsia" w:cstheme="minorEastAsia"/>
          <w:spacing w:val="4"/>
          <w:sz w:val="24"/>
          <w:szCs w:val="24"/>
          <w:highlight w:val="none"/>
        </w:rPr>
        <w:t>问</w:t>
      </w:r>
      <w:r>
        <w:rPr>
          <w:rFonts w:hint="eastAsia" w:asciiTheme="minorEastAsia" w:hAnsiTheme="minorEastAsia" w:eastAsiaTheme="minorEastAsia" w:cstheme="minorEastAsia"/>
          <w:sz w:val="24"/>
          <w:szCs w:val="24"/>
          <w:highlight w:val="none"/>
        </w:rPr>
        <w:t>题。若</w:t>
      </w:r>
      <w:r>
        <w:rPr>
          <w:rFonts w:hint="eastAsia" w:asciiTheme="minorEastAsia" w:hAnsiTheme="minorEastAsia" w:eastAsiaTheme="minorEastAsia" w:cstheme="minorEastAsia"/>
          <w:spacing w:val="4"/>
          <w:sz w:val="24"/>
          <w:szCs w:val="24"/>
          <w:highlight w:val="none"/>
        </w:rPr>
        <w:t>问</w:t>
      </w:r>
      <w:r>
        <w:rPr>
          <w:rFonts w:hint="eastAsia" w:asciiTheme="minorEastAsia" w:hAnsiTheme="minorEastAsia" w:eastAsiaTheme="minorEastAsia" w:cstheme="minorEastAsia"/>
          <w:sz w:val="24"/>
          <w:szCs w:val="24"/>
          <w:highlight w:val="none"/>
        </w:rPr>
        <w:t>题、故</w:t>
      </w:r>
      <w:r>
        <w:rPr>
          <w:rFonts w:hint="eastAsia" w:asciiTheme="minorEastAsia" w:hAnsiTheme="minorEastAsia" w:eastAsiaTheme="minorEastAsia" w:cstheme="minorEastAsia"/>
          <w:spacing w:val="4"/>
          <w:sz w:val="24"/>
          <w:szCs w:val="24"/>
          <w:highlight w:val="none"/>
        </w:rPr>
        <w:t>障</w:t>
      </w:r>
      <w:r>
        <w:rPr>
          <w:rFonts w:hint="eastAsia" w:asciiTheme="minorEastAsia" w:hAnsiTheme="minorEastAsia" w:eastAsiaTheme="minorEastAsia" w:cstheme="minorEastAsia"/>
          <w:sz w:val="24"/>
          <w:szCs w:val="24"/>
          <w:highlight w:val="none"/>
        </w:rPr>
        <w:t>在检修</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z w:val="24"/>
          <w:szCs w:val="24"/>
          <w:highlight w:val="none"/>
        </w:rPr>
        <w:t>工作</w:t>
      </w:r>
      <w:r>
        <w:rPr>
          <w:rFonts w:hint="eastAsia" w:asciiTheme="minorEastAsia" w:hAnsiTheme="minorEastAsia" w:eastAsiaTheme="minorEastAsia" w:cstheme="minorEastAsia"/>
          <w:spacing w:val="4"/>
          <w:sz w:val="24"/>
          <w:szCs w:val="24"/>
          <w:highlight w:val="none"/>
        </w:rPr>
        <w:t>日</w:t>
      </w:r>
      <w:r>
        <w:rPr>
          <w:rFonts w:hint="eastAsia" w:asciiTheme="minorEastAsia" w:hAnsiTheme="minorEastAsia" w:eastAsiaTheme="minorEastAsia" w:cstheme="minorEastAsia"/>
          <w:sz w:val="24"/>
          <w:szCs w:val="24"/>
          <w:highlight w:val="none"/>
        </w:rPr>
        <w:t>（小时</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后仍无</w:t>
      </w:r>
      <w:r>
        <w:rPr>
          <w:rFonts w:hint="eastAsia" w:asciiTheme="minorEastAsia" w:hAnsiTheme="minorEastAsia" w:eastAsiaTheme="minorEastAsia" w:cstheme="minorEastAsia"/>
          <w:spacing w:val="4"/>
          <w:sz w:val="24"/>
          <w:szCs w:val="24"/>
          <w:highlight w:val="none"/>
        </w:rPr>
        <w:t>法</w:t>
      </w:r>
      <w:r>
        <w:rPr>
          <w:rFonts w:hint="eastAsia" w:asciiTheme="minorEastAsia" w:hAnsiTheme="minorEastAsia" w:eastAsiaTheme="minorEastAsia" w:cstheme="minorEastAsia"/>
          <w:sz w:val="24"/>
          <w:szCs w:val="24"/>
          <w:highlight w:val="none"/>
        </w:rPr>
        <w:t>解决， 乙方应在</w:t>
      </w:r>
      <w:r>
        <w:rPr>
          <w:rFonts w:hint="eastAsia" w:asciiTheme="minorEastAsia" w:hAnsiTheme="minorEastAsia" w:eastAsiaTheme="minorEastAsia" w:cstheme="minorEastAsia"/>
          <w:spacing w:val="85"/>
          <w:sz w:val="24"/>
          <w:szCs w:val="24"/>
          <w:highlight w:val="none"/>
        </w:rPr>
        <w:t xml:space="preserve"> </w:t>
      </w:r>
      <w:r>
        <w:rPr>
          <w:rFonts w:hint="eastAsia" w:asciiTheme="minorEastAsia" w:hAnsiTheme="minorEastAsia" w:eastAsiaTheme="minorEastAsia" w:cstheme="minorEastAsia"/>
          <w:spacing w:val="-5"/>
          <w:sz w:val="24"/>
          <w:szCs w:val="24"/>
          <w:highlight w:val="none"/>
        </w:rPr>
        <w:t>日</w:t>
      </w:r>
      <w:r>
        <w:rPr>
          <w:rFonts w:hint="eastAsia" w:asciiTheme="minorEastAsia" w:hAnsiTheme="minorEastAsia" w:eastAsiaTheme="minorEastAsia" w:cstheme="minorEastAsia"/>
          <w:sz w:val="24"/>
          <w:szCs w:val="24"/>
          <w:highlight w:val="none"/>
        </w:rPr>
        <w:t>（小时</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z w:val="24"/>
          <w:szCs w:val="24"/>
          <w:highlight w:val="none"/>
        </w:rPr>
        <w:t>内免费提供不低于故障货物规格型号档次的备用货物供甲方使用</w:t>
      </w:r>
      <w:r>
        <w:rPr>
          <w:rFonts w:hint="eastAsia" w:asciiTheme="minorEastAsia" w:hAnsiTheme="minorEastAsia" w:eastAsiaTheme="minorEastAsia" w:cstheme="minorEastAsia"/>
          <w:spacing w:val="-5"/>
          <w:sz w:val="24"/>
          <w:szCs w:val="24"/>
          <w:highlight w:val="none"/>
        </w:rPr>
        <w:t>，</w:t>
      </w:r>
      <w:r>
        <w:rPr>
          <w:rFonts w:hint="eastAsia" w:asciiTheme="minorEastAsia" w:hAnsiTheme="minorEastAsia" w:eastAsiaTheme="minorEastAsia" w:cstheme="minorEastAsia"/>
          <w:sz w:val="24"/>
          <w:szCs w:val="24"/>
          <w:highlight w:val="none"/>
        </w:rPr>
        <w:t>直至故障货物修复。</w:t>
      </w:r>
    </w:p>
    <w:p w14:paraId="3DDF7FD1">
      <w:pPr>
        <w:pStyle w:val="49"/>
        <w:pageBreakBefore w:val="0"/>
        <w:widowControl w:val="0"/>
        <w:numPr>
          <w:ilvl w:val="0"/>
          <w:numId w:val="16"/>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乙方应当建立健全售后服务体系，确保货物正常运行。乙方应当遵守甲方的有关管理制度、操作规程。对于乙方违规操作造成甲方损失的，由乙方按照本合同第十二条的约定承担赔偿责任。</w:t>
      </w:r>
    </w:p>
    <w:p w14:paraId="0B9EA1E0">
      <w:pPr>
        <w:pStyle w:val="49"/>
        <w:pageBreakBefore w:val="0"/>
        <w:widowControl w:val="0"/>
        <w:numPr>
          <w:ilvl w:val="0"/>
          <w:numId w:val="16"/>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乙方应负责货物及主要部件、配件维修更换。质保期内，乙方对货物（人为故意损坏除外）</w:t>
      </w:r>
      <w:r>
        <w:rPr>
          <w:rFonts w:hint="eastAsia" w:asciiTheme="minorEastAsia" w:hAnsiTheme="minorEastAsia" w:eastAsiaTheme="minorEastAsia" w:cstheme="minorEastAsia"/>
          <w:spacing w:val="1"/>
          <w:sz w:val="24"/>
          <w:szCs w:val="24"/>
          <w:highlight w:val="none"/>
        </w:rPr>
        <w:t>提供全免费保修或免费更换；质保期后，收取维修成本费。</w:t>
      </w:r>
    </w:p>
    <w:p w14:paraId="77764441">
      <w:pPr>
        <w:pStyle w:val="49"/>
        <w:pageBreakBefore w:val="0"/>
        <w:widowControl w:val="0"/>
        <w:numPr>
          <w:ilvl w:val="0"/>
          <w:numId w:val="0"/>
        </w:numPr>
        <w:tabs>
          <w:tab w:val="left" w:pos="1032"/>
        </w:tabs>
        <w:kinsoku/>
        <w:wordWrap/>
        <w:overflowPunct/>
        <w:topLinePunct w:val="0"/>
        <w:autoSpaceDE/>
        <w:autoSpaceDN/>
        <w:bidi w:val="0"/>
        <w:adjustRightInd/>
        <w:snapToGrid/>
        <w:spacing w:before="0" w:after="0" w:line="500" w:lineRule="exact"/>
        <w:ind w:left="820" w:leftChars="0" w:right="340" w:rightChars="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第十一条 分包和转包</w:t>
      </w:r>
    </w:p>
    <w:p w14:paraId="3911DBD8">
      <w:pPr>
        <w:pStyle w:val="10"/>
        <w:pageBreakBefore w:val="0"/>
        <w:widowControl w:val="0"/>
        <w:kinsoku/>
        <w:wordWrap/>
        <w:overflowPunct/>
        <w:topLinePunct w:val="0"/>
        <w:autoSpaceDE/>
        <w:autoSpaceDN/>
        <w:bidi w:val="0"/>
        <w:adjustRightInd/>
        <w:snapToGrid/>
        <w:spacing w:line="500" w:lineRule="exact"/>
        <w:ind w:left="400" w:right="635" w:firstLine="420"/>
        <w:textAlignment w:val="auto"/>
        <w:rPr>
          <w:rFonts w:hint="eastAsia" w:asciiTheme="minorEastAsia" w:hAnsiTheme="minorEastAsia" w:eastAsiaTheme="minorEastAsia" w:cstheme="minorEastAsia"/>
          <w:w w:val="95"/>
          <w:sz w:val="24"/>
          <w:szCs w:val="24"/>
          <w:highlight w:val="none"/>
        </w:rPr>
      </w:pPr>
      <w:r>
        <w:rPr>
          <w:rFonts w:hint="eastAsia" w:asciiTheme="minorEastAsia" w:hAnsiTheme="minorEastAsia" w:eastAsiaTheme="minorEastAsia" w:cstheme="minorEastAsia"/>
          <w:kern w:val="2"/>
          <w:sz w:val="24"/>
          <w:szCs w:val="24"/>
          <w:highlight w:val="none"/>
          <w:lang w:val="zh-CN" w:eastAsia="zh-CN" w:bidi="zh-CN"/>
        </w:rPr>
        <w:t xml:space="preserve">除采购文件事先说明、且经甲方事先书面同意外，乙方不得分包、转包其应履行的合同义务。 </w:t>
      </w:r>
      <w:r>
        <w:rPr>
          <w:rFonts w:hint="eastAsia" w:asciiTheme="minorEastAsia" w:hAnsiTheme="minorEastAsia" w:eastAsiaTheme="minorEastAsia" w:cstheme="minorEastAsia"/>
          <w:w w:val="95"/>
          <w:sz w:val="24"/>
          <w:szCs w:val="24"/>
          <w:highlight w:val="none"/>
        </w:rPr>
        <w:t xml:space="preserve">  </w:t>
      </w:r>
    </w:p>
    <w:p w14:paraId="71242471">
      <w:pPr>
        <w:pStyle w:val="10"/>
        <w:pageBreakBefore w:val="0"/>
        <w:widowControl w:val="0"/>
        <w:kinsoku/>
        <w:wordWrap/>
        <w:overflowPunct/>
        <w:topLinePunct w:val="0"/>
        <w:autoSpaceDE/>
        <w:autoSpaceDN/>
        <w:bidi w:val="0"/>
        <w:adjustRightInd/>
        <w:snapToGrid/>
        <w:spacing w:line="500" w:lineRule="exact"/>
        <w:ind w:right="635" w:firstLine="478"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pacing w:val="-1"/>
          <w:sz w:val="24"/>
          <w:szCs w:val="24"/>
          <w:highlight w:val="none"/>
        </w:rPr>
        <w:t>第十二条 合同的生效</w:t>
      </w:r>
    </w:p>
    <w:p w14:paraId="3F1F5FC8">
      <w:pPr>
        <w:pStyle w:val="49"/>
        <w:pageBreakBefore w:val="0"/>
        <w:widowControl w:val="0"/>
        <w:numPr>
          <w:ilvl w:val="0"/>
          <w:numId w:val="17"/>
        </w:numPr>
        <w:tabs>
          <w:tab w:val="left" w:pos="1032"/>
        </w:tabs>
        <w:kinsoku/>
        <w:wordWrap/>
        <w:overflowPunct/>
        <w:topLinePunct w:val="0"/>
        <w:autoSpaceDE/>
        <w:autoSpaceDN/>
        <w:bidi w:val="0"/>
        <w:adjustRightInd/>
        <w:snapToGrid/>
        <w:spacing w:before="42"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本合同经甲乙双方或授权代表签订并加盖公章或合同专用章后生效。</w:t>
      </w:r>
    </w:p>
    <w:p w14:paraId="39D64E29">
      <w:pPr>
        <w:pStyle w:val="49"/>
        <w:pageBreakBefore w:val="0"/>
        <w:widowControl w:val="0"/>
        <w:numPr>
          <w:ilvl w:val="0"/>
          <w:numId w:val="17"/>
        </w:numPr>
        <w:tabs>
          <w:tab w:val="left" w:pos="1032"/>
        </w:tabs>
        <w:kinsoku/>
        <w:wordWrap/>
        <w:overflowPunct/>
        <w:topLinePunct w:val="0"/>
        <w:autoSpaceDE/>
        <w:autoSpaceDN/>
        <w:bidi w:val="0"/>
        <w:adjustRightInd/>
        <w:snapToGrid/>
        <w:spacing w:before="138" w:after="0" w:line="500" w:lineRule="exact"/>
        <w:ind w:left="400" w:right="337"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 xml:space="preserve">生效后，除《中华人民共和国政府采购法》第 </w:t>
      </w:r>
      <w:r>
        <w:rPr>
          <w:rFonts w:hint="eastAsia" w:asciiTheme="minorEastAsia" w:hAnsiTheme="minorEastAsia" w:eastAsiaTheme="minorEastAsia" w:cstheme="minorEastAsia"/>
          <w:sz w:val="24"/>
          <w:szCs w:val="24"/>
          <w:highlight w:val="none"/>
        </w:rPr>
        <w:t>49</w:t>
      </w:r>
      <w:r>
        <w:rPr>
          <w:rFonts w:hint="eastAsia" w:asciiTheme="minorEastAsia" w:hAnsiTheme="minorEastAsia" w:eastAsiaTheme="minorEastAsia" w:cstheme="minorEastAsia"/>
          <w:spacing w:val="-20"/>
          <w:sz w:val="24"/>
          <w:szCs w:val="24"/>
          <w:highlight w:val="none"/>
        </w:rPr>
        <w:t xml:space="preserve"> 条、第 </w:t>
      </w:r>
      <w:r>
        <w:rPr>
          <w:rFonts w:hint="eastAsia" w:asciiTheme="minorEastAsia" w:hAnsiTheme="minorEastAsia" w:eastAsiaTheme="minorEastAsia" w:cstheme="minorEastAsia"/>
          <w:sz w:val="24"/>
          <w:szCs w:val="24"/>
          <w:highlight w:val="none"/>
        </w:rPr>
        <w:t>50</w:t>
      </w:r>
      <w:r>
        <w:rPr>
          <w:rFonts w:hint="eastAsia" w:asciiTheme="minorEastAsia" w:hAnsiTheme="minorEastAsia" w:eastAsiaTheme="minorEastAsia" w:cstheme="minorEastAsia"/>
          <w:spacing w:val="-6"/>
          <w:sz w:val="24"/>
          <w:szCs w:val="24"/>
          <w:highlight w:val="none"/>
        </w:rPr>
        <w:t xml:space="preserve"> 条第二款规定的情形外，甲乙双方不得擅自变更、中止或终止合同。</w:t>
      </w:r>
    </w:p>
    <w:p w14:paraId="516601F8">
      <w:pPr>
        <w:pStyle w:val="5"/>
        <w:pageBreakBefore w:val="0"/>
        <w:widowControl w:val="0"/>
        <w:kinsoku/>
        <w:wordWrap/>
        <w:overflowPunct/>
        <w:topLinePunct w:val="0"/>
        <w:autoSpaceDE/>
        <w:autoSpaceDN/>
        <w:bidi w:val="0"/>
        <w:adjustRightInd/>
        <w:snapToGrid/>
        <w:spacing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第十三条 违约责任</w:t>
      </w:r>
    </w:p>
    <w:p w14:paraId="6A6FC9F6">
      <w:pPr>
        <w:pStyle w:val="49"/>
        <w:pageBreakBefore w:val="0"/>
        <w:widowControl w:val="0"/>
        <w:numPr>
          <w:ilvl w:val="0"/>
          <w:numId w:val="18"/>
        </w:numPr>
        <w:tabs>
          <w:tab w:val="left" w:pos="1032"/>
        </w:tabs>
        <w:kinsoku/>
        <w:wordWrap/>
        <w:overflowPunct/>
        <w:topLinePunct w:val="0"/>
        <w:autoSpaceDE/>
        <w:autoSpaceDN/>
        <w:bidi w:val="0"/>
        <w:adjustRightInd/>
        <w:snapToGrid/>
        <w:spacing w:before="139" w:after="0" w:line="500" w:lineRule="exact"/>
        <w:ind w:left="400" w:right="339"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乙方所交付的货物不符合本合同规定的，甲方有权拒收，乙方在得到甲方通知之日起</w:t>
      </w:r>
      <w:r>
        <w:rPr>
          <w:rFonts w:hint="eastAsia" w:asciiTheme="minorEastAsia" w:hAnsiTheme="minorEastAsia" w:eastAsiaTheme="minorEastAsia" w:cstheme="minorEastAsia"/>
          <w:spacing w:val="13"/>
          <w:sz w:val="24"/>
          <w:szCs w:val="24"/>
          <w:highlight w:val="none"/>
        </w:rPr>
        <w:t xml:space="preserve"> 个工作日内</w:t>
      </w:r>
      <w:r>
        <w:rPr>
          <w:rFonts w:hint="eastAsia" w:asciiTheme="minorEastAsia" w:hAnsiTheme="minorEastAsia" w:eastAsiaTheme="minorEastAsia" w:cstheme="minorEastAsia"/>
          <w:sz w:val="24"/>
          <w:szCs w:val="24"/>
          <w:highlight w:val="none"/>
        </w:rPr>
        <w:t>采取补救措施，逾期仍未采取有效措施的，甲方有权要求乙方赔偿因此造成的损失或扣留履约保证金；同时乙方应向甲方支付合同总价</w:t>
      </w:r>
      <w:r>
        <w:rPr>
          <w:rFonts w:hint="eastAsia" w:asciiTheme="minorEastAsia" w:hAnsiTheme="minorEastAsia" w:eastAsiaTheme="minorEastAsia" w:cstheme="minorEastAsia"/>
          <w:spacing w:val="13"/>
          <w:sz w:val="24"/>
          <w:szCs w:val="24"/>
          <w:highlight w:val="none"/>
        </w:rPr>
        <w:t xml:space="preserve"> ％的违约金。</w:t>
      </w:r>
    </w:p>
    <w:p w14:paraId="58BBC73A">
      <w:pPr>
        <w:pStyle w:val="49"/>
        <w:pageBreakBefore w:val="0"/>
        <w:widowControl w:val="0"/>
        <w:numPr>
          <w:ilvl w:val="0"/>
          <w:numId w:val="18"/>
        </w:numPr>
        <w:tabs>
          <w:tab w:val="left" w:pos="1032"/>
          <w:tab w:val="left" w:pos="7645"/>
        </w:tabs>
        <w:kinsoku/>
        <w:wordWrap/>
        <w:overflowPunct/>
        <w:topLinePunct w:val="0"/>
        <w:autoSpaceDE/>
        <w:autoSpaceDN/>
        <w:bidi w:val="0"/>
        <w:adjustRightInd/>
        <w:snapToGrid/>
        <w:spacing w:before="0"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甲方无正当理由拒收货物、拒付货款的，甲方应向乙方偿付拒付货款</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％的违约金。</w:t>
      </w:r>
    </w:p>
    <w:p w14:paraId="23EAE3CF">
      <w:pPr>
        <w:pStyle w:val="49"/>
        <w:pageBreakBefore w:val="0"/>
        <w:widowControl w:val="0"/>
        <w:numPr>
          <w:ilvl w:val="0"/>
          <w:numId w:val="18"/>
        </w:numPr>
        <w:tabs>
          <w:tab w:val="left" w:pos="1032"/>
          <w:tab w:val="left" w:pos="2994"/>
          <w:tab w:val="left" w:pos="9517"/>
        </w:tabs>
        <w:kinsoku/>
        <w:wordWrap/>
        <w:overflowPunct/>
        <w:topLinePunct w:val="0"/>
        <w:autoSpaceDE/>
        <w:autoSpaceDN/>
        <w:bidi w:val="0"/>
        <w:adjustRightInd/>
        <w:snapToGrid/>
        <w:spacing w:before="139" w:after="0" w:line="500" w:lineRule="exact"/>
        <w:ind w:left="400" w:right="234"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乙方无正当理由逾期交付货物的</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z w:val="24"/>
          <w:szCs w:val="24"/>
          <w:highlight w:val="none"/>
        </w:rPr>
        <w:t>每逾期</w:t>
      </w:r>
      <w:r>
        <w:rPr>
          <w:rFonts w:hint="eastAsia" w:asciiTheme="minorEastAsia" w:hAnsiTheme="minorEastAsia" w:eastAsiaTheme="minorEastAsia" w:cstheme="minorEastAsia"/>
          <w:spacing w:val="-58"/>
          <w:sz w:val="24"/>
          <w:szCs w:val="24"/>
          <w:highlight w:val="none"/>
        </w:rPr>
        <w:t xml:space="preserve"> </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pacing w:val="-56"/>
          <w:sz w:val="24"/>
          <w:szCs w:val="24"/>
          <w:highlight w:val="none"/>
        </w:rPr>
        <w:t xml:space="preserve"> </w:t>
      </w:r>
      <w:r>
        <w:rPr>
          <w:rFonts w:hint="eastAsia" w:asciiTheme="minorEastAsia" w:hAnsiTheme="minorEastAsia" w:eastAsiaTheme="minorEastAsia" w:cstheme="minorEastAsia"/>
          <w:sz w:val="24"/>
          <w:szCs w:val="24"/>
          <w:highlight w:val="none"/>
        </w:rPr>
        <w:t>天</w:t>
      </w:r>
      <w:r>
        <w:rPr>
          <w:rFonts w:hint="eastAsia" w:asciiTheme="minorEastAsia" w:hAnsiTheme="minorEastAsia" w:eastAsiaTheme="minorEastAsia" w:cstheme="minorEastAsia"/>
          <w:spacing w:val="-10"/>
          <w:sz w:val="24"/>
          <w:szCs w:val="24"/>
          <w:highlight w:val="none"/>
        </w:rPr>
        <w:t>，</w:t>
      </w:r>
      <w:r>
        <w:rPr>
          <w:rFonts w:hint="eastAsia" w:asciiTheme="minorEastAsia" w:hAnsiTheme="minorEastAsia" w:eastAsiaTheme="minorEastAsia" w:cstheme="minorEastAsia"/>
          <w:sz w:val="24"/>
          <w:szCs w:val="24"/>
          <w:highlight w:val="none"/>
        </w:rPr>
        <w:t>乙方向甲方偿付逾期交货部分货款总额的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‰的违约金</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rPr>
        <w:t>如乙方逾期交货达</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2"/>
          <w:sz w:val="24"/>
          <w:szCs w:val="24"/>
          <w:highlight w:val="none"/>
        </w:rPr>
        <w:t xml:space="preserve">天，甲方有权解除合同，甲方解除合同的通知自到达乙方时生效。在此情况下， </w:t>
      </w:r>
      <w:r>
        <w:rPr>
          <w:rFonts w:hint="eastAsia" w:asciiTheme="minorEastAsia" w:hAnsiTheme="minorEastAsia" w:eastAsiaTheme="minorEastAsia" w:cstheme="minorEastAsia"/>
          <w:w w:val="95"/>
          <w:sz w:val="24"/>
          <w:szCs w:val="24"/>
          <w:highlight w:val="none"/>
        </w:rPr>
        <w:t xml:space="preserve"> </w:t>
      </w:r>
      <w:r>
        <w:rPr>
          <w:rFonts w:hint="eastAsia" w:asciiTheme="minorEastAsia" w:hAnsiTheme="minorEastAsia" w:eastAsiaTheme="minorEastAsia" w:cstheme="minorEastAsia"/>
          <w:sz w:val="24"/>
          <w:szCs w:val="24"/>
          <w:highlight w:val="none"/>
        </w:rPr>
        <w:t>乙方给甲方造成的实际损失高于违约金的，对高出违约金的部分乙方应予以赔偿。</w:t>
      </w:r>
    </w:p>
    <w:p w14:paraId="718BAE11">
      <w:pPr>
        <w:pStyle w:val="49"/>
        <w:pageBreakBefore w:val="0"/>
        <w:widowControl w:val="0"/>
        <w:numPr>
          <w:ilvl w:val="0"/>
          <w:numId w:val="18"/>
        </w:numPr>
        <w:tabs>
          <w:tab w:val="left" w:pos="1032"/>
          <w:tab w:val="left" w:pos="4074"/>
          <w:tab w:val="left" w:pos="9114"/>
        </w:tabs>
        <w:kinsoku/>
        <w:wordWrap/>
        <w:overflowPunct/>
        <w:topLinePunct w:val="0"/>
        <w:autoSpaceDE/>
        <w:autoSpaceDN/>
        <w:bidi w:val="0"/>
        <w:adjustRightInd/>
        <w:snapToGrid/>
        <w:spacing w:before="0" w:after="0" w:line="500" w:lineRule="exact"/>
        <w:ind w:left="400" w:right="318"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甲方未按合同规定的期限向乙方支付货款的，每逾期</w:t>
      </w:r>
      <w:r>
        <w:rPr>
          <w:rFonts w:hint="eastAsia" w:asciiTheme="minorEastAsia" w:hAnsiTheme="minorEastAsia" w:eastAsiaTheme="minorEastAsia" w:cstheme="minorEastAsia"/>
          <w:spacing w:val="-54"/>
          <w:sz w:val="24"/>
          <w:szCs w:val="24"/>
          <w:highlight w:val="none"/>
        </w:rPr>
        <w:t xml:space="preserve"> </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pacing w:val="-58"/>
          <w:sz w:val="24"/>
          <w:szCs w:val="24"/>
          <w:highlight w:val="none"/>
        </w:rPr>
        <w:t xml:space="preserve"> </w:t>
      </w:r>
      <w:r>
        <w:rPr>
          <w:rFonts w:hint="eastAsia" w:asciiTheme="minorEastAsia" w:hAnsiTheme="minorEastAsia" w:eastAsiaTheme="minorEastAsia" w:cstheme="minorEastAsia"/>
          <w:sz w:val="24"/>
          <w:szCs w:val="24"/>
          <w:highlight w:val="none"/>
        </w:rPr>
        <w:t>天甲方向乙方偿付欠款总额的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‰违约金</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z w:val="24"/>
          <w:szCs w:val="24"/>
          <w:highlight w:val="none"/>
        </w:rPr>
        <w:t>但累计违约金总额不超过欠款总额的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3D86B994">
      <w:pPr>
        <w:pStyle w:val="49"/>
        <w:pageBreakBefore w:val="0"/>
        <w:widowControl w:val="0"/>
        <w:numPr>
          <w:ilvl w:val="0"/>
          <w:numId w:val="18"/>
        </w:numPr>
        <w:tabs>
          <w:tab w:val="left" w:pos="1032"/>
        </w:tabs>
        <w:kinsoku/>
        <w:wordWrap/>
        <w:overflowPunct/>
        <w:topLinePunct w:val="0"/>
        <w:autoSpaceDE/>
        <w:autoSpaceDN/>
        <w:bidi w:val="0"/>
        <w:adjustRightInd/>
        <w:snapToGrid/>
        <w:spacing w:before="0" w:after="0" w:line="500" w:lineRule="exact"/>
        <w:ind w:left="400" w:right="337"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在乙方承诺的或国家规定的质量保证期内（取两者中最长的期限</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，如经乙方两次维修，货物仍不</w:t>
      </w:r>
      <w:r>
        <w:rPr>
          <w:rFonts w:hint="eastAsia" w:asciiTheme="minorEastAsia" w:hAnsiTheme="minorEastAsia" w:eastAsiaTheme="minorEastAsia" w:cstheme="minorEastAsia"/>
          <w:spacing w:val="-2"/>
          <w:sz w:val="24"/>
          <w:szCs w:val="24"/>
          <w:highlight w:val="none"/>
        </w:rPr>
        <w:t xml:space="preserve">能达到合同约定的质量要求、运行效果的，甲方有权要求乙方更换为全新合格货物并按本条第 </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pacing w:val="-9"/>
          <w:sz w:val="24"/>
          <w:szCs w:val="24"/>
          <w:highlight w:val="none"/>
        </w:rPr>
        <w:t xml:space="preserve"> 款处理， 同时，乙方还须赔偿甲方因此遭受的损失。</w:t>
      </w:r>
    </w:p>
    <w:p w14:paraId="1448349C">
      <w:pPr>
        <w:pStyle w:val="49"/>
        <w:pageBreakBefore w:val="0"/>
        <w:widowControl w:val="0"/>
        <w:numPr>
          <w:ilvl w:val="0"/>
          <w:numId w:val="18"/>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因乙方原因导致违约、本合同无法履行等情形造成甲方损失的，乙方除承担违约责任外还应支付甲方一切相关费用，包括但不限于诉讼费、保全费、鉴定费、律师费、交通费。</w:t>
      </w:r>
    </w:p>
    <w:p w14:paraId="4979B1EE">
      <w:pPr>
        <w:pStyle w:val="49"/>
        <w:pageBreakBefore w:val="0"/>
        <w:widowControl w:val="0"/>
        <w:numPr>
          <w:ilvl w:val="0"/>
          <w:numId w:val="18"/>
        </w:numPr>
        <w:tabs>
          <w:tab w:val="left" w:pos="1032"/>
        </w:tabs>
        <w:kinsoku/>
        <w:wordWrap/>
        <w:overflowPunct/>
        <w:topLinePunct w:val="0"/>
        <w:autoSpaceDE/>
        <w:autoSpaceDN/>
        <w:bidi w:val="0"/>
        <w:adjustRightInd/>
        <w:snapToGrid/>
        <w:spacing w:before="0"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其它未尽事宜，以《</w:t>
      </w:r>
      <w:r>
        <w:rPr>
          <w:rFonts w:hint="eastAsia" w:asciiTheme="minorEastAsia" w:hAnsiTheme="minorEastAsia" w:eastAsiaTheme="minorEastAsia" w:cstheme="minorEastAsia"/>
          <w:sz w:val="24"/>
          <w:szCs w:val="24"/>
          <w:highlight w:val="none"/>
          <w:lang w:eastAsia="zh-CN"/>
        </w:rPr>
        <w:t>民法典</w:t>
      </w:r>
      <w:r>
        <w:rPr>
          <w:rFonts w:hint="eastAsia" w:asciiTheme="minorEastAsia" w:hAnsiTheme="minorEastAsia" w:eastAsiaTheme="minorEastAsia" w:cstheme="minorEastAsia"/>
          <w:sz w:val="24"/>
          <w:szCs w:val="24"/>
          <w:highlight w:val="none"/>
        </w:rPr>
        <w:t>》和《中华人民共和国政府采购法》等有关法律法规规定为准，无相关规定的，双方协商解决。</w:t>
      </w:r>
    </w:p>
    <w:p w14:paraId="7F4AAA9C">
      <w:pPr>
        <w:pStyle w:val="5"/>
        <w:pageBreakBefore w:val="0"/>
        <w:widowControl w:val="0"/>
        <w:kinsoku/>
        <w:wordWrap/>
        <w:overflowPunct/>
        <w:topLinePunct w:val="0"/>
        <w:autoSpaceDE/>
        <w:autoSpaceDN/>
        <w:bidi w:val="0"/>
        <w:adjustRightInd/>
        <w:snapToGrid/>
        <w:spacing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第十四条 不可抗力</w:t>
      </w:r>
    </w:p>
    <w:p w14:paraId="33DA944E">
      <w:pPr>
        <w:pStyle w:val="10"/>
        <w:pageBreakBefore w:val="0"/>
        <w:widowControl w:val="0"/>
        <w:kinsoku/>
        <w:wordWrap/>
        <w:overflowPunct/>
        <w:topLinePunct w:val="0"/>
        <w:autoSpaceDE/>
        <w:autoSpaceDN/>
        <w:bidi w:val="0"/>
        <w:adjustRightInd/>
        <w:snapToGrid/>
        <w:spacing w:before="135" w:line="500" w:lineRule="exact"/>
        <w:ind w:left="400" w:right="339" w:firstLine="4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甲、乙方中任何一方，因不可抗力不能按时或完全履行合同的，应及时通知对方，并在</w:t>
      </w:r>
      <w:r>
        <w:rPr>
          <w:rFonts w:hint="eastAsia" w:asciiTheme="minorEastAsia" w:hAnsiTheme="minorEastAsia" w:eastAsiaTheme="minorEastAsia" w:cstheme="minorEastAsia"/>
          <w:spacing w:val="82"/>
          <w:sz w:val="24"/>
          <w:szCs w:val="24"/>
          <w:highlight w:val="none"/>
          <w:u w:val="single"/>
        </w:rPr>
        <w:t xml:space="preserve"> </w:t>
      </w:r>
      <w:r>
        <w:rPr>
          <w:rFonts w:hint="eastAsia" w:asciiTheme="minorEastAsia" w:hAnsiTheme="minorEastAsia" w:eastAsiaTheme="minorEastAsia" w:cstheme="minorEastAsia"/>
          <w:sz w:val="24"/>
          <w:szCs w:val="24"/>
          <w:highlight w:val="none"/>
        </w:rPr>
        <w:t>个工作日内提供相应证明。未履行完合同部分是否继续履行、如何履行等问题，可由双方初步协商，并向主管部门和政府采购管理部门报告。确定为不可抗力原因造成的损失，免予承担责任。</w:t>
      </w:r>
    </w:p>
    <w:p w14:paraId="3C7FAF57">
      <w:pPr>
        <w:pStyle w:val="10"/>
        <w:pageBreakBefore w:val="0"/>
        <w:widowControl w:val="0"/>
        <w:kinsoku/>
        <w:wordWrap/>
        <w:overflowPunct/>
        <w:topLinePunct w:val="0"/>
        <w:autoSpaceDE/>
        <w:autoSpaceDN/>
        <w:bidi w:val="0"/>
        <w:adjustRightInd/>
        <w:snapToGrid/>
        <w:spacing w:line="500" w:lineRule="exact"/>
        <w:ind w:left="82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第十五条 争议的解决方式</w:t>
      </w:r>
    </w:p>
    <w:p w14:paraId="638EBEBD">
      <w:pPr>
        <w:pStyle w:val="49"/>
        <w:pageBreakBefore w:val="0"/>
        <w:widowControl w:val="0"/>
        <w:numPr>
          <w:ilvl w:val="0"/>
          <w:numId w:val="19"/>
        </w:numPr>
        <w:tabs>
          <w:tab w:val="left" w:pos="1032"/>
        </w:tabs>
        <w:kinsoku/>
        <w:wordWrap/>
        <w:overflowPunct/>
        <w:topLinePunct w:val="0"/>
        <w:autoSpaceDE/>
        <w:autoSpaceDN/>
        <w:bidi w:val="0"/>
        <w:adjustRightInd/>
        <w:snapToGrid/>
        <w:spacing w:before="139" w:after="0" w:line="500" w:lineRule="exact"/>
        <w:ind w:left="400" w:right="340"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因货物的质量问题发生争议的，应当邀请国家认可的质量检测机构对货物质量进行鉴定。货物符合标准的，鉴定费由甲方承担；货物不符合质量要求的，鉴定费由乙方承担。</w:t>
      </w:r>
    </w:p>
    <w:p w14:paraId="4732824C">
      <w:pPr>
        <w:pStyle w:val="49"/>
        <w:pageBreakBefore w:val="0"/>
        <w:widowControl w:val="0"/>
        <w:numPr>
          <w:ilvl w:val="0"/>
          <w:numId w:val="19"/>
        </w:numPr>
        <w:tabs>
          <w:tab w:val="left" w:pos="1032"/>
        </w:tabs>
        <w:kinsoku/>
        <w:wordWrap/>
        <w:overflowPunct/>
        <w:topLinePunct w:val="0"/>
        <w:autoSpaceDE/>
        <w:autoSpaceDN/>
        <w:bidi w:val="0"/>
        <w:adjustRightInd/>
        <w:snapToGrid/>
        <w:spacing w:before="0"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在解释或者执行本合同的过程中发生争议时，双方应通过协商方式解决。</w:t>
      </w:r>
    </w:p>
    <w:p w14:paraId="0CBA8813">
      <w:pPr>
        <w:pStyle w:val="49"/>
        <w:pageBreakBefore w:val="0"/>
        <w:widowControl w:val="0"/>
        <w:numPr>
          <w:ilvl w:val="0"/>
          <w:numId w:val="19"/>
        </w:numPr>
        <w:tabs>
          <w:tab w:val="left" w:pos="1032"/>
          <w:tab w:val="left" w:pos="5334"/>
        </w:tabs>
        <w:kinsoku/>
        <w:wordWrap/>
        <w:overflowPunct/>
        <w:topLinePunct w:val="0"/>
        <w:autoSpaceDE/>
        <w:autoSpaceDN/>
        <w:bidi w:val="0"/>
        <w:adjustRightInd/>
        <w:snapToGrid/>
        <w:spacing w:before="139" w:after="0" w:line="500" w:lineRule="exact"/>
        <w:ind w:left="1031" w:right="0" w:hanging="21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经协商不能解决的争议，双方可选择以下第</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种方式解决：</w:t>
      </w:r>
    </w:p>
    <w:p w14:paraId="7FDBCC34">
      <w:pPr>
        <w:pStyle w:val="10"/>
        <w:pageBreakBefore w:val="0"/>
        <w:widowControl w:val="0"/>
        <w:kinsoku/>
        <w:wordWrap/>
        <w:overflowPunct/>
        <w:topLinePunct w:val="0"/>
        <w:autoSpaceDE/>
        <w:autoSpaceDN/>
        <w:bidi w:val="0"/>
        <w:adjustRightInd/>
        <w:snapToGrid/>
        <w:spacing w:before="139" w:line="500" w:lineRule="exact"/>
        <w:ind w:left="8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①向</w:t>
      </w:r>
      <w:r>
        <w:rPr>
          <w:rFonts w:hint="eastAsia" w:asciiTheme="minorEastAsia" w:hAnsiTheme="minorEastAsia" w:eastAsiaTheme="minorEastAsia" w:cstheme="minorEastAsia"/>
          <w:sz w:val="24"/>
          <w:szCs w:val="24"/>
          <w:highlight w:val="none"/>
          <w:u w:val="single"/>
        </w:rPr>
        <w:t>项目所在地</w:t>
      </w:r>
      <w:r>
        <w:rPr>
          <w:rFonts w:hint="eastAsia" w:asciiTheme="minorEastAsia" w:hAnsiTheme="minorEastAsia" w:eastAsiaTheme="minorEastAsia" w:cstheme="minorEastAsia"/>
          <w:sz w:val="24"/>
          <w:szCs w:val="24"/>
          <w:highlight w:val="none"/>
        </w:rPr>
        <w:t>有管辖权的法院提起诉讼；</w:t>
      </w:r>
    </w:p>
    <w:p w14:paraId="792877C4">
      <w:pPr>
        <w:pStyle w:val="10"/>
        <w:pageBreakBefore w:val="0"/>
        <w:widowControl w:val="0"/>
        <w:tabs>
          <w:tab w:val="left" w:pos="1868"/>
        </w:tabs>
        <w:kinsoku/>
        <w:wordWrap/>
        <w:overflowPunct/>
        <w:topLinePunct w:val="0"/>
        <w:autoSpaceDE/>
        <w:autoSpaceDN/>
        <w:bidi w:val="0"/>
        <w:adjustRightInd/>
        <w:snapToGrid/>
        <w:spacing w:before="141" w:line="500" w:lineRule="exact"/>
        <w:ind w:left="8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②向</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仲裁委员会提出仲裁。</w:t>
      </w:r>
    </w:p>
    <w:p w14:paraId="48C6342C">
      <w:pPr>
        <w:pStyle w:val="49"/>
        <w:pageBreakBefore w:val="0"/>
        <w:widowControl w:val="0"/>
        <w:numPr>
          <w:ilvl w:val="0"/>
          <w:numId w:val="19"/>
        </w:numPr>
        <w:tabs>
          <w:tab w:val="left" w:pos="1032"/>
        </w:tabs>
        <w:kinsoku/>
        <w:wordWrap/>
        <w:overflowPunct/>
        <w:topLinePunct w:val="0"/>
        <w:autoSpaceDE/>
        <w:autoSpaceDN/>
        <w:bidi w:val="0"/>
        <w:adjustRightInd/>
        <w:snapToGrid/>
        <w:spacing w:before="139" w:after="0" w:line="500" w:lineRule="exact"/>
        <w:ind w:left="400" w:right="426" w:firstLine="42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在法院审理和仲裁期间，除有争议部分外，本合同其他部分可以履行的仍应按合同条款继续履行。</w:t>
      </w:r>
      <w:r>
        <w:rPr>
          <w:rFonts w:hint="eastAsia" w:asciiTheme="minorEastAsia" w:hAnsiTheme="minorEastAsia" w:eastAsiaTheme="minorEastAsia" w:cstheme="minorEastAsia"/>
          <w:w w:val="95"/>
          <w:sz w:val="24"/>
          <w:szCs w:val="24"/>
          <w:highlight w:val="none"/>
        </w:rPr>
        <w:t xml:space="preserve">   </w:t>
      </w:r>
    </w:p>
    <w:p w14:paraId="2F713F35">
      <w:pPr>
        <w:pStyle w:val="49"/>
        <w:pageBreakBefore w:val="0"/>
        <w:widowControl w:val="0"/>
        <w:numPr>
          <w:ilvl w:val="0"/>
          <w:numId w:val="0"/>
        </w:numPr>
        <w:tabs>
          <w:tab w:val="left" w:pos="1032"/>
        </w:tabs>
        <w:kinsoku/>
        <w:wordWrap/>
        <w:overflowPunct/>
        <w:topLinePunct w:val="0"/>
        <w:autoSpaceDE/>
        <w:autoSpaceDN/>
        <w:bidi w:val="0"/>
        <w:adjustRightInd/>
        <w:snapToGrid/>
        <w:spacing w:before="139" w:after="0" w:line="500" w:lineRule="exact"/>
        <w:ind w:left="820" w:leftChars="0" w:right="426" w:rightChars="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pacing w:val="-1"/>
          <w:sz w:val="24"/>
          <w:szCs w:val="24"/>
          <w:highlight w:val="none"/>
        </w:rPr>
        <w:t>第十六条 其他</w:t>
      </w:r>
    </w:p>
    <w:p w14:paraId="38182733">
      <w:pPr>
        <w:pStyle w:val="10"/>
        <w:pageBreakBefore w:val="0"/>
        <w:widowControl w:val="0"/>
        <w:kinsoku/>
        <w:wordWrap/>
        <w:overflowPunct/>
        <w:topLinePunct w:val="0"/>
        <w:autoSpaceDE/>
        <w:autoSpaceDN/>
        <w:bidi w:val="0"/>
        <w:adjustRightInd/>
        <w:snapToGrid/>
        <w:spacing w:line="500" w:lineRule="exact"/>
        <w:ind w:left="8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符合《中华人民共和国政府采购法》规定的，经双方协商，办理政府采购手续后，可签订</w:t>
      </w:r>
      <w:r>
        <w:rPr>
          <w:rFonts w:hint="eastAsia" w:asciiTheme="minorEastAsia" w:hAnsiTheme="minorEastAsia" w:eastAsiaTheme="minorEastAsia" w:cstheme="minorEastAsia"/>
          <w:kern w:val="2"/>
          <w:sz w:val="24"/>
          <w:szCs w:val="24"/>
          <w:highlight w:val="none"/>
          <w:lang w:val="zh-CN" w:eastAsia="zh-CN" w:bidi="zh-CN"/>
        </w:rPr>
        <w:t>补充合同，所签订的补充合同与本合同具有同等法律效力。</w:t>
      </w:r>
      <w:r>
        <w:rPr>
          <w:rFonts w:hint="eastAsia" w:asciiTheme="minorEastAsia" w:hAnsiTheme="minorEastAsia" w:eastAsiaTheme="minorEastAsia" w:cstheme="minorEastAsia"/>
          <w:w w:val="95"/>
          <w:sz w:val="24"/>
          <w:szCs w:val="24"/>
          <w:highlight w:val="none"/>
        </w:rPr>
        <w:t xml:space="preserve"> </w:t>
      </w:r>
      <w:r>
        <w:rPr>
          <w:rFonts w:hint="eastAsia" w:asciiTheme="minorEastAsia" w:hAnsiTheme="minorEastAsia" w:eastAsiaTheme="minorEastAsia" w:cstheme="minorEastAsia"/>
          <w:sz w:val="24"/>
          <w:szCs w:val="24"/>
          <w:highlight w:val="none"/>
        </w:rPr>
        <w:t>本合同一式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份，甲、乙双方各执</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份。</w:t>
      </w:r>
    </w:p>
    <w:p w14:paraId="215119AE">
      <w:pPr>
        <w:pStyle w:val="10"/>
        <w:pageBreakBefore w:val="0"/>
        <w:widowControl w:val="0"/>
        <w:tabs>
          <w:tab w:val="left" w:pos="5334"/>
        </w:tabs>
        <w:kinsoku/>
        <w:wordWrap/>
        <w:overflowPunct/>
        <w:topLinePunct w:val="0"/>
        <w:autoSpaceDE/>
        <w:autoSpaceDN/>
        <w:bidi w:val="0"/>
        <w:adjustRightInd/>
        <w:snapToGrid/>
        <w:spacing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z w:val="24"/>
          <w:szCs w:val="24"/>
          <w:highlight w:val="none"/>
        </w:rPr>
        <w:t>方：</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乙 方：</w:t>
      </w:r>
    </w:p>
    <w:p w14:paraId="211F875F">
      <w:pPr>
        <w:pStyle w:val="10"/>
        <w:pageBreakBefore w:val="0"/>
        <w:widowControl w:val="0"/>
        <w:tabs>
          <w:tab w:val="left" w:pos="5334"/>
        </w:tabs>
        <w:kinsoku/>
        <w:wordWrap/>
        <w:overflowPunct/>
        <w:topLinePunct w:val="0"/>
        <w:autoSpaceDE/>
        <w:autoSpaceDN/>
        <w:bidi w:val="0"/>
        <w:adjustRightInd/>
        <w:snapToGrid/>
        <w:spacing w:before="139"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名称：（盖章）</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名称：（盖章）</w:t>
      </w:r>
    </w:p>
    <w:p w14:paraId="5E7D0C78">
      <w:pPr>
        <w:pStyle w:val="10"/>
        <w:pageBreakBefore w:val="0"/>
        <w:widowControl w:val="0"/>
        <w:tabs>
          <w:tab w:val="left" w:pos="5439"/>
        </w:tabs>
        <w:kinsoku/>
        <w:wordWrap/>
        <w:overflowPunct/>
        <w:topLinePunct w:val="0"/>
        <w:autoSpaceDE/>
        <w:autoSpaceDN/>
        <w:bidi w:val="0"/>
        <w:adjustRightInd/>
        <w:snapToGrid/>
        <w:spacing w:before="141"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地址：</w:t>
      </w:r>
    </w:p>
    <w:p w14:paraId="1447F4F9">
      <w:pPr>
        <w:pStyle w:val="10"/>
        <w:pageBreakBefore w:val="0"/>
        <w:widowControl w:val="0"/>
        <w:tabs>
          <w:tab w:val="left" w:pos="5334"/>
        </w:tabs>
        <w:kinsoku/>
        <w:wordWrap/>
        <w:overflowPunct/>
        <w:topLinePunct w:val="0"/>
        <w:autoSpaceDE/>
        <w:autoSpaceDN/>
        <w:bidi w:val="0"/>
        <w:adjustRightInd/>
        <w:snapToGrid/>
        <w:spacing w:before="139"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法定代表人（签字）：</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法定代表人（签字）：</w:t>
      </w:r>
    </w:p>
    <w:p w14:paraId="266D6BFE">
      <w:pPr>
        <w:pStyle w:val="10"/>
        <w:pageBreakBefore w:val="0"/>
        <w:widowControl w:val="0"/>
        <w:tabs>
          <w:tab w:val="left" w:pos="5334"/>
        </w:tabs>
        <w:kinsoku/>
        <w:wordWrap/>
        <w:overflowPunct/>
        <w:topLinePunct w:val="0"/>
        <w:autoSpaceDE/>
        <w:autoSpaceDN/>
        <w:bidi w:val="0"/>
        <w:adjustRightInd/>
        <w:snapToGrid/>
        <w:spacing w:before="139"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授权代表（签字）：</w:t>
      </w:r>
    </w:p>
    <w:p w14:paraId="5EB1C5DC">
      <w:pPr>
        <w:pStyle w:val="10"/>
        <w:pageBreakBefore w:val="0"/>
        <w:widowControl w:val="0"/>
        <w:tabs>
          <w:tab w:val="left" w:pos="5334"/>
        </w:tabs>
        <w:kinsoku/>
        <w:wordWrap/>
        <w:overflowPunct/>
        <w:topLinePunct w:val="0"/>
        <w:autoSpaceDE/>
        <w:autoSpaceDN/>
        <w:bidi w:val="0"/>
        <w:adjustRightInd/>
        <w:snapToGrid/>
        <w:spacing w:before="139"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开户银行：</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开户银行：</w:t>
      </w:r>
    </w:p>
    <w:p w14:paraId="26E802C1">
      <w:pPr>
        <w:pStyle w:val="10"/>
        <w:pageBreakBefore w:val="0"/>
        <w:widowControl w:val="0"/>
        <w:tabs>
          <w:tab w:val="left" w:pos="5334"/>
        </w:tabs>
        <w:kinsoku/>
        <w:wordWrap/>
        <w:overflowPunct/>
        <w:topLinePunct w:val="0"/>
        <w:autoSpaceDE/>
        <w:autoSpaceDN/>
        <w:bidi w:val="0"/>
        <w:adjustRightInd/>
        <w:snapToGrid/>
        <w:spacing w:before="139" w:line="500" w:lineRule="exact"/>
        <w:ind w:left="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银行帐号：</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银行帐号：</w:t>
      </w:r>
    </w:p>
    <w:p w14:paraId="5EB431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z w:val="24"/>
          <w:szCs w:val="24"/>
          <w:highlight w:val="none"/>
        </w:rPr>
        <w:t>间：</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时 间：</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z w:val="24"/>
          <w:szCs w:val="24"/>
          <w:highlight w:val="none"/>
        </w:rPr>
        <w:t>年 月</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z w:val="24"/>
          <w:szCs w:val="24"/>
          <w:highlight w:val="none"/>
        </w:rPr>
        <w:t>日</w:t>
      </w:r>
    </w:p>
    <w:p w14:paraId="7A5C4DD7">
      <w:pPr>
        <w:pStyle w:val="3"/>
        <w:rPr>
          <w:rFonts w:hint="eastAsia" w:asciiTheme="minorEastAsia" w:hAnsiTheme="minorEastAsia" w:eastAsiaTheme="minorEastAsia" w:cstheme="minorEastAsia"/>
          <w:sz w:val="24"/>
          <w:szCs w:val="24"/>
          <w:highlight w:val="none"/>
        </w:rPr>
      </w:pPr>
    </w:p>
    <w:p w14:paraId="431E1CD8">
      <w:pPr>
        <w:rPr>
          <w:rFonts w:hint="eastAsia" w:asciiTheme="minorEastAsia" w:hAnsiTheme="minorEastAsia" w:eastAsiaTheme="minorEastAsia" w:cstheme="minorEastAsia"/>
          <w:sz w:val="24"/>
          <w:szCs w:val="24"/>
          <w:highlight w:val="none"/>
        </w:rPr>
      </w:pPr>
    </w:p>
    <w:p w14:paraId="3386F100">
      <w:pPr>
        <w:pStyle w:val="3"/>
        <w:rPr>
          <w:rFonts w:hint="eastAsia"/>
        </w:rPr>
      </w:pPr>
    </w:p>
    <w:p w14:paraId="5A92BFF4">
      <w:pPr>
        <w:pStyle w:val="23"/>
        <w:pageBreakBefore w:val="0"/>
        <w:widowControl w:val="0"/>
        <w:kinsoku/>
        <w:overflowPunct/>
        <w:bidi w:val="0"/>
        <w:spacing w:before="0" w:beforeAutospacing="0" w:after="0" w:afterAutospacing="0" w:line="500" w:lineRule="exact"/>
        <w:ind w:left="0" w:leftChars="0" w:firstLine="0" w:firstLineChars="0"/>
        <w:jc w:val="center"/>
        <w:outlineLvl w:val="0"/>
        <w:rPr>
          <w:rFonts w:cs="宋体"/>
          <w:kern w:val="44"/>
          <w:highlight w:val="none"/>
        </w:rPr>
      </w:pPr>
      <w:bookmarkStart w:id="216" w:name="_Toc522798868"/>
      <w:bookmarkStart w:id="217" w:name="_Toc19824_WPSOffice_Level1"/>
      <w:bookmarkStart w:id="218" w:name="_Toc14920"/>
      <w:bookmarkStart w:id="219" w:name="_Toc22719"/>
      <w:r>
        <w:rPr>
          <w:rFonts w:hint="eastAsia" w:cs="宋体"/>
          <w:b/>
          <w:kern w:val="2"/>
          <w:sz w:val="36"/>
          <w:szCs w:val="36"/>
          <w:highlight w:val="none"/>
        </w:rPr>
        <w:t>第六章  响应文件格式</w:t>
      </w:r>
      <w:bookmarkEnd w:id="216"/>
      <w:bookmarkEnd w:id="217"/>
      <w:bookmarkEnd w:id="218"/>
      <w:bookmarkEnd w:id="219"/>
    </w:p>
    <w:p w14:paraId="7CB28A52">
      <w:pPr>
        <w:pStyle w:val="23"/>
        <w:pageBreakBefore w:val="0"/>
        <w:widowControl w:val="0"/>
        <w:kinsoku/>
        <w:overflowPunct/>
        <w:bidi w:val="0"/>
        <w:spacing w:before="0" w:beforeAutospacing="0" w:after="0" w:afterAutospacing="0" w:line="500" w:lineRule="exact"/>
        <w:ind w:firstLine="480"/>
        <w:jc w:val="center"/>
        <w:rPr>
          <w:rFonts w:cs="宋体"/>
          <w:kern w:val="44"/>
          <w:highlight w:val="none"/>
        </w:rPr>
      </w:pPr>
    </w:p>
    <w:p w14:paraId="4B48969E">
      <w:pPr>
        <w:pStyle w:val="23"/>
        <w:pageBreakBefore w:val="0"/>
        <w:widowControl w:val="0"/>
        <w:kinsoku/>
        <w:overflowPunct/>
        <w:bidi w:val="0"/>
        <w:spacing w:before="0" w:beforeAutospacing="0" w:after="0" w:afterAutospacing="0" w:line="500" w:lineRule="exact"/>
        <w:ind w:firstLine="480"/>
        <w:jc w:val="center"/>
        <w:rPr>
          <w:rFonts w:cs="宋体"/>
          <w:kern w:val="44"/>
          <w:highlight w:val="none"/>
        </w:rPr>
      </w:pPr>
      <w:bookmarkStart w:id="220" w:name="_Toc495930596"/>
      <w:bookmarkEnd w:id="220"/>
      <w:bookmarkStart w:id="221" w:name="_Toc466278843"/>
      <w:bookmarkEnd w:id="221"/>
      <w:bookmarkStart w:id="222" w:name="_Toc466275364"/>
      <w:bookmarkEnd w:id="222"/>
      <w:bookmarkStart w:id="223" w:name="_Toc465990924"/>
      <w:bookmarkEnd w:id="223"/>
      <w:bookmarkStart w:id="224" w:name="_Toc512596667"/>
      <w:bookmarkEnd w:id="224"/>
      <w:bookmarkStart w:id="225" w:name="_Toc465991521"/>
      <w:bookmarkEnd w:id="225"/>
    </w:p>
    <w:p w14:paraId="659AE857">
      <w:pPr>
        <w:pStyle w:val="23"/>
        <w:pageBreakBefore w:val="0"/>
        <w:widowControl w:val="0"/>
        <w:kinsoku/>
        <w:overflowPunct/>
        <w:bidi w:val="0"/>
        <w:spacing w:before="0" w:beforeAutospacing="0" w:after="0" w:afterAutospacing="0" w:line="500" w:lineRule="exact"/>
        <w:ind w:firstLine="480"/>
        <w:jc w:val="center"/>
        <w:rPr>
          <w:rFonts w:cs="宋体"/>
          <w:kern w:val="44"/>
          <w:highlight w:val="none"/>
        </w:rPr>
      </w:pPr>
    </w:p>
    <w:p w14:paraId="37A002EE">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highlight w:val="none"/>
        </w:rPr>
      </w:pPr>
      <w:bookmarkStart w:id="226" w:name="_Toc5037_WPSOffice_Level1"/>
      <w:bookmarkEnd w:id="226"/>
      <w:bookmarkStart w:id="227" w:name="_Toc29700_WPSOffice_Level1"/>
      <w:bookmarkEnd w:id="227"/>
      <w:r>
        <w:rPr>
          <w:rFonts w:hint="eastAsia"/>
          <w:b/>
          <w:bCs/>
          <w:sz w:val="32"/>
          <w:szCs w:val="40"/>
          <w:highlight w:val="none"/>
          <w:lang w:eastAsia="zh-CN"/>
        </w:rPr>
        <w:t>（项目名称）</w:t>
      </w:r>
    </w:p>
    <w:p w14:paraId="660880D1">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highlight w:val="none"/>
        </w:rPr>
      </w:pPr>
      <w:bookmarkStart w:id="228" w:name="_Toc6820_WPSOffice_Level1"/>
      <w:bookmarkEnd w:id="228"/>
      <w:bookmarkStart w:id="229" w:name="_Toc22178_WPSOffice_Level1"/>
      <w:bookmarkEnd w:id="229"/>
      <w:bookmarkStart w:id="230" w:name="_Toc25794"/>
      <w:bookmarkStart w:id="231" w:name="_Toc14055_WPSOffice_Level1"/>
      <w:bookmarkStart w:id="232" w:name="_Toc21510_WPSOffice_Level1"/>
      <w:bookmarkStart w:id="233" w:name="_Toc8895_WPSOffice_Level1"/>
      <w:bookmarkStart w:id="234" w:name="_Toc12274_WPSOffice_Level1"/>
      <w:bookmarkStart w:id="235" w:name="_Toc32750_WPSOffice_Level1"/>
      <w:bookmarkStart w:id="236" w:name="_Toc25124_WPSOffice_Level1"/>
      <w:bookmarkStart w:id="237" w:name="_Toc11378_WPSOffice_Level1"/>
      <w:bookmarkStart w:id="238" w:name="_Toc8759_WPSOffice_Level1"/>
      <w:r>
        <w:rPr>
          <w:rFonts w:hint="eastAsia"/>
          <w:sz w:val="72"/>
          <w:szCs w:val="72"/>
          <w:highlight w:val="none"/>
          <w:lang w:eastAsia="zh-CN"/>
        </w:rPr>
        <w:t>响</w:t>
      </w:r>
      <w:r>
        <w:rPr>
          <w:rFonts w:hint="eastAsia"/>
          <w:sz w:val="72"/>
          <w:szCs w:val="72"/>
          <w:highlight w:val="none"/>
          <w:lang w:val="en-US" w:eastAsia="zh-CN"/>
        </w:rPr>
        <w:t xml:space="preserve"> </w:t>
      </w:r>
      <w:r>
        <w:rPr>
          <w:rFonts w:hint="eastAsia"/>
          <w:sz w:val="72"/>
          <w:szCs w:val="72"/>
          <w:highlight w:val="none"/>
          <w:lang w:eastAsia="zh-CN"/>
        </w:rPr>
        <w:t>应</w:t>
      </w:r>
      <w:r>
        <w:rPr>
          <w:rFonts w:hint="eastAsia"/>
          <w:sz w:val="72"/>
          <w:szCs w:val="72"/>
          <w:highlight w:val="none"/>
        </w:rPr>
        <w:t xml:space="preserve"> 文 件</w:t>
      </w:r>
      <w:bookmarkEnd w:id="230"/>
      <w:bookmarkEnd w:id="231"/>
      <w:bookmarkEnd w:id="232"/>
      <w:bookmarkEnd w:id="233"/>
      <w:bookmarkEnd w:id="234"/>
      <w:bookmarkEnd w:id="235"/>
      <w:bookmarkEnd w:id="236"/>
      <w:bookmarkEnd w:id="237"/>
      <w:bookmarkEnd w:id="238"/>
    </w:p>
    <w:p w14:paraId="4E1667D6">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highlight w:val="none"/>
        </w:rPr>
      </w:pPr>
      <w:bookmarkStart w:id="239" w:name="_Toc31929_WPSOffice_Level1"/>
      <w:bookmarkStart w:id="240" w:name="_Toc2652"/>
      <w:bookmarkStart w:id="241" w:name="_Toc21763_WPSOffice_Level1"/>
      <w:bookmarkStart w:id="242" w:name="_Toc23475_WPSOffice_Level1"/>
      <w:bookmarkStart w:id="243" w:name="_Toc11695_WPSOffice_Level1"/>
      <w:bookmarkStart w:id="244" w:name="_Toc28893_WPSOffice_Level1"/>
      <w:bookmarkStart w:id="245" w:name="_Toc5903_WPSOffice_Level1"/>
      <w:bookmarkStart w:id="246" w:name="_Toc10269_WPSOffice_Level1"/>
      <w:r>
        <w:rPr>
          <w:rFonts w:hint="eastAsia"/>
          <w:highlight w:val="none"/>
        </w:rPr>
        <w:t>项目编号：</w:t>
      </w:r>
      <w:bookmarkEnd w:id="239"/>
      <w:bookmarkEnd w:id="240"/>
      <w:bookmarkEnd w:id="241"/>
      <w:bookmarkEnd w:id="242"/>
      <w:bookmarkEnd w:id="243"/>
      <w:bookmarkEnd w:id="244"/>
      <w:bookmarkEnd w:id="245"/>
      <w:bookmarkEnd w:id="246"/>
    </w:p>
    <w:p w14:paraId="305EA169">
      <w:pPr>
        <w:pStyle w:val="25"/>
        <w:rPr>
          <w:highlight w:val="none"/>
        </w:rPr>
      </w:pPr>
    </w:p>
    <w:p w14:paraId="19EC1619">
      <w:pPr>
        <w:keepNext w:val="0"/>
        <w:keepLines w:val="0"/>
        <w:pageBreakBefore w:val="0"/>
        <w:widowControl w:val="0"/>
        <w:kinsoku/>
        <w:wordWrap/>
        <w:overflowPunct/>
        <w:topLinePunct w:val="0"/>
        <w:autoSpaceDE/>
        <w:autoSpaceDN/>
        <w:bidi w:val="0"/>
        <w:adjustRightInd/>
        <w:snapToGrid/>
        <w:spacing w:line="1000" w:lineRule="exact"/>
        <w:textAlignment w:val="auto"/>
        <w:rPr>
          <w:highlight w:val="none"/>
        </w:rPr>
      </w:pPr>
    </w:p>
    <w:p w14:paraId="653B3F4B">
      <w:pPr>
        <w:pageBreakBefore w:val="0"/>
        <w:kinsoku/>
        <w:overflowPunct/>
        <w:bidi w:val="0"/>
        <w:spacing w:line="500" w:lineRule="exact"/>
        <w:rPr>
          <w:highlight w:val="none"/>
        </w:rPr>
      </w:pPr>
    </w:p>
    <w:p w14:paraId="33B5A390">
      <w:pPr>
        <w:pageBreakBefore w:val="0"/>
        <w:kinsoku/>
        <w:overflowPunct/>
        <w:bidi w:val="0"/>
        <w:spacing w:line="500" w:lineRule="exact"/>
        <w:rPr>
          <w:highlight w:val="none"/>
        </w:rPr>
      </w:pPr>
    </w:p>
    <w:p w14:paraId="324858C2">
      <w:pPr>
        <w:pageBreakBefore w:val="0"/>
        <w:kinsoku/>
        <w:overflowPunct/>
        <w:bidi w:val="0"/>
        <w:spacing w:line="500" w:lineRule="exact"/>
        <w:rPr>
          <w:highlight w:val="none"/>
        </w:rPr>
      </w:pPr>
    </w:p>
    <w:p w14:paraId="69DE6408">
      <w:pPr>
        <w:pageBreakBefore w:val="0"/>
        <w:kinsoku/>
        <w:overflowPunct/>
        <w:bidi w:val="0"/>
        <w:spacing w:line="500" w:lineRule="exact"/>
        <w:rPr>
          <w:highlight w:val="none"/>
        </w:rPr>
      </w:pPr>
    </w:p>
    <w:p w14:paraId="5F007283">
      <w:pPr>
        <w:pageBreakBefore w:val="0"/>
        <w:kinsoku/>
        <w:overflowPunct/>
        <w:bidi w:val="0"/>
        <w:spacing w:line="500" w:lineRule="exact"/>
        <w:rPr>
          <w:highlight w:val="none"/>
        </w:rPr>
      </w:pPr>
    </w:p>
    <w:p w14:paraId="1C8BD675">
      <w:pPr>
        <w:pageBreakBefore w:val="0"/>
        <w:kinsoku/>
        <w:overflowPunct/>
        <w:bidi w:val="0"/>
        <w:spacing w:line="500" w:lineRule="exact"/>
        <w:rPr>
          <w:highlight w:val="none"/>
        </w:rPr>
      </w:pPr>
    </w:p>
    <w:p w14:paraId="71367C44">
      <w:pPr>
        <w:pageBreakBefore w:val="0"/>
        <w:kinsoku/>
        <w:overflowPunct/>
        <w:bidi w:val="0"/>
        <w:spacing w:line="500" w:lineRule="exact"/>
        <w:rPr>
          <w:highlight w:val="none"/>
        </w:rPr>
      </w:pPr>
    </w:p>
    <w:p w14:paraId="607F973A">
      <w:pPr>
        <w:pageBreakBefore w:val="0"/>
        <w:kinsoku/>
        <w:overflowPunct/>
        <w:bidi w:val="0"/>
        <w:spacing w:line="500" w:lineRule="exact"/>
        <w:ind w:firstLine="1400" w:firstLineChars="500"/>
        <w:rPr>
          <w:sz w:val="28"/>
          <w:szCs w:val="36"/>
          <w:highlight w:val="none"/>
        </w:rPr>
      </w:pPr>
      <w:bookmarkStart w:id="247" w:name="_Toc3416_WPSOffice_Level1"/>
      <w:bookmarkEnd w:id="247"/>
      <w:bookmarkStart w:id="248" w:name="_Toc27065_WPSOffice_Level1"/>
      <w:bookmarkEnd w:id="248"/>
      <w:bookmarkStart w:id="249" w:name="_Toc2595_WPSOffice_Level1"/>
      <w:bookmarkStart w:id="250" w:name="_Toc1959_WPSOffice_Level1"/>
      <w:bookmarkStart w:id="251" w:name="_Toc21090_WPSOffice_Level1"/>
      <w:bookmarkStart w:id="252" w:name="_Toc14241_WPSOffice_Level1"/>
      <w:bookmarkStart w:id="253" w:name="_Toc24814_WPSOffice_Level1"/>
      <w:bookmarkStart w:id="254" w:name="_Toc7088_WPSOffice_Level1"/>
      <w:bookmarkStart w:id="255" w:name="_Toc28964_WPSOffice_Level1"/>
      <w:bookmarkStart w:id="256" w:name="_Toc24376_WPSOffice_Level1"/>
      <w:bookmarkStart w:id="257" w:name="_Toc32011"/>
      <w:r>
        <w:rPr>
          <w:rFonts w:hint="eastAsia"/>
          <w:sz w:val="28"/>
          <w:szCs w:val="36"/>
          <w:highlight w:val="none"/>
        </w:rPr>
        <w:t>供应商名称：</w:t>
      </w:r>
      <w:bookmarkEnd w:id="249"/>
      <w:r>
        <w:rPr>
          <w:rFonts w:hint="eastAsia"/>
          <w:sz w:val="28"/>
          <w:szCs w:val="36"/>
          <w:highlight w:val="none"/>
        </w:rPr>
        <w:t>（盖单位公章）</w:t>
      </w:r>
      <w:bookmarkEnd w:id="250"/>
      <w:bookmarkEnd w:id="251"/>
      <w:bookmarkEnd w:id="252"/>
      <w:bookmarkEnd w:id="253"/>
      <w:bookmarkEnd w:id="254"/>
      <w:bookmarkEnd w:id="255"/>
      <w:bookmarkEnd w:id="256"/>
      <w:bookmarkEnd w:id="257"/>
    </w:p>
    <w:p w14:paraId="02ECE845">
      <w:pPr>
        <w:pageBreakBefore w:val="0"/>
        <w:kinsoku/>
        <w:overflowPunct/>
        <w:bidi w:val="0"/>
        <w:spacing w:line="500" w:lineRule="exact"/>
        <w:ind w:firstLine="1400" w:firstLineChars="500"/>
        <w:rPr>
          <w:sz w:val="28"/>
          <w:szCs w:val="36"/>
          <w:highlight w:val="none"/>
        </w:rPr>
      </w:pPr>
      <w:bookmarkStart w:id="258" w:name="_Toc2975_WPSOffice_Level1"/>
      <w:bookmarkEnd w:id="258"/>
      <w:bookmarkStart w:id="259" w:name="_Toc20308_WPSOffice_Level1"/>
      <w:bookmarkEnd w:id="259"/>
      <w:bookmarkStart w:id="260" w:name="_Toc24820_WPSOffice_Level1"/>
      <w:bookmarkStart w:id="261" w:name="_Toc30725_WPSOffice_Level1"/>
      <w:bookmarkStart w:id="262" w:name="_Toc18613"/>
      <w:bookmarkStart w:id="263" w:name="_Toc5472_WPSOffice_Level1"/>
      <w:bookmarkStart w:id="264" w:name="_Toc12215_WPSOffice_Level1"/>
      <w:bookmarkStart w:id="265" w:name="_Toc21945_WPSOffice_Level1"/>
      <w:bookmarkStart w:id="266" w:name="_Toc4544_WPSOffice_Level1"/>
      <w:bookmarkStart w:id="267" w:name="_Toc14430_WPSOffice_Level1"/>
      <w:bookmarkStart w:id="268" w:name="_Toc10432_WPSOffice_Level1"/>
      <w:r>
        <w:rPr>
          <w:rFonts w:hint="eastAsia"/>
          <w:sz w:val="28"/>
          <w:szCs w:val="36"/>
          <w:highlight w:val="none"/>
        </w:rPr>
        <w:t>法定代表人：</w:t>
      </w:r>
      <w:bookmarkEnd w:id="260"/>
      <w:r>
        <w:rPr>
          <w:rFonts w:hint="eastAsia"/>
          <w:sz w:val="28"/>
          <w:szCs w:val="36"/>
          <w:highlight w:val="none"/>
        </w:rPr>
        <w:t>（签章）</w:t>
      </w:r>
      <w:bookmarkEnd w:id="261"/>
      <w:bookmarkEnd w:id="262"/>
      <w:bookmarkEnd w:id="263"/>
      <w:bookmarkEnd w:id="264"/>
      <w:bookmarkEnd w:id="265"/>
      <w:bookmarkEnd w:id="266"/>
      <w:bookmarkEnd w:id="267"/>
      <w:bookmarkEnd w:id="268"/>
    </w:p>
    <w:p w14:paraId="2C779EA4">
      <w:pPr>
        <w:pageBreakBefore w:val="0"/>
        <w:kinsoku/>
        <w:overflowPunct/>
        <w:bidi w:val="0"/>
        <w:spacing w:line="500" w:lineRule="exact"/>
        <w:ind w:firstLine="1400" w:firstLineChars="500"/>
        <w:rPr>
          <w:rFonts w:cs="宋体"/>
          <w:sz w:val="28"/>
          <w:szCs w:val="40"/>
          <w:highlight w:val="none"/>
        </w:rPr>
      </w:pPr>
      <w:bookmarkStart w:id="269" w:name="_Toc22775_WPSOffice_Level1"/>
      <w:bookmarkStart w:id="270" w:name="_Toc10800_WPSOffice_Level1"/>
      <w:bookmarkStart w:id="271" w:name="_Toc753_WPSOffice_Level1"/>
      <w:bookmarkStart w:id="272" w:name="_Toc32586_WPSOffice_Level1"/>
      <w:bookmarkStart w:id="273" w:name="_Toc3068_WPSOffice_Level1"/>
      <w:bookmarkStart w:id="274" w:name="_Toc20484"/>
      <w:bookmarkStart w:id="275" w:name="_Toc8514_WPSOffice_Level1"/>
      <w:bookmarkStart w:id="276" w:name="_Toc15785_WPSOffice_Level1"/>
      <w:r>
        <w:rPr>
          <w:rFonts w:hint="eastAsia"/>
          <w:sz w:val="28"/>
          <w:szCs w:val="36"/>
          <w:highlight w:val="none"/>
        </w:rPr>
        <w:t>日    期：</w:t>
      </w:r>
      <w:bookmarkStart w:id="277" w:name="_Toc28129_WPSOffice_Level1"/>
      <w:bookmarkEnd w:id="277"/>
      <w:bookmarkStart w:id="278" w:name="_Toc1553_WPSOffice_Level1"/>
      <w:bookmarkEnd w:id="278"/>
      <w:bookmarkStart w:id="279" w:name="_Toc4820_WPSOffice_Level1"/>
      <w:r>
        <w:rPr>
          <w:rFonts w:hint="eastAsia"/>
          <w:sz w:val="28"/>
          <w:szCs w:val="36"/>
          <w:highlight w:val="none"/>
          <w:lang w:val="en-US" w:eastAsia="zh-CN"/>
        </w:rPr>
        <w:t xml:space="preserve">  </w:t>
      </w:r>
      <w:r>
        <w:rPr>
          <w:rFonts w:hint="eastAsia"/>
          <w:sz w:val="28"/>
          <w:szCs w:val="36"/>
          <w:highlight w:val="none"/>
        </w:rPr>
        <w:t>年</w:t>
      </w:r>
      <w:bookmarkEnd w:id="279"/>
      <w:r>
        <w:rPr>
          <w:rFonts w:hint="eastAsia"/>
          <w:sz w:val="28"/>
          <w:szCs w:val="36"/>
          <w:highlight w:val="none"/>
          <w:lang w:val="en-US" w:eastAsia="zh-CN"/>
        </w:rPr>
        <w:t xml:space="preserve">  </w:t>
      </w:r>
      <w:r>
        <w:rPr>
          <w:rFonts w:hint="eastAsia"/>
          <w:sz w:val="28"/>
          <w:szCs w:val="36"/>
          <w:highlight w:val="none"/>
        </w:rPr>
        <w:t>月</w:t>
      </w:r>
      <w:r>
        <w:rPr>
          <w:rFonts w:hint="eastAsia"/>
          <w:sz w:val="28"/>
          <w:szCs w:val="36"/>
          <w:highlight w:val="none"/>
          <w:lang w:val="en-US" w:eastAsia="zh-CN"/>
        </w:rPr>
        <w:t xml:space="preserve">  </w:t>
      </w:r>
      <w:r>
        <w:rPr>
          <w:rFonts w:hint="eastAsia"/>
          <w:sz w:val="28"/>
          <w:szCs w:val="36"/>
          <w:highlight w:val="none"/>
        </w:rPr>
        <w:t>日</w:t>
      </w:r>
      <w:bookmarkEnd w:id="269"/>
      <w:bookmarkEnd w:id="270"/>
      <w:bookmarkEnd w:id="271"/>
      <w:bookmarkEnd w:id="272"/>
      <w:bookmarkEnd w:id="273"/>
      <w:bookmarkEnd w:id="274"/>
      <w:bookmarkEnd w:id="275"/>
      <w:bookmarkEnd w:id="276"/>
    </w:p>
    <w:p w14:paraId="1297EE7A">
      <w:pPr>
        <w:pageBreakBefore w:val="0"/>
        <w:kinsoku/>
        <w:overflowPunct/>
        <w:bidi w:val="0"/>
        <w:spacing w:line="500" w:lineRule="exact"/>
        <w:rPr>
          <w:rFonts w:ascii="宋体" w:hAnsi="宋体" w:cs="宋体"/>
          <w:sz w:val="36"/>
          <w:szCs w:val="36"/>
          <w:highlight w:val="none"/>
        </w:rPr>
        <w:sectPr>
          <w:pgSz w:w="11915" w:h="16840"/>
          <w:pgMar w:top="1417" w:right="1134" w:bottom="1417" w:left="1417" w:header="720" w:footer="720" w:gutter="0"/>
          <w:pgNumType w:fmt="decimal"/>
          <w:cols w:space="720" w:num="1"/>
          <w:rtlGutter w:val="0"/>
          <w:docGrid w:type="lines" w:linePitch="312" w:charSpace="0"/>
        </w:sectPr>
      </w:pPr>
    </w:p>
    <w:p w14:paraId="3BD8A142">
      <w:pPr>
        <w:pStyle w:val="3"/>
        <w:pageBreakBefore w:val="0"/>
        <w:widowControl/>
        <w:tabs>
          <w:tab w:val="left" w:pos="0"/>
        </w:tabs>
        <w:kinsoku/>
        <w:overflowPunct/>
        <w:bidi w:val="0"/>
        <w:spacing w:line="500" w:lineRule="exact"/>
        <w:rPr>
          <w:rFonts w:cs="宋体"/>
          <w:bCs/>
          <w:sz w:val="36"/>
          <w:szCs w:val="36"/>
          <w:highlight w:val="none"/>
        </w:rPr>
      </w:pPr>
      <w:bookmarkStart w:id="280" w:name="_Toc32240_WPSOffice_Level1"/>
      <w:bookmarkEnd w:id="280"/>
      <w:bookmarkStart w:id="281" w:name="_Toc512596668"/>
      <w:bookmarkEnd w:id="281"/>
      <w:bookmarkStart w:id="282" w:name="_Toc3483_WPSOffice_Level1"/>
      <w:bookmarkEnd w:id="282"/>
      <w:bookmarkStart w:id="283" w:name="_Toc522085803"/>
      <w:bookmarkEnd w:id="283"/>
      <w:bookmarkStart w:id="284" w:name="_Toc521998007"/>
      <w:bookmarkEnd w:id="284"/>
      <w:bookmarkStart w:id="285" w:name="_Toc517257925"/>
      <w:bookmarkEnd w:id="285"/>
      <w:bookmarkStart w:id="286" w:name="_Toc522798779"/>
      <w:bookmarkEnd w:id="286"/>
      <w:bookmarkStart w:id="287" w:name="_Toc497301908"/>
      <w:bookmarkEnd w:id="287"/>
      <w:bookmarkStart w:id="288" w:name="_Toc14477_WPSOffice_Level1"/>
      <w:bookmarkEnd w:id="288"/>
      <w:bookmarkStart w:id="289" w:name="_Toc522798869"/>
      <w:bookmarkStart w:id="290" w:name="_Toc13553_WPSOffice_Level1"/>
      <w:bookmarkStart w:id="291" w:name="_Toc120_WPSOffice_Level1"/>
      <w:bookmarkStart w:id="292" w:name="_Toc22965_WPSOffice_Level1"/>
      <w:bookmarkStart w:id="293" w:name="_Toc32752_WPSOffice_Level1"/>
      <w:bookmarkStart w:id="294" w:name="_Toc12_WPSOffice_Level1"/>
      <w:bookmarkStart w:id="295" w:name="_Toc2481"/>
      <w:bookmarkStart w:id="296" w:name="_Toc7451_WPSOffice_Level1"/>
      <w:bookmarkStart w:id="297" w:name="_Toc22556_WPSOffice_Level1"/>
      <w:r>
        <w:rPr>
          <w:rFonts w:hint="eastAsia" w:cs="宋体"/>
          <w:bCs/>
          <w:sz w:val="36"/>
          <w:szCs w:val="36"/>
          <w:highlight w:val="none"/>
        </w:rPr>
        <w:t>目</w:t>
      </w:r>
      <w:bookmarkEnd w:id="289"/>
      <w:r>
        <w:rPr>
          <w:rFonts w:hint="eastAsia" w:cs="宋体"/>
          <w:bCs/>
          <w:sz w:val="36"/>
          <w:szCs w:val="36"/>
          <w:highlight w:val="none"/>
        </w:rPr>
        <w:t xml:space="preserve">    录</w:t>
      </w:r>
      <w:bookmarkEnd w:id="290"/>
      <w:bookmarkEnd w:id="291"/>
      <w:bookmarkEnd w:id="292"/>
      <w:bookmarkEnd w:id="293"/>
      <w:bookmarkEnd w:id="294"/>
      <w:bookmarkEnd w:id="295"/>
      <w:bookmarkEnd w:id="296"/>
      <w:bookmarkEnd w:id="297"/>
    </w:p>
    <w:p w14:paraId="1BDABAEA">
      <w:pPr>
        <w:pageBreakBefore w:val="0"/>
        <w:kinsoku/>
        <w:overflowPunct/>
        <w:bidi w:val="0"/>
        <w:spacing w:line="500" w:lineRule="exact"/>
        <w:jc w:val="center"/>
        <w:rPr>
          <w:rFonts w:ascii="宋体" w:hAnsi="宋体" w:cs="宋体"/>
          <w:b/>
          <w:sz w:val="28"/>
          <w:szCs w:val="28"/>
          <w:highlight w:val="none"/>
        </w:rPr>
      </w:pPr>
    </w:p>
    <w:p w14:paraId="46E6D3A7">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8"/>
          <w:highlight w:val="none"/>
        </w:rPr>
      </w:pPr>
      <w:bookmarkStart w:id="298" w:name="_Toc10351_WPSOffice_Level1"/>
      <w:bookmarkEnd w:id="298"/>
    </w:p>
    <w:p w14:paraId="5969AC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sz w:val="22"/>
          <w:szCs w:val="28"/>
          <w:highlight w:val="none"/>
          <w:lang w:eastAsia="zh-CN"/>
        </w:rPr>
        <w:sectPr>
          <w:pgSz w:w="11915" w:h="16840"/>
          <w:pgMar w:top="1417" w:right="1134" w:bottom="1417" w:left="1417" w:header="720" w:footer="720" w:gutter="0"/>
          <w:pgNumType w:fmt="decimal"/>
          <w:cols w:space="720" w:num="1"/>
          <w:rtlGutter w:val="0"/>
          <w:docGrid w:type="lines" w:linePitch="312" w:charSpace="0"/>
        </w:sectPr>
      </w:pPr>
      <w:bookmarkStart w:id="299" w:name="_Toc26459_WPSOffice_Level1"/>
      <w:bookmarkEnd w:id="299"/>
      <w:bookmarkStart w:id="300" w:name="_Toc9063_WPSOffice_Level1"/>
      <w:bookmarkEnd w:id="300"/>
      <w:bookmarkStart w:id="301" w:name="_Toc465990925"/>
      <w:bookmarkEnd w:id="301"/>
      <w:bookmarkStart w:id="302" w:name="_Toc497301909"/>
      <w:bookmarkEnd w:id="302"/>
      <w:bookmarkStart w:id="303" w:name="_Toc522798780"/>
      <w:bookmarkEnd w:id="303"/>
      <w:bookmarkStart w:id="304" w:name="_Toc522085804"/>
      <w:bookmarkEnd w:id="304"/>
      <w:bookmarkStart w:id="305" w:name="_Toc521998008"/>
      <w:bookmarkEnd w:id="305"/>
      <w:bookmarkStart w:id="306" w:name="_Toc11242"/>
      <w:bookmarkStart w:id="307" w:name="_Toc26136_WPSOffice_Level1"/>
      <w:bookmarkStart w:id="308" w:name="_Toc25167_WPSOffice_Level1"/>
      <w:bookmarkStart w:id="309" w:name="_Toc21240_WPSOffice_Level1"/>
      <w:bookmarkStart w:id="310" w:name="_Toc11744_WPSOffice_Level1"/>
      <w:bookmarkStart w:id="311" w:name="_Toc522798870"/>
      <w:bookmarkStart w:id="312" w:name="_Toc32115_WPSOffice_Level1"/>
      <w:bookmarkStart w:id="313" w:name="_Toc13748_WPSOffice_Level1"/>
      <w:bookmarkStart w:id="314" w:name="_Toc26377_WPSOffice_Level1"/>
      <w:r>
        <w:rPr>
          <w:rFonts w:hint="eastAsia"/>
          <w:sz w:val="22"/>
          <w:szCs w:val="28"/>
          <w:highlight w:val="none"/>
          <w:lang w:eastAsia="zh-CN"/>
        </w:rPr>
        <w:t>（</w:t>
      </w:r>
      <w:r>
        <w:rPr>
          <w:rFonts w:hint="eastAsia"/>
          <w:sz w:val="22"/>
          <w:szCs w:val="28"/>
          <w:highlight w:val="none"/>
          <w:lang w:val="en-US" w:eastAsia="zh-CN"/>
        </w:rPr>
        <w:t>格式自拟</w:t>
      </w:r>
      <w:r>
        <w:rPr>
          <w:rFonts w:hint="eastAsia"/>
          <w:sz w:val="22"/>
          <w:szCs w:val="28"/>
          <w:highlight w:val="none"/>
          <w:lang w:eastAsia="zh-CN"/>
        </w:rPr>
        <w:t>）</w:t>
      </w:r>
    </w:p>
    <w:p w14:paraId="7C96F175">
      <w:pPr>
        <w:pageBreakBefore w:val="0"/>
        <w:kinsoku/>
        <w:overflowPunct/>
        <w:bidi w:val="0"/>
        <w:spacing w:line="500" w:lineRule="exact"/>
        <w:ind w:left="420"/>
        <w:jc w:val="center"/>
        <w:outlineLvl w:val="0"/>
        <w:rPr>
          <w:rFonts w:ascii="宋体" w:hAnsi="宋体" w:cs="宋体"/>
          <w:b/>
          <w:sz w:val="30"/>
          <w:szCs w:val="30"/>
          <w:highlight w:val="none"/>
        </w:rPr>
      </w:pPr>
      <w:bookmarkStart w:id="315" w:name="_Toc20182"/>
      <w:r>
        <w:rPr>
          <w:rFonts w:hint="eastAsia" w:ascii="宋体" w:hAnsi="宋体" w:cs="宋体"/>
          <w:b/>
          <w:sz w:val="30"/>
          <w:szCs w:val="30"/>
          <w:highlight w:val="none"/>
        </w:rPr>
        <w:t>一、</w:t>
      </w:r>
      <w:r>
        <w:rPr>
          <w:rFonts w:hint="eastAsia" w:ascii="宋体" w:hAnsi="宋体" w:cs="宋体"/>
          <w:b/>
          <w:sz w:val="30"/>
          <w:szCs w:val="30"/>
          <w:highlight w:val="none"/>
          <w:lang w:eastAsia="zh-CN"/>
        </w:rPr>
        <w:t>响应</w:t>
      </w:r>
      <w:r>
        <w:rPr>
          <w:rFonts w:hint="eastAsia" w:ascii="宋体" w:hAnsi="宋体" w:cs="宋体"/>
          <w:b/>
          <w:sz w:val="30"/>
          <w:szCs w:val="30"/>
          <w:highlight w:val="none"/>
        </w:rPr>
        <w:t>函及</w:t>
      </w:r>
      <w:r>
        <w:rPr>
          <w:rFonts w:hint="eastAsia" w:ascii="宋体" w:hAnsi="宋体" w:cs="宋体"/>
          <w:b/>
          <w:sz w:val="30"/>
          <w:szCs w:val="30"/>
          <w:highlight w:val="none"/>
          <w:lang w:eastAsia="zh-CN"/>
        </w:rPr>
        <w:t>响应</w:t>
      </w:r>
      <w:r>
        <w:rPr>
          <w:rFonts w:hint="eastAsia" w:ascii="宋体" w:hAnsi="宋体" w:cs="宋体"/>
          <w:b/>
          <w:sz w:val="30"/>
          <w:szCs w:val="30"/>
          <w:highlight w:val="none"/>
        </w:rPr>
        <w:t>函附录</w:t>
      </w:r>
      <w:bookmarkEnd w:id="306"/>
      <w:bookmarkEnd w:id="307"/>
      <w:bookmarkEnd w:id="308"/>
      <w:bookmarkEnd w:id="309"/>
      <w:bookmarkEnd w:id="310"/>
      <w:bookmarkEnd w:id="311"/>
      <w:bookmarkEnd w:id="312"/>
      <w:bookmarkEnd w:id="313"/>
      <w:bookmarkEnd w:id="314"/>
      <w:bookmarkEnd w:id="315"/>
    </w:p>
    <w:p w14:paraId="61282D9E">
      <w:pPr>
        <w:pageBreakBefore w:val="0"/>
        <w:kinsoku/>
        <w:overflowPunct/>
        <w:bidi w:val="0"/>
        <w:spacing w:line="500" w:lineRule="exact"/>
        <w:jc w:val="center"/>
        <w:rPr>
          <w:rFonts w:ascii="宋体" w:hAnsi="宋体" w:cs="宋体"/>
          <w:b/>
          <w:sz w:val="28"/>
          <w:szCs w:val="28"/>
          <w:highlight w:val="none"/>
        </w:rPr>
      </w:pPr>
      <w:bookmarkStart w:id="316" w:name="_Toc5021_WPSOffice_Level2"/>
      <w:bookmarkEnd w:id="316"/>
      <w:r>
        <w:rPr>
          <w:rFonts w:hint="eastAsia" w:ascii="宋体" w:hAnsi="宋体" w:cs="宋体"/>
          <w:b/>
          <w:sz w:val="28"/>
          <w:szCs w:val="28"/>
          <w:highlight w:val="none"/>
        </w:rPr>
        <w:t>（一）</w:t>
      </w:r>
      <w:r>
        <w:rPr>
          <w:rFonts w:hint="eastAsia" w:ascii="宋体" w:hAnsi="宋体" w:cs="宋体"/>
          <w:b/>
          <w:sz w:val="28"/>
          <w:szCs w:val="28"/>
          <w:highlight w:val="none"/>
          <w:lang w:eastAsia="zh-CN"/>
        </w:rPr>
        <w:t>响应</w:t>
      </w:r>
      <w:r>
        <w:rPr>
          <w:rFonts w:hint="eastAsia" w:ascii="宋体" w:hAnsi="宋体" w:cs="宋体"/>
          <w:b/>
          <w:sz w:val="28"/>
          <w:szCs w:val="28"/>
          <w:highlight w:val="none"/>
        </w:rPr>
        <w:t xml:space="preserve">函  </w:t>
      </w:r>
    </w:p>
    <w:p w14:paraId="04769EC0">
      <w:pPr>
        <w:pageBreakBefore w:val="0"/>
        <w:kinsoku/>
        <w:overflowPunct/>
        <w:bidi w:val="0"/>
        <w:spacing w:line="500" w:lineRule="exact"/>
        <w:rPr>
          <w:rFonts w:ascii="宋体" w:hAnsi="宋体" w:cs="宋体"/>
          <w:b/>
          <w:sz w:val="24"/>
          <w:highlight w:val="none"/>
          <w:u w:val="single"/>
        </w:rPr>
      </w:pPr>
      <w:bookmarkStart w:id="317" w:name="_Toc30282_WPSOffice_Level2"/>
      <w:bookmarkEnd w:id="317"/>
      <w:r>
        <w:rPr>
          <w:rFonts w:hint="eastAsia" w:ascii="宋体" w:hAnsi="宋体" w:cs="宋体"/>
          <w:sz w:val="24"/>
          <w:highlight w:val="none"/>
          <w:u w:val="single"/>
          <w:lang w:eastAsia="zh-CN"/>
        </w:rPr>
        <w:t>（采购人名称）</w:t>
      </w:r>
      <w:r>
        <w:rPr>
          <w:rFonts w:hint="eastAsia" w:ascii="宋体" w:hAnsi="宋体" w:cs="宋体"/>
          <w:sz w:val="24"/>
          <w:highlight w:val="none"/>
          <w:u w:val="single"/>
        </w:rPr>
        <w:t>：</w:t>
      </w:r>
    </w:p>
    <w:p w14:paraId="51FF32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8" w:leftChars="0" w:firstLine="480" w:firstLineChars="200"/>
        <w:textAlignment w:val="auto"/>
        <w:rPr>
          <w:rFonts w:ascii="宋体" w:hAnsi="Courier New"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我方已仔细研究了</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lang w:eastAsia="zh-CN"/>
        </w:rPr>
        <w:t>（项目名称）</w:t>
      </w:r>
      <w:r>
        <w:rPr>
          <w:rFonts w:hint="eastAsia" w:ascii="宋体" w:hAnsi="宋体" w:cs="宋体"/>
          <w:sz w:val="24"/>
          <w:highlight w:val="none"/>
        </w:rPr>
        <w:t>竞争性磋商文件的全部内容，对本项目愿意以人民币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（大写）</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（小写）元的</w:t>
      </w:r>
      <w:r>
        <w:rPr>
          <w:rFonts w:hint="eastAsia" w:ascii="宋体" w:hAnsi="宋体" w:cs="宋体"/>
          <w:sz w:val="24"/>
          <w:highlight w:val="none"/>
          <w:lang w:eastAsia="zh-CN"/>
        </w:rPr>
        <w:t>磋商</w:t>
      </w:r>
      <w:r>
        <w:rPr>
          <w:rFonts w:hint="eastAsia" w:ascii="宋体" w:hAnsi="宋体" w:cs="宋体"/>
          <w:sz w:val="24"/>
          <w:highlight w:val="none"/>
        </w:rPr>
        <w:t>报价，合同履行期限</w:t>
      </w:r>
      <w:r>
        <w:rPr>
          <w:rFonts w:hint="eastAsia" w:ascii="宋体" w:hAnsi="宋体" w:cs="宋体"/>
          <w:sz w:val="24"/>
          <w:highlight w:val="none"/>
          <w:lang w:val="en-US" w:eastAsia="zh-CN"/>
        </w:rPr>
        <w:t>/交货期</w:t>
      </w:r>
      <w:r>
        <w:rPr>
          <w:rFonts w:hint="eastAsia" w:ascii="宋体" w:hAnsi="宋体" w:cs="宋体"/>
          <w:sz w:val="24"/>
          <w:highlight w:val="none"/>
        </w:rPr>
        <w:t>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，质量标准</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质保期</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并按合同约定完成货物供应和履行相关义务。</w:t>
      </w:r>
    </w:p>
    <w:p w14:paraId="033D6555">
      <w:pPr>
        <w:pageBreakBefore w:val="0"/>
        <w:kinsoku/>
        <w:overflowPunct/>
        <w:bidi w:val="0"/>
        <w:spacing w:line="500" w:lineRule="exact"/>
        <w:ind w:left="403"/>
        <w:rPr>
          <w:rFonts w:ascii="宋体" w:hAnsi="Courier New" w:cs="宋体"/>
          <w:sz w:val="24"/>
          <w:highlight w:val="none"/>
        </w:rPr>
      </w:pPr>
      <w:r>
        <w:rPr>
          <w:rFonts w:hint="eastAsia" w:ascii="宋体" w:hAnsi="宋体" w:cs="宋体"/>
          <w:sz w:val="24"/>
          <w:highlight w:val="none"/>
        </w:rPr>
        <w:t>2.我方响应竞争性磋商文件的全部要求。</w:t>
      </w:r>
    </w:p>
    <w:p w14:paraId="167F35FD">
      <w:pPr>
        <w:pageBreakBefore w:val="0"/>
        <w:kinsoku/>
        <w:overflowPunct/>
        <w:bidi w:val="0"/>
        <w:spacing w:line="500" w:lineRule="exact"/>
        <w:ind w:left="403"/>
        <w:rPr>
          <w:rFonts w:ascii="宋体" w:hAnsi="Courier New" w:cs="宋体"/>
          <w:sz w:val="24"/>
          <w:highlight w:val="none"/>
        </w:rPr>
      </w:pPr>
      <w:r>
        <w:rPr>
          <w:rFonts w:hint="eastAsia" w:ascii="宋体" w:hAnsi="宋体" w:cs="宋体"/>
          <w:sz w:val="24"/>
          <w:highlight w:val="none"/>
        </w:rPr>
        <w:t>3.我方承诺在竞争性磋商文件规定的</w:t>
      </w:r>
      <w:r>
        <w:rPr>
          <w:rFonts w:hint="eastAsia" w:ascii="宋体" w:hAnsi="宋体" w:cs="宋体"/>
          <w:sz w:val="24"/>
          <w:highlight w:val="none"/>
          <w:lang w:eastAsia="zh-CN"/>
        </w:rPr>
        <w:t>磋商</w:t>
      </w:r>
      <w:r>
        <w:rPr>
          <w:rFonts w:hint="eastAsia" w:ascii="宋体" w:hAnsi="宋体" w:cs="宋体"/>
          <w:sz w:val="24"/>
          <w:highlight w:val="none"/>
        </w:rPr>
        <w:t>有效期内不撤销响应文件。</w:t>
      </w:r>
    </w:p>
    <w:p w14:paraId="70879538">
      <w:pPr>
        <w:pageBreakBefore w:val="0"/>
        <w:kinsoku/>
        <w:overflowPunct/>
        <w:bidi w:val="0"/>
        <w:spacing w:line="500" w:lineRule="exact"/>
        <w:ind w:left="403"/>
        <w:rPr>
          <w:rFonts w:ascii="宋体" w:hAnsi="Courier New" w:cs="宋体"/>
          <w:sz w:val="24"/>
          <w:highlight w:val="none"/>
        </w:rPr>
      </w:pPr>
      <w:r>
        <w:rPr>
          <w:rFonts w:hint="eastAsia" w:ascii="宋体" w:hAnsi="宋体" w:cs="宋体"/>
          <w:sz w:val="24"/>
          <w:highlight w:val="none"/>
        </w:rPr>
        <w:t>4.如我方成交，我方承诺：</w:t>
      </w:r>
    </w:p>
    <w:p w14:paraId="05C53F12">
      <w:pPr>
        <w:pageBreakBefore w:val="0"/>
        <w:kinsoku/>
        <w:overflowPunct/>
        <w:bidi w:val="0"/>
        <w:spacing w:line="500" w:lineRule="exact"/>
        <w:ind w:left="420" w:leftChars="200"/>
        <w:rPr>
          <w:rFonts w:ascii="宋体" w:hAnsi="Courier New" w:cs="宋体"/>
          <w:sz w:val="24"/>
          <w:highlight w:val="none"/>
        </w:rPr>
      </w:pPr>
      <w:r>
        <w:rPr>
          <w:rFonts w:hint="eastAsia" w:ascii="宋体" w:hAnsi="宋体" w:cs="宋体"/>
          <w:sz w:val="24"/>
          <w:highlight w:val="none"/>
        </w:rPr>
        <w:t>（</w:t>
      </w:r>
      <w:r>
        <w:rPr>
          <w:rFonts w:hint="eastAsia" w:ascii="宋体" w:hAnsi="Courier New" w:cs="宋体"/>
          <w:sz w:val="24"/>
          <w:highlight w:val="none"/>
        </w:rPr>
        <w:t>1）在收到成交通知书后，在成交通知书规定的期限内与你方签订合同；</w:t>
      </w:r>
    </w:p>
    <w:p w14:paraId="1552A845">
      <w:pPr>
        <w:pageBreakBefore w:val="0"/>
        <w:kinsoku/>
        <w:overflowPunct/>
        <w:bidi w:val="0"/>
        <w:spacing w:line="500" w:lineRule="exact"/>
        <w:ind w:left="420" w:leftChars="200"/>
        <w:rPr>
          <w:rFonts w:ascii="宋体" w:hAnsi="Courier New" w:cs="宋体"/>
          <w:sz w:val="24"/>
          <w:highlight w:val="none"/>
        </w:rPr>
      </w:pPr>
      <w:r>
        <w:rPr>
          <w:rFonts w:hint="eastAsia" w:ascii="宋体" w:hAnsi="宋体" w:cs="宋体"/>
          <w:sz w:val="24"/>
          <w:highlight w:val="none"/>
        </w:rPr>
        <w:t>（</w:t>
      </w:r>
      <w:r>
        <w:rPr>
          <w:rFonts w:hint="eastAsia" w:ascii="宋体" w:hAnsi="Courier New" w:cs="宋体"/>
          <w:sz w:val="24"/>
          <w:highlight w:val="none"/>
        </w:rPr>
        <w:t>2）在签订合同时不向你方提出附加条件；</w:t>
      </w:r>
    </w:p>
    <w:p w14:paraId="1FFCD709">
      <w:pPr>
        <w:pageBreakBefore w:val="0"/>
        <w:kinsoku/>
        <w:overflowPunct/>
        <w:bidi w:val="0"/>
        <w:spacing w:line="500" w:lineRule="exact"/>
        <w:ind w:left="420" w:leftChars="200"/>
        <w:rPr>
          <w:rFonts w:ascii="宋体" w:hAnsi="Courier New" w:cs="宋体"/>
          <w:sz w:val="24"/>
          <w:highlight w:val="none"/>
        </w:rPr>
      </w:pPr>
      <w:r>
        <w:rPr>
          <w:rFonts w:hint="eastAsia" w:ascii="宋体" w:hAnsi="宋体" w:cs="宋体"/>
          <w:sz w:val="24"/>
          <w:highlight w:val="none"/>
        </w:rPr>
        <w:t>（</w:t>
      </w:r>
      <w:r>
        <w:rPr>
          <w:rFonts w:hint="eastAsia" w:ascii="宋体" w:hAnsi="Courier New" w:cs="宋体"/>
          <w:sz w:val="24"/>
          <w:highlight w:val="none"/>
          <w:lang w:val="en-US" w:eastAsia="zh-CN"/>
        </w:rPr>
        <w:t>3</w:t>
      </w:r>
      <w:r>
        <w:rPr>
          <w:rFonts w:hint="eastAsia" w:ascii="宋体" w:hAnsi="Courier New" w:cs="宋体"/>
          <w:sz w:val="24"/>
          <w:highlight w:val="none"/>
        </w:rPr>
        <w:t>）在合同约定的期限内完成合同规定的全部义务。</w:t>
      </w:r>
    </w:p>
    <w:p w14:paraId="61B6D95E">
      <w:pPr>
        <w:pageBreakBefore w:val="0"/>
        <w:kinsoku/>
        <w:overflowPunct/>
        <w:bidi w:val="0"/>
        <w:spacing w:line="500" w:lineRule="exact"/>
        <w:ind w:left="403"/>
        <w:rPr>
          <w:rFonts w:ascii="宋体" w:hAnsi="Courier New" w:cs="宋体"/>
          <w:sz w:val="24"/>
          <w:highlight w:val="none"/>
        </w:rPr>
      </w:pPr>
      <w:r>
        <w:rPr>
          <w:rFonts w:hint="eastAsia" w:ascii="宋体" w:hAnsi="宋体" w:cs="宋体"/>
          <w:sz w:val="24"/>
          <w:highlight w:val="none"/>
        </w:rPr>
        <w:t>5.我方在此声明，所递交的响应文件及有关资料内容完整、真实和准确，且不存在第二章</w:t>
      </w:r>
      <w:r>
        <w:rPr>
          <w:rFonts w:hint="eastAsia" w:ascii="宋体" w:hAnsi="Courier New" w:cs="宋体"/>
          <w:sz w:val="24"/>
          <w:highlight w:val="none"/>
        </w:rPr>
        <w:t>“</w:t>
      </w:r>
      <w:r>
        <w:rPr>
          <w:rFonts w:hint="eastAsia" w:ascii="宋体" w:hAnsi="宋体" w:cs="宋体"/>
          <w:sz w:val="24"/>
          <w:highlight w:val="none"/>
        </w:rPr>
        <w:t>供应商须知</w:t>
      </w:r>
      <w:r>
        <w:rPr>
          <w:rFonts w:hint="eastAsia" w:ascii="Courier New" w:hAnsi="Courier New" w:cs="Courier New"/>
          <w:sz w:val="24"/>
          <w:highlight w:val="none"/>
        </w:rPr>
        <w:t>”</w:t>
      </w:r>
      <w:r>
        <w:rPr>
          <w:rFonts w:hint="eastAsia" w:ascii="宋体" w:hAnsi="宋体" w:cs="宋体"/>
          <w:sz w:val="24"/>
          <w:highlight w:val="none"/>
        </w:rPr>
        <w:t>规定的任何一种情形。</w:t>
      </w:r>
    </w:p>
    <w:p w14:paraId="0E667BF1">
      <w:pPr>
        <w:pageBreakBefore w:val="0"/>
        <w:kinsoku/>
        <w:overflowPunct/>
        <w:bidi w:val="0"/>
        <w:spacing w:line="500" w:lineRule="exact"/>
        <w:ind w:left="403"/>
        <w:rPr>
          <w:rFonts w:ascii="宋体" w:hAnsi="Courier New" w:cs="宋体"/>
          <w:sz w:val="24"/>
          <w:highlight w:val="none"/>
        </w:rPr>
      </w:pPr>
      <w:r>
        <w:rPr>
          <w:rFonts w:hint="eastAsia" w:ascii="宋体" w:hAnsi="Courier New" w:cs="宋体"/>
          <w:sz w:val="24"/>
          <w:highlight w:val="none"/>
        </w:rPr>
        <w:t>6.</w:t>
      </w:r>
      <w:r>
        <w:rPr>
          <w:rFonts w:hint="eastAsia" w:ascii="宋体" w:hAnsi="宋体" w:cs="宋体"/>
          <w:sz w:val="24"/>
          <w:highlight w:val="none"/>
        </w:rPr>
        <w:t>（其他补充说明）</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687D56DA">
      <w:pPr>
        <w:pageBreakBefore w:val="0"/>
        <w:kinsoku/>
        <w:overflowPunct/>
        <w:bidi w:val="0"/>
        <w:spacing w:line="500" w:lineRule="exact"/>
        <w:ind w:left="105"/>
        <w:rPr>
          <w:rFonts w:ascii="宋体" w:hAnsi="Courier New" w:cs="宋体"/>
          <w:sz w:val="24"/>
          <w:highlight w:val="none"/>
        </w:rPr>
      </w:pPr>
    </w:p>
    <w:p w14:paraId="4EE7EB6B">
      <w:pPr>
        <w:pStyle w:val="11"/>
        <w:pageBreakBefore w:val="0"/>
        <w:kinsoku/>
        <w:overflowPunct/>
        <w:bidi w:val="0"/>
        <w:spacing w:line="500" w:lineRule="exact"/>
        <w:rPr>
          <w:rFonts w:hAnsi="Courier New"/>
          <w:color w:val="auto"/>
          <w:highlight w:val="none"/>
        </w:rPr>
      </w:pPr>
    </w:p>
    <w:p w14:paraId="66FEECD0">
      <w:pPr>
        <w:pStyle w:val="25"/>
        <w:pageBreakBefore w:val="0"/>
        <w:kinsoku/>
        <w:overflowPunct/>
        <w:bidi w:val="0"/>
        <w:spacing w:line="500" w:lineRule="exact"/>
        <w:ind w:left="0" w:leftChars="0" w:firstLine="0" w:firstLineChars="0"/>
        <w:rPr>
          <w:sz w:val="24"/>
          <w:highlight w:val="none"/>
        </w:rPr>
      </w:pPr>
    </w:p>
    <w:p w14:paraId="223117F2">
      <w:pPr>
        <w:pageBreakBefore w:val="0"/>
        <w:kinsoku/>
        <w:overflowPunct/>
        <w:bidi w:val="0"/>
        <w:spacing w:line="500" w:lineRule="exact"/>
        <w:rPr>
          <w:highlight w:val="none"/>
        </w:rPr>
      </w:pPr>
    </w:p>
    <w:p w14:paraId="51FC962A">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宋体" w:cs="宋体"/>
          <w:sz w:val="24"/>
          <w:highlight w:val="none"/>
        </w:rPr>
        <w:t>供应商名称：（盖单位公章）</w:t>
      </w:r>
    </w:p>
    <w:p w14:paraId="20A7AFF5">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宋体" w:cs="宋体"/>
          <w:sz w:val="24"/>
          <w:highlight w:val="none"/>
        </w:rPr>
        <w:t>法定代表人：（签章）</w:t>
      </w:r>
    </w:p>
    <w:p w14:paraId="2DB982C6">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宋体" w:cs="宋体"/>
          <w:sz w:val="24"/>
          <w:highlight w:val="none"/>
        </w:rPr>
        <w:t>地      址：</w:t>
      </w:r>
    </w:p>
    <w:p w14:paraId="0BB456E3">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宋体" w:cs="宋体"/>
          <w:sz w:val="24"/>
          <w:highlight w:val="none"/>
        </w:rPr>
        <w:t>电      话：</w:t>
      </w:r>
    </w:p>
    <w:p w14:paraId="4DCABC59">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宋体" w:cs="宋体"/>
          <w:sz w:val="24"/>
          <w:highlight w:val="none"/>
        </w:rPr>
        <w:t>邮      箱：</w:t>
      </w:r>
    </w:p>
    <w:p w14:paraId="53552E20">
      <w:pPr>
        <w:pageBreakBefore w:val="0"/>
        <w:kinsoku/>
        <w:overflowPunct/>
        <w:bidi w:val="0"/>
        <w:spacing w:line="500" w:lineRule="exact"/>
        <w:ind w:firstLine="4080" w:firstLineChars="1700"/>
        <w:jc w:val="left"/>
        <w:rPr>
          <w:rFonts w:ascii="宋体" w:hAnsi="Courier New" w:cs="宋体"/>
          <w:sz w:val="24"/>
          <w:highlight w:val="none"/>
        </w:rPr>
      </w:pPr>
      <w:r>
        <w:rPr>
          <w:rFonts w:hint="eastAsia" w:ascii="宋体" w:hAnsi="Courier New" w:cs="宋体"/>
          <w:sz w:val="24"/>
          <w:highlight w:val="none"/>
        </w:rPr>
        <w:t xml:space="preserve">日      期：  </w:t>
      </w:r>
      <w:r>
        <w:rPr>
          <w:rFonts w:hint="eastAsia" w:ascii="宋体" w:hAnsi="宋体" w:cs="宋体"/>
          <w:sz w:val="24"/>
          <w:highlight w:val="none"/>
        </w:rPr>
        <w:t>年月日</w:t>
      </w:r>
    </w:p>
    <w:p w14:paraId="2E79D862">
      <w:pPr>
        <w:pStyle w:val="47"/>
        <w:pageBreakBefore w:val="0"/>
        <w:kinsoku/>
        <w:overflowPunct/>
        <w:bidi w:val="0"/>
        <w:spacing w:line="500" w:lineRule="exact"/>
        <w:jc w:val="center"/>
        <w:rPr>
          <w:rFonts w:ascii="宋体" w:hAnsi="宋体" w:cs="宋体"/>
          <w:b/>
          <w:sz w:val="28"/>
          <w:szCs w:val="28"/>
          <w:highlight w:val="none"/>
        </w:rPr>
      </w:pPr>
      <w:r>
        <w:rPr>
          <w:rFonts w:hint="eastAsia" w:ascii="宋体" w:hAnsi="Courier New"/>
          <w:sz w:val="24"/>
          <w:szCs w:val="24"/>
          <w:highlight w:val="none"/>
        </w:rPr>
        <w:br w:type="page"/>
      </w:r>
      <w:bookmarkStart w:id="318" w:name="_Toc12360_WPSOffice_Level2"/>
      <w:bookmarkEnd w:id="318"/>
      <w:r>
        <w:rPr>
          <w:rFonts w:hint="eastAsia" w:ascii="宋体" w:hAnsi="宋体" w:cs="宋体"/>
          <w:b/>
          <w:sz w:val="28"/>
          <w:szCs w:val="28"/>
          <w:highlight w:val="none"/>
        </w:rPr>
        <w:t>（二）</w:t>
      </w:r>
      <w:r>
        <w:rPr>
          <w:rFonts w:hint="eastAsia" w:ascii="宋体" w:hAnsi="宋体" w:cs="宋体"/>
          <w:b/>
          <w:sz w:val="28"/>
          <w:szCs w:val="28"/>
          <w:highlight w:val="none"/>
          <w:lang w:eastAsia="zh-CN"/>
        </w:rPr>
        <w:t>响应</w:t>
      </w:r>
      <w:r>
        <w:rPr>
          <w:rFonts w:hint="eastAsia" w:ascii="宋体" w:hAnsi="宋体" w:cs="宋体"/>
          <w:b/>
          <w:sz w:val="28"/>
          <w:szCs w:val="28"/>
          <w:highlight w:val="none"/>
        </w:rPr>
        <w:t>函附录</w:t>
      </w:r>
    </w:p>
    <w:p w14:paraId="5B079AEE">
      <w:pPr>
        <w:pStyle w:val="11"/>
        <w:pageBreakBefore w:val="0"/>
        <w:kinsoku/>
        <w:overflowPunct/>
        <w:bidi w:val="0"/>
        <w:spacing w:line="500" w:lineRule="exact"/>
        <w:rPr>
          <w:rFonts w:hAnsi="宋体"/>
          <w:color w:val="auto"/>
          <w:highlight w:val="none"/>
        </w:rPr>
      </w:pPr>
    </w:p>
    <w:tbl>
      <w:tblPr>
        <w:tblStyle w:val="26"/>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916"/>
      </w:tblGrid>
      <w:tr w14:paraId="28E7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C21BFD">
            <w:pPr>
              <w:pageBreakBefore w:val="0"/>
              <w:widowControl/>
              <w:kinsoku/>
              <w:overflowPunct/>
              <w:bidi w:val="0"/>
              <w:spacing w:line="500" w:lineRule="exact"/>
              <w:jc w:val="center"/>
              <w:textAlignment w:val="center"/>
              <w:rPr>
                <w:rFonts w:ascii="宋体" w:hAnsi="宋体" w:cs="宋体"/>
                <w:sz w:val="24"/>
                <w:highlight w:val="none"/>
              </w:rPr>
            </w:pPr>
            <w:r>
              <w:rPr>
                <w:rFonts w:hint="eastAsia" w:ascii="宋体" w:hAnsi="宋体" w:cs="宋体"/>
                <w:kern w:val="0"/>
                <w:sz w:val="24"/>
                <w:highlight w:val="none"/>
              </w:rPr>
              <w:t>项目名称</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42C9917">
            <w:pPr>
              <w:pageBreakBefore w:val="0"/>
              <w:kinsoku/>
              <w:overflowPunct/>
              <w:bidi w:val="0"/>
              <w:spacing w:line="500" w:lineRule="exact"/>
              <w:jc w:val="center"/>
              <w:rPr>
                <w:rFonts w:ascii="宋体" w:hAnsi="宋体" w:cs="宋体"/>
                <w:sz w:val="24"/>
                <w:highlight w:val="none"/>
              </w:rPr>
            </w:pPr>
          </w:p>
        </w:tc>
      </w:tr>
      <w:tr w14:paraId="34D3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15B899">
            <w:pPr>
              <w:pageBreakBefore w:val="0"/>
              <w:widowControl/>
              <w:kinsoku/>
              <w:overflowPunct/>
              <w:bidi w:val="0"/>
              <w:spacing w:line="500" w:lineRule="exact"/>
              <w:jc w:val="center"/>
              <w:textAlignment w:val="center"/>
              <w:rPr>
                <w:rFonts w:ascii="宋体" w:hAnsi="宋体" w:cs="宋体"/>
                <w:sz w:val="24"/>
                <w:highlight w:val="none"/>
              </w:rPr>
            </w:pPr>
            <w:r>
              <w:rPr>
                <w:rFonts w:hint="eastAsia" w:ascii="宋体" w:hAnsi="宋体" w:cs="宋体"/>
                <w:kern w:val="0"/>
                <w:sz w:val="24"/>
                <w:highlight w:val="none"/>
              </w:rPr>
              <w:t>供应商名称</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C4B20D9">
            <w:pPr>
              <w:pageBreakBefore w:val="0"/>
              <w:kinsoku/>
              <w:overflowPunct/>
              <w:bidi w:val="0"/>
              <w:spacing w:line="500" w:lineRule="exact"/>
              <w:jc w:val="center"/>
              <w:rPr>
                <w:rFonts w:ascii="宋体" w:hAnsi="宋体" w:cs="宋体"/>
                <w:sz w:val="24"/>
                <w:highlight w:val="none"/>
              </w:rPr>
            </w:pPr>
          </w:p>
        </w:tc>
      </w:tr>
      <w:tr w14:paraId="6D60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FB6B1D">
            <w:pPr>
              <w:pageBreakBefore w:val="0"/>
              <w:widowControl/>
              <w:kinsoku/>
              <w:overflowPunct/>
              <w:bidi w:val="0"/>
              <w:spacing w:line="500" w:lineRule="exact"/>
              <w:jc w:val="center"/>
              <w:textAlignment w:val="center"/>
              <w:rPr>
                <w:rFonts w:ascii="宋体" w:hAnsi="宋体" w:cs="宋体"/>
                <w:sz w:val="24"/>
                <w:highlight w:val="none"/>
              </w:rPr>
            </w:pPr>
            <w:r>
              <w:rPr>
                <w:rFonts w:hint="eastAsia" w:ascii="宋体" w:hAnsi="宋体" w:cs="宋体"/>
                <w:kern w:val="0"/>
                <w:sz w:val="24"/>
                <w:highlight w:val="none"/>
              </w:rPr>
              <w:t>磋商内容</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6F30ABE">
            <w:pPr>
              <w:pageBreakBefore w:val="0"/>
              <w:kinsoku/>
              <w:overflowPunct/>
              <w:bidi w:val="0"/>
              <w:spacing w:line="500" w:lineRule="exact"/>
              <w:jc w:val="center"/>
              <w:rPr>
                <w:rFonts w:ascii="宋体" w:hAnsi="宋体" w:cs="宋体"/>
                <w:sz w:val="24"/>
                <w:highlight w:val="none"/>
              </w:rPr>
            </w:pPr>
          </w:p>
        </w:tc>
      </w:tr>
      <w:tr w14:paraId="6B2A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59" w:type="dxa"/>
            <w:vMerge w:val="restart"/>
            <w:tcBorders>
              <w:top w:val="nil"/>
              <w:left w:val="single" w:color="auto" w:sz="4" w:space="0"/>
              <w:bottom w:val="single" w:color="auto" w:sz="4" w:space="0"/>
              <w:right w:val="single" w:color="auto" w:sz="4" w:space="0"/>
            </w:tcBorders>
            <w:tcMar>
              <w:top w:w="15" w:type="dxa"/>
              <w:left w:w="15" w:type="dxa"/>
              <w:bottom w:w="15" w:type="dxa"/>
              <w:right w:w="15" w:type="dxa"/>
            </w:tcMar>
            <w:vAlign w:val="center"/>
          </w:tcPr>
          <w:p w14:paraId="316A27A5">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磋商报价</w:t>
            </w:r>
          </w:p>
        </w:tc>
        <w:tc>
          <w:tcPr>
            <w:tcW w:w="6916" w:type="dxa"/>
            <w:vMerge w:val="restart"/>
            <w:tcBorders>
              <w:top w:val="nil"/>
              <w:left w:val="nil"/>
              <w:bottom w:val="single" w:color="auto" w:sz="4" w:space="0"/>
              <w:right w:val="single" w:color="auto" w:sz="4" w:space="0"/>
            </w:tcBorders>
            <w:tcMar>
              <w:top w:w="15" w:type="dxa"/>
              <w:left w:w="15" w:type="dxa"/>
              <w:bottom w:w="15" w:type="dxa"/>
              <w:right w:w="15" w:type="dxa"/>
            </w:tcMar>
            <w:vAlign w:val="center"/>
          </w:tcPr>
          <w:p w14:paraId="3141AA4C">
            <w:pPr>
              <w:pageBreakBefore w:val="0"/>
              <w:kinsoku/>
              <w:overflowPunct/>
              <w:bidi w:val="0"/>
              <w:spacing w:line="500" w:lineRule="exact"/>
              <w:rPr>
                <w:rFonts w:ascii="宋体" w:hAnsi="宋体" w:cs="宋体"/>
                <w:sz w:val="24"/>
                <w:highlight w:val="none"/>
                <w:u w:val="single"/>
              </w:rPr>
            </w:pPr>
            <w:r>
              <w:rPr>
                <w:rFonts w:hint="eastAsia" w:ascii="宋体" w:hAnsi="宋体" w:cs="宋体"/>
                <w:sz w:val="24"/>
                <w:highlight w:val="none"/>
              </w:rPr>
              <w:t>大写：</w:t>
            </w:r>
          </w:p>
          <w:p w14:paraId="215D1E8F">
            <w:pPr>
              <w:pStyle w:val="23"/>
              <w:pageBreakBefore w:val="0"/>
              <w:widowControl w:val="0"/>
              <w:kinsoku/>
              <w:overflowPunct/>
              <w:autoSpaceDE w:val="0"/>
              <w:autoSpaceDN w:val="0"/>
              <w:bidi w:val="0"/>
              <w:spacing w:before="0" w:beforeAutospacing="0" w:after="0" w:afterAutospacing="0" w:line="500" w:lineRule="exact"/>
              <w:ind w:firstLine="0" w:firstLineChars="0"/>
              <w:rPr>
                <w:rFonts w:cs="宋体"/>
                <w:highlight w:val="none"/>
              </w:rPr>
            </w:pPr>
          </w:p>
          <w:p w14:paraId="0881622B">
            <w:pPr>
              <w:pStyle w:val="23"/>
              <w:pageBreakBefore w:val="0"/>
              <w:widowControl w:val="0"/>
              <w:kinsoku/>
              <w:overflowPunct/>
              <w:autoSpaceDE w:val="0"/>
              <w:autoSpaceDN w:val="0"/>
              <w:bidi w:val="0"/>
              <w:spacing w:before="0" w:beforeAutospacing="0" w:after="0" w:afterAutospacing="0" w:line="500" w:lineRule="exact"/>
              <w:ind w:firstLine="0" w:firstLineChars="0"/>
              <w:rPr>
                <w:rFonts w:cs="宋体"/>
                <w:highlight w:val="none"/>
                <w:u w:val="single"/>
              </w:rPr>
            </w:pPr>
            <w:r>
              <w:rPr>
                <w:rFonts w:hint="eastAsia" w:cs="宋体"/>
                <w:highlight w:val="none"/>
              </w:rPr>
              <w:t>小写：</w:t>
            </w:r>
            <w:r>
              <w:rPr>
                <w:rFonts w:hint="eastAsia" w:cs="宋体"/>
                <w:highlight w:val="none"/>
                <w:lang w:val="en-US" w:eastAsia="zh-CN"/>
              </w:rPr>
              <w:t xml:space="preserve">           </w:t>
            </w:r>
            <w:r>
              <w:rPr>
                <w:rFonts w:hint="eastAsia" w:cs="宋体"/>
                <w:highlight w:val="none"/>
              </w:rPr>
              <w:t>元</w:t>
            </w:r>
          </w:p>
        </w:tc>
      </w:tr>
      <w:tr w14:paraId="6DAA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59" w:type="dxa"/>
            <w:vMerge w:val="continue"/>
            <w:tcBorders>
              <w:top w:val="nil"/>
              <w:left w:val="single" w:color="auto" w:sz="4" w:space="0"/>
              <w:bottom w:val="single" w:color="auto" w:sz="4" w:space="0"/>
              <w:right w:val="single" w:color="auto" w:sz="4" w:space="0"/>
            </w:tcBorders>
            <w:tcMar>
              <w:top w:w="15" w:type="dxa"/>
              <w:left w:w="15" w:type="dxa"/>
              <w:bottom w:w="15" w:type="dxa"/>
              <w:right w:w="15" w:type="dxa"/>
            </w:tcMar>
            <w:vAlign w:val="center"/>
          </w:tcPr>
          <w:p w14:paraId="1E9F0943">
            <w:pPr>
              <w:pageBreakBefore w:val="0"/>
              <w:kinsoku/>
              <w:overflowPunct/>
              <w:bidi w:val="0"/>
              <w:spacing w:line="500" w:lineRule="exact"/>
              <w:rPr>
                <w:rFonts w:ascii="宋体" w:hAnsi="宋体" w:cs="宋体"/>
                <w:sz w:val="20"/>
                <w:szCs w:val="20"/>
                <w:highlight w:val="none"/>
              </w:rPr>
            </w:pPr>
          </w:p>
        </w:tc>
        <w:tc>
          <w:tcPr>
            <w:tcW w:w="6916" w:type="dxa"/>
            <w:vMerge w:val="continue"/>
            <w:tcBorders>
              <w:top w:val="nil"/>
              <w:left w:val="nil"/>
              <w:bottom w:val="single" w:color="auto" w:sz="4" w:space="0"/>
              <w:right w:val="single" w:color="auto" w:sz="4" w:space="0"/>
            </w:tcBorders>
            <w:tcMar>
              <w:top w:w="15" w:type="dxa"/>
              <w:left w:w="15" w:type="dxa"/>
              <w:bottom w:w="15" w:type="dxa"/>
              <w:right w:w="15" w:type="dxa"/>
            </w:tcMar>
            <w:vAlign w:val="center"/>
          </w:tcPr>
          <w:p w14:paraId="62B115E3">
            <w:pPr>
              <w:pageBreakBefore w:val="0"/>
              <w:kinsoku/>
              <w:overflowPunct/>
              <w:bidi w:val="0"/>
              <w:spacing w:line="500" w:lineRule="exact"/>
              <w:rPr>
                <w:rFonts w:ascii="宋体" w:hAnsi="宋体" w:cs="宋体"/>
                <w:sz w:val="20"/>
                <w:szCs w:val="20"/>
                <w:highlight w:val="none"/>
              </w:rPr>
            </w:pPr>
          </w:p>
        </w:tc>
      </w:tr>
      <w:tr w14:paraId="4E36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859" w:type="dxa"/>
            <w:vMerge w:val="continue"/>
            <w:tcBorders>
              <w:top w:val="nil"/>
              <w:left w:val="single" w:color="auto" w:sz="4" w:space="0"/>
              <w:bottom w:val="single" w:color="auto" w:sz="4" w:space="0"/>
              <w:right w:val="single" w:color="auto" w:sz="4" w:space="0"/>
            </w:tcBorders>
            <w:tcMar>
              <w:top w:w="15" w:type="dxa"/>
              <w:left w:w="15" w:type="dxa"/>
              <w:bottom w:w="15" w:type="dxa"/>
              <w:right w:w="15" w:type="dxa"/>
            </w:tcMar>
            <w:vAlign w:val="center"/>
          </w:tcPr>
          <w:p w14:paraId="104C8FD2">
            <w:pPr>
              <w:pageBreakBefore w:val="0"/>
              <w:kinsoku/>
              <w:overflowPunct/>
              <w:bidi w:val="0"/>
              <w:spacing w:line="500" w:lineRule="exact"/>
              <w:rPr>
                <w:rFonts w:ascii="宋体" w:hAnsi="宋体" w:cs="宋体"/>
                <w:sz w:val="20"/>
                <w:szCs w:val="20"/>
                <w:highlight w:val="none"/>
              </w:rPr>
            </w:pPr>
          </w:p>
        </w:tc>
        <w:tc>
          <w:tcPr>
            <w:tcW w:w="6916" w:type="dxa"/>
            <w:vMerge w:val="continue"/>
            <w:tcBorders>
              <w:top w:val="nil"/>
              <w:left w:val="nil"/>
              <w:bottom w:val="single" w:color="auto" w:sz="4" w:space="0"/>
              <w:right w:val="single" w:color="auto" w:sz="4" w:space="0"/>
            </w:tcBorders>
            <w:tcMar>
              <w:top w:w="15" w:type="dxa"/>
              <w:left w:w="15" w:type="dxa"/>
              <w:bottom w:w="15" w:type="dxa"/>
              <w:right w:w="15" w:type="dxa"/>
            </w:tcMar>
            <w:vAlign w:val="center"/>
          </w:tcPr>
          <w:p w14:paraId="6DAFA699">
            <w:pPr>
              <w:pageBreakBefore w:val="0"/>
              <w:kinsoku/>
              <w:overflowPunct/>
              <w:bidi w:val="0"/>
              <w:spacing w:line="500" w:lineRule="exact"/>
              <w:rPr>
                <w:rFonts w:ascii="宋体" w:hAnsi="宋体" w:cs="宋体"/>
                <w:sz w:val="20"/>
                <w:szCs w:val="20"/>
                <w:highlight w:val="none"/>
              </w:rPr>
            </w:pPr>
          </w:p>
        </w:tc>
      </w:tr>
      <w:tr w14:paraId="479D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58819C">
            <w:pPr>
              <w:pageBreakBefore w:val="0"/>
              <w:widowControl/>
              <w:kinsoku/>
              <w:overflowPunct/>
              <w:bidi w:val="0"/>
              <w:spacing w:line="500" w:lineRule="exact"/>
              <w:jc w:val="center"/>
              <w:textAlignment w:val="center"/>
              <w:rPr>
                <w:rFonts w:hint="eastAsia" w:ascii="宋体" w:hAnsi="宋体" w:eastAsia="宋体" w:cs="宋体"/>
                <w:sz w:val="24"/>
                <w:highlight w:val="none"/>
                <w:lang w:val="en-US" w:eastAsia="zh-CN"/>
              </w:rPr>
            </w:pPr>
            <w:r>
              <w:rPr>
                <w:rFonts w:hint="eastAsia" w:ascii="宋体" w:hAnsi="宋体" w:cs="宋体"/>
                <w:sz w:val="24"/>
                <w:highlight w:val="none"/>
              </w:rPr>
              <w:t>合同履行期限</w:t>
            </w:r>
            <w:r>
              <w:rPr>
                <w:rFonts w:hint="eastAsia" w:ascii="宋体" w:hAnsi="宋体" w:cs="宋体"/>
                <w:sz w:val="24"/>
                <w:highlight w:val="none"/>
                <w:lang w:val="en-US" w:eastAsia="zh-CN"/>
              </w:rPr>
              <w:t>/交货期</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45ADD72">
            <w:pPr>
              <w:pageBreakBefore w:val="0"/>
              <w:kinsoku/>
              <w:overflowPunct/>
              <w:bidi w:val="0"/>
              <w:spacing w:line="500" w:lineRule="exact"/>
              <w:jc w:val="center"/>
              <w:rPr>
                <w:rFonts w:ascii="宋体" w:hAnsi="宋体" w:cs="宋体"/>
                <w:sz w:val="24"/>
                <w:highlight w:val="none"/>
              </w:rPr>
            </w:pPr>
          </w:p>
        </w:tc>
      </w:tr>
      <w:tr w14:paraId="027E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95B4EF">
            <w:pPr>
              <w:pageBreakBefore w:val="0"/>
              <w:widowControl/>
              <w:kinsoku/>
              <w:overflowPunct/>
              <w:bidi w:val="0"/>
              <w:spacing w:line="500" w:lineRule="exact"/>
              <w:jc w:val="center"/>
              <w:textAlignment w:val="center"/>
              <w:rPr>
                <w:rFonts w:ascii="宋体" w:hAnsi="宋体" w:cs="宋体"/>
                <w:sz w:val="24"/>
                <w:highlight w:val="none"/>
              </w:rPr>
            </w:pPr>
            <w:r>
              <w:rPr>
                <w:rFonts w:hint="eastAsia" w:ascii="宋体" w:hAnsi="宋体" w:cs="宋体"/>
                <w:sz w:val="24"/>
                <w:highlight w:val="none"/>
              </w:rPr>
              <w:t>质量标准</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7B42683">
            <w:pPr>
              <w:pageBreakBefore w:val="0"/>
              <w:kinsoku/>
              <w:overflowPunct/>
              <w:bidi w:val="0"/>
              <w:spacing w:line="500" w:lineRule="exact"/>
              <w:jc w:val="left"/>
              <w:rPr>
                <w:rFonts w:ascii="宋体" w:hAnsi="宋体" w:cs="宋体"/>
                <w:sz w:val="24"/>
                <w:highlight w:val="none"/>
              </w:rPr>
            </w:pPr>
          </w:p>
        </w:tc>
      </w:tr>
      <w:tr w14:paraId="6D2F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F440A7">
            <w:pPr>
              <w:pageBreakBefore w:val="0"/>
              <w:widowControl/>
              <w:kinsoku/>
              <w:overflowPunct/>
              <w:bidi w:val="0"/>
              <w:spacing w:line="500" w:lineRule="exact"/>
              <w:jc w:val="center"/>
              <w:textAlignment w:val="center"/>
              <w:rPr>
                <w:rFonts w:hint="eastAsia" w:ascii="宋体" w:hAnsi="宋体" w:eastAsia="宋体" w:cs="宋体"/>
                <w:sz w:val="24"/>
                <w:highlight w:val="none"/>
                <w:lang w:eastAsia="zh-CN"/>
              </w:rPr>
            </w:pPr>
            <w:r>
              <w:rPr>
                <w:rFonts w:hint="eastAsia" w:ascii="宋体" w:hAnsi="宋体" w:cs="宋体"/>
                <w:sz w:val="24"/>
                <w:highlight w:val="none"/>
                <w:lang w:eastAsia="zh-CN"/>
              </w:rPr>
              <w:t>质保期</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E7BE93D">
            <w:pPr>
              <w:pageBreakBefore w:val="0"/>
              <w:kinsoku/>
              <w:overflowPunct/>
              <w:bidi w:val="0"/>
              <w:spacing w:line="500" w:lineRule="exact"/>
              <w:jc w:val="left"/>
              <w:rPr>
                <w:rFonts w:ascii="宋体" w:hAnsi="宋体" w:cs="宋体"/>
                <w:sz w:val="24"/>
                <w:highlight w:val="none"/>
              </w:rPr>
            </w:pPr>
          </w:p>
        </w:tc>
      </w:tr>
      <w:tr w14:paraId="6B8B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414785">
            <w:pPr>
              <w:pageBreakBefore w:val="0"/>
              <w:widowControl/>
              <w:kinsoku/>
              <w:overflowPunct/>
              <w:bidi w:val="0"/>
              <w:spacing w:line="500" w:lineRule="exact"/>
              <w:jc w:val="center"/>
              <w:textAlignment w:val="center"/>
              <w:rPr>
                <w:rFonts w:ascii="宋体" w:hAnsi="宋体" w:cs="宋体"/>
                <w:sz w:val="24"/>
                <w:highlight w:val="none"/>
              </w:rPr>
            </w:pPr>
            <w:r>
              <w:rPr>
                <w:rFonts w:hint="eastAsia" w:ascii="宋体" w:hAnsi="宋体" w:cs="宋体"/>
                <w:kern w:val="0"/>
                <w:sz w:val="24"/>
                <w:highlight w:val="none"/>
                <w:lang w:eastAsia="zh-CN"/>
              </w:rPr>
              <w:t>磋商</w:t>
            </w:r>
            <w:r>
              <w:rPr>
                <w:rFonts w:hint="eastAsia" w:ascii="宋体" w:hAnsi="宋体" w:cs="宋体"/>
                <w:kern w:val="0"/>
                <w:sz w:val="24"/>
                <w:highlight w:val="none"/>
              </w:rPr>
              <w:t>有效期</w:t>
            </w:r>
          </w:p>
        </w:tc>
        <w:tc>
          <w:tcPr>
            <w:tcW w:w="6916"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A94A49A">
            <w:pPr>
              <w:pageBreakBefore w:val="0"/>
              <w:widowControl/>
              <w:kinsoku/>
              <w:overflowPunct/>
              <w:bidi w:val="0"/>
              <w:spacing w:line="500" w:lineRule="exact"/>
              <w:jc w:val="left"/>
              <w:textAlignment w:val="center"/>
              <w:rPr>
                <w:rFonts w:ascii="宋体" w:hAnsi="宋体" w:cs="宋体"/>
                <w:sz w:val="24"/>
                <w:highlight w:val="none"/>
              </w:rPr>
            </w:pPr>
          </w:p>
        </w:tc>
      </w:tr>
      <w:tr w14:paraId="1487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8775"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67B4172">
            <w:pPr>
              <w:pageBreakBefore w:val="0"/>
              <w:widowControl/>
              <w:kinsoku/>
              <w:overflowPunct/>
              <w:bidi w:val="0"/>
              <w:spacing w:line="500" w:lineRule="exact"/>
              <w:textAlignment w:val="top"/>
              <w:rPr>
                <w:rFonts w:ascii="宋体" w:hAnsi="宋体" w:cs="宋体"/>
                <w:sz w:val="24"/>
                <w:highlight w:val="none"/>
              </w:rPr>
            </w:pPr>
            <w:r>
              <w:rPr>
                <w:rFonts w:hint="eastAsia" w:ascii="宋体" w:hAnsi="宋体" w:cs="宋体"/>
                <w:kern w:val="0"/>
                <w:sz w:val="24"/>
                <w:highlight w:val="none"/>
              </w:rPr>
              <w:t>备注：</w:t>
            </w:r>
          </w:p>
        </w:tc>
      </w:tr>
    </w:tbl>
    <w:p w14:paraId="1D4A17F2">
      <w:pPr>
        <w:pageBreakBefore w:val="0"/>
        <w:kinsoku/>
        <w:overflowPunct/>
        <w:autoSpaceDE w:val="0"/>
        <w:autoSpaceDN w:val="0"/>
        <w:bidi w:val="0"/>
        <w:adjustRightInd w:val="0"/>
        <w:spacing w:line="500" w:lineRule="exact"/>
        <w:ind w:firstLine="480" w:firstLineChars="200"/>
        <w:rPr>
          <w:rFonts w:ascii="宋体" w:hAnsi="宋体" w:cs="宋体"/>
          <w:sz w:val="24"/>
          <w:highlight w:val="none"/>
        </w:rPr>
      </w:pPr>
      <w:r>
        <w:rPr>
          <w:rFonts w:hint="eastAsia" w:ascii="宋体" w:hAnsi="宋体" w:cs="宋体"/>
          <w:sz w:val="24"/>
          <w:highlight w:val="none"/>
          <w:lang w:eastAsia="zh-CN"/>
        </w:rPr>
        <w:t>磋商</w:t>
      </w:r>
      <w:r>
        <w:rPr>
          <w:rFonts w:hint="eastAsia" w:ascii="宋体" w:hAnsi="宋体" w:cs="宋体"/>
          <w:sz w:val="24"/>
          <w:highlight w:val="none"/>
        </w:rPr>
        <w:t>报价是指采购人指定地点交货的，包括基于交货发生的各种税费、运费及保险费、运杂费、安装费、检验费以及伴随的消耗材料、备品备件</w:t>
      </w:r>
      <w:r>
        <w:rPr>
          <w:rFonts w:hint="eastAsia" w:ascii="宋体" w:hAnsi="宋体" w:cs="宋体"/>
          <w:sz w:val="24"/>
          <w:highlight w:val="none"/>
          <w:lang w:val="en-US" w:eastAsia="zh-CN"/>
        </w:rPr>
        <w:t>等</w:t>
      </w:r>
      <w:r>
        <w:rPr>
          <w:rFonts w:hint="eastAsia" w:ascii="宋体" w:hAnsi="宋体" w:cs="宋体"/>
          <w:sz w:val="24"/>
          <w:highlight w:val="none"/>
        </w:rPr>
        <w:t xml:space="preserve">总报价。                        </w:t>
      </w:r>
    </w:p>
    <w:p w14:paraId="27C6CD5A">
      <w:pPr>
        <w:pageBreakBefore w:val="0"/>
        <w:kinsoku/>
        <w:overflowPunct/>
        <w:autoSpaceDE w:val="0"/>
        <w:autoSpaceDN w:val="0"/>
        <w:bidi w:val="0"/>
        <w:adjustRightInd w:val="0"/>
        <w:spacing w:line="500" w:lineRule="exact"/>
        <w:ind w:firstLine="4200" w:firstLineChars="1750"/>
        <w:rPr>
          <w:rFonts w:ascii="宋体" w:hAnsi="宋体" w:cs="宋体"/>
          <w:sz w:val="24"/>
          <w:highlight w:val="none"/>
          <w:u w:val="single"/>
        </w:rPr>
      </w:pPr>
      <w:r>
        <w:rPr>
          <w:rFonts w:hint="eastAsia" w:ascii="宋体" w:hAnsi="宋体" w:cs="宋体"/>
          <w:sz w:val="24"/>
          <w:highlight w:val="none"/>
        </w:rPr>
        <w:t>供应商名称：（盖单位公章）</w:t>
      </w:r>
    </w:p>
    <w:p w14:paraId="7C808019">
      <w:pPr>
        <w:pageBreakBefore w:val="0"/>
        <w:kinsoku/>
        <w:overflowPunct/>
        <w:autoSpaceDE w:val="0"/>
        <w:autoSpaceDN w:val="0"/>
        <w:bidi w:val="0"/>
        <w:adjustRightInd w:val="0"/>
        <w:spacing w:line="500" w:lineRule="exact"/>
        <w:rPr>
          <w:rFonts w:ascii="宋体" w:hAnsi="宋体" w:cs="宋体"/>
          <w:sz w:val="24"/>
          <w:highlight w:val="none"/>
          <w:u w:val="single"/>
        </w:rPr>
      </w:pPr>
      <w:r>
        <w:rPr>
          <w:rFonts w:hint="eastAsia" w:ascii="宋体" w:hAnsi="宋体" w:cs="宋体"/>
          <w:sz w:val="24"/>
          <w:highlight w:val="none"/>
        </w:rPr>
        <w:t xml:space="preserve">                                   法定代表人：（签章）</w:t>
      </w:r>
    </w:p>
    <w:p w14:paraId="508D5F02">
      <w:pPr>
        <w:pStyle w:val="11"/>
        <w:pageBreakBefore w:val="0"/>
        <w:kinsoku/>
        <w:overflowPunct/>
        <w:bidi w:val="0"/>
        <w:spacing w:line="500" w:lineRule="exact"/>
        <w:ind w:firstLine="240" w:firstLineChars="100"/>
        <w:rPr>
          <w:rFonts w:hint="eastAsia" w:hAnsi="宋体"/>
          <w:color w:val="auto"/>
          <w:highlight w:val="none"/>
        </w:rPr>
      </w:pPr>
      <w:r>
        <w:rPr>
          <w:rFonts w:hint="eastAsia" w:hAnsi="宋体"/>
          <w:color w:val="auto"/>
          <w:highlight w:val="none"/>
        </w:rPr>
        <w:t xml:space="preserve">                                 日      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74FAB3B4"/>
    <w:p w14:paraId="1009FE5A">
      <w:pPr>
        <w:pageBreakBefore w:val="0"/>
        <w:tabs>
          <w:tab w:val="left" w:pos="0"/>
        </w:tabs>
        <w:kinsoku/>
        <w:overflowPunct/>
        <w:bidi w:val="0"/>
        <w:spacing w:line="500" w:lineRule="exact"/>
        <w:jc w:val="left"/>
        <w:rPr>
          <w:rFonts w:ascii="宋体" w:hAnsi="宋体" w:cs="宋体"/>
          <w:b/>
          <w:sz w:val="24"/>
          <w:highlight w:val="none"/>
        </w:rPr>
      </w:pPr>
      <w:r>
        <w:rPr>
          <w:rFonts w:hint="eastAsia" w:ascii="宋体" w:hAnsi="宋体" w:cs="宋体"/>
          <w:b/>
          <w:sz w:val="24"/>
          <w:highlight w:val="none"/>
        </w:rPr>
        <w:t>附件：报价明细表</w:t>
      </w:r>
    </w:p>
    <w:p w14:paraId="710AE37E">
      <w:pPr>
        <w:pStyle w:val="24"/>
        <w:pageBreakBefore w:val="0"/>
        <w:kinsoku/>
        <w:overflowPunct/>
        <w:bidi w:val="0"/>
        <w:spacing w:line="500" w:lineRule="exact"/>
        <w:ind w:firstLine="6195" w:firstLineChars="2950"/>
        <w:rPr>
          <w:rFonts w:ascii="宋体" w:hAnsi="宋体" w:eastAsia="宋体" w:cs="宋体"/>
          <w:sz w:val="21"/>
          <w:szCs w:val="21"/>
          <w:highlight w:val="none"/>
        </w:rPr>
      </w:pPr>
    </w:p>
    <w:p w14:paraId="480E3AEE">
      <w:pPr>
        <w:pStyle w:val="24"/>
        <w:pageBreakBefore w:val="0"/>
        <w:kinsoku/>
        <w:overflowPunct/>
        <w:bidi w:val="0"/>
        <w:spacing w:line="500" w:lineRule="exact"/>
        <w:ind w:firstLine="6195" w:firstLineChars="2950"/>
        <w:rPr>
          <w:rFonts w:ascii="宋体" w:hAnsi="宋体" w:eastAsia="宋体" w:cs="宋体"/>
          <w:sz w:val="21"/>
          <w:szCs w:val="21"/>
          <w:highlight w:val="none"/>
        </w:rPr>
      </w:pPr>
    </w:p>
    <w:p w14:paraId="4204CE5F">
      <w:pPr>
        <w:pStyle w:val="24"/>
        <w:pageBreakBefore w:val="0"/>
        <w:kinsoku/>
        <w:overflowPunct/>
        <w:bidi w:val="0"/>
        <w:spacing w:line="500" w:lineRule="exact"/>
        <w:ind w:firstLine="6195" w:firstLineChars="2950"/>
        <w:rPr>
          <w:rFonts w:ascii="宋体" w:hAnsi="宋体" w:eastAsia="宋体" w:cs="宋体"/>
          <w:sz w:val="21"/>
          <w:szCs w:val="21"/>
          <w:highlight w:val="none"/>
        </w:rPr>
      </w:pPr>
      <w:r>
        <w:rPr>
          <w:rFonts w:hint="eastAsia" w:ascii="宋体" w:hAnsi="宋体" w:eastAsia="宋体" w:cs="宋体"/>
          <w:sz w:val="21"/>
          <w:szCs w:val="21"/>
          <w:highlight w:val="none"/>
        </w:rPr>
        <w:t>金额单位：元（人民币）</w:t>
      </w:r>
    </w:p>
    <w:tbl>
      <w:tblPr>
        <w:tblStyle w:val="26"/>
        <w:tblW w:w="4966" w:type="pct"/>
        <w:jc w:val="center"/>
        <w:tblLayout w:type="autofit"/>
        <w:tblCellMar>
          <w:top w:w="0" w:type="dxa"/>
          <w:left w:w="108" w:type="dxa"/>
          <w:bottom w:w="0" w:type="dxa"/>
          <w:right w:w="108" w:type="dxa"/>
        </w:tblCellMar>
      </w:tblPr>
      <w:tblGrid>
        <w:gridCol w:w="716"/>
        <w:gridCol w:w="1048"/>
        <w:gridCol w:w="1678"/>
        <w:gridCol w:w="1009"/>
        <w:gridCol w:w="1009"/>
        <w:gridCol w:w="1009"/>
        <w:gridCol w:w="1009"/>
        <w:gridCol w:w="1009"/>
        <w:gridCol w:w="1028"/>
      </w:tblGrid>
      <w:tr w14:paraId="56A2E319">
        <w:tblPrEx>
          <w:tblCellMar>
            <w:top w:w="0" w:type="dxa"/>
            <w:left w:w="108" w:type="dxa"/>
            <w:bottom w:w="0" w:type="dxa"/>
            <w:right w:w="108" w:type="dxa"/>
          </w:tblCellMar>
        </w:tblPrEx>
        <w:trPr>
          <w:trHeight w:val="1348"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4AF8DE66">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序号</w:t>
            </w:r>
          </w:p>
        </w:tc>
        <w:tc>
          <w:tcPr>
            <w:tcW w:w="551" w:type="pct"/>
            <w:tcBorders>
              <w:top w:val="single" w:color="000000" w:sz="4" w:space="0"/>
              <w:left w:val="nil"/>
              <w:bottom w:val="single" w:color="000000" w:sz="4" w:space="0"/>
              <w:right w:val="single" w:color="000000" w:sz="4" w:space="0"/>
            </w:tcBorders>
            <w:vAlign w:val="center"/>
          </w:tcPr>
          <w:p w14:paraId="227D66F9">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名称</w:t>
            </w:r>
          </w:p>
        </w:tc>
        <w:tc>
          <w:tcPr>
            <w:tcW w:w="881" w:type="pct"/>
            <w:tcBorders>
              <w:top w:val="single" w:color="000000" w:sz="4" w:space="0"/>
              <w:left w:val="nil"/>
              <w:bottom w:val="single" w:color="000000" w:sz="4" w:space="0"/>
              <w:right w:val="single" w:color="auto" w:sz="4" w:space="0"/>
            </w:tcBorders>
            <w:vAlign w:val="center"/>
          </w:tcPr>
          <w:p w14:paraId="1BFAA048">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品牌</w:t>
            </w:r>
          </w:p>
          <w:p w14:paraId="75B3BE9B">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（或制造商名称）</w:t>
            </w:r>
          </w:p>
        </w:tc>
        <w:tc>
          <w:tcPr>
            <w:tcW w:w="530" w:type="pct"/>
            <w:tcBorders>
              <w:top w:val="single" w:color="000000" w:sz="4" w:space="0"/>
              <w:left w:val="single" w:color="auto" w:sz="4" w:space="0"/>
              <w:bottom w:val="single" w:color="000000" w:sz="4" w:space="0"/>
              <w:right w:val="single" w:color="000000" w:sz="4" w:space="0"/>
            </w:tcBorders>
            <w:vAlign w:val="center"/>
          </w:tcPr>
          <w:p w14:paraId="44C6F448">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技术</w:t>
            </w:r>
          </w:p>
          <w:p w14:paraId="60DED888">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参数</w:t>
            </w:r>
          </w:p>
        </w:tc>
        <w:tc>
          <w:tcPr>
            <w:tcW w:w="530" w:type="pct"/>
            <w:tcBorders>
              <w:top w:val="single" w:color="000000" w:sz="4" w:space="0"/>
              <w:left w:val="nil"/>
              <w:bottom w:val="single" w:color="000000" w:sz="4" w:space="0"/>
              <w:right w:val="single" w:color="000000" w:sz="4" w:space="0"/>
            </w:tcBorders>
            <w:vAlign w:val="center"/>
          </w:tcPr>
          <w:p w14:paraId="0120D1C7">
            <w:pPr>
              <w:pageBreakBefore w:val="0"/>
              <w:widowControl/>
              <w:kinsoku/>
              <w:overflowPunct/>
              <w:bidi w:val="0"/>
              <w:snapToGrid w:val="0"/>
              <w:spacing w:line="500" w:lineRule="exact"/>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单位</w:t>
            </w:r>
          </w:p>
        </w:tc>
        <w:tc>
          <w:tcPr>
            <w:tcW w:w="530" w:type="pct"/>
            <w:tcBorders>
              <w:top w:val="single" w:color="000000" w:sz="4" w:space="0"/>
              <w:left w:val="nil"/>
              <w:bottom w:val="single" w:color="000000" w:sz="4" w:space="0"/>
              <w:right w:val="single" w:color="000000" w:sz="4" w:space="0"/>
            </w:tcBorders>
            <w:vAlign w:val="center"/>
          </w:tcPr>
          <w:p w14:paraId="6452DBE4">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数量</w:t>
            </w:r>
          </w:p>
        </w:tc>
        <w:tc>
          <w:tcPr>
            <w:tcW w:w="530" w:type="pct"/>
            <w:tcBorders>
              <w:top w:val="single" w:color="000000" w:sz="4" w:space="0"/>
              <w:left w:val="nil"/>
              <w:bottom w:val="single" w:color="000000" w:sz="4" w:space="0"/>
              <w:right w:val="single" w:color="000000" w:sz="4" w:space="0"/>
            </w:tcBorders>
            <w:vAlign w:val="center"/>
          </w:tcPr>
          <w:p w14:paraId="79F31909">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单价</w:t>
            </w:r>
          </w:p>
        </w:tc>
        <w:tc>
          <w:tcPr>
            <w:tcW w:w="530" w:type="pct"/>
            <w:tcBorders>
              <w:top w:val="single" w:color="000000" w:sz="4" w:space="0"/>
              <w:left w:val="nil"/>
              <w:bottom w:val="single" w:color="000000" w:sz="4" w:space="0"/>
              <w:right w:val="single" w:color="000000" w:sz="4" w:space="0"/>
            </w:tcBorders>
            <w:vAlign w:val="center"/>
          </w:tcPr>
          <w:p w14:paraId="425A0835">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小计</w:t>
            </w:r>
          </w:p>
        </w:tc>
        <w:tc>
          <w:tcPr>
            <w:tcW w:w="538" w:type="pct"/>
            <w:tcBorders>
              <w:top w:val="single" w:color="000000" w:sz="4" w:space="0"/>
              <w:left w:val="nil"/>
              <w:bottom w:val="single" w:color="000000" w:sz="4" w:space="0"/>
              <w:right w:val="single" w:color="000000" w:sz="4" w:space="0"/>
            </w:tcBorders>
            <w:vAlign w:val="center"/>
          </w:tcPr>
          <w:p w14:paraId="74E24564">
            <w:pPr>
              <w:pageBreakBefore w:val="0"/>
              <w:widowControl/>
              <w:kinsoku/>
              <w:overflowPunct/>
              <w:bidi w:val="0"/>
              <w:snapToGrid w:val="0"/>
              <w:spacing w:line="500" w:lineRule="exact"/>
              <w:jc w:val="center"/>
              <w:rPr>
                <w:rFonts w:ascii="宋体" w:hAnsi="宋体" w:cs="宋体"/>
                <w:kern w:val="0"/>
                <w:sz w:val="22"/>
                <w:szCs w:val="22"/>
                <w:highlight w:val="none"/>
              </w:rPr>
            </w:pPr>
            <w:r>
              <w:rPr>
                <w:rFonts w:hint="eastAsia" w:ascii="宋体" w:hAnsi="宋体" w:cs="宋体"/>
                <w:kern w:val="0"/>
                <w:sz w:val="22"/>
                <w:szCs w:val="22"/>
                <w:highlight w:val="none"/>
              </w:rPr>
              <w:t>其他</w:t>
            </w:r>
          </w:p>
        </w:tc>
      </w:tr>
      <w:tr w14:paraId="350A279F">
        <w:tblPrEx>
          <w:tblCellMar>
            <w:top w:w="0" w:type="dxa"/>
            <w:left w:w="108" w:type="dxa"/>
            <w:bottom w:w="0" w:type="dxa"/>
            <w:right w:w="108" w:type="dxa"/>
          </w:tblCellMar>
        </w:tblPrEx>
        <w:trPr>
          <w:trHeight w:val="785"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4C0404F">
            <w:pPr>
              <w:pageBreakBefore w:val="0"/>
              <w:widowControl/>
              <w:kinsoku/>
              <w:overflowPunct/>
              <w:bidi w:val="0"/>
              <w:spacing w:line="500" w:lineRule="exact"/>
              <w:jc w:val="left"/>
              <w:rPr>
                <w:rFonts w:ascii="宋体" w:hAnsi="宋体" w:cs="宋体"/>
                <w:kern w:val="0"/>
                <w:sz w:val="22"/>
                <w:szCs w:val="22"/>
                <w:highlight w:val="none"/>
              </w:rPr>
            </w:pPr>
            <w:r>
              <w:rPr>
                <w:rFonts w:hint="eastAsia" w:ascii="宋体" w:hAnsi="宋体" w:cs="宋体"/>
                <w:kern w:val="0"/>
                <w:sz w:val="22"/>
                <w:szCs w:val="22"/>
                <w:highlight w:val="none"/>
              </w:rPr>
              <w:t>1</w:t>
            </w:r>
          </w:p>
        </w:tc>
        <w:tc>
          <w:tcPr>
            <w:tcW w:w="551" w:type="pct"/>
            <w:tcBorders>
              <w:top w:val="single" w:color="000000" w:sz="4" w:space="0"/>
              <w:left w:val="nil"/>
              <w:bottom w:val="single" w:color="000000" w:sz="4" w:space="0"/>
              <w:right w:val="single" w:color="000000" w:sz="4" w:space="0"/>
            </w:tcBorders>
            <w:vAlign w:val="center"/>
          </w:tcPr>
          <w:p w14:paraId="3BA5FFF4">
            <w:pPr>
              <w:pageBreakBefore w:val="0"/>
              <w:widowControl/>
              <w:kinsoku/>
              <w:overflowPunct/>
              <w:bidi w:val="0"/>
              <w:spacing w:line="500" w:lineRule="exact"/>
              <w:jc w:val="left"/>
              <w:rPr>
                <w:rFonts w:ascii="宋体" w:hAnsi="宋体" w:cs="宋体"/>
                <w:kern w:val="0"/>
                <w:sz w:val="22"/>
                <w:szCs w:val="22"/>
                <w:highlight w:val="none"/>
              </w:rPr>
            </w:pPr>
          </w:p>
        </w:tc>
        <w:tc>
          <w:tcPr>
            <w:tcW w:w="881" w:type="pct"/>
            <w:tcBorders>
              <w:top w:val="single" w:color="000000" w:sz="4" w:space="0"/>
              <w:left w:val="nil"/>
              <w:bottom w:val="single" w:color="000000" w:sz="4" w:space="0"/>
              <w:right w:val="single" w:color="auto" w:sz="4" w:space="0"/>
            </w:tcBorders>
            <w:vAlign w:val="center"/>
          </w:tcPr>
          <w:p w14:paraId="0F98C415">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single" w:color="auto" w:sz="4" w:space="0"/>
              <w:bottom w:val="single" w:color="000000" w:sz="4" w:space="0"/>
              <w:right w:val="single" w:color="000000" w:sz="4" w:space="0"/>
            </w:tcBorders>
            <w:vAlign w:val="center"/>
          </w:tcPr>
          <w:p w14:paraId="46077A33">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0E712E40">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31C647EE">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172DA5C4">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7C84F617">
            <w:pPr>
              <w:pageBreakBefore w:val="0"/>
              <w:widowControl/>
              <w:kinsoku/>
              <w:overflowPunct/>
              <w:bidi w:val="0"/>
              <w:spacing w:line="500" w:lineRule="exact"/>
              <w:jc w:val="left"/>
              <w:rPr>
                <w:rFonts w:ascii="宋体" w:hAnsi="宋体" w:cs="宋体"/>
                <w:kern w:val="0"/>
                <w:sz w:val="22"/>
                <w:szCs w:val="22"/>
                <w:highlight w:val="none"/>
              </w:rPr>
            </w:pPr>
          </w:p>
        </w:tc>
        <w:tc>
          <w:tcPr>
            <w:tcW w:w="538" w:type="pct"/>
            <w:tcBorders>
              <w:top w:val="single" w:color="000000" w:sz="4" w:space="0"/>
              <w:left w:val="nil"/>
              <w:bottom w:val="single" w:color="000000" w:sz="4" w:space="0"/>
              <w:right w:val="single" w:color="000000" w:sz="4" w:space="0"/>
            </w:tcBorders>
            <w:vAlign w:val="center"/>
          </w:tcPr>
          <w:p w14:paraId="1FB7D114">
            <w:pPr>
              <w:pageBreakBefore w:val="0"/>
              <w:widowControl/>
              <w:kinsoku/>
              <w:overflowPunct/>
              <w:bidi w:val="0"/>
              <w:spacing w:line="500" w:lineRule="exact"/>
              <w:jc w:val="left"/>
              <w:rPr>
                <w:rFonts w:ascii="宋体" w:hAnsi="宋体" w:cs="宋体"/>
                <w:kern w:val="0"/>
                <w:sz w:val="22"/>
                <w:szCs w:val="22"/>
                <w:highlight w:val="none"/>
              </w:rPr>
            </w:pPr>
          </w:p>
        </w:tc>
      </w:tr>
      <w:tr w14:paraId="4A5B1500">
        <w:tblPrEx>
          <w:tblCellMar>
            <w:top w:w="0" w:type="dxa"/>
            <w:left w:w="108" w:type="dxa"/>
            <w:bottom w:w="0" w:type="dxa"/>
            <w:right w:w="108" w:type="dxa"/>
          </w:tblCellMar>
        </w:tblPrEx>
        <w:trPr>
          <w:trHeight w:val="785"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8BBC0E1">
            <w:pPr>
              <w:pageBreakBefore w:val="0"/>
              <w:widowControl/>
              <w:kinsoku/>
              <w:overflowPunct/>
              <w:bidi w:val="0"/>
              <w:spacing w:line="500" w:lineRule="exact"/>
              <w:jc w:val="left"/>
              <w:rPr>
                <w:rFonts w:ascii="宋体" w:hAnsi="宋体" w:cs="宋体"/>
                <w:kern w:val="0"/>
                <w:sz w:val="22"/>
                <w:szCs w:val="22"/>
                <w:highlight w:val="none"/>
              </w:rPr>
            </w:pPr>
            <w:r>
              <w:rPr>
                <w:rFonts w:hint="eastAsia" w:ascii="宋体" w:hAnsi="宋体" w:cs="宋体"/>
                <w:kern w:val="0"/>
                <w:sz w:val="22"/>
                <w:szCs w:val="22"/>
                <w:highlight w:val="none"/>
              </w:rPr>
              <w:t>2</w:t>
            </w:r>
          </w:p>
        </w:tc>
        <w:tc>
          <w:tcPr>
            <w:tcW w:w="551" w:type="pct"/>
            <w:tcBorders>
              <w:top w:val="single" w:color="000000" w:sz="4" w:space="0"/>
              <w:left w:val="nil"/>
              <w:bottom w:val="single" w:color="000000" w:sz="4" w:space="0"/>
              <w:right w:val="single" w:color="000000" w:sz="4" w:space="0"/>
            </w:tcBorders>
            <w:vAlign w:val="center"/>
          </w:tcPr>
          <w:p w14:paraId="78F23461">
            <w:pPr>
              <w:pageBreakBefore w:val="0"/>
              <w:widowControl/>
              <w:kinsoku/>
              <w:overflowPunct/>
              <w:bidi w:val="0"/>
              <w:spacing w:line="500" w:lineRule="exact"/>
              <w:jc w:val="left"/>
              <w:rPr>
                <w:rFonts w:ascii="宋体" w:hAnsi="宋体" w:cs="宋体"/>
                <w:kern w:val="0"/>
                <w:sz w:val="22"/>
                <w:szCs w:val="22"/>
                <w:highlight w:val="none"/>
              </w:rPr>
            </w:pPr>
          </w:p>
        </w:tc>
        <w:tc>
          <w:tcPr>
            <w:tcW w:w="881" w:type="pct"/>
            <w:tcBorders>
              <w:top w:val="single" w:color="000000" w:sz="4" w:space="0"/>
              <w:left w:val="nil"/>
              <w:bottom w:val="single" w:color="000000" w:sz="4" w:space="0"/>
              <w:right w:val="single" w:color="auto" w:sz="4" w:space="0"/>
            </w:tcBorders>
            <w:vAlign w:val="center"/>
          </w:tcPr>
          <w:p w14:paraId="604ECF3E">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single" w:color="auto" w:sz="4" w:space="0"/>
              <w:bottom w:val="single" w:color="000000" w:sz="4" w:space="0"/>
              <w:right w:val="single" w:color="000000" w:sz="4" w:space="0"/>
            </w:tcBorders>
            <w:vAlign w:val="center"/>
          </w:tcPr>
          <w:p w14:paraId="78D1E2F6">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0EFA45BC">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5C7DD611">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01BA214F">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23B62662">
            <w:pPr>
              <w:pageBreakBefore w:val="0"/>
              <w:widowControl/>
              <w:kinsoku/>
              <w:overflowPunct/>
              <w:bidi w:val="0"/>
              <w:spacing w:line="500" w:lineRule="exact"/>
              <w:jc w:val="left"/>
              <w:rPr>
                <w:rFonts w:ascii="宋体" w:hAnsi="宋体" w:cs="宋体"/>
                <w:kern w:val="0"/>
                <w:sz w:val="22"/>
                <w:szCs w:val="22"/>
                <w:highlight w:val="none"/>
              </w:rPr>
            </w:pPr>
          </w:p>
        </w:tc>
        <w:tc>
          <w:tcPr>
            <w:tcW w:w="538" w:type="pct"/>
            <w:tcBorders>
              <w:top w:val="single" w:color="000000" w:sz="4" w:space="0"/>
              <w:left w:val="nil"/>
              <w:bottom w:val="single" w:color="000000" w:sz="4" w:space="0"/>
              <w:right w:val="single" w:color="000000" w:sz="4" w:space="0"/>
            </w:tcBorders>
            <w:vAlign w:val="center"/>
          </w:tcPr>
          <w:p w14:paraId="700CACD2">
            <w:pPr>
              <w:pageBreakBefore w:val="0"/>
              <w:widowControl/>
              <w:kinsoku/>
              <w:overflowPunct/>
              <w:bidi w:val="0"/>
              <w:spacing w:line="500" w:lineRule="exact"/>
              <w:jc w:val="left"/>
              <w:rPr>
                <w:rFonts w:ascii="宋体" w:hAnsi="宋体" w:cs="宋体"/>
                <w:kern w:val="0"/>
                <w:sz w:val="22"/>
                <w:szCs w:val="22"/>
                <w:highlight w:val="none"/>
              </w:rPr>
            </w:pPr>
          </w:p>
        </w:tc>
      </w:tr>
      <w:tr w14:paraId="6CEC1F86">
        <w:tblPrEx>
          <w:tblCellMar>
            <w:top w:w="0" w:type="dxa"/>
            <w:left w:w="108" w:type="dxa"/>
            <w:bottom w:w="0" w:type="dxa"/>
            <w:right w:w="108" w:type="dxa"/>
          </w:tblCellMar>
        </w:tblPrEx>
        <w:trPr>
          <w:trHeight w:val="785"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2B68E33F">
            <w:pPr>
              <w:pageBreakBefore w:val="0"/>
              <w:widowControl/>
              <w:kinsoku/>
              <w:overflowPunct/>
              <w:bidi w:val="0"/>
              <w:spacing w:line="500" w:lineRule="exact"/>
              <w:jc w:val="left"/>
              <w:rPr>
                <w:rFonts w:ascii="宋体" w:hAnsi="宋体" w:cs="宋体"/>
                <w:kern w:val="0"/>
                <w:sz w:val="22"/>
                <w:szCs w:val="22"/>
                <w:highlight w:val="none"/>
              </w:rPr>
            </w:pPr>
            <w:r>
              <w:rPr>
                <w:rFonts w:hint="eastAsia" w:ascii="宋体" w:hAnsi="宋体" w:cs="宋体"/>
                <w:kern w:val="0"/>
                <w:sz w:val="22"/>
                <w:szCs w:val="22"/>
                <w:highlight w:val="none"/>
              </w:rPr>
              <w:t>3</w:t>
            </w:r>
          </w:p>
        </w:tc>
        <w:tc>
          <w:tcPr>
            <w:tcW w:w="551" w:type="pct"/>
            <w:tcBorders>
              <w:top w:val="single" w:color="000000" w:sz="4" w:space="0"/>
              <w:left w:val="nil"/>
              <w:bottom w:val="single" w:color="000000" w:sz="4" w:space="0"/>
              <w:right w:val="single" w:color="000000" w:sz="4" w:space="0"/>
            </w:tcBorders>
            <w:vAlign w:val="center"/>
          </w:tcPr>
          <w:p w14:paraId="7A1816AB">
            <w:pPr>
              <w:pageBreakBefore w:val="0"/>
              <w:widowControl/>
              <w:kinsoku/>
              <w:overflowPunct/>
              <w:bidi w:val="0"/>
              <w:spacing w:line="500" w:lineRule="exact"/>
              <w:jc w:val="left"/>
              <w:rPr>
                <w:rFonts w:ascii="宋体" w:hAnsi="宋体" w:cs="宋体"/>
                <w:kern w:val="0"/>
                <w:sz w:val="22"/>
                <w:szCs w:val="22"/>
                <w:highlight w:val="none"/>
              </w:rPr>
            </w:pPr>
          </w:p>
        </w:tc>
        <w:tc>
          <w:tcPr>
            <w:tcW w:w="881" w:type="pct"/>
            <w:tcBorders>
              <w:top w:val="single" w:color="000000" w:sz="4" w:space="0"/>
              <w:left w:val="nil"/>
              <w:bottom w:val="single" w:color="000000" w:sz="4" w:space="0"/>
              <w:right w:val="single" w:color="auto" w:sz="4" w:space="0"/>
            </w:tcBorders>
            <w:vAlign w:val="center"/>
          </w:tcPr>
          <w:p w14:paraId="32EF8BE7">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single" w:color="auto" w:sz="4" w:space="0"/>
              <w:bottom w:val="single" w:color="000000" w:sz="4" w:space="0"/>
              <w:right w:val="single" w:color="000000" w:sz="4" w:space="0"/>
            </w:tcBorders>
            <w:vAlign w:val="center"/>
          </w:tcPr>
          <w:p w14:paraId="0D0C4C6A">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79E5685C">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6D5959D5">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0D96B75E">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46346E98">
            <w:pPr>
              <w:pageBreakBefore w:val="0"/>
              <w:widowControl/>
              <w:kinsoku/>
              <w:overflowPunct/>
              <w:bidi w:val="0"/>
              <w:spacing w:line="500" w:lineRule="exact"/>
              <w:jc w:val="left"/>
              <w:rPr>
                <w:rFonts w:ascii="宋体" w:hAnsi="宋体" w:cs="宋体"/>
                <w:kern w:val="0"/>
                <w:sz w:val="22"/>
                <w:szCs w:val="22"/>
                <w:highlight w:val="none"/>
              </w:rPr>
            </w:pPr>
          </w:p>
        </w:tc>
        <w:tc>
          <w:tcPr>
            <w:tcW w:w="538" w:type="pct"/>
            <w:tcBorders>
              <w:top w:val="single" w:color="000000" w:sz="4" w:space="0"/>
              <w:left w:val="nil"/>
              <w:bottom w:val="single" w:color="000000" w:sz="4" w:space="0"/>
              <w:right w:val="single" w:color="000000" w:sz="4" w:space="0"/>
            </w:tcBorders>
            <w:vAlign w:val="center"/>
          </w:tcPr>
          <w:p w14:paraId="4E5B9993">
            <w:pPr>
              <w:pageBreakBefore w:val="0"/>
              <w:widowControl/>
              <w:kinsoku/>
              <w:overflowPunct/>
              <w:bidi w:val="0"/>
              <w:spacing w:line="500" w:lineRule="exact"/>
              <w:jc w:val="left"/>
              <w:rPr>
                <w:rFonts w:ascii="宋体" w:hAnsi="宋体" w:cs="宋体"/>
                <w:kern w:val="0"/>
                <w:sz w:val="22"/>
                <w:szCs w:val="22"/>
                <w:highlight w:val="none"/>
              </w:rPr>
            </w:pPr>
          </w:p>
        </w:tc>
      </w:tr>
      <w:tr w14:paraId="030B6AA7">
        <w:tblPrEx>
          <w:tblCellMar>
            <w:top w:w="0" w:type="dxa"/>
            <w:left w:w="108" w:type="dxa"/>
            <w:bottom w:w="0" w:type="dxa"/>
            <w:right w:w="108" w:type="dxa"/>
          </w:tblCellMar>
        </w:tblPrEx>
        <w:trPr>
          <w:trHeight w:val="785"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030CE85D">
            <w:pPr>
              <w:pageBreakBefore w:val="0"/>
              <w:widowControl/>
              <w:kinsoku/>
              <w:overflowPunct/>
              <w:bidi w:val="0"/>
              <w:spacing w:line="500" w:lineRule="exact"/>
              <w:jc w:val="left"/>
              <w:rPr>
                <w:rFonts w:ascii="宋体" w:hAnsi="宋体" w:cs="宋体"/>
                <w:kern w:val="0"/>
                <w:sz w:val="22"/>
                <w:szCs w:val="22"/>
                <w:highlight w:val="none"/>
              </w:rPr>
            </w:pPr>
            <w:r>
              <w:rPr>
                <w:rFonts w:ascii="宋体" w:hAnsi="宋体" w:cs="宋体"/>
                <w:kern w:val="0"/>
                <w:sz w:val="22"/>
                <w:szCs w:val="22"/>
                <w:highlight w:val="none"/>
              </w:rPr>
              <w:t>……</w:t>
            </w:r>
          </w:p>
        </w:tc>
        <w:tc>
          <w:tcPr>
            <w:tcW w:w="551" w:type="pct"/>
            <w:tcBorders>
              <w:top w:val="single" w:color="000000" w:sz="4" w:space="0"/>
              <w:left w:val="nil"/>
              <w:bottom w:val="single" w:color="000000" w:sz="4" w:space="0"/>
              <w:right w:val="single" w:color="000000" w:sz="4" w:space="0"/>
            </w:tcBorders>
            <w:vAlign w:val="center"/>
          </w:tcPr>
          <w:p w14:paraId="1417C722">
            <w:pPr>
              <w:pageBreakBefore w:val="0"/>
              <w:widowControl/>
              <w:kinsoku/>
              <w:overflowPunct/>
              <w:bidi w:val="0"/>
              <w:spacing w:line="500" w:lineRule="exact"/>
              <w:jc w:val="left"/>
              <w:rPr>
                <w:rFonts w:ascii="宋体" w:hAnsi="宋体" w:cs="宋体"/>
                <w:kern w:val="0"/>
                <w:sz w:val="22"/>
                <w:szCs w:val="22"/>
                <w:highlight w:val="none"/>
              </w:rPr>
            </w:pPr>
          </w:p>
        </w:tc>
        <w:tc>
          <w:tcPr>
            <w:tcW w:w="881" w:type="pct"/>
            <w:tcBorders>
              <w:top w:val="single" w:color="000000" w:sz="4" w:space="0"/>
              <w:left w:val="nil"/>
              <w:bottom w:val="single" w:color="000000" w:sz="4" w:space="0"/>
              <w:right w:val="single" w:color="auto" w:sz="4" w:space="0"/>
            </w:tcBorders>
            <w:vAlign w:val="center"/>
          </w:tcPr>
          <w:p w14:paraId="11B6E748">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single" w:color="auto" w:sz="4" w:space="0"/>
              <w:bottom w:val="single" w:color="000000" w:sz="4" w:space="0"/>
              <w:right w:val="single" w:color="000000" w:sz="4" w:space="0"/>
            </w:tcBorders>
            <w:vAlign w:val="center"/>
          </w:tcPr>
          <w:p w14:paraId="206B5F42">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103F447C">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1B65CFD2">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785A8CAB">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5A183AC4">
            <w:pPr>
              <w:pageBreakBefore w:val="0"/>
              <w:widowControl/>
              <w:kinsoku/>
              <w:overflowPunct/>
              <w:bidi w:val="0"/>
              <w:spacing w:line="500" w:lineRule="exact"/>
              <w:jc w:val="left"/>
              <w:rPr>
                <w:rFonts w:ascii="宋体" w:hAnsi="宋体" w:cs="宋体"/>
                <w:kern w:val="0"/>
                <w:sz w:val="22"/>
                <w:szCs w:val="22"/>
                <w:highlight w:val="none"/>
              </w:rPr>
            </w:pPr>
          </w:p>
        </w:tc>
        <w:tc>
          <w:tcPr>
            <w:tcW w:w="538" w:type="pct"/>
            <w:tcBorders>
              <w:top w:val="single" w:color="000000" w:sz="4" w:space="0"/>
              <w:left w:val="nil"/>
              <w:bottom w:val="single" w:color="000000" w:sz="4" w:space="0"/>
              <w:right w:val="single" w:color="000000" w:sz="4" w:space="0"/>
            </w:tcBorders>
            <w:vAlign w:val="center"/>
          </w:tcPr>
          <w:p w14:paraId="68AD24B3">
            <w:pPr>
              <w:pageBreakBefore w:val="0"/>
              <w:widowControl/>
              <w:kinsoku/>
              <w:overflowPunct/>
              <w:bidi w:val="0"/>
              <w:spacing w:line="500" w:lineRule="exact"/>
              <w:jc w:val="left"/>
              <w:rPr>
                <w:rFonts w:ascii="宋体" w:hAnsi="宋体" w:cs="宋体"/>
                <w:kern w:val="0"/>
                <w:sz w:val="22"/>
                <w:szCs w:val="22"/>
                <w:highlight w:val="none"/>
              </w:rPr>
            </w:pPr>
          </w:p>
        </w:tc>
      </w:tr>
      <w:tr w14:paraId="45FC73D3">
        <w:tblPrEx>
          <w:tblCellMar>
            <w:top w:w="0" w:type="dxa"/>
            <w:left w:w="108" w:type="dxa"/>
            <w:bottom w:w="0" w:type="dxa"/>
            <w:right w:w="108" w:type="dxa"/>
          </w:tblCellMar>
        </w:tblPrEx>
        <w:trPr>
          <w:trHeight w:val="785" w:hRule="atLeast"/>
          <w:jc w:val="center"/>
        </w:trPr>
        <w:tc>
          <w:tcPr>
            <w:tcW w:w="377" w:type="pct"/>
            <w:tcBorders>
              <w:top w:val="single" w:color="000000" w:sz="4" w:space="0"/>
              <w:left w:val="single" w:color="000000" w:sz="4" w:space="0"/>
              <w:bottom w:val="single" w:color="000000" w:sz="4" w:space="0"/>
              <w:right w:val="single" w:color="000000" w:sz="4" w:space="0"/>
            </w:tcBorders>
            <w:vAlign w:val="center"/>
          </w:tcPr>
          <w:p w14:paraId="1466A00C">
            <w:pPr>
              <w:pageBreakBefore w:val="0"/>
              <w:widowControl/>
              <w:kinsoku/>
              <w:overflowPunct/>
              <w:bidi w:val="0"/>
              <w:spacing w:line="500" w:lineRule="exact"/>
              <w:jc w:val="left"/>
              <w:rPr>
                <w:rFonts w:ascii="宋体" w:hAnsi="宋体" w:cs="宋体"/>
                <w:kern w:val="0"/>
                <w:sz w:val="22"/>
                <w:szCs w:val="22"/>
                <w:highlight w:val="none"/>
              </w:rPr>
            </w:pPr>
          </w:p>
        </w:tc>
        <w:tc>
          <w:tcPr>
            <w:tcW w:w="551" w:type="pct"/>
            <w:tcBorders>
              <w:top w:val="single" w:color="000000" w:sz="4" w:space="0"/>
              <w:left w:val="nil"/>
              <w:bottom w:val="single" w:color="000000" w:sz="4" w:space="0"/>
              <w:right w:val="single" w:color="000000" w:sz="4" w:space="0"/>
            </w:tcBorders>
            <w:vAlign w:val="center"/>
          </w:tcPr>
          <w:p w14:paraId="025D7431">
            <w:pPr>
              <w:pageBreakBefore w:val="0"/>
              <w:widowControl/>
              <w:kinsoku/>
              <w:overflowPunct/>
              <w:bidi w:val="0"/>
              <w:snapToGrid w:val="0"/>
              <w:spacing w:line="500" w:lineRule="exact"/>
              <w:jc w:val="center"/>
              <w:rPr>
                <w:rFonts w:ascii="宋体" w:hAnsi="宋体" w:cs="宋体"/>
                <w:kern w:val="0"/>
                <w:sz w:val="22"/>
                <w:szCs w:val="22"/>
                <w:highlight w:val="none"/>
              </w:rPr>
            </w:pPr>
          </w:p>
        </w:tc>
        <w:tc>
          <w:tcPr>
            <w:tcW w:w="881" w:type="pct"/>
            <w:tcBorders>
              <w:top w:val="single" w:color="000000" w:sz="4" w:space="0"/>
              <w:left w:val="nil"/>
              <w:bottom w:val="single" w:color="000000" w:sz="4" w:space="0"/>
              <w:right w:val="single" w:color="auto" w:sz="4" w:space="0"/>
            </w:tcBorders>
            <w:vAlign w:val="center"/>
          </w:tcPr>
          <w:p w14:paraId="0B146E7A">
            <w:pPr>
              <w:pageBreakBefore w:val="0"/>
              <w:widowControl/>
              <w:kinsoku/>
              <w:overflowPunct/>
              <w:bidi w:val="0"/>
              <w:snapToGrid w:val="0"/>
              <w:spacing w:line="500" w:lineRule="exact"/>
              <w:jc w:val="center"/>
              <w:rPr>
                <w:rFonts w:ascii="宋体" w:hAnsi="宋体" w:cs="宋体"/>
                <w:kern w:val="0"/>
                <w:sz w:val="22"/>
                <w:szCs w:val="22"/>
                <w:highlight w:val="none"/>
              </w:rPr>
            </w:pPr>
          </w:p>
        </w:tc>
        <w:tc>
          <w:tcPr>
            <w:tcW w:w="530" w:type="pct"/>
            <w:tcBorders>
              <w:top w:val="single" w:color="000000" w:sz="4" w:space="0"/>
              <w:left w:val="single" w:color="auto" w:sz="4" w:space="0"/>
              <w:bottom w:val="single" w:color="000000" w:sz="4" w:space="0"/>
              <w:right w:val="single" w:color="000000" w:sz="4" w:space="0"/>
            </w:tcBorders>
            <w:vAlign w:val="center"/>
          </w:tcPr>
          <w:p w14:paraId="4D0F8A21">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06FCBC7B">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686909B8">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111BF721">
            <w:pPr>
              <w:pageBreakBefore w:val="0"/>
              <w:widowControl/>
              <w:kinsoku/>
              <w:overflowPunct/>
              <w:bidi w:val="0"/>
              <w:spacing w:line="500" w:lineRule="exact"/>
              <w:jc w:val="left"/>
              <w:rPr>
                <w:rFonts w:ascii="宋体" w:hAnsi="宋体" w:cs="宋体"/>
                <w:kern w:val="0"/>
                <w:sz w:val="22"/>
                <w:szCs w:val="22"/>
                <w:highlight w:val="none"/>
              </w:rPr>
            </w:pPr>
          </w:p>
        </w:tc>
        <w:tc>
          <w:tcPr>
            <w:tcW w:w="530" w:type="pct"/>
            <w:tcBorders>
              <w:top w:val="single" w:color="000000" w:sz="4" w:space="0"/>
              <w:left w:val="nil"/>
              <w:bottom w:val="single" w:color="000000" w:sz="4" w:space="0"/>
              <w:right w:val="single" w:color="000000" w:sz="4" w:space="0"/>
            </w:tcBorders>
            <w:vAlign w:val="center"/>
          </w:tcPr>
          <w:p w14:paraId="16562D71">
            <w:pPr>
              <w:pageBreakBefore w:val="0"/>
              <w:widowControl/>
              <w:kinsoku/>
              <w:overflowPunct/>
              <w:bidi w:val="0"/>
              <w:spacing w:line="500" w:lineRule="exact"/>
              <w:jc w:val="left"/>
              <w:rPr>
                <w:rFonts w:ascii="宋体" w:hAnsi="宋体" w:cs="宋体"/>
                <w:kern w:val="0"/>
                <w:sz w:val="22"/>
                <w:szCs w:val="22"/>
                <w:highlight w:val="none"/>
              </w:rPr>
            </w:pPr>
          </w:p>
        </w:tc>
        <w:tc>
          <w:tcPr>
            <w:tcW w:w="538" w:type="pct"/>
            <w:tcBorders>
              <w:top w:val="single" w:color="000000" w:sz="4" w:space="0"/>
              <w:left w:val="nil"/>
              <w:bottom w:val="single" w:color="000000" w:sz="4" w:space="0"/>
              <w:right w:val="single" w:color="000000" w:sz="4" w:space="0"/>
            </w:tcBorders>
            <w:vAlign w:val="center"/>
          </w:tcPr>
          <w:p w14:paraId="64565457">
            <w:pPr>
              <w:pageBreakBefore w:val="0"/>
              <w:widowControl/>
              <w:kinsoku/>
              <w:overflowPunct/>
              <w:bidi w:val="0"/>
              <w:spacing w:line="500" w:lineRule="exact"/>
              <w:jc w:val="left"/>
              <w:rPr>
                <w:rFonts w:ascii="宋体" w:hAnsi="宋体" w:cs="宋体"/>
                <w:kern w:val="0"/>
                <w:sz w:val="22"/>
                <w:szCs w:val="22"/>
                <w:highlight w:val="none"/>
              </w:rPr>
            </w:pPr>
          </w:p>
        </w:tc>
      </w:tr>
      <w:tr w14:paraId="2138D3C9">
        <w:tblPrEx>
          <w:tblCellMar>
            <w:top w:w="0" w:type="dxa"/>
            <w:left w:w="108" w:type="dxa"/>
            <w:bottom w:w="0" w:type="dxa"/>
            <w:right w:w="108" w:type="dxa"/>
          </w:tblCellMar>
        </w:tblPrEx>
        <w:trPr>
          <w:trHeight w:val="1348" w:hRule="atLeast"/>
          <w:jc w:val="center"/>
        </w:trPr>
        <w:tc>
          <w:tcPr>
            <w:tcW w:w="1810" w:type="pct"/>
            <w:gridSpan w:val="3"/>
            <w:tcBorders>
              <w:top w:val="single" w:color="000000" w:sz="4" w:space="0"/>
              <w:left w:val="single" w:color="000000" w:sz="4" w:space="0"/>
              <w:bottom w:val="single" w:color="000000" w:sz="4" w:space="0"/>
              <w:right w:val="single" w:color="auto" w:sz="4" w:space="0"/>
            </w:tcBorders>
            <w:vAlign w:val="center"/>
          </w:tcPr>
          <w:p w14:paraId="7981D14A">
            <w:pPr>
              <w:pageBreakBefore w:val="0"/>
              <w:widowControl/>
              <w:kinsoku/>
              <w:overflowPunct/>
              <w:bidi w:val="0"/>
              <w:snapToGrid w:val="0"/>
              <w:spacing w:before="100" w:beforeAutospacing="1" w:after="100" w:afterAutospacing="1" w:line="500" w:lineRule="exact"/>
              <w:ind w:right="-330"/>
              <w:jc w:val="center"/>
              <w:rPr>
                <w:rFonts w:ascii="宋体" w:hAnsi="宋体" w:cs="宋体"/>
                <w:kern w:val="0"/>
                <w:sz w:val="22"/>
                <w:szCs w:val="22"/>
                <w:highlight w:val="none"/>
              </w:rPr>
            </w:pPr>
            <w:r>
              <w:rPr>
                <w:rFonts w:hint="eastAsia" w:ascii="宋体" w:hAnsi="宋体" w:cs="宋体"/>
                <w:sz w:val="22"/>
                <w:szCs w:val="22"/>
                <w:highlight w:val="none"/>
              </w:rPr>
              <w:t>报价金额合计</w:t>
            </w:r>
          </w:p>
        </w:tc>
        <w:tc>
          <w:tcPr>
            <w:tcW w:w="3189" w:type="pct"/>
            <w:gridSpan w:val="6"/>
            <w:tcBorders>
              <w:top w:val="single" w:color="000000" w:sz="4" w:space="0"/>
              <w:left w:val="single" w:color="auto" w:sz="4" w:space="0"/>
              <w:bottom w:val="single" w:color="000000" w:sz="4" w:space="0"/>
              <w:right w:val="single" w:color="000000" w:sz="4" w:space="0"/>
            </w:tcBorders>
            <w:vAlign w:val="center"/>
          </w:tcPr>
          <w:p w14:paraId="50F29A8A">
            <w:pPr>
              <w:pageBreakBefore w:val="0"/>
              <w:kinsoku/>
              <w:overflowPunct/>
              <w:bidi w:val="0"/>
              <w:spacing w:line="500" w:lineRule="exact"/>
              <w:rPr>
                <w:rFonts w:ascii="宋体" w:hAnsi="宋体" w:cs="宋体"/>
                <w:sz w:val="22"/>
                <w:szCs w:val="22"/>
                <w:highlight w:val="none"/>
              </w:rPr>
            </w:pPr>
            <w:r>
              <w:rPr>
                <w:rFonts w:hint="eastAsia" w:ascii="宋体" w:hAnsi="宋体" w:cs="宋体"/>
                <w:sz w:val="22"/>
                <w:szCs w:val="22"/>
                <w:highlight w:val="none"/>
              </w:rPr>
              <w:t>大写：</w:t>
            </w:r>
          </w:p>
          <w:p w14:paraId="5A0CC678">
            <w:pPr>
              <w:pageBreakBefore w:val="0"/>
              <w:kinsoku/>
              <w:overflowPunct/>
              <w:bidi w:val="0"/>
              <w:spacing w:line="500" w:lineRule="exact"/>
              <w:rPr>
                <w:rFonts w:ascii="宋体" w:hAnsi="宋体" w:cs="宋体"/>
                <w:sz w:val="22"/>
                <w:szCs w:val="22"/>
                <w:highlight w:val="none"/>
              </w:rPr>
            </w:pPr>
          </w:p>
          <w:p w14:paraId="74F43243">
            <w:pPr>
              <w:pageBreakBefore w:val="0"/>
              <w:kinsoku/>
              <w:overflowPunct/>
              <w:bidi w:val="0"/>
              <w:spacing w:line="500" w:lineRule="exact"/>
              <w:rPr>
                <w:rFonts w:ascii="宋体" w:hAnsi="宋体" w:cs="宋体"/>
                <w:kern w:val="0"/>
                <w:sz w:val="22"/>
                <w:szCs w:val="22"/>
                <w:highlight w:val="none"/>
              </w:rPr>
            </w:pPr>
            <w:r>
              <w:rPr>
                <w:rFonts w:hint="eastAsia" w:ascii="宋体" w:hAnsi="宋体" w:cs="宋体"/>
                <w:sz w:val="22"/>
                <w:szCs w:val="22"/>
                <w:highlight w:val="none"/>
              </w:rPr>
              <w:t>小写：</w:t>
            </w:r>
          </w:p>
        </w:tc>
      </w:tr>
      <w:tr w14:paraId="1F3CAB33">
        <w:tblPrEx>
          <w:tblCellMar>
            <w:top w:w="0" w:type="dxa"/>
            <w:left w:w="108" w:type="dxa"/>
            <w:bottom w:w="0" w:type="dxa"/>
            <w:right w:w="108" w:type="dxa"/>
          </w:tblCellMar>
        </w:tblPrEx>
        <w:trPr>
          <w:trHeight w:val="83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3678CC28">
            <w:pPr>
              <w:pageBreakBefore w:val="0"/>
              <w:widowControl/>
              <w:kinsoku/>
              <w:overflowPunct/>
              <w:bidi w:val="0"/>
              <w:snapToGrid w:val="0"/>
              <w:spacing w:before="100" w:beforeAutospacing="1" w:after="100" w:afterAutospacing="1" w:line="500" w:lineRule="exact"/>
              <w:ind w:right="-330"/>
              <w:rPr>
                <w:rFonts w:hint="eastAsia" w:ascii="宋体" w:hAnsi="宋体" w:cs="宋体"/>
                <w:b/>
                <w:kern w:val="0"/>
                <w:sz w:val="22"/>
                <w:szCs w:val="22"/>
                <w:highlight w:val="none"/>
              </w:rPr>
            </w:pPr>
            <w:r>
              <w:rPr>
                <w:rFonts w:hint="eastAsia" w:ascii="宋体" w:hAnsi="宋体" w:cs="宋体"/>
                <w:b/>
                <w:kern w:val="0"/>
                <w:sz w:val="22"/>
                <w:szCs w:val="22"/>
                <w:highlight w:val="none"/>
              </w:rPr>
              <w:t xml:space="preserve">备注： </w:t>
            </w:r>
          </w:p>
        </w:tc>
      </w:tr>
    </w:tbl>
    <w:p w14:paraId="6217D470">
      <w:pPr>
        <w:pageBreakBefore w:val="0"/>
        <w:kinsoku/>
        <w:overflowPunct/>
        <w:bidi w:val="0"/>
        <w:spacing w:line="500" w:lineRule="exact"/>
        <w:ind w:right="420"/>
        <w:jc w:val="both"/>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注：</w:t>
      </w:r>
    </w:p>
    <w:p w14:paraId="7C3FFF8D">
      <w:pPr>
        <w:pageBreakBefore w:val="0"/>
        <w:kinsoku/>
        <w:overflowPunct/>
        <w:bidi w:val="0"/>
        <w:spacing w:line="500" w:lineRule="exact"/>
        <w:jc w:val="right"/>
        <w:rPr>
          <w:rFonts w:hint="eastAsia"/>
          <w:highlight w:val="none"/>
        </w:rPr>
      </w:pPr>
      <w:bookmarkStart w:id="319" w:name="_Toc4992_WPSOffice_Level1"/>
      <w:bookmarkStart w:id="320" w:name="_Toc29202"/>
      <w:bookmarkStart w:id="321" w:name="_Toc32487"/>
      <w:r>
        <w:rPr>
          <w:rFonts w:hint="eastAsia" w:ascii="宋体" w:hAnsi="宋体" w:cs="宋体"/>
          <w:highlight w:val="none"/>
          <w:lang w:val="en-US" w:eastAsia="zh-CN"/>
        </w:rPr>
        <w:t xml:space="preserve">                </w:t>
      </w:r>
      <w:r>
        <w:rPr>
          <w:rFonts w:hint="eastAsia"/>
          <w:highlight w:val="none"/>
          <w:lang w:val="en-US" w:eastAsia="zh-CN"/>
        </w:rPr>
        <w:t xml:space="preserve">     </w:t>
      </w:r>
      <w:r>
        <w:rPr>
          <w:rFonts w:hint="eastAsia"/>
          <w:highlight w:val="none"/>
        </w:rPr>
        <w:t>供应商名称：</w:t>
      </w:r>
      <w:bookmarkEnd w:id="319"/>
      <w:bookmarkEnd w:id="320"/>
      <w:r>
        <w:rPr>
          <w:rFonts w:hint="eastAsia"/>
          <w:highlight w:val="none"/>
        </w:rPr>
        <w:t>（盖单位公章）</w:t>
      </w:r>
      <w:bookmarkEnd w:id="321"/>
    </w:p>
    <w:p w14:paraId="5FF2039A">
      <w:pPr>
        <w:pageBreakBefore w:val="0"/>
        <w:kinsoku/>
        <w:overflowPunct/>
        <w:bidi w:val="0"/>
        <w:spacing w:line="500" w:lineRule="exact"/>
        <w:jc w:val="right"/>
        <w:rPr>
          <w:highlight w:val="none"/>
        </w:rPr>
      </w:pPr>
    </w:p>
    <w:p w14:paraId="1D781513">
      <w:pPr>
        <w:pageBreakBefore w:val="0"/>
        <w:kinsoku/>
        <w:overflowPunct/>
        <w:bidi w:val="0"/>
        <w:spacing w:line="500" w:lineRule="exact"/>
        <w:jc w:val="right"/>
        <w:rPr>
          <w:highlight w:val="none"/>
        </w:rPr>
      </w:pPr>
      <w:bookmarkStart w:id="322" w:name="_Toc25724_WPSOffice_Level1"/>
      <w:bookmarkStart w:id="323" w:name="_Toc2424"/>
      <w:r>
        <w:rPr>
          <w:rFonts w:hint="eastAsia"/>
          <w:highlight w:val="none"/>
        </w:rPr>
        <w:t xml:space="preserve">               </w:t>
      </w:r>
      <w:bookmarkStart w:id="324" w:name="_Toc6632"/>
      <w:r>
        <w:rPr>
          <w:rFonts w:hint="eastAsia"/>
          <w:highlight w:val="none"/>
        </w:rPr>
        <w:t>法定代表人：</w:t>
      </w:r>
      <w:bookmarkEnd w:id="322"/>
      <w:bookmarkEnd w:id="323"/>
      <w:r>
        <w:rPr>
          <w:rFonts w:hint="eastAsia"/>
          <w:highlight w:val="none"/>
        </w:rPr>
        <w:t>（盖章）</w:t>
      </w:r>
      <w:bookmarkEnd w:id="324"/>
    </w:p>
    <w:p w14:paraId="69FB954A">
      <w:pPr>
        <w:pageBreakBefore w:val="0"/>
        <w:kinsoku/>
        <w:overflowPunct/>
        <w:bidi w:val="0"/>
        <w:spacing w:line="500" w:lineRule="exact"/>
        <w:jc w:val="right"/>
        <w:rPr>
          <w:highlight w:val="none"/>
        </w:rPr>
      </w:pPr>
    </w:p>
    <w:p w14:paraId="302726DE">
      <w:pPr>
        <w:pageBreakBefore w:val="0"/>
        <w:kinsoku/>
        <w:overflowPunct/>
        <w:bidi w:val="0"/>
        <w:spacing w:line="500" w:lineRule="exact"/>
        <w:jc w:val="right"/>
        <w:rPr>
          <w:rFonts w:hint="eastAsia"/>
          <w:highlight w:val="none"/>
        </w:rPr>
      </w:pPr>
      <w:r>
        <w:rPr>
          <w:rFonts w:hint="eastAsia"/>
          <w:highlight w:val="none"/>
        </w:rPr>
        <w:t xml:space="preserve">                                 日      期：</w:t>
      </w:r>
      <w:r>
        <w:rPr>
          <w:rFonts w:hint="eastAsia"/>
          <w:highlight w:val="none"/>
          <w:lang w:val="en-US" w:eastAsia="zh-CN"/>
        </w:rPr>
        <w:t xml:space="preserve">  </w:t>
      </w:r>
      <w:r>
        <w:rPr>
          <w:rFonts w:hint="eastAsia"/>
          <w:highlight w:val="none"/>
        </w:rPr>
        <w:t>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p w14:paraId="2C58C7A6">
      <w:pPr>
        <w:pStyle w:val="25"/>
        <w:rPr>
          <w:rFonts w:hint="eastAsia"/>
          <w:highlight w:val="none"/>
        </w:rPr>
      </w:pPr>
    </w:p>
    <w:p w14:paraId="023451EF">
      <w:pPr>
        <w:rPr>
          <w:highlight w:val="none"/>
        </w:rPr>
      </w:pPr>
    </w:p>
    <w:p w14:paraId="48A95E09">
      <w:pPr>
        <w:pageBreakBefore w:val="0"/>
        <w:kinsoku/>
        <w:overflowPunct/>
        <w:bidi w:val="0"/>
        <w:spacing w:line="500" w:lineRule="exact"/>
        <w:ind w:left="420"/>
        <w:jc w:val="center"/>
        <w:outlineLvl w:val="0"/>
        <w:rPr>
          <w:rFonts w:ascii="宋体" w:hAnsi="宋体" w:cs="宋体"/>
          <w:b/>
          <w:sz w:val="30"/>
          <w:szCs w:val="30"/>
          <w:highlight w:val="none"/>
        </w:rPr>
      </w:pPr>
      <w:bookmarkStart w:id="325" w:name="_Toc2616"/>
      <w:r>
        <w:rPr>
          <w:rFonts w:hint="eastAsia" w:ascii="宋体" w:hAnsi="宋体" w:cs="宋体"/>
          <w:b/>
          <w:sz w:val="30"/>
          <w:szCs w:val="30"/>
          <w:highlight w:val="none"/>
        </w:rPr>
        <w:t>二、技术参数一览表</w:t>
      </w:r>
      <w:bookmarkEnd w:id="325"/>
    </w:p>
    <w:p w14:paraId="5C4CCB00">
      <w:pPr>
        <w:pageBreakBefore w:val="0"/>
        <w:kinsoku/>
        <w:overflowPunct/>
        <w:autoSpaceDE w:val="0"/>
        <w:autoSpaceDN w:val="0"/>
        <w:bidi w:val="0"/>
        <w:spacing w:line="500" w:lineRule="exact"/>
        <w:rPr>
          <w:rFonts w:ascii="宋体" w:hAnsi="宋体" w:cs="宋体"/>
          <w:sz w:val="22"/>
          <w:szCs w:val="22"/>
          <w:highlight w:val="none"/>
        </w:rPr>
      </w:pPr>
      <w:r>
        <w:rPr>
          <w:rFonts w:hint="eastAsia" w:ascii="宋体" w:hAnsi="宋体" w:cs="宋体"/>
          <w:sz w:val="22"/>
          <w:szCs w:val="22"/>
          <w:highlight w:val="none"/>
        </w:rPr>
        <w:t>供应商名称：</w:t>
      </w:r>
    </w:p>
    <w:p w14:paraId="3B57BE80">
      <w:pPr>
        <w:pageBreakBefore w:val="0"/>
        <w:kinsoku/>
        <w:overflowPunct/>
        <w:autoSpaceDE w:val="0"/>
        <w:autoSpaceDN w:val="0"/>
        <w:bidi w:val="0"/>
        <w:spacing w:line="500" w:lineRule="exact"/>
        <w:rPr>
          <w:rFonts w:ascii="宋体" w:hAnsi="宋体" w:cs="宋体"/>
          <w:sz w:val="22"/>
          <w:szCs w:val="22"/>
          <w:highlight w:val="none"/>
          <w:u w:val="single"/>
        </w:rPr>
      </w:pPr>
      <w:r>
        <w:rPr>
          <w:rFonts w:hint="eastAsia" w:ascii="宋体" w:hAnsi="宋体" w:cs="宋体"/>
          <w:sz w:val="22"/>
          <w:szCs w:val="22"/>
          <w:highlight w:val="none"/>
        </w:rPr>
        <w:t>项目编号：</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48"/>
        <w:gridCol w:w="2321"/>
        <w:gridCol w:w="1313"/>
        <w:gridCol w:w="1315"/>
        <w:gridCol w:w="2116"/>
      </w:tblGrid>
      <w:tr w14:paraId="5529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04D0EDB6">
            <w:pPr>
              <w:pageBreakBefore w:val="0"/>
              <w:widowControl/>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860" w:type="pct"/>
            <w:tcBorders>
              <w:top w:val="single" w:color="auto" w:sz="4" w:space="0"/>
              <w:left w:val="nil"/>
              <w:bottom w:val="single" w:color="auto" w:sz="4" w:space="0"/>
              <w:right w:val="single" w:color="auto" w:sz="4" w:space="0"/>
            </w:tcBorders>
            <w:vAlign w:val="center"/>
          </w:tcPr>
          <w:p w14:paraId="0D898AF8">
            <w:pPr>
              <w:pageBreakBefore w:val="0"/>
              <w:widowControl/>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名称</w:t>
            </w:r>
          </w:p>
        </w:tc>
        <w:tc>
          <w:tcPr>
            <w:tcW w:w="1211" w:type="pct"/>
            <w:tcBorders>
              <w:top w:val="single" w:color="auto" w:sz="4" w:space="0"/>
              <w:left w:val="nil"/>
              <w:bottom w:val="single" w:color="auto" w:sz="4" w:space="0"/>
              <w:right w:val="single" w:color="auto" w:sz="4" w:space="0"/>
            </w:tcBorders>
            <w:vAlign w:val="center"/>
          </w:tcPr>
          <w:p w14:paraId="420E9169">
            <w:pPr>
              <w:pageBreakBefore w:val="0"/>
              <w:widowControl/>
              <w:kinsoku/>
              <w:overflowPunct/>
              <w:bidi w:val="0"/>
              <w:spacing w:line="500" w:lineRule="exact"/>
              <w:ind w:firstLine="110" w:firstLineChars="50"/>
              <w:jc w:val="center"/>
              <w:rPr>
                <w:rFonts w:hint="eastAsia" w:ascii="宋体" w:hAnsi="宋体" w:cs="宋体"/>
                <w:sz w:val="22"/>
                <w:szCs w:val="22"/>
                <w:highlight w:val="none"/>
                <w:lang w:eastAsia="zh-CN"/>
              </w:rPr>
            </w:pPr>
            <w:r>
              <w:rPr>
                <w:rFonts w:hint="eastAsia" w:ascii="宋体" w:hAnsi="宋体" w:cs="宋体"/>
                <w:sz w:val="22"/>
                <w:szCs w:val="22"/>
                <w:highlight w:val="none"/>
                <w:lang w:eastAsia="zh-CN"/>
              </w:rPr>
              <w:t>技术参数</w:t>
            </w:r>
          </w:p>
        </w:tc>
        <w:tc>
          <w:tcPr>
            <w:tcW w:w="685" w:type="pct"/>
            <w:tcBorders>
              <w:top w:val="single" w:color="auto" w:sz="4" w:space="0"/>
              <w:left w:val="nil"/>
              <w:bottom w:val="single" w:color="auto" w:sz="4" w:space="0"/>
              <w:right w:val="single" w:color="auto" w:sz="4" w:space="0"/>
            </w:tcBorders>
            <w:vAlign w:val="center"/>
          </w:tcPr>
          <w:p w14:paraId="58805B1B">
            <w:pPr>
              <w:pageBreakBefore w:val="0"/>
              <w:widowControl/>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单位</w:t>
            </w:r>
          </w:p>
        </w:tc>
        <w:tc>
          <w:tcPr>
            <w:tcW w:w="686" w:type="pct"/>
            <w:tcBorders>
              <w:top w:val="single" w:color="auto" w:sz="4" w:space="0"/>
              <w:left w:val="nil"/>
              <w:bottom w:val="single" w:color="auto" w:sz="4" w:space="0"/>
              <w:right w:val="single" w:color="auto" w:sz="4" w:space="0"/>
            </w:tcBorders>
            <w:vAlign w:val="center"/>
          </w:tcPr>
          <w:p w14:paraId="3B427F4D">
            <w:pPr>
              <w:pageBreakBefore w:val="0"/>
              <w:kinsoku/>
              <w:overflowPunct/>
              <w:autoSpaceDE w:val="0"/>
              <w:autoSpaceDN w:val="0"/>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数量</w:t>
            </w:r>
          </w:p>
        </w:tc>
        <w:tc>
          <w:tcPr>
            <w:tcW w:w="1104" w:type="pct"/>
            <w:tcBorders>
              <w:top w:val="single" w:color="auto" w:sz="4" w:space="0"/>
              <w:left w:val="nil"/>
              <w:bottom w:val="single" w:color="auto" w:sz="4" w:space="0"/>
              <w:right w:val="single" w:color="auto" w:sz="4" w:space="0"/>
            </w:tcBorders>
            <w:vAlign w:val="center"/>
          </w:tcPr>
          <w:p w14:paraId="1C2E0C7C">
            <w:pPr>
              <w:pageBreakBefore w:val="0"/>
              <w:widowControl/>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生产厂家</w:t>
            </w:r>
          </w:p>
        </w:tc>
      </w:tr>
      <w:tr w14:paraId="532F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50" w:type="pct"/>
            <w:tcBorders>
              <w:top w:val="single" w:color="auto" w:sz="4" w:space="0"/>
              <w:left w:val="single" w:color="auto" w:sz="4" w:space="0"/>
              <w:bottom w:val="single" w:color="auto" w:sz="4" w:space="0"/>
              <w:right w:val="single" w:color="auto" w:sz="4" w:space="0"/>
            </w:tcBorders>
          </w:tcPr>
          <w:p w14:paraId="46CD60AA">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49A44397">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0A12316F">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5F2BBE99">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044F1E3A">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63EB70A1">
            <w:pPr>
              <w:pageBreakBefore w:val="0"/>
              <w:kinsoku/>
              <w:overflowPunct/>
              <w:autoSpaceDE w:val="0"/>
              <w:autoSpaceDN w:val="0"/>
              <w:bidi w:val="0"/>
              <w:spacing w:line="500" w:lineRule="exact"/>
              <w:jc w:val="center"/>
              <w:rPr>
                <w:rFonts w:ascii="宋体" w:hAnsi="宋体" w:cs="宋体"/>
                <w:sz w:val="22"/>
                <w:szCs w:val="22"/>
                <w:highlight w:val="none"/>
              </w:rPr>
            </w:pPr>
          </w:p>
        </w:tc>
      </w:tr>
      <w:tr w14:paraId="00B6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0" w:type="pct"/>
            <w:tcBorders>
              <w:top w:val="single" w:color="auto" w:sz="4" w:space="0"/>
              <w:left w:val="single" w:color="auto" w:sz="4" w:space="0"/>
              <w:bottom w:val="single" w:color="auto" w:sz="4" w:space="0"/>
              <w:right w:val="single" w:color="auto" w:sz="4" w:space="0"/>
            </w:tcBorders>
          </w:tcPr>
          <w:p w14:paraId="4C3DDC98">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60477E79">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0A4EFA21">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4F1F3B3D">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715789CD">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103F8D92">
            <w:pPr>
              <w:pageBreakBefore w:val="0"/>
              <w:kinsoku/>
              <w:overflowPunct/>
              <w:autoSpaceDE w:val="0"/>
              <w:autoSpaceDN w:val="0"/>
              <w:bidi w:val="0"/>
              <w:spacing w:line="500" w:lineRule="exact"/>
              <w:jc w:val="center"/>
              <w:rPr>
                <w:rFonts w:ascii="宋体" w:hAnsi="宋体" w:cs="宋体"/>
                <w:sz w:val="22"/>
                <w:szCs w:val="22"/>
                <w:highlight w:val="none"/>
              </w:rPr>
            </w:pPr>
          </w:p>
        </w:tc>
      </w:tr>
      <w:tr w14:paraId="393A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0" w:type="pct"/>
            <w:tcBorders>
              <w:top w:val="single" w:color="auto" w:sz="4" w:space="0"/>
              <w:left w:val="single" w:color="auto" w:sz="4" w:space="0"/>
              <w:bottom w:val="single" w:color="auto" w:sz="4" w:space="0"/>
              <w:right w:val="single" w:color="auto" w:sz="4" w:space="0"/>
            </w:tcBorders>
          </w:tcPr>
          <w:p w14:paraId="6E97E090">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7C6F8FB0">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4F3584B0">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211CFBC2">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6AB7AE36">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7A87EA64">
            <w:pPr>
              <w:pageBreakBefore w:val="0"/>
              <w:kinsoku/>
              <w:overflowPunct/>
              <w:autoSpaceDE w:val="0"/>
              <w:autoSpaceDN w:val="0"/>
              <w:bidi w:val="0"/>
              <w:spacing w:line="500" w:lineRule="exact"/>
              <w:jc w:val="center"/>
              <w:rPr>
                <w:rFonts w:ascii="宋体" w:hAnsi="宋体" w:cs="宋体"/>
                <w:sz w:val="22"/>
                <w:szCs w:val="22"/>
                <w:highlight w:val="none"/>
              </w:rPr>
            </w:pPr>
          </w:p>
        </w:tc>
      </w:tr>
      <w:tr w14:paraId="0CAD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0" w:type="pct"/>
            <w:tcBorders>
              <w:top w:val="single" w:color="auto" w:sz="4" w:space="0"/>
              <w:left w:val="single" w:color="auto" w:sz="4" w:space="0"/>
              <w:bottom w:val="single" w:color="auto" w:sz="4" w:space="0"/>
              <w:right w:val="single" w:color="auto" w:sz="4" w:space="0"/>
            </w:tcBorders>
          </w:tcPr>
          <w:p w14:paraId="082C27C9">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6DEC5067">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5ECD15DF">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79F013AF">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03B93258">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4814CA32">
            <w:pPr>
              <w:pageBreakBefore w:val="0"/>
              <w:kinsoku/>
              <w:overflowPunct/>
              <w:autoSpaceDE w:val="0"/>
              <w:autoSpaceDN w:val="0"/>
              <w:bidi w:val="0"/>
              <w:spacing w:line="500" w:lineRule="exact"/>
              <w:jc w:val="center"/>
              <w:rPr>
                <w:rFonts w:ascii="宋体" w:hAnsi="宋体" w:cs="宋体"/>
                <w:sz w:val="22"/>
                <w:szCs w:val="22"/>
                <w:highlight w:val="none"/>
              </w:rPr>
            </w:pPr>
          </w:p>
        </w:tc>
      </w:tr>
      <w:tr w14:paraId="3BED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0" w:type="pct"/>
            <w:tcBorders>
              <w:top w:val="single" w:color="auto" w:sz="4" w:space="0"/>
              <w:left w:val="single" w:color="auto" w:sz="4" w:space="0"/>
              <w:bottom w:val="single" w:color="auto" w:sz="4" w:space="0"/>
              <w:right w:val="single" w:color="auto" w:sz="4" w:space="0"/>
            </w:tcBorders>
          </w:tcPr>
          <w:p w14:paraId="756DF040">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2E4ED6C6">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45520685">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5C7BA9A4">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1EF4DC91">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3B90E929">
            <w:pPr>
              <w:pageBreakBefore w:val="0"/>
              <w:kinsoku/>
              <w:overflowPunct/>
              <w:autoSpaceDE w:val="0"/>
              <w:autoSpaceDN w:val="0"/>
              <w:bidi w:val="0"/>
              <w:spacing w:line="500" w:lineRule="exact"/>
              <w:jc w:val="center"/>
              <w:rPr>
                <w:rFonts w:ascii="宋体" w:hAnsi="宋体" w:cs="宋体"/>
                <w:sz w:val="22"/>
                <w:szCs w:val="22"/>
                <w:highlight w:val="none"/>
              </w:rPr>
            </w:pPr>
          </w:p>
        </w:tc>
      </w:tr>
      <w:tr w14:paraId="5BCD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0" w:type="pct"/>
            <w:tcBorders>
              <w:top w:val="single" w:color="auto" w:sz="4" w:space="0"/>
              <w:left w:val="single" w:color="auto" w:sz="4" w:space="0"/>
              <w:bottom w:val="single" w:color="auto" w:sz="4" w:space="0"/>
              <w:right w:val="single" w:color="auto" w:sz="4" w:space="0"/>
            </w:tcBorders>
          </w:tcPr>
          <w:p w14:paraId="0A659C9D">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27CD4A19">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7BDE7D7C">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17AD0835">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35AF646C">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2BA1631C">
            <w:pPr>
              <w:pageBreakBefore w:val="0"/>
              <w:kinsoku/>
              <w:overflowPunct/>
              <w:autoSpaceDE w:val="0"/>
              <w:autoSpaceDN w:val="0"/>
              <w:bidi w:val="0"/>
              <w:spacing w:line="500" w:lineRule="exact"/>
              <w:jc w:val="center"/>
              <w:rPr>
                <w:rFonts w:ascii="宋体" w:hAnsi="宋体" w:cs="宋体"/>
                <w:sz w:val="22"/>
                <w:szCs w:val="22"/>
                <w:highlight w:val="none"/>
              </w:rPr>
            </w:pPr>
          </w:p>
        </w:tc>
      </w:tr>
      <w:tr w14:paraId="2860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0" w:type="pct"/>
            <w:tcBorders>
              <w:top w:val="single" w:color="auto" w:sz="4" w:space="0"/>
              <w:left w:val="single" w:color="auto" w:sz="4" w:space="0"/>
              <w:bottom w:val="single" w:color="auto" w:sz="4" w:space="0"/>
              <w:right w:val="single" w:color="auto" w:sz="4" w:space="0"/>
            </w:tcBorders>
          </w:tcPr>
          <w:p w14:paraId="79963150">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1736DF6F">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2778FD26">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6BF10522">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26D728B4">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4CED6C2A">
            <w:pPr>
              <w:pageBreakBefore w:val="0"/>
              <w:kinsoku/>
              <w:overflowPunct/>
              <w:autoSpaceDE w:val="0"/>
              <w:autoSpaceDN w:val="0"/>
              <w:bidi w:val="0"/>
              <w:spacing w:line="500" w:lineRule="exact"/>
              <w:jc w:val="center"/>
              <w:rPr>
                <w:rFonts w:ascii="宋体" w:hAnsi="宋体" w:cs="宋体"/>
                <w:sz w:val="22"/>
                <w:szCs w:val="22"/>
                <w:highlight w:val="none"/>
              </w:rPr>
            </w:pPr>
          </w:p>
        </w:tc>
      </w:tr>
      <w:tr w14:paraId="7C76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50" w:type="pct"/>
            <w:tcBorders>
              <w:top w:val="single" w:color="auto" w:sz="4" w:space="0"/>
              <w:left w:val="single" w:color="auto" w:sz="4" w:space="0"/>
              <w:bottom w:val="single" w:color="auto" w:sz="4" w:space="0"/>
              <w:right w:val="single" w:color="auto" w:sz="4" w:space="0"/>
            </w:tcBorders>
          </w:tcPr>
          <w:p w14:paraId="5381854B">
            <w:pPr>
              <w:pageBreakBefore w:val="0"/>
              <w:kinsoku/>
              <w:overflowPunct/>
              <w:autoSpaceDE w:val="0"/>
              <w:autoSpaceDN w:val="0"/>
              <w:bidi w:val="0"/>
              <w:spacing w:line="500" w:lineRule="exact"/>
              <w:jc w:val="center"/>
              <w:rPr>
                <w:rFonts w:ascii="宋体" w:hAnsi="宋体" w:cs="宋体"/>
                <w:sz w:val="22"/>
                <w:szCs w:val="22"/>
                <w:highlight w:val="none"/>
              </w:rPr>
            </w:pPr>
          </w:p>
        </w:tc>
        <w:tc>
          <w:tcPr>
            <w:tcW w:w="860" w:type="pct"/>
            <w:tcBorders>
              <w:top w:val="single" w:color="auto" w:sz="4" w:space="0"/>
              <w:left w:val="nil"/>
              <w:bottom w:val="single" w:color="auto" w:sz="4" w:space="0"/>
              <w:right w:val="single" w:color="auto" w:sz="4" w:space="0"/>
            </w:tcBorders>
            <w:vAlign w:val="center"/>
          </w:tcPr>
          <w:p w14:paraId="326D3597">
            <w:pPr>
              <w:pageBreakBefore w:val="0"/>
              <w:kinsoku/>
              <w:overflowPunct/>
              <w:autoSpaceDE w:val="0"/>
              <w:autoSpaceDN w:val="0"/>
              <w:bidi w:val="0"/>
              <w:spacing w:line="500" w:lineRule="exact"/>
              <w:jc w:val="center"/>
              <w:rPr>
                <w:rFonts w:ascii="宋体" w:hAnsi="宋体" w:cs="宋体"/>
                <w:sz w:val="22"/>
                <w:szCs w:val="22"/>
                <w:highlight w:val="none"/>
              </w:rPr>
            </w:pPr>
          </w:p>
        </w:tc>
        <w:tc>
          <w:tcPr>
            <w:tcW w:w="1211" w:type="pct"/>
            <w:tcBorders>
              <w:top w:val="single" w:color="auto" w:sz="4" w:space="0"/>
              <w:left w:val="nil"/>
              <w:bottom w:val="single" w:color="auto" w:sz="4" w:space="0"/>
              <w:right w:val="single" w:color="auto" w:sz="4" w:space="0"/>
            </w:tcBorders>
            <w:vAlign w:val="center"/>
          </w:tcPr>
          <w:p w14:paraId="772A9A57">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5" w:type="pct"/>
            <w:tcBorders>
              <w:top w:val="single" w:color="auto" w:sz="4" w:space="0"/>
              <w:left w:val="nil"/>
              <w:bottom w:val="single" w:color="auto" w:sz="4" w:space="0"/>
              <w:right w:val="single" w:color="auto" w:sz="4" w:space="0"/>
            </w:tcBorders>
            <w:vAlign w:val="center"/>
          </w:tcPr>
          <w:p w14:paraId="6F8CD817">
            <w:pPr>
              <w:pageBreakBefore w:val="0"/>
              <w:kinsoku/>
              <w:overflowPunct/>
              <w:autoSpaceDE w:val="0"/>
              <w:autoSpaceDN w:val="0"/>
              <w:bidi w:val="0"/>
              <w:spacing w:line="500" w:lineRule="exact"/>
              <w:jc w:val="center"/>
              <w:rPr>
                <w:rFonts w:ascii="宋体" w:hAnsi="宋体" w:cs="宋体"/>
                <w:sz w:val="22"/>
                <w:szCs w:val="22"/>
                <w:highlight w:val="none"/>
              </w:rPr>
            </w:pPr>
          </w:p>
        </w:tc>
        <w:tc>
          <w:tcPr>
            <w:tcW w:w="686" w:type="pct"/>
            <w:tcBorders>
              <w:top w:val="single" w:color="auto" w:sz="4" w:space="0"/>
              <w:left w:val="nil"/>
              <w:bottom w:val="single" w:color="auto" w:sz="4" w:space="0"/>
              <w:right w:val="single" w:color="auto" w:sz="4" w:space="0"/>
            </w:tcBorders>
            <w:vAlign w:val="center"/>
          </w:tcPr>
          <w:p w14:paraId="2C170F86">
            <w:pPr>
              <w:pageBreakBefore w:val="0"/>
              <w:kinsoku/>
              <w:overflowPunct/>
              <w:autoSpaceDE w:val="0"/>
              <w:autoSpaceDN w:val="0"/>
              <w:bidi w:val="0"/>
              <w:spacing w:line="500" w:lineRule="exact"/>
              <w:jc w:val="center"/>
              <w:rPr>
                <w:rFonts w:ascii="宋体" w:hAnsi="宋体" w:cs="宋体"/>
                <w:sz w:val="22"/>
                <w:szCs w:val="22"/>
                <w:highlight w:val="none"/>
              </w:rPr>
            </w:pPr>
          </w:p>
        </w:tc>
        <w:tc>
          <w:tcPr>
            <w:tcW w:w="1104" w:type="pct"/>
            <w:tcBorders>
              <w:top w:val="single" w:color="auto" w:sz="4" w:space="0"/>
              <w:left w:val="nil"/>
              <w:bottom w:val="single" w:color="auto" w:sz="4" w:space="0"/>
              <w:right w:val="single" w:color="auto" w:sz="4" w:space="0"/>
            </w:tcBorders>
            <w:vAlign w:val="center"/>
          </w:tcPr>
          <w:p w14:paraId="251B549A">
            <w:pPr>
              <w:pageBreakBefore w:val="0"/>
              <w:kinsoku/>
              <w:overflowPunct/>
              <w:autoSpaceDE w:val="0"/>
              <w:autoSpaceDN w:val="0"/>
              <w:bidi w:val="0"/>
              <w:spacing w:line="500" w:lineRule="exact"/>
              <w:jc w:val="center"/>
              <w:rPr>
                <w:rFonts w:ascii="宋体" w:hAnsi="宋体" w:cs="宋体"/>
                <w:sz w:val="22"/>
                <w:szCs w:val="22"/>
                <w:highlight w:val="none"/>
              </w:rPr>
            </w:pPr>
          </w:p>
        </w:tc>
      </w:tr>
    </w:tbl>
    <w:p w14:paraId="4B3ECD05">
      <w:pPr>
        <w:pageBreakBefore w:val="0"/>
        <w:kinsoku/>
        <w:overflowPunct/>
        <w:autoSpaceDE w:val="0"/>
        <w:autoSpaceDN w:val="0"/>
        <w:bidi w:val="0"/>
        <w:spacing w:line="500" w:lineRule="exact"/>
        <w:rPr>
          <w:rFonts w:ascii="宋体" w:hAnsi="宋体" w:cs="宋体"/>
          <w:sz w:val="22"/>
          <w:szCs w:val="22"/>
          <w:highlight w:val="none"/>
        </w:rPr>
      </w:pPr>
    </w:p>
    <w:p w14:paraId="259052FA">
      <w:pPr>
        <w:pageBreakBefore w:val="0"/>
        <w:kinsoku/>
        <w:overflowPunct/>
        <w:autoSpaceDE w:val="0"/>
        <w:autoSpaceDN w:val="0"/>
        <w:bidi w:val="0"/>
        <w:spacing w:line="500" w:lineRule="exact"/>
        <w:rPr>
          <w:rFonts w:ascii="宋体" w:hAnsi="宋体" w:cs="宋体"/>
          <w:sz w:val="22"/>
          <w:szCs w:val="22"/>
          <w:highlight w:val="none"/>
        </w:rPr>
      </w:pPr>
    </w:p>
    <w:p w14:paraId="00D35BDD">
      <w:pPr>
        <w:pageBreakBefore w:val="0"/>
        <w:kinsoku/>
        <w:overflowPunct/>
        <w:autoSpaceDE w:val="0"/>
        <w:autoSpaceDN w:val="0"/>
        <w:bidi w:val="0"/>
        <w:spacing w:line="500" w:lineRule="exact"/>
        <w:rPr>
          <w:rFonts w:ascii="宋体" w:hAnsi="宋体" w:cs="宋体"/>
          <w:sz w:val="24"/>
          <w:highlight w:val="none"/>
        </w:rPr>
      </w:pPr>
    </w:p>
    <w:p w14:paraId="0F5282C9">
      <w:pPr>
        <w:pageBreakBefore w:val="0"/>
        <w:kinsoku/>
        <w:overflowPunct/>
        <w:autoSpaceDE w:val="0"/>
        <w:autoSpaceDN w:val="0"/>
        <w:bidi w:val="0"/>
        <w:spacing w:line="500" w:lineRule="exact"/>
        <w:ind w:firstLine="3600" w:firstLineChars="1500"/>
        <w:rPr>
          <w:rFonts w:ascii="宋体" w:hAnsi="宋体" w:cs="宋体"/>
          <w:sz w:val="24"/>
          <w:highlight w:val="none"/>
        </w:rPr>
      </w:pPr>
    </w:p>
    <w:p w14:paraId="2DBD07B2">
      <w:pPr>
        <w:pageBreakBefore w:val="0"/>
        <w:kinsoku/>
        <w:overflowPunct/>
        <w:autoSpaceDE w:val="0"/>
        <w:autoSpaceDN w:val="0"/>
        <w:bidi w:val="0"/>
        <w:spacing w:line="500" w:lineRule="exact"/>
        <w:ind w:firstLine="4320" w:firstLineChars="1800"/>
        <w:rPr>
          <w:rFonts w:ascii="宋体" w:hAnsi="宋体" w:cs="宋体"/>
          <w:sz w:val="24"/>
          <w:highlight w:val="none"/>
        </w:rPr>
      </w:pPr>
      <w:r>
        <w:rPr>
          <w:rFonts w:hint="eastAsia" w:ascii="宋体" w:hAnsi="宋体" w:cs="宋体"/>
          <w:sz w:val="24"/>
          <w:highlight w:val="none"/>
        </w:rPr>
        <w:t>供应商名称：（盖单位章）</w:t>
      </w:r>
    </w:p>
    <w:p w14:paraId="51B2EA13">
      <w:pPr>
        <w:pageBreakBefore w:val="0"/>
        <w:kinsoku/>
        <w:overflowPunct/>
        <w:autoSpaceDE w:val="0"/>
        <w:autoSpaceDN w:val="0"/>
        <w:bidi w:val="0"/>
        <w:spacing w:line="500" w:lineRule="exact"/>
        <w:ind w:firstLine="4320" w:firstLineChars="1800"/>
        <w:rPr>
          <w:rFonts w:ascii="宋体" w:hAnsi="宋体" w:cs="宋体"/>
          <w:sz w:val="24"/>
          <w:highlight w:val="none"/>
        </w:rPr>
      </w:pPr>
      <w:r>
        <w:rPr>
          <w:rFonts w:hint="eastAsia" w:ascii="宋体" w:hAnsi="宋体" w:cs="宋体"/>
          <w:sz w:val="24"/>
          <w:highlight w:val="none"/>
        </w:rPr>
        <w:t>法定代表人：（签章）</w:t>
      </w:r>
    </w:p>
    <w:p w14:paraId="1B8AD368">
      <w:pPr>
        <w:pStyle w:val="11"/>
        <w:pageBreakBefore w:val="0"/>
        <w:kinsoku/>
        <w:overflowPunct/>
        <w:bidi w:val="0"/>
        <w:spacing w:line="500" w:lineRule="exact"/>
        <w:ind w:firstLine="240" w:firstLineChars="100"/>
        <w:rPr>
          <w:rFonts w:hAnsi="宋体"/>
          <w:color w:val="auto"/>
          <w:highlight w:val="none"/>
        </w:rPr>
      </w:pPr>
      <w:r>
        <w:rPr>
          <w:rFonts w:hint="eastAsia" w:hAnsi="宋体"/>
          <w:color w:val="auto"/>
          <w:highlight w:val="none"/>
        </w:rPr>
        <w:t xml:space="preserve">                                  日      期：年月日</w:t>
      </w:r>
    </w:p>
    <w:p w14:paraId="3C260649">
      <w:pPr>
        <w:pageBreakBefore w:val="0"/>
        <w:kinsoku/>
        <w:overflowPunct/>
        <w:autoSpaceDE w:val="0"/>
        <w:autoSpaceDN w:val="0"/>
        <w:bidi w:val="0"/>
        <w:spacing w:line="500" w:lineRule="exact"/>
        <w:ind w:firstLine="3360" w:firstLineChars="1400"/>
        <w:rPr>
          <w:rFonts w:ascii="宋体" w:hAnsi="宋体" w:cs="宋体"/>
          <w:sz w:val="24"/>
          <w:highlight w:val="none"/>
        </w:rPr>
      </w:pPr>
    </w:p>
    <w:p w14:paraId="31284527">
      <w:pPr>
        <w:pageBreakBefore w:val="0"/>
        <w:kinsoku/>
        <w:overflowPunct/>
        <w:bidi w:val="0"/>
        <w:spacing w:line="500" w:lineRule="exact"/>
        <w:rPr>
          <w:highlight w:val="none"/>
        </w:rPr>
      </w:pPr>
    </w:p>
    <w:p w14:paraId="05F2CFA1">
      <w:pPr>
        <w:pStyle w:val="23"/>
        <w:pageBreakBefore w:val="0"/>
        <w:widowControl w:val="0"/>
        <w:kinsoku/>
        <w:overflowPunct/>
        <w:bidi w:val="0"/>
        <w:spacing w:before="0" w:beforeAutospacing="0" w:after="0" w:afterAutospacing="0" w:line="500" w:lineRule="exact"/>
        <w:ind w:firstLine="241" w:firstLineChars="100"/>
        <w:jc w:val="both"/>
        <w:rPr>
          <w:rFonts w:cs="宋体"/>
          <w:b/>
          <w:bCs/>
          <w:highlight w:val="none"/>
        </w:rPr>
      </w:pPr>
      <w:r>
        <w:rPr>
          <w:rFonts w:hint="eastAsia" w:cs="宋体"/>
          <w:b/>
          <w:bCs/>
          <w:kern w:val="2"/>
          <w:highlight w:val="none"/>
        </w:rPr>
        <w:t>附表：技术参数偏离表</w:t>
      </w:r>
    </w:p>
    <w:p w14:paraId="60E4E57D">
      <w:pPr>
        <w:pStyle w:val="23"/>
        <w:pageBreakBefore w:val="0"/>
        <w:widowControl w:val="0"/>
        <w:kinsoku/>
        <w:overflowPunct/>
        <w:autoSpaceDE w:val="0"/>
        <w:autoSpaceDN w:val="0"/>
        <w:bidi w:val="0"/>
        <w:spacing w:before="0" w:beforeAutospacing="0" w:after="0" w:afterAutospacing="0" w:line="500" w:lineRule="exact"/>
        <w:ind w:firstLine="480"/>
        <w:rPr>
          <w:rFonts w:cs="宋体"/>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72"/>
        <w:gridCol w:w="1872"/>
        <w:gridCol w:w="1872"/>
        <w:gridCol w:w="1112"/>
        <w:gridCol w:w="1550"/>
      </w:tblGrid>
      <w:tr w14:paraId="4684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27"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007A599">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序号</w:t>
            </w:r>
          </w:p>
        </w:tc>
        <w:tc>
          <w:tcPr>
            <w:tcW w:w="1872" w:type="dxa"/>
            <w:tcBorders>
              <w:top w:val="single" w:color="auto" w:sz="4" w:space="0"/>
              <w:left w:val="nil"/>
              <w:bottom w:val="single" w:color="auto" w:sz="4" w:space="0"/>
              <w:right w:val="single" w:color="auto" w:sz="4" w:space="0"/>
            </w:tcBorders>
            <w:vAlign w:val="center"/>
          </w:tcPr>
          <w:p w14:paraId="21B0896C">
            <w:pPr>
              <w:pageBreakBefore w:val="0"/>
              <w:kinsoku/>
              <w:overflowPunct/>
              <w:bidi w:val="0"/>
              <w:spacing w:line="500" w:lineRule="exact"/>
              <w:jc w:val="center"/>
              <w:rPr>
                <w:rFonts w:ascii="宋体" w:hAnsi="宋体" w:cs="宋体"/>
                <w:sz w:val="24"/>
                <w:highlight w:val="none"/>
              </w:rPr>
            </w:pPr>
            <w:r>
              <w:rPr>
                <w:rFonts w:hint="eastAsia" w:ascii="宋体" w:hAnsi="宋体" w:cs="宋体"/>
                <w:sz w:val="22"/>
                <w:szCs w:val="22"/>
                <w:highlight w:val="none"/>
              </w:rPr>
              <w:t>名称</w:t>
            </w:r>
          </w:p>
        </w:tc>
        <w:tc>
          <w:tcPr>
            <w:tcW w:w="1872" w:type="dxa"/>
            <w:tcBorders>
              <w:top w:val="single" w:color="auto" w:sz="4" w:space="0"/>
              <w:left w:val="nil"/>
              <w:bottom w:val="single" w:color="auto" w:sz="4" w:space="0"/>
              <w:right w:val="single" w:color="auto" w:sz="4" w:space="0"/>
            </w:tcBorders>
            <w:vAlign w:val="center"/>
          </w:tcPr>
          <w:p w14:paraId="0857B987">
            <w:pPr>
              <w:pageBreakBefore w:val="0"/>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竞争性磋商文件要求</w:t>
            </w:r>
          </w:p>
          <w:p w14:paraId="78B938E8">
            <w:pPr>
              <w:pageBreakBefore w:val="0"/>
              <w:kinsoku/>
              <w:overflowPunct/>
              <w:bidi w:val="0"/>
              <w:spacing w:line="500" w:lineRule="exact"/>
              <w:jc w:val="center"/>
              <w:rPr>
                <w:rFonts w:ascii="宋体" w:hAnsi="宋体" w:cs="宋体"/>
                <w:sz w:val="24"/>
                <w:highlight w:val="none"/>
              </w:rPr>
            </w:pPr>
            <w:r>
              <w:rPr>
                <w:rFonts w:hint="eastAsia" w:ascii="宋体" w:hAnsi="宋体" w:cs="宋体"/>
                <w:sz w:val="22"/>
                <w:szCs w:val="22"/>
                <w:highlight w:val="none"/>
              </w:rPr>
              <w:t>技术参数</w:t>
            </w:r>
          </w:p>
        </w:tc>
        <w:tc>
          <w:tcPr>
            <w:tcW w:w="1872" w:type="dxa"/>
            <w:tcBorders>
              <w:top w:val="single" w:color="auto" w:sz="4" w:space="0"/>
              <w:left w:val="nil"/>
              <w:bottom w:val="single" w:color="auto" w:sz="4" w:space="0"/>
              <w:right w:val="single" w:color="auto" w:sz="4" w:space="0"/>
            </w:tcBorders>
            <w:vAlign w:val="center"/>
          </w:tcPr>
          <w:p w14:paraId="549CD51F">
            <w:pPr>
              <w:pageBreakBefore w:val="0"/>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响应实际</w:t>
            </w:r>
            <w:r>
              <w:rPr>
                <w:rFonts w:hint="eastAsia" w:ascii="宋体" w:hAnsi="宋体" w:cs="宋体"/>
                <w:sz w:val="22"/>
                <w:szCs w:val="22"/>
                <w:highlight w:val="none"/>
                <w:lang w:eastAsia="zh-CN"/>
              </w:rPr>
              <w:t>技术</w:t>
            </w:r>
            <w:r>
              <w:rPr>
                <w:rFonts w:hint="eastAsia" w:ascii="宋体" w:hAnsi="宋体" w:cs="宋体"/>
                <w:sz w:val="22"/>
                <w:szCs w:val="22"/>
                <w:highlight w:val="none"/>
              </w:rPr>
              <w:t>参数</w:t>
            </w:r>
          </w:p>
          <w:p w14:paraId="4537B06C">
            <w:pPr>
              <w:pageBreakBefore w:val="0"/>
              <w:kinsoku/>
              <w:overflowPunct/>
              <w:bidi w:val="0"/>
              <w:spacing w:line="500" w:lineRule="exact"/>
              <w:jc w:val="center"/>
              <w:rPr>
                <w:rFonts w:ascii="宋体" w:hAnsi="宋体" w:cs="宋体"/>
                <w:sz w:val="24"/>
                <w:highlight w:val="none"/>
              </w:rPr>
            </w:pPr>
            <w:r>
              <w:rPr>
                <w:rFonts w:hint="eastAsia" w:ascii="宋体" w:hAnsi="宋体" w:cs="宋体"/>
                <w:sz w:val="22"/>
                <w:szCs w:val="22"/>
                <w:highlight w:val="none"/>
              </w:rPr>
              <w:t>(供应商应按响应货物/服务实际数据填写)</w:t>
            </w:r>
          </w:p>
        </w:tc>
        <w:tc>
          <w:tcPr>
            <w:tcW w:w="1112" w:type="dxa"/>
            <w:tcBorders>
              <w:top w:val="single" w:color="auto" w:sz="4" w:space="0"/>
              <w:left w:val="nil"/>
              <w:bottom w:val="single" w:color="auto" w:sz="4" w:space="0"/>
              <w:right w:val="single" w:color="auto" w:sz="4" w:space="0"/>
            </w:tcBorders>
            <w:vAlign w:val="center"/>
          </w:tcPr>
          <w:p w14:paraId="4C4A68D9">
            <w:pPr>
              <w:pageBreakBefore w:val="0"/>
              <w:kinsoku/>
              <w:overflowPunct/>
              <w:bidi w:val="0"/>
              <w:spacing w:line="500" w:lineRule="exact"/>
              <w:jc w:val="center"/>
              <w:rPr>
                <w:rFonts w:ascii="宋体" w:hAnsi="宋体" w:cs="宋体"/>
                <w:sz w:val="24"/>
                <w:highlight w:val="none"/>
              </w:rPr>
            </w:pPr>
            <w:r>
              <w:rPr>
                <w:rFonts w:hint="eastAsia" w:ascii="宋体" w:hAnsi="宋体" w:cs="宋体"/>
                <w:sz w:val="22"/>
                <w:szCs w:val="22"/>
                <w:highlight w:val="none"/>
              </w:rPr>
              <w:t>是否偏离（无偏离/正偏离/负偏离）</w:t>
            </w:r>
          </w:p>
        </w:tc>
        <w:tc>
          <w:tcPr>
            <w:tcW w:w="1550" w:type="dxa"/>
            <w:tcBorders>
              <w:top w:val="single" w:color="auto" w:sz="4" w:space="0"/>
              <w:left w:val="nil"/>
              <w:bottom w:val="single" w:color="auto" w:sz="4" w:space="0"/>
              <w:right w:val="single" w:color="auto" w:sz="4" w:space="0"/>
            </w:tcBorders>
            <w:vAlign w:val="center"/>
          </w:tcPr>
          <w:p w14:paraId="1D740502">
            <w:pPr>
              <w:pageBreakBefore w:val="0"/>
              <w:kinsoku/>
              <w:overflowPunct/>
              <w:bidi w:val="0"/>
              <w:spacing w:line="500" w:lineRule="exact"/>
              <w:jc w:val="center"/>
              <w:rPr>
                <w:rFonts w:ascii="宋体" w:hAnsi="宋体" w:cs="宋体"/>
                <w:sz w:val="22"/>
                <w:szCs w:val="22"/>
                <w:highlight w:val="none"/>
              </w:rPr>
            </w:pPr>
            <w:r>
              <w:rPr>
                <w:rFonts w:hint="eastAsia" w:ascii="宋体" w:hAnsi="宋体" w:cs="宋体"/>
                <w:sz w:val="22"/>
                <w:szCs w:val="22"/>
                <w:highlight w:val="none"/>
              </w:rPr>
              <w:t>偏离</w:t>
            </w:r>
          </w:p>
          <w:p w14:paraId="2C5F0E8B">
            <w:pPr>
              <w:pageBreakBefore w:val="0"/>
              <w:kinsoku/>
              <w:overflowPunct/>
              <w:bidi w:val="0"/>
              <w:spacing w:line="500" w:lineRule="exact"/>
              <w:jc w:val="center"/>
              <w:rPr>
                <w:rFonts w:ascii="宋体" w:hAnsi="宋体" w:cs="宋体"/>
                <w:sz w:val="24"/>
                <w:highlight w:val="none"/>
              </w:rPr>
            </w:pPr>
            <w:r>
              <w:rPr>
                <w:rFonts w:hint="eastAsia" w:ascii="宋体" w:hAnsi="宋体" w:cs="宋体"/>
                <w:sz w:val="22"/>
                <w:szCs w:val="22"/>
                <w:highlight w:val="none"/>
              </w:rPr>
              <w:t>简述</w:t>
            </w:r>
          </w:p>
        </w:tc>
      </w:tr>
      <w:tr w14:paraId="77D7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0223F36">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1</w:t>
            </w:r>
          </w:p>
        </w:tc>
        <w:tc>
          <w:tcPr>
            <w:tcW w:w="1872" w:type="dxa"/>
            <w:tcBorders>
              <w:top w:val="single" w:color="auto" w:sz="4" w:space="0"/>
              <w:left w:val="nil"/>
              <w:bottom w:val="single" w:color="auto" w:sz="4" w:space="0"/>
              <w:right w:val="single" w:color="auto" w:sz="4" w:space="0"/>
            </w:tcBorders>
            <w:vAlign w:val="center"/>
          </w:tcPr>
          <w:p w14:paraId="09E27659">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7C7A93CB">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31F2AE16">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1E3C2A5D">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6D64F8F0">
            <w:pPr>
              <w:pageBreakBefore w:val="0"/>
              <w:kinsoku/>
              <w:overflowPunct/>
              <w:bidi w:val="0"/>
              <w:spacing w:line="500" w:lineRule="exact"/>
              <w:jc w:val="center"/>
              <w:rPr>
                <w:rFonts w:ascii="宋体" w:hAnsi="宋体" w:cs="宋体"/>
                <w:sz w:val="24"/>
                <w:highlight w:val="none"/>
              </w:rPr>
            </w:pPr>
          </w:p>
        </w:tc>
      </w:tr>
      <w:tr w14:paraId="6E29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6F85B91">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2</w:t>
            </w:r>
          </w:p>
        </w:tc>
        <w:tc>
          <w:tcPr>
            <w:tcW w:w="1872" w:type="dxa"/>
            <w:tcBorders>
              <w:top w:val="single" w:color="auto" w:sz="4" w:space="0"/>
              <w:left w:val="nil"/>
              <w:bottom w:val="single" w:color="auto" w:sz="4" w:space="0"/>
              <w:right w:val="single" w:color="auto" w:sz="4" w:space="0"/>
            </w:tcBorders>
            <w:vAlign w:val="center"/>
          </w:tcPr>
          <w:p w14:paraId="293922EB">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5BC23086">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658DF82E">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639FE8C9">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737A96B8">
            <w:pPr>
              <w:pageBreakBefore w:val="0"/>
              <w:kinsoku/>
              <w:overflowPunct/>
              <w:bidi w:val="0"/>
              <w:spacing w:line="500" w:lineRule="exact"/>
              <w:jc w:val="center"/>
              <w:rPr>
                <w:rFonts w:ascii="宋体" w:hAnsi="宋体" w:cs="宋体"/>
                <w:sz w:val="24"/>
                <w:highlight w:val="none"/>
              </w:rPr>
            </w:pPr>
          </w:p>
        </w:tc>
      </w:tr>
      <w:tr w14:paraId="5DBB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0AC1E37">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3</w:t>
            </w:r>
          </w:p>
        </w:tc>
        <w:tc>
          <w:tcPr>
            <w:tcW w:w="1872" w:type="dxa"/>
            <w:tcBorders>
              <w:top w:val="single" w:color="auto" w:sz="4" w:space="0"/>
              <w:left w:val="nil"/>
              <w:bottom w:val="single" w:color="auto" w:sz="4" w:space="0"/>
              <w:right w:val="single" w:color="auto" w:sz="4" w:space="0"/>
            </w:tcBorders>
            <w:vAlign w:val="center"/>
          </w:tcPr>
          <w:p w14:paraId="317B6DD2">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5FEDF3CD">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438578AB">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4308A938">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0895ECA2">
            <w:pPr>
              <w:pageBreakBefore w:val="0"/>
              <w:kinsoku/>
              <w:overflowPunct/>
              <w:bidi w:val="0"/>
              <w:spacing w:line="500" w:lineRule="exact"/>
              <w:jc w:val="center"/>
              <w:rPr>
                <w:rFonts w:ascii="宋体" w:hAnsi="宋体" w:cs="宋体"/>
                <w:sz w:val="24"/>
                <w:highlight w:val="none"/>
              </w:rPr>
            </w:pPr>
          </w:p>
        </w:tc>
      </w:tr>
      <w:tr w14:paraId="7233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2690959">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w:t>
            </w:r>
          </w:p>
        </w:tc>
        <w:tc>
          <w:tcPr>
            <w:tcW w:w="1872" w:type="dxa"/>
            <w:tcBorders>
              <w:top w:val="single" w:color="auto" w:sz="4" w:space="0"/>
              <w:left w:val="nil"/>
              <w:bottom w:val="single" w:color="auto" w:sz="4" w:space="0"/>
              <w:right w:val="single" w:color="auto" w:sz="4" w:space="0"/>
            </w:tcBorders>
            <w:vAlign w:val="center"/>
          </w:tcPr>
          <w:p w14:paraId="0F4DA2D3">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52CA7888">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4295C36B">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6C07A35D">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55CA2796">
            <w:pPr>
              <w:pageBreakBefore w:val="0"/>
              <w:kinsoku/>
              <w:overflowPunct/>
              <w:bidi w:val="0"/>
              <w:spacing w:line="500" w:lineRule="exact"/>
              <w:jc w:val="center"/>
              <w:rPr>
                <w:rFonts w:ascii="宋体" w:hAnsi="宋体" w:cs="宋体"/>
                <w:sz w:val="24"/>
                <w:highlight w:val="none"/>
              </w:rPr>
            </w:pPr>
          </w:p>
        </w:tc>
      </w:tr>
      <w:tr w14:paraId="207E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737E311">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28C2775D">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1448B0A4">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5DC66DAF">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77DA2010">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2F61428D">
            <w:pPr>
              <w:pageBreakBefore w:val="0"/>
              <w:kinsoku/>
              <w:overflowPunct/>
              <w:bidi w:val="0"/>
              <w:spacing w:line="500" w:lineRule="exact"/>
              <w:jc w:val="center"/>
              <w:rPr>
                <w:rFonts w:ascii="宋体" w:hAnsi="宋体" w:cs="宋体"/>
                <w:sz w:val="24"/>
                <w:highlight w:val="none"/>
              </w:rPr>
            </w:pPr>
          </w:p>
        </w:tc>
      </w:tr>
      <w:tr w14:paraId="2E57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01B7770">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34F80C11">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617DE9F6">
            <w:pPr>
              <w:pageBreakBefore w:val="0"/>
              <w:kinsoku/>
              <w:overflowPunct/>
              <w:bidi w:val="0"/>
              <w:spacing w:line="500" w:lineRule="exact"/>
              <w:jc w:val="center"/>
              <w:rPr>
                <w:rFonts w:ascii="宋体" w:hAnsi="宋体" w:cs="宋体"/>
                <w:sz w:val="24"/>
                <w:highlight w:val="none"/>
              </w:rPr>
            </w:pPr>
          </w:p>
        </w:tc>
        <w:tc>
          <w:tcPr>
            <w:tcW w:w="1872" w:type="dxa"/>
            <w:tcBorders>
              <w:top w:val="single" w:color="auto" w:sz="4" w:space="0"/>
              <w:left w:val="nil"/>
              <w:bottom w:val="single" w:color="auto" w:sz="4" w:space="0"/>
              <w:right w:val="single" w:color="auto" w:sz="4" w:space="0"/>
            </w:tcBorders>
            <w:vAlign w:val="center"/>
          </w:tcPr>
          <w:p w14:paraId="5A1EAC4A">
            <w:pPr>
              <w:pageBreakBefore w:val="0"/>
              <w:kinsoku/>
              <w:overflowPunct/>
              <w:bidi w:val="0"/>
              <w:spacing w:line="500" w:lineRule="exact"/>
              <w:jc w:val="center"/>
              <w:rPr>
                <w:rFonts w:ascii="宋体" w:hAnsi="宋体" w:cs="宋体"/>
                <w:sz w:val="24"/>
                <w:highlight w:val="none"/>
              </w:rPr>
            </w:pPr>
          </w:p>
        </w:tc>
        <w:tc>
          <w:tcPr>
            <w:tcW w:w="1112" w:type="dxa"/>
            <w:tcBorders>
              <w:top w:val="single" w:color="auto" w:sz="4" w:space="0"/>
              <w:left w:val="nil"/>
              <w:bottom w:val="single" w:color="auto" w:sz="4" w:space="0"/>
              <w:right w:val="single" w:color="auto" w:sz="4" w:space="0"/>
            </w:tcBorders>
            <w:vAlign w:val="center"/>
          </w:tcPr>
          <w:p w14:paraId="463E9FD3">
            <w:pPr>
              <w:pageBreakBefore w:val="0"/>
              <w:kinsoku/>
              <w:overflowPunct/>
              <w:bidi w:val="0"/>
              <w:spacing w:line="500" w:lineRule="exact"/>
              <w:jc w:val="center"/>
              <w:rPr>
                <w:rFonts w:ascii="宋体" w:hAnsi="宋体" w:cs="宋体"/>
                <w:sz w:val="24"/>
                <w:highlight w:val="none"/>
              </w:rPr>
            </w:pPr>
          </w:p>
        </w:tc>
        <w:tc>
          <w:tcPr>
            <w:tcW w:w="1550" w:type="dxa"/>
            <w:tcBorders>
              <w:top w:val="single" w:color="auto" w:sz="4" w:space="0"/>
              <w:left w:val="nil"/>
              <w:bottom w:val="single" w:color="auto" w:sz="4" w:space="0"/>
              <w:right w:val="single" w:color="auto" w:sz="4" w:space="0"/>
            </w:tcBorders>
            <w:vAlign w:val="center"/>
          </w:tcPr>
          <w:p w14:paraId="0FBAA46D">
            <w:pPr>
              <w:pageBreakBefore w:val="0"/>
              <w:kinsoku/>
              <w:overflowPunct/>
              <w:bidi w:val="0"/>
              <w:spacing w:line="500" w:lineRule="exact"/>
              <w:jc w:val="center"/>
              <w:rPr>
                <w:rFonts w:ascii="宋体" w:hAnsi="宋体" w:cs="宋体"/>
                <w:sz w:val="24"/>
                <w:highlight w:val="none"/>
              </w:rPr>
            </w:pPr>
          </w:p>
        </w:tc>
      </w:tr>
    </w:tbl>
    <w:p w14:paraId="2B12DB53">
      <w:pPr>
        <w:pStyle w:val="23"/>
        <w:pageBreakBefore w:val="0"/>
        <w:widowControl w:val="0"/>
        <w:kinsoku/>
        <w:overflowPunct/>
        <w:autoSpaceDE w:val="0"/>
        <w:autoSpaceDN w:val="0"/>
        <w:bidi w:val="0"/>
        <w:spacing w:before="0" w:beforeAutospacing="0" w:after="0" w:afterAutospacing="0" w:line="500" w:lineRule="exact"/>
        <w:ind w:firstLine="480"/>
        <w:rPr>
          <w:rFonts w:cs="宋体"/>
          <w:highlight w:val="none"/>
        </w:rPr>
      </w:pPr>
    </w:p>
    <w:p w14:paraId="3F1E3DED">
      <w:pPr>
        <w:pStyle w:val="23"/>
        <w:pageBreakBefore w:val="0"/>
        <w:widowControl w:val="0"/>
        <w:kinsoku/>
        <w:overflowPunct/>
        <w:autoSpaceDE w:val="0"/>
        <w:autoSpaceDN w:val="0"/>
        <w:bidi w:val="0"/>
        <w:spacing w:before="0" w:beforeAutospacing="0" w:after="0" w:afterAutospacing="0" w:line="500" w:lineRule="exact"/>
        <w:ind w:firstLine="480"/>
        <w:rPr>
          <w:rFonts w:cs="宋体"/>
          <w:highlight w:val="none"/>
        </w:rPr>
      </w:pPr>
    </w:p>
    <w:p w14:paraId="4E712B8C">
      <w:pPr>
        <w:pStyle w:val="23"/>
        <w:pageBreakBefore w:val="0"/>
        <w:widowControl w:val="0"/>
        <w:kinsoku/>
        <w:overflowPunct/>
        <w:autoSpaceDE w:val="0"/>
        <w:autoSpaceDN w:val="0"/>
        <w:bidi w:val="0"/>
        <w:spacing w:before="0" w:beforeAutospacing="0" w:after="0" w:afterAutospacing="0" w:line="500" w:lineRule="exact"/>
        <w:ind w:left="0" w:leftChars="0" w:firstLine="0" w:firstLineChars="0"/>
        <w:rPr>
          <w:rFonts w:cs="宋体"/>
          <w:highlight w:val="none"/>
        </w:rPr>
      </w:pPr>
    </w:p>
    <w:p w14:paraId="3269FFA1">
      <w:pPr>
        <w:pageBreakBefore w:val="0"/>
        <w:kinsoku/>
        <w:wordWrap w:val="0"/>
        <w:overflowPunct/>
        <w:bidi w:val="0"/>
        <w:spacing w:line="500" w:lineRule="exact"/>
        <w:jc w:val="right"/>
        <w:rPr>
          <w:rFonts w:ascii="宋体" w:hAnsi="宋体" w:cs="宋体"/>
          <w:sz w:val="24"/>
          <w:highlight w:val="none"/>
        </w:rPr>
      </w:pPr>
      <w:r>
        <w:rPr>
          <w:rFonts w:hint="eastAsia" w:ascii="宋体" w:hAnsi="宋体" w:cs="宋体"/>
          <w:sz w:val="24"/>
          <w:highlight w:val="none"/>
        </w:rPr>
        <w:t>供应商名称：（盖单位章）</w:t>
      </w:r>
    </w:p>
    <w:p w14:paraId="5B6522EA">
      <w:pPr>
        <w:pageBreakBefore w:val="0"/>
        <w:kinsoku/>
        <w:wordWrap w:val="0"/>
        <w:overflowPunct/>
        <w:bidi w:val="0"/>
        <w:spacing w:line="500" w:lineRule="exact"/>
        <w:ind w:right="480" w:firstLine="240" w:firstLineChars="100"/>
        <w:jc w:val="right"/>
        <w:rPr>
          <w:rFonts w:hAnsi="宋体"/>
          <w:color w:val="auto"/>
          <w:highlight w:val="none"/>
        </w:rPr>
      </w:pPr>
      <w:r>
        <w:rPr>
          <w:rFonts w:hint="eastAsia" w:ascii="宋体" w:hAnsi="宋体" w:cs="宋体"/>
          <w:sz w:val="24"/>
          <w:highlight w:val="none"/>
        </w:rPr>
        <w:t>法定代表人：（签章）</w:t>
      </w:r>
    </w:p>
    <w:p w14:paraId="4A1B1414">
      <w:pPr>
        <w:pageBreakBefore w:val="0"/>
        <w:kinsoku/>
        <w:overflowPunct/>
        <w:bidi w:val="0"/>
        <w:spacing w:line="500" w:lineRule="exact"/>
        <w:jc w:val="center"/>
        <w:rPr>
          <w:rFonts w:hint="eastAsia" w:eastAsia="宋体"/>
          <w:highlight w:val="none"/>
          <w:lang w:eastAsia="zh-CN"/>
        </w:rPr>
      </w:pPr>
      <w:bookmarkStart w:id="326" w:name="_Toc522798871"/>
      <w:bookmarkEnd w:id="326"/>
      <w:bookmarkStart w:id="327" w:name="_Toc497301910"/>
      <w:bookmarkEnd w:id="327"/>
      <w:bookmarkStart w:id="328" w:name="_Toc521998009"/>
      <w:bookmarkEnd w:id="328"/>
      <w:bookmarkStart w:id="329" w:name="_Toc10504_WPSOffice_Level1"/>
      <w:bookmarkEnd w:id="329"/>
      <w:bookmarkStart w:id="330" w:name="_Toc522085805"/>
      <w:bookmarkEnd w:id="330"/>
      <w:bookmarkStart w:id="331" w:name="_Toc522798781"/>
      <w:bookmarkEnd w:id="331"/>
      <w:bookmarkStart w:id="332" w:name="_Toc14118_WPSOffice_Level1"/>
      <w:bookmarkEnd w:id="332"/>
      <w:bookmarkStart w:id="333" w:name="_Toc465990926"/>
      <w:bookmarkEnd w:id="333"/>
      <w:bookmarkStart w:id="334" w:name="_Toc11316_WPSOffice_Level1"/>
      <w:bookmarkStart w:id="335" w:name="_Toc30370_WPSOffice_Level1"/>
      <w:bookmarkStart w:id="336" w:name="_Toc10817_WPSOffice_Level1"/>
      <w:bookmarkStart w:id="337" w:name="_Toc18494_WPSOffice_Level1"/>
      <w:bookmarkStart w:id="338" w:name="_Toc25331_WPSOffice_Level1"/>
      <w:bookmarkStart w:id="339" w:name="_Toc14849_WPSOffice_Level1"/>
      <w:bookmarkStart w:id="340" w:name="_Toc9086_WPSOffice_Level1"/>
      <w:bookmarkStart w:id="341" w:name="_Toc218"/>
      <w:bookmarkStart w:id="342" w:name="_Toc10964_WPSOffice_Level1"/>
      <w:r>
        <w:rPr>
          <w:rFonts w:hint="eastAsia"/>
          <w:highlight w:val="none"/>
          <w:lang w:val="en-US" w:eastAsia="zh-CN"/>
        </w:rPr>
        <w:t xml:space="preserve">                                           </w:t>
      </w:r>
    </w:p>
    <w:p w14:paraId="3F4D90C4">
      <w:pPr>
        <w:pageBreakBefore w:val="0"/>
        <w:kinsoku/>
        <w:overflowPunct/>
        <w:bidi w:val="0"/>
        <w:spacing w:line="500" w:lineRule="exact"/>
        <w:rPr>
          <w:highlight w:val="none"/>
        </w:rPr>
      </w:pPr>
    </w:p>
    <w:p w14:paraId="341C967C">
      <w:pPr>
        <w:pageBreakBefore w:val="0"/>
        <w:kinsoku/>
        <w:overflowPunct/>
        <w:bidi w:val="0"/>
        <w:spacing w:line="500" w:lineRule="exact"/>
        <w:rPr>
          <w:highlight w:val="none"/>
        </w:rPr>
      </w:pPr>
    </w:p>
    <w:p w14:paraId="64A50F74">
      <w:pPr>
        <w:pStyle w:val="25"/>
        <w:rPr>
          <w:highlight w:val="none"/>
        </w:rPr>
      </w:pPr>
    </w:p>
    <w:p w14:paraId="4B0F4D78">
      <w:pPr>
        <w:rPr>
          <w:highlight w:val="none"/>
        </w:rPr>
      </w:pPr>
    </w:p>
    <w:p w14:paraId="01952057">
      <w:pPr>
        <w:pStyle w:val="23"/>
        <w:pageBreakBefore w:val="0"/>
        <w:widowControl w:val="0"/>
        <w:kinsoku/>
        <w:overflowPunct/>
        <w:bidi w:val="0"/>
        <w:spacing w:before="0" w:beforeAutospacing="0" w:after="0" w:afterAutospacing="0" w:line="500" w:lineRule="exact"/>
        <w:ind w:firstLine="241" w:firstLineChars="100"/>
        <w:jc w:val="both"/>
        <w:rPr>
          <w:rFonts w:hint="eastAsia" w:cs="宋体"/>
          <w:b/>
          <w:bCs/>
          <w:kern w:val="2"/>
          <w:highlight w:val="none"/>
          <w:lang w:eastAsia="zh-CN"/>
        </w:rPr>
      </w:pPr>
      <w:bookmarkStart w:id="343" w:name="_Toc1670"/>
      <w:r>
        <w:rPr>
          <w:rFonts w:hint="eastAsia" w:cs="宋体"/>
          <w:b/>
          <w:bCs/>
          <w:kern w:val="2"/>
          <w:highlight w:val="none"/>
          <w:lang w:eastAsia="zh-CN"/>
        </w:rPr>
        <w:t>附表：商务响应表</w:t>
      </w:r>
    </w:p>
    <w:p w14:paraId="58C01C47">
      <w:pPr>
        <w:pageBreakBefore w:val="0"/>
        <w:kinsoku/>
        <w:overflowPunct/>
        <w:bidi w:val="0"/>
        <w:snapToGrid w:val="0"/>
        <w:spacing w:line="500" w:lineRule="exact"/>
        <w:rPr>
          <w:rFonts w:hint="eastAsia" w:ascii="宋体" w:hAnsi="宋体" w:cs="宋体"/>
          <w:sz w:val="24"/>
          <w:highlight w:val="none"/>
        </w:rPr>
      </w:pPr>
    </w:p>
    <w:p w14:paraId="7BFD37E9">
      <w:pPr>
        <w:pageBreakBefore w:val="0"/>
        <w:kinsoku/>
        <w:overflowPunct/>
        <w:bidi w:val="0"/>
        <w:snapToGrid w:val="0"/>
        <w:spacing w:line="500" w:lineRule="exact"/>
        <w:rPr>
          <w:rFonts w:ascii="宋体" w:hAnsi="宋体" w:cs="宋体"/>
          <w:sz w:val="24"/>
          <w:highlight w:val="none"/>
          <w:u w:val="single"/>
        </w:rPr>
      </w:pPr>
      <w:r>
        <w:rPr>
          <w:rFonts w:hint="eastAsia" w:ascii="宋体" w:hAnsi="宋体" w:cs="宋体"/>
          <w:sz w:val="24"/>
          <w:highlight w:val="none"/>
        </w:rPr>
        <w:t>供应商名称：</w:t>
      </w:r>
    </w:p>
    <w:p w14:paraId="018798D8">
      <w:pPr>
        <w:pageBreakBefore w:val="0"/>
        <w:kinsoku/>
        <w:overflowPunct/>
        <w:bidi w:val="0"/>
        <w:snapToGrid w:val="0"/>
        <w:spacing w:line="500" w:lineRule="exact"/>
        <w:rPr>
          <w:rFonts w:ascii="宋体" w:hAnsi="宋体" w:cs="宋体"/>
          <w:sz w:val="24"/>
          <w:highlight w:val="none"/>
        </w:rPr>
      </w:pPr>
      <w:r>
        <w:rPr>
          <w:rFonts w:hint="eastAsia" w:ascii="宋体" w:hAnsi="宋体" w:cs="宋体"/>
          <w:sz w:val="24"/>
          <w:highlight w:val="none"/>
        </w:rPr>
        <w:t>项目编号：</w:t>
      </w:r>
    </w:p>
    <w:tbl>
      <w:tblPr>
        <w:tblStyle w:val="26"/>
        <w:tblW w:w="4996"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287"/>
        <w:gridCol w:w="1555"/>
        <w:gridCol w:w="2044"/>
        <w:gridCol w:w="2189"/>
        <w:gridCol w:w="2497"/>
      </w:tblGrid>
      <w:tr w14:paraId="34706E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672" w:type="pct"/>
            <w:tcBorders>
              <w:top w:val="single" w:color="auto" w:sz="4" w:space="0"/>
              <w:left w:val="single" w:color="auto" w:sz="4" w:space="0"/>
              <w:bottom w:val="single" w:color="auto" w:sz="4" w:space="0"/>
              <w:right w:val="single" w:color="auto" w:sz="4" w:space="0"/>
            </w:tcBorders>
            <w:vAlign w:val="center"/>
          </w:tcPr>
          <w:p w14:paraId="52E3F5CA">
            <w:pPr>
              <w:pageBreakBefore w:val="0"/>
              <w:kinsoku/>
              <w:overflowPunct/>
              <w:bidi w:val="0"/>
              <w:snapToGrid w:val="0"/>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30AAC16F">
            <w:pPr>
              <w:pageBreakBefore w:val="0"/>
              <w:kinsoku/>
              <w:overflowPunct/>
              <w:bidi w:val="0"/>
              <w:snapToGrid w:val="0"/>
              <w:spacing w:line="500" w:lineRule="exact"/>
              <w:jc w:val="center"/>
              <w:rPr>
                <w:rFonts w:ascii="宋体" w:hAnsi="宋体" w:cs="宋体"/>
                <w:sz w:val="24"/>
                <w:highlight w:val="none"/>
              </w:rPr>
            </w:pPr>
            <w:r>
              <w:rPr>
                <w:rFonts w:hint="eastAsia" w:ascii="宋体" w:hAnsi="宋体" w:cs="宋体"/>
                <w:sz w:val="24"/>
                <w:highlight w:val="none"/>
              </w:rPr>
              <w:t>项目</w:t>
            </w:r>
          </w:p>
        </w:tc>
        <w:tc>
          <w:tcPr>
            <w:tcW w:w="1067" w:type="pct"/>
            <w:tcBorders>
              <w:top w:val="single" w:color="auto" w:sz="4" w:space="0"/>
              <w:left w:val="single" w:color="auto" w:sz="4" w:space="0"/>
              <w:bottom w:val="single" w:color="auto" w:sz="4" w:space="0"/>
              <w:right w:val="single" w:color="auto" w:sz="4" w:space="0"/>
            </w:tcBorders>
            <w:vAlign w:val="center"/>
          </w:tcPr>
          <w:p w14:paraId="68A10FB0">
            <w:pPr>
              <w:pageBreakBefore w:val="0"/>
              <w:kinsoku/>
              <w:overflowPunct/>
              <w:bidi w:val="0"/>
              <w:snapToGrid w:val="0"/>
              <w:spacing w:line="500" w:lineRule="exact"/>
              <w:jc w:val="center"/>
              <w:rPr>
                <w:rFonts w:ascii="宋体" w:hAnsi="宋体" w:cs="宋体"/>
                <w:sz w:val="24"/>
                <w:highlight w:val="none"/>
              </w:rPr>
            </w:pPr>
            <w:r>
              <w:rPr>
                <w:rFonts w:hint="eastAsia" w:ascii="宋体" w:hAnsi="宋体" w:cs="宋体"/>
                <w:sz w:val="24"/>
                <w:highlight w:val="none"/>
                <w:lang w:eastAsia="zh-CN"/>
              </w:rPr>
              <w:t>竞争性磋商</w:t>
            </w:r>
            <w:r>
              <w:rPr>
                <w:rFonts w:hint="eastAsia" w:ascii="宋体" w:hAnsi="宋体" w:cs="宋体"/>
                <w:sz w:val="24"/>
                <w:highlight w:val="none"/>
              </w:rPr>
              <w:t>文件要求</w:t>
            </w:r>
          </w:p>
        </w:tc>
        <w:tc>
          <w:tcPr>
            <w:tcW w:w="1143" w:type="pct"/>
            <w:tcBorders>
              <w:top w:val="single" w:color="auto" w:sz="4" w:space="0"/>
              <w:left w:val="single" w:color="auto" w:sz="4" w:space="0"/>
              <w:bottom w:val="single" w:color="auto" w:sz="4" w:space="0"/>
              <w:right w:val="single" w:color="auto" w:sz="4" w:space="0"/>
            </w:tcBorders>
            <w:vAlign w:val="center"/>
          </w:tcPr>
          <w:p w14:paraId="2E0E0B1A">
            <w:pPr>
              <w:pageBreakBefore w:val="0"/>
              <w:kinsoku/>
              <w:overflowPunct/>
              <w:bidi w:val="0"/>
              <w:snapToGrid w:val="0"/>
              <w:spacing w:line="500" w:lineRule="exact"/>
              <w:jc w:val="center"/>
              <w:rPr>
                <w:rFonts w:ascii="宋体" w:hAnsi="宋体" w:cs="宋体"/>
                <w:sz w:val="24"/>
                <w:highlight w:val="none"/>
              </w:rPr>
            </w:pPr>
            <w:r>
              <w:rPr>
                <w:rFonts w:hint="eastAsia" w:ascii="宋体" w:hAnsi="宋体" w:cs="宋体"/>
                <w:sz w:val="24"/>
                <w:highlight w:val="none"/>
              </w:rPr>
              <w:t>是否响应</w:t>
            </w:r>
          </w:p>
        </w:tc>
        <w:tc>
          <w:tcPr>
            <w:tcW w:w="1304" w:type="pct"/>
            <w:tcBorders>
              <w:top w:val="single" w:color="auto" w:sz="4" w:space="0"/>
              <w:left w:val="single" w:color="auto" w:sz="4" w:space="0"/>
              <w:bottom w:val="single" w:color="auto" w:sz="4" w:space="0"/>
              <w:right w:val="single" w:color="auto" w:sz="4" w:space="0"/>
            </w:tcBorders>
            <w:vAlign w:val="center"/>
          </w:tcPr>
          <w:p w14:paraId="1DFDFD94">
            <w:pPr>
              <w:pageBreakBefore w:val="0"/>
              <w:kinsoku/>
              <w:overflowPunct/>
              <w:bidi w:val="0"/>
              <w:snapToGrid w:val="0"/>
              <w:spacing w:line="500" w:lineRule="exact"/>
              <w:jc w:val="center"/>
              <w:rPr>
                <w:rFonts w:ascii="宋体" w:hAnsi="宋体" w:cs="宋体"/>
                <w:sz w:val="24"/>
                <w:highlight w:val="none"/>
              </w:rPr>
            </w:pPr>
            <w:r>
              <w:rPr>
                <w:rFonts w:hint="eastAsia" w:ascii="宋体" w:hAnsi="宋体" w:cs="宋体"/>
                <w:sz w:val="24"/>
                <w:highlight w:val="none"/>
              </w:rPr>
              <w:t>供应商的承诺或说明</w:t>
            </w:r>
          </w:p>
        </w:tc>
      </w:tr>
      <w:tr w14:paraId="255F08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1242" w:type="dxa"/>
            <w:tcBorders>
              <w:top w:val="single" w:color="auto" w:sz="4" w:space="0"/>
              <w:left w:val="single" w:color="auto" w:sz="4" w:space="0"/>
              <w:bottom w:val="single" w:color="auto" w:sz="4" w:space="0"/>
              <w:right w:val="single" w:color="auto" w:sz="4" w:space="0"/>
            </w:tcBorders>
            <w:vAlign w:val="center"/>
          </w:tcPr>
          <w:p w14:paraId="5B0F7304">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1</w:t>
            </w:r>
          </w:p>
        </w:tc>
        <w:tc>
          <w:tcPr>
            <w:tcW w:w="812" w:type="pct"/>
            <w:tcBorders>
              <w:top w:val="single" w:color="auto" w:sz="4" w:space="0"/>
              <w:left w:val="single" w:color="auto" w:sz="4" w:space="0"/>
              <w:bottom w:val="single" w:color="auto" w:sz="4" w:space="0"/>
              <w:right w:val="single" w:color="auto" w:sz="4" w:space="0"/>
            </w:tcBorders>
            <w:vAlign w:val="center"/>
          </w:tcPr>
          <w:p w14:paraId="5B0E982F">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7864E720">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6825090C">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37469357">
            <w:pPr>
              <w:pageBreakBefore w:val="0"/>
              <w:kinsoku/>
              <w:overflowPunct/>
              <w:bidi w:val="0"/>
              <w:spacing w:line="500" w:lineRule="exact"/>
              <w:jc w:val="center"/>
              <w:rPr>
                <w:rFonts w:ascii="宋体" w:hAnsi="宋体" w:cs="宋体"/>
                <w:sz w:val="24"/>
                <w:highlight w:val="none"/>
              </w:rPr>
            </w:pPr>
          </w:p>
        </w:tc>
      </w:tr>
      <w:tr w14:paraId="4B884C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1242" w:type="dxa"/>
            <w:tcBorders>
              <w:top w:val="single" w:color="auto" w:sz="4" w:space="0"/>
              <w:left w:val="single" w:color="auto" w:sz="4" w:space="0"/>
              <w:bottom w:val="single" w:color="auto" w:sz="4" w:space="0"/>
              <w:right w:val="single" w:color="auto" w:sz="4" w:space="0"/>
            </w:tcBorders>
            <w:vAlign w:val="center"/>
          </w:tcPr>
          <w:p w14:paraId="6EAF14F7">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2</w:t>
            </w:r>
          </w:p>
        </w:tc>
        <w:tc>
          <w:tcPr>
            <w:tcW w:w="812" w:type="pct"/>
            <w:tcBorders>
              <w:top w:val="single" w:color="auto" w:sz="4" w:space="0"/>
              <w:left w:val="single" w:color="auto" w:sz="4" w:space="0"/>
              <w:bottom w:val="single" w:color="auto" w:sz="4" w:space="0"/>
              <w:right w:val="single" w:color="auto" w:sz="4" w:space="0"/>
            </w:tcBorders>
            <w:vAlign w:val="center"/>
          </w:tcPr>
          <w:p w14:paraId="73E6C754">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407A9972">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2A7E6D43">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51EE99E7">
            <w:pPr>
              <w:pageBreakBefore w:val="0"/>
              <w:kinsoku/>
              <w:overflowPunct/>
              <w:bidi w:val="0"/>
              <w:spacing w:line="500" w:lineRule="exact"/>
              <w:ind w:right="-107" w:rightChars="-51"/>
              <w:jc w:val="center"/>
              <w:rPr>
                <w:rFonts w:ascii="宋体" w:hAnsi="宋体" w:cs="宋体"/>
                <w:sz w:val="24"/>
                <w:highlight w:val="none"/>
              </w:rPr>
            </w:pPr>
          </w:p>
        </w:tc>
      </w:tr>
      <w:tr w14:paraId="78CD60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1242" w:type="dxa"/>
            <w:tcBorders>
              <w:top w:val="single" w:color="auto" w:sz="4" w:space="0"/>
              <w:left w:val="single" w:color="auto" w:sz="4" w:space="0"/>
              <w:bottom w:val="single" w:color="auto" w:sz="4" w:space="0"/>
              <w:right w:val="single" w:color="auto" w:sz="4" w:space="0"/>
            </w:tcBorders>
            <w:vAlign w:val="center"/>
          </w:tcPr>
          <w:p w14:paraId="4A82E8A6">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3</w:t>
            </w:r>
          </w:p>
        </w:tc>
        <w:tc>
          <w:tcPr>
            <w:tcW w:w="812" w:type="pct"/>
            <w:tcBorders>
              <w:top w:val="single" w:color="auto" w:sz="4" w:space="0"/>
              <w:left w:val="single" w:color="auto" w:sz="4" w:space="0"/>
              <w:bottom w:val="single" w:color="auto" w:sz="4" w:space="0"/>
              <w:right w:val="single" w:color="auto" w:sz="4" w:space="0"/>
            </w:tcBorders>
            <w:vAlign w:val="center"/>
          </w:tcPr>
          <w:p w14:paraId="1F48827B">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6448D746">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53F5AFB4">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07D6BBA9">
            <w:pPr>
              <w:pageBreakBefore w:val="0"/>
              <w:kinsoku/>
              <w:overflowPunct/>
              <w:bidi w:val="0"/>
              <w:spacing w:line="500" w:lineRule="exact"/>
              <w:jc w:val="center"/>
              <w:rPr>
                <w:rFonts w:ascii="宋体" w:hAnsi="宋体" w:cs="宋体"/>
                <w:sz w:val="24"/>
                <w:highlight w:val="none"/>
              </w:rPr>
            </w:pPr>
          </w:p>
        </w:tc>
      </w:tr>
      <w:tr w14:paraId="05EA88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1242" w:type="dxa"/>
            <w:tcBorders>
              <w:top w:val="single" w:color="auto" w:sz="4" w:space="0"/>
              <w:left w:val="single" w:color="auto" w:sz="4" w:space="0"/>
              <w:bottom w:val="single" w:color="auto" w:sz="4" w:space="0"/>
              <w:right w:val="single" w:color="auto" w:sz="4" w:space="0"/>
            </w:tcBorders>
            <w:vAlign w:val="center"/>
          </w:tcPr>
          <w:p w14:paraId="69D59060">
            <w:pPr>
              <w:pageBreakBefore w:val="0"/>
              <w:kinsoku/>
              <w:overflowPunct/>
              <w:bidi w:val="0"/>
              <w:spacing w:line="500" w:lineRule="exact"/>
              <w:jc w:val="center"/>
              <w:rPr>
                <w:rFonts w:ascii="宋体" w:hAnsi="宋体" w:cs="宋体"/>
                <w:sz w:val="24"/>
                <w:highlight w:val="none"/>
              </w:rPr>
            </w:pPr>
            <w:r>
              <w:rPr>
                <w:rFonts w:hint="eastAsia" w:ascii="宋体" w:hAnsi="宋体" w:cs="宋体"/>
                <w:sz w:val="24"/>
                <w:highlight w:val="none"/>
              </w:rPr>
              <w:t>…</w:t>
            </w:r>
          </w:p>
        </w:tc>
        <w:tc>
          <w:tcPr>
            <w:tcW w:w="812" w:type="pct"/>
            <w:tcBorders>
              <w:top w:val="single" w:color="auto" w:sz="4" w:space="0"/>
              <w:left w:val="single" w:color="auto" w:sz="4" w:space="0"/>
              <w:bottom w:val="single" w:color="auto" w:sz="4" w:space="0"/>
              <w:right w:val="single" w:color="auto" w:sz="4" w:space="0"/>
            </w:tcBorders>
            <w:vAlign w:val="center"/>
          </w:tcPr>
          <w:p w14:paraId="2DF51154">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351EC08D">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0FDE65F0">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4EEE449D">
            <w:pPr>
              <w:pageBreakBefore w:val="0"/>
              <w:kinsoku/>
              <w:overflowPunct/>
              <w:bidi w:val="0"/>
              <w:spacing w:line="500" w:lineRule="exact"/>
              <w:jc w:val="center"/>
              <w:rPr>
                <w:rFonts w:ascii="宋体" w:hAnsi="宋体" w:cs="宋体"/>
                <w:sz w:val="24"/>
                <w:highlight w:val="none"/>
              </w:rPr>
            </w:pPr>
          </w:p>
        </w:tc>
      </w:tr>
      <w:tr w14:paraId="6B1B51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672" w:type="pct"/>
            <w:tcBorders>
              <w:top w:val="single" w:color="auto" w:sz="4" w:space="0"/>
              <w:left w:val="single" w:color="auto" w:sz="4" w:space="0"/>
              <w:bottom w:val="single" w:color="auto" w:sz="4" w:space="0"/>
              <w:right w:val="single" w:color="auto" w:sz="4" w:space="0"/>
            </w:tcBorders>
            <w:vAlign w:val="center"/>
          </w:tcPr>
          <w:p w14:paraId="1275E94F">
            <w:pPr>
              <w:pageBreakBefore w:val="0"/>
              <w:kinsoku/>
              <w:overflowPunct/>
              <w:bidi w:val="0"/>
              <w:snapToGrid w:val="0"/>
              <w:spacing w:line="500" w:lineRule="exact"/>
              <w:jc w:val="center"/>
              <w:rPr>
                <w:rFonts w:ascii="宋体" w:hAnsi="宋体" w:cs="宋体"/>
                <w:sz w:val="24"/>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47E8AB2A">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4718C709">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140FA6DE">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4E099B74">
            <w:pPr>
              <w:pageBreakBefore w:val="0"/>
              <w:kinsoku/>
              <w:overflowPunct/>
              <w:bidi w:val="0"/>
              <w:spacing w:line="500" w:lineRule="exact"/>
              <w:jc w:val="center"/>
              <w:rPr>
                <w:rFonts w:ascii="宋体" w:hAnsi="宋体" w:cs="宋体"/>
                <w:sz w:val="24"/>
                <w:highlight w:val="none"/>
              </w:rPr>
            </w:pPr>
          </w:p>
        </w:tc>
      </w:tr>
      <w:tr w14:paraId="3F554A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672" w:type="pct"/>
            <w:tcBorders>
              <w:top w:val="single" w:color="auto" w:sz="4" w:space="0"/>
              <w:left w:val="single" w:color="auto" w:sz="4" w:space="0"/>
              <w:bottom w:val="single" w:color="auto" w:sz="4" w:space="0"/>
              <w:right w:val="single" w:color="auto" w:sz="4" w:space="0"/>
            </w:tcBorders>
            <w:vAlign w:val="center"/>
          </w:tcPr>
          <w:p w14:paraId="5375020D">
            <w:pPr>
              <w:pageBreakBefore w:val="0"/>
              <w:kinsoku/>
              <w:overflowPunct/>
              <w:bidi w:val="0"/>
              <w:snapToGrid w:val="0"/>
              <w:spacing w:line="500" w:lineRule="exact"/>
              <w:jc w:val="center"/>
              <w:rPr>
                <w:rFonts w:ascii="宋体" w:hAnsi="宋体" w:cs="宋体"/>
                <w:sz w:val="24"/>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42E9F67B">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15322D11">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5F9E314D">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3B2AD360">
            <w:pPr>
              <w:pageBreakBefore w:val="0"/>
              <w:kinsoku/>
              <w:overflowPunct/>
              <w:bidi w:val="0"/>
              <w:spacing w:line="500" w:lineRule="exact"/>
              <w:jc w:val="center"/>
              <w:rPr>
                <w:rFonts w:ascii="宋体" w:hAnsi="宋体" w:cs="宋体"/>
                <w:sz w:val="24"/>
                <w:highlight w:val="none"/>
              </w:rPr>
            </w:pPr>
          </w:p>
        </w:tc>
      </w:tr>
      <w:tr w14:paraId="1E2998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672" w:type="pct"/>
            <w:tcBorders>
              <w:top w:val="single" w:color="auto" w:sz="4" w:space="0"/>
              <w:left w:val="single" w:color="auto" w:sz="4" w:space="0"/>
              <w:bottom w:val="single" w:color="auto" w:sz="4" w:space="0"/>
              <w:right w:val="single" w:color="auto" w:sz="4" w:space="0"/>
            </w:tcBorders>
            <w:vAlign w:val="center"/>
          </w:tcPr>
          <w:p w14:paraId="208F7002">
            <w:pPr>
              <w:pageBreakBefore w:val="0"/>
              <w:kinsoku/>
              <w:overflowPunct/>
              <w:bidi w:val="0"/>
              <w:snapToGrid w:val="0"/>
              <w:spacing w:line="500" w:lineRule="exact"/>
              <w:jc w:val="center"/>
              <w:rPr>
                <w:rFonts w:hint="eastAsia" w:ascii="宋体" w:hAnsi="宋体" w:cs="宋体"/>
                <w:sz w:val="24"/>
                <w:highlight w:val="none"/>
              </w:rPr>
            </w:pPr>
          </w:p>
        </w:tc>
        <w:tc>
          <w:tcPr>
            <w:tcW w:w="812" w:type="pct"/>
            <w:tcBorders>
              <w:top w:val="single" w:color="auto" w:sz="4" w:space="0"/>
              <w:left w:val="single" w:color="auto" w:sz="4" w:space="0"/>
              <w:bottom w:val="single" w:color="auto" w:sz="4" w:space="0"/>
              <w:right w:val="single" w:color="auto" w:sz="4" w:space="0"/>
            </w:tcBorders>
            <w:vAlign w:val="center"/>
          </w:tcPr>
          <w:p w14:paraId="14F8A8DF">
            <w:pPr>
              <w:pageBreakBefore w:val="0"/>
              <w:kinsoku/>
              <w:overflowPunct/>
              <w:bidi w:val="0"/>
              <w:snapToGrid w:val="0"/>
              <w:spacing w:line="500" w:lineRule="exact"/>
              <w:jc w:val="center"/>
              <w:rPr>
                <w:rFonts w:ascii="宋体" w:hAnsi="宋体" w:cs="宋体"/>
                <w:sz w:val="24"/>
                <w:highlight w:val="none"/>
              </w:rPr>
            </w:pPr>
          </w:p>
        </w:tc>
        <w:tc>
          <w:tcPr>
            <w:tcW w:w="1067" w:type="pct"/>
            <w:tcBorders>
              <w:top w:val="single" w:color="auto" w:sz="4" w:space="0"/>
              <w:left w:val="single" w:color="auto" w:sz="4" w:space="0"/>
              <w:bottom w:val="single" w:color="auto" w:sz="4" w:space="0"/>
              <w:right w:val="single" w:color="auto" w:sz="4" w:space="0"/>
            </w:tcBorders>
            <w:vAlign w:val="center"/>
          </w:tcPr>
          <w:p w14:paraId="4AFE9CBC">
            <w:pPr>
              <w:pageBreakBefore w:val="0"/>
              <w:kinsoku/>
              <w:overflowPunct/>
              <w:bidi w:val="0"/>
              <w:spacing w:line="500" w:lineRule="exact"/>
              <w:jc w:val="center"/>
              <w:rPr>
                <w:rFonts w:ascii="宋体" w:hAnsi="宋体" w:cs="宋体"/>
                <w:sz w:val="24"/>
                <w:highlight w:val="none"/>
              </w:rPr>
            </w:pPr>
          </w:p>
        </w:tc>
        <w:tc>
          <w:tcPr>
            <w:tcW w:w="1143" w:type="pct"/>
            <w:tcBorders>
              <w:top w:val="single" w:color="auto" w:sz="4" w:space="0"/>
              <w:left w:val="single" w:color="auto" w:sz="4" w:space="0"/>
              <w:bottom w:val="single" w:color="auto" w:sz="4" w:space="0"/>
              <w:right w:val="single" w:color="auto" w:sz="4" w:space="0"/>
            </w:tcBorders>
            <w:vAlign w:val="center"/>
          </w:tcPr>
          <w:p w14:paraId="0F3310EA">
            <w:pPr>
              <w:pageBreakBefore w:val="0"/>
              <w:kinsoku/>
              <w:overflowPunct/>
              <w:bidi w:val="0"/>
              <w:spacing w:line="500" w:lineRule="exact"/>
              <w:jc w:val="center"/>
              <w:rPr>
                <w:rFonts w:ascii="宋体" w:hAnsi="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5C00FE4C">
            <w:pPr>
              <w:pageBreakBefore w:val="0"/>
              <w:kinsoku/>
              <w:overflowPunct/>
              <w:bidi w:val="0"/>
              <w:spacing w:line="500" w:lineRule="exact"/>
              <w:jc w:val="center"/>
              <w:rPr>
                <w:rFonts w:ascii="宋体" w:hAnsi="宋体" w:cs="宋体"/>
                <w:sz w:val="24"/>
                <w:highlight w:val="none"/>
              </w:rPr>
            </w:pPr>
          </w:p>
        </w:tc>
      </w:tr>
    </w:tbl>
    <w:p w14:paraId="546213FF">
      <w:pPr>
        <w:pageBreakBefore w:val="0"/>
        <w:widowControl/>
        <w:kinsoku/>
        <w:overflowPunct/>
        <w:bidi w:val="0"/>
        <w:spacing w:line="500" w:lineRule="exact"/>
        <w:rPr>
          <w:rFonts w:ascii="宋体" w:hAnsi="宋体"/>
          <w:kern w:val="0"/>
          <w:sz w:val="28"/>
          <w:szCs w:val="28"/>
          <w:highlight w:val="none"/>
        </w:rPr>
      </w:pPr>
    </w:p>
    <w:p w14:paraId="7212CBC5">
      <w:pPr>
        <w:pageBreakBefore w:val="0"/>
        <w:kinsoku/>
        <w:wordWrap w:val="0"/>
        <w:overflowPunct/>
        <w:bidi w:val="0"/>
        <w:spacing w:line="500" w:lineRule="exact"/>
        <w:jc w:val="right"/>
        <w:rPr>
          <w:rFonts w:ascii="宋体" w:hAnsi="宋体" w:cs="宋体"/>
          <w:sz w:val="24"/>
          <w:highlight w:val="none"/>
        </w:rPr>
      </w:pPr>
      <w:r>
        <w:rPr>
          <w:rFonts w:hint="eastAsia" w:ascii="宋体" w:hAnsi="宋体" w:cs="宋体"/>
          <w:sz w:val="24"/>
          <w:highlight w:val="none"/>
        </w:rPr>
        <w:t>供应商名称：（盖单位章）</w:t>
      </w:r>
    </w:p>
    <w:p w14:paraId="16A9679A">
      <w:pPr>
        <w:pageBreakBefore w:val="0"/>
        <w:kinsoku/>
        <w:wordWrap w:val="0"/>
        <w:overflowPunct/>
        <w:bidi w:val="0"/>
        <w:spacing w:line="500" w:lineRule="exact"/>
        <w:ind w:right="480" w:firstLine="240" w:firstLineChars="100"/>
        <w:jc w:val="right"/>
        <w:rPr>
          <w:rFonts w:ascii="宋体" w:hAnsi="宋体" w:cs="宋体"/>
          <w:sz w:val="24"/>
          <w:highlight w:val="none"/>
        </w:rPr>
      </w:pPr>
      <w:r>
        <w:rPr>
          <w:rFonts w:hint="eastAsia" w:ascii="宋体" w:hAnsi="宋体" w:cs="宋体"/>
          <w:sz w:val="24"/>
          <w:highlight w:val="none"/>
        </w:rPr>
        <w:t>法定代表人：（签章）</w:t>
      </w:r>
    </w:p>
    <w:p w14:paraId="4046BBA4">
      <w:pPr>
        <w:pageBreakBefore w:val="0"/>
        <w:widowControl/>
        <w:kinsoku/>
        <w:overflowPunct/>
        <w:bidi w:val="0"/>
        <w:spacing w:line="500" w:lineRule="exact"/>
        <w:jc w:val="left"/>
        <w:rPr>
          <w:rFonts w:ascii="宋体" w:hAnsi="宋体"/>
          <w:b/>
          <w:bCs/>
          <w:kern w:val="0"/>
          <w:sz w:val="24"/>
          <w:szCs w:val="24"/>
          <w:highlight w:val="none"/>
        </w:rPr>
      </w:pPr>
    </w:p>
    <w:p w14:paraId="16012303">
      <w:pPr>
        <w:pageBreakBefore w:val="0"/>
        <w:widowControl/>
        <w:kinsoku/>
        <w:overflowPunct/>
        <w:bidi w:val="0"/>
        <w:spacing w:line="500" w:lineRule="exact"/>
        <w:jc w:val="left"/>
        <w:rPr>
          <w:rFonts w:ascii="宋体" w:hAnsi="宋体"/>
          <w:b/>
          <w:bCs/>
          <w:kern w:val="0"/>
          <w:sz w:val="24"/>
          <w:szCs w:val="24"/>
          <w:highlight w:val="none"/>
        </w:rPr>
      </w:pPr>
      <w:r>
        <w:rPr>
          <w:rFonts w:ascii="宋体" w:hAnsi="宋体"/>
          <w:b/>
          <w:bCs/>
          <w:kern w:val="0"/>
          <w:sz w:val="24"/>
          <w:szCs w:val="24"/>
          <w:highlight w:val="none"/>
        </w:rPr>
        <w:br w:type="page"/>
      </w:r>
    </w:p>
    <w:p w14:paraId="52C180AB">
      <w:pPr>
        <w:pageBreakBefore w:val="0"/>
        <w:kinsoku/>
        <w:overflowPunct/>
        <w:bidi w:val="0"/>
        <w:spacing w:line="500" w:lineRule="exact"/>
        <w:rPr>
          <w:rFonts w:hint="eastAsia"/>
          <w:highlight w:val="none"/>
          <w:lang w:eastAsia="zh-CN"/>
        </w:rPr>
      </w:pPr>
    </w:p>
    <w:p w14:paraId="7C2AAFEA">
      <w:pPr>
        <w:pageBreakBefore w:val="0"/>
        <w:kinsoku/>
        <w:overflowPunct/>
        <w:bidi w:val="0"/>
        <w:spacing w:line="500" w:lineRule="exact"/>
        <w:ind w:left="420"/>
        <w:jc w:val="center"/>
        <w:outlineLvl w:val="0"/>
        <w:rPr>
          <w:rFonts w:ascii="宋体" w:hAnsi="宋体" w:cs="宋体"/>
          <w:b/>
          <w:sz w:val="30"/>
          <w:szCs w:val="30"/>
          <w:highlight w:val="none"/>
        </w:rPr>
      </w:pPr>
      <w:r>
        <w:rPr>
          <w:rFonts w:hint="eastAsia" w:ascii="宋体" w:hAnsi="宋体" w:cs="宋体"/>
          <w:b/>
          <w:sz w:val="30"/>
          <w:szCs w:val="30"/>
          <w:highlight w:val="none"/>
        </w:rPr>
        <w:t>三、法定代表人身份证明</w:t>
      </w:r>
      <w:bookmarkEnd w:id="334"/>
      <w:bookmarkEnd w:id="335"/>
      <w:bookmarkEnd w:id="336"/>
      <w:bookmarkEnd w:id="337"/>
      <w:bookmarkEnd w:id="338"/>
      <w:bookmarkEnd w:id="339"/>
      <w:bookmarkEnd w:id="340"/>
      <w:bookmarkEnd w:id="341"/>
      <w:bookmarkEnd w:id="342"/>
      <w:bookmarkEnd w:id="343"/>
    </w:p>
    <w:p w14:paraId="550E400D">
      <w:pPr>
        <w:pageBreakBefore w:val="0"/>
        <w:kinsoku/>
        <w:overflowPunct/>
        <w:bidi w:val="0"/>
        <w:spacing w:line="500" w:lineRule="exact"/>
        <w:jc w:val="center"/>
        <w:rPr>
          <w:rFonts w:ascii="宋体" w:hAnsi="宋体" w:cs="宋体"/>
          <w:sz w:val="24"/>
          <w:highlight w:val="none"/>
        </w:rPr>
      </w:pPr>
    </w:p>
    <w:p w14:paraId="25DAD506">
      <w:pPr>
        <w:pageBreakBefore w:val="0"/>
        <w:kinsoku/>
        <w:overflowPunct/>
        <w:bidi w:val="0"/>
        <w:spacing w:line="500" w:lineRule="exact"/>
        <w:ind w:left="718" w:leftChars="342"/>
        <w:rPr>
          <w:rFonts w:ascii="宋体" w:hAnsi="宋体" w:cs="宋体"/>
          <w:sz w:val="24"/>
          <w:highlight w:val="none"/>
          <w:u w:val="single"/>
        </w:rPr>
      </w:pPr>
      <w:r>
        <w:rPr>
          <w:rFonts w:hint="eastAsia" w:ascii="宋体" w:hAnsi="宋体" w:cs="宋体"/>
          <w:sz w:val="24"/>
          <w:highlight w:val="none"/>
        </w:rPr>
        <w:t>供应商名称：</w:t>
      </w:r>
    </w:p>
    <w:p w14:paraId="7A7CAD89">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单位性质：</w:t>
      </w:r>
    </w:p>
    <w:p w14:paraId="3C5714A3">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地    址：</w:t>
      </w:r>
    </w:p>
    <w:p w14:paraId="7FD16924">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16B4CCF4">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经营期限：</w:t>
      </w:r>
    </w:p>
    <w:p w14:paraId="4CEED934">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姓名：性别：年龄：职务：</w:t>
      </w:r>
    </w:p>
    <w:p w14:paraId="465E41AE">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（供应商单位名称）的法定代表人。</w:t>
      </w:r>
    </w:p>
    <w:p w14:paraId="39DEBEFE">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特此证明。</w:t>
      </w:r>
    </w:p>
    <w:p w14:paraId="131B743D">
      <w:pPr>
        <w:pageBreakBefore w:val="0"/>
        <w:kinsoku/>
        <w:overflowPunct/>
        <w:bidi w:val="0"/>
        <w:spacing w:line="500" w:lineRule="exact"/>
        <w:rPr>
          <w:rFonts w:ascii="宋体" w:hAnsi="宋体" w:cs="宋体"/>
          <w:sz w:val="24"/>
          <w:highlight w:val="none"/>
        </w:rPr>
      </w:pPr>
    </w:p>
    <w:p w14:paraId="138B4228">
      <w:pPr>
        <w:pageBreakBefore w:val="0"/>
        <w:kinsoku/>
        <w:overflowPunct/>
        <w:bidi w:val="0"/>
        <w:spacing w:line="500" w:lineRule="exact"/>
        <w:ind w:left="718" w:leftChars="342"/>
        <w:rPr>
          <w:rFonts w:ascii="宋体" w:hAnsi="宋体" w:cs="宋体"/>
          <w:sz w:val="24"/>
          <w:highlight w:val="none"/>
        </w:rPr>
      </w:pPr>
      <w:r>
        <w:rPr>
          <w:rFonts w:hint="eastAsia" w:ascii="宋体" w:hAnsi="宋体" w:cs="宋体"/>
          <w:sz w:val="24"/>
          <w:highlight w:val="none"/>
        </w:rPr>
        <w:t>附：法定代表人身份证扫描件</w:t>
      </w:r>
    </w:p>
    <w:p w14:paraId="6D6F8378">
      <w:pPr>
        <w:pageBreakBefore w:val="0"/>
        <w:kinsoku/>
        <w:overflowPunct/>
        <w:bidi w:val="0"/>
        <w:spacing w:line="500" w:lineRule="exact"/>
        <w:rPr>
          <w:rFonts w:ascii="宋体" w:hAnsi="宋体" w:cs="宋体"/>
          <w:sz w:val="24"/>
          <w:highlight w:val="none"/>
        </w:rPr>
      </w:pPr>
    </w:p>
    <w:p w14:paraId="60E3BBBB">
      <w:pPr>
        <w:pageBreakBefore w:val="0"/>
        <w:kinsoku/>
        <w:overflowPunct/>
        <w:bidi w:val="0"/>
        <w:spacing w:line="500" w:lineRule="exact"/>
        <w:rPr>
          <w:rFonts w:ascii="宋体" w:hAnsi="宋体" w:cs="宋体"/>
          <w:sz w:val="24"/>
          <w:highlight w:val="none"/>
        </w:rPr>
      </w:pPr>
    </w:p>
    <w:p w14:paraId="0A5BC389">
      <w:pPr>
        <w:pageBreakBefore w:val="0"/>
        <w:kinsoku/>
        <w:overflowPunct/>
        <w:bidi w:val="0"/>
        <w:spacing w:line="500" w:lineRule="exact"/>
        <w:ind w:left="4808" w:leftChars="1957" w:hanging="698" w:hangingChars="291"/>
        <w:rPr>
          <w:rFonts w:ascii="宋体" w:hAnsi="宋体" w:cs="宋体"/>
          <w:sz w:val="24"/>
          <w:highlight w:val="none"/>
        </w:rPr>
      </w:pPr>
    </w:p>
    <w:p w14:paraId="55A446C9">
      <w:pPr>
        <w:pageBreakBefore w:val="0"/>
        <w:kinsoku/>
        <w:overflowPunct/>
        <w:bidi w:val="0"/>
        <w:spacing w:line="500" w:lineRule="exact"/>
        <w:ind w:left="4808" w:leftChars="1957" w:hanging="698" w:hangingChars="291"/>
        <w:rPr>
          <w:rFonts w:ascii="宋体" w:hAnsi="宋体" w:cs="宋体"/>
          <w:sz w:val="24"/>
          <w:highlight w:val="none"/>
        </w:rPr>
      </w:pPr>
    </w:p>
    <w:p w14:paraId="63F35B3C">
      <w:pPr>
        <w:pageBreakBefore w:val="0"/>
        <w:kinsoku/>
        <w:overflowPunct/>
        <w:bidi w:val="0"/>
        <w:spacing w:line="500" w:lineRule="exact"/>
        <w:ind w:left="4808" w:leftChars="1957" w:hanging="698" w:hangingChars="291"/>
        <w:rPr>
          <w:rFonts w:ascii="宋体" w:hAnsi="宋体" w:cs="宋体"/>
          <w:sz w:val="24"/>
          <w:highlight w:val="none"/>
        </w:rPr>
      </w:pPr>
    </w:p>
    <w:p w14:paraId="21BA3D37">
      <w:pPr>
        <w:pageBreakBefore w:val="0"/>
        <w:kinsoku/>
        <w:overflowPunct/>
        <w:bidi w:val="0"/>
        <w:spacing w:line="500" w:lineRule="exact"/>
        <w:ind w:left="4808" w:leftChars="1957" w:hanging="698" w:hangingChars="291"/>
        <w:rPr>
          <w:rFonts w:ascii="宋体" w:hAnsi="宋体" w:cs="宋体"/>
          <w:sz w:val="24"/>
          <w:highlight w:val="none"/>
        </w:rPr>
      </w:pPr>
    </w:p>
    <w:p w14:paraId="54FBE80E">
      <w:pPr>
        <w:pageBreakBefore w:val="0"/>
        <w:kinsoku/>
        <w:overflowPunct/>
        <w:bidi w:val="0"/>
        <w:spacing w:line="500" w:lineRule="exact"/>
        <w:ind w:left="4808" w:leftChars="1957" w:hanging="698" w:hangingChars="291"/>
        <w:rPr>
          <w:rFonts w:ascii="宋体" w:hAnsi="宋体" w:cs="宋体"/>
          <w:sz w:val="24"/>
          <w:highlight w:val="none"/>
        </w:rPr>
      </w:pPr>
      <w:r>
        <w:rPr>
          <w:rFonts w:hint="eastAsia" w:ascii="宋体" w:hAnsi="宋体" w:cs="宋体"/>
          <w:sz w:val="24"/>
          <w:highlight w:val="none"/>
        </w:rPr>
        <w:t>供应商名称：（盖单位章）</w:t>
      </w:r>
    </w:p>
    <w:p w14:paraId="6CC8C9A8">
      <w:pPr>
        <w:pageBreakBefore w:val="0"/>
        <w:kinsoku/>
        <w:overflowPunct/>
        <w:bidi w:val="0"/>
        <w:spacing w:line="500" w:lineRule="exact"/>
        <w:ind w:left="4828" w:leftChars="2299" w:firstLine="501" w:firstLineChars="209"/>
        <w:rPr>
          <w:rFonts w:ascii="宋体" w:hAnsi="宋体" w:cs="宋体"/>
          <w:sz w:val="24"/>
          <w:highlight w:val="none"/>
          <w:u w:val="single"/>
        </w:rPr>
      </w:pPr>
    </w:p>
    <w:p w14:paraId="60ABF4D0">
      <w:pPr>
        <w:pageBreakBefore w:val="0"/>
        <w:kinsoku/>
        <w:overflowPunct/>
        <w:bidi w:val="0"/>
        <w:spacing w:line="500" w:lineRule="exact"/>
        <w:ind w:left="4828" w:leftChars="2299" w:firstLine="501" w:firstLineChars="209"/>
        <w:rPr>
          <w:rFonts w:ascii="宋体" w:hAnsi="宋体" w:cs="宋体"/>
          <w:b/>
          <w:sz w:val="28"/>
          <w:szCs w:val="28"/>
          <w:highlight w:val="none"/>
        </w:rPr>
        <w:sectPr>
          <w:pgSz w:w="11915" w:h="16840"/>
          <w:pgMar w:top="1417" w:right="1134" w:bottom="1417" w:left="1417" w:header="720" w:footer="720" w:gutter="0"/>
          <w:pgNumType w:fmt="decimal"/>
          <w:cols w:space="720" w:num="1"/>
          <w:rtlGutter w:val="0"/>
          <w:docGrid w:type="lines" w:linePitch="312" w:charSpace="0"/>
        </w:sectPr>
      </w:pPr>
      <w:r>
        <w:rPr>
          <w:rFonts w:hint="eastAsia" w:ascii="宋体" w:hAnsi="宋体" w:cs="宋体"/>
          <w:sz w:val="24"/>
          <w:highlight w:val="none"/>
        </w:rPr>
        <w:t>年月日</w:t>
      </w:r>
    </w:p>
    <w:p w14:paraId="338DBF63">
      <w:pPr>
        <w:pageBreakBefore w:val="0"/>
        <w:kinsoku/>
        <w:overflowPunct/>
        <w:bidi w:val="0"/>
        <w:spacing w:line="500" w:lineRule="exact"/>
        <w:jc w:val="center"/>
        <w:outlineLvl w:val="0"/>
        <w:rPr>
          <w:rFonts w:ascii="宋体" w:hAnsi="宋体" w:cs="宋体"/>
          <w:b/>
          <w:sz w:val="30"/>
          <w:szCs w:val="30"/>
          <w:highlight w:val="none"/>
        </w:rPr>
      </w:pPr>
      <w:bookmarkStart w:id="344" w:name="_Toc521998010"/>
      <w:bookmarkEnd w:id="344"/>
      <w:bookmarkStart w:id="345" w:name="_Toc522798873"/>
      <w:bookmarkEnd w:id="345"/>
      <w:bookmarkStart w:id="346" w:name="_Toc522085806"/>
      <w:bookmarkEnd w:id="346"/>
      <w:bookmarkStart w:id="347" w:name="_Toc19289_WPSOffice_Level1"/>
      <w:bookmarkEnd w:id="347"/>
      <w:bookmarkStart w:id="348" w:name="_Toc11216_WPSOffice_Level1"/>
      <w:bookmarkEnd w:id="348"/>
      <w:bookmarkStart w:id="349" w:name="_Toc522798784"/>
      <w:bookmarkEnd w:id="349"/>
      <w:bookmarkStart w:id="350" w:name="_Toc29831_WPSOffice_Level1"/>
      <w:bookmarkEnd w:id="350"/>
      <w:bookmarkStart w:id="351" w:name="_Toc522798874"/>
      <w:bookmarkEnd w:id="351"/>
      <w:bookmarkStart w:id="352" w:name="_Toc6592_WPSOffice_Level1"/>
      <w:bookmarkEnd w:id="352"/>
      <w:bookmarkStart w:id="353" w:name="_Toc497301915"/>
      <w:bookmarkEnd w:id="353"/>
      <w:bookmarkStart w:id="354" w:name="_Toc28375_WPSOffice_Level1"/>
      <w:bookmarkEnd w:id="354"/>
      <w:bookmarkStart w:id="355" w:name="_Toc1100_WPSOffice_Level1"/>
      <w:bookmarkEnd w:id="355"/>
      <w:bookmarkStart w:id="356" w:name="_Toc497301911"/>
      <w:bookmarkEnd w:id="356"/>
      <w:bookmarkStart w:id="357" w:name="_Toc9668_WPSOffice_Level1"/>
      <w:bookmarkEnd w:id="357"/>
      <w:bookmarkStart w:id="358" w:name="_Toc522085807"/>
      <w:bookmarkEnd w:id="358"/>
      <w:bookmarkStart w:id="359" w:name="_Toc522798783"/>
      <w:bookmarkEnd w:id="359"/>
      <w:bookmarkStart w:id="360" w:name="_Toc465990928"/>
      <w:bookmarkEnd w:id="360"/>
      <w:bookmarkStart w:id="361" w:name="_Toc522798782"/>
      <w:bookmarkEnd w:id="361"/>
      <w:bookmarkStart w:id="362" w:name="_Toc14173_WPSOffice_Level1"/>
      <w:bookmarkEnd w:id="362"/>
      <w:bookmarkStart w:id="363" w:name="_Toc522085808"/>
      <w:bookmarkEnd w:id="363"/>
      <w:bookmarkStart w:id="364" w:name="_Toc497301912"/>
      <w:bookmarkEnd w:id="364"/>
      <w:bookmarkStart w:id="365" w:name="_Toc465990927"/>
      <w:bookmarkEnd w:id="365"/>
      <w:bookmarkStart w:id="366" w:name="_Toc9989_WPSOffice_Level1"/>
      <w:bookmarkEnd w:id="366"/>
      <w:bookmarkStart w:id="367" w:name="_Toc20284_WPSOffice_Level1"/>
      <w:bookmarkStart w:id="368" w:name="_Toc17311_WPSOffice_Level1"/>
      <w:bookmarkStart w:id="369" w:name="_Toc28468_WPSOffice_Level1"/>
      <w:bookmarkStart w:id="370" w:name="_Toc12265_WPSOffice_Level1"/>
      <w:bookmarkStart w:id="371" w:name="_Toc26307_WPSOffice_Level1"/>
      <w:bookmarkStart w:id="372" w:name="_Toc521998012"/>
      <w:bookmarkStart w:id="373" w:name="_Toc16255_WPSOffice_Level1"/>
      <w:bookmarkStart w:id="374" w:name="_Toc3509_WPSOffice_Level1"/>
      <w:bookmarkStart w:id="375" w:name="_Toc10677"/>
      <w:bookmarkStart w:id="376" w:name="_Toc32033"/>
      <w:r>
        <w:rPr>
          <w:rFonts w:hint="eastAsia" w:ascii="宋体" w:hAnsi="宋体" w:cs="宋体"/>
          <w:b/>
          <w:sz w:val="30"/>
          <w:szCs w:val="30"/>
          <w:highlight w:val="none"/>
          <w:lang w:eastAsia="zh-CN"/>
        </w:rPr>
        <w:t>四</w:t>
      </w:r>
      <w:r>
        <w:rPr>
          <w:rFonts w:hint="eastAsia" w:ascii="宋体" w:hAnsi="宋体" w:cs="宋体"/>
          <w:b/>
          <w:sz w:val="30"/>
          <w:szCs w:val="30"/>
          <w:highlight w:val="none"/>
        </w:rPr>
        <w:t>、资格审查资料</w:t>
      </w:r>
      <w:bookmarkEnd w:id="367"/>
      <w:bookmarkEnd w:id="368"/>
      <w:bookmarkEnd w:id="369"/>
      <w:bookmarkEnd w:id="370"/>
      <w:bookmarkEnd w:id="371"/>
      <w:bookmarkEnd w:id="372"/>
      <w:bookmarkEnd w:id="373"/>
      <w:bookmarkEnd w:id="374"/>
      <w:bookmarkEnd w:id="375"/>
      <w:bookmarkEnd w:id="376"/>
    </w:p>
    <w:p w14:paraId="6C31C5BA">
      <w:pPr>
        <w:pageBreakBefore w:val="0"/>
        <w:kinsoku/>
        <w:overflowPunct/>
        <w:bidi w:val="0"/>
        <w:spacing w:line="500" w:lineRule="exact"/>
        <w:jc w:val="center"/>
        <w:rPr>
          <w:rFonts w:ascii="宋体" w:hAnsi="宋体" w:cs="宋体"/>
          <w:b/>
          <w:sz w:val="24"/>
          <w:highlight w:val="none"/>
        </w:rPr>
      </w:pPr>
      <w:bookmarkStart w:id="377" w:name="_Toc18334_WPSOffice_Level2"/>
      <w:bookmarkEnd w:id="377"/>
      <w:bookmarkStart w:id="378" w:name="_Toc6366_WPSOffice_Level2"/>
      <w:r>
        <w:rPr>
          <w:rFonts w:hint="eastAsia" w:ascii="宋体" w:hAnsi="宋体" w:cs="宋体"/>
          <w:b/>
          <w:sz w:val="24"/>
          <w:highlight w:val="none"/>
        </w:rPr>
        <w:t>（一）基本情况表</w:t>
      </w:r>
      <w:bookmarkEnd w:id="378"/>
    </w:p>
    <w:p w14:paraId="7EAA9628">
      <w:pPr>
        <w:pageBreakBefore w:val="0"/>
        <w:kinsoku/>
        <w:overflowPunct/>
        <w:bidi w:val="0"/>
        <w:spacing w:line="500" w:lineRule="exact"/>
        <w:rPr>
          <w:rFonts w:ascii="宋体" w:hAnsi="宋体" w:cs="宋体"/>
          <w:szCs w:val="21"/>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1279"/>
        <w:gridCol w:w="1850"/>
        <w:gridCol w:w="1280"/>
        <w:gridCol w:w="2183"/>
      </w:tblGrid>
      <w:tr w14:paraId="4AE4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629658E2">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供应商名称</w:t>
            </w:r>
          </w:p>
        </w:tc>
        <w:tc>
          <w:tcPr>
            <w:tcW w:w="6592" w:type="dxa"/>
            <w:gridSpan w:val="4"/>
            <w:tcBorders>
              <w:top w:val="single" w:color="auto" w:sz="4" w:space="0"/>
              <w:left w:val="nil"/>
              <w:bottom w:val="single" w:color="auto" w:sz="4" w:space="0"/>
              <w:right w:val="single" w:color="auto" w:sz="4" w:space="0"/>
            </w:tcBorders>
            <w:vAlign w:val="center"/>
          </w:tcPr>
          <w:p w14:paraId="5918B6D8">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294C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16FEC360">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注册资金</w:t>
            </w:r>
          </w:p>
        </w:tc>
        <w:tc>
          <w:tcPr>
            <w:tcW w:w="3129" w:type="dxa"/>
            <w:gridSpan w:val="2"/>
            <w:tcBorders>
              <w:top w:val="single" w:color="auto" w:sz="4" w:space="0"/>
              <w:left w:val="nil"/>
              <w:bottom w:val="single" w:color="auto" w:sz="4" w:space="0"/>
              <w:right w:val="single" w:color="auto" w:sz="4" w:space="0"/>
            </w:tcBorders>
            <w:vAlign w:val="center"/>
          </w:tcPr>
          <w:p w14:paraId="085623DA">
            <w:pPr>
              <w:pageBreakBefore w:val="0"/>
              <w:kinsoku/>
              <w:overflowPunct/>
              <w:autoSpaceDE w:val="0"/>
              <w:autoSpaceDN w:val="0"/>
              <w:bidi w:val="0"/>
              <w:adjustRightInd w:val="0"/>
              <w:spacing w:line="500" w:lineRule="exact"/>
              <w:jc w:val="center"/>
              <w:rPr>
                <w:rFonts w:ascii="宋体" w:hAnsi="宋体" w:cs="宋体"/>
                <w:sz w:val="24"/>
                <w:highlight w:val="none"/>
              </w:rPr>
            </w:pPr>
          </w:p>
        </w:tc>
        <w:tc>
          <w:tcPr>
            <w:tcW w:w="1280" w:type="dxa"/>
            <w:tcBorders>
              <w:top w:val="single" w:color="auto" w:sz="4" w:space="0"/>
              <w:left w:val="nil"/>
              <w:bottom w:val="single" w:color="auto" w:sz="4" w:space="0"/>
              <w:right w:val="single" w:color="auto" w:sz="4" w:space="0"/>
            </w:tcBorders>
            <w:vAlign w:val="center"/>
          </w:tcPr>
          <w:p w14:paraId="24010A68">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成立时间</w:t>
            </w:r>
          </w:p>
        </w:tc>
        <w:tc>
          <w:tcPr>
            <w:tcW w:w="2183" w:type="dxa"/>
            <w:tcBorders>
              <w:top w:val="single" w:color="auto" w:sz="4" w:space="0"/>
              <w:left w:val="nil"/>
              <w:bottom w:val="single" w:color="auto" w:sz="4" w:space="0"/>
              <w:right w:val="single" w:color="auto" w:sz="4" w:space="0"/>
            </w:tcBorders>
            <w:vAlign w:val="center"/>
          </w:tcPr>
          <w:p w14:paraId="685A93CA">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7DCD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0818BE01">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注册地址</w:t>
            </w:r>
          </w:p>
        </w:tc>
        <w:tc>
          <w:tcPr>
            <w:tcW w:w="6592" w:type="dxa"/>
            <w:gridSpan w:val="4"/>
            <w:tcBorders>
              <w:top w:val="single" w:color="auto" w:sz="4" w:space="0"/>
              <w:left w:val="nil"/>
              <w:bottom w:val="single" w:color="auto" w:sz="4" w:space="0"/>
              <w:right w:val="single" w:color="auto" w:sz="4" w:space="0"/>
            </w:tcBorders>
            <w:vAlign w:val="center"/>
          </w:tcPr>
          <w:p w14:paraId="15313098">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2C31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5B7161ED">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邮政编码</w:t>
            </w:r>
          </w:p>
        </w:tc>
        <w:tc>
          <w:tcPr>
            <w:tcW w:w="3129" w:type="dxa"/>
            <w:gridSpan w:val="2"/>
            <w:tcBorders>
              <w:top w:val="single" w:color="auto" w:sz="4" w:space="0"/>
              <w:left w:val="nil"/>
              <w:bottom w:val="single" w:color="auto" w:sz="4" w:space="0"/>
              <w:right w:val="single" w:color="auto" w:sz="4" w:space="0"/>
            </w:tcBorders>
            <w:vAlign w:val="center"/>
          </w:tcPr>
          <w:p w14:paraId="08FBF3EE">
            <w:pPr>
              <w:pageBreakBefore w:val="0"/>
              <w:kinsoku/>
              <w:overflowPunct/>
              <w:autoSpaceDE w:val="0"/>
              <w:autoSpaceDN w:val="0"/>
              <w:bidi w:val="0"/>
              <w:adjustRightInd w:val="0"/>
              <w:spacing w:line="500" w:lineRule="exact"/>
              <w:jc w:val="center"/>
              <w:rPr>
                <w:rFonts w:ascii="宋体" w:hAnsi="宋体" w:cs="宋体"/>
                <w:sz w:val="24"/>
                <w:highlight w:val="none"/>
              </w:rPr>
            </w:pPr>
          </w:p>
        </w:tc>
        <w:tc>
          <w:tcPr>
            <w:tcW w:w="1280" w:type="dxa"/>
            <w:tcBorders>
              <w:top w:val="single" w:color="auto" w:sz="4" w:space="0"/>
              <w:left w:val="nil"/>
              <w:bottom w:val="single" w:color="auto" w:sz="4" w:space="0"/>
              <w:right w:val="single" w:color="auto" w:sz="4" w:space="0"/>
            </w:tcBorders>
            <w:vAlign w:val="center"/>
          </w:tcPr>
          <w:p w14:paraId="2AD6C1AD">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员工总数</w:t>
            </w:r>
          </w:p>
        </w:tc>
        <w:tc>
          <w:tcPr>
            <w:tcW w:w="2183" w:type="dxa"/>
            <w:tcBorders>
              <w:top w:val="single" w:color="auto" w:sz="4" w:space="0"/>
              <w:left w:val="nil"/>
              <w:bottom w:val="single" w:color="auto" w:sz="4" w:space="0"/>
              <w:right w:val="single" w:color="auto" w:sz="4" w:space="0"/>
            </w:tcBorders>
            <w:vAlign w:val="center"/>
          </w:tcPr>
          <w:p w14:paraId="3A7B2FBA">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229A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07" w:type="dxa"/>
            <w:vMerge w:val="restart"/>
            <w:tcBorders>
              <w:top w:val="nil"/>
              <w:left w:val="single" w:color="auto" w:sz="4" w:space="0"/>
              <w:bottom w:val="single" w:color="auto" w:sz="4" w:space="0"/>
              <w:right w:val="single" w:color="auto" w:sz="4" w:space="0"/>
            </w:tcBorders>
            <w:vAlign w:val="center"/>
          </w:tcPr>
          <w:p w14:paraId="7A98F4BC">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联系方式</w:t>
            </w:r>
          </w:p>
        </w:tc>
        <w:tc>
          <w:tcPr>
            <w:tcW w:w="1279" w:type="dxa"/>
            <w:tcBorders>
              <w:top w:val="single" w:color="auto" w:sz="4" w:space="0"/>
              <w:left w:val="nil"/>
              <w:bottom w:val="single" w:color="auto" w:sz="4" w:space="0"/>
              <w:right w:val="single" w:color="auto" w:sz="4" w:space="0"/>
            </w:tcBorders>
            <w:vAlign w:val="center"/>
          </w:tcPr>
          <w:p w14:paraId="05DE014F">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联系人</w:t>
            </w:r>
          </w:p>
        </w:tc>
        <w:tc>
          <w:tcPr>
            <w:tcW w:w="1850" w:type="dxa"/>
            <w:tcBorders>
              <w:top w:val="single" w:color="auto" w:sz="4" w:space="0"/>
              <w:left w:val="nil"/>
              <w:bottom w:val="single" w:color="auto" w:sz="4" w:space="0"/>
              <w:right w:val="single" w:color="auto" w:sz="4" w:space="0"/>
            </w:tcBorders>
            <w:vAlign w:val="center"/>
          </w:tcPr>
          <w:p w14:paraId="53AF711D">
            <w:pPr>
              <w:pageBreakBefore w:val="0"/>
              <w:kinsoku/>
              <w:overflowPunct/>
              <w:autoSpaceDE w:val="0"/>
              <w:autoSpaceDN w:val="0"/>
              <w:bidi w:val="0"/>
              <w:adjustRightInd w:val="0"/>
              <w:spacing w:line="500" w:lineRule="exact"/>
              <w:jc w:val="center"/>
              <w:rPr>
                <w:rFonts w:ascii="宋体" w:hAnsi="宋体" w:cs="宋体"/>
                <w:sz w:val="24"/>
                <w:highlight w:val="none"/>
              </w:rPr>
            </w:pPr>
          </w:p>
        </w:tc>
        <w:tc>
          <w:tcPr>
            <w:tcW w:w="1280" w:type="dxa"/>
            <w:tcBorders>
              <w:top w:val="single" w:color="auto" w:sz="4" w:space="0"/>
              <w:left w:val="nil"/>
              <w:bottom w:val="single" w:color="auto" w:sz="4" w:space="0"/>
              <w:right w:val="single" w:color="auto" w:sz="4" w:space="0"/>
            </w:tcBorders>
            <w:vAlign w:val="center"/>
          </w:tcPr>
          <w:p w14:paraId="5C350C91">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电话</w:t>
            </w:r>
          </w:p>
        </w:tc>
        <w:tc>
          <w:tcPr>
            <w:tcW w:w="2183" w:type="dxa"/>
            <w:tcBorders>
              <w:top w:val="single" w:color="auto" w:sz="4" w:space="0"/>
              <w:left w:val="nil"/>
              <w:bottom w:val="single" w:color="auto" w:sz="4" w:space="0"/>
              <w:right w:val="single" w:color="auto" w:sz="4" w:space="0"/>
            </w:tcBorders>
            <w:vAlign w:val="center"/>
          </w:tcPr>
          <w:p w14:paraId="44E91849">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2DAD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607" w:type="dxa"/>
            <w:vMerge w:val="continue"/>
            <w:tcBorders>
              <w:top w:val="nil"/>
              <w:left w:val="single" w:color="auto" w:sz="4" w:space="0"/>
              <w:bottom w:val="single" w:color="auto" w:sz="4" w:space="0"/>
              <w:right w:val="single" w:color="auto" w:sz="4" w:space="0"/>
            </w:tcBorders>
            <w:vAlign w:val="center"/>
          </w:tcPr>
          <w:p w14:paraId="5645C54E">
            <w:pPr>
              <w:pageBreakBefore w:val="0"/>
              <w:kinsoku/>
              <w:overflowPunct/>
              <w:bidi w:val="0"/>
              <w:spacing w:line="500" w:lineRule="exact"/>
              <w:rPr>
                <w:rFonts w:ascii="宋体" w:hAnsi="宋体" w:cs="宋体"/>
                <w:sz w:val="20"/>
                <w:szCs w:val="20"/>
                <w:highlight w:val="none"/>
              </w:rPr>
            </w:pPr>
          </w:p>
        </w:tc>
        <w:tc>
          <w:tcPr>
            <w:tcW w:w="1279" w:type="dxa"/>
            <w:tcBorders>
              <w:top w:val="single" w:color="auto" w:sz="4" w:space="0"/>
              <w:left w:val="nil"/>
              <w:bottom w:val="single" w:color="auto" w:sz="4" w:space="0"/>
              <w:right w:val="single" w:color="auto" w:sz="4" w:space="0"/>
            </w:tcBorders>
            <w:vAlign w:val="center"/>
          </w:tcPr>
          <w:p w14:paraId="1D275E2B">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传真</w:t>
            </w:r>
          </w:p>
        </w:tc>
        <w:tc>
          <w:tcPr>
            <w:tcW w:w="1850" w:type="dxa"/>
            <w:tcBorders>
              <w:top w:val="single" w:color="auto" w:sz="4" w:space="0"/>
              <w:left w:val="nil"/>
              <w:bottom w:val="single" w:color="auto" w:sz="4" w:space="0"/>
              <w:right w:val="single" w:color="auto" w:sz="4" w:space="0"/>
            </w:tcBorders>
            <w:vAlign w:val="center"/>
          </w:tcPr>
          <w:p w14:paraId="56F8841B">
            <w:pPr>
              <w:pageBreakBefore w:val="0"/>
              <w:kinsoku/>
              <w:overflowPunct/>
              <w:autoSpaceDE w:val="0"/>
              <w:autoSpaceDN w:val="0"/>
              <w:bidi w:val="0"/>
              <w:adjustRightInd w:val="0"/>
              <w:spacing w:line="500" w:lineRule="exact"/>
              <w:jc w:val="center"/>
              <w:rPr>
                <w:rFonts w:ascii="宋体" w:hAnsi="宋体" w:cs="宋体"/>
                <w:sz w:val="24"/>
                <w:highlight w:val="none"/>
              </w:rPr>
            </w:pPr>
          </w:p>
        </w:tc>
        <w:tc>
          <w:tcPr>
            <w:tcW w:w="1280" w:type="dxa"/>
            <w:tcBorders>
              <w:top w:val="single" w:color="auto" w:sz="4" w:space="0"/>
              <w:left w:val="nil"/>
              <w:bottom w:val="single" w:color="auto" w:sz="4" w:space="0"/>
              <w:right w:val="single" w:color="auto" w:sz="4" w:space="0"/>
            </w:tcBorders>
            <w:vAlign w:val="center"/>
          </w:tcPr>
          <w:p w14:paraId="572322D6">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网址</w:t>
            </w:r>
          </w:p>
        </w:tc>
        <w:tc>
          <w:tcPr>
            <w:tcW w:w="2183" w:type="dxa"/>
            <w:tcBorders>
              <w:top w:val="single" w:color="auto" w:sz="4" w:space="0"/>
              <w:left w:val="nil"/>
              <w:bottom w:val="single" w:color="auto" w:sz="4" w:space="0"/>
              <w:right w:val="single" w:color="auto" w:sz="4" w:space="0"/>
            </w:tcBorders>
            <w:vAlign w:val="center"/>
          </w:tcPr>
          <w:p w14:paraId="4887CADE">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60F3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788B8C80">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法定代表人</w:t>
            </w:r>
          </w:p>
        </w:tc>
        <w:tc>
          <w:tcPr>
            <w:tcW w:w="1279" w:type="dxa"/>
            <w:tcBorders>
              <w:top w:val="single" w:color="auto" w:sz="4" w:space="0"/>
              <w:left w:val="nil"/>
              <w:bottom w:val="single" w:color="auto" w:sz="4" w:space="0"/>
              <w:right w:val="single" w:color="auto" w:sz="4" w:space="0"/>
            </w:tcBorders>
            <w:vAlign w:val="center"/>
          </w:tcPr>
          <w:p w14:paraId="244B4BF5">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姓名</w:t>
            </w:r>
          </w:p>
        </w:tc>
        <w:tc>
          <w:tcPr>
            <w:tcW w:w="1850" w:type="dxa"/>
            <w:tcBorders>
              <w:top w:val="single" w:color="auto" w:sz="4" w:space="0"/>
              <w:left w:val="nil"/>
              <w:bottom w:val="single" w:color="auto" w:sz="4" w:space="0"/>
              <w:right w:val="single" w:color="auto" w:sz="4" w:space="0"/>
            </w:tcBorders>
            <w:vAlign w:val="center"/>
          </w:tcPr>
          <w:p w14:paraId="24BB1B41">
            <w:pPr>
              <w:pageBreakBefore w:val="0"/>
              <w:kinsoku/>
              <w:overflowPunct/>
              <w:autoSpaceDE w:val="0"/>
              <w:autoSpaceDN w:val="0"/>
              <w:bidi w:val="0"/>
              <w:adjustRightInd w:val="0"/>
              <w:spacing w:line="500" w:lineRule="exact"/>
              <w:jc w:val="center"/>
              <w:rPr>
                <w:rFonts w:ascii="宋体" w:hAnsi="宋体" w:cs="宋体"/>
                <w:sz w:val="24"/>
                <w:highlight w:val="none"/>
              </w:rPr>
            </w:pPr>
          </w:p>
        </w:tc>
        <w:tc>
          <w:tcPr>
            <w:tcW w:w="1280" w:type="dxa"/>
            <w:tcBorders>
              <w:top w:val="single" w:color="auto" w:sz="4" w:space="0"/>
              <w:left w:val="nil"/>
              <w:bottom w:val="single" w:color="auto" w:sz="4" w:space="0"/>
              <w:right w:val="single" w:color="auto" w:sz="4" w:space="0"/>
            </w:tcBorders>
            <w:vAlign w:val="center"/>
          </w:tcPr>
          <w:p w14:paraId="563E6A91">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电话</w:t>
            </w:r>
          </w:p>
        </w:tc>
        <w:tc>
          <w:tcPr>
            <w:tcW w:w="2183" w:type="dxa"/>
            <w:tcBorders>
              <w:top w:val="single" w:color="auto" w:sz="4" w:space="0"/>
              <w:left w:val="nil"/>
              <w:bottom w:val="single" w:color="auto" w:sz="4" w:space="0"/>
              <w:right w:val="single" w:color="auto" w:sz="4" w:space="0"/>
            </w:tcBorders>
            <w:vAlign w:val="center"/>
          </w:tcPr>
          <w:p w14:paraId="4055C2E5">
            <w:pPr>
              <w:pageBreakBefore w:val="0"/>
              <w:kinsoku/>
              <w:overflowPunct/>
              <w:autoSpaceDE w:val="0"/>
              <w:autoSpaceDN w:val="0"/>
              <w:bidi w:val="0"/>
              <w:adjustRightInd w:val="0"/>
              <w:spacing w:line="500" w:lineRule="exact"/>
              <w:jc w:val="center"/>
              <w:rPr>
                <w:rFonts w:ascii="宋体" w:hAnsi="宋体" w:cs="宋体"/>
                <w:sz w:val="24"/>
                <w:highlight w:val="none"/>
              </w:rPr>
            </w:pPr>
          </w:p>
        </w:tc>
      </w:tr>
      <w:tr w14:paraId="58DB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46451D17">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组织结构</w:t>
            </w:r>
          </w:p>
        </w:tc>
        <w:tc>
          <w:tcPr>
            <w:tcW w:w="6592" w:type="dxa"/>
            <w:gridSpan w:val="4"/>
            <w:tcBorders>
              <w:top w:val="single" w:color="auto" w:sz="4" w:space="0"/>
              <w:left w:val="nil"/>
              <w:bottom w:val="single" w:color="auto" w:sz="4" w:space="0"/>
              <w:right w:val="single" w:color="auto" w:sz="4" w:space="0"/>
            </w:tcBorders>
            <w:vAlign w:val="center"/>
          </w:tcPr>
          <w:p w14:paraId="1CEB164A">
            <w:pPr>
              <w:pageBreakBefore w:val="0"/>
              <w:kinsoku/>
              <w:overflowPunct/>
              <w:autoSpaceDE w:val="0"/>
              <w:autoSpaceDN w:val="0"/>
              <w:bidi w:val="0"/>
              <w:adjustRightInd w:val="0"/>
              <w:spacing w:line="500" w:lineRule="exact"/>
              <w:jc w:val="left"/>
              <w:rPr>
                <w:rFonts w:ascii="宋体" w:hAnsi="宋体" w:cs="宋体"/>
                <w:sz w:val="24"/>
                <w:highlight w:val="none"/>
              </w:rPr>
            </w:pPr>
          </w:p>
        </w:tc>
      </w:tr>
      <w:tr w14:paraId="696C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54067B87">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近三年营业额</w:t>
            </w:r>
          </w:p>
        </w:tc>
        <w:tc>
          <w:tcPr>
            <w:tcW w:w="6592" w:type="dxa"/>
            <w:gridSpan w:val="4"/>
            <w:tcBorders>
              <w:top w:val="single" w:color="auto" w:sz="4" w:space="0"/>
              <w:left w:val="nil"/>
              <w:bottom w:val="single" w:color="auto" w:sz="4" w:space="0"/>
              <w:right w:val="single" w:color="auto" w:sz="4" w:space="0"/>
            </w:tcBorders>
            <w:vAlign w:val="center"/>
          </w:tcPr>
          <w:p w14:paraId="4E411B6E">
            <w:pPr>
              <w:pageBreakBefore w:val="0"/>
              <w:kinsoku/>
              <w:overflowPunct/>
              <w:autoSpaceDE w:val="0"/>
              <w:autoSpaceDN w:val="0"/>
              <w:bidi w:val="0"/>
              <w:adjustRightInd w:val="0"/>
              <w:spacing w:line="500" w:lineRule="exact"/>
              <w:jc w:val="left"/>
              <w:rPr>
                <w:rFonts w:ascii="宋体" w:hAnsi="宋体" w:cs="宋体"/>
                <w:sz w:val="24"/>
                <w:highlight w:val="none"/>
              </w:rPr>
            </w:pPr>
          </w:p>
        </w:tc>
      </w:tr>
      <w:tr w14:paraId="5AD2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45186CAA">
            <w:pPr>
              <w:pageBreakBefore w:val="0"/>
              <w:kinsoku/>
              <w:overflowPunct/>
              <w:autoSpaceDE w:val="0"/>
              <w:autoSpaceDN w:val="0"/>
              <w:bidi w:val="0"/>
              <w:adjustRightInd w:val="0"/>
              <w:spacing w:line="500" w:lineRule="exact"/>
              <w:jc w:val="center"/>
              <w:rPr>
                <w:rFonts w:ascii="宋体" w:hAnsi="宋体" w:cs="宋体"/>
                <w:sz w:val="24"/>
                <w:highlight w:val="none"/>
              </w:rPr>
            </w:pPr>
            <w:r>
              <w:rPr>
                <w:rFonts w:hint="eastAsia" w:ascii="宋体" w:hAnsi="宋体" w:cs="宋体"/>
                <w:sz w:val="24"/>
                <w:highlight w:val="none"/>
              </w:rPr>
              <w:t>经营范围</w:t>
            </w:r>
          </w:p>
        </w:tc>
        <w:tc>
          <w:tcPr>
            <w:tcW w:w="6592" w:type="dxa"/>
            <w:gridSpan w:val="4"/>
            <w:tcBorders>
              <w:top w:val="single" w:color="auto" w:sz="4" w:space="0"/>
              <w:left w:val="nil"/>
              <w:bottom w:val="single" w:color="auto" w:sz="4" w:space="0"/>
              <w:right w:val="single" w:color="auto" w:sz="4" w:space="0"/>
            </w:tcBorders>
            <w:vAlign w:val="center"/>
          </w:tcPr>
          <w:p w14:paraId="6D6E531A">
            <w:pPr>
              <w:pageBreakBefore w:val="0"/>
              <w:kinsoku/>
              <w:overflowPunct/>
              <w:autoSpaceDE w:val="0"/>
              <w:autoSpaceDN w:val="0"/>
              <w:bidi w:val="0"/>
              <w:adjustRightInd w:val="0"/>
              <w:spacing w:line="500" w:lineRule="exact"/>
              <w:jc w:val="left"/>
              <w:rPr>
                <w:rFonts w:ascii="宋体" w:hAnsi="宋体" w:cs="宋体"/>
                <w:sz w:val="24"/>
                <w:highlight w:val="none"/>
              </w:rPr>
            </w:pPr>
          </w:p>
        </w:tc>
      </w:tr>
      <w:tr w14:paraId="7A55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14:paraId="3A321108">
            <w:pPr>
              <w:pageBreakBefore w:val="0"/>
              <w:kinsoku/>
              <w:overflowPunct/>
              <w:bidi w:val="0"/>
              <w:adjustRightInd w:val="0"/>
              <w:snapToGrid w:val="0"/>
              <w:spacing w:line="500" w:lineRule="exact"/>
              <w:jc w:val="center"/>
              <w:rPr>
                <w:rFonts w:ascii="宋体" w:hAnsi="宋体" w:cs="宋体"/>
                <w:sz w:val="24"/>
                <w:highlight w:val="none"/>
              </w:rPr>
            </w:pPr>
            <w:r>
              <w:rPr>
                <w:rFonts w:hint="eastAsia" w:ascii="宋体" w:hAnsi="宋体" w:cs="宋体"/>
                <w:kern w:val="0"/>
                <w:sz w:val="24"/>
                <w:highlight w:val="none"/>
              </w:rPr>
              <w:t>备注</w:t>
            </w:r>
          </w:p>
        </w:tc>
        <w:tc>
          <w:tcPr>
            <w:tcW w:w="6592" w:type="dxa"/>
            <w:gridSpan w:val="4"/>
            <w:tcBorders>
              <w:top w:val="single" w:color="auto" w:sz="4" w:space="0"/>
              <w:left w:val="nil"/>
              <w:bottom w:val="single" w:color="auto" w:sz="4" w:space="0"/>
              <w:right w:val="single" w:color="auto" w:sz="4" w:space="0"/>
            </w:tcBorders>
            <w:vAlign w:val="center"/>
          </w:tcPr>
          <w:p w14:paraId="1FA99DBB">
            <w:pPr>
              <w:pageBreakBefore w:val="0"/>
              <w:kinsoku/>
              <w:overflowPunct/>
              <w:bidi w:val="0"/>
              <w:adjustRightInd w:val="0"/>
              <w:snapToGrid w:val="0"/>
              <w:spacing w:line="500" w:lineRule="exact"/>
              <w:jc w:val="center"/>
              <w:rPr>
                <w:rFonts w:ascii="宋体" w:hAnsi="宋体" w:cs="宋体"/>
                <w:sz w:val="24"/>
                <w:highlight w:val="none"/>
              </w:rPr>
            </w:pPr>
          </w:p>
        </w:tc>
      </w:tr>
    </w:tbl>
    <w:p w14:paraId="3FB9A1A8">
      <w:pPr>
        <w:pageBreakBefore w:val="0"/>
        <w:kinsoku/>
        <w:overflowPunct/>
        <w:bidi w:val="0"/>
        <w:spacing w:line="500" w:lineRule="exact"/>
        <w:ind w:firstLine="120" w:firstLineChars="50"/>
        <w:rPr>
          <w:rFonts w:ascii="宋体" w:hAnsi="宋体" w:cs="宋体"/>
          <w:szCs w:val="21"/>
          <w:highlight w:val="none"/>
        </w:rPr>
      </w:pPr>
      <w:r>
        <w:rPr>
          <w:rFonts w:hint="eastAsia" w:ascii="宋体" w:hAnsi="宋体" w:cs="宋体"/>
          <w:sz w:val="24"/>
          <w:highlight w:val="none"/>
        </w:rPr>
        <w:t>后附：营业执照副本和第二章“供应商须知”前附表</w:t>
      </w:r>
      <w:r>
        <w:rPr>
          <w:rFonts w:hint="eastAsia" w:ascii="宋体" w:hAnsi="宋体" w:cs="宋体"/>
          <w:sz w:val="24"/>
          <w:highlight w:val="none"/>
          <w:lang w:val="en-US" w:eastAsia="zh-CN"/>
        </w:rPr>
        <w:t>12</w:t>
      </w:r>
      <w:r>
        <w:rPr>
          <w:rFonts w:hint="eastAsia" w:ascii="宋体" w:hAnsi="宋体" w:cs="宋体"/>
          <w:sz w:val="24"/>
          <w:highlight w:val="none"/>
        </w:rPr>
        <w:t>款规定的其他资料。</w:t>
      </w:r>
    </w:p>
    <w:p w14:paraId="14A9B960">
      <w:pPr>
        <w:pageBreakBefore w:val="0"/>
        <w:kinsoku/>
        <w:overflowPunct/>
        <w:bidi w:val="0"/>
        <w:spacing w:line="500" w:lineRule="exact"/>
        <w:rPr>
          <w:rFonts w:ascii="宋体" w:hAnsi="宋体" w:cs="宋体"/>
          <w:b/>
          <w:sz w:val="24"/>
          <w:highlight w:val="none"/>
        </w:rPr>
        <w:sectPr>
          <w:pgSz w:w="11915" w:h="16840"/>
          <w:pgMar w:top="1417" w:right="1134" w:bottom="1417" w:left="1417" w:header="720" w:footer="720" w:gutter="0"/>
          <w:pgNumType w:fmt="decimal"/>
          <w:cols w:space="720" w:num="1"/>
          <w:rtlGutter w:val="0"/>
          <w:docGrid w:type="lines" w:linePitch="312" w:charSpace="0"/>
        </w:sectPr>
      </w:pPr>
    </w:p>
    <w:p w14:paraId="3AC5F412">
      <w:pPr>
        <w:pageBreakBefore w:val="0"/>
        <w:kinsoku/>
        <w:overflowPunct/>
        <w:bidi w:val="0"/>
        <w:spacing w:line="500" w:lineRule="exact"/>
        <w:jc w:val="center"/>
        <w:rPr>
          <w:rFonts w:ascii="黑体" w:hAnsi="宋体" w:eastAsia="黑体" w:cs="黑体"/>
          <w:sz w:val="24"/>
          <w:highlight w:val="none"/>
        </w:rPr>
      </w:pPr>
      <w:bookmarkStart w:id="379" w:name="_Toc25207_WPSOffice_Level2"/>
      <w:bookmarkEnd w:id="379"/>
      <w:bookmarkStart w:id="380" w:name="_Toc912_WPSOffice_Level2"/>
      <w:bookmarkEnd w:id="380"/>
      <w:bookmarkStart w:id="381" w:name="page81"/>
      <w:bookmarkEnd w:id="381"/>
      <w:bookmarkStart w:id="382" w:name="_Toc25882_WPSOffice_Level2"/>
      <w:bookmarkStart w:id="383" w:name="_Toc28371_WPSOffice_Level2"/>
      <w:r>
        <w:rPr>
          <w:rFonts w:hint="eastAsia" w:ascii="宋体" w:hAnsi="宋体" w:cs="宋体"/>
          <w:b/>
          <w:sz w:val="24"/>
          <w:highlight w:val="none"/>
        </w:rPr>
        <w:t>（二）近年财务状况表</w:t>
      </w:r>
      <w:bookmarkEnd w:id="382"/>
    </w:p>
    <w:p w14:paraId="59EE3F93">
      <w:pPr>
        <w:pageBreakBefore w:val="0"/>
        <w:kinsoku/>
        <w:overflowPunct/>
        <w:bidi w:val="0"/>
        <w:spacing w:line="500" w:lineRule="exact"/>
        <w:rPr>
          <w:rFonts w:ascii="宋体" w:hAnsi="宋体"/>
          <w:color w:val="auto"/>
          <w:sz w:val="24"/>
          <w:highlight w:val="none"/>
        </w:rPr>
      </w:pPr>
      <w:r>
        <w:rPr>
          <w:rFonts w:hint="eastAsia" w:ascii="宋体" w:hAnsi="宋体"/>
          <w:color w:val="auto"/>
          <w:sz w:val="24"/>
          <w:highlight w:val="none"/>
        </w:rPr>
        <w:t>备注：</w:t>
      </w:r>
      <w:r>
        <w:rPr>
          <w:rFonts w:hint="eastAsia" w:ascii="宋体" w:hAnsi="宋体"/>
          <w:color w:val="auto"/>
          <w:sz w:val="24"/>
          <w:highlight w:val="none"/>
          <w:lang w:eastAsia="zh-CN"/>
        </w:rPr>
        <w:t>在此附</w:t>
      </w:r>
      <w:r>
        <w:rPr>
          <w:rFonts w:hint="eastAsia" w:ascii="宋体" w:hAnsi="宋体"/>
          <w:color w:val="auto"/>
          <w:sz w:val="24"/>
          <w:highlight w:val="none"/>
          <w:lang w:val="en-US" w:eastAsia="zh-CN"/>
        </w:rPr>
        <w:t>2023年度</w:t>
      </w:r>
      <w:r>
        <w:rPr>
          <w:rFonts w:hint="eastAsia" w:ascii="宋体" w:hAnsi="宋体"/>
          <w:color w:val="auto"/>
          <w:sz w:val="24"/>
          <w:highlight w:val="none"/>
          <w:lang w:eastAsia="zh-CN"/>
        </w:rPr>
        <w:t>财务状况表或</w:t>
      </w:r>
      <w:r>
        <w:rPr>
          <w:rFonts w:hint="eastAsia" w:ascii="宋体" w:hAnsi="宋体"/>
          <w:color w:val="auto"/>
          <w:sz w:val="24"/>
          <w:highlight w:val="none"/>
        </w:rPr>
        <w:t>具有良好商业信誉及财务会计制度的承诺书。</w:t>
      </w:r>
    </w:p>
    <w:p w14:paraId="4960BAC5">
      <w:pPr>
        <w:pageBreakBefore w:val="0"/>
        <w:kinsoku/>
        <w:overflowPunct/>
        <w:bidi w:val="0"/>
        <w:spacing w:line="500" w:lineRule="exact"/>
        <w:rPr>
          <w:sz w:val="24"/>
          <w:highlight w:val="none"/>
        </w:rPr>
      </w:pPr>
    </w:p>
    <w:p w14:paraId="2C1ADAA7">
      <w:pPr>
        <w:pageBreakBefore w:val="0"/>
        <w:kinsoku/>
        <w:overflowPunct/>
        <w:bidi w:val="0"/>
        <w:spacing w:line="500" w:lineRule="exact"/>
        <w:jc w:val="center"/>
        <w:rPr>
          <w:rFonts w:ascii="宋体" w:hAnsi="宋体" w:cs="宋体"/>
          <w:b/>
          <w:sz w:val="24"/>
          <w:highlight w:val="none"/>
        </w:rPr>
      </w:pPr>
    </w:p>
    <w:p w14:paraId="5B328E46">
      <w:pPr>
        <w:pageBreakBefore w:val="0"/>
        <w:kinsoku/>
        <w:overflowPunct/>
        <w:bidi w:val="0"/>
        <w:spacing w:line="500" w:lineRule="exact"/>
        <w:jc w:val="center"/>
        <w:rPr>
          <w:rFonts w:ascii="宋体" w:hAnsi="宋体" w:cs="宋体"/>
          <w:b/>
          <w:sz w:val="24"/>
          <w:highlight w:val="none"/>
        </w:rPr>
      </w:pPr>
    </w:p>
    <w:p w14:paraId="40AE3E2C">
      <w:pPr>
        <w:pageBreakBefore w:val="0"/>
        <w:kinsoku/>
        <w:overflowPunct/>
        <w:bidi w:val="0"/>
        <w:spacing w:line="500" w:lineRule="exact"/>
        <w:jc w:val="center"/>
        <w:rPr>
          <w:rFonts w:ascii="宋体" w:hAnsi="宋体" w:cs="宋体"/>
          <w:b/>
          <w:sz w:val="24"/>
          <w:highlight w:val="none"/>
        </w:rPr>
      </w:pPr>
    </w:p>
    <w:p w14:paraId="4EF4A4B4">
      <w:pPr>
        <w:pageBreakBefore w:val="0"/>
        <w:kinsoku/>
        <w:overflowPunct/>
        <w:bidi w:val="0"/>
        <w:spacing w:line="500" w:lineRule="exact"/>
        <w:jc w:val="center"/>
        <w:rPr>
          <w:rFonts w:ascii="宋体" w:hAnsi="宋体" w:cs="宋体"/>
          <w:b/>
          <w:sz w:val="24"/>
          <w:highlight w:val="none"/>
        </w:rPr>
      </w:pPr>
    </w:p>
    <w:p w14:paraId="5E43280A">
      <w:pPr>
        <w:pageBreakBefore w:val="0"/>
        <w:kinsoku/>
        <w:overflowPunct/>
        <w:bidi w:val="0"/>
        <w:spacing w:line="500" w:lineRule="exact"/>
        <w:jc w:val="center"/>
        <w:rPr>
          <w:rFonts w:ascii="宋体" w:hAnsi="宋体" w:cs="宋体"/>
          <w:b/>
          <w:sz w:val="24"/>
          <w:highlight w:val="none"/>
        </w:rPr>
      </w:pPr>
    </w:p>
    <w:p w14:paraId="2C57BA62">
      <w:pPr>
        <w:pageBreakBefore w:val="0"/>
        <w:kinsoku/>
        <w:overflowPunct/>
        <w:bidi w:val="0"/>
        <w:spacing w:line="500" w:lineRule="exact"/>
        <w:jc w:val="center"/>
        <w:rPr>
          <w:rFonts w:ascii="宋体" w:hAnsi="宋体" w:cs="宋体"/>
          <w:b/>
          <w:sz w:val="24"/>
          <w:highlight w:val="none"/>
        </w:rPr>
      </w:pPr>
    </w:p>
    <w:p w14:paraId="35BB5E8E">
      <w:pPr>
        <w:pageBreakBefore w:val="0"/>
        <w:kinsoku/>
        <w:overflowPunct/>
        <w:bidi w:val="0"/>
        <w:spacing w:line="500" w:lineRule="exact"/>
        <w:jc w:val="center"/>
        <w:rPr>
          <w:rFonts w:ascii="宋体" w:hAnsi="宋体" w:cs="宋体"/>
          <w:b/>
          <w:sz w:val="24"/>
          <w:highlight w:val="none"/>
        </w:rPr>
      </w:pPr>
    </w:p>
    <w:p w14:paraId="56327B04">
      <w:pPr>
        <w:pageBreakBefore w:val="0"/>
        <w:kinsoku/>
        <w:overflowPunct/>
        <w:bidi w:val="0"/>
        <w:spacing w:line="500" w:lineRule="exact"/>
        <w:jc w:val="center"/>
        <w:rPr>
          <w:rFonts w:ascii="宋体" w:hAnsi="宋体" w:cs="宋体"/>
          <w:b/>
          <w:sz w:val="24"/>
          <w:highlight w:val="none"/>
        </w:rPr>
      </w:pPr>
    </w:p>
    <w:p w14:paraId="10BD4EF1">
      <w:pPr>
        <w:pageBreakBefore w:val="0"/>
        <w:kinsoku/>
        <w:overflowPunct/>
        <w:bidi w:val="0"/>
        <w:spacing w:line="500" w:lineRule="exact"/>
        <w:jc w:val="center"/>
        <w:rPr>
          <w:rFonts w:ascii="宋体" w:hAnsi="宋体" w:cs="宋体"/>
          <w:b/>
          <w:sz w:val="24"/>
          <w:highlight w:val="none"/>
        </w:rPr>
      </w:pPr>
    </w:p>
    <w:p w14:paraId="7929E8CA">
      <w:pPr>
        <w:pageBreakBefore w:val="0"/>
        <w:kinsoku/>
        <w:overflowPunct/>
        <w:bidi w:val="0"/>
        <w:spacing w:line="500" w:lineRule="exact"/>
        <w:jc w:val="center"/>
        <w:rPr>
          <w:rFonts w:ascii="宋体" w:hAnsi="宋体" w:cs="宋体"/>
          <w:b/>
          <w:sz w:val="24"/>
          <w:highlight w:val="none"/>
        </w:rPr>
      </w:pPr>
    </w:p>
    <w:p w14:paraId="51713420">
      <w:pPr>
        <w:pageBreakBefore w:val="0"/>
        <w:kinsoku/>
        <w:overflowPunct/>
        <w:bidi w:val="0"/>
        <w:spacing w:line="500" w:lineRule="exact"/>
        <w:jc w:val="center"/>
        <w:rPr>
          <w:rFonts w:ascii="宋体" w:hAnsi="宋体" w:cs="宋体"/>
          <w:b/>
          <w:sz w:val="24"/>
          <w:highlight w:val="none"/>
        </w:rPr>
      </w:pPr>
    </w:p>
    <w:p w14:paraId="679330AB">
      <w:pPr>
        <w:pageBreakBefore w:val="0"/>
        <w:kinsoku/>
        <w:overflowPunct/>
        <w:bidi w:val="0"/>
        <w:spacing w:line="500" w:lineRule="exact"/>
        <w:jc w:val="center"/>
        <w:rPr>
          <w:rFonts w:ascii="宋体" w:hAnsi="宋体" w:cs="宋体"/>
          <w:b/>
          <w:sz w:val="24"/>
          <w:highlight w:val="none"/>
        </w:rPr>
      </w:pPr>
    </w:p>
    <w:p w14:paraId="35160B1A">
      <w:pPr>
        <w:pageBreakBefore w:val="0"/>
        <w:kinsoku/>
        <w:overflowPunct/>
        <w:bidi w:val="0"/>
        <w:spacing w:line="500" w:lineRule="exact"/>
        <w:jc w:val="center"/>
        <w:rPr>
          <w:rFonts w:ascii="宋体" w:hAnsi="宋体" w:cs="宋体"/>
          <w:b/>
          <w:sz w:val="24"/>
          <w:highlight w:val="none"/>
        </w:rPr>
      </w:pPr>
    </w:p>
    <w:p w14:paraId="3BAD2F90">
      <w:pPr>
        <w:pageBreakBefore w:val="0"/>
        <w:kinsoku/>
        <w:overflowPunct/>
        <w:bidi w:val="0"/>
        <w:spacing w:line="500" w:lineRule="exact"/>
        <w:jc w:val="center"/>
        <w:rPr>
          <w:rFonts w:ascii="宋体" w:hAnsi="宋体" w:cs="宋体"/>
          <w:b/>
          <w:sz w:val="24"/>
          <w:highlight w:val="none"/>
        </w:rPr>
      </w:pPr>
    </w:p>
    <w:p w14:paraId="5CCB53DE">
      <w:pPr>
        <w:pageBreakBefore w:val="0"/>
        <w:kinsoku/>
        <w:overflowPunct/>
        <w:bidi w:val="0"/>
        <w:spacing w:line="500" w:lineRule="exact"/>
        <w:jc w:val="center"/>
        <w:rPr>
          <w:rFonts w:ascii="宋体" w:hAnsi="宋体" w:cs="宋体"/>
          <w:b/>
          <w:sz w:val="24"/>
          <w:highlight w:val="none"/>
        </w:rPr>
      </w:pPr>
    </w:p>
    <w:p w14:paraId="474B33A4">
      <w:pPr>
        <w:pageBreakBefore w:val="0"/>
        <w:kinsoku/>
        <w:overflowPunct/>
        <w:bidi w:val="0"/>
        <w:spacing w:line="500" w:lineRule="exact"/>
        <w:jc w:val="center"/>
        <w:rPr>
          <w:rFonts w:ascii="宋体" w:hAnsi="宋体" w:cs="宋体"/>
          <w:b/>
          <w:sz w:val="24"/>
          <w:highlight w:val="none"/>
        </w:rPr>
      </w:pPr>
    </w:p>
    <w:p w14:paraId="04070C89">
      <w:pPr>
        <w:pageBreakBefore w:val="0"/>
        <w:kinsoku/>
        <w:overflowPunct/>
        <w:bidi w:val="0"/>
        <w:spacing w:line="500" w:lineRule="exact"/>
        <w:jc w:val="center"/>
        <w:rPr>
          <w:rFonts w:ascii="宋体" w:hAnsi="宋体" w:cs="宋体"/>
          <w:b/>
          <w:sz w:val="24"/>
          <w:highlight w:val="none"/>
        </w:rPr>
      </w:pPr>
    </w:p>
    <w:p w14:paraId="52C7295C">
      <w:pPr>
        <w:pageBreakBefore w:val="0"/>
        <w:kinsoku/>
        <w:overflowPunct/>
        <w:bidi w:val="0"/>
        <w:spacing w:line="500" w:lineRule="exact"/>
        <w:jc w:val="center"/>
        <w:rPr>
          <w:rFonts w:ascii="宋体" w:hAnsi="宋体" w:cs="宋体"/>
          <w:b/>
          <w:sz w:val="24"/>
          <w:highlight w:val="none"/>
        </w:rPr>
      </w:pPr>
    </w:p>
    <w:p w14:paraId="40B508BD">
      <w:pPr>
        <w:pageBreakBefore w:val="0"/>
        <w:kinsoku/>
        <w:overflowPunct/>
        <w:bidi w:val="0"/>
        <w:spacing w:line="500" w:lineRule="exact"/>
        <w:jc w:val="center"/>
        <w:rPr>
          <w:rFonts w:ascii="宋体" w:hAnsi="宋体" w:cs="宋体"/>
          <w:b/>
          <w:sz w:val="24"/>
          <w:highlight w:val="none"/>
        </w:rPr>
      </w:pPr>
    </w:p>
    <w:p w14:paraId="78E405F7">
      <w:pPr>
        <w:pageBreakBefore w:val="0"/>
        <w:kinsoku/>
        <w:overflowPunct/>
        <w:bidi w:val="0"/>
        <w:spacing w:line="500" w:lineRule="exact"/>
        <w:jc w:val="center"/>
        <w:rPr>
          <w:rFonts w:ascii="宋体" w:hAnsi="宋体" w:cs="宋体"/>
          <w:b/>
          <w:sz w:val="24"/>
          <w:highlight w:val="none"/>
        </w:rPr>
      </w:pPr>
    </w:p>
    <w:p w14:paraId="728F40E9">
      <w:pPr>
        <w:pageBreakBefore w:val="0"/>
        <w:kinsoku/>
        <w:overflowPunct/>
        <w:bidi w:val="0"/>
        <w:spacing w:line="500" w:lineRule="exact"/>
        <w:jc w:val="center"/>
        <w:rPr>
          <w:rFonts w:ascii="宋体" w:hAnsi="宋体" w:cs="宋体"/>
          <w:b/>
          <w:sz w:val="24"/>
          <w:highlight w:val="none"/>
        </w:rPr>
      </w:pPr>
    </w:p>
    <w:p w14:paraId="7373FBA3">
      <w:pPr>
        <w:pageBreakBefore w:val="0"/>
        <w:kinsoku/>
        <w:overflowPunct/>
        <w:bidi w:val="0"/>
        <w:spacing w:line="500" w:lineRule="exact"/>
        <w:jc w:val="both"/>
        <w:rPr>
          <w:rFonts w:ascii="宋体" w:hAnsi="宋体" w:cs="宋体"/>
          <w:b/>
          <w:sz w:val="24"/>
          <w:highlight w:val="none"/>
        </w:rPr>
      </w:pPr>
    </w:p>
    <w:p w14:paraId="099D6404">
      <w:pPr>
        <w:pStyle w:val="24"/>
        <w:rPr>
          <w:rFonts w:ascii="宋体" w:hAnsi="宋体" w:cs="宋体"/>
          <w:b/>
          <w:sz w:val="24"/>
          <w:highlight w:val="none"/>
        </w:rPr>
      </w:pPr>
    </w:p>
    <w:p w14:paraId="25D4E6EE">
      <w:pPr>
        <w:pStyle w:val="25"/>
        <w:rPr>
          <w:highlight w:val="none"/>
        </w:rPr>
      </w:pPr>
    </w:p>
    <w:p w14:paraId="30C196B9">
      <w:pPr>
        <w:pageBreakBefore w:val="0"/>
        <w:kinsoku/>
        <w:overflowPunct/>
        <w:bidi w:val="0"/>
        <w:spacing w:line="500" w:lineRule="exact"/>
        <w:jc w:val="center"/>
        <w:rPr>
          <w:rFonts w:ascii="宋体" w:hAnsi="宋体" w:cs="宋体"/>
          <w:b/>
          <w:sz w:val="24"/>
          <w:highlight w:val="none"/>
        </w:rPr>
      </w:pPr>
      <w:r>
        <w:rPr>
          <w:rFonts w:hint="eastAsia" w:ascii="宋体" w:hAnsi="宋体" w:cs="宋体"/>
          <w:b/>
          <w:sz w:val="24"/>
          <w:highlight w:val="none"/>
        </w:rPr>
        <w:t>（三）近三年完成的类似项目情况表</w:t>
      </w:r>
      <w:bookmarkEnd w:id="383"/>
    </w:p>
    <w:tbl>
      <w:tblPr>
        <w:tblStyle w:val="26"/>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6778"/>
      </w:tblGrid>
      <w:tr w14:paraId="5D2A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2C9D2BB7">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项目名称</w:t>
            </w:r>
          </w:p>
        </w:tc>
        <w:tc>
          <w:tcPr>
            <w:tcW w:w="6778" w:type="dxa"/>
            <w:tcBorders>
              <w:top w:val="single" w:color="auto" w:sz="4" w:space="0"/>
              <w:left w:val="nil"/>
              <w:bottom w:val="single" w:color="auto" w:sz="4" w:space="0"/>
              <w:right w:val="single" w:color="auto" w:sz="4" w:space="0"/>
            </w:tcBorders>
          </w:tcPr>
          <w:p w14:paraId="1FB68B0B">
            <w:pPr>
              <w:pageBreakBefore w:val="0"/>
              <w:kinsoku/>
              <w:overflowPunct/>
              <w:topLinePunct/>
              <w:bidi w:val="0"/>
              <w:spacing w:line="500" w:lineRule="exact"/>
              <w:rPr>
                <w:rFonts w:ascii="宋体" w:hAnsi="宋体" w:cs="宋体"/>
                <w:sz w:val="24"/>
                <w:highlight w:val="none"/>
              </w:rPr>
            </w:pPr>
          </w:p>
        </w:tc>
      </w:tr>
      <w:tr w14:paraId="1AD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7044303D">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项目所在地</w:t>
            </w:r>
          </w:p>
        </w:tc>
        <w:tc>
          <w:tcPr>
            <w:tcW w:w="6778" w:type="dxa"/>
            <w:tcBorders>
              <w:top w:val="single" w:color="auto" w:sz="4" w:space="0"/>
              <w:left w:val="nil"/>
              <w:bottom w:val="single" w:color="auto" w:sz="4" w:space="0"/>
              <w:right w:val="single" w:color="auto" w:sz="4" w:space="0"/>
            </w:tcBorders>
          </w:tcPr>
          <w:p w14:paraId="6335BFA5">
            <w:pPr>
              <w:pageBreakBefore w:val="0"/>
              <w:kinsoku/>
              <w:overflowPunct/>
              <w:topLinePunct/>
              <w:bidi w:val="0"/>
              <w:spacing w:line="500" w:lineRule="exact"/>
              <w:rPr>
                <w:rFonts w:ascii="宋体" w:hAnsi="宋体" w:cs="宋体"/>
                <w:sz w:val="24"/>
                <w:highlight w:val="none"/>
              </w:rPr>
            </w:pPr>
          </w:p>
        </w:tc>
      </w:tr>
      <w:tr w14:paraId="720C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76A83820">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采购人名称</w:t>
            </w:r>
          </w:p>
        </w:tc>
        <w:tc>
          <w:tcPr>
            <w:tcW w:w="6778" w:type="dxa"/>
            <w:tcBorders>
              <w:top w:val="single" w:color="auto" w:sz="4" w:space="0"/>
              <w:left w:val="nil"/>
              <w:bottom w:val="single" w:color="auto" w:sz="4" w:space="0"/>
              <w:right w:val="single" w:color="auto" w:sz="4" w:space="0"/>
            </w:tcBorders>
          </w:tcPr>
          <w:p w14:paraId="3443AF51">
            <w:pPr>
              <w:pageBreakBefore w:val="0"/>
              <w:kinsoku/>
              <w:overflowPunct/>
              <w:topLinePunct/>
              <w:bidi w:val="0"/>
              <w:spacing w:line="500" w:lineRule="exact"/>
              <w:rPr>
                <w:rFonts w:ascii="宋体" w:hAnsi="宋体" w:cs="宋体"/>
                <w:sz w:val="24"/>
                <w:highlight w:val="none"/>
              </w:rPr>
            </w:pPr>
          </w:p>
        </w:tc>
      </w:tr>
      <w:tr w14:paraId="3887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37476A51">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采购人地址</w:t>
            </w:r>
          </w:p>
        </w:tc>
        <w:tc>
          <w:tcPr>
            <w:tcW w:w="6778" w:type="dxa"/>
            <w:tcBorders>
              <w:top w:val="single" w:color="auto" w:sz="4" w:space="0"/>
              <w:left w:val="nil"/>
              <w:bottom w:val="single" w:color="auto" w:sz="4" w:space="0"/>
              <w:right w:val="single" w:color="auto" w:sz="4" w:space="0"/>
            </w:tcBorders>
          </w:tcPr>
          <w:p w14:paraId="2226F97D">
            <w:pPr>
              <w:pageBreakBefore w:val="0"/>
              <w:kinsoku/>
              <w:overflowPunct/>
              <w:topLinePunct/>
              <w:bidi w:val="0"/>
              <w:spacing w:line="500" w:lineRule="exact"/>
              <w:rPr>
                <w:rFonts w:ascii="宋体" w:hAnsi="宋体" w:cs="宋体"/>
                <w:sz w:val="24"/>
                <w:highlight w:val="none"/>
              </w:rPr>
            </w:pPr>
          </w:p>
        </w:tc>
      </w:tr>
      <w:tr w14:paraId="1397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7A9551E8">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采购人电话</w:t>
            </w:r>
          </w:p>
        </w:tc>
        <w:tc>
          <w:tcPr>
            <w:tcW w:w="6778" w:type="dxa"/>
            <w:tcBorders>
              <w:top w:val="single" w:color="auto" w:sz="4" w:space="0"/>
              <w:left w:val="nil"/>
              <w:bottom w:val="single" w:color="auto" w:sz="4" w:space="0"/>
              <w:right w:val="single" w:color="auto" w:sz="4" w:space="0"/>
            </w:tcBorders>
          </w:tcPr>
          <w:p w14:paraId="4A58F94A">
            <w:pPr>
              <w:pageBreakBefore w:val="0"/>
              <w:kinsoku/>
              <w:overflowPunct/>
              <w:topLinePunct/>
              <w:bidi w:val="0"/>
              <w:spacing w:line="500" w:lineRule="exact"/>
              <w:rPr>
                <w:rFonts w:ascii="宋体" w:hAnsi="宋体" w:cs="宋体"/>
                <w:sz w:val="24"/>
                <w:highlight w:val="none"/>
              </w:rPr>
            </w:pPr>
          </w:p>
        </w:tc>
      </w:tr>
      <w:tr w14:paraId="6CD5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3391F80E">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合同价格</w:t>
            </w:r>
          </w:p>
        </w:tc>
        <w:tc>
          <w:tcPr>
            <w:tcW w:w="6778" w:type="dxa"/>
            <w:tcBorders>
              <w:top w:val="single" w:color="auto" w:sz="4" w:space="0"/>
              <w:left w:val="nil"/>
              <w:bottom w:val="single" w:color="auto" w:sz="4" w:space="0"/>
              <w:right w:val="single" w:color="auto" w:sz="4" w:space="0"/>
            </w:tcBorders>
          </w:tcPr>
          <w:p w14:paraId="6659FE12">
            <w:pPr>
              <w:pageBreakBefore w:val="0"/>
              <w:kinsoku/>
              <w:overflowPunct/>
              <w:topLinePunct/>
              <w:bidi w:val="0"/>
              <w:spacing w:line="500" w:lineRule="exact"/>
              <w:rPr>
                <w:rFonts w:ascii="宋体" w:hAnsi="宋体" w:cs="宋体"/>
                <w:sz w:val="24"/>
                <w:highlight w:val="none"/>
              </w:rPr>
            </w:pPr>
          </w:p>
        </w:tc>
      </w:tr>
      <w:tr w14:paraId="07DC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02359BD2">
            <w:pPr>
              <w:pageBreakBefore w:val="0"/>
              <w:kinsoku/>
              <w:overflowPunct/>
              <w:topLinePunct/>
              <w:bidi w:val="0"/>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交货期</w:t>
            </w:r>
          </w:p>
        </w:tc>
        <w:tc>
          <w:tcPr>
            <w:tcW w:w="6778" w:type="dxa"/>
            <w:tcBorders>
              <w:top w:val="single" w:color="auto" w:sz="4" w:space="0"/>
              <w:left w:val="nil"/>
              <w:bottom w:val="single" w:color="auto" w:sz="4" w:space="0"/>
              <w:right w:val="single" w:color="auto" w:sz="4" w:space="0"/>
            </w:tcBorders>
            <w:vAlign w:val="center"/>
          </w:tcPr>
          <w:p w14:paraId="472F28DC">
            <w:pPr>
              <w:pageBreakBefore w:val="0"/>
              <w:kinsoku/>
              <w:overflowPunct/>
              <w:topLinePunct/>
              <w:bidi w:val="0"/>
              <w:spacing w:line="500" w:lineRule="exact"/>
              <w:jc w:val="center"/>
              <w:rPr>
                <w:rFonts w:ascii="宋体" w:hAnsi="宋体" w:cs="宋体"/>
                <w:sz w:val="24"/>
                <w:highlight w:val="none"/>
              </w:rPr>
            </w:pPr>
          </w:p>
        </w:tc>
      </w:tr>
      <w:tr w14:paraId="5A65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5D9BCD49">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采购内容</w:t>
            </w:r>
          </w:p>
        </w:tc>
        <w:tc>
          <w:tcPr>
            <w:tcW w:w="6778" w:type="dxa"/>
            <w:tcBorders>
              <w:top w:val="single" w:color="auto" w:sz="4" w:space="0"/>
              <w:left w:val="nil"/>
              <w:bottom w:val="single" w:color="auto" w:sz="4" w:space="0"/>
              <w:right w:val="single" w:color="auto" w:sz="4" w:space="0"/>
            </w:tcBorders>
          </w:tcPr>
          <w:p w14:paraId="6E58C719">
            <w:pPr>
              <w:pageBreakBefore w:val="0"/>
              <w:kinsoku/>
              <w:overflowPunct/>
              <w:topLinePunct/>
              <w:bidi w:val="0"/>
              <w:spacing w:line="500" w:lineRule="exact"/>
              <w:rPr>
                <w:rFonts w:ascii="宋体" w:hAnsi="宋体" w:cs="宋体"/>
                <w:sz w:val="24"/>
                <w:highlight w:val="none"/>
              </w:rPr>
            </w:pPr>
          </w:p>
        </w:tc>
      </w:tr>
      <w:tr w14:paraId="059D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4DB0A56B">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质量</w:t>
            </w:r>
          </w:p>
        </w:tc>
        <w:tc>
          <w:tcPr>
            <w:tcW w:w="6778" w:type="dxa"/>
            <w:tcBorders>
              <w:top w:val="single" w:color="auto" w:sz="4" w:space="0"/>
              <w:left w:val="nil"/>
              <w:bottom w:val="single" w:color="auto" w:sz="4" w:space="0"/>
              <w:right w:val="single" w:color="auto" w:sz="4" w:space="0"/>
            </w:tcBorders>
          </w:tcPr>
          <w:p w14:paraId="43AE80CB">
            <w:pPr>
              <w:pageBreakBefore w:val="0"/>
              <w:kinsoku/>
              <w:overflowPunct/>
              <w:topLinePunct/>
              <w:bidi w:val="0"/>
              <w:spacing w:line="500" w:lineRule="exact"/>
              <w:rPr>
                <w:rFonts w:ascii="宋体" w:hAnsi="宋体" w:cs="宋体"/>
                <w:sz w:val="24"/>
                <w:highlight w:val="none"/>
              </w:rPr>
            </w:pPr>
          </w:p>
        </w:tc>
      </w:tr>
      <w:tr w14:paraId="6863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14:paraId="147F10EA">
            <w:pPr>
              <w:pageBreakBefore w:val="0"/>
              <w:kinsoku/>
              <w:overflowPunct/>
              <w:topLinePunct/>
              <w:bidi w:val="0"/>
              <w:spacing w:line="500" w:lineRule="exact"/>
              <w:jc w:val="center"/>
              <w:rPr>
                <w:rFonts w:ascii="宋体" w:hAnsi="宋体" w:cs="宋体"/>
                <w:sz w:val="24"/>
                <w:highlight w:val="none"/>
              </w:rPr>
            </w:pPr>
            <w:r>
              <w:rPr>
                <w:rFonts w:hint="eastAsia" w:ascii="宋体" w:hAnsi="宋体" w:cs="宋体"/>
                <w:sz w:val="24"/>
                <w:highlight w:val="none"/>
              </w:rPr>
              <w:t>备注</w:t>
            </w:r>
          </w:p>
        </w:tc>
        <w:tc>
          <w:tcPr>
            <w:tcW w:w="6778" w:type="dxa"/>
            <w:tcBorders>
              <w:top w:val="single" w:color="auto" w:sz="4" w:space="0"/>
              <w:left w:val="nil"/>
              <w:bottom w:val="single" w:color="auto" w:sz="4" w:space="0"/>
              <w:right w:val="single" w:color="auto" w:sz="4" w:space="0"/>
            </w:tcBorders>
          </w:tcPr>
          <w:p w14:paraId="65A1496F">
            <w:pPr>
              <w:pageBreakBefore w:val="0"/>
              <w:kinsoku/>
              <w:overflowPunct/>
              <w:topLinePunct/>
              <w:bidi w:val="0"/>
              <w:spacing w:line="500" w:lineRule="exact"/>
              <w:rPr>
                <w:rFonts w:ascii="宋体" w:hAnsi="宋体" w:cs="宋体"/>
                <w:sz w:val="24"/>
                <w:highlight w:val="none"/>
              </w:rPr>
            </w:pPr>
          </w:p>
        </w:tc>
      </w:tr>
    </w:tbl>
    <w:p w14:paraId="4669EAC2">
      <w:pPr>
        <w:pageBreakBefore w:val="0"/>
        <w:kinsoku/>
        <w:overflowPunct/>
        <w:bidi w:val="0"/>
        <w:spacing w:line="500" w:lineRule="exact"/>
        <w:rPr>
          <w:rFonts w:hint="eastAsia" w:ascii="宋体" w:hAnsi="宋体" w:cs="宋体"/>
          <w:sz w:val="24"/>
          <w:highlight w:val="none"/>
        </w:rPr>
      </w:pPr>
      <w:r>
        <w:rPr>
          <w:rFonts w:hint="eastAsia" w:ascii="宋体" w:hAnsi="宋体" w:cs="宋体"/>
          <w:sz w:val="24"/>
          <w:highlight w:val="none"/>
        </w:rPr>
        <w:t>注：后附证明材料。</w:t>
      </w:r>
    </w:p>
    <w:p w14:paraId="1BEF28E6">
      <w:pPr>
        <w:pageBreakBefore w:val="0"/>
        <w:kinsoku/>
        <w:overflowPunct/>
        <w:bidi w:val="0"/>
        <w:spacing w:line="500" w:lineRule="exact"/>
        <w:rPr>
          <w:highlight w:val="none"/>
        </w:rPr>
      </w:pPr>
    </w:p>
    <w:p w14:paraId="312F2055">
      <w:pPr>
        <w:pageBreakBefore w:val="0"/>
        <w:kinsoku/>
        <w:overflowPunct/>
        <w:bidi w:val="0"/>
        <w:spacing w:line="500" w:lineRule="exact"/>
        <w:rPr>
          <w:highlight w:val="none"/>
        </w:rPr>
      </w:pPr>
    </w:p>
    <w:p w14:paraId="253EF1A4">
      <w:pPr>
        <w:pageBreakBefore w:val="0"/>
        <w:kinsoku/>
        <w:overflowPunct/>
        <w:bidi w:val="0"/>
        <w:spacing w:line="500" w:lineRule="exact"/>
        <w:rPr>
          <w:highlight w:val="none"/>
        </w:rPr>
      </w:pPr>
    </w:p>
    <w:p w14:paraId="666A92D1">
      <w:pPr>
        <w:pageBreakBefore w:val="0"/>
        <w:kinsoku/>
        <w:overflowPunct/>
        <w:bidi w:val="0"/>
        <w:spacing w:line="500" w:lineRule="exact"/>
        <w:rPr>
          <w:highlight w:val="none"/>
        </w:rPr>
      </w:pPr>
    </w:p>
    <w:p w14:paraId="0454806B">
      <w:pPr>
        <w:pageBreakBefore w:val="0"/>
        <w:kinsoku/>
        <w:overflowPunct/>
        <w:bidi w:val="0"/>
        <w:spacing w:line="500" w:lineRule="exact"/>
        <w:rPr>
          <w:highlight w:val="none"/>
        </w:rPr>
      </w:pPr>
    </w:p>
    <w:p w14:paraId="4E1DC7E3">
      <w:pPr>
        <w:pageBreakBefore w:val="0"/>
        <w:kinsoku/>
        <w:overflowPunct/>
        <w:bidi w:val="0"/>
        <w:spacing w:line="500" w:lineRule="exact"/>
        <w:rPr>
          <w:rFonts w:ascii="宋体" w:hAnsi="宋体" w:cs="宋体"/>
          <w:szCs w:val="21"/>
          <w:highlight w:val="none"/>
        </w:rPr>
      </w:pPr>
    </w:p>
    <w:p w14:paraId="787F7500">
      <w:pPr>
        <w:pageBreakBefore w:val="0"/>
        <w:kinsoku/>
        <w:overflowPunct/>
        <w:autoSpaceDE w:val="0"/>
        <w:autoSpaceDN w:val="0"/>
        <w:bidi w:val="0"/>
        <w:snapToGrid w:val="0"/>
        <w:spacing w:line="500" w:lineRule="exact"/>
        <w:jc w:val="center"/>
        <w:rPr>
          <w:rFonts w:ascii="Times New Roman" w:hAnsi="Times New Roman"/>
          <w:b/>
          <w:sz w:val="24"/>
          <w:highlight w:val="none"/>
        </w:rPr>
      </w:pPr>
      <w:bookmarkStart w:id="384" w:name="page84"/>
      <w:bookmarkEnd w:id="384"/>
      <w:bookmarkStart w:id="385" w:name="_Toc9414_WPSOffice_Level1"/>
      <w:bookmarkStart w:id="386" w:name="_Toc24310_WPSOffice_Level1"/>
      <w:bookmarkStart w:id="387" w:name="_Toc522798875"/>
      <w:bookmarkStart w:id="388" w:name="_Toc30046_WPSOffice_Level1"/>
      <w:r>
        <w:rPr>
          <w:rFonts w:hint="eastAsia" w:ascii="Times New Roman" w:hAnsi="Times New Roman"/>
          <w:b/>
          <w:sz w:val="24"/>
          <w:highlight w:val="none"/>
        </w:rPr>
        <w:t>（四）</w:t>
      </w:r>
      <w:r>
        <w:rPr>
          <w:rFonts w:hint="eastAsia" w:ascii="宋体" w:hAnsi="宋体" w:cs="宋体"/>
          <w:b/>
          <w:sz w:val="24"/>
          <w:highlight w:val="none"/>
        </w:rPr>
        <w:t>近三年发生的诉讼及仲裁情况</w:t>
      </w:r>
    </w:p>
    <w:p w14:paraId="09052157">
      <w:pPr>
        <w:pageBreakBefore w:val="0"/>
        <w:kinsoku/>
        <w:overflowPunct/>
        <w:autoSpaceDE w:val="0"/>
        <w:autoSpaceDN w:val="0"/>
        <w:bidi w:val="0"/>
        <w:snapToGrid w:val="0"/>
        <w:spacing w:line="500" w:lineRule="exact"/>
        <w:ind w:left="561" w:firstLine="480" w:firstLineChars="200"/>
        <w:jc w:val="left"/>
        <w:rPr>
          <w:rFonts w:ascii="宋体" w:hAnsi="宋体" w:cs="宋体"/>
          <w:b/>
          <w:kern w:val="0"/>
          <w:sz w:val="24"/>
          <w:highlight w:val="none"/>
        </w:rPr>
      </w:pPr>
      <w:r>
        <w:rPr>
          <w:rFonts w:hint="eastAsia" w:ascii="宋体" w:hAnsi="宋体" w:cs="宋体"/>
          <w:kern w:val="0"/>
          <w:sz w:val="24"/>
          <w:highlight w:val="none"/>
        </w:rPr>
        <w:t>“近年发生的诉讼及仲裁情况”及应附的一些相关材料，包括判决、裁决等法律文件的复印件，应按时间先后次序编排相关文件。</w:t>
      </w:r>
      <w:r>
        <w:rPr>
          <w:rFonts w:hint="eastAsia" w:ascii="宋体" w:hAnsi="宋体" w:cs="宋体"/>
          <w:b/>
          <w:kern w:val="0"/>
          <w:sz w:val="24"/>
          <w:highlight w:val="none"/>
        </w:rPr>
        <w:t>有一项填一份材料，没有的就直接写“无”。</w:t>
      </w:r>
    </w:p>
    <w:p w14:paraId="6A03E7F7">
      <w:pPr>
        <w:pageBreakBefore w:val="0"/>
        <w:kinsoku/>
        <w:overflowPunct/>
        <w:bidi w:val="0"/>
        <w:spacing w:line="500" w:lineRule="exact"/>
        <w:rPr>
          <w:highlight w:val="none"/>
        </w:rPr>
      </w:pPr>
    </w:p>
    <w:p w14:paraId="34B67FF8">
      <w:pPr>
        <w:pageBreakBefore w:val="0"/>
        <w:kinsoku/>
        <w:overflowPunct/>
        <w:bidi w:val="0"/>
        <w:spacing w:line="500" w:lineRule="exact"/>
        <w:rPr>
          <w:highlight w:val="none"/>
        </w:rPr>
      </w:pPr>
    </w:p>
    <w:p w14:paraId="35EBF974">
      <w:pPr>
        <w:pageBreakBefore w:val="0"/>
        <w:kinsoku/>
        <w:overflowPunct/>
        <w:bidi w:val="0"/>
        <w:spacing w:line="500" w:lineRule="exact"/>
        <w:rPr>
          <w:highlight w:val="none"/>
        </w:rPr>
      </w:pPr>
    </w:p>
    <w:p w14:paraId="4E8E60FF">
      <w:pPr>
        <w:pageBreakBefore w:val="0"/>
        <w:kinsoku/>
        <w:overflowPunct/>
        <w:bidi w:val="0"/>
        <w:spacing w:line="500" w:lineRule="exact"/>
        <w:rPr>
          <w:highlight w:val="none"/>
        </w:rPr>
      </w:pPr>
      <w:bookmarkStart w:id="389" w:name="_Toc15427_WPSOffice_Level1"/>
      <w:bookmarkStart w:id="390" w:name="_Toc21138"/>
      <w:bookmarkStart w:id="391" w:name="_Toc25873_WPSOffice_Level1"/>
      <w:bookmarkStart w:id="392" w:name="_Toc6140_WPSOffice_Level1"/>
      <w:bookmarkStart w:id="393" w:name="_Toc13936_WPSOffice_Level1"/>
    </w:p>
    <w:p w14:paraId="7B303B18">
      <w:pPr>
        <w:pageBreakBefore w:val="0"/>
        <w:kinsoku/>
        <w:overflowPunct/>
        <w:bidi w:val="0"/>
        <w:spacing w:line="500" w:lineRule="exact"/>
        <w:rPr>
          <w:highlight w:val="none"/>
        </w:rPr>
      </w:pPr>
    </w:p>
    <w:p w14:paraId="65124FBE">
      <w:pPr>
        <w:pageBreakBefore w:val="0"/>
        <w:kinsoku/>
        <w:overflowPunct/>
        <w:bidi w:val="0"/>
        <w:spacing w:line="500" w:lineRule="exact"/>
        <w:rPr>
          <w:highlight w:val="none"/>
        </w:rPr>
      </w:pPr>
    </w:p>
    <w:p w14:paraId="67D9677C">
      <w:pPr>
        <w:pageBreakBefore w:val="0"/>
        <w:kinsoku/>
        <w:overflowPunct/>
        <w:bidi w:val="0"/>
        <w:spacing w:line="500" w:lineRule="exact"/>
        <w:rPr>
          <w:highlight w:val="none"/>
        </w:rPr>
      </w:pPr>
    </w:p>
    <w:p w14:paraId="6C3F8858">
      <w:pPr>
        <w:pageBreakBefore w:val="0"/>
        <w:kinsoku/>
        <w:overflowPunct/>
        <w:bidi w:val="0"/>
        <w:spacing w:line="500" w:lineRule="exact"/>
        <w:rPr>
          <w:highlight w:val="none"/>
        </w:rPr>
      </w:pPr>
    </w:p>
    <w:p w14:paraId="70AD4E24">
      <w:pPr>
        <w:pageBreakBefore w:val="0"/>
        <w:kinsoku/>
        <w:overflowPunct/>
        <w:bidi w:val="0"/>
        <w:spacing w:line="500" w:lineRule="exact"/>
        <w:rPr>
          <w:highlight w:val="none"/>
        </w:rPr>
      </w:pPr>
    </w:p>
    <w:p w14:paraId="50C59EBF">
      <w:pPr>
        <w:pageBreakBefore w:val="0"/>
        <w:kinsoku/>
        <w:overflowPunct/>
        <w:bidi w:val="0"/>
        <w:spacing w:line="500" w:lineRule="exact"/>
        <w:rPr>
          <w:highlight w:val="none"/>
        </w:rPr>
      </w:pPr>
    </w:p>
    <w:p w14:paraId="219266AA">
      <w:pPr>
        <w:pageBreakBefore w:val="0"/>
        <w:kinsoku/>
        <w:overflowPunct/>
        <w:bidi w:val="0"/>
        <w:spacing w:line="500" w:lineRule="exact"/>
        <w:rPr>
          <w:highlight w:val="none"/>
        </w:rPr>
      </w:pPr>
    </w:p>
    <w:p w14:paraId="73A75DA5">
      <w:pPr>
        <w:pageBreakBefore w:val="0"/>
        <w:kinsoku/>
        <w:overflowPunct/>
        <w:bidi w:val="0"/>
        <w:spacing w:line="500" w:lineRule="exact"/>
        <w:rPr>
          <w:highlight w:val="none"/>
        </w:rPr>
      </w:pPr>
    </w:p>
    <w:p w14:paraId="40DFA235">
      <w:pPr>
        <w:pageBreakBefore w:val="0"/>
        <w:kinsoku/>
        <w:overflowPunct/>
        <w:bidi w:val="0"/>
        <w:spacing w:line="500" w:lineRule="exact"/>
        <w:rPr>
          <w:highlight w:val="none"/>
        </w:rPr>
      </w:pPr>
    </w:p>
    <w:p w14:paraId="08EC8390">
      <w:pPr>
        <w:pageBreakBefore w:val="0"/>
        <w:kinsoku/>
        <w:overflowPunct/>
        <w:bidi w:val="0"/>
        <w:spacing w:line="500" w:lineRule="exact"/>
        <w:rPr>
          <w:highlight w:val="none"/>
        </w:rPr>
      </w:pPr>
    </w:p>
    <w:p w14:paraId="20BC0E2D">
      <w:pPr>
        <w:pageBreakBefore w:val="0"/>
        <w:kinsoku/>
        <w:overflowPunct/>
        <w:bidi w:val="0"/>
        <w:spacing w:line="500" w:lineRule="exact"/>
        <w:rPr>
          <w:highlight w:val="none"/>
        </w:rPr>
      </w:pPr>
    </w:p>
    <w:p w14:paraId="6B1D825F">
      <w:pPr>
        <w:pageBreakBefore w:val="0"/>
        <w:kinsoku/>
        <w:overflowPunct/>
        <w:bidi w:val="0"/>
        <w:spacing w:line="500" w:lineRule="exact"/>
        <w:rPr>
          <w:highlight w:val="none"/>
        </w:rPr>
      </w:pPr>
    </w:p>
    <w:p w14:paraId="0213687A">
      <w:pPr>
        <w:pageBreakBefore w:val="0"/>
        <w:kinsoku/>
        <w:overflowPunct/>
        <w:bidi w:val="0"/>
        <w:spacing w:line="500" w:lineRule="exact"/>
        <w:rPr>
          <w:highlight w:val="none"/>
        </w:rPr>
      </w:pPr>
    </w:p>
    <w:p w14:paraId="45C109D1">
      <w:pPr>
        <w:pageBreakBefore w:val="0"/>
        <w:kinsoku/>
        <w:overflowPunct/>
        <w:bidi w:val="0"/>
        <w:spacing w:line="500" w:lineRule="exact"/>
        <w:rPr>
          <w:highlight w:val="none"/>
        </w:rPr>
      </w:pPr>
    </w:p>
    <w:p w14:paraId="230B371C">
      <w:pPr>
        <w:pageBreakBefore w:val="0"/>
        <w:kinsoku/>
        <w:overflowPunct/>
        <w:bidi w:val="0"/>
        <w:spacing w:line="500" w:lineRule="exact"/>
        <w:rPr>
          <w:highlight w:val="none"/>
        </w:rPr>
      </w:pPr>
    </w:p>
    <w:p w14:paraId="0850030B">
      <w:pPr>
        <w:pageBreakBefore w:val="0"/>
        <w:kinsoku/>
        <w:overflowPunct/>
        <w:bidi w:val="0"/>
        <w:spacing w:line="500" w:lineRule="exact"/>
        <w:rPr>
          <w:highlight w:val="none"/>
        </w:rPr>
      </w:pPr>
    </w:p>
    <w:p w14:paraId="58F21A15">
      <w:pPr>
        <w:pageBreakBefore w:val="0"/>
        <w:kinsoku/>
        <w:overflowPunct/>
        <w:bidi w:val="0"/>
        <w:spacing w:line="500" w:lineRule="exact"/>
        <w:rPr>
          <w:highlight w:val="none"/>
        </w:rPr>
      </w:pPr>
    </w:p>
    <w:p w14:paraId="4D37638A">
      <w:pPr>
        <w:pageBreakBefore w:val="0"/>
        <w:kinsoku/>
        <w:overflowPunct/>
        <w:bidi w:val="0"/>
        <w:spacing w:line="500" w:lineRule="exact"/>
        <w:rPr>
          <w:highlight w:val="none"/>
        </w:rPr>
      </w:pPr>
    </w:p>
    <w:p w14:paraId="73BF98F6">
      <w:pPr>
        <w:pageBreakBefore w:val="0"/>
        <w:kinsoku/>
        <w:overflowPunct/>
        <w:bidi w:val="0"/>
        <w:spacing w:line="500" w:lineRule="exact"/>
        <w:rPr>
          <w:highlight w:val="none"/>
        </w:rPr>
      </w:pPr>
    </w:p>
    <w:p w14:paraId="0B8E4EAD">
      <w:pPr>
        <w:pageBreakBefore w:val="0"/>
        <w:kinsoku/>
        <w:overflowPunct/>
        <w:bidi w:val="0"/>
        <w:spacing w:line="500" w:lineRule="exact"/>
        <w:ind w:left="420"/>
        <w:jc w:val="center"/>
        <w:outlineLvl w:val="0"/>
        <w:rPr>
          <w:rFonts w:ascii="宋体" w:hAnsi="宋体" w:cs="宋体"/>
          <w:b/>
          <w:sz w:val="30"/>
          <w:szCs w:val="30"/>
          <w:highlight w:val="none"/>
        </w:rPr>
      </w:pPr>
      <w:bookmarkStart w:id="394" w:name="_Toc11406"/>
      <w:r>
        <w:rPr>
          <w:rFonts w:hint="eastAsia" w:ascii="宋体" w:hAnsi="宋体" w:cs="宋体"/>
          <w:b/>
          <w:sz w:val="30"/>
          <w:szCs w:val="30"/>
          <w:highlight w:val="none"/>
          <w:lang w:eastAsia="zh-CN"/>
        </w:rPr>
        <w:t>五</w:t>
      </w:r>
      <w:r>
        <w:rPr>
          <w:rFonts w:hint="eastAsia" w:ascii="宋体" w:hAnsi="宋体" w:cs="宋体"/>
          <w:b/>
          <w:sz w:val="30"/>
          <w:szCs w:val="30"/>
          <w:highlight w:val="none"/>
        </w:rPr>
        <w:t>、</w:t>
      </w:r>
      <w:r>
        <w:rPr>
          <w:rFonts w:hint="eastAsia" w:ascii="宋体" w:hAnsi="宋体" w:cs="宋体"/>
          <w:b/>
          <w:sz w:val="30"/>
          <w:szCs w:val="30"/>
          <w:highlight w:val="none"/>
          <w:lang w:eastAsia="zh-CN"/>
        </w:rPr>
        <w:t>技术</w:t>
      </w:r>
      <w:r>
        <w:rPr>
          <w:rFonts w:hint="eastAsia" w:ascii="宋体" w:hAnsi="宋体" w:cs="宋体"/>
          <w:b/>
          <w:sz w:val="30"/>
          <w:szCs w:val="30"/>
          <w:highlight w:val="none"/>
        </w:rPr>
        <w:t>方案</w:t>
      </w:r>
      <w:bookmarkEnd w:id="385"/>
      <w:bookmarkEnd w:id="386"/>
      <w:bookmarkEnd w:id="387"/>
      <w:bookmarkEnd w:id="388"/>
      <w:bookmarkEnd w:id="389"/>
      <w:bookmarkEnd w:id="390"/>
      <w:bookmarkEnd w:id="391"/>
      <w:bookmarkEnd w:id="392"/>
      <w:bookmarkEnd w:id="393"/>
      <w:bookmarkEnd w:id="394"/>
    </w:p>
    <w:p w14:paraId="685B515A">
      <w:pPr>
        <w:pageBreakBefore w:val="0"/>
        <w:kinsoku/>
        <w:overflowPunct/>
        <w:bidi w:val="0"/>
        <w:spacing w:line="500" w:lineRule="exact"/>
        <w:jc w:val="center"/>
        <w:rPr>
          <w:rFonts w:ascii="宋体" w:hAnsi="宋体" w:cs="宋体"/>
          <w:szCs w:val="21"/>
          <w:highlight w:val="none"/>
        </w:rPr>
      </w:pPr>
    </w:p>
    <w:p w14:paraId="63730ED1">
      <w:pPr>
        <w:pageBreakBefore w:val="0"/>
        <w:kinsoku/>
        <w:overflowPunct/>
        <w:bidi w:val="0"/>
        <w:spacing w:line="500" w:lineRule="exact"/>
        <w:jc w:val="center"/>
        <w:rPr>
          <w:rFonts w:hint="eastAsia"/>
          <w:b/>
          <w:bCs/>
          <w:sz w:val="24"/>
          <w:szCs w:val="22"/>
          <w:highlight w:val="none"/>
          <w:lang w:val="en-US" w:eastAsia="zh-CN"/>
        </w:rPr>
      </w:pPr>
      <w:r>
        <w:rPr>
          <w:rFonts w:hint="eastAsia"/>
          <w:b/>
          <w:bCs/>
          <w:sz w:val="24"/>
          <w:szCs w:val="22"/>
          <w:highlight w:val="none"/>
          <w:lang w:val="en-US" w:eastAsia="zh-CN"/>
        </w:rPr>
        <w:t>（包含但不限于供货方案、质量保证措施等）</w:t>
      </w:r>
    </w:p>
    <w:p w14:paraId="43C109A6">
      <w:pPr>
        <w:pageBreakBefore w:val="0"/>
        <w:kinsoku/>
        <w:overflowPunct/>
        <w:bidi w:val="0"/>
        <w:spacing w:line="500" w:lineRule="exact"/>
        <w:rPr>
          <w:rFonts w:ascii="宋体" w:hAnsi="宋体" w:cs="宋体"/>
          <w:highlight w:val="none"/>
        </w:rPr>
      </w:pPr>
    </w:p>
    <w:p w14:paraId="16FA8AA3">
      <w:pPr>
        <w:pageBreakBefore w:val="0"/>
        <w:kinsoku/>
        <w:overflowPunct/>
        <w:bidi w:val="0"/>
        <w:spacing w:line="500" w:lineRule="exact"/>
        <w:rPr>
          <w:rFonts w:ascii="宋体" w:hAnsi="宋体" w:cs="宋体"/>
          <w:highlight w:val="none"/>
        </w:rPr>
      </w:pPr>
    </w:p>
    <w:p w14:paraId="6E0EF1C9">
      <w:pPr>
        <w:pageBreakBefore w:val="0"/>
        <w:kinsoku/>
        <w:overflowPunct/>
        <w:bidi w:val="0"/>
        <w:spacing w:line="500" w:lineRule="exact"/>
        <w:rPr>
          <w:rFonts w:ascii="宋体" w:hAnsi="宋体" w:cs="宋体"/>
          <w:highlight w:val="none"/>
        </w:rPr>
      </w:pPr>
    </w:p>
    <w:p w14:paraId="10D897BF">
      <w:pPr>
        <w:pageBreakBefore w:val="0"/>
        <w:kinsoku/>
        <w:overflowPunct/>
        <w:bidi w:val="0"/>
        <w:spacing w:line="500" w:lineRule="exact"/>
        <w:rPr>
          <w:rFonts w:ascii="宋体" w:hAnsi="宋体" w:cs="宋体"/>
          <w:highlight w:val="none"/>
        </w:rPr>
      </w:pPr>
      <w:bookmarkStart w:id="395" w:name="page89"/>
      <w:bookmarkEnd w:id="395"/>
    </w:p>
    <w:p w14:paraId="55B86AA9">
      <w:pPr>
        <w:pStyle w:val="2"/>
        <w:pageBreakBefore w:val="0"/>
        <w:kinsoku/>
        <w:overflowPunct/>
        <w:bidi w:val="0"/>
        <w:spacing w:line="500" w:lineRule="exact"/>
        <w:rPr>
          <w:rFonts w:ascii="宋体" w:hAnsi="宋体" w:cs="宋体"/>
          <w:b/>
          <w:sz w:val="30"/>
          <w:szCs w:val="30"/>
          <w:highlight w:val="none"/>
        </w:rPr>
      </w:pPr>
      <w:r>
        <w:rPr>
          <w:rFonts w:hint="eastAsia" w:ascii="宋体" w:hAnsi="宋体" w:cs="宋体"/>
          <w:b/>
          <w:sz w:val="30"/>
          <w:szCs w:val="30"/>
          <w:highlight w:val="none"/>
        </w:rPr>
        <w:br w:type="page"/>
      </w:r>
      <w:bookmarkStart w:id="396" w:name="_Toc19584_WPSOffice_Level1"/>
      <w:bookmarkEnd w:id="396"/>
      <w:bookmarkStart w:id="397" w:name="_Toc521998014"/>
      <w:bookmarkEnd w:id="397"/>
      <w:bookmarkStart w:id="398" w:name="_Toc1256_WPSOffice_Level1"/>
      <w:bookmarkEnd w:id="398"/>
      <w:bookmarkStart w:id="399" w:name="_Toc522085810"/>
      <w:bookmarkEnd w:id="399"/>
      <w:bookmarkStart w:id="400" w:name="_Toc522798786"/>
      <w:bookmarkEnd w:id="400"/>
      <w:bookmarkStart w:id="401" w:name="_Toc11279_WPSOffice_Level1"/>
      <w:bookmarkEnd w:id="401"/>
      <w:bookmarkStart w:id="402" w:name="_Toc7619_WPSOffice_Level1"/>
      <w:bookmarkStart w:id="403" w:name="_Toc7115_WPSOffice_Level1"/>
      <w:bookmarkStart w:id="404" w:name="_Toc6136_WPSOffice_Level1"/>
      <w:bookmarkStart w:id="405" w:name="_Toc522798876"/>
      <w:bookmarkStart w:id="406" w:name="_Toc9122"/>
      <w:bookmarkStart w:id="407" w:name="_Toc19510_WPSOffice_Level1"/>
      <w:bookmarkStart w:id="408" w:name="_Toc4672_WPSOffice_Level1"/>
      <w:bookmarkStart w:id="409" w:name="_Toc1254_WPSOffice_Level1"/>
      <w:bookmarkStart w:id="410" w:name="_Toc31485_WPSOffice_Level1"/>
      <w:r>
        <w:rPr>
          <w:rFonts w:hint="eastAsia" w:ascii="宋体" w:hAnsi="宋体" w:cs="宋体"/>
          <w:b/>
          <w:sz w:val="30"/>
          <w:szCs w:val="30"/>
          <w:highlight w:val="none"/>
          <w:lang w:eastAsia="zh-CN"/>
        </w:rPr>
        <w:t>六、售后服务</w:t>
      </w:r>
      <w:bookmarkEnd w:id="402"/>
      <w:bookmarkEnd w:id="403"/>
      <w:bookmarkEnd w:id="404"/>
      <w:bookmarkEnd w:id="405"/>
      <w:bookmarkEnd w:id="406"/>
      <w:bookmarkEnd w:id="407"/>
      <w:bookmarkEnd w:id="408"/>
      <w:bookmarkEnd w:id="409"/>
      <w:bookmarkEnd w:id="410"/>
      <w:r>
        <w:rPr>
          <w:rFonts w:hint="eastAsia" w:ascii="宋体" w:hAnsi="宋体" w:cs="宋体"/>
          <w:b/>
          <w:sz w:val="30"/>
          <w:szCs w:val="30"/>
          <w:highlight w:val="none"/>
          <w:lang w:eastAsia="zh-CN"/>
        </w:rPr>
        <w:t>承诺</w:t>
      </w:r>
    </w:p>
    <w:p w14:paraId="4D974A13">
      <w:pPr>
        <w:pStyle w:val="11"/>
        <w:pageBreakBefore w:val="0"/>
        <w:kinsoku/>
        <w:overflowPunct/>
        <w:bidi w:val="0"/>
        <w:spacing w:line="500" w:lineRule="exact"/>
        <w:jc w:val="center"/>
        <w:rPr>
          <w:rFonts w:hAnsi="宋体"/>
          <w:color w:val="auto"/>
          <w:highlight w:val="none"/>
        </w:rPr>
      </w:pPr>
      <w:r>
        <w:rPr>
          <w:rFonts w:hint="eastAsia" w:hAnsi="宋体"/>
          <w:color w:val="auto"/>
          <w:highlight w:val="none"/>
        </w:rPr>
        <w:t xml:space="preserve">     （根据项目情况格式自拟）</w:t>
      </w:r>
    </w:p>
    <w:p w14:paraId="462343AB">
      <w:pPr>
        <w:pageBreakBefore w:val="0"/>
        <w:kinsoku/>
        <w:overflowPunct/>
        <w:bidi w:val="0"/>
        <w:spacing w:line="500" w:lineRule="exact"/>
        <w:rPr>
          <w:rFonts w:ascii="宋体" w:hAnsi="宋体" w:cs="宋体"/>
          <w:szCs w:val="21"/>
          <w:highlight w:val="none"/>
        </w:rPr>
      </w:pPr>
    </w:p>
    <w:p w14:paraId="0FAE9B99">
      <w:pPr>
        <w:pageBreakBefore w:val="0"/>
        <w:kinsoku/>
        <w:overflowPunct/>
        <w:bidi w:val="0"/>
        <w:spacing w:line="500" w:lineRule="exact"/>
        <w:rPr>
          <w:rFonts w:ascii="宋体" w:hAnsi="宋体" w:cs="宋体"/>
          <w:highlight w:val="none"/>
        </w:rPr>
      </w:pPr>
    </w:p>
    <w:p w14:paraId="6C4F1824">
      <w:pPr>
        <w:pageBreakBefore w:val="0"/>
        <w:kinsoku/>
        <w:overflowPunct/>
        <w:bidi w:val="0"/>
        <w:spacing w:line="500" w:lineRule="exact"/>
        <w:rPr>
          <w:rFonts w:ascii="宋体" w:hAnsi="宋体" w:cs="宋体"/>
          <w:highlight w:val="none"/>
        </w:rPr>
      </w:pPr>
    </w:p>
    <w:p w14:paraId="465F7C6C">
      <w:pPr>
        <w:pageBreakBefore w:val="0"/>
        <w:kinsoku/>
        <w:overflowPunct/>
        <w:bidi w:val="0"/>
        <w:spacing w:line="500" w:lineRule="exact"/>
        <w:rPr>
          <w:rFonts w:ascii="宋体" w:hAnsi="宋体" w:cs="宋体"/>
          <w:highlight w:val="none"/>
        </w:rPr>
      </w:pPr>
    </w:p>
    <w:p w14:paraId="0E9D0331">
      <w:pPr>
        <w:pageBreakBefore w:val="0"/>
        <w:kinsoku/>
        <w:overflowPunct/>
        <w:bidi w:val="0"/>
        <w:spacing w:line="500" w:lineRule="exact"/>
        <w:rPr>
          <w:rFonts w:ascii="宋体" w:hAnsi="宋体" w:cs="宋体"/>
          <w:highlight w:val="none"/>
        </w:rPr>
      </w:pPr>
    </w:p>
    <w:p w14:paraId="064F5C96">
      <w:pPr>
        <w:pageBreakBefore w:val="0"/>
        <w:kinsoku/>
        <w:overflowPunct/>
        <w:bidi w:val="0"/>
        <w:spacing w:line="500" w:lineRule="exact"/>
        <w:rPr>
          <w:rFonts w:ascii="宋体" w:hAnsi="宋体" w:cs="宋体"/>
          <w:highlight w:val="none"/>
        </w:rPr>
      </w:pPr>
      <w:bookmarkStart w:id="411" w:name="page90"/>
      <w:bookmarkEnd w:id="411"/>
    </w:p>
    <w:p w14:paraId="20D26C6D">
      <w:pPr>
        <w:pStyle w:val="2"/>
        <w:pageBreakBefore w:val="0"/>
        <w:kinsoku/>
        <w:overflowPunct/>
        <w:bidi w:val="0"/>
        <w:spacing w:line="500" w:lineRule="exact"/>
        <w:rPr>
          <w:rFonts w:hint="eastAsia" w:eastAsia="宋体" w:cs="宋体"/>
          <w:b/>
          <w:iCs/>
          <w:szCs w:val="28"/>
          <w:highlight w:val="none"/>
          <w:lang w:eastAsia="zh-CN"/>
        </w:rPr>
      </w:pPr>
      <w:r>
        <w:rPr>
          <w:rFonts w:hint="eastAsia" w:ascii="宋体" w:hAnsi="宋体" w:cs="宋体"/>
          <w:b/>
          <w:sz w:val="30"/>
          <w:szCs w:val="30"/>
          <w:highlight w:val="none"/>
        </w:rPr>
        <w:br w:type="page"/>
      </w:r>
      <w:bookmarkStart w:id="412" w:name="_Toc521998015"/>
      <w:bookmarkEnd w:id="412"/>
      <w:bookmarkStart w:id="413" w:name="_Toc32431_WPSOffice_Level1"/>
      <w:bookmarkEnd w:id="413"/>
      <w:bookmarkStart w:id="414" w:name="_Toc19622_WPSOffice_Level1"/>
      <w:bookmarkEnd w:id="414"/>
      <w:bookmarkStart w:id="415" w:name="_Toc522085811"/>
      <w:bookmarkEnd w:id="415"/>
      <w:bookmarkStart w:id="416" w:name="_Toc497301919"/>
      <w:bookmarkEnd w:id="416"/>
      <w:bookmarkStart w:id="417" w:name="_Toc522798787"/>
      <w:bookmarkEnd w:id="417"/>
      <w:bookmarkStart w:id="418" w:name="_Toc12759_WPSOffice_Level1"/>
      <w:bookmarkEnd w:id="418"/>
      <w:bookmarkStart w:id="419" w:name="_Toc12859_WPSOffice_Level1"/>
      <w:bookmarkStart w:id="420" w:name="_Toc4039_WPSOffice_Level1"/>
      <w:bookmarkStart w:id="421" w:name="_Toc5367_WPSOffice_Level1"/>
      <w:bookmarkStart w:id="422" w:name="_Toc31647_WPSOffice_Level1"/>
      <w:bookmarkStart w:id="423" w:name="_Toc8448_WPSOffice_Level1"/>
      <w:bookmarkStart w:id="424" w:name="_Toc522798877"/>
      <w:bookmarkStart w:id="425" w:name="_Toc16232_WPSOffice_Level1"/>
      <w:bookmarkStart w:id="426" w:name="_Toc32188"/>
      <w:bookmarkStart w:id="427" w:name="_Toc23309_WPSOffice_Level1"/>
      <w:r>
        <w:rPr>
          <w:rFonts w:hint="eastAsia" w:ascii="宋体" w:hAnsi="宋体" w:cs="宋体"/>
          <w:b/>
          <w:sz w:val="30"/>
          <w:szCs w:val="30"/>
          <w:highlight w:val="none"/>
          <w:lang w:val="en-US" w:eastAsia="zh-CN"/>
        </w:rPr>
        <w:t>七</w:t>
      </w:r>
      <w:r>
        <w:rPr>
          <w:rFonts w:hint="eastAsia" w:ascii="宋体" w:hAnsi="宋体" w:cs="宋体"/>
          <w:b/>
          <w:sz w:val="30"/>
          <w:szCs w:val="30"/>
          <w:highlight w:val="none"/>
          <w:lang w:eastAsia="zh-CN"/>
        </w:rPr>
        <w:t>、</w:t>
      </w:r>
      <w:bookmarkEnd w:id="419"/>
      <w:bookmarkEnd w:id="420"/>
      <w:bookmarkEnd w:id="421"/>
      <w:bookmarkEnd w:id="422"/>
      <w:bookmarkEnd w:id="423"/>
      <w:bookmarkEnd w:id="424"/>
      <w:bookmarkEnd w:id="425"/>
      <w:bookmarkEnd w:id="426"/>
      <w:bookmarkEnd w:id="427"/>
      <w:bookmarkStart w:id="428" w:name="_Toc11081_WPSOffice_Level1"/>
      <w:bookmarkEnd w:id="428"/>
      <w:bookmarkStart w:id="429" w:name="_Toc3143_WPSOffice_Level1"/>
      <w:bookmarkEnd w:id="429"/>
      <w:bookmarkStart w:id="430" w:name="_Toc7416"/>
      <w:r>
        <w:rPr>
          <w:rFonts w:hint="eastAsia" w:cs="宋体"/>
          <w:b/>
          <w:iCs/>
          <w:szCs w:val="28"/>
          <w:highlight w:val="none"/>
        </w:rPr>
        <w:t>中小微企业声明函</w:t>
      </w:r>
      <w:bookmarkEnd w:id="430"/>
      <w:r>
        <w:rPr>
          <w:rFonts w:hint="eastAsia" w:cs="宋体"/>
          <w:b/>
          <w:iCs/>
          <w:szCs w:val="28"/>
          <w:highlight w:val="none"/>
          <w:lang w:eastAsia="zh-CN"/>
        </w:rPr>
        <w:t>（</w:t>
      </w:r>
      <w:r>
        <w:rPr>
          <w:rFonts w:hint="eastAsia" w:cs="宋体"/>
          <w:b/>
          <w:iCs/>
          <w:szCs w:val="28"/>
          <w:highlight w:val="none"/>
          <w:lang w:val="en-US" w:eastAsia="zh-CN"/>
        </w:rPr>
        <w:t>若有</w:t>
      </w:r>
      <w:r>
        <w:rPr>
          <w:rFonts w:hint="eastAsia" w:cs="宋体"/>
          <w:b/>
          <w:iCs/>
          <w:szCs w:val="28"/>
          <w:highlight w:val="none"/>
          <w:lang w:eastAsia="zh-CN"/>
        </w:rPr>
        <w:t>）</w:t>
      </w:r>
    </w:p>
    <w:p w14:paraId="16DA6B8F">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本公司（联合体）</w:t>
      </w:r>
      <w:r>
        <w:rPr>
          <w:rFonts w:hint="eastAsia" w:ascii="宋体" w:hAnsi="宋体" w:cs="宋体"/>
          <w:bCs/>
          <w:iCs/>
          <w:sz w:val="24"/>
          <w:highlight w:val="none"/>
          <w:u w:val="single"/>
          <w:lang w:val="en-US" w:eastAsia="zh-CN"/>
        </w:rPr>
        <w:t xml:space="preserve">              </w:t>
      </w:r>
      <w:r>
        <w:rPr>
          <w:rFonts w:hint="eastAsia" w:ascii="宋体" w:hAnsi="宋体" w:cs="宋体"/>
          <w:bCs/>
          <w:iCs/>
          <w:sz w:val="24"/>
          <w:highlight w:val="none"/>
        </w:rPr>
        <w:t>郑重声明， 根据《政府采购促进中小企业发展管理办法》（财库﹝ 2020﹞ 46 号） 的规定， 本公司（联合体） 参加</w:t>
      </w:r>
      <w:r>
        <w:rPr>
          <w:rFonts w:hint="eastAsia" w:ascii="宋体" w:hAnsi="宋体" w:cs="宋体"/>
          <w:bCs/>
          <w:iCs/>
          <w:sz w:val="24"/>
          <w:highlight w:val="none"/>
          <w:u w:val="single"/>
        </w:rPr>
        <w:t>（单位名称）</w:t>
      </w:r>
      <w:r>
        <w:rPr>
          <w:rFonts w:hint="eastAsia" w:ascii="宋体" w:hAnsi="宋体" w:cs="宋体"/>
          <w:bCs/>
          <w:iCs/>
          <w:sz w:val="24"/>
          <w:highlight w:val="none"/>
        </w:rPr>
        <w:t>的</w:t>
      </w:r>
      <w:r>
        <w:rPr>
          <w:rFonts w:hint="eastAsia" w:ascii="宋体" w:hAnsi="宋体" w:cs="宋体"/>
          <w:bCs/>
          <w:iCs/>
          <w:sz w:val="24"/>
          <w:highlight w:val="none"/>
          <w:u w:val="single"/>
          <w:lang w:eastAsia="zh-CN"/>
        </w:rPr>
        <w:t>（项目名称）</w:t>
      </w:r>
      <w:r>
        <w:rPr>
          <w:rFonts w:hint="eastAsia" w:ascii="宋体" w:hAnsi="宋体" w:cs="宋体"/>
          <w:bCs/>
          <w:iCs/>
          <w:sz w:val="24"/>
          <w:highlight w:val="none"/>
        </w:rPr>
        <w:t xml:space="preserve"> 采购活动， 提供的货物全部由符合政策要求的中小企业制造。 相关企业（含联合体中的中小企业、 签订分包意向协议的中小企业）的具体情况如下：</w:t>
      </w:r>
    </w:p>
    <w:p w14:paraId="18BCC16F">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 xml:space="preserve">1. </w:t>
      </w:r>
      <w:r>
        <w:rPr>
          <w:rFonts w:hint="eastAsia" w:ascii="宋体" w:hAnsi="宋体" w:cs="宋体"/>
          <w:bCs/>
          <w:iCs/>
          <w:sz w:val="24"/>
          <w:highlight w:val="none"/>
          <w:u w:val="single"/>
        </w:rPr>
        <w:t>（标的名称）</w:t>
      </w:r>
      <w:r>
        <w:rPr>
          <w:rFonts w:hint="eastAsia" w:ascii="宋体" w:hAnsi="宋体" w:cs="宋体"/>
          <w:bCs/>
          <w:iCs/>
          <w:sz w:val="24"/>
          <w:highlight w:val="none"/>
        </w:rPr>
        <w:t xml:space="preserve"> ， 属于</w:t>
      </w:r>
      <w:r>
        <w:rPr>
          <w:rFonts w:hint="eastAsia" w:ascii="宋体" w:hAnsi="宋体" w:cs="宋体"/>
          <w:bCs/>
          <w:iCs/>
          <w:sz w:val="24"/>
          <w:highlight w:val="none"/>
          <w:u w:val="single"/>
        </w:rPr>
        <w:t>（采购文件中明确的所属行业）</w:t>
      </w:r>
      <w:r>
        <w:rPr>
          <w:rFonts w:hint="eastAsia" w:ascii="宋体" w:hAnsi="宋体" w:cs="宋体"/>
          <w:bCs/>
          <w:iCs/>
          <w:sz w:val="24"/>
          <w:highlight w:val="none"/>
        </w:rPr>
        <w:t>行业； 制造商为</w:t>
      </w:r>
      <w:r>
        <w:rPr>
          <w:rFonts w:hint="eastAsia" w:ascii="宋体" w:hAnsi="宋体" w:cs="宋体"/>
          <w:bCs/>
          <w:iCs/>
          <w:sz w:val="24"/>
          <w:highlight w:val="none"/>
          <w:u w:val="single"/>
        </w:rPr>
        <w:t>（ 企业名称）</w:t>
      </w:r>
      <w:r>
        <w:rPr>
          <w:rFonts w:hint="eastAsia" w:ascii="宋体" w:hAnsi="宋体" w:cs="宋体"/>
          <w:bCs/>
          <w:iCs/>
          <w:sz w:val="24"/>
          <w:highlight w:val="none"/>
        </w:rPr>
        <w:t>， 从业人员</w:t>
      </w:r>
      <w:r>
        <w:rPr>
          <w:rFonts w:hint="eastAsia" w:ascii="宋体" w:hAnsi="宋体" w:cs="宋体"/>
          <w:bCs/>
          <w:iCs/>
          <w:sz w:val="24"/>
          <w:highlight w:val="none"/>
          <w:u w:val="single"/>
        </w:rPr>
        <w:t xml:space="preserve">   </w:t>
      </w:r>
      <w:r>
        <w:rPr>
          <w:rFonts w:hint="eastAsia" w:ascii="宋体" w:hAnsi="宋体" w:cs="宋体"/>
          <w:bCs/>
          <w:iCs/>
          <w:sz w:val="24"/>
          <w:highlight w:val="none"/>
        </w:rPr>
        <w:t>人， 营业收入为</w:t>
      </w:r>
      <w:r>
        <w:rPr>
          <w:rFonts w:hint="eastAsia" w:ascii="宋体" w:hAnsi="宋体" w:cs="宋体"/>
          <w:bCs/>
          <w:iCs/>
          <w:sz w:val="24"/>
          <w:highlight w:val="none"/>
          <w:u w:val="single"/>
        </w:rPr>
        <w:t xml:space="preserve">   </w:t>
      </w:r>
      <w:r>
        <w:rPr>
          <w:rFonts w:hint="eastAsia" w:ascii="宋体" w:hAnsi="宋体" w:cs="宋体"/>
          <w:bCs/>
          <w:iCs/>
          <w:sz w:val="24"/>
          <w:highlight w:val="none"/>
        </w:rPr>
        <w:t>万元， 资产总额为</w:t>
      </w:r>
      <w:r>
        <w:rPr>
          <w:rFonts w:hint="eastAsia" w:ascii="宋体" w:hAnsi="宋体" w:cs="宋体"/>
          <w:bCs/>
          <w:iCs/>
          <w:sz w:val="24"/>
          <w:highlight w:val="none"/>
          <w:u w:val="single"/>
        </w:rPr>
        <w:t xml:space="preserve">   </w:t>
      </w:r>
      <w:r>
        <w:rPr>
          <w:rFonts w:hint="eastAsia" w:ascii="宋体" w:hAnsi="宋体" w:cs="宋体"/>
          <w:bCs/>
          <w:iCs/>
          <w:sz w:val="24"/>
          <w:highlight w:val="none"/>
        </w:rPr>
        <w:t>万元， 属于</w:t>
      </w:r>
      <w:r>
        <w:rPr>
          <w:rFonts w:hint="eastAsia" w:ascii="宋体" w:hAnsi="宋体" w:cs="宋体"/>
          <w:bCs/>
          <w:iCs/>
          <w:sz w:val="24"/>
          <w:highlight w:val="none"/>
          <w:u w:val="single"/>
        </w:rPr>
        <w:t>（中型企业、 小型企业、 微型企业）</w:t>
      </w:r>
      <w:r>
        <w:rPr>
          <w:rFonts w:hint="eastAsia" w:ascii="宋体" w:hAnsi="宋体" w:cs="宋体"/>
          <w:bCs/>
          <w:iCs/>
          <w:sz w:val="24"/>
          <w:highlight w:val="none"/>
        </w:rPr>
        <w:t>；</w:t>
      </w:r>
    </w:p>
    <w:p w14:paraId="69D5A256">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 xml:space="preserve">2. </w:t>
      </w:r>
      <w:r>
        <w:rPr>
          <w:rFonts w:hint="eastAsia" w:ascii="宋体" w:hAnsi="宋体" w:cs="宋体"/>
          <w:bCs/>
          <w:iCs/>
          <w:sz w:val="24"/>
          <w:highlight w:val="none"/>
          <w:u w:val="single"/>
        </w:rPr>
        <w:t xml:space="preserve">（标的名称） </w:t>
      </w:r>
      <w:r>
        <w:rPr>
          <w:rFonts w:hint="eastAsia" w:ascii="宋体" w:hAnsi="宋体" w:cs="宋体"/>
          <w:bCs/>
          <w:iCs/>
          <w:sz w:val="24"/>
          <w:highlight w:val="none"/>
        </w:rPr>
        <w:t>， 属于</w:t>
      </w:r>
      <w:r>
        <w:rPr>
          <w:rFonts w:hint="eastAsia" w:ascii="宋体" w:hAnsi="宋体" w:cs="宋体"/>
          <w:bCs/>
          <w:iCs/>
          <w:sz w:val="24"/>
          <w:highlight w:val="none"/>
          <w:u w:val="single"/>
        </w:rPr>
        <w:t>（采购文件中明确的所属行业）</w:t>
      </w:r>
      <w:r>
        <w:rPr>
          <w:rFonts w:hint="eastAsia" w:ascii="宋体" w:hAnsi="宋体" w:cs="宋体"/>
          <w:bCs/>
          <w:iCs/>
          <w:sz w:val="24"/>
          <w:highlight w:val="none"/>
        </w:rPr>
        <w:t>行业； 制造商为</w:t>
      </w:r>
      <w:r>
        <w:rPr>
          <w:rFonts w:hint="eastAsia" w:ascii="宋体" w:hAnsi="宋体" w:cs="宋体"/>
          <w:bCs/>
          <w:iCs/>
          <w:sz w:val="24"/>
          <w:highlight w:val="none"/>
          <w:u w:val="single"/>
        </w:rPr>
        <w:t>（ 企业名称）</w:t>
      </w:r>
      <w:r>
        <w:rPr>
          <w:rFonts w:hint="eastAsia" w:ascii="宋体" w:hAnsi="宋体" w:cs="宋体"/>
          <w:bCs/>
          <w:iCs/>
          <w:sz w:val="24"/>
          <w:highlight w:val="none"/>
        </w:rPr>
        <w:t>， 从业人员</w:t>
      </w:r>
      <w:r>
        <w:rPr>
          <w:rFonts w:hint="eastAsia" w:ascii="宋体" w:hAnsi="宋体" w:cs="宋体"/>
          <w:bCs/>
          <w:iCs/>
          <w:sz w:val="24"/>
          <w:highlight w:val="none"/>
          <w:u w:val="single"/>
        </w:rPr>
        <w:t xml:space="preserve">   </w:t>
      </w:r>
      <w:r>
        <w:rPr>
          <w:rFonts w:hint="eastAsia" w:ascii="宋体" w:hAnsi="宋体" w:cs="宋体"/>
          <w:bCs/>
          <w:iCs/>
          <w:sz w:val="24"/>
          <w:highlight w:val="none"/>
          <w:u w:val="single"/>
          <w:lang w:val="en-US" w:eastAsia="zh-CN"/>
        </w:rPr>
        <w:t xml:space="preserve">  </w:t>
      </w:r>
      <w:r>
        <w:rPr>
          <w:rFonts w:hint="eastAsia" w:ascii="宋体" w:hAnsi="宋体" w:cs="宋体"/>
          <w:bCs/>
          <w:iCs/>
          <w:sz w:val="24"/>
          <w:highlight w:val="none"/>
        </w:rPr>
        <w:t>人， 营业收入为</w:t>
      </w:r>
      <w:r>
        <w:rPr>
          <w:rFonts w:hint="eastAsia" w:ascii="宋体" w:hAnsi="宋体" w:cs="宋体"/>
          <w:bCs/>
          <w:iCs/>
          <w:sz w:val="24"/>
          <w:highlight w:val="none"/>
          <w:u w:val="single"/>
        </w:rPr>
        <w:t xml:space="preserve">   </w:t>
      </w:r>
      <w:r>
        <w:rPr>
          <w:rFonts w:hint="eastAsia" w:ascii="宋体" w:hAnsi="宋体" w:cs="宋体"/>
          <w:bCs/>
          <w:iCs/>
          <w:sz w:val="24"/>
          <w:highlight w:val="none"/>
        </w:rPr>
        <w:t>万元， 资产总额为</w:t>
      </w:r>
      <w:r>
        <w:rPr>
          <w:rFonts w:hint="eastAsia" w:ascii="宋体" w:hAnsi="宋体" w:cs="宋体"/>
          <w:bCs/>
          <w:iCs/>
          <w:sz w:val="24"/>
          <w:highlight w:val="none"/>
          <w:u w:val="single"/>
        </w:rPr>
        <w:t xml:space="preserve">   </w:t>
      </w:r>
      <w:r>
        <w:rPr>
          <w:rFonts w:hint="eastAsia" w:ascii="宋体" w:hAnsi="宋体" w:cs="宋体"/>
          <w:bCs/>
          <w:iCs/>
          <w:sz w:val="24"/>
          <w:highlight w:val="none"/>
        </w:rPr>
        <w:t>万元， 属于</w:t>
      </w:r>
      <w:r>
        <w:rPr>
          <w:rFonts w:hint="eastAsia" w:ascii="宋体" w:hAnsi="宋体" w:cs="宋体"/>
          <w:bCs/>
          <w:iCs/>
          <w:sz w:val="24"/>
          <w:highlight w:val="none"/>
          <w:u w:val="single"/>
        </w:rPr>
        <w:t>（中型企业、 小型企业、 微型企业）</w:t>
      </w:r>
      <w:r>
        <w:rPr>
          <w:rFonts w:hint="eastAsia" w:ascii="宋体" w:hAnsi="宋体" w:cs="宋体"/>
          <w:bCs/>
          <w:iCs/>
          <w:sz w:val="24"/>
          <w:highlight w:val="none"/>
        </w:rPr>
        <w:t>；</w:t>
      </w:r>
    </w:p>
    <w:p w14:paraId="40C752C7">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w:t>
      </w:r>
    </w:p>
    <w:p w14:paraId="4097B234">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以上企业， 不属于大企业的分支机构，不存在控股股东为大企业的情形， 也不存在与大企业的负责人为同一人的情形。</w:t>
      </w:r>
    </w:p>
    <w:p w14:paraId="2EEBBF5D">
      <w:pPr>
        <w:pageBreakBefore w:val="0"/>
        <w:kinsoku/>
        <w:overflowPunct/>
        <w:bidi w:val="0"/>
        <w:spacing w:line="500" w:lineRule="exact"/>
        <w:ind w:firstLine="480" w:firstLineChars="200"/>
        <w:rPr>
          <w:rFonts w:hint="eastAsia" w:ascii="宋体" w:hAnsi="宋体" w:cs="宋体"/>
          <w:bCs/>
          <w:iCs/>
          <w:sz w:val="24"/>
          <w:highlight w:val="none"/>
        </w:rPr>
      </w:pPr>
      <w:r>
        <w:rPr>
          <w:rFonts w:hint="eastAsia" w:ascii="宋体" w:hAnsi="宋体" w:cs="宋体"/>
          <w:bCs/>
          <w:iCs/>
          <w:sz w:val="24"/>
          <w:highlight w:val="none"/>
        </w:rPr>
        <w:t>本企业对上述声明内容的真实性负责。如有虚假， 将依法承担相应责任。</w:t>
      </w:r>
    </w:p>
    <w:p w14:paraId="43FCBCAE">
      <w:pPr>
        <w:pStyle w:val="25"/>
        <w:rPr>
          <w:rFonts w:hint="eastAsia" w:ascii="宋体" w:hAnsi="宋体" w:cs="宋体"/>
          <w:bCs/>
          <w:iCs/>
          <w:sz w:val="24"/>
          <w:highlight w:val="none"/>
        </w:rPr>
      </w:pPr>
    </w:p>
    <w:p w14:paraId="149F5CF5"/>
    <w:p w14:paraId="43A48DB6">
      <w:pPr>
        <w:pageBreakBefore w:val="0"/>
        <w:kinsoku/>
        <w:overflowPunct/>
        <w:bidi w:val="0"/>
        <w:spacing w:line="500" w:lineRule="exact"/>
        <w:ind w:firstLine="480" w:firstLineChars="200"/>
        <w:rPr>
          <w:rFonts w:ascii="宋体" w:hAnsi="宋体" w:cs="宋体"/>
          <w:bCs/>
          <w:iCs/>
          <w:sz w:val="24"/>
          <w:highlight w:val="none"/>
        </w:rPr>
      </w:pPr>
      <w:r>
        <w:rPr>
          <w:rFonts w:hint="eastAsia" w:ascii="宋体" w:hAnsi="宋体" w:cs="宋体"/>
          <w:bCs/>
          <w:iCs/>
          <w:sz w:val="24"/>
          <w:highlight w:val="none"/>
        </w:rPr>
        <w:t>企业名称（盖章）：</w:t>
      </w:r>
    </w:p>
    <w:p w14:paraId="20172570">
      <w:pPr>
        <w:pageBreakBefore w:val="0"/>
        <w:kinsoku/>
        <w:overflowPunct/>
        <w:bidi w:val="0"/>
        <w:spacing w:line="500" w:lineRule="exact"/>
        <w:ind w:firstLine="480" w:firstLineChars="200"/>
        <w:rPr>
          <w:rFonts w:hint="eastAsia" w:ascii="宋体" w:hAnsi="宋体" w:cs="宋体"/>
          <w:bCs/>
          <w:iCs/>
          <w:sz w:val="24"/>
          <w:highlight w:val="none"/>
        </w:rPr>
      </w:pPr>
      <w:r>
        <w:rPr>
          <w:rFonts w:hint="eastAsia" w:ascii="宋体" w:hAnsi="宋体" w:cs="宋体"/>
          <w:bCs/>
          <w:iCs/>
          <w:sz w:val="24"/>
          <w:highlight w:val="none"/>
        </w:rPr>
        <w:t>日 期：</w:t>
      </w:r>
    </w:p>
    <w:p w14:paraId="41523E17">
      <w:pPr>
        <w:pStyle w:val="25"/>
        <w:rPr>
          <w:rFonts w:hint="eastAsia" w:ascii="宋体" w:hAnsi="宋体" w:cs="宋体"/>
          <w:bCs/>
          <w:iCs/>
          <w:sz w:val="24"/>
          <w:highlight w:val="none"/>
        </w:rPr>
      </w:pPr>
    </w:p>
    <w:p w14:paraId="7E330B31"/>
    <w:p w14:paraId="1268AB4A">
      <w:pPr>
        <w:spacing w:line="360" w:lineRule="auto"/>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注：从业人员、营业收入、资产总额填报上一年度数据，无上一年度数据的新成立企业可不填报。</w:t>
      </w:r>
    </w:p>
    <w:p w14:paraId="01C886C0">
      <w:pPr>
        <w:pStyle w:val="25"/>
        <w:rPr>
          <w:rFonts w:hint="eastAsia"/>
        </w:rPr>
      </w:pPr>
    </w:p>
    <w:p w14:paraId="33554F33">
      <w:pPr>
        <w:pStyle w:val="10"/>
        <w:pageBreakBefore w:val="0"/>
        <w:kinsoku/>
        <w:overflowPunct/>
        <w:bidi w:val="0"/>
        <w:spacing w:line="500" w:lineRule="exact"/>
        <w:jc w:val="center"/>
        <w:rPr>
          <w:b/>
          <w:bCs/>
          <w:sz w:val="24"/>
          <w:highlight w:val="none"/>
        </w:rPr>
      </w:pPr>
    </w:p>
    <w:p w14:paraId="76108BF2">
      <w:pPr>
        <w:pStyle w:val="11"/>
        <w:rPr>
          <w:b/>
          <w:bCs/>
          <w:sz w:val="24"/>
          <w:highlight w:val="none"/>
        </w:rPr>
      </w:pPr>
    </w:p>
    <w:p w14:paraId="56F5380E">
      <w:pPr>
        <w:rPr>
          <w:rFonts w:hint="eastAsia" w:eastAsia="宋体"/>
          <w:b/>
          <w:bCs/>
          <w:sz w:val="24"/>
          <w:highlight w:val="none"/>
          <w:lang w:val="en-US" w:eastAsia="zh-CN"/>
        </w:rPr>
      </w:pPr>
      <w:r>
        <w:rPr>
          <w:rFonts w:hint="eastAsia"/>
          <w:b/>
          <w:bCs/>
          <w:sz w:val="24"/>
          <w:highlight w:val="none"/>
          <w:lang w:val="en-US" w:eastAsia="zh-CN"/>
        </w:rPr>
        <w:t>注：本</w:t>
      </w:r>
      <w:r>
        <w:rPr>
          <w:rFonts w:hint="eastAsia" w:eastAsia="宋体" w:cs="Times New Roman"/>
          <w:b/>
          <w:bCs/>
          <w:sz w:val="24"/>
          <w:highlight w:val="none"/>
          <w:lang w:val="en-US" w:eastAsia="zh-CN"/>
        </w:rPr>
        <w:t>项目采购标的对应的中小企业划分标准所属行业：工业</w:t>
      </w:r>
    </w:p>
    <w:p w14:paraId="2C90AD30">
      <w:pPr>
        <w:pStyle w:val="25"/>
        <w:rPr>
          <w:b/>
          <w:bCs/>
          <w:sz w:val="24"/>
          <w:highlight w:val="none"/>
        </w:rPr>
      </w:pPr>
    </w:p>
    <w:p w14:paraId="17FED4E2"/>
    <w:p w14:paraId="5E410C9A">
      <w:pPr>
        <w:pStyle w:val="3"/>
        <w:pageBreakBefore w:val="0"/>
        <w:widowControl/>
        <w:kinsoku/>
        <w:overflowPunct/>
        <w:bidi w:val="0"/>
        <w:spacing w:before="160" w:after="160" w:line="500" w:lineRule="exact"/>
        <w:rPr>
          <w:rFonts w:hint="eastAsia" w:cs="宋体"/>
          <w:b/>
          <w:iCs/>
          <w:szCs w:val="28"/>
          <w:highlight w:val="none"/>
        </w:rPr>
      </w:pPr>
      <w:bookmarkStart w:id="431" w:name="_Toc18758"/>
      <w:bookmarkStart w:id="432" w:name="_Toc14656"/>
      <w:bookmarkStart w:id="433" w:name="_Toc22816"/>
      <w:bookmarkStart w:id="434" w:name="_Toc24343"/>
      <w:bookmarkStart w:id="435" w:name="_Toc25504"/>
      <w:bookmarkStart w:id="436" w:name="_Toc7278"/>
      <w:bookmarkStart w:id="437" w:name="_Toc15388"/>
      <w:bookmarkStart w:id="438" w:name="_Toc22084"/>
      <w:bookmarkStart w:id="439" w:name="_Toc10802"/>
      <w:bookmarkStart w:id="440" w:name="_Toc1407"/>
      <w:bookmarkStart w:id="441" w:name="OLE_LINK14"/>
      <w:bookmarkStart w:id="442" w:name="_Toc25719"/>
      <w:bookmarkStart w:id="443" w:name="_Toc23527"/>
      <w:bookmarkStart w:id="444" w:name="_Toc3686"/>
      <w:bookmarkStart w:id="445" w:name="_Toc21261"/>
      <w:bookmarkStart w:id="446" w:name="_Toc14029"/>
      <w:bookmarkStart w:id="447" w:name="OLE_LINK13"/>
      <w:r>
        <w:rPr>
          <w:rFonts w:hint="eastAsia" w:cs="宋体"/>
          <w:b/>
          <w:iCs/>
          <w:szCs w:val="28"/>
          <w:highlight w:val="none"/>
        </w:rPr>
        <w:t>残疾人福利性单位声明函</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7EA4B34">
      <w:pPr>
        <w:pageBreakBefore w:val="0"/>
        <w:kinsoku/>
        <w:overflowPunct/>
        <w:bidi w:val="0"/>
        <w:spacing w:line="500" w:lineRule="exact"/>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单位的</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47B3AE74">
      <w:pPr>
        <w:pageBreakBefore w:val="0"/>
        <w:kinsoku/>
        <w:overflowPunct/>
        <w:bidi w:val="0"/>
        <w:spacing w:line="500" w:lineRule="exact"/>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14:paraId="4749253F">
      <w:pPr>
        <w:pageBreakBefore w:val="0"/>
        <w:kinsoku/>
        <w:overflowPunct/>
        <w:bidi w:val="0"/>
        <w:spacing w:line="500" w:lineRule="exact"/>
        <w:ind w:firstLine="444" w:firstLineChars="200"/>
        <w:rPr>
          <w:rFonts w:hint="eastAsia" w:ascii="宋体" w:hAnsi="宋体" w:eastAsia="宋体" w:cs="宋体"/>
          <w:color w:val="auto"/>
          <w:spacing w:val="6"/>
          <w:highlight w:val="none"/>
        </w:rPr>
      </w:pPr>
    </w:p>
    <w:p w14:paraId="40B46553">
      <w:pPr>
        <w:pageBreakBefore w:val="0"/>
        <w:tabs>
          <w:tab w:val="left" w:pos="4860"/>
        </w:tabs>
        <w:kinsoku/>
        <w:overflowPunct/>
        <w:bidi w:val="0"/>
        <w:spacing w:line="500" w:lineRule="exact"/>
        <w:ind w:right="1560" w:firstLine="444" w:firstLineChars="200"/>
        <w:jc w:val="center"/>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 xml:space="preserve">               单位名称（盖章）：</w:t>
      </w:r>
      <w:r>
        <w:rPr>
          <w:rFonts w:hint="eastAsia" w:ascii="宋体" w:hAnsi="宋体" w:eastAsia="宋体" w:cs="宋体"/>
          <w:color w:val="auto"/>
          <w:spacing w:val="6"/>
          <w:highlight w:val="none"/>
          <w:u w:val="single"/>
        </w:rPr>
        <w:t xml:space="preserve">                </w:t>
      </w:r>
    </w:p>
    <w:p w14:paraId="14FFABA5">
      <w:pPr>
        <w:pageBreakBefore w:val="0"/>
        <w:tabs>
          <w:tab w:val="left" w:pos="4860"/>
        </w:tabs>
        <w:kinsoku/>
        <w:overflowPunct/>
        <w:bidi w:val="0"/>
        <w:spacing w:line="500" w:lineRule="exact"/>
        <w:ind w:right="1560" w:firstLine="444" w:firstLineChars="20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日  期：</w:t>
      </w:r>
    </w:p>
    <w:p w14:paraId="7C3D8855">
      <w:pPr>
        <w:pageBreakBefore w:val="0"/>
        <w:tabs>
          <w:tab w:val="left" w:pos="840"/>
        </w:tabs>
        <w:kinsoku/>
        <w:overflowPunct/>
        <w:autoSpaceDE w:val="0"/>
        <w:autoSpaceDN w:val="0"/>
        <w:bidi w:val="0"/>
        <w:adjustRightInd w:val="0"/>
        <w:spacing w:line="500" w:lineRule="exact"/>
        <w:jc w:val="center"/>
        <w:rPr>
          <w:rFonts w:hint="eastAsia" w:ascii="宋体" w:hAnsi="宋体" w:eastAsia="宋体" w:cs="宋体"/>
          <w:b/>
          <w:color w:val="auto"/>
          <w:sz w:val="24"/>
          <w:highlight w:val="none"/>
        </w:rPr>
      </w:pPr>
    </w:p>
    <w:p w14:paraId="04D2E62A">
      <w:pPr>
        <w:pageBreakBefore w:val="0"/>
        <w:widowControl/>
        <w:kinsoku/>
        <w:overflowPunct/>
        <w:bidi w:val="0"/>
        <w:spacing w:line="500" w:lineRule="exact"/>
        <w:rPr>
          <w:rFonts w:hint="eastAsia" w:ascii="宋体" w:hAnsi="宋体" w:eastAsia="宋体" w:cs="宋体"/>
          <w:b/>
          <w:color w:val="auto"/>
          <w:highlight w:val="none"/>
        </w:rPr>
      </w:pPr>
      <w:r>
        <w:rPr>
          <w:rFonts w:hint="eastAsia" w:ascii="宋体" w:hAnsi="宋体" w:eastAsia="宋体" w:cs="宋体"/>
          <w:b/>
          <w:color w:val="auto"/>
          <w:highlight w:val="none"/>
        </w:rPr>
        <w:t>（提醒：如果供应商</w:t>
      </w:r>
      <w:r>
        <w:rPr>
          <w:rFonts w:hint="eastAsia" w:ascii="宋体" w:hAnsi="宋体" w:eastAsia="宋体" w:cs="宋体"/>
          <w:b/>
          <w:color w:val="auto"/>
          <w:spacing w:val="10"/>
          <w:kern w:val="0"/>
          <w:highlight w:val="none"/>
        </w:rPr>
        <w:t>不是残疾人福利性单位</w:t>
      </w:r>
      <w:r>
        <w:rPr>
          <w:rFonts w:hint="eastAsia" w:ascii="宋体" w:hAnsi="宋体" w:eastAsia="宋体" w:cs="宋体"/>
          <w:b/>
          <w:color w:val="auto"/>
          <w:highlight w:val="none"/>
        </w:rPr>
        <w:t>，则不需要提供《残疾人福利性单位声明函》。否则，因此导致虚假投标的后果由供应商自行承担。）</w:t>
      </w:r>
    </w:p>
    <w:p w14:paraId="2DB7E050">
      <w:pPr>
        <w:pageBreakBefore w:val="0"/>
        <w:tabs>
          <w:tab w:val="left" w:pos="840"/>
        </w:tabs>
        <w:kinsoku/>
        <w:overflowPunct/>
        <w:autoSpaceDE w:val="0"/>
        <w:autoSpaceDN w:val="0"/>
        <w:bidi w:val="0"/>
        <w:adjustRightInd w:val="0"/>
        <w:spacing w:line="500" w:lineRule="exact"/>
        <w:rPr>
          <w:rFonts w:hint="eastAsia" w:ascii="宋体" w:hAnsi="宋体" w:eastAsia="宋体" w:cs="宋体"/>
          <w:b/>
          <w:color w:val="auto"/>
          <w:sz w:val="24"/>
          <w:highlight w:val="none"/>
        </w:rPr>
      </w:pPr>
    </w:p>
    <w:p w14:paraId="7EE89599">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《财政部民政部中国残疾人联合会关于促进残疾人就业政府采购政策的通知》（财库2017〔141〕号）的规定：</w:t>
      </w:r>
    </w:p>
    <w:p w14:paraId="7B2E34AB">
      <w:pPr>
        <w:pageBreakBefore w:val="0"/>
        <w:kinsoku/>
        <w:overflowPunct/>
        <w:bidi w:val="0"/>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享受政府采购支持政策的残疾人福利性单位应当同时满足以下条件：</w:t>
      </w:r>
    </w:p>
    <w:p w14:paraId="4365340C">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（1）安置的残疾人占本单位在职职工人数的比例不低于25%（含25%），并且安置的残疾人人数不少于10人（含10人）；</w:t>
      </w:r>
    </w:p>
    <w:p w14:paraId="16D10008">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（2）依法与安置的每位残疾人签订了一年以上（含一年）的劳动合同或服务协议；</w:t>
      </w:r>
    </w:p>
    <w:p w14:paraId="46D5C4B1">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（3）为安置的每位残疾人按月足额缴纳了基本养老保险、基本医疗保险、失业保险、工伤保险和生育保险等社会保险费；</w:t>
      </w:r>
    </w:p>
    <w:p w14:paraId="6B00586F">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（4）通过银行等金融机构向安置的每位残疾人，按月支付了不低于单位所在区县适用的经省级人民政府批准的月最低工资标准的工资；</w:t>
      </w:r>
    </w:p>
    <w:p w14:paraId="12B1482F">
      <w:pPr>
        <w:pageBreakBefore w:val="0"/>
        <w:kinsoku/>
        <w:overflowPunct/>
        <w:bidi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（5）提供本单位制造的货物、承担的工程或者服务（以下简称产品），或者提供其他残疾人福利性单位制造的货物（不包括使用非残疾人福利性单位注册商标的货物）。</w:t>
      </w:r>
    </w:p>
    <w:p w14:paraId="2A0BCD13">
      <w:pPr>
        <w:pageBreakBefore w:val="0"/>
        <w:kinsoku/>
        <w:overflowPunct/>
        <w:bidi w:val="0"/>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成交人为残疾人福利性单位的，采购人或者其委托的采购代理机构应当随成交、成交结果同时公告其《残疾人福利性单位声明函》，接受社会监督。   </w:t>
      </w:r>
    </w:p>
    <w:p w14:paraId="7F7858D7">
      <w:pPr>
        <w:pStyle w:val="25"/>
        <w:pageBreakBefore w:val="0"/>
        <w:kinsoku/>
        <w:overflowPunct/>
        <w:bidi w:val="0"/>
        <w:spacing w:line="500" w:lineRule="exact"/>
        <w:rPr>
          <w:b/>
          <w:bCs/>
          <w:sz w:val="28"/>
          <w:szCs w:val="28"/>
          <w:highlight w:val="none"/>
        </w:rPr>
      </w:pPr>
    </w:p>
    <w:p w14:paraId="27D1A071">
      <w:pPr>
        <w:pStyle w:val="3"/>
        <w:pageBreakBefore w:val="0"/>
        <w:numPr>
          <w:ilvl w:val="1"/>
          <w:numId w:val="0"/>
        </w:numPr>
        <w:kinsoku/>
        <w:wordWrap w:val="0"/>
        <w:overflowPunct/>
        <w:topLinePunct/>
        <w:bidi w:val="0"/>
        <w:spacing w:before="0" w:after="0" w:line="500" w:lineRule="exact"/>
        <w:jc w:val="center"/>
        <w:rPr>
          <w:rFonts w:hint="eastAsia" w:ascii="宋体" w:hAnsi="宋体" w:eastAsia="宋体" w:cs="宋体"/>
          <w:szCs w:val="24"/>
          <w:highlight w:val="none"/>
        </w:rPr>
      </w:pPr>
      <w:r>
        <w:rPr>
          <w:rFonts w:hint="eastAsia" w:ascii="宋体" w:hAnsi="宋体" w:eastAsia="宋体" w:cs="宋体"/>
          <w:szCs w:val="24"/>
          <w:highlight w:val="none"/>
        </w:rPr>
        <w:t xml:space="preserve"> 监狱企业证明文件</w:t>
      </w:r>
    </w:p>
    <w:p w14:paraId="423AFFC1">
      <w:pPr>
        <w:pageBreakBefore w:val="0"/>
        <w:kinsoku/>
        <w:overflowPunct/>
        <w:bidi w:val="0"/>
        <w:spacing w:before="120" w:beforeLines="50" w:after="240" w:afterLines="100" w:line="500" w:lineRule="exact"/>
        <w:rPr>
          <w:rFonts w:hint="eastAsia" w:ascii="宋体" w:hAnsi="宋体" w:cs="宋体"/>
          <w:highlight w:val="none"/>
        </w:rPr>
      </w:pPr>
      <w:r>
        <w:rPr>
          <w:rFonts w:hint="eastAsia" w:ascii="宋体" w:hAnsi="宋体" w:cs="宋体"/>
          <w:highlight w:val="none"/>
        </w:rPr>
        <w:t>（监狱企业参加政府采购活动时，应当提供由省级以上监狱管理局、戒毒管理局(含新疆生产建</w:t>
      </w:r>
    </w:p>
    <w:p w14:paraId="5F3E563D">
      <w:pPr>
        <w:pageBreakBefore w:val="0"/>
        <w:kinsoku/>
        <w:overflowPunct/>
        <w:bidi w:val="0"/>
        <w:spacing w:before="120" w:beforeLines="50" w:after="240" w:afterLines="100" w:line="500" w:lineRule="exact"/>
        <w:rPr>
          <w:rFonts w:hint="eastAsia" w:ascii="宋体" w:hAnsi="宋体" w:cs="宋体"/>
          <w:highlight w:val="none"/>
        </w:rPr>
      </w:pPr>
      <w:r>
        <w:rPr>
          <w:rFonts w:hint="eastAsia" w:ascii="宋体" w:hAnsi="宋体" w:cs="宋体"/>
          <w:highlight w:val="none"/>
        </w:rPr>
        <w:t>设兵团)出具的属于监狱企业的证明文件。</w:t>
      </w:r>
    </w:p>
    <w:p w14:paraId="0E3A8E88">
      <w:pPr>
        <w:pageBreakBefore w:val="0"/>
        <w:kinsoku/>
        <w:overflowPunct/>
        <w:bidi w:val="0"/>
        <w:spacing w:line="500" w:lineRule="exact"/>
        <w:rPr>
          <w:highlight w:val="none"/>
        </w:rPr>
      </w:pPr>
    </w:p>
    <w:p w14:paraId="5BACD1ED">
      <w:pPr>
        <w:pageBreakBefore w:val="0"/>
        <w:kinsoku/>
        <w:overflowPunct/>
        <w:bidi w:val="0"/>
        <w:spacing w:line="500" w:lineRule="exact"/>
        <w:rPr>
          <w:highlight w:val="none"/>
        </w:rPr>
      </w:pPr>
    </w:p>
    <w:p w14:paraId="08DF4B62">
      <w:pPr>
        <w:pageBreakBefore w:val="0"/>
        <w:kinsoku/>
        <w:overflowPunct/>
        <w:bidi w:val="0"/>
        <w:spacing w:line="500" w:lineRule="exact"/>
        <w:rPr>
          <w:highlight w:val="none"/>
        </w:rPr>
      </w:pPr>
    </w:p>
    <w:p w14:paraId="683907C8">
      <w:pPr>
        <w:pageBreakBefore w:val="0"/>
        <w:kinsoku/>
        <w:overflowPunct/>
        <w:bidi w:val="0"/>
        <w:spacing w:line="500" w:lineRule="exact"/>
        <w:rPr>
          <w:highlight w:val="none"/>
        </w:rPr>
      </w:pPr>
    </w:p>
    <w:p w14:paraId="4F1A6BB2">
      <w:pPr>
        <w:pageBreakBefore w:val="0"/>
        <w:kinsoku/>
        <w:overflowPunct/>
        <w:bidi w:val="0"/>
        <w:spacing w:line="500" w:lineRule="exact"/>
        <w:rPr>
          <w:highlight w:val="none"/>
        </w:rPr>
      </w:pPr>
    </w:p>
    <w:p w14:paraId="1C76F151">
      <w:pPr>
        <w:pageBreakBefore w:val="0"/>
        <w:kinsoku/>
        <w:overflowPunct/>
        <w:bidi w:val="0"/>
        <w:spacing w:line="500" w:lineRule="exact"/>
        <w:rPr>
          <w:highlight w:val="none"/>
        </w:rPr>
      </w:pPr>
    </w:p>
    <w:p w14:paraId="20A9CE0D">
      <w:pPr>
        <w:pageBreakBefore w:val="0"/>
        <w:kinsoku/>
        <w:overflowPunct/>
        <w:bidi w:val="0"/>
        <w:spacing w:line="500" w:lineRule="exact"/>
        <w:rPr>
          <w:highlight w:val="none"/>
        </w:rPr>
      </w:pPr>
    </w:p>
    <w:p w14:paraId="0AA58F92">
      <w:pPr>
        <w:pageBreakBefore w:val="0"/>
        <w:kinsoku/>
        <w:overflowPunct/>
        <w:bidi w:val="0"/>
        <w:spacing w:line="500" w:lineRule="exact"/>
        <w:rPr>
          <w:highlight w:val="none"/>
        </w:rPr>
      </w:pPr>
    </w:p>
    <w:p w14:paraId="06D9D151">
      <w:pPr>
        <w:pageBreakBefore w:val="0"/>
        <w:kinsoku/>
        <w:overflowPunct/>
        <w:bidi w:val="0"/>
        <w:spacing w:line="500" w:lineRule="exact"/>
        <w:rPr>
          <w:highlight w:val="none"/>
        </w:rPr>
      </w:pPr>
    </w:p>
    <w:p w14:paraId="75119C57">
      <w:pPr>
        <w:pageBreakBefore w:val="0"/>
        <w:kinsoku/>
        <w:overflowPunct/>
        <w:bidi w:val="0"/>
        <w:spacing w:line="500" w:lineRule="exact"/>
        <w:rPr>
          <w:highlight w:val="none"/>
        </w:rPr>
      </w:pPr>
    </w:p>
    <w:p w14:paraId="3003F05C">
      <w:pPr>
        <w:pageBreakBefore w:val="0"/>
        <w:kinsoku/>
        <w:overflowPunct/>
        <w:bidi w:val="0"/>
        <w:spacing w:line="500" w:lineRule="exact"/>
        <w:rPr>
          <w:highlight w:val="none"/>
        </w:rPr>
      </w:pPr>
    </w:p>
    <w:p w14:paraId="746D1B73">
      <w:pPr>
        <w:pageBreakBefore w:val="0"/>
        <w:kinsoku/>
        <w:overflowPunct/>
        <w:bidi w:val="0"/>
        <w:spacing w:line="500" w:lineRule="exact"/>
        <w:rPr>
          <w:highlight w:val="none"/>
        </w:rPr>
      </w:pPr>
    </w:p>
    <w:p w14:paraId="1FC9FEB2">
      <w:pPr>
        <w:pageBreakBefore w:val="0"/>
        <w:kinsoku/>
        <w:overflowPunct/>
        <w:bidi w:val="0"/>
        <w:spacing w:line="500" w:lineRule="exact"/>
        <w:rPr>
          <w:highlight w:val="none"/>
        </w:rPr>
      </w:pPr>
    </w:p>
    <w:p w14:paraId="15E46D86">
      <w:pPr>
        <w:pageBreakBefore w:val="0"/>
        <w:kinsoku/>
        <w:overflowPunct/>
        <w:bidi w:val="0"/>
        <w:spacing w:line="500" w:lineRule="exact"/>
        <w:rPr>
          <w:highlight w:val="none"/>
        </w:rPr>
      </w:pPr>
    </w:p>
    <w:p w14:paraId="52F44F90">
      <w:pPr>
        <w:pageBreakBefore w:val="0"/>
        <w:kinsoku/>
        <w:overflowPunct/>
        <w:bidi w:val="0"/>
        <w:spacing w:line="500" w:lineRule="exact"/>
        <w:rPr>
          <w:highlight w:val="none"/>
        </w:rPr>
      </w:pPr>
    </w:p>
    <w:p w14:paraId="2FA1EBB9">
      <w:pPr>
        <w:pageBreakBefore w:val="0"/>
        <w:kinsoku/>
        <w:overflowPunct/>
        <w:bidi w:val="0"/>
        <w:spacing w:line="500" w:lineRule="exact"/>
        <w:rPr>
          <w:highlight w:val="none"/>
        </w:rPr>
      </w:pPr>
    </w:p>
    <w:p w14:paraId="4F6BDFC2">
      <w:pPr>
        <w:pageBreakBefore w:val="0"/>
        <w:kinsoku/>
        <w:overflowPunct/>
        <w:bidi w:val="0"/>
        <w:spacing w:line="500" w:lineRule="exact"/>
        <w:rPr>
          <w:highlight w:val="none"/>
        </w:rPr>
      </w:pPr>
    </w:p>
    <w:p w14:paraId="510C35E2">
      <w:pPr>
        <w:pageBreakBefore w:val="0"/>
        <w:kinsoku/>
        <w:overflowPunct/>
        <w:bidi w:val="0"/>
        <w:spacing w:line="500" w:lineRule="exact"/>
        <w:rPr>
          <w:highlight w:val="none"/>
        </w:rPr>
      </w:pPr>
    </w:p>
    <w:p w14:paraId="3A5C068A">
      <w:pPr>
        <w:pageBreakBefore w:val="0"/>
        <w:kinsoku/>
        <w:overflowPunct/>
        <w:bidi w:val="0"/>
        <w:spacing w:line="500" w:lineRule="exact"/>
        <w:rPr>
          <w:highlight w:val="none"/>
        </w:rPr>
      </w:pPr>
    </w:p>
    <w:p w14:paraId="34255BDA">
      <w:pPr>
        <w:pageBreakBefore w:val="0"/>
        <w:kinsoku/>
        <w:overflowPunct/>
        <w:bidi w:val="0"/>
        <w:spacing w:line="500" w:lineRule="exact"/>
        <w:rPr>
          <w:highlight w:val="none"/>
        </w:rPr>
      </w:pPr>
    </w:p>
    <w:p w14:paraId="666D644C">
      <w:pPr>
        <w:pageBreakBefore w:val="0"/>
        <w:kinsoku/>
        <w:overflowPunct/>
        <w:bidi w:val="0"/>
        <w:spacing w:line="500" w:lineRule="exact"/>
        <w:rPr>
          <w:highlight w:val="none"/>
        </w:rPr>
      </w:pPr>
    </w:p>
    <w:p w14:paraId="19A84EB8">
      <w:pPr>
        <w:pageBreakBefore w:val="0"/>
        <w:kinsoku/>
        <w:overflowPunct/>
        <w:bidi w:val="0"/>
        <w:spacing w:line="500" w:lineRule="exact"/>
        <w:rPr>
          <w:highlight w:val="none"/>
        </w:rPr>
      </w:pPr>
    </w:p>
    <w:p w14:paraId="1F222FE0">
      <w:pPr>
        <w:pStyle w:val="2"/>
        <w:bidi w:val="0"/>
        <w:rPr>
          <w:rFonts w:hint="eastAsia"/>
          <w:lang w:val="en-US" w:eastAsia="zh-CN"/>
        </w:rPr>
      </w:pPr>
      <w:r>
        <w:rPr>
          <w:rFonts w:hint="eastAsia"/>
          <w:lang w:val="en-US" w:eastAsia="zh-CN"/>
        </w:rPr>
        <w:t>八、其他材料</w:t>
      </w:r>
    </w:p>
    <w:p w14:paraId="3E1CA205">
      <w:pPr>
        <w:pStyle w:val="47"/>
        <w:pageBreakBefore w:val="0"/>
        <w:kinsoku/>
        <w:overflowPunct/>
        <w:bidi w:val="0"/>
        <w:spacing w:line="500" w:lineRule="exact"/>
        <w:rPr>
          <w:rFonts w:hint="eastAsia"/>
          <w:b/>
          <w:bCs/>
          <w:highlight w:val="none"/>
          <w:lang w:val="en-US" w:eastAsia="zh-CN"/>
        </w:rPr>
      </w:pPr>
      <w:r>
        <w:rPr>
          <w:rFonts w:hint="eastAsia"/>
          <w:b/>
          <w:bCs/>
          <w:highlight w:val="none"/>
          <w:lang w:val="en-US" w:eastAsia="zh-CN"/>
        </w:rPr>
        <w:t>1、承诺书</w:t>
      </w:r>
    </w:p>
    <w:p w14:paraId="0C245988">
      <w:pPr>
        <w:spacing w:before="240" w:beforeLines="100" w:after="240" w:afterLines="100"/>
        <w:jc w:val="center"/>
        <w:rPr>
          <w:rFonts w:ascii="宋体" w:hAnsi="宋体"/>
          <w:color w:val="auto"/>
          <w:sz w:val="28"/>
          <w:szCs w:val="28"/>
          <w:highlight w:val="none"/>
        </w:rPr>
      </w:pPr>
      <w:r>
        <w:rPr>
          <w:rFonts w:hint="eastAsia" w:ascii="宋体" w:hAnsi="宋体"/>
          <w:color w:val="auto"/>
          <w:sz w:val="28"/>
          <w:szCs w:val="28"/>
          <w:highlight w:val="none"/>
        </w:rPr>
        <w:t>承诺书</w:t>
      </w:r>
    </w:p>
    <w:p w14:paraId="7ECE68BB">
      <w:pPr>
        <w:spacing w:after="240" w:afterLines="100" w:line="440" w:lineRule="exact"/>
        <w:rPr>
          <w:rFonts w:ascii="宋体" w:hAnsi="宋体"/>
          <w:color w:val="auto"/>
          <w:sz w:val="24"/>
        </w:rPr>
      </w:pPr>
      <w:r>
        <w:rPr>
          <w:rFonts w:hint="eastAsia" w:ascii="宋体" w:hAnsi="宋体"/>
          <w:color w:val="auto"/>
          <w:sz w:val="24"/>
        </w:rPr>
        <w:t>（</w:t>
      </w:r>
      <w:r>
        <w:rPr>
          <w:rFonts w:hint="eastAsia" w:ascii="宋体" w:hAnsi="宋体"/>
          <w:color w:val="auto"/>
          <w:sz w:val="24"/>
          <w:lang w:eastAsia="zh-CN"/>
        </w:rPr>
        <w:t>采购人</w:t>
      </w:r>
      <w:r>
        <w:rPr>
          <w:rFonts w:hint="eastAsia" w:ascii="宋体" w:hAnsi="宋体"/>
          <w:color w:val="auto"/>
          <w:sz w:val="24"/>
        </w:rPr>
        <w:t>名称）：</w:t>
      </w:r>
    </w:p>
    <w:p w14:paraId="6DACFF1E">
      <w:pPr>
        <w:spacing w:line="480" w:lineRule="auto"/>
        <w:ind w:firstLine="480" w:firstLineChars="200"/>
        <w:rPr>
          <w:rFonts w:hint="eastAsia" w:ascii="宋体" w:hAnsi="宋体"/>
          <w:color w:val="auto"/>
          <w:sz w:val="24"/>
          <w:lang w:val="en-US" w:eastAsia="zh-CN"/>
        </w:rPr>
      </w:pPr>
      <w:r>
        <w:rPr>
          <w:rFonts w:hint="eastAsia" w:ascii="宋体" w:hAnsi="宋体"/>
          <w:color w:val="auto"/>
          <w:sz w:val="24"/>
        </w:rPr>
        <w:t>我方在此声明，</w:t>
      </w:r>
      <w:r>
        <w:rPr>
          <w:rFonts w:hint="eastAsia" w:ascii="宋体" w:hAnsi="宋体"/>
          <w:color w:val="auto"/>
          <w:sz w:val="24"/>
          <w:lang w:eastAsia="zh-CN"/>
        </w:rPr>
        <w:t>我方满足</w:t>
      </w:r>
      <w:r>
        <w:rPr>
          <w:rFonts w:hint="eastAsia" w:ascii="宋体" w:hAnsi="宋体"/>
          <w:color w:val="auto"/>
          <w:sz w:val="24"/>
          <w:lang w:val="en-US" w:eastAsia="zh-CN"/>
        </w:rPr>
        <w:t>《中华人民共和国政府采购法》第二十二条的规定：</w:t>
      </w:r>
    </w:p>
    <w:p w14:paraId="094974D9">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1.具有独立承担民事责任的能力；</w:t>
      </w:r>
    </w:p>
    <w:p w14:paraId="39737E0C">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2.具有良好的商业信誉和健全的财务会计制度；</w:t>
      </w:r>
    </w:p>
    <w:p w14:paraId="5D37B41A">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3.具有履行合同所必需的设备和专业能力；</w:t>
      </w:r>
    </w:p>
    <w:p w14:paraId="157C27A1">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4.有依法缴纳税收和社会保障资金的良好记录；</w:t>
      </w:r>
    </w:p>
    <w:p w14:paraId="4B4C5D97">
      <w:pPr>
        <w:spacing w:line="48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5.参加政府采购活动前三年内，在经营活动中没有重大违法记录；</w:t>
      </w:r>
    </w:p>
    <w:p w14:paraId="22F0490D">
      <w:pPr>
        <w:spacing w:line="48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6.法律、行政法规规定的其他条件。</w:t>
      </w:r>
    </w:p>
    <w:p w14:paraId="059CCF75">
      <w:pPr>
        <w:spacing w:line="48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1F62AC7F">
      <w:pPr>
        <w:spacing w:line="480" w:lineRule="auto"/>
        <w:ind w:firstLine="480" w:firstLineChars="200"/>
        <w:rPr>
          <w:rFonts w:ascii="宋体" w:hAnsi="宋体"/>
          <w:color w:val="auto"/>
          <w:sz w:val="24"/>
        </w:rPr>
      </w:pPr>
    </w:p>
    <w:p w14:paraId="6911E640">
      <w:pPr>
        <w:spacing w:line="440" w:lineRule="exact"/>
        <w:ind w:firstLine="480" w:firstLineChars="200"/>
        <w:rPr>
          <w:rFonts w:ascii="宋体" w:hAnsi="宋体"/>
          <w:color w:val="auto"/>
          <w:sz w:val="24"/>
        </w:rPr>
      </w:pPr>
    </w:p>
    <w:p w14:paraId="59988E03">
      <w:pPr>
        <w:spacing w:line="440" w:lineRule="exact"/>
        <w:ind w:firstLine="480" w:firstLineChars="200"/>
        <w:rPr>
          <w:rFonts w:ascii="宋体" w:hAnsi="宋体"/>
          <w:color w:val="auto"/>
          <w:sz w:val="24"/>
        </w:rPr>
      </w:pPr>
      <w:r>
        <w:rPr>
          <w:rFonts w:hint="eastAsia" w:ascii="宋体" w:hAnsi="宋体"/>
          <w:color w:val="auto"/>
          <w:sz w:val="24"/>
        </w:rPr>
        <w:t>特此承诺</w:t>
      </w:r>
    </w:p>
    <w:p w14:paraId="48D92EEF">
      <w:pPr>
        <w:spacing w:line="440" w:lineRule="exact"/>
        <w:ind w:firstLine="480" w:firstLineChars="200"/>
        <w:rPr>
          <w:rFonts w:ascii="宋体" w:hAnsi="宋体"/>
          <w:color w:val="auto"/>
          <w:sz w:val="24"/>
        </w:rPr>
      </w:pPr>
    </w:p>
    <w:p w14:paraId="48ED316E">
      <w:pPr>
        <w:spacing w:line="440" w:lineRule="exact"/>
        <w:rPr>
          <w:rFonts w:ascii="宋体" w:hAnsi="宋体"/>
          <w:color w:val="auto"/>
          <w:sz w:val="24"/>
        </w:rPr>
      </w:pPr>
    </w:p>
    <w:p w14:paraId="0830A733">
      <w:pPr>
        <w:spacing w:line="440" w:lineRule="exact"/>
        <w:ind w:firstLine="480" w:firstLineChars="200"/>
        <w:rPr>
          <w:rFonts w:ascii="宋体" w:hAnsi="宋体"/>
          <w:color w:val="auto"/>
          <w:sz w:val="24"/>
        </w:rPr>
      </w:pPr>
    </w:p>
    <w:p w14:paraId="042EF321">
      <w:pPr>
        <w:spacing w:line="480" w:lineRule="auto"/>
        <w:ind w:right="480"/>
        <w:jc w:val="center"/>
        <w:rPr>
          <w:rFonts w:ascii="宋体" w:hAnsi="宋体"/>
          <w:color w:val="auto"/>
          <w:sz w:val="24"/>
        </w:rPr>
      </w:pPr>
      <w:r>
        <w:rPr>
          <w:rFonts w:hint="eastAsia" w:ascii="宋体" w:hAnsi="宋体"/>
          <w:color w:val="auto"/>
          <w:sz w:val="24"/>
        </w:rPr>
        <w:t xml:space="preserve">                                          单位公章：（签章）</w:t>
      </w:r>
    </w:p>
    <w:p w14:paraId="2598A951">
      <w:pPr>
        <w:spacing w:line="480" w:lineRule="auto"/>
        <w:ind w:right="480" w:firstLine="5400" w:firstLineChars="2250"/>
        <w:rPr>
          <w:rFonts w:ascii="宋体" w:hAnsi="宋体"/>
          <w:color w:val="auto"/>
          <w:sz w:val="24"/>
        </w:rPr>
      </w:pPr>
      <w:r>
        <w:rPr>
          <w:rFonts w:hint="eastAsia" w:ascii="宋体" w:hAnsi="宋体"/>
          <w:color w:val="auto"/>
          <w:sz w:val="24"/>
        </w:rPr>
        <w:t>法定代表人：（签章）</w:t>
      </w:r>
    </w:p>
    <w:p w14:paraId="37D62917">
      <w:pPr>
        <w:spacing w:line="480" w:lineRule="auto"/>
        <w:ind w:right="600" w:firstLine="5400" w:firstLineChars="2250"/>
      </w:pPr>
      <w:r>
        <w:rPr>
          <w:rFonts w:hint="eastAsia" w:ascii="宋体" w:hAnsi="宋体"/>
          <w:color w:val="auto"/>
          <w:sz w:val="24"/>
        </w:rPr>
        <w:t>日期： 年  月  日</w:t>
      </w:r>
    </w:p>
    <w:p w14:paraId="2F3A69E4">
      <w:pPr>
        <w:pStyle w:val="47"/>
        <w:pageBreakBefore w:val="0"/>
        <w:kinsoku/>
        <w:overflowPunct/>
        <w:bidi w:val="0"/>
        <w:spacing w:line="500" w:lineRule="exact"/>
        <w:rPr>
          <w:rFonts w:hint="default"/>
          <w:b/>
          <w:bCs/>
          <w:highlight w:val="none"/>
          <w:lang w:val="en-US" w:eastAsia="zh-CN"/>
        </w:rPr>
      </w:pPr>
      <w:r>
        <w:rPr>
          <w:rFonts w:hint="eastAsia"/>
          <w:b/>
          <w:bCs/>
          <w:highlight w:val="none"/>
          <w:lang w:val="en-US" w:eastAsia="zh-CN"/>
        </w:rPr>
        <w:t>2、供应商认为应附的其他材料</w:t>
      </w:r>
    </w:p>
    <w:p w14:paraId="6628B995">
      <w:pPr>
        <w:pageBreakBefore w:val="0"/>
        <w:kinsoku/>
        <w:overflowPunct/>
        <w:bidi w:val="0"/>
        <w:spacing w:line="500" w:lineRule="exact"/>
        <w:rPr>
          <w:rFonts w:hint="eastAsia"/>
          <w:highlight w:val="none"/>
        </w:rPr>
      </w:pPr>
    </w:p>
    <w:p w14:paraId="7340AA83">
      <w:pPr>
        <w:pageBreakBefore w:val="0"/>
        <w:kinsoku/>
        <w:overflowPunct/>
        <w:bidi w:val="0"/>
        <w:spacing w:line="500" w:lineRule="exact"/>
        <w:rPr>
          <w:rFonts w:hint="eastAsia"/>
          <w:highlight w:val="none"/>
        </w:rPr>
      </w:pPr>
    </w:p>
    <w:p w14:paraId="610F3A25">
      <w:pPr>
        <w:pageBreakBefore w:val="0"/>
        <w:kinsoku/>
        <w:overflowPunct/>
        <w:bidi w:val="0"/>
        <w:spacing w:line="500" w:lineRule="exact"/>
        <w:rPr>
          <w:rFonts w:hint="eastAsia"/>
          <w:highlight w:val="none"/>
        </w:rPr>
      </w:pPr>
    </w:p>
    <w:p w14:paraId="462B7A28">
      <w:pPr>
        <w:pageBreakBefore w:val="0"/>
        <w:kinsoku/>
        <w:overflowPunct/>
        <w:bidi w:val="0"/>
        <w:spacing w:line="500" w:lineRule="exact"/>
        <w:rPr>
          <w:rFonts w:hint="eastAsia"/>
          <w:highlight w:val="none"/>
        </w:rPr>
      </w:pPr>
    </w:p>
    <w:p w14:paraId="06CDACB8">
      <w:pPr>
        <w:pageBreakBefore w:val="0"/>
        <w:kinsoku/>
        <w:overflowPunct/>
        <w:bidi w:val="0"/>
        <w:spacing w:line="500" w:lineRule="exact"/>
        <w:rPr>
          <w:rFonts w:hint="eastAsia"/>
          <w:highlight w:val="none"/>
        </w:rPr>
      </w:pPr>
    </w:p>
    <w:p w14:paraId="724241D5">
      <w:pPr>
        <w:pageBreakBefore w:val="0"/>
        <w:kinsoku/>
        <w:overflowPunct/>
        <w:bidi w:val="0"/>
        <w:spacing w:line="500" w:lineRule="exact"/>
        <w:rPr>
          <w:rFonts w:hint="eastAsia"/>
          <w:highlight w:val="none"/>
        </w:rPr>
      </w:pPr>
    </w:p>
    <w:p w14:paraId="7E1AA91A">
      <w:pPr>
        <w:pageBreakBefore w:val="0"/>
        <w:kinsoku/>
        <w:overflowPunct/>
        <w:bidi w:val="0"/>
        <w:spacing w:line="500" w:lineRule="exact"/>
        <w:rPr>
          <w:rFonts w:hint="eastAsia"/>
          <w:highlight w:val="none"/>
        </w:rPr>
      </w:pPr>
    </w:p>
    <w:p w14:paraId="08BE39E9">
      <w:pPr>
        <w:pageBreakBefore w:val="0"/>
        <w:kinsoku/>
        <w:overflowPunct/>
        <w:bidi w:val="0"/>
        <w:spacing w:line="500" w:lineRule="exact"/>
        <w:rPr>
          <w:rFonts w:hint="eastAsia"/>
          <w:highlight w:val="none"/>
        </w:rPr>
      </w:pPr>
    </w:p>
    <w:p w14:paraId="56BE3E9E">
      <w:pPr>
        <w:pageBreakBefore w:val="0"/>
        <w:kinsoku/>
        <w:overflowPunct/>
        <w:bidi w:val="0"/>
        <w:spacing w:line="500" w:lineRule="exact"/>
        <w:rPr>
          <w:rFonts w:hint="eastAsia"/>
          <w:highlight w:val="none"/>
        </w:rPr>
      </w:pPr>
    </w:p>
    <w:p w14:paraId="2312580D">
      <w:pPr>
        <w:pageBreakBefore w:val="0"/>
        <w:kinsoku/>
        <w:overflowPunct/>
        <w:bidi w:val="0"/>
        <w:spacing w:line="500" w:lineRule="exact"/>
        <w:rPr>
          <w:rFonts w:hint="eastAsia"/>
          <w:highlight w:val="none"/>
        </w:rPr>
      </w:pPr>
    </w:p>
    <w:p w14:paraId="45CE3518">
      <w:pPr>
        <w:pageBreakBefore w:val="0"/>
        <w:kinsoku/>
        <w:overflowPunct/>
        <w:bidi w:val="0"/>
        <w:spacing w:line="500" w:lineRule="exact"/>
        <w:rPr>
          <w:rFonts w:hint="eastAsia"/>
          <w:highlight w:val="none"/>
        </w:rPr>
      </w:pPr>
    </w:p>
    <w:p w14:paraId="445E7B3D">
      <w:pPr>
        <w:pageBreakBefore w:val="0"/>
        <w:kinsoku/>
        <w:overflowPunct/>
        <w:bidi w:val="0"/>
        <w:spacing w:line="500" w:lineRule="exact"/>
        <w:rPr>
          <w:rFonts w:hint="eastAsia"/>
          <w:highlight w:val="none"/>
        </w:rPr>
      </w:pPr>
    </w:p>
    <w:p w14:paraId="224B3F50">
      <w:pPr>
        <w:pageBreakBefore w:val="0"/>
        <w:kinsoku/>
        <w:overflowPunct/>
        <w:bidi w:val="0"/>
        <w:spacing w:line="500" w:lineRule="exact"/>
        <w:rPr>
          <w:rFonts w:hint="eastAsia"/>
          <w:highlight w:val="none"/>
        </w:rPr>
      </w:pPr>
    </w:p>
    <w:p w14:paraId="55EEEF73">
      <w:pPr>
        <w:pageBreakBefore w:val="0"/>
        <w:kinsoku/>
        <w:overflowPunct/>
        <w:bidi w:val="0"/>
        <w:spacing w:line="500" w:lineRule="exact"/>
        <w:rPr>
          <w:rFonts w:hint="eastAsia"/>
          <w:highlight w:val="none"/>
        </w:rPr>
      </w:pPr>
    </w:p>
    <w:p w14:paraId="6A1ADC8A">
      <w:pPr>
        <w:pageBreakBefore w:val="0"/>
        <w:kinsoku/>
        <w:overflowPunct/>
        <w:bidi w:val="0"/>
        <w:spacing w:line="500" w:lineRule="exact"/>
        <w:rPr>
          <w:rFonts w:hint="eastAsia"/>
          <w:highlight w:val="none"/>
        </w:rPr>
      </w:pPr>
    </w:p>
    <w:p w14:paraId="4C8EE60D">
      <w:pPr>
        <w:pageBreakBefore w:val="0"/>
        <w:kinsoku/>
        <w:overflowPunct/>
        <w:bidi w:val="0"/>
        <w:spacing w:line="500" w:lineRule="exact"/>
        <w:rPr>
          <w:rFonts w:hint="eastAsia"/>
          <w:highlight w:val="none"/>
        </w:rPr>
      </w:pPr>
    </w:p>
    <w:p w14:paraId="0DCCD4F7">
      <w:pPr>
        <w:pageBreakBefore w:val="0"/>
        <w:kinsoku/>
        <w:overflowPunct/>
        <w:bidi w:val="0"/>
        <w:spacing w:line="500" w:lineRule="exact"/>
        <w:rPr>
          <w:rFonts w:hint="eastAsia"/>
          <w:highlight w:val="none"/>
        </w:rPr>
      </w:pPr>
    </w:p>
    <w:p w14:paraId="4F18DFE3">
      <w:pPr>
        <w:pStyle w:val="3"/>
        <w:rPr>
          <w:rFonts w:hint="eastAsia"/>
        </w:rPr>
      </w:pPr>
    </w:p>
    <w:p w14:paraId="72768C19">
      <w:pPr>
        <w:pageBreakBefore w:val="0"/>
        <w:kinsoku/>
        <w:overflowPunct/>
        <w:bidi w:val="0"/>
        <w:spacing w:line="500" w:lineRule="exact"/>
        <w:rPr>
          <w:rFonts w:hint="eastAsia"/>
          <w:highlight w:val="none"/>
        </w:rPr>
      </w:pPr>
    </w:p>
    <w:p w14:paraId="345E89B1">
      <w:pPr>
        <w:pageBreakBefore w:val="0"/>
        <w:kinsoku/>
        <w:overflowPunct/>
        <w:bidi w:val="0"/>
        <w:spacing w:line="500" w:lineRule="exact"/>
        <w:rPr>
          <w:rFonts w:hint="eastAsia"/>
          <w:highlight w:val="none"/>
        </w:rPr>
      </w:pPr>
    </w:p>
    <w:p w14:paraId="1C6CB8A8">
      <w:pPr>
        <w:pageBreakBefore w:val="0"/>
        <w:kinsoku/>
        <w:overflowPunct/>
        <w:bidi w:val="0"/>
        <w:spacing w:line="500" w:lineRule="exact"/>
        <w:rPr>
          <w:rFonts w:hint="eastAsia"/>
          <w:highlight w:val="none"/>
        </w:rPr>
      </w:pPr>
    </w:p>
    <w:p w14:paraId="5B222872">
      <w:pPr>
        <w:pageBreakBefore w:val="0"/>
        <w:kinsoku/>
        <w:overflowPunct/>
        <w:bidi w:val="0"/>
        <w:spacing w:line="500" w:lineRule="exact"/>
        <w:rPr>
          <w:rFonts w:hint="eastAsia"/>
          <w:highlight w:val="none"/>
        </w:rPr>
      </w:pPr>
    </w:p>
    <w:p w14:paraId="12BA4EE7">
      <w:pPr>
        <w:pageBreakBefore w:val="0"/>
        <w:kinsoku/>
        <w:overflowPunct/>
        <w:bidi w:val="0"/>
        <w:spacing w:line="500" w:lineRule="exact"/>
        <w:rPr>
          <w:rFonts w:hint="eastAsia"/>
          <w:highlight w:val="none"/>
        </w:rPr>
      </w:pPr>
    </w:p>
    <w:p w14:paraId="1CF28A28">
      <w:pPr>
        <w:pageBreakBefore w:val="0"/>
        <w:kinsoku/>
        <w:overflowPunct/>
        <w:bidi w:val="0"/>
        <w:spacing w:line="500" w:lineRule="exact"/>
        <w:rPr>
          <w:rFonts w:hint="eastAsia"/>
          <w:highlight w:val="none"/>
        </w:rPr>
      </w:pPr>
    </w:p>
    <w:p w14:paraId="3327CAEB">
      <w:pPr>
        <w:pStyle w:val="25"/>
        <w:rPr>
          <w:rFonts w:hint="eastAsia"/>
        </w:rPr>
      </w:pPr>
    </w:p>
    <w:sectPr>
      <w:pgSz w:w="11906" w:h="16838"/>
      <w:pgMar w:top="1417" w:right="1134" w:bottom="1417"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5b8b_4f53">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22BD">
    <w:pPr>
      <w:pStyle w:val="18"/>
      <w:tabs>
        <w:tab w:val="center" w:pos="4320"/>
        <w:tab w:val="clear" w:pos="4153"/>
      </w:tabs>
      <w:ind w:firstLine="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8863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D8863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5A09C">
    <w:pPr>
      <w:pStyle w:val="18"/>
      <w:framePr w:wrap="around" w:vAnchor="text" w:hAnchor="margin" w:xAlign="center" w:y="1"/>
      <w:rPr>
        <w:rStyle w:val="30"/>
      </w:rPr>
    </w:pPr>
    <w:r>
      <w:fldChar w:fldCharType="begin"/>
    </w:r>
    <w:r>
      <w:rPr>
        <w:rStyle w:val="30"/>
      </w:rPr>
      <w:instrText xml:space="preserve">PAGE  </w:instrText>
    </w:r>
    <w:r>
      <w:fldChar w:fldCharType="separate"/>
    </w:r>
    <w:r>
      <w:fldChar w:fldCharType="end"/>
    </w:r>
  </w:p>
  <w:p w14:paraId="569BB163">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8C356">
    <w:pPr>
      <w:pStyle w:val="18"/>
      <w:jc w:val="center"/>
      <w:rPr>
        <w:rFonts w:hint="eastAsia"/>
      </w:rPr>
    </w:pPr>
    <w:r>
      <w:rPr>
        <w:rFonts w:hint="eastAsia"/>
      </w:rPr>
      <w:t>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177B4">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10105390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EBECF9A">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pt;margin-top:795.7pt;height:11pt;width:13.15pt;mso-position-horizontal-relative:page;mso-position-vertical-relative:page;z-index:-251657216;mso-width-relative:page;mso-height-relative:page;" filled="f" stroked="f" coordsize="21600,21600" o:gfxdata="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I7DNdwAAAANAQAADwAAAAAAAAABACAAAAAiAAAAZHJzL2Rvd25yZXYueG1sUEsB&#10;AhQAFAAAAAgAh07iQLIZB6+4AQAAcQMAAA4AAAAAAAAAAQAgAAAAKwEAAGRycy9lMm9Eb2MueG1s&#10;UEsFBgAAAAAGAAYAWQEAAFUFAAAAAA==&#10;">
              <v:fill on="f" focussize="0,0"/>
              <v:stroke on="f"/>
              <v:imagedata o:title=""/>
              <o:lock v:ext="edit" aspectratio="f"/>
              <v:textbox inset="0mm,0mm,0mm,0mm">
                <w:txbxContent>
                  <w:p w14:paraId="6EBECF9A">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306A">
    <w:pPr>
      <w:spacing w:before="120" w:beforeLines="50" w:after="120" w:afterLines="50"/>
      <w:ind w:firstLine="420" w:firstLineChars="200"/>
      <w:jc w:val="center"/>
      <w:rPr>
        <w:rFonts w:hint="eastAsia"/>
        <w:b/>
      </w:rPr>
    </w:pPr>
    <w:r>
      <w:rPr>
        <w:rFonts w:hint="eastAsia"/>
      </w:rPr>
      <w:t xml:space="preserve">                         </w:t>
    </w:r>
  </w:p>
  <w:p w14:paraId="1C4DE21F">
    <w:pPr>
      <w:rPr>
        <w:rFonts w:hint="eastAsia" w:asci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ADD2C"/>
    <w:multiLevelType w:val="singleLevel"/>
    <w:tmpl w:val="873ADD2C"/>
    <w:lvl w:ilvl="0" w:tentative="0">
      <w:start w:val="1"/>
      <w:numFmt w:val="decimal"/>
      <w:suff w:val="nothing"/>
      <w:lvlText w:val="%1、"/>
      <w:lvlJc w:val="left"/>
    </w:lvl>
  </w:abstractNum>
  <w:abstractNum w:abstractNumId="1">
    <w:nsid w:val="9288B902"/>
    <w:multiLevelType w:val="multilevel"/>
    <w:tmpl w:val="9288B902"/>
    <w:lvl w:ilvl="0" w:tentative="0">
      <w:start w:val="1"/>
      <w:numFmt w:val="decimal"/>
      <w:lvlText w:val="%1."/>
      <w:lvlJc w:val="left"/>
      <w:pPr>
        <w:ind w:left="400" w:hanging="212"/>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452" w:hanging="525"/>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462" w:hanging="525"/>
      </w:pPr>
      <w:rPr>
        <w:rFonts w:hint="default"/>
        <w:lang w:val="zh-CN" w:eastAsia="zh-CN" w:bidi="zh-CN"/>
      </w:rPr>
    </w:lvl>
    <w:lvl w:ilvl="3" w:tentative="0">
      <w:start w:val="0"/>
      <w:numFmt w:val="bullet"/>
      <w:lvlText w:val="•"/>
      <w:lvlJc w:val="left"/>
      <w:pPr>
        <w:ind w:left="3465" w:hanging="525"/>
      </w:pPr>
      <w:rPr>
        <w:rFonts w:hint="default"/>
        <w:lang w:val="zh-CN" w:eastAsia="zh-CN" w:bidi="zh-CN"/>
      </w:rPr>
    </w:lvl>
    <w:lvl w:ilvl="4" w:tentative="0">
      <w:start w:val="0"/>
      <w:numFmt w:val="bullet"/>
      <w:lvlText w:val="•"/>
      <w:lvlJc w:val="left"/>
      <w:pPr>
        <w:ind w:left="4468" w:hanging="525"/>
      </w:pPr>
      <w:rPr>
        <w:rFonts w:hint="default"/>
        <w:lang w:val="zh-CN" w:eastAsia="zh-CN" w:bidi="zh-CN"/>
      </w:rPr>
    </w:lvl>
    <w:lvl w:ilvl="5" w:tentative="0">
      <w:start w:val="0"/>
      <w:numFmt w:val="bullet"/>
      <w:lvlText w:val="•"/>
      <w:lvlJc w:val="left"/>
      <w:pPr>
        <w:ind w:left="5471" w:hanging="525"/>
      </w:pPr>
      <w:rPr>
        <w:rFonts w:hint="default"/>
        <w:lang w:val="zh-CN" w:eastAsia="zh-CN" w:bidi="zh-CN"/>
      </w:rPr>
    </w:lvl>
    <w:lvl w:ilvl="6" w:tentative="0">
      <w:start w:val="0"/>
      <w:numFmt w:val="bullet"/>
      <w:lvlText w:val="•"/>
      <w:lvlJc w:val="left"/>
      <w:pPr>
        <w:ind w:left="6474" w:hanging="525"/>
      </w:pPr>
      <w:rPr>
        <w:rFonts w:hint="default"/>
        <w:lang w:val="zh-CN" w:eastAsia="zh-CN" w:bidi="zh-CN"/>
      </w:rPr>
    </w:lvl>
    <w:lvl w:ilvl="7" w:tentative="0">
      <w:start w:val="0"/>
      <w:numFmt w:val="bullet"/>
      <w:lvlText w:val="•"/>
      <w:lvlJc w:val="left"/>
      <w:pPr>
        <w:ind w:left="7477" w:hanging="525"/>
      </w:pPr>
      <w:rPr>
        <w:rFonts w:hint="default"/>
        <w:lang w:val="zh-CN" w:eastAsia="zh-CN" w:bidi="zh-CN"/>
      </w:rPr>
    </w:lvl>
    <w:lvl w:ilvl="8" w:tentative="0">
      <w:start w:val="0"/>
      <w:numFmt w:val="bullet"/>
      <w:lvlText w:val="•"/>
      <w:lvlJc w:val="left"/>
      <w:pPr>
        <w:ind w:left="8480" w:hanging="525"/>
      </w:pPr>
      <w:rPr>
        <w:rFonts w:hint="default"/>
        <w:lang w:val="zh-CN" w:eastAsia="zh-CN" w:bidi="zh-CN"/>
      </w:rPr>
    </w:lvl>
  </w:abstractNum>
  <w:abstractNum w:abstractNumId="2">
    <w:nsid w:val="9C8AC8EF"/>
    <w:multiLevelType w:val="multilevel"/>
    <w:tmpl w:val="9C8AC8EF"/>
    <w:lvl w:ilvl="0" w:tentative="0">
      <w:start w:val="2"/>
      <w:numFmt w:val="decimal"/>
      <w:lvlText w:val="%1"/>
      <w:lvlJc w:val="left"/>
      <w:pPr>
        <w:ind w:left="1240" w:hanging="420"/>
        <w:jc w:val="left"/>
      </w:pPr>
      <w:rPr>
        <w:rFonts w:hint="default"/>
        <w:lang w:val="zh-CN" w:eastAsia="zh-CN" w:bidi="zh-CN"/>
      </w:rPr>
    </w:lvl>
    <w:lvl w:ilvl="1" w:tentative="0">
      <w:start w:val="1"/>
      <w:numFmt w:val="decimal"/>
      <w:lvlText w:val="%1.%2"/>
      <w:lvlJc w:val="left"/>
      <w:pPr>
        <w:ind w:left="1240"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089" w:hanging="420"/>
      </w:pPr>
      <w:rPr>
        <w:rFonts w:hint="default"/>
        <w:lang w:val="zh-CN" w:eastAsia="zh-CN" w:bidi="zh-CN"/>
      </w:rPr>
    </w:lvl>
    <w:lvl w:ilvl="3" w:tentative="0">
      <w:start w:val="0"/>
      <w:numFmt w:val="bullet"/>
      <w:lvlText w:val="•"/>
      <w:lvlJc w:val="left"/>
      <w:pPr>
        <w:ind w:left="4013" w:hanging="420"/>
      </w:pPr>
      <w:rPr>
        <w:rFonts w:hint="default"/>
        <w:lang w:val="zh-CN" w:eastAsia="zh-CN" w:bidi="zh-CN"/>
      </w:rPr>
    </w:lvl>
    <w:lvl w:ilvl="4" w:tentative="0">
      <w:start w:val="0"/>
      <w:numFmt w:val="bullet"/>
      <w:lvlText w:val="•"/>
      <w:lvlJc w:val="left"/>
      <w:pPr>
        <w:ind w:left="4938" w:hanging="420"/>
      </w:pPr>
      <w:rPr>
        <w:rFonts w:hint="default"/>
        <w:lang w:val="zh-CN" w:eastAsia="zh-CN" w:bidi="zh-CN"/>
      </w:rPr>
    </w:lvl>
    <w:lvl w:ilvl="5" w:tentative="0">
      <w:start w:val="0"/>
      <w:numFmt w:val="bullet"/>
      <w:lvlText w:val="•"/>
      <w:lvlJc w:val="left"/>
      <w:pPr>
        <w:ind w:left="5863" w:hanging="420"/>
      </w:pPr>
      <w:rPr>
        <w:rFonts w:hint="default"/>
        <w:lang w:val="zh-CN" w:eastAsia="zh-CN" w:bidi="zh-CN"/>
      </w:rPr>
    </w:lvl>
    <w:lvl w:ilvl="6" w:tentative="0">
      <w:start w:val="0"/>
      <w:numFmt w:val="bullet"/>
      <w:lvlText w:val="•"/>
      <w:lvlJc w:val="left"/>
      <w:pPr>
        <w:ind w:left="6787" w:hanging="420"/>
      </w:pPr>
      <w:rPr>
        <w:rFonts w:hint="default"/>
        <w:lang w:val="zh-CN" w:eastAsia="zh-CN" w:bidi="zh-CN"/>
      </w:rPr>
    </w:lvl>
    <w:lvl w:ilvl="7" w:tentative="0">
      <w:start w:val="0"/>
      <w:numFmt w:val="bullet"/>
      <w:lvlText w:val="•"/>
      <w:lvlJc w:val="left"/>
      <w:pPr>
        <w:ind w:left="7712" w:hanging="420"/>
      </w:pPr>
      <w:rPr>
        <w:rFonts w:hint="default"/>
        <w:lang w:val="zh-CN" w:eastAsia="zh-CN" w:bidi="zh-CN"/>
      </w:rPr>
    </w:lvl>
    <w:lvl w:ilvl="8" w:tentative="0">
      <w:start w:val="0"/>
      <w:numFmt w:val="bullet"/>
      <w:lvlText w:val="•"/>
      <w:lvlJc w:val="left"/>
      <w:pPr>
        <w:ind w:left="8636" w:hanging="420"/>
      </w:pPr>
      <w:rPr>
        <w:rFonts w:hint="default"/>
        <w:lang w:val="zh-CN" w:eastAsia="zh-CN" w:bidi="zh-CN"/>
      </w:rPr>
    </w:lvl>
  </w:abstractNum>
  <w:abstractNum w:abstractNumId="3">
    <w:nsid w:val="B0F1ACD9"/>
    <w:multiLevelType w:val="multilevel"/>
    <w:tmpl w:val="B0F1ACD9"/>
    <w:lvl w:ilvl="0" w:tentative="0">
      <w:start w:val="1"/>
      <w:numFmt w:val="decimal"/>
      <w:lvlText w:val="%1."/>
      <w:lvlJc w:val="left"/>
      <w:pPr>
        <w:ind w:left="82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786" w:hanging="212"/>
      </w:pPr>
      <w:rPr>
        <w:rFonts w:hint="default"/>
        <w:lang w:val="zh-CN" w:eastAsia="zh-CN" w:bidi="zh-CN"/>
      </w:rPr>
    </w:lvl>
    <w:lvl w:ilvl="2" w:tentative="0">
      <w:start w:val="0"/>
      <w:numFmt w:val="bullet"/>
      <w:lvlText w:val="•"/>
      <w:lvlJc w:val="left"/>
      <w:pPr>
        <w:ind w:left="2753" w:hanging="212"/>
      </w:pPr>
      <w:rPr>
        <w:rFonts w:hint="default"/>
        <w:lang w:val="zh-CN" w:eastAsia="zh-CN" w:bidi="zh-CN"/>
      </w:rPr>
    </w:lvl>
    <w:lvl w:ilvl="3" w:tentative="0">
      <w:start w:val="0"/>
      <w:numFmt w:val="bullet"/>
      <w:lvlText w:val="•"/>
      <w:lvlJc w:val="left"/>
      <w:pPr>
        <w:ind w:left="3719" w:hanging="212"/>
      </w:pPr>
      <w:rPr>
        <w:rFonts w:hint="default"/>
        <w:lang w:val="zh-CN" w:eastAsia="zh-CN" w:bidi="zh-CN"/>
      </w:rPr>
    </w:lvl>
    <w:lvl w:ilvl="4" w:tentative="0">
      <w:start w:val="0"/>
      <w:numFmt w:val="bullet"/>
      <w:lvlText w:val="•"/>
      <w:lvlJc w:val="left"/>
      <w:pPr>
        <w:ind w:left="4686" w:hanging="212"/>
      </w:pPr>
      <w:rPr>
        <w:rFonts w:hint="default"/>
        <w:lang w:val="zh-CN" w:eastAsia="zh-CN" w:bidi="zh-CN"/>
      </w:rPr>
    </w:lvl>
    <w:lvl w:ilvl="5" w:tentative="0">
      <w:start w:val="0"/>
      <w:numFmt w:val="bullet"/>
      <w:lvlText w:val="•"/>
      <w:lvlJc w:val="left"/>
      <w:pPr>
        <w:ind w:left="5653" w:hanging="212"/>
      </w:pPr>
      <w:rPr>
        <w:rFonts w:hint="default"/>
        <w:lang w:val="zh-CN" w:eastAsia="zh-CN" w:bidi="zh-CN"/>
      </w:rPr>
    </w:lvl>
    <w:lvl w:ilvl="6" w:tentative="0">
      <w:start w:val="0"/>
      <w:numFmt w:val="bullet"/>
      <w:lvlText w:val="•"/>
      <w:lvlJc w:val="left"/>
      <w:pPr>
        <w:ind w:left="6619" w:hanging="212"/>
      </w:pPr>
      <w:rPr>
        <w:rFonts w:hint="default"/>
        <w:lang w:val="zh-CN" w:eastAsia="zh-CN" w:bidi="zh-CN"/>
      </w:rPr>
    </w:lvl>
    <w:lvl w:ilvl="7" w:tentative="0">
      <w:start w:val="0"/>
      <w:numFmt w:val="bullet"/>
      <w:lvlText w:val="•"/>
      <w:lvlJc w:val="left"/>
      <w:pPr>
        <w:ind w:left="7586" w:hanging="212"/>
      </w:pPr>
      <w:rPr>
        <w:rFonts w:hint="default"/>
        <w:lang w:val="zh-CN" w:eastAsia="zh-CN" w:bidi="zh-CN"/>
      </w:rPr>
    </w:lvl>
    <w:lvl w:ilvl="8" w:tentative="0">
      <w:start w:val="0"/>
      <w:numFmt w:val="bullet"/>
      <w:lvlText w:val="•"/>
      <w:lvlJc w:val="left"/>
      <w:pPr>
        <w:ind w:left="8552" w:hanging="212"/>
      </w:pPr>
      <w:rPr>
        <w:rFonts w:hint="default"/>
        <w:lang w:val="zh-CN" w:eastAsia="zh-CN" w:bidi="zh-CN"/>
      </w:rPr>
    </w:lvl>
  </w:abstractNum>
  <w:abstractNum w:abstractNumId="4">
    <w:nsid w:val="BE923771"/>
    <w:multiLevelType w:val="multilevel"/>
    <w:tmpl w:val="BE923771"/>
    <w:lvl w:ilvl="0" w:tentative="0">
      <w:start w:val="1"/>
      <w:numFmt w:val="decimal"/>
      <w:lvlText w:val="%1."/>
      <w:lvlJc w:val="left"/>
      <w:pPr>
        <w:ind w:left="10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984" w:hanging="212"/>
      </w:pPr>
      <w:rPr>
        <w:rFonts w:hint="default"/>
        <w:lang w:val="zh-CN" w:eastAsia="zh-CN" w:bidi="zh-CN"/>
      </w:rPr>
    </w:lvl>
    <w:lvl w:ilvl="2" w:tentative="0">
      <w:start w:val="0"/>
      <w:numFmt w:val="bullet"/>
      <w:lvlText w:val="•"/>
      <w:lvlJc w:val="left"/>
      <w:pPr>
        <w:ind w:left="2929" w:hanging="212"/>
      </w:pPr>
      <w:rPr>
        <w:rFonts w:hint="default"/>
        <w:lang w:val="zh-CN" w:eastAsia="zh-CN" w:bidi="zh-CN"/>
      </w:rPr>
    </w:lvl>
    <w:lvl w:ilvl="3" w:tentative="0">
      <w:start w:val="0"/>
      <w:numFmt w:val="bullet"/>
      <w:lvlText w:val="•"/>
      <w:lvlJc w:val="left"/>
      <w:pPr>
        <w:ind w:left="3873" w:hanging="212"/>
      </w:pPr>
      <w:rPr>
        <w:rFonts w:hint="default"/>
        <w:lang w:val="zh-CN" w:eastAsia="zh-CN" w:bidi="zh-CN"/>
      </w:rPr>
    </w:lvl>
    <w:lvl w:ilvl="4" w:tentative="0">
      <w:start w:val="0"/>
      <w:numFmt w:val="bullet"/>
      <w:lvlText w:val="•"/>
      <w:lvlJc w:val="left"/>
      <w:pPr>
        <w:ind w:left="4818" w:hanging="212"/>
      </w:pPr>
      <w:rPr>
        <w:rFonts w:hint="default"/>
        <w:lang w:val="zh-CN" w:eastAsia="zh-CN" w:bidi="zh-CN"/>
      </w:rPr>
    </w:lvl>
    <w:lvl w:ilvl="5" w:tentative="0">
      <w:start w:val="0"/>
      <w:numFmt w:val="bullet"/>
      <w:lvlText w:val="•"/>
      <w:lvlJc w:val="left"/>
      <w:pPr>
        <w:ind w:left="5763" w:hanging="212"/>
      </w:pPr>
      <w:rPr>
        <w:rFonts w:hint="default"/>
        <w:lang w:val="zh-CN" w:eastAsia="zh-CN" w:bidi="zh-CN"/>
      </w:rPr>
    </w:lvl>
    <w:lvl w:ilvl="6" w:tentative="0">
      <w:start w:val="0"/>
      <w:numFmt w:val="bullet"/>
      <w:lvlText w:val="•"/>
      <w:lvlJc w:val="left"/>
      <w:pPr>
        <w:ind w:left="6707" w:hanging="212"/>
      </w:pPr>
      <w:rPr>
        <w:rFonts w:hint="default"/>
        <w:lang w:val="zh-CN" w:eastAsia="zh-CN" w:bidi="zh-CN"/>
      </w:rPr>
    </w:lvl>
    <w:lvl w:ilvl="7" w:tentative="0">
      <w:start w:val="0"/>
      <w:numFmt w:val="bullet"/>
      <w:lvlText w:val="•"/>
      <w:lvlJc w:val="left"/>
      <w:pPr>
        <w:ind w:left="7652" w:hanging="212"/>
      </w:pPr>
      <w:rPr>
        <w:rFonts w:hint="default"/>
        <w:lang w:val="zh-CN" w:eastAsia="zh-CN" w:bidi="zh-CN"/>
      </w:rPr>
    </w:lvl>
    <w:lvl w:ilvl="8" w:tentative="0">
      <w:start w:val="0"/>
      <w:numFmt w:val="bullet"/>
      <w:lvlText w:val="•"/>
      <w:lvlJc w:val="left"/>
      <w:pPr>
        <w:ind w:left="8596" w:hanging="212"/>
      </w:pPr>
      <w:rPr>
        <w:rFonts w:hint="default"/>
        <w:lang w:val="zh-CN" w:eastAsia="zh-CN" w:bidi="zh-CN"/>
      </w:rPr>
    </w:lvl>
  </w:abstractNum>
  <w:abstractNum w:abstractNumId="5">
    <w:nsid w:val="C27BC005"/>
    <w:multiLevelType w:val="singleLevel"/>
    <w:tmpl w:val="C27BC005"/>
    <w:lvl w:ilvl="0" w:tentative="0">
      <w:start w:val="1"/>
      <w:numFmt w:val="chineseCounting"/>
      <w:suff w:val="nothing"/>
      <w:lvlText w:val="（%1）"/>
      <w:lvlJc w:val="left"/>
      <w:rPr>
        <w:rFonts w:hint="eastAsia"/>
      </w:rPr>
    </w:lvl>
  </w:abstractNum>
  <w:abstractNum w:abstractNumId="6">
    <w:nsid w:val="CA633E16"/>
    <w:multiLevelType w:val="singleLevel"/>
    <w:tmpl w:val="CA633E16"/>
    <w:lvl w:ilvl="0" w:tentative="0">
      <w:start w:val="1"/>
      <w:numFmt w:val="decimal"/>
      <w:suff w:val="nothing"/>
      <w:lvlText w:val="（%1）"/>
      <w:lvlJc w:val="left"/>
    </w:lvl>
  </w:abstractNum>
  <w:abstractNum w:abstractNumId="7">
    <w:nsid w:val="D68F4F5E"/>
    <w:multiLevelType w:val="singleLevel"/>
    <w:tmpl w:val="D68F4F5E"/>
    <w:lvl w:ilvl="0" w:tentative="0">
      <w:start w:val="6"/>
      <w:numFmt w:val="decimal"/>
      <w:suff w:val="nothing"/>
      <w:lvlText w:val="%1、"/>
      <w:lvlJc w:val="left"/>
    </w:lvl>
  </w:abstractNum>
  <w:abstractNum w:abstractNumId="8">
    <w:nsid w:val="D7F9FE59"/>
    <w:multiLevelType w:val="multilevel"/>
    <w:tmpl w:val="D7F9FE59"/>
    <w:lvl w:ilvl="0" w:tentative="0">
      <w:start w:val="1"/>
      <w:numFmt w:val="decimal"/>
      <w:lvlText w:val="（%1）"/>
      <w:lvlJc w:val="left"/>
      <w:pPr>
        <w:ind w:left="134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54" w:hanging="525"/>
      </w:pPr>
      <w:rPr>
        <w:rFonts w:hint="default"/>
        <w:lang w:val="zh-CN" w:eastAsia="zh-CN" w:bidi="zh-CN"/>
      </w:rPr>
    </w:lvl>
    <w:lvl w:ilvl="2" w:tentative="0">
      <w:start w:val="0"/>
      <w:numFmt w:val="bullet"/>
      <w:lvlText w:val="•"/>
      <w:lvlJc w:val="left"/>
      <w:pPr>
        <w:ind w:left="3169" w:hanging="525"/>
      </w:pPr>
      <w:rPr>
        <w:rFonts w:hint="default"/>
        <w:lang w:val="zh-CN" w:eastAsia="zh-CN" w:bidi="zh-CN"/>
      </w:rPr>
    </w:lvl>
    <w:lvl w:ilvl="3" w:tentative="0">
      <w:start w:val="0"/>
      <w:numFmt w:val="bullet"/>
      <w:lvlText w:val="•"/>
      <w:lvlJc w:val="left"/>
      <w:pPr>
        <w:ind w:left="4083" w:hanging="525"/>
      </w:pPr>
      <w:rPr>
        <w:rFonts w:hint="default"/>
        <w:lang w:val="zh-CN" w:eastAsia="zh-CN" w:bidi="zh-CN"/>
      </w:rPr>
    </w:lvl>
    <w:lvl w:ilvl="4" w:tentative="0">
      <w:start w:val="0"/>
      <w:numFmt w:val="bullet"/>
      <w:lvlText w:val="•"/>
      <w:lvlJc w:val="left"/>
      <w:pPr>
        <w:ind w:left="4998" w:hanging="525"/>
      </w:pPr>
      <w:rPr>
        <w:rFonts w:hint="default"/>
        <w:lang w:val="zh-CN" w:eastAsia="zh-CN" w:bidi="zh-CN"/>
      </w:rPr>
    </w:lvl>
    <w:lvl w:ilvl="5" w:tentative="0">
      <w:start w:val="0"/>
      <w:numFmt w:val="bullet"/>
      <w:lvlText w:val="•"/>
      <w:lvlJc w:val="left"/>
      <w:pPr>
        <w:ind w:left="5913" w:hanging="525"/>
      </w:pPr>
      <w:rPr>
        <w:rFonts w:hint="default"/>
        <w:lang w:val="zh-CN" w:eastAsia="zh-CN" w:bidi="zh-CN"/>
      </w:rPr>
    </w:lvl>
    <w:lvl w:ilvl="6" w:tentative="0">
      <w:start w:val="0"/>
      <w:numFmt w:val="bullet"/>
      <w:lvlText w:val="•"/>
      <w:lvlJc w:val="left"/>
      <w:pPr>
        <w:ind w:left="6827" w:hanging="525"/>
      </w:pPr>
      <w:rPr>
        <w:rFonts w:hint="default"/>
        <w:lang w:val="zh-CN" w:eastAsia="zh-CN" w:bidi="zh-CN"/>
      </w:rPr>
    </w:lvl>
    <w:lvl w:ilvl="7" w:tentative="0">
      <w:start w:val="0"/>
      <w:numFmt w:val="bullet"/>
      <w:lvlText w:val="•"/>
      <w:lvlJc w:val="left"/>
      <w:pPr>
        <w:ind w:left="7742" w:hanging="525"/>
      </w:pPr>
      <w:rPr>
        <w:rFonts w:hint="default"/>
        <w:lang w:val="zh-CN" w:eastAsia="zh-CN" w:bidi="zh-CN"/>
      </w:rPr>
    </w:lvl>
    <w:lvl w:ilvl="8" w:tentative="0">
      <w:start w:val="0"/>
      <w:numFmt w:val="bullet"/>
      <w:lvlText w:val="•"/>
      <w:lvlJc w:val="left"/>
      <w:pPr>
        <w:ind w:left="8656" w:hanging="525"/>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1240" w:hanging="420"/>
        <w:jc w:val="left"/>
      </w:pPr>
      <w:rPr>
        <w:rFonts w:hint="default"/>
        <w:lang w:val="zh-CN" w:eastAsia="zh-CN" w:bidi="zh-CN"/>
      </w:rPr>
    </w:lvl>
    <w:lvl w:ilvl="1" w:tentative="0">
      <w:start w:val="1"/>
      <w:numFmt w:val="decimal"/>
      <w:lvlText w:val="%1.%2"/>
      <w:lvlJc w:val="left"/>
      <w:pPr>
        <w:ind w:left="1240"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089" w:hanging="420"/>
      </w:pPr>
      <w:rPr>
        <w:rFonts w:hint="default"/>
        <w:lang w:val="zh-CN" w:eastAsia="zh-CN" w:bidi="zh-CN"/>
      </w:rPr>
    </w:lvl>
    <w:lvl w:ilvl="3" w:tentative="0">
      <w:start w:val="0"/>
      <w:numFmt w:val="bullet"/>
      <w:lvlText w:val="•"/>
      <w:lvlJc w:val="left"/>
      <w:pPr>
        <w:ind w:left="4013" w:hanging="420"/>
      </w:pPr>
      <w:rPr>
        <w:rFonts w:hint="default"/>
        <w:lang w:val="zh-CN" w:eastAsia="zh-CN" w:bidi="zh-CN"/>
      </w:rPr>
    </w:lvl>
    <w:lvl w:ilvl="4" w:tentative="0">
      <w:start w:val="0"/>
      <w:numFmt w:val="bullet"/>
      <w:lvlText w:val="•"/>
      <w:lvlJc w:val="left"/>
      <w:pPr>
        <w:ind w:left="4938" w:hanging="420"/>
      </w:pPr>
      <w:rPr>
        <w:rFonts w:hint="default"/>
        <w:lang w:val="zh-CN" w:eastAsia="zh-CN" w:bidi="zh-CN"/>
      </w:rPr>
    </w:lvl>
    <w:lvl w:ilvl="5" w:tentative="0">
      <w:start w:val="0"/>
      <w:numFmt w:val="bullet"/>
      <w:lvlText w:val="•"/>
      <w:lvlJc w:val="left"/>
      <w:pPr>
        <w:ind w:left="5863" w:hanging="420"/>
      </w:pPr>
      <w:rPr>
        <w:rFonts w:hint="default"/>
        <w:lang w:val="zh-CN" w:eastAsia="zh-CN" w:bidi="zh-CN"/>
      </w:rPr>
    </w:lvl>
    <w:lvl w:ilvl="6" w:tentative="0">
      <w:start w:val="0"/>
      <w:numFmt w:val="bullet"/>
      <w:lvlText w:val="•"/>
      <w:lvlJc w:val="left"/>
      <w:pPr>
        <w:ind w:left="6787" w:hanging="420"/>
      </w:pPr>
      <w:rPr>
        <w:rFonts w:hint="default"/>
        <w:lang w:val="zh-CN" w:eastAsia="zh-CN" w:bidi="zh-CN"/>
      </w:rPr>
    </w:lvl>
    <w:lvl w:ilvl="7" w:tentative="0">
      <w:start w:val="0"/>
      <w:numFmt w:val="bullet"/>
      <w:lvlText w:val="•"/>
      <w:lvlJc w:val="left"/>
      <w:pPr>
        <w:ind w:left="7712" w:hanging="420"/>
      </w:pPr>
      <w:rPr>
        <w:rFonts w:hint="default"/>
        <w:lang w:val="zh-CN" w:eastAsia="zh-CN" w:bidi="zh-CN"/>
      </w:rPr>
    </w:lvl>
    <w:lvl w:ilvl="8" w:tentative="0">
      <w:start w:val="0"/>
      <w:numFmt w:val="bullet"/>
      <w:lvlText w:val="•"/>
      <w:lvlJc w:val="left"/>
      <w:pPr>
        <w:ind w:left="8636" w:hanging="420"/>
      </w:pPr>
      <w:rPr>
        <w:rFonts w:hint="default"/>
        <w:lang w:val="zh-CN" w:eastAsia="zh-CN" w:bidi="zh-CN"/>
      </w:rPr>
    </w:lvl>
  </w:abstractNum>
  <w:abstractNum w:abstractNumId="10">
    <w:nsid w:val="F4B5D9F5"/>
    <w:multiLevelType w:val="multilevel"/>
    <w:tmpl w:val="F4B5D9F5"/>
    <w:lvl w:ilvl="0" w:tentative="0">
      <w:start w:val="1"/>
      <w:numFmt w:val="decimal"/>
      <w:lvlText w:val="%1."/>
      <w:lvlJc w:val="left"/>
      <w:pPr>
        <w:ind w:left="10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984" w:hanging="212"/>
      </w:pPr>
      <w:rPr>
        <w:rFonts w:hint="default"/>
        <w:lang w:val="zh-CN" w:eastAsia="zh-CN" w:bidi="zh-CN"/>
      </w:rPr>
    </w:lvl>
    <w:lvl w:ilvl="2" w:tentative="0">
      <w:start w:val="0"/>
      <w:numFmt w:val="bullet"/>
      <w:lvlText w:val="•"/>
      <w:lvlJc w:val="left"/>
      <w:pPr>
        <w:ind w:left="2929" w:hanging="212"/>
      </w:pPr>
      <w:rPr>
        <w:rFonts w:hint="default"/>
        <w:lang w:val="zh-CN" w:eastAsia="zh-CN" w:bidi="zh-CN"/>
      </w:rPr>
    </w:lvl>
    <w:lvl w:ilvl="3" w:tentative="0">
      <w:start w:val="0"/>
      <w:numFmt w:val="bullet"/>
      <w:lvlText w:val="•"/>
      <w:lvlJc w:val="left"/>
      <w:pPr>
        <w:ind w:left="3873" w:hanging="212"/>
      </w:pPr>
      <w:rPr>
        <w:rFonts w:hint="default"/>
        <w:lang w:val="zh-CN" w:eastAsia="zh-CN" w:bidi="zh-CN"/>
      </w:rPr>
    </w:lvl>
    <w:lvl w:ilvl="4" w:tentative="0">
      <w:start w:val="0"/>
      <w:numFmt w:val="bullet"/>
      <w:lvlText w:val="•"/>
      <w:lvlJc w:val="left"/>
      <w:pPr>
        <w:ind w:left="4818" w:hanging="212"/>
      </w:pPr>
      <w:rPr>
        <w:rFonts w:hint="default"/>
        <w:lang w:val="zh-CN" w:eastAsia="zh-CN" w:bidi="zh-CN"/>
      </w:rPr>
    </w:lvl>
    <w:lvl w:ilvl="5" w:tentative="0">
      <w:start w:val="0"/>
      <w:numFmt w:val="bullet"/>
      <w:lvlText w:val="•"/>
      <w:lvlJc w:val="left"/>
      <w:pPr>
        <w:ind w:left="5763" w:hanging="212"/>
      </w:pPr>
      <w:rPr>
        <w:rFonts w:hint="default"/>
        <w:lang w:val="zh-CN" w:eastAsia="zh-CN" w:bidi="zh-CN"/>
      </w:rPr>
    </w:lvl>
    <w:lvl w:ilvl="6" w:tentative="0">
      <w:start w:val="0"/>
      <w:numFmt w:val="bullet"/>
      <w:lvlText w:val="•"/>
      <w:lvlJc w:val="left"/>
      <w:pPr>
        <w:ind w:left="6707" w:hanging="212"/>
      </w:pPr>
      <w:rPr>
        <w:rFonts w:hint="default"/>
        <w:lang w:val="zh-CN" w:eastAsia="zh-CN" w:bidi="zh-CN"/>
      </w:rPr>
    </w:lvl>
    <w:lvl w:ilvl="7" w:tentative="0">
      <w:start w:val="0"/>
      <w:numFmt w:val="bullet"/>
      <w:lvlText w:val="•"/>
      <w:lvlJc w:val="left"/>
      <w:pPr>
        <w:ind w:left="7652" w:hanging="212"/>
      </w:pPr>
      <w:rPr>
        <w:rFonts w:hint="default"/>
        <w:lang w:val="zh-CN" w:eastAsia="zh-CN" w:bidi="zh-CN"/>
      </w:rPr>
    </w:lvl>
    <w:lvl w:ilvl="8" w:tentative="0">
      <w:start w:val="0"/>
      <w:numFmt w:val="bullet"/>
      <w:lvlText w:val="•"/>
      <w:lvlJc w:val="left"/>
      <w:pPr>
        <w:ind w:left="8596" w:hanging="212"/>
      </w:pPr>
      <w:rPr>
        <w:rFonts w:hint="default"/>
        <w:lang w:val="zh-CN" w:eastAsia="zh-CN" w:bidi="zh-CN"/>
      </w:rPr>
    </w:lvl>
  </w:abstractNum>
  <w:abstractNum w:abstractNumId="11">
    <w:nsid w:val="0E640482"/>
    <w:multiLevelType w:val="multilevel"/>
    <w:tmpl w:val="0E640482"/>
    <w:lvl w:ilvl="0" w:tentative="0">
      <w:start w:val="1"/>
      <w:numFmt w:val="decimal"/>
      <w:lvlText w:val="%1."/>
      <w:lvlJc w:val="left"/>
      <w:pPr>
        <w:ind w:left="10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984" w:hanging="212"/>
      </w:pPr>
      <w:rPr>
        <w:rFonts w:hint="default"/>
        <w:lang w:val="zh-CN" w:eastAsia="zh-CN" w:bidi="zh-CN"/>
      </w:rPr>
    </w:lvl>
    <w:lvl w:ilvl="2" w:tentative="0">
      <w:start w:val="0"/>
      <w:numFmt w:val="bullet"/>
      <w:lvlText w:val="•"/>
      <w:lvlJc w:val="left"/>
      <w:pPr>
        <w:ind w:left="2929" w:hanging="212"/>
      </w:pPr>
      <w:rPr>
        <w:rFonts w:hint="default"/>
        <w:lang w:val="zh-CN" w:eastAsia="zh-CN" w:bidi="zh-CN"/>
      </w:rPr>
    </w:lvl>
    <w:lvl w:ilvl="3" w:tentative="0">
      <w:start w:val="0"/>
      <w:numFmt w:val="bullet"/>
      <w:lvlText w:val="•"/>
      <w:lvlJc w:val="left"/>
      <w:pPr>
        <w:ind w:left="3873" w:hanging="212"/>
      </w:pPr>
      <w:rPr>
        <w:rFonts w:hint="default"/>
        <w:lang w:val="zh-CN" w:eastAsia="zh-CN" w:bidi="zh-CN"/>
      </w:rPr>
    </w:lvl>
    <w:lvl w:ilvl="4" w:tentative="0">
      <w:start w:val="0"/>
      <w:numFmt w:val="bullet"/>
      <w:lvlText w:val="•"/>
      <w:lvlJc w:val="left"/>
      <w:pPr>
        <w:ind w:left="4818" w:hanging="212"/>
      </w:pPr>
      <w:rPr>
        <w:rFonts w:hint="default"/>
        <w:lang w:val="zh-CN" w:eastAsia="zh-CN" w:bidi="zh-CN"/>
      </w:rPr>
    </w:lvl>
    <w:lvl w:ilvl="5" w:tentative="0">
      <w:start w:val="0"/>
      <w:numFmt w:val="bullet"/>
      <w:lvlText w:val="•"/>
      <w:lvlJc w:val="left"/>
      <w:pPr>
        <w:ind w:left="5763" w:hanging="212"/>
      </w:pPr>
      <w:rPr>
        <w:rFonts w:hint="default"/>
        <w:lang w:val="zh-CN" w:eastAsia="zh-CN" w:bidi="zh-CN"/>
      </w:rPr>
    </w:lvl>
    <w:lvl w:ilvl="6" w:tentative="0">
      <w:start w:val="0"/>
      <w:numFmt w:val="bullet"/>
      <w:lvlText w:val="•"/>
      <w:lvlJc w:val="left"/>
      <w:pPr>
        <w:ind w:left="6707" w:hanging="212"/>
      </w:pPr>
      <w:rPr>
        <w:rFonts w:hint="default"/>
        <w:lang w:val="zh-CN" w:eastAsia="zh-CN" w:bidi="zh-CN"/>
      </w:rPr>
    </w:lvl>
    <w:lvl w:ilvl="7" w:tentative="0">
      <w:start w:val="0"/>
      <w:numFmt w:val="bullet"/>
      <w:lvlText w:val="•"/>
      <w:lvlJc w:val="left"/>
      <w:pPr>
        <w:ind w:left="7652" w:hanging="212"/>
      </w:pPr>
      <w:rPr>
        <w:rFonts w:hint="default"/>
        <w:lang w:val="zh-CN" w:eastAsia="zh-CN" w:bidi="zh-CN"/>
      </w:rPr>
    </w:lvl>
    <w:lvl w:ilvl="8" w:tentative="0">
      <w:start w:val="0"/>
      <w:numFmt w:val="bullet"/>
      <w:lvlText w:val="•"/>
      <w:lvlJc w:val="left"/>
      <w:pPr>
        <w:ind w:left="8596" w:hanging="212"/>
      </w:pPr>
      <w:rPr>
        <w:rFonts w:hint="default"/>
        <w:lang w:val="zh-CN" w:eastAsia="zh-CN" w:bidi="zh-CN"/>
      </w:rPr>
    </w:lvl>
  </w:abstractNum>
  <w:abstractNum w:abstractNumId="12">
    <w:nsid w:val="2470EC97"/>
    <w:multiLevelType w:val="multilevel"/>
    <w:tmpl w:val="2470EC97"/>
    <w:lvl w:ilvl="0" w:tentative="0">
      <w:start w:val="1"/>
      <w:numFmt w:val="decimal"/>
      <w:lvlText w:val="%1."/>
      <w:lvlJc w:val="left"/>
      <w:pPr>
        <w:ind w:left="820" w:hanging="315"/>
        <w:jc w:val="righ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240"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67" w:hanging="420"/>
      </w:pPr>
      <w:rPr>
        <w:rFonts w:hint="default"/>
        <w:lang w:val="zh-CN" w:eastAsia="zh-CN" w:bidi="zh-CN"/>
      </w:rPr>
    </w:lvl>
    <w:lvl w:ilvl="3" w:tentative="0">
      <w:start w:val="0"/>
      <w:numFmt w:val="bullet"/>
      <w:lvlText w:val="•"/>
      <w:lvlJc w:val="left"/>
      <w:pPr>
        <w:ind w:left="3294" w:hanging="420"/>
      </w:pPr>
      <w:rPr>
        <w:rFonts w:hint="default"/>
        <w:lang w:val="zh-CN" w:eastAsia="zh-CN" w:bidi="zh-CN"/>
      </w:rPr>
    </w:lvl>
    <w:lvl w:ilvl="4" w:tentative="0">
      <w:start w:val="0"/>
      <w:numFmt w:val="bullet"/>
      <w:lvlText w:val="•"/>
      <w:lvlJc w:val="left"/>
      <w:pPr>
        <w:ind w:left="4322" w:hanging="420"/>
      </w:pPr>
      <w:rPr>
        <w:rFonts w:hint="default"/>
        <w:lang w:val="zh-CN" w:eastAsia="zh-CN" w:bidi="zh-CN"/>
      </w:rPr>
    </w:lvl>
    <w:lvl w:ilvl="5" w:tentative="0">
      <w:start w:val="0"/>
      <w:numFmt w:val="bullet"/>
      <w:lvlText w:val="•"/>
      <w:lvlJc w:val="left"/>
      <w:pPr>
        <w:ind w:left="5349" w:hanging="420"/>
      </w:pPr>
      <w:rPr>
        <w:rFonts w:hint="default"/>
        <w:lang w:val="zh-CN" w:eastAsia="zh-CN" w:bidi="zh-CN"/>
      </w:rPr>
    </w:lvl>
    <w:lvl w:ilvl="6" w:tentative="0">
      <w:start w:val="0"/>
      <w:numFmt w:val="bullet"/>
      <w:lvlText w:val="•"/>
      <w:lvlJc w:val="left"/>
      <w:pPr>
        <w:ind w:left="6376" w:hanging="420"/>
      </w:pPr>
      <w:rPr>
        <w:rFonts w:hint="default"/>
        <w:lang w:val="zh-CN" w:eastAsia="zh-CN" w:bidi="zh-CN"/>
      </w:rPr>
    </w:lvl>
    <w:lvl w:ilvl="7" w:tentative="0">
      <w:start w:val="0"/>
      <w:numFmt w:val="bullet"/>
      <w:lvlText w:val="•"/>
      <w:lvlJc w:val="left"/>
      <w:pPr>
        <w:ind w:left="7404" w:hanging="420"/>
      </w:pPr>
      <w:rPr>
        <w:rFonts w:hint="default"/>
        <w:lang w:val="zh-CN" w:eastAsia="zh-CN" w:bidi="zh-CN"/>
      </w:rPr>
    </w:lvl>
    <w:lvl w:ilvl="8" w:tentative="0">
      <w:start w:val="0"/>
      <w:numFmt w:val="bullet"/>
      <w:lvlText w:val="•"/>
      <w:lvlJc w:val="left"/>
      <w:pPr>
        <w:ind w:left="8431" w:hanging="420"/>
      </w:pPr>
      <w:rPr>
        <w:rFonts w:hint="default"/>
        <w:lang w:val="zh-CN" w:eastAsia="zh-CN" w:bidi="zh-CN"/>
      </w:rPr>
    </w:lvl>
  </w:abstractNum>
  <w:abstractNum w:abstractNumId="13">
    <w:nsid w:val="46A08BB8"/>
    <w:multiLevelType w:val="multilevel"/>
    <w:tmpl w:val="46A08BB8"/>
    <w:lvl w:ilvl="0" w:tentative="0">
      <w:start w:val="1"/>
      <w:numFmt w:val="decimal"/>
      <w:lvlText w:val="（%1）"/>
      <w:lvlJc w:val="left"/>
      <w:pPr>
        <w:ind w:left="134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54" w:hanging="525"/>
      </w:pPr>
      <w:rPr>
        <w:rFonts w:hint="default"/>
        <w:lang w:val="zh-CN" w:eastAsia="zh-CN" w:bidi="zh-CN"/>
      </w:rPr>
    </w:lvl>
    <w:lvl w:ilvl="2" w:tentative="0">
      <w:start w:val="0"/>
      <w:numFmt w:val="bullet"/>
      <w:lvlText w:val="•"/>
      <w:lvlJc w:val="left"/>
      <w:pPr>
        <w:ind w:left="3169" w:hanging="525"/>
      </w:pPr>
      <w:rPr>
        <w:rFonts w:hint="default"/>
        <w:lang w:val="zh-CN" w:eastAsia="zh-CN" w:bidi="zh-CN"/>
      </w:rPr>
    </w:lvl>
    <w:lvl w:ilvl="3" w:tentative="0">
      <w:start w:val="0"/>
      <w:numFmt w:val="bullet"/>
      <w:lvlText w:val="•"/>
      <w:lvlJc w:val="left"/>
      <w:pPr>
        <w:ind w:left="4083" w:hanging="525"/>
      </w:pPr>
      <w:rPr>
        <w:rFonts w:hint="default"/>
        <w:lang w:val="zh-CN" w:eastAsia="zh-CN" w:bidi="zh-CN"/>
      </w:rPr>
    </w:lvl>
    <w:lvl w:ilvl="4" w:tentative="0">
      <w:start w:val="0"/>
      <w:numFmt w:val="bullet"/>
      <w:lvlText w:val="•"/>
      <w:lvlJc w:val="left"/>
      <w:pPr>
        <w:ind w:left="4998" w:hanging="525"/>
      </w:pPr>
      <w:rPr>
        <w:rFonts w:hint="default"/>
        <w:lang w:val="zh-CN" w:eastAsia="zh-CN" w:bidi="zh-CN"/>
      </w:rPr>
    </w:lvl>
    <w:lvl w:ilvl="5" w:tentative="0">
      <w:start w:val="0"/>
      <w:numFmt w:val="bullet"/>
      <w:lvlText w:val="•"/>
      <w:lvlJc w:val="left"/>
      <w:pPr>
        <w:ind w:left="5913" w:hanging="525"/>
      </w:pPr>
      <w:rPr>
        <w:rFonts w:hint="default"/>
        <w:lang w:val="zh-CN" w:eastAsia="zh-CN" w:bidi="zh-CN"/>
      </w:rPr>
    </w:lvl>
    <w:lvl w:ilvl="6" w:tentative="0">
      <w:start w:val="0"/>
      <w:numFmt w:val="bullet"/>
      <w:lvlText w:val="•"/>
      <w:lvlJc w:val="left"/>
      <w:pPr>
        <w:ind w:left="6827" w:hanging="525"/>
      </w:pPr>
      <w:rPr>
        <w:rFonts w:hint="default"/>
        <w:lang w:val="zh-CN" w:eastAsia="zh-CN" w:bidi="zh-CN"/>
      </w:rPr>
    </w:lvl>
    <w:lvl w:ilvl="7" w:tentative="0">
      <w:start w:val="0"/>
      <w:numFmt w:val="bullet"/>
      <w:lvlText w:val="•"/>
      <w:lvlJc w:val="left"/>
      <w:pPr>
        <w:ind w:left="7742" w:hanging="525"/>
      </w:pPr>
      <w:rPr>
        <w:rFonts w:hint="default"/>
        <w:lang w:val="zh-CN" w:eastAsia="zh-CN" w:bidi="zh-CN"/>
      </w:rPr>
    </w:lvl>
    <w:lvl w:ilvl="8" w:tentative="0">
      <w:start w:val="0"/>
      <w:numFmt w:val="bullet"/>
      <w:lvlText w:val="•"/>
      <w:lvlJc w:val="left"/>
      <w:pPr>
        <w:ind w:left="8656" w:hanging="525"/>
      </w:pPr>
      <w:rPr>
        <w:rFonts w:hint="default"/>
        <w:lang w:val="zh-CN" w:eastAsia="zh-CN" w:bidi="zh-CN"/>
      </w:rPr>
    </w:lvl>
  </w:abstractNum>
  <w:abstractNum w:abstractNumId="14">
    <w:nsid w:val="489FDE03"/>
    <w:multiLevelType w:val="singleLevel"/>
    <w:tmpl w:val="489FDE03"/>
    <w:lvl w:ilvl="0" w:tentative="0">
      <w:start w:val="2"/>
      <w:numFmt w:val="decimal"/>
      <w:suff w:val="nothing"/>
      <w:lvlText w:val="%1、"/>
      <w:lvlJc w:val="left"/>
    </w:lvl>
  </w:abstractNum>
  <w:abstractNum w:abstractNumId="15">
    <w:nsid w:val="4C1BAE26"/>
    <w:multiLevelType w:val="multilevel"/>
    <w:tmpl w:val="4C1BAE26"/>
    <w:lvl w:ilvl="0" w:tentative="0">
      <w:start w:val="1"/>
      <w:numFmt w:val="decimal"/>
      <w:lvlText w:val="（%1）"/>
      <w:lvlJc w:val="left"/>
      <w:pPr>
        <w:ind w:left="134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54" w:hanging="525"/>
      </w:pPr>
      <w:rPr>
        <w:rFonts w:hint="default"/>
        <w:lang w:val="zh-CN" w:eastAsia="zh-CN" w:bidi="zh-CN"/>
      </w:rPr>
    </w:lvl>
    <w:lvl w:ilvl="2" w:tentative="0">
      <w:start w:val="0"/>
      <w:numFmt w:val="bullet"/>
      <w:lvlText w:val="•"/>
      <w:lvlJc w:val="left"/>
      <w:pPr>
        <w:ind w:left="3169" w:hanging="525"/>
      </w:pPr>
      <w:rPr>
        <w:rFonts w:hint="default"/>
        <w:lang w:val="zh-CN" w:eastAsia="zh-CN" w:bidi="zh-CN"/>
      </w:rPr>
    </w:lvl>
    <w:lvl w:ilvl="3" w:tentative="0">
      <w:start w:val="0"/>
      <w:numFmt w:val="bullet"/>
      <w:lvlText w:val="•"/>
      <w:lvlJc w:val="left"/>
      <w:pPr>
        <w:ind w:left="4083" w:hanging="525"/>
      </w:pPr>
      <w:rPr>
        <w:rFonts w:hint="default"/>
        <w:lang w:val="zh-CN" w:eastAsia="zh-CN" w:bidi="zh-CN"/>
      </w:rPr>
    </w:lvl>
    <w:lvl w:ilvl="4" w:tentative="0">
      <w:start w:val="0"/>
      <w:numFmt w:val="bullet"/>
      <w:lvlText w:val="•"/>
      <w:lvlJc w:val="left"/>
      <w:pPr>
        <w:ind w:left="4998" w:hanging="525"/>
      </w:pPr>
      <w:rPr>
        <w:rFonts w:hint="default"/>
        <w:lang w:val="zh-CN" w:eastAsia="zh-CN" w:bidi="zh-CN"/>
      </w:rPr>
    </w:lvl>
    <w:lvl w:ilvl="5" w:tentative="0">
      <w:start w:val="0"/>
      <w:numFmt w:val="bullet"/>
      <w:lvlText w:val="•"/>
      <w:lvlJc w:val="left"/>
      <w:pPr>
        <w:ind w:left="5913" w:hanging="525"/>
      </w:pPr>
      <w:rPr>
        <w:rFonts w:hint="default"/>
        <w:lang w:val="zh-CN" w:eastAsia="zh-CN" w:bidi="zh-CN"/>
      </w:rPr>
    </w:lvl>
    <w:lvl w:ilvl="6" w:tentative="0">
      <w:start w:val="0"/>
      <w:numFmt w:val="bullet"/>
      <w:lvlText w:val="•"/>
      <w:lvlJc w:val="left"/>
      <w:pPr>
        <w:ind w:left="6827" w:hanging="525"/>
      </w:pPr>
      <w:rPr>
        <w:rFonts w:hint="default"/>
        <w:lang w:val="zh-CN" w:eastAsia="zh-CN" w:bidi="zh-CN"/>
      </w:rPr>
    </w:lvl>
    <w:lvl w:ilvl="7" w:tentative="0">
      <w:start w:val="0"/>
      <w:numFmt w:val="bullet"/>
      <w:lvlText w:val="•"/>
      <w:lvlJc w:val="left"/>
      <w:pPr>
        <w:ind w:left="7742" w:hanging="525"/>
      </w:pPr>
      <w:rPr>
        <w:rFonts w:hint="default"/>
        <w:lang w:val="zh-CN" w:eastAsia="zh-CN" w:bidi="zh-CN"/>
      </w:rPr>
    </w:lvl>
    <w:lvl w:ilvl="8" w:tentative="0">
      <w:start w:val="0"/>
      <w:numFmt w:val="bullet"/>
      <w:lvlText w:val="•"/>
      <w:lvlJc w:val="left"/>
      <w:pPr>
        <w:ind w:left="8656" w:hanging="525"/>
      </w:pPr>
      <w:rPr>
        <w:rFonts w:hint="default"/>
        <w:lang w:val="zh-CN" w:eastAsia="zh-CN" w:bidi="zh-CN"/>
      </w:rPr>
    </w:lvl>
  </w:abstractNum>
  <w:abstractNum w:abstractNumId="16">
    <w:nsid w:val="60382F6E"/>
    <w:multiLevelType w:val="multilevel"/>
    <w:tmpl w:val="60382F6E"/>
    <w:lvl w:ilvl="0" w:tentative="0">
      <w:start w:val="1"/>
      <w:numFmt w:val="decimal"/>
      <w:lvlText w:val="%1."/>
      <w:lvlJc w:val="left"/>
      <w:pPr>
        <w:ind w:left="400"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408" w:hanging="212"/>
      </w:pPr>
      <w:rPr>
        <w:rFonts w:hint="default"/>
        <w:lang w:val="zh-CN" w:eastAsia="zh-CN" w:bidi="zh-CN"/>
      </w:rPr>
    </w:lvl>
    <w:lvl w:ilvl="2" w:tentative="0">
      <w:start w:val="0"/>
      <w:numFmt w:val="bullet"/>
      <w:lvlText w:val="•"/>
      <w:lvlJc w:val="left"/>
      <w:pPr>
        <w:ind w:left="2417" w:hanging="212"/>
      </w:pPr>
      <w:rPr>
        <w:rFonts w:hint="default"/>
        <w:lang w:val="zh-CN" w:eastAsia="zh-CN" w:bidi="zh-CN"/>
      </w:rPr>
    </w:lvl>
    <w:lvl w:ilvl="3" w:tentative="0">
      <w:start w:val="0"/>
      <w:numFmt w:val="bullet"/>
      <w:lvlText w:val="•"/>
      <w:lvlJc w:val="left"/>
      <w:pPr>
        <w:ind w:left="3425" w:hanging="212"/>
      </w:pPr>
      <w:rPr>
        <w:rFonts w:hint="default"/>
        <w:lang w:val="zh-CN" w:eastAsia="zh-CN" w:bidi="zh-CN"/>
      </w:rPr>
    </w:lvl>
    <w:lvl w:ilvl="4" w:tentative="0">
      <w:start w:val="0"/>
      <w:numFmt w:val="bullet"/>
      <w:lvlText w:val="•"/>
      <w:lvlJc w:val="left"/>
      <w:pPr>
        <w:ind w:left="4434" w:hanging="212"/>
      </w:pPr>
      <w:rPr>
        <w:rFonts w:hint="default"/>
        <w:lang w:val="zh-CN" w:eastAsia="zh-CN" w:bidi="zh-CN"/>
      </w:rPr>
    </w:lvl>
    <w:lvl w:ilvl="5" w:tentative="0">
      <w:start w:val="0"/>
      <w:numFmt w:val="bullet"/>
      <w:lvlText w:val="•"/>
      <w:lvlJc w:val="left"/>
      <w:pPr>
        <w:ind w:left="5443" w:hanging="212"/>
      </w:pPr>
      <w:rPr>
        <w:rFonts w:hint="default"/>
        <w:lang w:val="zh-CN" w:eastAsia="zh-CN" w:bidi="zh-CN"/>
      </w:rPr>
    </w:lvl>
    <w:lvl w:ilvl="6" w:tentative="0">
      <w:start w:val="0"/>
      <w:numFmt w:val="bullet"/>
      <w:lvlText w:val="•"/>
      <w:lvlJc w:val="left"/>
      <w:pPr>
        <w:ind w:left="6451" w:hanging="212"/>
      </w:pPr>
      <w:rPr>
        <w:rFonts w:hint="default"/>
        <w:lang w:val="zh-CN" w:eastAsia="zh-CN" w:bidi="zh-CN"/>
      </w:rPr>
    </w:lvl>
    <w:lvl w:ilvl="7" w:tentative="0">
      <w:start w:val="0"/>
      <w:numFmt w:val="bullet"/>
      <w:lvlText w:val="•"/>
      <w:lvlJc w:val="left"/>
      <w:pPr>
        <w:ind w:left="7460" w:hanging="212"/>
      </w:pPr>
      <w:rPr>
        <w:rFonts w:hint="default"/>
        <w:lang w:val="zh-CN" w:eastAsia="zh-CN" w:bidi="zh-CN"/>
      </w:rPr>
    </w:lvl>
    <w:lvl w:ilvl="8" w:tentative="0">
      <w:start w:val="0"/>
      <w:numFmt w:val="bullet"/>
      <w:lvlText w:val="•"/>
      <w:lvlJc w:val="left"/>
      <w:pPr>
        <w:ind w:left="8468" w:hanging="212"/>
      </w:pPr>
      <w:rPr>
        <w:rFonts w:hint="default"/>
        <w:lang w:val="zh-CN" w:eastAsia="zh-CN" w:bidi="zh-CN"/>
      </w:rPr>
    </w:lvl>
  </w:abstractNum>
  <w:abstractNum w:abstractNumId="17">
    <w:nsid w:val="629F7852"/>
    <w:multiLevelType w:val="multilevel"/>
    <w:tmpl w:val="629F7852"/>
    <w:lvl w:ilvl="0" w:tentative="0">
      <w:start w:val="1"/>
      <w:numFmt w:val="decimal"/>
      <w:lvlText w:val="%1."/>
      <w:lvlJc w:val="left"/>
      <w:pPr>
        <w:ind w:left="40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408" w:hanging="212"/>
      </w:pPr>
      <w:rPr>
        <w:rFonts w:hint="default"/>
        <w:lang w:val="zh-CN" w:eastAsia="zh-CN" w:bidi="zh-CN"/>
      </w:rPr>
    </w:lvl>
    <w:lvl w:ilvl="2" w:tentative="0">
      <w:start w:val="0"/>
      <w:numFmt w:val="bullet"/>
      <w:lvlText w:val="•"/>
      <w:lvlJc w:val="left"/>
      <w:pPr>
        <w:ind w:left="2417" w:hanging="212"/>
      </w:pPr>
      <w:rPr>
        <w:rFonts w:hint="default"/>
        <w:lang w:val="zh-CN" w:eastAsia="zh-CN" w:bidi="zh-CN"/>
      </w:rPr>
    </w:lvl>
    <w:lvl w:ilvl="3" w:tentative="0">
      <w:start w:val="0"/>
      <w:numFmt w:val="bullet"/>
      <w:lvlText w:val="•"/>
      <w:lvlJc w:val="left"/>
      <w:pPr>
        <w:ind w:left="3425" w:hanging="212"/>
      </w:pPr>
      <w:rPr>
        <w:rFonts w:hint="default"/>
        <w:lang w:val="zh-CN" w:eastAsia="zh-CN" w:bidi="zh-CN"/>
      </w:rPr>
    </w:lvl>
    <w:lvl w:ilvl="4" w:tentative="0">
      <w:start w:val="0"/>
      <w:numFmt w:val="bullet"/>
      <w:lvlText w:val="•"/>
      <w:lvlJc w:val="left"/>
      <w:pPr>
        <w:ind w:left="4434" w:hanging="212"/>
      </w:pPr>
      <w:rPr>
        <w:rFonts w:hint="default"/>
        <w:lang w:val="zh-CN" w:eastAsia="zh-CN" w:bidi="zh-CN"/>
      </w:rPr>
    </w:lvl>
    <w:lvl w:ilvl="5" w:tentative="0">
      <w:start w:val="0"/>
      <w:numFmt w:val="bullet"/>
      <w:lvlText w:val="•"/>
      <w:lvlJc w:val="left"/>
      <w:pPr>
        <w:ind w:left="5443" w:hanging="212"/>
      </w:pPr>
      <w:rPr>
        <w:rFonts w:hint="default"/>
        <w:lang w:val="zh-CN" w:eastAsia="zh-CN" w:bidi="zh-CN"/>
      </w:rPr>
    </w:lvl>
    <w:lvl w:ilvl="6" w:tentative="0">
      <w:start w:val="0"/>
      <w:numFmt w:val="bullet"/>
      <w:lvlText w:val="•"/>
      <w:lvlJc w:val="left"/>
      <w:pPr>
        <w:ind w:left="6451" w:hanging="212"/>
      </w:pPr>
      <w:rPr>
        <w:rFonts w:hint="default"/>
        <w:lang w:val="zh-CN" w:eastAsia="zh-CN" w:bidi="zh-CN"/>
      </w:rPr>
    </w:lvl>
    <w:lvl w:ilvl="7" w:tentative="0">
      <w:start w:val="0"/>
      <w:numFmt w:val="bullet"/>
      <w:lvlText w:val="•"/>
      <w:lvlJc w:val="left"/>
      <w:pPr>
        <w:ind w:left="7460" w:hanging="212"/>
      </w:pPr>
      <w:rPr>
        <w:rFonts w:hint="default"/>
        <w:lang w:val="zh-CN" w:eastAsia="zh-CN" w:bidi="zh-CN"/>
      </w:rPr>
    </w:lvl>
    <w:lvl w:ilvl="8" w:tentative="0">
      <w:start w:val="0"/>
      <w:numFmt w:val="bullet"/>
      <w:lvlText w:val="•"/>
      <w:lvlJc w:val="left"/>
      <w:pPr>
        <w:ind w:left="8468" w:hanging="212"/>
      </w:pPr>
      <w:rPr>
        <w:rFonts w:hint="default"/>
        <w:lang w:val="zh-CN" w:eastAsia="zh-CN" w:bidi="zh-CN"/>
      </w:rPr>
    </w:lvl>
  </w:abstractNum>
  <w:abstractNum w:abstractNumId="18">
    <w:nsid w:val="77ECEA79"/>
    <w:multiLevelType w:val="multilevel"/>
    <w:tmpl w:val="77ECEA79"/>
    <w:lvl w:ilvl="0" w:tentative="0">
      <w:start w:val="1"/>
      <w:numFmt w:val="decimal"/>
      <w:lvlText w:val="%1."/>
      <w:lvlJc w:val="left"/>
      <w:pPr>
        <w:ind w:left="40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408" w:hanging="212"/>
      </w:pPr>
      <w:rPr>
        <w:rFonts w:hint="default"/>
        <w:lang w:val="zh-CN" w:eastAsia="zh-CN" w:bidi="zh-CN"/>
      </w:rPr>
    </w:lvl>
    <w:lvl w:ilvl="2" w:tentative="0">
      <w:start w:val="0"/>
      <w:numFmt w:val="bullet"/>
      <w:lvlText w:val="•"/>
      <w:lvlJc w:val="left"/>
      <w:pPr>
        <w:ind w:left="2417" w:hanging="212"/>
      </w:pPr>
      <w:rPr>
        <w:rFonts w:hint="default"/>
        <w:lang w:val="zh-CN" w:eastAsia="zh-CN" w:bidi="zh-CN"/>
      </w:rPr>
    </w:lvl>
    <w:lvl w:ilvl="3" w:tentative="0">
      <w:start w:val="0"/>
      <w:numFmt w:val="bullet"/>
      <w:lvlText w:val="•"/>
      <w:lvlJc w:val="left"/>
      <w:pPr>
        <w:ind w:left="3425" w:hanging="212"/>
      </w:pPr>
      <w:rPr>
        <w:rFonts w:hint="default"/>
        <w:lang w:val="zh-CN" w:eastAsia="zh-CN" w:bidi="zh-CN"/>
      </w:rPr>
    </w:lvl>
    <w:lvl w:ilvl="4" w:tentative="0">
      <w:start w:val="0"/>
      <w:numFmt w:val="bullet"/>
      <w:lvlText w:val="•"/>
      <w:lvlJc w:val="left"/>
      <w:pPr>
        <w:ind w:left="4434" w:hanging="212"/>
      </w:pPr>
      <w:rPr>
        <w:rFonts w:hint="default"/>
        <w:lang w:val="zh-CN" w:eastAsia="zh-CN" w:bidi="zh-CN"/>
      </w:rPr>
    </w:lvl>
    <w:lvl w:ilvl="5" w:tentative="0">
      <w:start w:val="0"/>
      <w:numFmt w:val="bullet"/>
      <w:lvlText w:val="•"/>
      <w:lvlJc w:val="left"/>
      <w:pPr>
        <w:ind w:left="5443" w:hanging="212"/>
      </w:pPr>
      <w:rPr>
        <w:rFonts w:hint="default"/>
        <w:lang w:val="zh-CN" w:eastAsia="zh-CN" w:bidi="zh-CN"/>
      </w:rPr>
    </w:lvl>
    <w:lvl w:ilvl="6" w:tentative="0">
      <w:start w:val="0"/>
      <w:numFmt w:val="bullet"/>
      <w:lvlText w:val="•"/>
      <w:lvlJc w:val="left"/>
      <w:pPr>
        <w:ind w:left="6451" w:hanging="212"/>
      </w:pPr>
      <w:rPr>
        <w:rFonts w:hint="default"/>
        <w:lang w:val="zh-CN" w:eastAsia="zh-CN" w:bidi="zh-CN"/>
      </w:rPr>
    </w:lvl>
    <w:lvl w:ilvl="7" w:tentative="0">
      <w:start w:val="0"/>
      <w:numFmt w:val="bullet"/>
      <w:lvlText w:val="•"/>
      <w:lvlJc w:val="left"/>
      <w:pPr>
        <w:ind w:left="7460" w:hanging="212"/>
      </w:pPr>
      <w:rPr>
        <w:rFonts w:hint="default"/>
        <w:lang w:val="zh-CN" w:eastAsia="zh-CN" w:bidi="zh-CN"/>
      </w:rPr>
    </w:lvl>
    <w:lvl w:ilvl="8" w:tentative="0">
      <w:start w:val="0"/>
      <w:numFmt w:val="bullet"/>
      <w:lvlText w:val="•"/>
      <w:lvlJc w:val="left"/>
      <w:pPr>
        <w:ind w:left="8468" w:hanging="212"/>
      </w:pPr>
      <w:rPr>
        <w:rFonts w:hint="default"/>
        <w:lang w:val="zh-CN" w:eastAsia="zh-CN" w:bidi="zh-CN"/>
      </w:rPr>
    </w:lvl>
  </w:abstractNum>
  <w:num w:numId="1">
    <w:abstractNumId w:val="14"/>
  </w:num>
  <w:num w:numId="2">
    <w:abstractNumId w:val="0"/>
  </w:num>
  <w:num w:numId="3">
    <w:abstractNumId w:val="5"/>
  </w:num>
  <w:num w:numId="4">
    <w:abstractNumId w:val="6"/>
  </w:num>
  <w:num w:numId="5">
    <w:abstractNumId w:val="10"/>
  </w:num>
  <w:num w:numId="6">
    <w:abstractNumId w:val="12"/>
  </w:num>
  <w:num w:numId="7">
    <w:abstractNumId w:val="9"/>
  </w:num>
  <w:num w:numId="8">
    <w:abstractNumId w:val="8"/>
  </w:num>
  <w:num w:numId="9">
    <w:abstractNumId w:val="2"/>
  </w:num>
  <w:num w:numId="10">
    <w:abstractNumId w:val="15"/>
  </w:num>
  <w:num w:numId="11">
    <w:abstractNumId w:val="16"/>
  </w:num>
  <w:num w:numId="12">
    <w:abstractNumId w:val="7"/>
  </w:num>
  <w:num w:numId="13">
    <w:abstractNumId w:val="11"/>
  </w:num>
  <w:num w:numId="14">
    <w:abstractNumId w:val="13"/>
  </w:num>
  <w:num w:numId="15">
    <w:abstractNumId w:val="3"/>
  </w:num>
  <w:num w:numId="16">
    <w:abstractNumId w:val="18"/>
  </w:num>
  <w:num w:numId="17">
    <w:abstractNumId w:val="4"/>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Q8Df3fVG+OK6w4Tsut26v7qqDXU=" w:salt="lOCes+iUO3S2LKANM1GN4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MmYyYjRkNDBmYjIyZGUzNTkzNWJjZGY2ZjEyYTYifQ=="/>
  </w:docVars>
  <w:rsids>
    <w:rsidRoot w:val="26433C94"/>
    <w:rsid w:val="00037F10"/>
    <w:rsid w:val="006F542E"/>
    <w:rsid w:val="00911421"/>
    <w:rsid w:val="00CD47D9"/>
    <w:rsid w:val="00F05477"/>
    <w:rsid w:val="01995BA6"/>
    <w:rsid w:val="019B3634"/>
    <w:rsid w:val="01A25785"/>
    <w:rsid w:val="021E42F5"/>
    <w:rsid w:val="023E2081"/>
    <w:rsid w:val="025D3A3F"/>
    <w:rsid w:val="027864B6"/>
    <w:rsid w:val="027E724C"/>
    <w:rsid w:val="02B03AEE"/>
    <w:rsid w:val="02BA5D3C"/>
    <w:rsid w:val="02D23086"/>
    <w:rsid w:val="02E456EA"/>
    <w:rsid w:val="03010721"/>
    <w:rsid w:val="03311E36"/>
    <w:rsid w:val="0348166A"/>
    <w:rsid w:val="034B2E38"/>
    <w:rsid w:val="036D7252"/>
    <w:rsid w:val="037507CF"/>
    <w:rsid w:val="037642A1"/>
    <w:rsid w:val="03974F68"/>
    <w:rsid w:val="03A60299"/>
    <w:rsid w:val="03BB7FBE"/>
    <w:rsid w:val="03DD3834"/>
    <w:rsid w:val="03E55E56"/>
    <w:rsid w:val="04002B85"/>
    <w:rsid w:val="04106AF7"/>
    <w:rsid w:val="042457FA"/>
    <w:rsid w:val="042F184C"/>
    <w:rsid w:val="04320D0B"/>
    <w:rsid w:val="0450155A"/>
    <w:rsid w:val="048564B9"/>
    <w:rsid w:val="04D07A99"/>
    <w:rsid w:val="05120775"/>
    <w:rsid w:val="053E4A3F"/>
    <w:rsid w:val="055C757F"/>
    <w:rsid w:val="057129D3"/>
    <w:rsid w:val="05A859C7"/>
    <w:rsid w:val="05ED16DF"/>
    <w:rsid w:val="05FB62A8"/>
    <w:rsid w:val="06290C41"/>
    <w:rsid w:val="062956B3"/>
    <w:rsid w:val="063302DF"/>
    <w:rsid w:val="064814D3"/>
    <w:rsid w:val="069A77C7"/>
    <w:rsid w:val="06B0260C"/>
    <w:rsid w:val="06B243A1"/>
    <w:rsid w:val="06B64A6C"/>
    <w:rsid w:val="06B801DA"/>
    <w:rsid w:val="06CE59E5"/>
    <w:rsid w:val="06D32867"/>
    <w:rsid w:val="06D3526B"/>
    <w:rsid w:val="06D612B7"/>
    <w:rsid w:val="06D67A0B"/>
    <w:rsid w:val="071113C5"/>
    <w:rsid w:val="071219D6"/>
    <w:rsid w:val="072F4F4B"/>
    <w:rsid w:val="07340CA5"/>
    <w:rsid w:val="07484826"/>
    <w:rsid w:val="074A2C9F"/>
    <w:rsid w:val="075F6EB2"/>
    <w:rsid w:val="07666493"/>
    <w:rsid w:val="076F4724"/>
    <w:rsid w:val="077706A0"/>
    <w:rsid w:val="079B0C6D"/>
    <w:rsid w:val="07FB50B6"/>
    <w:rsid w:val="082C320A"/>
    <w:rsid w:val="083F5CE2"/>
    <w:rsid w:val="08424565"/>
    <w:rsid w:val="085960CC"/>
    <w:rsid w:val="08836BD0"/>
    <w:rsid w:val="08920FB6"/>
    <w:rsid w:val="089F5554"/>
    <w:rsid w:val="08C50193"/>
    <w:rsid w:val="08D40DD7"/>
    <w:rsid w:val="0900014E"/>
    <w:rsid w:val="090D306A"/>
    <w:rsid w:val="0914633B"/>
    <w:rsid w:val="09262D34"/>
    <w:rsid w:val="094D6A8B"/>
    <w:rsid w:val="097708D2"/>
    <w:rsid w:val="0A454A85"/>
    <w:rsid w:val="0A7B606B"/>
    <w:rsid w:val="0A8C5139"/>
    <w:rsid w:val="0A997C59"/>
    <w:rsid w:val="0A9A6B7F"/>
    <w:rsid w:val="0AC979F6"/>
    <w:rsid w:val="0AD37AD1"/>
    <w:rsid w:val="0B057338"/>
    <w:rsid w:val="0B125A8D"/>
    <w:rsid w:val="0B1B01BC"/>
    <w:rsid w:val="0B372F10"/>
    <w:rsid w:val="0B5323F2"/>
    <w:rsid w:val="0B5331D2"/>
    <w:rsid w:val="0B562DA6"/>
    <w:rsid w:val="0B8357C9"/>
    <w:rsid w:val="0BB2296A"/>
    <w:rsid w:val="0BCA0A59"/>
    <w:rsid w:val="0BF01C42"/>
    <w:rsid w:val="0C0D75DD"/>
    <w:rsid w:val="0C6F043B"/>
    <w:rsid w:val="0C712F68"/>
    <w:rsid w:val="0CE045F1"/>
    <w:rsid w:val="0D017352"/>
    <w:rsid w:val="0D020A0B"/>
    <w:rsid w:val="0D0A0B5D"/>
    <w:rsid w:val="0D10137A"/>
    <w:rsid w:val="0D1521A1"/>
    <w:rsid w:val="0D224E3C"/>
    <w:rsid w:val="0D4F3848"/>
    <w:rsid w:val="0D4F5FBA"/>
    <w:rsid w:val="0D827973"/>
    <w:rsid w:val="0DC02D7B"/>
    <w:rsid w:val="0DD220D0"/>
    <w:rsid w:val="0DDA0D79"/>
    <w:rsid w:val="0DE14AC5"/>
    <w:rsid w:val="0DF776DB"/>
    <w:rsid w:val="0E034A3B"/>
    <w:rsid w:val="0E0367E9"/>
    <w:rsid w:val="0E097B78"/>
    <w:rsid w:val="0E0E3B8F"/>
    <w:rsid w:val="0E2E6D15"/>
    <w:rsid w:val="0E3433BE"/>
    <w:rsid w:val="0E421A82"/>
    <w:rsid w:val="0E464928"/>
    <w:rsid w:val="0E7B2823"/>
    <w:rsid w:val="0E8A4519"/>
    <w:rsid w:val="0EE92A92"/>
    <w:rsid w:val="0EF425D6"/>
    <w:rsid w:val="0F2D40A3"/>
    <w:rsid w:val="0F301F18"/>
    <w:rsid w:val="0F755A28"/>
    <w:rsid w:val="0F800BB1"/>
    <w:rsid w:val="0F807BE0"/>
    <w:rsid w:val="0FCC498E"/>
    <w:rsid w:val="0FD71C70"/>
    <w:rsid w:val="0FDD270D"/>
    <w:rsid w:val="1030200B"/>
    <w:rsid w:val="103111B0"/>
    <w:rsid w:val="10433815"/>
    <w:rsid w:val="104A17D7"/>
    <w:rsid w:val="10562014"/>
    <w:rsid w:val="10A6125E"/>
    <w:rsid w:val="10B22749"/>
    <w:rsid w:val="10BC2ED4"/>
    <w:rsid w:val="10CD30DE"/>
    <w:rsid w:val="10EE5021"/>
    <w:rsid w:val="110460F1"/>
    <w:rsid w:val="110A2E86"/>
    <w:rsid w:val="11317B11"/>
    <w:rsid w:val="1153156F"/>
    <w:rsid w:val="118B5F3C"/>
    <w:rsid w:val="11922A45"/>
    <w:rsid w:val="11987799"/>
    <w:rsid w:val="11A07411"/>
    <w:rsid w:val="11B97375"/>
    <w:rsid w:val="11E61CB7"/>
    <w:rsid w:val="11EA5308"/>
    <w:rsid w:val="11FC1ECD"/>
    <w:rsid w:val="12373AA0"/>
    <w:rsid w:val="12655CC4"/>
    <w:rsid w:val="12735DFA"/>
    <w:rsid w:val="12CD73C6"/>
    <w:rsid w:val="13214B30"/>
    <w:rsid w:val="133F1EB2"/>
    <w:rsid w:val="133F31A0"/>
    <w:rsid w:val="13524654"/>
    <w:rsid w:val="13623FB2"/>
    <w:rsid w:val="137A25EC"/>
    <w:rsid w:val="1384239C"/>
    <w:rsid w:val="13EE3EF4"/>
    <w:rsid w:val="141B23B3"/>
    <w:rsid w:val="1422717A"/>
    <w:rsid w:val="142517AF"/>
    <w:rsid w:val="14465682"/>
    <w:rsid w:val="14467AFD"/>
    <w:rsid w:val="1461314B"/>
    <w:rsid w:val="146510EA"/>
    <w:rsid w:val="14D61776"/>
    <w:rsid w:val="14EE3AC2"/>
    <w:rsid w:val="14F7392E"/>
    <w:rsid w:val="153C3B89"/>
    <w:rsid w:val="155720A0"/>
    <w:rsid w:val="155C5E53"/>
    <w:rsid w:val="157F712A"/>
    <w:rsid w:val="15890E39"/>
    <w:rsid w:val="15B84210"/>
    <w:rsid w:val="15FA0A52"/>
    <w:rsid w:val="162C51EA"/>
    <w:rsid w:val="163A40A1"/>
    <w:rsid w:val="16541C25"/>
    <w:rsid w:val="16587283"/>
    <w:rsid w:val="169504D5"/>
    <w:rsid w:val="169E637F"/>
    <w:rsid w:val="16CF59CD"/>
    <w:rsid w:val="16D20CEF"/>
    <w:rsid w:val="16F615E1"/>
    <w:rsid w:val="171B49C6"/>
    <w:rsid w:val="17365EA3"/>
    <w:rsid w:val="173C7878"/>
    <w:rsid w:val="174A146B"/>
    <w:rsid w:val="17671DD7"/>
    <w:rsid w:val="177D1A7E"/>
    <w:rsid w:val="179B5CE4"/>
    <w:rsid w:val="17B844F8"/>
    <w:rsid w:val="17C62561"/>
    <w:rsid w:val="17E51298"/>
    <w:rsid w:val="17E8085B"/>
    <w:rsid w:val="17F61621"/>
    <w:rsid w:val="17F83137"/>
    <w:rsid w:val="18201BDB"/>
    <w:rsid w:val="1830047B"/>
    <w:rsid w:val="18432D30"/>
    <w:rsid w:val="186A3863"/>
    <w:rsid w:val="187513FD"/>
    <w:rsid w:val="187A19A6"/>
    <w:rsid w:val="18A44B4F"/>
    <w:rsid w:val="18A84B5D"/>
    <w:rsid w:val="18AC21FD"/>
    <w:rsid w:val="18B33342"/>
    <w:rsid w:val="18B436A1"/>
    <w:rsid w:val="18EB67F8"/>
    <w:rsid w:val="18F172BE"/>
    <w:rsid w:val="190D49C0"/>
    <w:rsid w:val="19C91E85"/>
    <w:rsid w:val="19DC47B8"/>
    <w:rsid w:val="1A0B252C"/>
    <w:rsid w:val="1A1217B6"/>
    <w:rsid w:val="1A2521DD"/>
    <w:rsid w:val="1A2D2811"/>
    <w:rsid w:val="1A4C59BC"/>
    <w:rsid w:val="1A646862"/>
    <w:rsid w:val="1A732B6C"/>
    <w:rsid w:val="1A757F60"/>
    <w:rsid w:val="1A855A0E"/>
    <w:rsid w:val="1A950BA5"/>
    <w:rsid w:val="1AA34B51"/>
    <w:rsid w:val="1AA475A6"/>
    <w:rsid w:val="1AB8095B"/>
    <w:rsid w:val="1ABB663F"/>
    <w:rsid w:val="1ACB68E1"/>
    <w:rsid w:val="1B045DCF"/>
    <w:rsid w:val="1B106DCC"/>
    <w:rsid w:val="1B2D47C9"/>
    <w:rsid w:val="1B397CEE"/>
    <w:rsid w:val="1B4349BC"/>
    <w:rsid w:val="1B480BB4"/>
    <w:rsid w:val="1B5C52C6"/>
    <w:rsid w:val="1B610ECB"/>
    <w:rsid w:val="1B684142"/>
    <w:rsid w:val="1B762CF0"/>
    <w:rsid w:val="1B7C0D0C"/>
    <w:rsid w:val="1B962F34"/>
    <w:rsid w:val="1B9956F6"/>
    <w:rsid w:val="1B9D75FA"/>
    <w:rsid w:val="1BE13475"/>
    <w:rsid w:val="1C0A7489"/>
    <w:rsid w:val="1C4501EF"/>
    <w:rsid w:val="1C513FDD"/>
    <w:rsid w:val="1C606F52"/>
    <w:rsid w:val="1C6E39C8"/>
    <w:rsid w:val="1C88302A"/>
    <w:rsid w:val="1CA800D8"/>
    <w:rsid w:val="1CAE3285"/>
    <w:rsid w:val="1CC2614E"/>
    <w:rsid w:val="1CEE2D5A"/>
    <w:rsid w:val="1CF27B97"/>
    <w:rsid w:val="1CF3317D"/>
    <w:rsid w:val="1D182820"/>
    <w:rsid w:val="1D1A5D06"/>
    <w:rsid w:val="1D291DE0"/>
    <w:rsid w:val="1D3364DA"/>
    <w:rsid w:val="1D342DD9"/>
    <w:rsid w:val="1D684420"/>
    <w:rsid w:val="1D6B2AB2"/>
    <w:rsid w:val="1D8316F5"/>
    <w:rsid w:val="1D845875"/>
    <w:rsid w:val="1D8B699F"/>
    <w:rsid w:val="1DA369DF"/>
    <w:rsid w:val="1DA94004"/>
    <w:rsid w:val="1DB31B31"/>
    <w:rsid w:val="1DC934B1"/>
    <w:rsid w:val="1DD53E7E"/>
    <w:rsid w:val="1DDE692B"/>
    <w:rsid w:val="1DF51CE6"/>
    <w:rsid w:val="1DFD6643"/>
    <w:rsid w:val="1E071C02"/>
    <w:rsid w:val="1E0B58BC"/>
    <w:rsid w:val="1E193E07"/>
    <w:rsid w:val="1E450758"/>
    <w:rsid w:val="1E631416"/>
    <w:rsid w:val="1E6919B2"/>
    <w:rsid w:val="1E77651A"/>
    <w:rsid w:val="1EA628BB"/>
    <w:rsid w:val="1EB570AF"/>
    <w:rsid w:val="1ED4610C"/>
    <w:rsid w:val="1EDA5E51"/>
    <w:rsid w:val="1EDD4E34"/>
    <w:rsid w:val="1F12304F"/>
    <w:rsid w:val="1F290ADE"/>
    <w:rsid w:val="1F524949"/>
    <w:rsid w:val="1F5C0403"/>
    <w:rsid w:val="1F6E5593"/>
    <w:rsid w:val="1F84141D"/>
    <w:rsid w:val="1F93294A"/>
    <w:rsid w:val="1FB50281"/>
    <w:rsid w:val="1FE567CB"/>
    <w:rsid w:val="2053573E"/>
    <w:rsid w:val="20587782"/>
    <w:rsid w:val="205D490B"/>
    <w:rsid w:val="209604F7"/>
    <w:rsid w:val="20BC17B5"/>
    <w:rsid w:val="20CA763A"/>
    <w:rsid w:val="20CD6468"/>
    <w:rsid w:val="21076199"/>
    <w:rsid w:val="21706064"/>
    <w:rsid w:val="21732629"/>
    <w:rsid w:val="218D2983"/>
    <w:rsid w:val="21B87493"/>
    <w:rsid w:val="21CC491E"/>
    <w:rsid w:val="222D5184"/>
    <w:rsid w:val="22343084"/>
    <w:rsid w:val="22460F43"/>
    <w:rsid w:val="226D092A"/>
    <w:rsid w:val="22852F64"/>
    <w:rsid w:val="22B70284"/>
    <w:rsid w:val="22F2190D"/>
    <w:rsid w:val="23243032"/>
    <w:rsid w:val="233640A6"/>
    <w:rsid w:val="233D769D"/>
    <w:rsid w:val="235262A0"/>
    <w:rsid w:val="235731E7"/>
    <w:rsid w:val="236C49D9"/>
    <w:rsid w:val="23924A52"/>
    <w:rsid w:val="23924F51"/>
    <w:rsid w:val="239F1807"/>
    <w:rsid w:val="23B44609"/>
    <w:rsid w:val="23C441FE"/>
    <w:rsid w:val="23D51634"/>
    <w:rsid w:val="23DB3C24"/>
    <w:rsid w:val="24003A01"/>
    <w:rsid w:val="240A0BD1"/>
    <w:rsid w:val="240A2C1D"/>
    <w:rsid w:val="24290CAB"/>
    <w:rsid w:val="24CA5E5B"/>
    <w:rsid w:val="24D12D46"/>
    <w:rsid w:val="24DB0068"/>
    <w:rsid w:val="24EC414F"/>
    <w:rsid w:val="24F54BEE"/>
    <w:rsid w:val="25192DBC"/>
    <w:rsid w:val="25343390"/>
    <w:rsid w:val="25505BA0"/>
    <w:rsid w:val="2565149B"/>
    <w:rsid w:val="25BB2FE3"/>
    <w:rsid w:val="25D71782"/>
    <w:rsid w:val="25E8567F"/>
    <w:rsid w:val="25ED4537"/>
    <w:rsid w:val="260648E0"/>
    <w:rsid w:val="26073F14"/>
    <w:rsid w:val="2637307C"/>
    <w:rsid w:val="26433C94"/>
    <w:rsid w:val="26955FF5"/>
    <w:rsid w:val="26E90788"/>
    <w:rsid w:val="26FC06C6"/>
    <w:rsid w:val="271323C7"/>
    <w:rsid w:val="27167A8B"/>
    <w:rsid w:val="27AE7A61"/>
    <w:rsid w:val="27B64475"/>
    <w:rsid w:val="280C6233"/>
    <w:rsid w:val="281A2C55"/>
    <w:rsid w:val="283B1E4E"/>
    <w:rsid w:val="284213B4"/>
    <w:rsid w:val="28732366"/>
    <w:rsid w:val="28852C8C"/>
    <w:rsid w:val="288600E0"/>
    <w:rsid w:val="28862CC8"/>
    <w:rsid w:val="28AC5FA3"/>
    <w:rsid w:val="28AE421D"/>
    <w:rsid w:val="28D41CA2"/>
    <w:rsid w:val="290F310C"/>
    <w:rsid w:val="293146FB"/>
    <w:rsid w:val="29327670"/>
    <w:rsid w:val="296E3062"/>
    <w:rsid w:val="29936F3F"/>
    <w:rsid w:val="29B6075C"/>
    <w:rsid w:val="29BF1D06"/>
    <w:rsid w:val="29E70739"/>
    <w:rsid w:val="29F847A3"/>
    <w:rsid w:val="2A096AD2"/>
    <w:rsid w:val="2A0F77B2"/>
    <w:rsid w:val="2A257AF8"/>
    <w:rsid w:val="2A4C22B1"/>
    <w:rsid w:val="2A720B27"/>
    <w:rsid w:val="2A7378CC"/>
    <w:rsid w:val="2A866380"/>
    <w:rsid w:val="2ACC61EB"/>
    <w:rsid w:val="2B0A3502"/>
    <w:rsid w:val="2B1C07A0"/>
    <w:rsid w:val="2B660615"/>
    <w:rsid w:val="2B7A106D"/>
    <w:rsid w:val="2B952529"/>
    <w:rsid w:val="2BAA2542"/>
    <w:rsid w:val="2BB90D56"/>
    <w:rsid w:val="2BF53AD4"/>
    <w:rsid w:val="2BF6510B"/>
    <w:rsid w:val="2C0156E3"/>
    <w:rsid w:val="2C1D190B"/>
    <w:rsid w:val="2C474A6F"/>
    <w:rsid w:val="2C4A2FA6"/>
    <w:rsid w:val="2C8903AA"/>
    <w:rsid w:val="2CA04CF5"/>
    <w:rsid w:val="2CA0696F"/>
    <w:rsid w:val="2CD3540F"/>
    <w:rsid w:val="2CEC7D9B"/>
    <w:rsid w:val="2CF55A3F"/>
    <w:rsid w:val="2CF744F2"/>
    <w:rsid w:val="2D1027EC"/>
    <w:rsid w:val="2D1F6099"/>
    <w:rsid w:val="2D2A29EC"/>
    <w:rsid w:val="2D545DD9"/>
    <w:rsid w:val="2D553BAD"/>
    <w:rsid w:val="2D71136F"/>
    <w:rsid w:val="2D8D0335"/>
    <w:rsid w:val="2D9A4C88"/>
    <w:rsid w:val="2DA05C94"/>
    <w:rsid w:val="2DE57588"/>
    <w:rsid w:val="2E424CB4"/>
    <w:rsid w:val="2E5E10ED"/>
    <w:rsid w:val="2E766DC1"/>
    <w:rsid w:val="2ECB59AE"/>
    <w:rsid w:val="2ED86DD7"/>
    <w:rsid w:val="2F02792B"/>
    <w:rsid w:val="2F4A63B9"/>
    <w:rsid w:val="2F8445C0"/>
    <w:rsid w:val="2F9741D0"/>
    <w:rsid w:val="2FBA3923"/>
    <w:rsid w:val="300F364E"/>
    <w:rsid w:val="30136908"/>
    <w:rsid w:val="30143AC1"/>
    <w:rsid w:val="304C5976"/>
    <w:rsid w:val="305831AF"/>
    <w:rsid w:val="30734564"/>
    <w:rsid w:val="30935465"/>
    <w:rsid w:val="309D08C8"/>
    <w:rsid w:val="30A35D3F"/>
    <w:rsid w:val="30A82ED6"/>
    <w:rsid w:val="30F023E2"/>
    <w:rsid w:val="30F56F37"/>
    <w:rsid w:val="310A2DDF"/>
    <w:rsid w:val="311C1AD4"/>
    <w:rsid w:val="312A6D01"/>
    <w:rsid w:val="315636BC"/>
    <w:rsid w:val="3159659D"/>
    <w:rsid w:val="315C727B"/>
    <w:rsid w:val="31732F2F"/>
    <w:rsid w:val="317621F9"/>
    <w:rsid w:val="319E0453"/>
    <w:rsid w:val="31B00C5B"/>
    <w:rsid w:val="31B276EC"/>
    <w:rsid w:val="31FD161E"/>
    <w:rsid w:val="320B0C9E"/>
    <w:rsid w:val="320F5D28"/>
    <w:rsid w:val="322C303C"/>
    <w:rsid w:val="323639C8"/>
    <w:rsid w:val="32406DCC"/>
    <w:rsid w:val="32560D2E"/>
    <w:rsid w:val="3257018C"/>
    <w:rsid w:val="32582CF8"/>
    <w:rsid w:val="327235F8"/>
    <w:rsid w:val="32840E04"/>
    <w:rsid w:val="32894C60"/>
    <w:rsid w:val="32896D68"/>
    <w:rsid w:val="32BF5F03"/>
    <w:rsid w:val="32F02F31"/>
    <w:rsid w:val="331B1421"/>
    <w:rsid w:val="332B2B6A"/>
    <w:rsid w:val="33357EDB"/>
    <w:rsid w:val="333F101E"/>
    <w:rsid w:val="33541F89"/>
    <w:rsid w:val="336C35DF"/>
    <w:rsid w:val="33722DDE"/>
    <w:rsid w:val="337324BA"/>
    <w:rsid w:val="337E3A05"/>
    <w:rsid w:val="338F137F"/>
    <w:rsid w:val="33904618"/>
    <w:rsid w:val="33A61841"/>
    <w:rsid w:val="33BD2A9A"/>
    <w:rsid w:val="33BF0146"/>
    <w:rsid w:val="33C111BF"/>
    <w:rsid w:val="33D8552F"/>
    <w:rsid w:val="33F95431"/>
    <w:rsid w:val="33FC4FD9"/>
    <w:rsid w:val="33FC5905"/>
    <w:rsid w:val="341C1B03"/>
    <w:rsid w:val="34245C06"/>
    <w:rsid w:val="342843D5"/>
    <w:rsid w:val="343D3474"/>
    <w:rsid w:val="345A454D"/>
    <w:rsid w:val="34657EE4"/>
    <w:rsid w:val="346F60D7"/>
    <w:rsid w:val="34820436"/>
    <w:rsid w:val="34C04B85"/>
    <w:rsid w:val="34CC1318"/>
    <w:rsid w:val="34F211E2"/>
    <w:rsid w:val="352326C9"/>
    <w:rsid w:val="352769B2"/>
    <w:rsid w:val="356814A4"/>
    <w:rsid w:val="356924AC"/>
    <w:rsid w:val="35717762"/>
    <w:rsid w:val="358941C1"/>
    <w:rsid w:val="35AD6EB7"/>
    <w:rsid w:val="35B04BF9"/>
    <w:rsid w:val="35CA124E"/>
    <w:rsid w:val="35EF75DA"/>
    <w:rsid w:val="36046015"/>
    <w:rsid w:val="361B02C4"/>
    <w:rsid w:val="36541A28"/>
    <w:rsid w:val="366A2FFA"/>
    <w:rsid w:val="367970EC"/>
    <w:rsid w:val="369A43F5"/>
    <w:rsid w:val="36A815F8"/>
    <w:rsid w:val="36C941C4"/>
    <w:rsid w:val="36E65335"/>
    <w:rsid w:val="36FE2B25"/>
    <w:rsid w:val="37321D6A"/>
    <w:rsid w:val="37465AAF"/>
    <w:rsid w:val="375A48CB"/>
    <w:rsid w:val="376A486B"/>
    <w:rsid w:val="3795250C"/>
    <w:rsid w:val="37D82760"/>
    <w:rsid w:val="37D9698F"/>
    <w:rsid w:val="37F444FC"/>
    <w:rsid w:val="37F76B0F"/>
    <w:rsid w:val="385678DB"/>
    <w:rsid w:val="3862667F"/>
    <w:rsid w:val="38631B64"/>
    <w:rsid w:val="38683552"/>
    <w:rsid w:val="38746E53"/>
    <w:rsid w:val="38AB1F00"/>
    <w:rsid w:val="38B33FA2"/>
    <w:rsid w:val="38C34CE3"/>
    <w:rsid w:val="38E04BA8"/>
    <w:rsid w:val="38E0710D"/>
    <w:rsid w:val="38E56968"/>
    <w:rsid w:val="38E86458"/>
    <w:rsid w:val="38F97057"/>
    <w:rsid w:val="3926030C"/>
    <w:rsid w:val="392A3FD0"/>
    <w:rsid w:val="394400B2"/>
    <w:rsid w:val="395A0FC8"/>
    <w:rsid w:val="39620B50"/>
    <w:rsid w:val="39766233"/>
    <w:rsid w:val="39EF7364"/>
    <w:rsid w:val="39F01A68"/>
    <w:rsid w:val="39F41558"/>
    <w:rsid w:val="39FF7EFD"/>
    <w:rsid w:val="3A0A0244"/>
    <w:rsid w:val="3A115BBC"/>
    <w:rsid w:val="3A174C1D"/>
    <w:rsid w:val="3A202331"/>
    <w:rsid w:val="3A2D4A6A"/>
    <w:rsid w:val="3A7033D3"/>
    <w:rsid w:val="3AEC66D3"/>
    <w:rsid w:val="3AEF3ACE"/>
    <w:rsid w:val="3AEF4285"/>
    <w:rsid w:val="3B0A7826"/>
    <w:rsid w:val="3B305C39"/>
    <w:rsid w:val="3B585DFB"/>
    <w:rsid w:val="3B6C0226"/>
    <w:rsid w:val="3B70047F"/>
    <w:rsid w:val="3B800BCA"/>
    <w:rsid w:val="3BB46701"/>
    <w:rsid w:val="3BF515B8"/>
    <w:rsid w:val="3C067321"/>
    <w:rsid w:val="3C08315E"/>
    <w:rsid w:val="3C3628E8"/>
    <w:rsid w:val="3C497F17"/>
    <w:rsid w:val="3C556CA2"/>
    <w:rsid w:val="3C6F14AD"/>
    <w:rsid w:val="3CC0446D"/>
    <w:rsid w:val="3D020BF8"/>
    <w:rsid w:val="3D053A7C"/>
    <w:rsid w:val="3D096A38"/>
    <w:rsid w:val="3D12018D"/>
    <w:rsid w:val="3D172030"/>
    <w:rsid w:val="3D3175A1"/>
    <w:rsid w:val="3D324176"/>
    <w:rsid w:val="3D364487"/>
    <w:rsid w:val="3D3A0CB0"/>
    <w:rsid w:val="3D4225DB"/>
    <w:rsid w:val="3D4E71D1"/>
    <w:rsid w:val="3D592EA6"/>
    <w:rsid w:val="3DAC3EF8"/>
    <w:rsid w:val="3DB42248"/>
    <w:rsid w:val="3DC37C4C"/>
    <w:rsid w:val="3DD87A69"/>
    <w:rsid w:val="3DE4588E"/>
    <w:rsid w:val="3DE511B8"/>
    <w:rsid w:val="3DE6364D"/>
    <w:rsid w:val="3E0B1539"/>
    <w:rsid w:val="3E0E14A2"/>
    <w:rsid w:val="3E3A6DCE"/>
    <w:rsid w:val="3E6B14FD"/>
    <w:rsid w:val="3E6B2B11"/>
    <w:rsid w:val="3EB73C3D"/>
    <w:rsid w:val="3EF83163"/>
    <w:rsid w:val="3F075E88"/>
    <w:rsid w:val="3F116709"/>
    <w:rsid w:val="3F3E6459"/>
    <w:rsid w:val="3F41358C"/>
    <w:rsid w:val="3F5A27C7"/>
    <w:rsid w:val="3F87603A"/>
    <w:rsid w:val="3F895D9B"/>
    <w:rsid w:val="3F8961F0"/>
    <w:rsid w:val="3FA300F2"/>
    <w:rsid w:val="3FB928FC"/>
    <w:rsid w:val="3FD2204D"/>
    <w:rsid w:val="3FF75BE3"/>
    <w:rsid w:val="403D1149"/>
    <w:rsid w:val="40401CAC"/>
    <w:rsid w:val="404A137E"/>
    <w:rsid w:val="40880C4C"/>
    <w:rsid w:val="4089605A"/>
    <w:rsid w:val="40A62E81"/>
    <w:rsid w:val="40F06653"/>
    <w:rsid w:val="40F77D9A"/>
    <w:rsid w:val="41083B3B"/>
    <w:rsid w:val="416F7716"/>
    <w:rsid w:val="41744D2D"/>
    <w:rsid w:val="41984EBF"/>
    <w:rsid w:val="41B24CC4"/>
    <w:rsid w:val="41BA5DCC"/>
    <w:rsid w:val="41C072C4"/>
    <w:rsid w:val="41C16147"/>
    <w:rsid w:val="41D0227A"/>
    <w:rsid w:val="41D75109"/>
    <w:rsid w:val="422607AA"/>
    <w:rsid w:val="422A1F39"/>
    <w:rsid w:val="423D470D"/>
    <w:rsid w:val="423E006E"/>
    <w:rsid w:val="42470693"/>
    <w:rsid w:val="42C341BE"/>
    <w:rsid w:val="42CC4FC0"/>
    <w:rsid w:val="42CC5E21"/>
    <w:rsid w:val="430876BF"/>
    <w:rsid w:val="432637B8"/>
    <w:rsid w:val="436551BA"/>
    <w:rsid w:val="43972F54"/>
    <w:rsid w:val="43AF4B46"/>
    <w:rsid w:val="43DB726E"/>
    <w:rsid w:val="43F605F1"/>
    <w:rsid w:val="44237D6C"/>
    <w:rsid w:val="442B375A"/>
    <w:rsid w:val="445671D3"/>
    <w:rsid w:val="4468536F"/>
    <w:rsid w:val="44832E54"/>
    <w:rsid w:val="449241DE"/>
    <w:rsid w:val="4496320C"/>
    <w:rsid w:val="44CA6634"/>
    <w:rsid w:val="44DE5453"/>
    <w:rsid w:val="44F12B1F"/>
    <w:rsid w:val="44F65221"/>
    <w:rsid w:val="45045C3D"/>
    <w:rsid w:val="45215744"/>
    <w:rsid w:val="455B12EB"/>
    <w:rsid w:val="456F4189"/>
    <w:rsid w:val="45854D5F"/>
    <w:rsid w:val="4591402D"/>
    <w:rsid w:val="45961716"/>
    <w:rsid w:val="45B3114C"/>
    <w:rsid w:val="45C75D73"/>
    <w:rsid w:val="45CC15DB"/>
    <w:rsid w:val="45CE477D"/>
    <w:rsid w:val="45F124CD"/>
    <w:rsid w:val="45FA234C"/>
    <w:rsid w:val="4618037D"/>
    <w:rsid w:val="461967D0"/>
    <w:rsid w:val="461D180F"/>
    <w:rsid w:val="46336B3E"/>
    <w:rsid w:val="467C4AB2"/>
    <w:rsid w:val="467D28D5"/>
    <w:rsid w:val="469379E3"/>
    <w:rsid w:val="46971BE9"/>
    <w:rsid w:val="469C1F53"/>
    <w:rsid w:val="46C83E13"/>
    <w:rsid w:val="46CB7CD3"/>
    <w:rsid w:val="46E74658"/>
    <w:rsid w:val="46FF658E"/>
    <w:rsid w:val="47015D1A"/>
    <w:rsid w:val="474C5E98"/>
    <w:rsid w:val="4779406A"/>
    <w:rsid w:val="4780519C"/>
    <w:rsid w:val="47AF2F63"/>
    <w:rsid w:val="47C34240"/>
    <w:rsid w:val="47C46D2D"/>
    <w:rsid w:val="47CB37B9"/>
    <w:rsid w:val="47D84AE3"/>
    <w:rsid w:val="47DA41E3"/>
    <w:rsid w:val="47DC0E49"/>
    <w:rsid w:val="4803774D"/>
    <w:rsid w:val="48287942"/>
    <w:rsid w:val="482B2C25"/>
    <w:rsid w:val="486D225E"/>
    <w:rsid w:val="4877114A"/>
    <w:rsid w:val="48945014"/>
    <w:rsid w:val="489D42EF"/>
    <w:rsid w:val="48A0799F"/>
    <w:rsid w:val="48A952B4"/>
    <w:rsid w:val="48AB1F1A"/>
    <w:rsid w:val="48C57A58"/>
    <w:rsid w:val="48E2637A"/>
    <w:rsid w:val="49242691"/>
    <w:rsid w:val="49395702"/>
    <w:rsid w:val="49496E11"/>
    <w:rsid w:val="499F5B1A"/>
    <w:rsid w:val="49B605D8"/>
    <w:rsid w:val="49C7566B"/>
    <w:rsid w:val="49CC4E4A"/>
    <w:rsid w:val="4A11104B"/>
    <w:rsid w:val="4A207C29"/>
    <w:rsid w:val="4A26656D"/>
    <w:rsid w:val="4A5B2F2E"/>
    <w:rsid w:val="4A5D3462"/>
    <w:rsid w:val="4A7D4A2E"/>
    <w:rsid w:val="4A8020D3"/>
    <w:rsid w:val="4A804B61"/>
    <w:rsid w:val="4AA42FEC"/>
    <w:rsid w:val="4AA7729B"/>
    <w:rsid w:val="4AAB24F7"/>
    <w:rsid w:val="4AC26B09"/>
    <w:rsid w:val="4AC27C53"/>
    <w:rsid w:val="4AC960E9"/>
    <w:rsid w:val="4B257098"/>
    <w:rsid w:val="4B64536E"/>
    <w:rsid w:val="4BBE3774"/>
    <w:rsid w:val="4BDE02E1"/>
    <w:rsid w:val="4BE30C14"/>
    <w:rsid w:val="4BE3142D"/>
    <w:rsid w:val="4C071C65"/>
    <w:rsid w:val="4C862F72"/>
    <w:rsid w:val="4C9363C5"/>
    <w:rsid w:val="4CB56582"/>
    <w:rsid w:val="4D03457F"/>
    <w:rsid w:val="4D155616"/>
    <w:rsid w:val="4D284F97"/>
    <w:rsid w:val="4D7A3F64"/>
    <w:rsid w:val="4D81544B"/>
    <w:rsid w:val="4D8805B2"/>
    <w:rsid w:val="4DB35167"/>
    <w:rsid w:val="4DC40DEA"/>
    <w:rsid w:val="4DD23507"/>
    <w:rsid w:val="4E1D1556"/>
    <w:rsid w:val="4E2757B6"/>
    <w:rsid w:val="4E313AA4"/>
    <w:rsid w:val="4E551E41"/>
    <w:rsid w:val="4EDA079D"/>
    <w:rsid w:val="4EDA2DA5"/>
    <w:rsid w:val="4EF90007"/>
    <w:rsid w:val="4F0D6435"/>
    <w:rsid w:val="4F1B699F"/>
    <w:rsid w:val="4F301DE5"/>
    <w:rsid w:val="4F5D2FAF"/>
    <w:rsid w:val="4F6F0BB5"/>
    <w:rsid w:val="4F907EA6"/>
    <w:rsid w:val="4F973BB1"/>
    <w:rsid w:val="4FA62C99"/>
    <w:rsid w:val="4FF26BE4"/>
    <w:rsid w:val="500F3DEE"/>
    <w:rsid w:val="500F6793"/>
    <w:rsid w:val="50150222"/>
    <w:rsid w:val="50281720"/>
    <w:rsid w:val="507216C6"/>
    <w:rsid w:val="509E5922"/>
    <w:rsid w:val="51102BDE"/>
    <w:rsid w:val="511B7A28"/>
    <w:rsid w:val="5122108E"/>
    <w:rsid w:val="512C5624"/>
    <w:rsid w:val="513A6AEE"/>
    <w:rsid w:val="517103BD"/>
    <w:rsid w:val="519D6CBC"/>
    <w:rsid w:val="51B10243"/>
    <w:rsid w:val="51B14148"/>
    <w:rsid w:val="520029C8"/>
    <w:rsid w:val="52034337"/>
    <w:rsid w:val="52211ED5"/>
    <w:rsid w:val="52232E2C"/>
    <w:rsid w:val="52396B6C"/>
    <w:rsid w:val="523A36CE"/>
    <w:rsid w:val="523C3CA1"/>
    <w:rsid w:val="523E6541"/>
    <w:rsid w:val="52460BB4"/>
    <w:rsid w:val="524F3418"/>
    <w:rsid w:val="527053FC"/>
    <w:rsid w:val="527756D6"/>
    <w:rsid w:val="52794D53"/>
    <w:rsid w:val="52AD428A"/>
    <w:rsid w:val="52CC2C1B"/>
    <w:rsid w:val="531533B0"/>
    <w:rsid w:val="531F62E3"/>
    <w:rsid w:val="53697CCB"/>
    <w:rsid w:val="537037F2"/>
    <w:rsid w:val="538232D9"/>
    <w:rsid w:val="53843DE9"/>
    <w:rsid w:val="539A02BF"/>
    <w:rsid w:val="53A7353E"/>
    <w:rsid w:val="53A828FB"/>
    <w:rsid w:val="53EB5322"/>
    <w:rsid w:val="5416464E"/>
    <w:rsid w:val="541736F7"/>
    <w:rsid w:val="54374914"/>
    <w:rsid w:val="543C1920"/>
    <w:rsid w:val="54420BB3"/>
    <w:rsid w:val="54613836"/>
    <w:rsid w:val="54705828"/>
    <w:rsid w:val="5490662A"/>
    <w:rsid w:val="54A66A5B"/>
    <w:rsid w:val="54BF230B"/>
    <w:rsid w:val="54C65448"/>
    <w:rsid w:val="54C811C0"/>
    <w:rsid w:val="5500726D"/>
    <w:rsid w:val="55095FB2"/>
    <w:rsid w:val="551B1625"/>
    <w:rsid w:val="551E7FE8"/>
    <w:rsid w:val="555869E7"/>
    <w:rsid w:val="556257AB"/>
    <w:rsid w:val="556709D9"/>
    <w:rsid w:val="55764D2C"/>
    <w:rsid w:val="55812A2E"/>
    <w:rsid w:val="559117C5"/>
    <w:rsid w:val="559D5F92"/>
    <w:rsid w:val="55A34512"/>
    <w:rsid w:val="55BD684B"/>
    <w:rsid w:val="55D44F60"/>
    <w:rsid w:val="55EB120F"/>
    <w:rsid w:val="560C5AA1"/>
    <w:rsid w:val="560F6013"/>
    <w:rsid w:val="56405EBD"/>
    <w:rsid w:val="564D7967"/>
    <w:rsid w:val="56717635"/>
    <w:rsid w:val="56856A02"/>
    <w:rsid w:val="56CC0543"/>
    <w:rsid w:val="56FB1D20"/>
    <w:rsid w:val="570A1709"/>
    <w:rsid w:val="57176AD4"/>
    <w:rsid w:val="571921A6"/>
    <w:rsid w:val="572677E8"/>
    <w:rsid w:val="5739788F"/>
    <w:rsid w:val="573F4439"/>
    <w:rsid w:val="574A3A7E"/>
    <w:rsid w:val="57B25113"/>
    <w:rsid w:val="57B46AE6"/>
    <w:rsid w:val="57ED1ACF"/>
    <w:rsid w:val="58090325"/>
    <w:rsid w:val="58134862"/>
    <w:rsid w:val="583B3505"/>
    <w:rsid w:val="584D2039"/>
    <w:rsid w:val="584F0E57"/>
    <w:rsid w:val="58514E7E"/>
    <w:rsid w:val="585C7CED"/>
    <w:rsid w:val="58626540"/>
    <w:rsid w:val="58850D81"/>
    <w:rsid w:val="588C5303"/>
    <w:rsid w:val="58AE2766"/>
    <w:rsid w:val="58B47241"/>
    <w:rsid w:val="58F703F2"/>
    <w:rsid w:val="59011D15"/>
    <w:rsid w:val="5927572B"/>
    <w:rsid w:val="59372DB8"/>
    <w:rsid w:val="59414ACC"/>
    <w:rsid w:val="5943175D"/>
    <w:rsid w:val="59657925"/>
    <w:rsid w:val="597E50E4"/>
    <w:rsid w:val="59D34872"/>
    <w:rsid w:val="59DB7BE7"/>
    <w:rsid w:val="59E92304"/>
    <w:rsid w:val="59ED1AD4"/>
    <w:rsid w:val="5A4A466A"/>
    <w:rsid w:val="5A546305"/>
    <w:rsid w:val="5A612D65"/>
    <w:rsid w:val="5A744514"/>
    <w:rsid w:val="5A875679"/>
    <w:rsid w:val="5AD30AB8"/>
    <w:rsid w:val="5ADA6D0C"/>
    <w:rsid w:val="5AE024ED"/>
    <w:rsid w:val="5AEE6358"/>
    <w:rsid w:val="5B075440"/>
    <w:rsid w:val="5B1D54D2"/>
    <w:rsid w:val="5B3834B9"/>
    <w:rsid w:val="5B420BD4"/>
    <w:rsid w:val="5B615ECA"/>
    <w:rsid w:val="5B6559BA"/>
    <w:rsid w:val="5B6C3B57"/>
    <w:rsid w:val="5B841BB9"/>
    <w:rsid w:val="5B89029B"/>
    <w:rsid w:val="5B8A0BEC"/>
    <w:rsid w:val="5B936663"/>
    <w:rsid w:val="5B9F42B7"/>
    <w:rsid w:val="5BDE3BB2"/>
    <w:rsid w:val="5BF63A7F"/>
    <w:rsid w:val="5BF649C8"/>
    <w:rsid w:val="5C052CBB"/>
    <w:rsid w:val="5C0B2C47"/>
    <w:rsid w:val="5C417AAD"/>
    <w:rsid w:val="5C69454C"/>
    <w:rsid w:val="5C734427"/>
    <w:rsid w:val="5C7B5759"/>
    <w:rsid w:val="5C864CF4"/>
    <w:rsid w:val="5C8C4AAD"/>
    <w:rsid w:val="5C8F57F7"/>
    <w:rsid w:val="5CAA2E2B"/>
    <w:rsid w:val="5D0811C9"/>
    <w:rsid w:val="5D1F2369"/>
    <w:rsid w:val="5D28781B"/>
    <w:rsid w:val="5D734403"/>
    <w:rsid w:val="5D8F09DC"/>
    <w:rsid w:val="5D924E5B"/>
    <w:rsid w:val="5D9C768D"/>
    <w:rsid w:val="5DF13FCA"/>
    <w:rsid w:val="5E095BEF"/>
    <w:rsid w:val="5E2A3E5C"/>
    <w:rsid w:val="5E4E7AE0"/>
    <w:rsid w:val="5E5E1429"/>
    <w:rsid w:val="5E7A7009"/>
    <w:rsid w:val="5E902217"/>
    <w:rsid w:val="5E912F77"/>
    <w:rsid w:val="5E9373E2"/>
    <w:rsid w:val="5EAB267A"/>
    <w:rsid w:val="5EB44D5F"/>
    <w:rsid w:val="5EBE3E05"/>
    <w:rsid w:val="5ECE3876"/>
    <w:rsid w:val="5EF01A3F"/>
    <w:rsid w:val="5EFB3FE5"/>
    <w:rsid w:val="5EFC73A8"/>
    <w:rsid w:val="5F28352A"/>
    <w:rsid w:val="5F324694"/>
    <w:rsid w:val="5F3D27AA"/>
    <w:rsid w:val="5F3F173B"/>
    <w:rsid w:val="5F487ACD"/>
    <w:rsid w:val="5F5B251A"/>
    <w:rsid w:val="5F5F0972"/>
    <w:rsid w:val="5F660C8F"/>
    <w:rsid w:val="5F663E35"/>
    <w:rsid w:val="5F6E08EE"/>
    <w:rsid w:val="5F717301"/>
    <w:rsid w:val="5F775FA5"/>
    <w:rsid w:val="5F7F7267"/>
    <w:rsid w:val="5FC86518"/>
    <w:rsid w:val="60073A37"/>
    <w:rsid w:val="600B69BF"/>
    <w:rsid w:val="601103EE"/>
    <w:rsid w:val="601243E7"/>
    <w:rsid w:val="6025360D"/>
    <w:rsid w:val="606F4BE5"/>
    <w:rsid w:val="60961A4A"/>
    <w:rsid w:val="60B506D8"/>
    <w:rsid w:val="60EA6962"/>
    <w:rsid w:val="60EC555F"/>
    <w:rsid w:val="611D2893"/>
    <w:rsid w:val="612B6453"/>
    <w:rsid w:val="616701CF"/>
    <w:rsid w:val="61946A19"/>
    <w:rsid w:val="61D07096"/>
    <w:rsid w:val="61E2068B"/>
    <w:rsid w:val="621C1451"/>
    <w:rsid w:val="621D15CF"/>
    <w:rsid w:val="622B7232"/>
    <w:rsid w:val="623E4F7F"/>
    <w:rsid w:val="62495601"/>
    <w:rsid w:val="62797BB2"/>
    <w:rsid w:val="62A20419"/>
    <w:rsid w:val="62A406E3"/>
    <w:rsid w:val="62BD60DC"/>
    <w:rsid w:val="62DA5B45"/>
    <w:rsid w:val="63144ED1"/>
    <w:rsid w:val="631F6C28"/>
    <w:rsid w:val="6321597F"/>
    <w:rsid w:val="6322267B"/>
    <w:rsid w:val="632B573B"/>
    <w:rsid w:val="633D31BE"/>
    <w:rsid w:val="63481E7E"/>
    <w:rsid w:val="634B210E"/>
    <w:rsid w:val="635301FD"/>
    <w:rsid w:val="63651857"/>
    <w:rsid w:val="637C027A"/>
    <w:rsid w:val="63974B7F"/>
    <w:rsid w:val="63B438FA"/>
    <w:rsid w:val="63C17E4E"/>
    <w:rsid w:val="63EF49BB"/>
    <w:rsid w:val="63EF6111"/>
    <w:rsid w:val="63F975E8"/>
    <w:rsid w:val="640B731B"/>
    <w:rsid w:val="64315368"/>
    <w:rsid w:val="64694748"/>
    <w:rsid w:val="646F31FC"/>
    <w:rsid w:val="646F4EB4"/>
    <w:rsid w:val="64882012"/>
    <w:rsid w:val="64B063A0"/>
    <w:rsid w:val="64D03E1F"/>
    <w:rsid w:val="64E9172C"/>
    <w:rsid w:val="651C3839"/>
    <w:rsid w:val="65202561"/>
    <w:rsid w:val="653F088C"/>
    <w:rsid w:val="65413DF5"/>
    <w:rsid w:val="655F527B"/>
    <w:rsid w:val="657C7170"/>
    <w:rsid w:val="65853495"/>
    <w:rsid w:val="65883BF7"/>
    <w:rsid w:val="658E6AD7"/>
    <w:rsid w:val="65A75A3F"/>
    <w:rsid w:val="65B51B36"/>
    <w:rsid w:val="65B7452D"/>
    <w:rsid w:val="65CB1579"/>
    <w:rsid w:val="65D26342"/>
    <w:rsid w:val="65E642EF"/>
    <w:rsid w:val="66025ADB"/>
    <w:rsid w:val="662D5327"/>
    <w:rsid w:val="663C7C5F"/>
    <w:rsid w:val="66793D3B"/>
    <w:rsid w:val="66811B16"/>
    <w:rsid w:val="669707A8"/>
    <w:rsid w:val="66A52F54"/>
    <w:rsid w:val="66AA7C7F"/>
    <w:rsid w:val="66B25A63"/>
    <w:rsid w:val="66BC66AA"/>
    <w:rsid w:val="66DB1226"/>
    <w:rsid w:val="67080D03"/>
    <w:rsid w:val="6716225F"/>
    <w:rsid w:val="6727446C"/>
    <w:rsid w:val="67491539"/>
    <w:rsid w:val="67495B35"/>
    <w:rsid w:val="676B3F22"/>
    <w:rsid w:val="677044D9"/>
    <w:rsid w:val="677D22DE"/>
    <w:rsid w:val="67A1616C"/>
    <w:rsid w:val="67A32110"/>
    <w:rsid w:val="67B94882"/>
    <w:rsid w:val="683B285E"/>
    <w:rsid w:val="68464DC5"/>
    <w:rsid w:val="68537082"/>
    <w:rsid w:val="686B482C"/>
    <w:rsid w:val="6888718C"/>
    <w:rsid w:val="688914CA"/>
    <w:rsid w:val="6896624F"/>
    <w:rsid w:val="68992B9B"/>
    <w:rsid w:val="68A432E1"/>
    <w:rsid w:val="68BC14FB"/>
    <w:rsid w:val="68BD4417"/>
    <w:rsid w:val="68BF2482"/>
    <w:rsid w:val="68E22815"/>
    <w:rsid w:val="69401815"/>
    <w:rsid w:val="69420380"/>
    <w:rsid w:val="697A1F9F"/>
    <w:rsid w:val="699A629F"/>
    <w:rsid w:val="69A42944"/>
    <w:rsid w:val="69E125CA"/>
    <w:rsid w:val="69E72383"/>
    <w:rsid w:val="69F61B52"/>
    <w:rsid w:val="6A134E25"/>
    <w:rsid w:val="6A1A0E4D"/>
    <w:rsid w:val="6A3401F6"/>
    <w:rsid w:val="6A437437"/>
    <w:rsid w:val="6A641533"/>
    <w:rsid w:val="6A6F42D7"/>
    <w:rsid w:val="6A8A6E9B"/>
    <w:rsid w:val="6AA0026A"/>
    <w:rsid w:val="6ADA35A3"/>
    <w:rsid w:val="6B436378"/>
    <w:rsid w:val="6B5B138C"/>
    <w:rsid w:val="6B83465A"/>
    <w:rsid w:val="6B9717A7"/>
    <w:rsid w:val="6BA02A3F"/>
    <w:rsid w:val="6BAC787B"/>
    <w:rsid w:val="6BB94931"/>
    <w:rsid w:val="6BD54768"/>
    <w:rsid w:val="6BFD258B"/>
    <w:rsid w:val="6BFF79F9"/>
    <w:rsid w:val="6C3B4D3F"/>
    <w:rsid w:val="6C9277A6"/>
    <w:rsid w:val="6CBC11B2"/>
    <w:rsid w:val="6CF74795"/>
    <w:rsid w:val="6D194848"/>
    <w:rsid w:val="6D224A27"/>
    <w:rsid w:val="6D2857BB"/>
    <w:rsid w:val="6D2E01D8"/>
    <w:rsid w:val="6D810AE2"/>
    <w:rsid w:val="6D951112"/>
    <w:rsid w:val="6DB206F5"/>
    <w:rsid w:val="6E066A75"/>
    <w:rsid w:val="6E0C21BD"/>
    <w:rsid w:val="6E193B95"/>
    <w:rsid w:val="6E472BDA"/>
    <w:rsid w:val="6E7903C8"/>
    <w:rsid w:val="6E874502"/>
    <w:rsid w:val="6E8F41AA"/>
    <w:rsid w:val="6EAF2BE1"/>
    <w:rsid w:val="6EB160B4"/>
    <w:rsid w:val="6EEB5783"/>
    <w:rsid w:val="6EFD2775"/>
    <w:rsid w:val="6F2D45E9"/>
    <w:rsid w:val="6F3D4836"/>
    <w:rsid w:val="6F4011AC"/>
    <w:rsid w:val="6F7C5E7E"/>
    <w:rsid w:val="6FA77175"/>
    <w:rsid w:val="6FAC19B2"/>
    <w:rsid w:val="6FD809F9"/>
    <w:rsid w:val="6FF01740"/>
    <w:rsid w:val="700A5B1B"/>
    <w:rsid w:val="70294FD2"/>
    <w:rsid w:val="7029592E"/>
    <w:rsid w:val="702D7369"/>
    <w:rsid w:val="7031075C"/>
    <w:rsid w:val="70A51593"/>
    <w:rsid w:val="70A67ADE"/>
    <w:rsid w:val="70C95CE0"/>
    <w:rsid w:val="710069BD"/>
    <w:rsid w:val="710547C7"/>
    <w:rsid w:val="717E1CFD"/>
    <w:rsid w:val="719A7321"/>
    <w:rsid w:val="719B3EAF"/>
    <w:rsid w:val="71B52674"/>
    <w:rsid w:val="72074EA5"/>
    <w:rsid w:val="722373DD"/>
    <w:rsid w:val="722C26ED"/>
    <w:rsid w:val="72323FC9"/>
    <w:rsid w:val="72377C2E"/>
    <w:rsid w:val="72667A82"/>
    <w:rsid w:val="72706B69"/>
    <w:rsid w:val="727226CC"/>
    <w:rsid w:val="72930C07"/>
    <w:rsid w:val="72BD3ED6"/>
    <w:rsid w:val="733B3061"/>
    <w:rsid w:val="73786DE9"/>
    <w:rsid w:val="737D6FAA"/>
    <w:rsid w:val="73AD38E2"/>
    <w:rsid w:val="73E86D31"/>
    <w:rsid w:val="740F39E0"/>
    <w:rsid w:val="74162C1F"/>
    <w:rsid w:val="74170CB4"/>
    <w:rsid w:val="74312486"/>
    <w:rsid w:val="748548D6"/>
    <w:rsid w:val="748F6204"/>
    <w:rsid w:val="74B620B0"/>
    <w:rsid w:val="74B72586"/>
    <w:rsid w:val="74C42745"/>
    <w:rsid w:val="74CA0D3E"/>
    <w:rsid w:val="74E43487"/>
    <w:rsid w:val="75053C80"/>
    <w:rsid w:val="753C5586"/>
    <w:rsid w:val="75AE47A9"/>
    <w:rsid w:val="75BA11FE"/>
    <w:rsid w:val="75C86E1A"/>
    <w:rsid w:val="75CA4BAD"/>
    <w:rsid w:val="75CF05CD"/>
    <w:rsid w:val="765C10C3"/>
    <w:rsid w:val="76793EB0"/>
    <w:rsid w:val="76D43C60"/>
    <w:rsid w:val="76EB7264"/>
    <w:rsid w:val="76F36A4F"/>
    <w:rsid w:val="774C75D7"/>
    <w:rsid w:val="776C1D33"/>
    <w:rsid w:val="77721D4A"/>
    <w:rsid w:val="778126C1"/>
    <w:rsid w:val="779A40F5"/>
    <w:rsid w:val="77A85155"/>
    <w:rsid w:val="77BC023D"/>
    <w:rsid w:val="77C712E3"/>
    <w:rsid w:val="77F6515C"/>
    <w:rsid w:val="7815052F"/>
    <w:rsid w:val="781E4B10"/>
    <w:rsid w:val="782B19EF"/>
    <w:rsid w:val="78322C5E"/>
    <w:rsid w:val="783F4846"/>
    <w:rsid w:val="78402250"/>
    <w:rsid w:val="78455A5A"/>
    <w:rsid w:val="786C6E8A"/>
    <w:rsid w:val="78B652F4"/>
    <w:rsid w:val="78B6537E"/>
    <w:rsid w:val="78C02044"/>
    <w:rsid w:val="78F57355"/>
    <w:rsid w:val="78F7797E"/>
    <w:rsid w:val="78FC43C8"/>
    <w:rsid w:val="791A7AD6"/>
    <w:rsid w:val="79204303"/>
    <w:rsid w:val="792A0CD3"/>
    <w:rsid w:val="79315C1F"/>
    <w:rsid w:val="794D6A64"/>
    <w:rsid w:val="79697269"/>
    <w:rsid w:val="79707CE7"/>
    <w:rsid w:val="79723409"/>
    <w:rsid w:val="7985134A"/>
    <w:rsid w:val="799A287B"/>
    <w:rsid w:val="79EB4F57"/>
    <w:rsid w:val="7A1826BB"/>
    <w:rsid w:val="7A1F7224"/>
    <w:rsid w:val="7A8D06A2"/>
    <w:rsid w:val="7A904DD5"/>
    <w:rsid w:val="7A925C48"/>
    <w:rsid w:val="7AC965C8"/>
    <w:rsid w:val="7B205002"/>
    <w:rsid w:val="7B234AF2"/>
    <w:rsid w:val="7B497C16"/>
    <w:rsid w:val="7B6A0EDB"/>
    <w:rsid w:val="7B747DD7"/>
    <w:rsid w:val="7B861045"/>
    <w:rsid w:val="7BA40C0D"/>
    <w:rsid w:val="7BBA01C6"/>
    <w:rsid w:val="7C121BE6"/>
    <w:rsid w:val="7C711A06"/>
    <w:rsid w:val="7C751768"/>
    <w:rsid w:val="7C7626FE"/>
    <w:rsid w:val="7C7A32C5"/>
    <w:rsid w:val="7C815F74"/>
    <w:rsid w:val="7C9C37BC"/>
    <w:rsid w:val="7CB02338"/>
    <w:rsid w:val="7CBA1174"/>
    <w:rsid w:val="7CEC333E"/>
    <w:rsid w:val="7D277F79"/>
    <w:rsid w:val="7D3905FD"/>
    <w:rsid w:val="7D3E46CE"/>
    <w:rsid w:val="7D717D97"/>
    <w:rsid w:val="7DAD00E4"/>
    <w:rsid w:val="7DBA6297"/>
    <w:rsid w:val="7DD93A6A"/>
    <w:rsid w:val="7DE14F1D"/>
    <w:rsid w:val="7DF62D3A"/>
    <w:rsid w:val="7DFF4448"/>
    <w:rsid w:val="7E007610"/>
    <w:rsid w:val="7E0730A7"/>
    <w:rsid w:val="7E14537B"/>
    <w:rsid w:val="7E1A79BA"/>
    <w:rsid w:val="7E6C3827"/>
    <w:rsid w:val="7E6F5A14"/>
    <w:rsid w:val="7E933D3D"/>
    <w:rsid w:val="7E9A0CB9"/>
    <w:rsid w:val="7EB237B7"/>
    <w:rsid w:val="7EF37B3D"/>
    <w:rsid w:val="7F392B36"/>
    <w:rsid w:val="7F802A63"/>
    <w:rsid w:val="7F9C2720"/>
    <w:rsid w:val="7FA1138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240" w:lineRule="auto"/>
      <w:jc w:val="center"/>
      <w:outlineLvl w:val="1"/>
    </w:pPr>
    <w:rPr>
      <w:rFonts w:ascii="Arial" w:hAnsi="Arial" w:eastAsia="宋体"/>
      <w:b/>
      <w:sz w:val="28"/>
    </w:rPr>
  </w:style>
  <w:style w:type="paragraph" w:styleId="4">
    <w:name w:val="heading 3"/>
    <w:basedOn w:val="1"/>
    <w:next w:val="1"/>
    <w:qFormat/>
    <w:uiPriority w:val="0"/>
    <w:pPr>
      <w:keepNext/>
      <w:keepLines/>
      <w:spacing w:before="260" w:after="260" w:line="240" w:lineRule="auto"/>
      <w:jc w:val="left"/>
      <w:outlineLvl w:val="2"/>
    </w:pPr>
    <w:rPr>
      <w:rFonts w:eastAsia="宋体"/>
      <w:b/>
      <w:bCs/>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7"/>
    <w:basedOn w:val="1"/>
    <w:next w:val="1"/>
    <w:qFormat/>
    <w:uiPriority w:val="0"/>
    <w:pPr>
      <w:keepNext/>
      <w:keepLines/>
      <w:spacing w:before="240" w:after="64" w:line="320" w:lineRule="auto"/>
      <w:outlineLvl w:val="6"/>
    </w:pPr>
    <w:rPr>
      <w:b/>
      <w:bCs/>
      <w:sz w:val="24"/>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qFormat/>
    <w:uiPriority w:val="0"/>
    <w:pPr>
      <w:spacing w:line="360" w:lineRule="auto"/>
      <w:ind w:firstLine="480" w:firstLineChars="200"/>
    </w:pPr>
    <w:rPr>
      <w:rFonts w:ascii="Times New Roman" w:hAnsi="Times New Roman"/>
      <w:szCs w:val="20"/>
    </w:rPr>
  </w:style>
  <w:style w:type="paragraph" w:styleId="9">
    <w:name w:val="annotation text"/>
    <w:basedOn w:val="1"/>
    <w:qFormat/>
    <w:uiPriority w:val="0"/>
    <w:pPr>
      <w:jc w:val="left"/>
    </w:pPr>
  </w:style>
  <w:style w:type="paragraph" w:styleId="10">
    <w:name w:val="Body Text"/>
    <w:basedOn w:val="1"/>
    <w:next w:val="11"/>
    <w:qFormat/>
    <w:uiPriority w:val="0"/>
    <w:rPr>
      <w:rFonts w:eastAsia="楷体_GB2312"/>
      <w:sz w:val="28"/>
    </w:rPr>
  </w:style>
  <w:style w:type="paragraph" w:customStyle="1" w:styleId="1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next w:val="13"/>
    <w:qFormat/>
    <w:uiPriority w:val="99"/>
    <w:pPr>
      <w:ind w:firstLine="538" w:firstLineChars="192"/>
    </w:pPr>
    <w:rPr>
      <w:rFonts w:eastAsia="楷体_GB2312"/>
      <w:sz w:val="28"/>
    </w:rPr>
  </w:style>
  <w:style w:type="paragraph" w:styleId="13">
    <w:name w:val="envelope return"/>
    <w:basedOn w:val="1"/>
    <w:qFormat/>
    <w:uiPriority w:val="0"/>
    <w:pPr>
      <w:snapToGrid w:val="0"/>
    </w:pPr>
    <w:rPr>
      <w:rFonts w:ascii="Arial" w:hAnsi="Arial"/>
    </w:rPr>
  </w:style>
  <w:style w:type="paragraph" w:styleId="14">
    <w:name w:val="Block Text"/>
    <w:basedOn w:val="1"/>
    <w:qFormat/>
    <w:uiPriority w:val="99"/>
    <w:pPr>
      <w:widowControl w:val="0"/>
      <w:ind w:left="-526" w:leftChars="-188" w:right="-1030" w:rightChars="-368" w:firstLine="560" w:firstLineChars="200"/>
      <w:jc w:val="both"/>
    </w:pPr>
    <w:rPr>
      <w:kern w:val="2"/>
      <w:sz w:val="28"/>
      <w:szCs w:val="24"/>
    </w:rPr>
  </w:style>
  <w:style w:type="paragraph" w:styleId="15">
    <w:name w:val="toc 3"/>
    <w:basedOn w:val="1"/>
    <w:next w:val="1"/>
    <w:qFormat/>
    <w:uiPriority w:val="0"/>
    <w:pPr>
      <w:ind w:left="840" w:leftChars="400"/>
    </w:pPr>
  </w:style>
  <w:style w:type="paragraph" w:styleId="16">
    <w:name w:val="Plain Text"/>
    <w:basedOn w:val="1"/>
    <w:qFormat/>
    <w:uiPriority w:val="99"/>
    <w:pPr>
      <w:widowControl w:val="0"/>
      <w:jc w:val="both"/>
    </w:pPr>
    <w:rPr>
      <w:rFonts w:ascii="宋体" w:hAnsi="Courier New"/>
      <w:kern w:val="2"/>
      <w:sz w:val="21"/>
    </w:rPr>
  </w:style>
  <w:style w:type="paragraph" w:styleId="17">
    <w:name w:val="Body Text Indent 2"/>
    <w:basedOn w:val="1"/>
    <w:qFormat/>
    <w:uiPriority w:val="0"/>
    <w:pPr>
      <w:spacing w:after="12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tabs>
        <w:tab w:val="right" w:leader="dot" w:pos="9345"/>
      </w:tabs>
      <w:spacing w:before="120" w:after="120" w:line="440" w:lineRule="exact"/>
    </w:pPr>
    <w:rPr>
      <w:rFonts w:ascii="仿宋_GB2312" w:eastAsia="仿宋_GB2312"/>
      <w:b/>
      <w:bCs/>
      <w:caps/>
    </w:rPr>
  </w:style>
  <w:style w:type="paragraph" w:styleId="21">
    <w:name w:val="toc 2"/>
    <w:basedOn w:val="1"/>
    <w:next w:val="1"/>
    <w:qFormat/>
    <w:uiPriority w:val="39"/>
    <w:pPr>
      <w:ind w:left="210"/>
      <w:jc w:val="left"/>
    </w:pPr>
    <w:rPr>
      <w:smallCaps/>
      <w:sz w:val="20"/>
      <w:szCs w:val="20"/>
    </w:rPr>
  </w:style>
  <w:style w:type="paragraph" w:styleId="2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3">
    <w:name w:val="Normal (Web)"/>
    <w:basedOn w:val="1"/>
    <w:qFormat/>
    <w:uiPriority w:val="99"/>
    <w:pPr>
      <w:widowControl/>
      <w:adjustRightInd w:val="0"/>
      <w:snapToGrid w:val="0"/>
      <w:spacing w:before="100" w:beforeAutospacing="1" w:after="100" w:afterAutospacing="1" w:line="440" w:lineRule="atLeast"/>
      <w:ind w:firstLine="200" w:firstLineChars="200"/>
      <w:jc w:val="left"/>
    </w:pPr>
    <w:rPr>
      <w:rFonts w:ascii="宋体" w:hAnsi="宋体"/>
      <w:kern w:val="0"/>
      <w:sz w:val="24"/>
    </w:rPr>
  </w:style>
  <w:style w:type="paragraph" w:styleId="24">
    <w:name w:val="Body Text First Indent"/>
    <w:basedOn w:val="1"/>
    <w:next w:val="25"/>
    <w:qFormat/>
    <w:uiPriority w:val="0"/>
    <w:pPr>
      <w:ind w:firstLine="420" w:firstLineChars="100"/>
    </w:pPr>
  </w:style>
  <w:style w:type="paragraph" w:styleId="25">
    <w:name w:val="Body Text First Indent 2"/>
    <w:basedOn w:val="12"/>
    <w:next w:val="1"/>
    <w:qFormat/>
    <w:uiPriority w:val="0"/>
    <w:pPr>
      <w:ind w:firstLine="420" w:firstLineChars="200"/>
    </w:pPr>
  </w:style>
  <w:style w:type="table" w:styleId="27">
    <w:name w:val="Table Grid"/>
    <w:basedOn w:val="26"/>
    <w:qFormat/>
    <w:uiPriority w:val="99"/>
    <w:pPr>
      <w:widowControl w:val="0"/>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qFormat/>
    <w:uiPriority w:val="99"/>
    <w:rPr>
      <w:rFonts w:cs="Times New Roman"/>
    </w:rPr>
  </w:style>
  <w:style w:type="character" w:styleId="31">
    <w:name w:val="FollowedHyperlink"/>
    <w:basedOn w:val="28"/>
    <w:qFormat/>
    <w:uiPriority w:val="0"/>
    <w:rPr>
      <w:color w:val="800080"/>
      <w:u w:val="none"/>
    </w:rPr>
  </w:style>
  <w:style w:type="character" w:styleId="32">
    <w:name w:val="Emphasis"/>
    <w:basedOn w:val="28"/>
    <w:qFormat/>
    <w:uiPriority w:val="0"/>
    <w:rPr>
      <w:b/>
    </w:rPr>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qFormat/>
    <w:uiPriority w:val="0"/>
    <w:rPr>
      <w:rFonts w:cs="Times New Roman"/>
      <w:color w:val="0000FF"/>
      <w:u w:val="single"/>
    </w:rPr>
  </w:style>
  <w:style w:type="character" w:styleId="38">
    <w:name w:val="HTML Code"/>
    <w:basedOn w:val="28"/>
    <w:qFormat/>
    <w:uiPriority w:val="0"/>
    <w:rPr>
      <w:rFonts w:hint="default" w:ascii="monospace" w:hAnsi="monospace" w:eastAsia="monospace" w:cs="monospace"/>
      <w:sz w:val="20"/>
    </w:rPr>
  </w:style>
  <w:style w:type="character" w:styleId="39">
    <w:name w:val="HTML Cite"/>
    <w:basedOn w:val="28"/>
    <w:qFormat/>
    <w:uiPriority w:val="0"/>
  </w:style>
  <w:style w:type="character" w:styleId="40">
    <w:name w:val="HTML Keyboard"/>
    <w:basedOn w:val="28"/>
    <w:qFormat/>
    <w:uiPriority w:val="0"/>
    <w:rPr>
      <w:rFonts w:ascii="monospace" w:hAnsi="monospace" w:eastAsia="monospace" w:cs="monospace"/>
      <w:sz w:val="20"/>
    </w:rPr>
  </w:style>
  <w:style w:type="character" w:styleId="41">
    <w:name w:val="HTML Sample"/>
    <w:basedOn w:val="28"/>
    <w:qFormat/>
    <w:uiPriority w:val="0"/>
    <w:rPr>
      <w:rFonts w:hint="default" w:ascii="monospace" w:hAnsi="monospace" w:eastAsia="monospace" w:cs="monospace"/>
      <w:bdr w:val="single" w:color="BDBEC1" w:sz="6" w:space="0"/>
      <w:shd w:val="clear" w:fill="FFFFFF"/>
    </w:rPr>
  </w:style>
  <w:style w:type="paragraph" w:customStyle="1" w:styleId="42">
    <w:name w:val="大标题"/>
    <w:basedOn w:val="1"/>
    <w:next w:val="25"/>
    <w:qFormat/>
    <w:uiPriority w:val="0"/>
    <w:pPr>
      <w:jc w:val="center"/>
    </w:pPr>
    <w:rPr>
      <w:rFonts w:ascii="Arial" w:hAnsi="Arial"/>
      <w:b/>
      <w:sz w:val="28"/>
    </w:rPr>
  </w:style>
  <w:style w:type="paragraph" w:customStyle="1" w:styleId="43">
    <w:name w:val="WPSOffice手动目录 1"/>
    <w:qFormat/>
    <w:uiPriority w:val="0"/>
    <w:rPr>
      <w:rFonts w:ascii="Calibri" w:hAnsi="Calibri" w:eastAsia="宋体" w:cs="Times New Roman"/>
      <w:lang w:val="en-US" w:eastAsia="zh-CN" w:bidi="ar-SA"/>
    </w:rPr>
  </w:style>
  <w:style w:type="paragraph" w:customStyle="1" w:styleId="44">
    <w:name w:val="Table Paragraph"/>
    <w:basedOn w:val="1"/>
    <w:qFormat/>
    <w:uiPriority w:val="1"/>
    <w:rPr>
      <w:rFonts w:ascii="宋体" w:hAnsi="宋体" w:cs="宋体"/>
      <w:lang w:val="zh-CN" w:bidi="zh-CN"/>
    </w:rPr>
  </w:style>
  <w:style w:type="paragraph" w:customStyle="1" w:styleId="45">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msolistparagraph"/>
    <w:basedOn w:val="1"/>
    <w:qFormat/>
    <w:uiPriority w:val="0"/>
    <w:pPr>
      <w:ind w:firstLine="420" w:firstLineChars="200"/>
    </w:pPr>
    <w:rPr>
      <w:rFonts w:ascii="Times New Roman" w:hAnsi="Times New Roman"/>
    </w:rPr>
  </w:style>
  <w:style w:type="paragraph" w:customStyle="1" w:styleId="47">
    <w:name w:val="表格文字"/>
    <w:basedOn w:val="1"/>
    <w:next w:val="10"/>
    <w:qFormat/>
    <w:uiPriority w:val="0"/>
    <w:pPr>
      <w:adjustRightInd w:val="0"/>
      <w:spacing w:line="420" w:lineRule="atLeast"/>
      <w:jc w:val="left"/>
      <w:textAlignment w:val="baseline"/>
    </w:pPr>
    <w:rPr>
      <w:kern w:val="0"/>
      <w:szCs w:val="20"/>
    </w:rPr>
  </w:style>
  <w:style w:type="paragraph" w:customStyle="1" w:styleId="4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9">
    <w:name w:val="List Paragraph"/>
    <w:basedOn w:val="1"/>
    <w:qFormat/>
    <w:uiPriority w:val="1"/>
    <w:pPr>
      <w:ind w:left="400" w:firstLine="420"/>
    </w:pPr>
    <w:rPr>
      <w:rFonts w:ascii="宋体" w:hAnsi="宋体" w:eastAsia="宋体" w:cs="宋体"/>
      <w:lang w:val="zh-CN" w:eastAsia="zh-CN" w:bidi="zh-CN"/>
    </w:rPr>
  </w:style>
  <w:style w:type="character" w:customStyle="1" w:styleId="50">
    <w:name w:val="hover"/>
    <w:basedOn w:val="28"/>
    <w:qFormat/>
    <w:uiPriority w:val="0"/>
    <w:rPr>
      <w:color w:val="2590EB"/>
    </w:rPr>
  </w:style>
  <w:style w:type="character" w:customStyle="1" w:styleId="51">
    <w:name w:val="hover1"/>
    <w:basedOn w:val="28"/>
    <w:qFormat/>
    <w:uiPriority w:val="0"/>
    <w:rPr>
      <w:color w:val="2590EB"/>
    </w:rPr>
  </w:style>
  <w:style w:type="character" w:customStyle="1" w:styleId="52">
    <w:name w:val="hover2"/>
    <w:basedOn w:val="28"/>
    <w:qFormat/>
    <w:uiPriority w:val="0"/>
  </w:style>
  <w:style w:type="character" w:customStyle="1" w:styleId="53">
    <w:name w:val="mini-outputtext1"/>
    <w:basedOn w:val="28"/>
    <w:qFormat/>
    <w:uiPriority w:val="0"/>
  </w:style>
  <w:style w:type="character" w:customStyle="1" w:styleId="54">
    <w:name w:val="hover3"/>
    <w:basedOn w:val="28"/>
    <w:qFormat/>
    <w:uiPriority w:val="0"/>
    <w:rPr>
      <w:color w:val="2590EB"/>
    </w:rPr>
  </w:style>
  <w:style w:type="paragraph" w:customStyle="1" w:styleId="55">
    <w:name w:val="No Spacing_ad81b47b-6779-4c76-b471-79375858c8cb"/>
    <w:basedOn w:val="1"/>
    <w:qFormat/>
    <w:uiPriority w:val="0"/>
  </w:style>
  <w:style w:type="paragraph" w:customStyle="1" w:styleId="56">
    <w:name w:val="样式9 Char"/>
    <w:basedOn w:val="1"/>
    <w:qFormat/>
    <w:uiPriority w:val="99"/>
    <w:pPr>
      <w:spacing w:line="440" w:lineRule="exact"/>
      <w:ind w:firstLine="200" w:firstLineChars="200"/>
    </w:pPr>
    <w:rPr>
      <w:spacing w:val="6"/>
      <w:sz w:val="24"/>
    </w:rPr>
  </w:style>
  <w:style w:type="paragraph" w:customStyle="1" w:styleId="57">
    <w:name w:val="Char"/>
    <w:basedOn w:val="1"/>
    <w:qFormat/>
    <w:uiPriority w:val="99"/>
    <w:pPr>
      <w:widowControl w:val="0"/>
      <w:jc w:val="both"/>
    </w:pPr>
    <w:rPr>
      <w:rFonts w:ascii="仿宋_GB2312" w:eastAsia="仿宋_GB2312"/>
      <w:b/>
      <w:kern w:val="2"/>
      <w:sz w:val="32"/>
      <w:szCs w:val="32"/>
    </w:rPr>
  </w:style>
  <w:style w:type="paragraph" w:customStyle="1" w:styleId="58">
    <w:name w:val="样式29"/>
    <w:basedOn w:val="1"/>
    <w:qFormat/>
    <w:uiPriority w:val="99"/>
    <w:rPr>
      <w:rFonts w:eastAsia="楷体_GB2312"/>
    </w:rPr>
  </w:style>
  <w:style w:type="character" w:customStyle="1" w:styleId="59">
    <w:name w:val="font11"/>
    <w:basedOn w:val="28"/>
    <w:qFormat/>
    <w:uiPriority w:val="0"/>
    <w:rPr>
      <w:rFonts w:hint="eastAsia" w:ascii="宋体" w:hAnsi="宋体" w:eastAsia="宋体" w:cs="宋体"/>
      <w:color w:val="000000"/>
      <w:sz w:val="22"/>
      <w:szCs w:val="22"/>
      <w:u w:val="none"/>
    </w:rPr>
  </w:style>
  <w:style w:type="character" w:customStyle="1" w:styleId="60">
    <w:name w:val="font0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6890</Words>
  <Characters>7801</Characters>
  <Lines>0</Lines>
  <Paragraphs>0</Paragraphs>
  <TotalTime>1</TotalTime>
  <ScaleCrop>false</ScaleCrop>
  <LinksUpToDate>false</LinksUpToDate>
  <CharactersWithSpaces>7864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2021-12-02T03:44:00Z</dcterms:created>
  <dc:creator>陈鸽</dc:creator>
  <cp:lastModifiedBy>陈鸽</cp:lastModifiedBy>
  <cp:lastPrinted>2025-07-10T08:18:00Z</cp:lastPrinted>
  <dcterms:modified xsi:type="dcterms:W3CDTF">2025-07-10T09:43:18Z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E82BF6B54D2F41868B829B47CF446BCD_13</vt:lpwstr>
  </property>
  <property fmtid="{D5CDD505-2E9C-101B-9397-08002B2CF9AE}" pid="4" name="KSOTemplateDocerSaveRecord">
    <vt:lpwstr>eyJoZGlkIjoiMjVmMmYyYjRkNDBmYjIyZGUzNTkzNWJjZGY2ZjEyYTYiLCJ1c2VySWQiOiI3Njc2ODcxNDIifQ==</vt:lpwstr>
  </property>
</Properties>
</file>