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77ED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tLeast"/>
        <w:jc w:val="both"/>
        <w:textAlignment w:val="auto"/>
        <w:outlineLvl w:val="0"/>
        <w:rPr>
          <w:rFonts w:hint="eastAsia" w:ascii="宋体" w:hAnsi="宋体" w:eastAsia="宋体" w:cs="宋体"/>
          <w:b/>
          <w:bCs/>
          <w:color w:val="auto"/>
          <w:sz w:val="48"/>
          <w:szCs w:val="48"/>
          <w:highlight w:val="none"/>
          <w:lang w:val="en-US" w:eastAsia="zh-CN"/>
        </w:rPr>
      </w:pPr>
      <w:bookmarkStart w:id="0" w:name="_Toc21609"/>
      <w:r>
        <w:rPr>
          <w:rFonts w:hint="eastAsia" w:ascii="宋体" w:hAnsi="宋体" w:eastAsia="宋体" w:cs="宋体"/>
          <w:b/>
          <w:bCs/>
          <w:color w:val="auto"/>
          <w:sz w:val="48"/>
          <w:szCs w:val="48"/>
          <w:highlight w:val="none"/>
          <w:lang w:val="en-US" w:eastAsia="zh-CN"/>
        </w:rPr>
        <w:t>渑池县2024年日常及年度国土变更调查项目</w:t>
      </w:r>
    </w:p>
    <w:p w14:paraId="5C623BE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tLeast"/>
        <w:jc w:val="both"/>
        <w:textAlignment w:val="auto"/>
        <w:outlineLvl w:val="0"/>
        <w:rPr>
          <w:rFonts w:hint="eastAsia" w:ascii="宋体" w:hAnsi="宋体" w:eastAsia="宋体" w:cs="宋体"/>
          <w:b/>
          <w:bCs/>
          <w:color w:val="auto"/>
          <w:sz w:val="52"/>
          <w:szCs w:val="52"/>
          <w:highlight w:val="none"/>
          <w:lang w:val="en-US" w:eastAsia="zh-CN"/>
        </w:rPr>
      </w:pPr>
    </w:p>
    <w:p w14:paraId="041268F6">
      <w:pPr>
        <w:spacing w:line="240" w:lineRule="atLeast"/>
        <w:jc w:val="center"/>
        <w:outlineLvl w:val="0"/>
        <w:rPr>
          <w:rFonts w:ascii="宋体" w:hAnsi="宋体" w:eastAsia="宋体"/>
          <w:b/>
          <w:bCs/>
          <w:color w:val="auto"/>
          <w:sz w:val="72"/>
          <w:szCs w:val="72"/>
          <w:highlight w:val="none"/>
        </w:rPr>
      </w:pPr>
      <w:r>
        <w:rPr>
          <w:rFonts w:hint="eastAsia" w:ascii="宋体" w:hAnsi="宋体" w:eastAsia="宋体" w:cs="宋体"/>
          <w:b/>
          <w:bCs/>
          <w:color w:val="auto"/>
          <w:sz w:val="72"/>
          <w:szCs w:val="72"/>
          <w:highlight w:val="none"/>
        </w:rPr>
        <w:t>竞争性磋商文件</w:t>
      </w:r>
      <w:bookmarkEnd w:id="0"/>
    </w:p>
    <w:p w14:paraId="4A0200D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hint="eastAsia" w:ascii="宋体" w:hAnsi="宋体" w:eastAsia="宋体" w:cs="Times New Roman"/>
          <w:b/>
          <w:color w:val="auto"/>
          <w:kern w:val="0"/>
          <w:sz w:val="36"/>
          <w:szCs w:val="36"/>
          <w:highlight w:val="none"/>
          <w:lang w:val="en-US" w:eastAsia="zh-CN" w:bidi="ar-SA"/>
        </w:rPr>
      </w:pPr>
      <w:r>
        <w:rPr>
          <w:rFonts w:hint="eastAsia" w:ascii="宋体" w:hAnsi="宋体" w:eastAsia="宋体" w:cs="宋体"/>
          <w:color w:val="auto"/>
          <w:kern w:val="0"/>
          <w:sz w:val="28"/>
          <w:szCs w:val="28"/>
          <w:highlight w:val="none"/>
        </w:rPr>
        <w:t xml:space="preserve">    </w:t>
      </w:r>
      <w:r>
        <w:rPr>
          <w:rFonts w:hint="eastAsia" w:ascii="宋体" w:hAnsi="宋体" w:eastAsia="宋体" w:cs="Times New Roman"/>
          <w:b/>
          <w:color w:val="auto"/>
          <w:kern w:val="0"/>
          <w:sz w:val="36"/>
          <w:szCs w:val="36"/>
          <w:highlight w:val="none"/>
          <w:lang w:val="en-US" w:eastAsia="zh-CN" w:bidi="ar-SA"/>
        </w:rPr>
        <w:tab/>
      </w:r>
    </w:p>
    <w:p w14:paraId="42CA1C9F">
      <w:pPr>
        <w:spacing w:line="240" w:lineRule="atLeast"/>
        <w:ind w:firstLine="2249" w:firstLineChars="700"/>
        <w:jc w:val="both"/>
        <w:rPr>
          <w:rFonts w:hint="eastAsia" w:ascii="宋体" w:hAnsi="宋体" w:eastAsia="宋体" w:cs="Times New Roman"/>
          <w:b/>
          <w:color w:val="auto"/>
          <w:kern w:val="0"/>
          <w:sz w:val="32"/>
          <w:szCs w:val="32"/>
          <w:highlight w:val="none"/>
          <w:lang w:val="en-US" w:eastAsia="zh-CN" w:bidi="ar-SA"/>
        </w:rPr>
      </w:pPr>
      <w:r>
        <w:rPr>
          <w:rFonts w:hint="eastAsia" w:ascii="宋体" w:hAnsi="宋体" w:eastAsia="宋体" w:cs="Times New Roman"/>
          <w:b/>
          <w:color w:val="auto"/>
          <w:kern w:val="0"/>
          <w:sz w:val="32"/>
          <w:szCs w:val="32"/>
          <w:highlight w:val="none"/>
          <w:lang w:val="en-US" w:eastAsia="zh-CN" w:bidi="ar-SA"/>
        </w:rPr>
        <w:t>项目编号：</w:t>
      </w:r>
      <w:r>
        <w:rPr>
          <w:rFonts w:hint="eastAsia" w:ascii="宋体" w:hAnsi="宋体" w:cs="Times New Roman"/>
          <w:b/>
          <w:color w:val="auto"/>
          <w:kern w:val="0"/>
          <w:sz w:val="32"/>
          <w:szCs w:val="32"/>
          <w:highlight w:val="none"/>
          <w:lang w:val="en-US" w:eastAsia="zh-CN" w:bidi="ar-SA"/>
        </w:rPr>
        <w:t>渑池竞磋采购-2025-145</w:t>
      </w:r>
      <w:r>
        <w:rPr>
          <w:rFonts w:hint="eastAsia" w:ascii="宋体" w:hAnsi="宋体" w:eastAsia="宋体" w:cs="Times New Roman"/>
          <w:b/>
          <w:color w:val="auto"/>
          <w:kern w:val="0"/>
          <w:sz w:val="32"/>
          <w:szCs w:val="32"/>
          <w:highlight w:val="none"/>
          <w:lang w:val="en-US" w:eastAsia="zh-CN" w:bidi="ar-SA"/>
        </w:rPr>
        <w:t>、</w:t>
      </w:r>
    </w:p>
    <w:p w14:paraId="7712BAEA">
      <w:pPr>
        <w:spacing w:line="240" w:lineRule="atLeast"/>
        <w:ind w:firstLine="3213" w:firstLineChars="1000"/>
        <w:jc w:val="both"/>
        <w:rPr>
          <w:rFonts w:hint="eastAsia" w:ascii="宋体" w:hAnsi="宋体" w:eastAsia="宋体" w:cs="Times New Roman"/>
          <w:b/>
          <w:color w:val="auto"/>
          <w:kern w:val="0"/>
          <w:sz w:val="32"/>
          <w:szCs w:val="32"/>
          <w:highlight w:val="none"/>
          <w:lang w:val="en-US" w:eastAsia="zh-CN" w:bidi="ar-SA"/>
        </w:rPr>
      </w:pPr>
      <w:r>
        <w:rPr>
          <w:rFonts w:hint="eastAsia" w:ascii="宋体" w:hAnsi="宋体" w:cs="Times New Roman"/>
          <w:b/>
          <w:color w:val="auto"/>
          <w:kern w:val="0"/>
          <w:sz w:val="32"/>
          <w:szCs w:val="32"/>
          <w:highlight w:val="none"/>
          <w:lang w:val="en-US" w:eastAsia="zh-CN" w:bidi="ar-SA"/>
        </w:rPr>
        <w:t>MCGZ[2025]245-ZC191</w:t>
      </w:r>
    </w:p>
    <w:p w14:paraId="13A3E47A">
      <w:pPr>
        <w:spacing w:line="240" w:lineRule="atLeast"/>
        <w:ind w:firstLine="2570" w:firstLineChars="800"/>
        <w:jc w:val="both"/>
        <w:rPr>
          <w:rFonts w:hint="default" w:ascii="宋体" w:hAnsi="宋体" w:eastAsia="宋体" w:cs="Times New Roman"/>
          <w:b/>
          <w:color w:val="auto"/>
          <w:kern w:val="0"/>
          <w:sz w:val="32"/>
          <w:szCs w:val="32"/>
          <w:highlight w:val="none"/>
          <w:lang w:val="en-US" w:eastAsia="zh-CN" w:bidi="ar-SA"/>
        </w:rPr>
      </w:pPr>
    </w:p>
    <w:p w14:paraId="5AACFC81">
      <w:pPr>
        <w:rPr>
          <w:rFonts w:ascii="宋体" w:hAnsi="宋体" w:eastAsia="宋体"/>
          <w:i/>
          <w:iCs/>
          <w:color w:val="auto"/>
          <w:sz w:val="28"/>
          <w:szCs w:val="28"/>
          <w:highlight w:val="none"/>
        </w:rPr>
      </w:pPr>
    </w:p>
    <w:p w14:paraId="3CD8621D">
      <w:pPr>
        <w:pStyle w:val="11"/>
        <w:jc w:val="center"/>
        <w:rPr>
          <w:rFonts w:hint="eastAsia" w:ascii="宋体" w:hAnsi="宋体" w:eastAsia="宋体"/>
          <w:i/>
          <w:iCs/>
          <w:color w:val="auto"/>
          <w:sz w:val="28"/>
          <w:szCs w:val="28"/>
          <w:highlight w:val="none"/>
          <w:lang w:eastAsia="zh-CN"/>
        </w:rPr>
      </w:pPr>
      <w:r>
        <w:rPr>
          <w:rFonts w:hint="eastAsia" w:ascii="宋体" w:hAnsi="宋体" w:eastAsia="宋体"/>
          <w:i/>
          <w:iCs/>
          <w:color w:val="auto"/>
          <w:sz w:val="28"/>
          <w:szCs w:val="28"/>
          <w:highlight w:val="none"/>
          <w:lang w:eastAsia="zh-CN"/>
        </w:rPr>
        <w:drawing>
          <wp:anchor distT="0" distB="0" distL="114300" distR="114300" simplePos="0" relativeHeight="251659264" behindDoc="1" locked="0" layoutInCell="1" allowOverlap="1">
            <wp:simplePos x="0" y="0"/>
            <wp:positionH relativeFrom="column">
              <wp:posOffset>1301750</wp:posOffset>
            </wp:positionH>
            <wp:positionV relativeFrom="paragraph">
              <wp:posOffset>346710</wp:posOffset>
            </wp:positionV>
            <wp:extent cx="3381375" cy="2352675"/>
            <wp:effectExtent l="0" t="0" r="9525" b="9525"/>
            <wp:wrapNone/>
            <wp:docPr id="4" name="图片 4" descr="175515717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55157171554"/>
                    <pic:cNvPicPr>
                      <a:picLocks noChangeAspect="1"/>
                    </pic:cNvPicPr>
                  </pic:nvPicPr>
                  <pic:blipFill>
                    <a:blip r:embed="rId12"/>
                    <a:stretch>
                      <a:fillRect/>
                    </a:stretch>
                  </pic:blipFill>
                  <pic:spPr>
                    <a:xfrm>
                      <a:off x="0" y="0"/>
                      <a:ext cx="3381375" cy="2352675"/>
                    </a:xfrm>
                    <a:prstGeom prst="rect">
                      <a:avLst/>
                    </a:prstGeom>
                  </pic:spPr>
                </pic:pic>
              </a:graphicData>
            </a:graphic>
          </wp:anchor>
        </w:drawing>
      </w:r>
    </w:p>
    <w:p w14:paraId="2C31574E">
      <w:pPr>
        <w:pStyle w:val="18"/>
        <w:rPr>
          <w:rFonts w:hint="eastAsia"/>
          <w:color w:val="auto"/>
          <w:highlight w:val="none"/>
          <w:lang w:val="en-US" w:eastAsia="zh-CN"/>
        </w:rPr>
      </w:pPr>
    </w:p>
    <w:p w14:paraId="786ACD56">
      <w:pPr>
        <w:pStyle w:val="3"/>
        <w:keepNext w:val="0"/>
        <w:keepLines w:val="0"/>
        <w:pageBreakBefore w:val="0"/>
        <w:widowControl w:val="0"/>
        <w:kinsoku/>
        <w:wordWrap w:val="0"/>
        <w:overflowPunct/>
        <w:topLinePunct w:val="0"/>
        <w:autoSpaceDE/>
        <w:autoSpaceDN/>
        <w:bidi w:val="0"/>
        <w:adjustRightInd/>
        <w:snapToGrid/>
        <w:spacing w:line="760" w:lineRule="exact"/>
        <w:jc w:val="center"/>
        <w:textAlignment w:val="auto"/>
        <w:outlineLvl w:val="0"/>
        <w:rPr>
          <w:rFonts w:hint="eastAsia" w:ascii="宋体" w:hAnsi="宋体"/>
          <w:b/>
          <w:color w:val="auto"/>
          <w:spacing w:val="-6"/>
          <w:sz w:val="36"/>
          <w:szCs w:val="36"/>
          <w:highlight w:val="none"/>
          <w:lang w:val="en-US" w:eastAsia="zh-CN"/>
        </w:rPr>
      </w:pPr>
    </w:p>
    <w:p w14:paraId="4E09728C">
      <w:pPr>
        <w:pStyle w:val="3"/>
        <w:keepNext w:val="0"/>
        <w:keepLines w:val="0"/>
        <w:pageBreakBefore w:val="0"/>
        <w:widowControl w:val="0"/>
        <w:kinsoku/>
        <w:wordWrap w:val="0"/>
        <w:overflowPunct/>
        <w:topLinePunct w:val="0"/>
        <w:autoSpaceDE/>
        <w:autoSpaceDN/>
        <w:bidi w:val="0"/>
        <w:adjustRightInd/>
        <w:snapToGrid/>
        <w:spacing w:line="760" w:lineRule="exact"/>
        <w:jc w:val="center"/>
        <w:textAlignment w:val="auto"/>
        <w:outlineLvl w:val="0"/>
        <w:rPr>
          <w:rFonts w:hint="eastAsia" w:ascii="宋体" w:hAnsi="宋体"/>
          <w:b/>
          <w:color w:val="auto"/>
          <w:spacing w:val="-6"/>
          <w:sz w:val="36"/>
          <w:szCs w:val="36"/>
          <w:highlight w:val="none"/>
          <w:lang w:val="en-US" w:eastAsia="zh-CN"/>
        </w:rPr>
      </w:pPr>
    </w:p>
    <w:p w14:paraId="5569802B">
      <w:pPr>
        <w:pStyle w:val="3"/>
        <w:keepNext w:val="0"/>
        <w:keepLines w:val="0"/>
        <w:pageBreakBefore w:val="0"/>
        <w:widowControl w:val="0"/>
        <w:kinsoku/>
        <w:wordWrap w:val="0"/>
        <w:overflowPunct/>
        <w:topLinePunct w:val="0"/>
        <w:autoSpaceDE/>
        <w:autoSpaceDN/>
        <w:bidi w:val="0"/>
        <w:adjustRightInd/>
        <w:snapToGrid/>
        <w:spacing w:line="760" w:lineRule="exact"/>
        <w:jc w:val="center"/>
        <w:textAlignment w:val="auto"/>
        <w:outlineLvl w:val="0"/>
        <w:rPr>
          <w:rFonts w:hint="eastAsia" w:ascii="宋体" w:hAnsi="宋体"/>
          <w:b/>
          <w:color w:val="auto"/>
          <w:spacing w:val="-6"/>
          <w:sz w:val="36"/>
          <w:szCs w:val="36"/>
          <w:highlight w:val="none"/>
          <w:lang w:val="en-US" w:eastAsia="zh-CN"/>
        </w:rPr>
      </w:pPr>
    </w:p>
    <w:p w14:paraId="0F09B9BE">
      <w:pPr>
        <w:pStyle w:val="3"/>
        <w:keepNext w:val="0"/>
        <w:keepLines w:val="0"/>
        <w:pageBreakBefore w:val="0"/>
        <w:widowControl w:val="0"/>
        <w:kinsoku/>
        <w:wordWrap w:val="0"/>
        <w:overflowPunct/>
        <w:topLinePunct w:val="0"/>
        <w:autoSpaceDE/>
        <w:autoSpaceDN/>
        <w:bidi w:val="0"/>
        <w:adjustRightInd/>
        <w:snapToGrid/>
        <w:spacing w:line="760" w:lineRule="exact"/>
        <w:jc w:val="center"/>
        <w:textAlignment w:val="auto"/>
        <w:outlineLvl w:val="0"/>
        <w:rPr>
          <w:rFonts w:hint="eastAsia" w:ascii="宋体" w:hAnsi="宋体"/>
          <w:b/>
          <w:color w:val="auto"/>
          <w:spacing w:val="-6"/>
          <w:sz w:val="36"/>
          <w:szCs w:val="36"/>
          <w:highlight w:val="none"/>
          <w:lang w:val="en-US" w:eastAsia="zh-CN"/>
        </w:rPr>
      </w:pPr>
    </w:p>
    <w:p w14:paraId="61A122C0">
      <w:pPr>
        <w:pStyle w:val="3"/>
        <w:keepNext w:val="0"/>
        <w:keepLines w:val="0"/>
        <w:pageBreakBefore w:val="0"/>
        <w:widowControl w:val="0"/>
        <w:kinsoku/>
        <w:wordWrap w:val="0"/>
        <w:overflowPunct/>
        <w:topLinePunct w:val="0"/>
        <w:autoSpaceDE/>
        <w:autoSpaceDN/>
        <w:bidi w:val="0"/>
        <w:adjustRightInd/>
        <w:snapToGrid/>
        <w:spacing w:line="760" w:lineRule="exact"/>
        <w:jc w:val="center"/>
        <w:textAlignment w:val="auto"/>
        <w:outlineLvl w:val="0"/>
        <w:rPr>
          <w:rFonts w:hint="eastAsia" w:ascii="宋体" w:hAnsi="宋体"/>
          <w:b/>
          <w:color w:val="auto"/>
          <w:sz w:val="36"/>
          <w:szCs w:val="36"/>
          <w:highlight w:val="none"/>
          <w:lang w:eastAsia="zh-CN"/>
        </w:rPr>
      </w:pPr>
      <w:r>
        <w:rPr>
          <w:rFonts w:hint="eastAsia" w:ascii="宋体" w:hAnsi="宋体"/>
          <w:b/>
          <w:color w:val="auto"/>
          <w:spacing w:val="-6"/>
          <w:sz w:val="36"/>
          <w:szCs w:val="36"/>
          <w:highlight w:val="none"/>
          <w:lang w:val="en-US" w:eastAsia="zh-CN"/>
        </w:rPr>
        <w:t>采购</w:t>
      </w:r>
      <w:r>
        <w:rPr>
          <w:rFonts w:hint="eastAsia" w:ascii="宋体" w:hAnsi="宋体"/>
          <w:b/>
          <w:color w:val="auto"/>
          <w:spacing w:val="-6"/>
          <w:sz w:val="36"/>
          <w:szCs w:val="36"/>
          <w:highlight w:val="none"/>
        </w:rPr>
        <w:t>人</w:t>
      </w:r>
      <w:r>
        <w:rPr>
          <w:rFonts w:hint="eastAsia" w:ascii="宋体" w:hAnsi="宋体"/>
          <w:b/>
          <w:color w:val="auto"/>
          <w:sz w:val="36"/>
          <w:szCs w:val="36"/>
          <w:highlight w:val="none"/>
        </w:rPr>
        <w:t>：</w:t>
      </w:r>
      <w:bookmarkStart w:id="1" w:name="_Toc13009"/>
      <w:r>
        <w:rPr>
          <w:rFonts w:hint="eastAsia" w:ascii="宋体" w:hAnsi="宋体"/>
          <w:b/>
          <w:color w:val="auto"/>
          <w:sz w:val="36"/>
          <w:szCs w:val="36"/>
          <w:highlight w:val="none"/>
          <w:lang w:val="en-US" w:eastAsia="zh-CN"/>
        </w:rPr>
        <w:t>渑池县自然资源局</w:t>
      </w:r>
    </w:p>
    <w:p w14:paraId="38A8F9D5">
      <w:pPr>
        <w:pStyle w:val="3"/>
        <w:keepNext w:val="0"/>
        <w:keepLines w:val="0"/>
        <w:pageBreakBefore w:val="0"/>
        <w:widowControl w:val="0"/>
        <w:kinsoku/>
        <w:wordWrap w:val="0"/>
        <w:overflowPunct/>
        <w:topLinePunct w:val="0"/>
        <w:autoSpaceDE/>
        <w:autoSpaceDN/>
        <w:bidi w:val="0"/>
        <w:adjustRightInd/>
        <w:snapToGrid/>
        <w:spacing w:line="760" w:lineRule="exact"/>
        <w:jc w:val="center"/>
        <w:textAlignment w:val="auto"/>
        <w:outlineLvl w:val="0"/>
        <w:rPr>
          <w:rFonts w:hint="eastAsia" w:ascii="宋体" w:hAnsi="宋体"/>
          <w:b/>
          <w:color w:val="auto"/>
          <w:sz w:val="36"/>
          <w:szCs w:val="36"/>
          <w:highlight w:val="none"/>
          <w:lang w:eastAsia="zh-CN"/>
        </w:rPr>
      </w:pPr>
      <w:r>
        <w:rPr>
          <w:rFonts w:hint="eastAsia" w:ascii="宋体" w:hAnsi="宋体"/>
          <w:b/>
          <w:color w:val="auto"/>
          <w:sz w:val="36"/>
          <w:szCs w:val="36"/>
          <w:highlight w:val="none"/>
        </w:rPr>
        <w:t>代理机构：</w:t>
      </w:r>
      <w:bookmarkEnd w:id="1"/>
      <w:r>
        <w:rPr>
          <w:rFonts w:hint="eastAsia" w:ascii="宋体" w:hAnsi="宋体"/>
          <w:b/>
          <w:color w:val="auto"/>
          <w:sz w:val="36"/>
          <w:szCs w:val="36"/>
          <w:highlight w:val="none"/>
        </w:rPr>
        <w:t>佰诺项目管理有限公司</w:t>
      </w:r>
    </w:p>
    <w:p w14:paraId="472E12ED">
      <w:pPr>
        <w:keepNext w:val="0"/>
        <w:keepLines w:val="0"/>
        <w:pageBreakBefore w:val="0"/>
        <w:widowControl w:val="0"/>
        <w:kinsoku/>
        <w:wordWrap w:val="0"/>
        <w:overflowPunct/>
        <w:topLinePunct w:val="0"/>
        <w:autoSpaceDE/>
        <w:autoSpaceDN/>
        <w:bidi w:val="0"/>
        <w:adjustRightInd/>
        <w:snapToGrid/>
        <w:spacing w:line="760" w:lineRule="exact"/>
        <w:jc w:val="center"/>
        <w:textAlignment w:val="auto"/>
        <w:outlineLvl w:val="0"/>
        <w:rPr>
          <w:rFonts w:hint="default" w:ascii="宋体" w:hAnsi="宋体" w:eastAsia="宋体"/>
          <w:b/>
          <w:color w:val="auto"/>
          <w:sz w:val="36"/>
          <w:szCs w:val="36"/>
          <w:highlight w:val="none"/>
          <w:lang w:val="en-US" w:eastAsia="zh-CN"/>
        </w:rPr>
        <w:sectPr>
          <w:headerReference r:id="rId3" w:type="default"/>
          <w:footerReference r:id="rId4" w:type="default"/>
          <w:pgSz w:w="11906" w:h="16838"/>
          <w:pgMar w:top="1440" w:right="1380" w:bottom="1440" w:left="1086" w:header="0" w:footer="850" w:gutter="0"/>
          <w:pgNumType w:fmt="numberInDash" w:start="1"/>
          <w:cols w:space="720" w:num="1"/>
          <w:docGrid w:linePitch="312" w:charSpace="0"/>
        </w:sectPr>
      </w:pP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〇</w:t>
      </w:r>
      <w:r>
        <w:rPr>
          <w:rFonts w:hint="eastAsia" w:ascii="宋体" w:hAnsi="宋体"/>
          <w:b/>
          <w:color w:val="auto"/>
          <w:sz w:val="36"/>
          <w:szCs w:val="36"/>
          <w:highlight w:val="none"/>
        </w:rPr>
        <w:t>二</w:t>
      </w:r>
      <w:r>
        <w:rPr>
          <w:rFonts w:hint="eastAsia" w:ascii="宋体" w:hAnsi="宋体"/>
          <w:b/>
          <w:color w:val="auto"/>
          <w:sz w:val="36"/>
          <w:szCs w:val="36"/>
          <w:highlight w:val="none"/>
          <w:lang w:val="en-US" w:eastAsia="zh-CN"/>
        </w:rPr>
        <w:t>五</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十月</w:t>
      </w:r>
    </w:p>
    <w:p w14:paraId="3CA8BF48">
      <w:pPr>
        <w:jc w:val="center"/>
        <w:rPr>
          <w:rFonts w:ascii="宋体" w:hAnsi="宋体" w:eastAsia="宋体"/>
          <w:b/>
          <w:bCs/>
          <w:color w:val="auto"/>
          <w:sz w:val="44"/>
          <w:szCs w:val="52"/>
          <w:highlight w:val="none"/>
        </w:rPr>
      </w:pPr>
      <w:r>
        <w:rPr>
          <w:rFonts w:ascii="宋体" w:hAnsi="宋体" w:eastAsia="宋体"/>
          <w:b/>
          <w:bCs/>
          <w:color w:val="auto"/>
          <w:sz w:val="44"/>
          <w:szCs w:val="52"/>
          <w:highlight w:val="none"/>
        </w:rPr>
        <w:t>目</w:t>
      </w:r>
      <w:r>
        <w:rPr>
          <w:rFonts w:hint="eastAsia" w:ascii="宋体" w:hAnsi="宋体"/>
          <w:b/>
          <w:bCs/>
          <w:color w:val="auto"/>
          <w:sz w:val="44"/>
          <w:szCs w:val="52"/>
          <w:highlight w:val="none"/>
          <w:lang w:val="en-US" w:eastAsia="zh-CN"/>
        </w:rPr>
        <w:t xml:space="preserve">  </w:t>
      </w:r>
      <w:r>
        <w:rPr>
          <w:rFonts w:ascii="宋体" w:hAnsi="宋体" w:eastAsia="宋体"/>
          <w:b/>
          <w:bCs/>
          <w:color w:val="auto"/>
          <w:sz w:val="44"/>
          <w:szCs w:val="52"/>
          <w:highlight w:val="none"/>
        </w:rPr>
        <w:t>录</w:t>
      </w:r>
    </w:p>
    <w:p w14:paraId="1DF11B58">
      <w:pPr>
        <w:keepNext w:val="0"/>
        <w:keepLines w:val="0"/>
        <w:pageBreakBefore w:val="0"/>
        <w:widowControl w:val="0"/>
        <w:kinsoku/>
        <w:wordWrap/>
        <w:overflowPunct/>
        <w:topLinePunct w:val="0"/>
        <w:autoSpaceDE/>
        <w:autoSpaceDN/>
        <w:bidi w:val="0"/>
        <w:adjustRightInd/>
        <w:snapToGrid/>
        <w:spacing w:before="35" w:line="740" w:lineRule="exact"/>
        <w:ind w:left="527" w:right="533"/>
        <w:jc w:val="both"/>
        <w:textAlignment w:val="auto"/>
        <w:rPr>
          <w:rFonts w:hint="eastAsia"/>
          <w:b/>
          <w:color w:val="auto"/>
          <w:sz w:val="28"/>
          <w:highlight w:val="none"/>
          <w:lang w:val="en-US" w:eastAsia="zh-CN"/>
        </w:rPr>
      </w:pPr>
    </w:p>
    <w:p w14:paraId="38AA1313">
      <w:pPr>
        <w:keepNext w:val="0"/>
        <w:keepLines w:val="0"/>
        <w:pageBreakBefore w:val="0"/>
        <w:widowControl w:val="0"/>
        <w:kinsoku/>
        <w:wordWrap/>
        <w:overflowPunct/>
        <w:topLinePunct w:val="0"/>
        <w:autoSpaceDE/>
        <w:autoSpaceDN/>
        <w:bidi w:val="0"/>
        <w:adjustRightInd/>
        <w:snapToGrid/>
        <w:spacing w:before="35" w:line="740" w:lineRule="exact"/>
        <w:ind w:left="527" w:right="533"/>
        <w:jc w:val="both"/>
        <w:textAlignment w:val="auto"/>
        <w:rPr>
          <w:rFonts w:hint="eastAsia"/>
          <w:b/>
          <w:color w:val="auto"/>
          <w:sz w:val="28"/>
          <w:highlight w:val="none"/>
          <w:lang w:val="en-US" w:eastAsia="zh-CN"/>
        </w:rPr>
      </w:pPr>
      <w:r>
        <w:rPr>
          <w:rFonts w:hint="eastAsia"/>
          <w:b/>
          <w:color w:val="auto"/>
          <w:sz w:val="28"/>
          <w:highlight w:val="none"/>
          <w:lang w:val="en-US" w:eastAsia="zh-CN"/>
        </w:rPr>
        <w:t>第一章 竞争性磋商公告</w:t>
      </w:r>
    </w:p>
    <w:p w14:paraId="54A69603">
      <w:pPr>
        <w:keepNext w:val="0"/>
        <w:keepLines w:val="0"/>
        <w:pageBreakBefore w:val="0"/>
        <w:widowControl w:val="0"/>
        <w:kinsoku/>
        <w:wordWrap/>
        <w:overflowPunct/>
        <w:topLinePunct w:val="0"/>
        <w:autoSpaceDE/>
        <w:autoSpaceDN/>
        <w:bidi w:val="0"/>
        <w:adjustRightInd/>
        <w:snapToGrid/>
        <w:spacing w:before="35" w:line="740" w:lineRule="exact"/>
        <w:ind w:left="527" w:right="533"/>
        <w:jc w:val="both"/>
        <w:textAlignment w:val="auto"/>
        <w:rPr>
          <w:rFonts w:hint="eastAsia"/>
          <w:b/>
          <w:color w:val="auto"/>
          <w:sz w:val="28"/>
          <w:highlight w:val="none"/>
          <w:lang w:val="en-US" w:eastAsia="zh-CN"/>
        </w:rPr>
      </w:pPr>
      <w:r>
        <w:rPr>
          <w:rFonts w:hint="eastAsia"/>
          <w:b/>
          <w:color w:val="auto"/>
          <w:sz w:val="28"/>
          <w:highlight w:val="none"/>
          <w:lang w:val="en-US" w:eastAsia="zh-CN"/>
        </w:rPr>
        <w:t>第二章 供应商须知</w:t>
      </w:r>
    </w:p>
    <w:p w14:paraId="179D4DF8">
      <w:pPr>
        <w:keepNext w:val="0"/>
        <w:keepLines w:val="0"/>
        <w:pageBreakBefore w:val="0"/>
        <w:widowControl w:val="0"/>
        <w:kinsoku/>
        <w:wordWrap/>
        <w:overflowPunct/>
        <w:topLinePunct w:val="0"/>
        <w:autoSpaceDE/>
        <w:autoSpaceDN/>
        <w:bidi w:val="0"/>
        <w:adjustRightInd/>
        <w:snapToGrid/>
        <w:spacing w:before="35" w:line="740" w:lineRule="exact"/>
        <w:ind w:left="527" w:right="533"/>
        <w:jc w:val="both"/>
        <w:textAlignment w:val="auto"/>
        <w:rPr>
          <w:rFonts w:hint="eastAsia"/>
          <w:b/>
          <w:color w:val="auto"/>
          <w:sz w:val="28"/>
          <w:highlight w:val="none"/>
          <w:lang w:val="en-US" w:eastAsia="zh-CN"/>
        </w:rPr>
      </w:pPr>
      <w:r>
        <w:rPr>
          <w:rFonts w:hint="eastAsia"/>
          <w:b/>
          <w:color w:val="auto"/>
          <w:sz w:val="28"/>
          <w:highlight w:val="none"/>
          <w:lang w:val="en-US" w:eastAsia="zh-CN"/>
        </w:rPr>
        <w:t>第三章 评审标准（综合评分法）</w:t>
      </w:r>
    </w:p>
    <w:p w14:paraId="1C523CBF">
      <w:pPr>
        <w:keepNext w:val="0"/>
        <w:keepLines w:val="0"/>
        <w:pageBreakBefore w:val="0"/>
        <w:widowControl w:val="0"/>
        <w:kinsoku/>
        <w:wordWrap/>
        <w:overflowPunct/>
        <w:topLinePunct w:val="0"/>
        <w:autoSpaceDE/>
        <w:autoSpaceDN/>
        <w:bidi w:val="0"/>
        <w:adjustRightInd/>
        <w:snapToGrid/>
        <w:spacing w:before="35" w:line="740" w:lineRule="exact"/>
        <w:ind w:left="527" w:right="533"/>
        <w:jc w:val="both"/>
        <w:textAlignment w:val="auto"/>
        <w:rPr>
          <w:rFonts w:hint="eastAsia"/>
          <w:b/>
          <w:color w:val="auto"/>
          <w:sz w:val="28"/>
          <w:highlight w:val="none"/>
          <w:lang w:val="en-US" w:eastAsia="zh-CN"/>
        </w:rPr>
      </w:pPr>
      <w:r>
        <w:rPr>
          <w:rFonts w:hint="eastAsia"/>
          <w:b/>
          <w:color w:val="auto"/>
          <w:sz w:val="28"/>
          <w:highlight w:val="none"/>
          <w:lang w:val="en-US" w:eastAsia="zh-CN"/>
        </w:rPr>
        <w:t>第四章  合同条款及格式</w:t>
      </w:r>
    </w:p>
    <w:p w14:paraId="18807CF4">
      <w:pPr>
        <w:keepNext w:val="0"/>
        <w:keepLines w:val="0"/>
        <w:pageBreakBefore w:val="0"/>
        <w:widowControl w:val="0"/>
        <w:kinsoku/>
        <w:wordWrap/>
        <w:overflowPunct/>
        <w:topLinePunct w:val="0"/>
        <w:autoSpaceDE/>
        <w:autoSpaceDN/>
        <w:bidi w:val="0"/>
        <w:adjustRightInd/>
        <w:snapToGrid/>
        <w:spacing w:before="35" w:line="740" w:lineRule="exact"/>
        <w:ind w:left="527" w:right="533"/>
        <w:jc w:val="both"/>
        <w:textAlignment w:val="auto"/>
        <w:rPr>
          <w:rFonts w:hint="default"/>
          <w:b/>
          <w:color w:val="auto"/>
          <w:sz w:val="28"/>
          <w:highlight w:val="none"/>
          <w:lang w:val="en-US" w:eastAsia="zh-CN"/>
        </w:rPr>
      </w:pPr>
      <w:r>
        <w:rPr>
          <w:rFonts w:hint="eastAsia"/>
          <w:b/>
          <w:color w:val="auto"/>
          <w:sz w:val="28"/>
          <w:highlight w:val="none"/>
          <w:lang w:val="en-US" w:eastAsia="zh-CN"/>
        </w:rPr>
        <w:t>第五章  服务内容及技术要求</w:t>
      </w:r>
    </w:p>
    <w:p w14:paraId="1BC56143">
      <w:pPr>
        <w:keepNext w:val="0"/>
        <w:keepLines w:val="0"/>
        <w:pageBreakBefore w:val="0"/>
        <w:widowControl w:val="0"/>
        <w:kinsoku/>
        <w:wordWrap/>
        <w:overflowPunct/>
        <w:topLinePunct w:val="0"/>
        <w:autoSpaceDE/>
        <w:autoSpaceDN/>
        <w:bidi w:val="0"/>
        <w:adjustRightInd/>
        <w:snapToGrid/>
        <w:spacing w:before="35" w:line="740" w:lineRule="exact"/>
        <w:ind w:left="527" w:right="533"/>
        <w:jc w:val="both"/>
        <w:textAlignment w:val="auto"/>
        <w:rPr>
          <w:rFonts w:hint="eastAsia"/>
          <w:b/>
          <w:color w:val="auto"/>
          <w:sz w:val="28"/>
          <w:highlight w:val="none"/>
          <w:lang w:val="en-US" w:eastAsia="zh-CN"/>
        </w:rPr>
      </w:pPr>
      <w:r>
        <w:rPr>
          <w:rFonts w:hint="eastAsia"/>
          <w:b/>
          <w:color w:val="auto"/>
          <w:sz w:val="28"/>
          <w:highlight w:val="none"/>
          <w:lang w:val="en-US" w:eastAsia="zh-CN"/>
        </w:rPr>
        <w:t>第六章 响应文件格式</w:t>
      </w:r>
    </w:p>
    <w:p w14:paraId="27DA08AC">
      <w:pPr>
        <w:rPr>
          <w:color w:val="auto"/>
          <w:highlight w:val="none"/>
        </w:rPr>
      </w:pPr>
    </w:p>
    <w:p w14:paraId="7A252814">
      <w:pPr>
        <w:spacing w:line="480" w:lineRule="auto"/>
        <w:ind w:firstLine="641"/>
        <w:rPr>
          <w:rFonts w:ascii="宋体" w:hAnsi="宋体" w:eastAsia="宋体" w:cs="宋体"/>
          <w:color w:val="auto"/>
          <w:sz w:val="24"/>
          <w:highlight w:val="none"/>
        </w:rPr>
      </w:pPr>
    </w:p>
    <w:p w14:paraId="4B920BBF">
      <w:pPr>
        <w:pStyle w:val="11"/>
        <w:ind w:firstLine="2731" w:firstLineChars="850"/>
        <w:outlineLvl w:val="9"/>
        <w:rPr>
          <w:rFonts w:ascii="宋体" w:hAnsi="宋体" w:eastAsia="宋体"/>
          <w:color w:val="auto"/>
          <w:highlight w:val="none"/>
        </w:rPr>
        <w:sectPr>
          <w:headerReference r:id="rId6" w:type="first"/>
          <w:footerReference r:id="rId8" w:type="first"/>
          <w:headerReference r:id="rId5" w:type="default"/>
          <w:footerReference r:id="rId7" w:type="default"/>
          <w:pgSz w:w="11906" w:h="16838"/>
          <w:pgMar w:top="1531" w:right="1304" w:bottom="1531" w:left="1531" w:header="1134" w:footer="992" w:gutter="0"/>
          <w:pgNumType w:fmt="decimal" w:start="1"/>
          <w:cols w:space="720" w:num="1"/>
          <w:titlePg/>
          <w:docGrid w:type="lines" w:linePitch="312" w:charSpace="0"/>
        </w:sectPr>
      </w:pPr>
      <w:r>
        <w:rPr>
          <w:rFonts w:hint="eastAsia" w:ascii="宋体" w:hAnsi="宋体" w:eastAsia="宋体"/>
          <w:color w:val="auto"/>
          <w:highlight w:val="none"/>
        </w:rPr>
        <w:t xml:space="preserve"> </w:t>
      </w:r>
    </w:p>
    <w:p w14:paraId="71EC37E2">
      <w:pPr>
        <w:pStyle w:val="11"/>
        <w:pageBreakBefore w:val="0"/>
        <w:widowControl w:val="0"/>
        <w:kinsoku/>
        <w:wordWrap/>
        <w:overflowPunct/>
        <w:topLinePunct w:val="0"/>
        <w:autoSpaceDE/>
        <w:autoSpaceDN/>
        <w:bidi w:val="0"/>
        <w:adjustRightInd/>
        <w:snapToGrid/>
        <w:spacing w:line="560" w:lineRule="exact"/>
        <w:jc w:val="center"/>
        <w:textAlignment w:val="auto"/>
        <w:outlineLvl w:val="0"/>
        <w:rPr>
          <w:rFonts w:ascii="宋体" w:hAnsi="宋体" w:eastAsia="宋体"/>
          <w:color w:val="auto"/>
          <w:sz w:val="30"/>
          <w:szCs w:val="30"/>
          <w:highlight w:val="none"/>
        </w:rPr>
      </w:pPr>
      <w:bookmarkStart w:id="2" w:name="_Toc6878"/>
      <w:bookmarkStart w:id="3" w:name="_Toc31121"/>
      <w:r>
        <w:rPr>
          <w:rFonts w:hint="eastAsia" w:ascii="宋体" w:hAnsi="宋体" w:eastAsia="宋体"/>
          <w:color w:val="auto"/>
          <w:sz w:val="30"/>
          <w:szCs w:val="30"/>
          <w:highlight w:val="none"/>
        </w:rPr>
        <w:t>第一章 竞争性磋商公告</w:t>
      </w:r>
      <w:bookmarkEnd w:id="2"/>
      <w:bookmarkEnd w:id="3"/>
    </w:p>
    <w:p w14:paraId="2323EFE6">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highlight w:val="none"/>
        </w:rPr>
      </w:pPr>
      <w:bookmarkStart w:id="4" w:name="OLE_LINK4"/>
      <w:bookmarkStart w:id="5" w:name="_Toc17694"/>
      <w:bookmarkStart w:id="6" w:name="_Toc6653"/>
      <w:r>
        <w:rPr>
          <w:rFonts w:hint="eastAsia" w:ascii="宋体" w:hAnsi="宋体" w:cs="宋体"/>
          <w:color w:val="auto"/>
          <w:kern w:val="0"/>
          <w:sz w:val="24"/>
          <w:szCs w:val="24"/>
          <w:highlight w:val="none"/>
          <w:lang w:val="en-US" w:eastAsia="zh-CN"/>
        </w:rPr>
        <w:t>渑池县2024年日常及年度国土变更调查项目的</w:t>
      </w:r>
      <w:r>
        <w:rPr>
          <w:rFonts w:hint="eastAsia" w:ascii="宋体" w:hAnsi="宋体" w:eastAsia="宋体" w:cs="宋体"/>
          <w:color w:val="auto"/>
          <w:kern w:val="0"/>
          <w:sz w:val="24"/>
          <w:szCs w:val="24"/>
          <w:highlight w:val="none"/>
        </w:rPr>
        <w:t>采购人为</w:t>
      </w:r>
      <w:r>
        <w:rPr>
          <w:rFonts w:hint="eastAsia" w:ascii="宋体" w:hAnsi="宋体" w:eastAsia="宋体" w:cs="宋体"/>
          <w:color w:val="auto"/>
          <w:kern w:val="0"/>
          <w:sz w:val="24"/>
          <w:szCs w:val="24"/>
          <w:highlight w:val="none"/>
          <w:lang w:eastAsia="zh-CN"/>
        </w:rPr>
        <w:t>渑池县自然资源局</w:t>
      </w:r>
      <w:r>
        <w:rPr>
          <w:rFonts w:hint="eastAsia" w:ascii="宋体" w:hAnsi="宋体" w:eastAsia="宋体" w:cs="宋体"/>
          <w:color w:val="auto"/>
          <w:kern w:val="0"/>
          <w:sz w:val="24"/>
          <w:szCs w:val="24"/>
          <w:highlight w:val="none"/>
        </w:rPr>
        <w:t>，采购代理机构佰诺项目管理有限公司。本项目已具备磋商条件，现对该项目进行竞争性磋商。</w:t>
      </w:r>
    </w:p>
    <w:p w14:paraId="7915FA20">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一、项目概况与磋商范围</w:t>
      </w:r>
      <w:bookmarkStart w:id="179" w:name="_GoBack"/>
      <w:bookmarkEnd w:id="179"/>
    </w:p>
    <w:p w14:paraId="1A197889">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1、采购人：</w:t>
      </w:r>
      <w:r>
        <w:rPr>
          <w:rFonts w:hint="eastAsia" w:ascii="宋体" w:hAnsi="宋体" w:eastAsia="宋体" w:cs="宋体"/>
          <w:color w:val="auto"/>
          <w:kern w:val="0"/>
          <w:sz w:val="24"/>
          <w:szCs w:val="24"/>
          <w:highlight w:val="none"/>
          <w:lang w:eastAsia="zh-CN"/>
        </w:rPr>
        <w:t>渑池县自然资源局</w:t>
      </w:r>
    </w:p>
    <w:p w14:paraId="0645AF55">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2、项目名称：</w:t>
      </w:r>
      <w:r>
        <w:rPr>
          <w:rFonts w:hint="eastAsia" w:ascii="宋体" w:hAnsi="宋体" w:eastAsia="宋体" w:cs="宋体"/>
          <w:color w:val="auto"/>
          <w:kern w:val="0"/>
          <w:sz w:val="24"/>
          <w:szCs w:val="24"/>
          <w:highlight w:val="none"/>
          <w:lang w:eastAsia="zh-CN"/>
        </w:rPr>
        <w:t>渑池县2024年日常及年度国土变更调查</w:t>
      </w:r>
      <w:r>
        <w:rPr>
          <w:rFonts w:hint="eastAsia" w:ascii="宋体" w:hAnsi="宋体" w:eastAsia="宋体" w:cs="宋体"/>
          <w:color w:val="auto"/>
          <w:kern w:val="0"/>
          <w:sz w:val="24"/>
          <w:szCs w:val="24"/>
          <w:highlight w:val="none"/>
          <w:lang w:val="en-US" w:eastAsia="zh-CN"/>
        </w:rPr>
        <w:t>项目</w:t>
      </w:r>
    </w:p>
    <w:p w14:paraId="76E60065">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default"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3、项目编号：渑池竞磋采购-2025-145、MCGZ[2025]245-ZC191</w:t>
      </w:r>
    </w:p>
    <w:p w14:paraId="59D4FDBB">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4、预算金额：¥</w:t>
      </w:r>
      <w:r>
        <w:rPr>
          <w:rFonts w:hint="eastAsia" w:ascii="宋体" w:hAnsi="宋体" w:eastAsia="宋体" w:cs="宋体"/>
          <w:color w:val="auto"/>
          <w:kern w:val="0"/>
          <w:sz w:val="24"/>
          <w:szCs w:val="24"/>
          <w:highlight w:val="none"/>
          <w:lang w:val="en-US" w:eastAsia="zh-CN"/>
        </w:rPr>
        <w:t>80.76万</w:t>
      </w:r>
      <w:r>
        <w:rPr>
          <w:rFonts w:hint="eastAsia" w:ascii="宋体" w:hAnsi="宋体" w:eastAsia="宋体" w:cs="宋体"/>
          <w:color w:val="auto"/>
          <w:kern w:val="0"/>
          <w:sz w:val="24"/>
          <w:szCs w:val="24"/>
          <w:highlight w:val="none"/>
          <w:lang w:eastAsia="zh-CN"/>
        </w:rPr>
        <w:t>元</w:t>
      </w:r>
    </w:p>
    <w:p w14:paraId="7A946D4B">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5、资金来源：</w:t>
      </w:r>
      <w:r>
        <w:rPr>
          <w:rFonts w:hint="eastAsia" w:ascii="宋体" w:hAnsi="宋体" w:eastAsia="宋体"/>
          <w:color w:val="auto"/>
          <w:sz w:val="24"/>
          <w:highlight w:val="none"/>
          <w:shd w:val="clear" w:color="auto" w:fill="FFFFFF"/>
          <w:lang w:val="en-US" w:eastAsia="zh-CN"/>
        </w:rPr>
        <w:t>财政</w:t>
      </w:r>
      <w:r>
        <w:rPr>
          <w:rFonts w:hint="eastAsia" w:ascii="宋体" w:hAnsi="宋体" w:eastAsia="宋体" w:cs="宋体"/>
          <w:color w:val="auto"/>
          <w:kern w:val="0"/>
          <w:sz w:val="24"/>
          <w:szCs w:val="24"/>
          <w:highlight w:val="none"/>
        </w:rPr>
        <w:t>资金，已落实</w:t>
      </w:r>
    </w:p>
    <w:p w14:paraId="6E2D2487">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w:t>
      </w:r>
      <w:r>
        <w:rPr>
          <w:rFonts w:hint="eastAsia" w:ascii="宋体" w:hAnsi="宋体" w:cs="宋体"/>
          <w:color w:val="auto"/>
          <w:kern w:val="0"/>
          <w:sz w:val="24"/>
          <w:szCs w:val="24"/>
          <w:highlight w:val="none"/>
          <w:lang w:val="en-US" w:eastAsia="zh-CN"/>
        </w:rPr>
        <w:t>采购内容</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渑池县2024年日常及年度国土变更调查</w:t>
      </w:r>
      <w:r>
        <w:rPr>
          <w:rFonts w:hint="eastAsia" w:ascii="宋体" w:hAnsi="宋体" w:eastAsia="宋体" w:cs="宋体"/>
          <w:color w:val="auto"/>
          <w:kern w:val="0"/>
          <w:sz w:val="24"/>
          <w:szCs w:val="24"/>
          <w:highlight w:val="none"/>
          <w:lang w:val="en-US" w:eastAsia="zh-CN"/>
        </w:rPr>
        <w:t>项目</w:t>
      </w:r>
      <w:r>
        <w:rPr>
          <w:rFonts w:hint="eastAsia" w:ascii="宋体" w:hAnsi="宋体" w:cs="宋体"/>
          <w:color w:val="auto"/>
          <w:kern w:val="0"/>
          <w:sz w:val="24"/>
          <w:szCs w:val="24"/>
          <w:highlight w:val="none"/>
          <w:lang w:val="en-US" w:eastAsia="zh-CN"/>
        </w:rPr>
        <w:t>，详见采购需求</w:t>
      </w:r>
    </w:p>
    <w:p w14:paraId="52A15DE3">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7、标段划分：共1个标段</w:t>
      </w:r>
    </w:p>
    <w:p w14:paraId="000EDAE8">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8、</w:t>
      </w:r>
      <w:r>
        <w:rPr>
          <w:rFonts w:hint="eastAsia" w:ascii="宋体" w:hAnsi="宋体" w:eastAsia="宋体" w:cs="宋体"/>
          <w:color w:val="auto"/>
          <w:kern w:val="0"/>
          <w:sz w:val="24"/>
          <w:szCs w:val="24"/>
          <w:highlight w:val="none"/>
          <w:lang w:val="en-US" w:eastAsia="zh-CN"/>
        </w:rPr>
        <w:t>服务期限</w:t>
      </w:r>
      <w:r>
        <w:rPr>
          <w:rFonts w:hint="eastAsia" w:ascii="宋体" w:hAnsi="宋体" w:eastAsia="宋体" w:cs="宋体"/>
          <w:color w:val="auto"/>
          <w:kern w:val="0"/>
          <w:sz w:val="24"/>
          <w:szCs w:val="24"/>
          <w:highlight w:val="none"/>
          <w:lang w:eastAsia="zh-CN"/>
        </w:rPr>
        <w:t>：合同签订后服务至</w:t>
      </w:r>
      <w:r>
        <w:rPr>
          <w:rFonts w:hint="eastAsia" w:ascii="宋体" w:hAnsi="宋体" w:eastAsia="宋体" w:cs="宋体"/>
          <w:color w:val="auto"/>
          <w:kern w:val="0"/>
          <w:sz w:val="24"/>
          <w:szCs w:val="24"/>
          <w:highlight w:val="none"/>
          <w:lang w:val="en-US" w:eastAsia="zh-CN"/>
        </w:rPr>
        <w:t>成果验收通过</w:t>
      </w:r>
    </w:p>
    <w:p w14:paraId="63DF93E5">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rPr>
        <w:t>质量要求：</w:t>
      </w:r>
      <w:r>
        <w:rPr>
          <w:rFonts w:hint="eastAsia" w:ascii="宋体" w:hAnsi="宋体" w:eastAsia="宋体" w:cs="宋体"/>
          <w:color w:val="auto"/>
          <w:kern w:val="0"/>
          <w:sz w:val="24"/>
          <w:szCs w:val="24"/>
          <w:highlight w:val="none"/>
          <w:lang w:eastAsia="zh-CN"/>
        </w:rPr>
        <w:t>合格，符合国家相关规定及行业标准要求</w:t>
      </w:r>
    </w:p>
    <w:p w14:paraId="163D3EB3">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r>
        <w:rPr>
          <w:rFonts w:hint="eastAsia" w:ascii="宋体" w:hAnsi="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范围：</w:t>
      </w:r>
      <w:r>
        <w:rPr>
          <w:rFonts w:hint="eastAsia" w:ascii="宋体" w:hAnsi="宋体" w:eastAsia="宋体" w:cs="宋体"/>
          <w:color w:val="auto"/>
          <w:kern w:val="0"/>
          <w:sz w:val="24"/>
          <w:szCs w:val="24"/>
          <w:highlight w:val="none"/>
          <w:lang w:eastAsia="zh-CN"/>
        </w:rPr>
        <w:t>磋商文件及答疑、澄清文件的所有内容</w:t>
      </w:r>
    </w:p>
    <w:p w14:paraId="0FBB3AB9">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11、项目地点：</w:t>
      </w:r>
      <w:r>
        <w:rPr>
          <w:rFonts w:hint="eastAsia" w:ascii="宋体" w:hAnsi="宋体" w:eastAsia="宋体"/>
          <w:color w:val="auto"/>
          <w:sz w:val="24"/>
          <w:highlight w:val="none"/>
          <w:shd w:val="clear" w:color="auto" w:fill="FFFFFF"/>
        </w:rPr>
        <w:t>三门峡市</w:t>
      </w:r>
      <w:r>
        <w:rPr>
          <w:rFonts w:hint="eastAsia" w:ascii="宋体" w:hAnsi="宋体"/>
          <w:color w:val="auto"/>
          <w:sz w:val="24"/>
          <w:highlight w:val="none"/>
          <w:shd w:val="clear" w:color="auto" w:fill="FFFFFF"/>
          <w:lang w:val="en-US" w:eastAsia="zh-CN"/>
        </w:rPr>
        <w:t>渑池</w:t>
      </w:r>
      <w:r>
        <w:rPr>
          <w:rFonts w:hint="eastAsia" w:ascii="宋体" w:hAnsi="宋体" w:eastAsia="宋体"/>
          <w:color w:val="auto"/>
          <w:sz w:val="24"/>
          <w:highlight w:val="none"/>
          <w:shd w:val="clear" w:color="auto" w:fill="FFFFFF"/>
        </w:rPr>
        <w:t>县</w:t>
      </w:r>
    </w:p>
    <w:p w14:paraId="69DCAE27">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12、合同履行期限：按合同约定执行</w:t>
      </w:r>
    </w:p>
    <w:p w14:paraId="1E181D11">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w:t>
      </w:r>
      <w:r>
        <w:rPr>
          <w:rFonts w:hint="eastAsia" w:ascii="宋体" w:hAnsi="宋体" w:eastAsia="宋体" w:cs="宋体"/>
          <w:color w:val="auto"/>
          <w:sz w:val="24"/>
          <w:szCs w:val="24"/>
          <w:highlight w:val="none"/>
        </w:rPr>
        <w:t>是否专门面向中小企业：</w:t>
      </w:r>
      <w:r>
        <w:rPr>
          <w:rFonts w:hint="eastAsia" w:ascii="宋体" w:hAnsi="宋体" w:eastAsia="宋体" w:cs="宋体"/>
          <w:color w:val="auto"/>
          <w:sz w:val="24"/>
          <w:szCs w:val="24"/>
          <w:highlight w:val="none"/>
          <w:lang w:val="en-US" w:eastAsia="zh-CN"/>
        </w:rPr>
        <w:t>否</w:t>
      </w:r>
    </w:p>
    <w:p w14:paraId="21EDA561">
      <w:pPr>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w:t>
      </w:r>
      <w:r>
        <w:rPr>
          <w:rFonts w:hint="eastAsia" w:ascii="宋体" w:hAnsi="宋体" w:eastAsia="宋体" w:cs="宋体"/>
          <w:color w:val="auto"/>
          <w:kern w:val="0"/>
          <w:sz w:val="24"/>
          <w:szCs w:val="24"/>
          <w:highlight w:val="none"/>
          <w:lang w:val="en-US" w:eastAsia="zh-CN"/>
        </w:rPr>
        <w:t>响应人</w:t>
      </w:r>
      <w:r>
        <w:rPr>
          <w:rFonts w:hint="eastAsia" w:ascii="宋体" w:hAnsi="宋体" w:eastAsia="宋体" w:cs="宋体"/>
          <w:color w:val="auto"/>
          <w:kern w:val="0"/>
          <w:sz w:val="24"/>
          <w:szCs w:val="24"/>
          <w:highlight w:val="none"/>
        </w:rPr>
        <w:t>资格要求</w:t>
      </w:r>
    </w:p>
    <w:p w14:paraId="737B6FE9">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1、满足《中华人民共和国政府采购法》第二十二条规定；</w:t>
      </w:r>
    </w:p>
    <w:p w14:paraId="5EB54D14">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2、落实政府采购政策满足的资格要求：</w:t>
      </w:r>
    </w:p>
    <w:p w14:paraId="07DACA26">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落实政府采购政策满足的资格要求：本项目非专门面向中小微企业采购项目,执行促进中小企业（监狱企业、残疾人福利性企业）发展等政府采购政策。</w:t>
      </w:r>
    </w:p>
    <w:p w14:paraId="7C105B09">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3、本项目的特定资格要求</w:t>
      </w:r>
    </w:p>
    <w:p w14:paraId="26E5DD71">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3.1</w:t>
      </w:r>
      <w:r>
        <w:rPr>
          <w:rFonts w:hint="eastAsia" w:asciiTheme="minorEastAsia" w:hAnsiTheme="minorEastAsia" w:eastAsiaTheme="minorEastAsia"/>
          <w:color w:val="auto"/>
          <w:sz w:val="24"/>
          <w:szCs w:val="24"/>
          <w:highlight w:val="none"/>
          <w:lang w:eastAsia="zh-CN"/>
        </w:rPr>
        <w:t>供应商具有独立法人资格，且持有效的三证合一的营业执照；</w:t>
      </w:r>
    </w:p>
    <w:p w14:paraId="3E067FBB">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3.2</w:t>
      </w:r>
      <w:r>
        <w:rPr>
          <w:rFonts w:hint="eastAsia" w:asciiTheme="minorEastAsia" w:hAnsiTheme="minorEastAsia" w:eastAsiaTheme="minorEastAsia"/>
          <w:color w:val="auto"/>
          <w:sz w:val="24"/>
          <w:szCs w:val="24"/>
          <w:highlight w:val="none"/>
          <w:lang w:eastAsia="zh-CN"/>
        </w:rPr>
        <w:t>供应商须具备测绘乙级或以上资质；</w:t>
      </w:r>
    </w:p>
    <w:p w14:paraId="7AF398FA">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3.3</w:t>
      </w:r>
      <w:r>
        <w:rPr>
          <w:rFonts w:hint="eastAsia" w:asciiTheme="minorEastAsia" w:hAnsiTheme="minorEastAsia" w:eastAsiaTheme="minorEastAsia"/>
          <w:color w:val="auto"/>
          <w:sz w:val="24"/>
          <w:szCs w:val="24"/>
          <w:highlight w:val="none"/>
          <w:lang w:eastAsia="zh-CN"/>
        </w:rPr>
        <w:t>拟派项目负责人须具备测绘专业中级或以上职称</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需</w:t>
      </w:r>
      <w:r>
        <w:rPr>
          <w:rFonts w:hint="eastAsia" w:ascii="宋体" w:hAnsi="宋体" w:eastAsia="宋体" w:cs="宋体"/>
          <w:color w:val="auto"/>
          <w:sz w:val="24"/>
          <w:highlight w:val="none"/>
          <w:lang w:eastAsia="zh-CN"/>
        </w:rPr>
        <w:t>提供</w:t>
      </w:r>
      <w:r>
        <w:rPr>
          <w:rFonts w:hint="eastAsia" w:ascii="宋体" w:hAnsi="宋体" w:eastAsia="宋体" w:cs="宋体"/>
          <w:color w:val="auto"/>
          <w:sz w:val="24"/>
          <w:highlight w:val="none"/>
          <w:lang w:val="en-US" w:eastAsia="zh-CN"/>
        </w:rPr>
        <w:t>本单位</w:t>
      </w:r>
      <w:r>
        <w:rPr>
          <w:rFonts w:hint="eastAsia" w:ascii="宋体" w:hAnsi="宋体" w:eastAsia="宋体" w:cs="宋体"/>
          <w:color w:val="auto"/>
          <w:sz w:val="24"/>
          <w:highlight w:val="none"/>
          <w:lang w:eastAsia="zh-CN"/>
        </w:rPr>
        <w:t>养老保险缴费证明</w:t>
      </w:r>
      <w:r>
        <w:rPr>
          <w:rFonts w:hint="eastAsia" w:ascii="宋体" w:hAnsi="宋体" w:eastAsia="宋体" w:cs="宋体"/>
          <w:color w:val="auto"/>
          <w:kern w:val="0"/>
          <w:sz w:val="24"/>
          <w:szCs w:val="24"/>
          <w:highlight w:val="none"/>
          <w:lang w:eastAsia="zh-CN"/>
        </w:rPr>
        <w:t>半年以来任意连续3个月</w:t>
      </w:r>
      <w:r>
        <w:rPr>
          <w:rFonts w:hint="eastAsia" w:asciiTheme="minorEastAsia" w:hAnsiTheme="minorEastAsia" w:eastAsiaTheme="minorEastAsia"/>
          <w:color w:val="auto"/>
          <w:sz w:val="24"/>
          <w:szCs w:val="24"/>
          <w:highlight w:val="none"/>
          <w:lang w:eastAsia="zh-CN"/>
        </w:rPr>
        <w:t>；</w:t>
      </w:r>
    </w:p>
    <w:p w14:paraId="05DF5BCD">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3.4</w:t>
      </w:r>
      <w:r>
        <w:rPr>
          <w:rFonts w:hint="eastAsia" w:asciiTheme="minorEastAsia" w:hAnsiTheme="minorEastAsia" w:eastAsiaTheme="minorEastAsia"/>
          <w:color w:val="auto"/>
          <w:sz w:val="24"/>
          <w:szCs w:val="24"/>
          <w:highlight w:val="none"/>
          <w:lang w:eastAsia="zh-CN"/>
        </w:rPr>
        <w:t>具有良好的商业信誉和健全的财务会计制度，供应商自行出具具有良好的商业信誉和健全的财务会计制度的承诺书；</w:t>
      </w:r>
    </w:p>
    <w:p w14:paraId="7618835A">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3.5</w:t>
      </w:r>
      <w:r>
        <w:rPr>
          <w:rFonts w:hint="eastAsia" w:asciiTheme="minorEastAsia" w:hAnsiTheme="minorEastAsia" w:eastAsiaTheme="minorEastAsia"/>
          <w:color w:val="auto"/>
          <w:sz w:val="24"/>
          <w:szCs w:val="24"/>
          <w:highlight w:val="none"/>
          <w:lang w:eastAsia="zh-CN"/>
        </w:rPr>
        <w:t>供应商具有依法缴纳税收和社会保障资金的良好记 录（需提供税收</w:t>
      </w:r>
      <w:r>
        <w:rPr>
          <w:rFonts w:hint="eastAsia" w:asciiTheme="minorEastAsia" w:hAnsiTheme="minorEastAsia" w:eastAsiaTheme="minorEastAsia"/>
          <w:color w:val="auto"/>
          <w:sz w:val="24"/>
          <w:szCs w:val="24"/>
          <w:highlight w:val="none"/>
          <w:lang w:val="en-US" w:eastAsia="zh-CN"/>
        </w:rPr>
        <w:t>证明</w:t>
      </w:r>
      <w:r>
        <w:rPr>
          <w:rFonts w:hint="eastAsia" w:asciiTheme="minorEastAsia" w:hAnsiTheme="minorEastAsia" w:eastAsiaTheme="minorEastAsia"/>
          <w:color w:val="auto"/>
          <w:sz w:val="24"/>
          <w:szCs w:val="24"/>
          <w:highlight w:val="none"/>
          <w:lang w:eastAsia="zh-CN"/>
        </w:rPr>
        <w:t>和社保证明材料）；</w:t>
      </w:r>
    </w:p>
    <w:p w14:paraId="624B9E11">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3.6</w:t>
      </w:r>
      <w:r>
        <w:rPr>
          <w:rFonts w:hint="eastAsia" w:asciiTheme="minorEastAsia" w:hAnsiTheme="minorEastAsia" w:eastAsiaTheme="minorEastAsia"/>
          <w:color w:val="auto"/>
          <w:sz w:val="24"/>
          <w:szCs w:val="24"/>
          <w:highlight w:val="none"/>
          <w:lang w:eastAsia="zh-CN"/>
        </w:rPr>
        <w:t>供应商须出具本企业无商业贿赂和不正当竞争行为承诺书；</w:t>
      </w:r>
    </w:p>
    <w:p w14:paraId="3BB78DE1">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3.7参加政府采购活动前3年内无行贿犯罪记录，提供《中国裁判文书网》查询结果网页截图或企业自行承诺的无行贿犯罪承诺书，查询&lt;承诺&gt;对象为“企业，法定代表人，拟派项目负责人”（查询时间自公告发布之日起，查询结果清晰可见）；</w:t>
      </w:r>
    </w:p>
    <w:p w14:paraId="319416B9">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3.8</w:t>
      </w:r>
      <w:r>
        <w:rPr>
          <w:rFonts w:hint="eastAsia" w:asciiTheme="minorEastAsia" w:hAnsiTheme="minorEastAsia" w:eastAsiaTheme="minorEastAsia"/>
          <w:color w:val="auto"/>
          <w:sz w:val="24"/>
          <w:szCs w:val="24"/>
          <w:highlight w:val="none"/>
          <w:lang w:eastAsia="zh-CN"/>
        </w:rPr>
        <w:t>根据《关于在政府采购活动中查询及使用信用记录有关问题的通知》(财库[2016]125 号)和豫财购【2016】15 号的规定，对列入失信被执行人、重大税收违法失信主体、政府采购严重违法失信行为记录名单的供应商，拒绝参与本项目采购活动；（查询渠道：“信用中国”网站（www.creditchina.gov.cn）、中国政府采购网（www.ccgp.gov.cn）（提供“信用中国”和“中国政府采购网”网站的查询信息截图，查询时间须在本项目自发布公告之日起至项目开标之日范围内）；</w:t>
      </w:r>
    </w:p>
    <w:p w14:paraId="1FFFB8F7">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3.9</w:t>
      </w:r>
      <w:r>
        <w:rPr>
          <w:rFonts w:hint="eastAsia" w:asciiTheme="minorEastAsia" w:hAnsiTheme="minorEastAsia" w:eastAsiaTheme="minorEastAsia"/>
          <w:color w:val="auto"/>
          <w:sz w:val="24"/>
          <w:szCs w:val="24"/>
          <w:highlight w:val="none"/>
          <w:lang w:eastAsia="zh-CN"/>
        </w:rPr>
        <w:t>本项目不接受联合体投标，提供非联合体承诺，格式自拟；</w:t>
      </w:r>
    </w:p>
    <w:p w14:paraId="5BD8A202">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3.10</w:t>
      </w:r>
      <w:r>
        <w:rPr>
          <w:rFonts w:hint="eastAsia" w:asciiTheme="minorEastAsia" w:hAnsiTheme="minorEastAsia" w:eastAsiaTheme="minorEastAsia"/>
          <w:color w:val="auto"/>
          <w:sz w:val="24"/>
          <w:szCs w:val="24"/>
          <w:highlight w:val="none"/>
          <w:lang w:eastAsia="zh-CN"/>
        </w:rPr>
        <w:t>本项目实行资格后审。</w:t>
      </w:r>
    </w:p>
    <w:p w14:paraId="19810F26">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注：被列入失信被执行人及重大税收违法失信主体的企业做无效标处理。采购人或采购代理机构有权对供应商信用记录进行甄别和复查。</w:t>
      </w:r>
    </w:p>
    <w:p w14:paraId="314CCD8C">
      <w:pPr>
        <w:keepNext w:val="0"/>
        <w:keepLines w:val="0"/>
        <w:pageBreakBefore w:val="0"/>
        <w:widowControl w:val="0"/>
        <w:kinsoku/>
        <w:wordWrap/>
        <w:overflowPunct/>
        <w:topLinePunct w:val="0"/>
        <w:autoSpaceDE/>
        <w:autoSpaceDN/>
        <w:bidi w:val="0"/>
        <w:adjustRightInd/>
        <w:snapToGrid/>
        <w:spacing w:line="540" w:lineRule="exact"/>
        <w:ind w:firstLine="482" w:firstLineChars="200"/>
        <w:jc w:val="left"/>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w:t>
      </w:r>
      <w:r>
        <w:rPr>
          <w:rFonts w:hint="eastAsia" w:ascii="宋体" w:hAnsi="宋体" w:eastAsia="宋体" w:cs="宋体"/>
          <w:b/>
          <w:bCs/>
          <w:color w:val="auto"/>
          <w:kern w:val="0"/>
          <w:sz w:val="24"/>
          <w:szCs w:val="24"/>
          <w:highlight w:val="none"/>
          <w:lang w:val="en-US" w:eastAsia="zh-CN"/>
        </w:rPr>
        <w:t>磋商文件获取方式</w:t>
      </w:r>
    </w:p>
    <w:bookmarkEnd w:id="4"/>
    <w:p w14:paraId="268F116F">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default" w:asciiTheme="minorEastAsia" w:hAnsiTheme="minorEastAsia"/>
          <w:color w:val="auto"/>
          <w:sz w:val="24"/>
          <w:szCs w:val="24"/>
          <w:highlight w:val="none"/>
          <w:lang w:val="en-US" w:eastAsia="zh-CN"/>
        </w:rPr>
      </w:pPr>
      <w:bookmarkStart w:id="7" w:name="_Toc12451"/>
      <w:r>
        <w:rPr>
          <w:rFonts w:hint="eastAsia" w:asciiTheme="minorEastAsia" w:hAnsiTheme="minorEastAsia" w:eastAsiaTheme="minorEastAsia"/>
          <w:color w:val="auto"/>
          <w:sz w:val="24"/>
          <w:szCs w:val="24"/>
          <w:highlight w:val="none"/>
        </w:rPr>
        <w:t>1、本项目没有报名环节，</w:t>
      </w:r>
      <w:r>
        <w:rPr>
          <w:rFonts w:hint="eastAsia" w:asciiTheme="minorEastAsia" w:hAnsiTheme="minorEastAsia" w:eastAsiaTheme="minorEastAsia"/>
          <w:color w:val="auto"/>
          <w:sz w:val="24"/>
          <w:szCs w:val="24"/>
          <w:highlight w:val="none"/>
          <w:lang w:val="en-US" w:eastAsia="zh-CN"/>
        </w:rPr>
        <w:tab/>
      </w:r>
    </w:p>
    <w:p w14:paraId="4C3D20F2">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lang w:eastAsia="zh-CN"/>
        </w:rPr>
        <w:t>文件下载时间：20</w:t>
      </w:r>
      <w:r>
        <w:rPr>
          <w:rFonts w:hint="eastAsia" w:asciiTheme="minorEastAsia" w:hAnsiTheme="minorEastAsia"/>
          <w:color w:val="auto"/>
          <w:sz w:val="24"/>
          <w:szCs w:val="24"/>
          <w:highlight w:val="none"/>
          <w:lang w:val="en-US" w:eastAsia="zh-CN"/>
        </w:rPr>
        <w:t>25</w:t>
      </w:r>
      <w:r>
        <w:rPr>
          <w:rFonts w:hint="eastAsia" w:asciiTheme="minorEastAsia" w:hAnsiTheme="minorEastAsia"/>
          <w:color w:val="auto"/>
          <w:sz w:val="24"/>
          <w:szCs w:val="24"/>
          <w:highlight w:val="none"/>
          <w:lang w:eastAsia="zh-CN"/>
        </w:rPr>
        <w:t>年</w:t>
      </w:r>
      <w:r>
        <w:rPr>
          <w:rFonts w:hint="eastAsia" w:asciiTheme="minorEastAsia" w:hAnsiTheme="minorEastAsia"/>
          <w:color w:val="auto"/>
          <w:sz w:val="24"/>
          <w:szCs w:val="24"/>
          <w:highlight w:val="none"/>
          <w:lang w:val="en-US" w:eastAsia="zh-CN"/>
        </w:rPr>
        <w:t>10</w:t>
      </w:r>
      <w:r>
        <w:rPr>
          <w:rFonts w:hint="eastAsia" w:asciiTheme="minorEastAsia" w:hAnsiTheme="minorEastAsia"/>
          <w:color w:val="auto"/>
          <w:sz w:val="24"/>
          <w:szCs w:val="24"/>
          <w:highlight w:val="none"/>
          <w:lang w:eastAsia="zh-CN"/>
        </w:rPr>
        <w:t>月</w:t>
      </w:r>
      <w:r>
        <w:rPr>
          <w:rFonts w:hint="eastAsia" w:asciiTheme="minorEastAsia" w:hAnsiTheme="minorEastAsia"/>
          <w:color w:val="auto"/>
          <w:sz w:val="24"/>
          <w:szCs w:val="24"/>
          <w:highlight w:val="none"/>
          <w:lang w:val="en-US" w:eastAsia="zh-CN"/>
        </w:rPr>
        <w:t>10</w:t>
      </w:r>
      <w:r>
        <w:rPr>
          <w:rFonts w:hint="eastAsia" w:asciiTheme="minorEastAsia" w:hAnsiTheme="minorEastAsia"/>
          <w:color w:val="auto"/>
          <w:sz w:val="24"/>
          <w:szCs w:val="24"/>
          <w:highlight w:val="none"/>
          <w:lang w:eastAsia="zh-CN"/>
        </w:rPr>
        <w:t>日</w:t>
      </w:r>
      <w:r>
        <w:rPr>
          <w:rFonts w:hint="eastAsia" w:asciiTheme="minorEastAsia" w:hAnsiTheme="minorEastAsia"/>
          <w:color w:val="auto"/>
          <w:sz w:val="24"/>
          <w:szCs w:val="24"/>
          <w:highlight w:val="none"/>
          <w:lang w:val="en-US" w:eastAsia="zh-CN"/>
        </w:rPr>
        <w:t>00</w:t>
      </w:r>
      <w:r>
        <w:rPr>
          <w:rFonts w:hint="eastAsia" w:asciiTheme="minorEastAsia" w:hAnsiTheme="minorEastAsia"/>
          <w:color w:val="auto"/>
          <w:sz w:val="24"/>
          <w:szCs w:val="24"/>
          <w:highlight w:val="none"/>
          <w:lang w:eastAsia="zh-CN"/>
        </w:rPr>
        <w:t>时</w:t>
      </w:r>
      <w:r>
        <w:rPr>
          <w:rFonts w:hint="eastAsia" w:asciiTheme="minorEastAsia" w:hAnsiTheme="minorEastAsia"/>
          <w:color w:val="auto"/>
          <w:sz w:val="24"/>
          <w:szCs w:val="24"/>
          <w:highlight w:val="none"/>
          <w:lang w:val="en-US" w:eastAsia="zh-CN"/>
        </w:rPr>
        <w:t>00</w:t>
      </w:r>
      <w:r>
        <w:rPr>
          <w:rFonts w:hint="eastAsia" w:asciiTheme="minorEastAsia" w:hAnsiTheme="minorEastAsia"/>
          <w:color w:val="auto"/>
          <w:sz w:val="24"/>
          <w:szCs w:val="24"/>
          <w:highlight w:val="none"/>
          <w:lang w:eastAsia="zh-CN"/>
        </w:rPr>
        <w:t>分至202</w:t>
      </w:r>
      <w:r>
        <w:rPr>
          <w:rFonts w:hint="eastAsia" w:asciiTheme="minorEastAsia" w:hAnsiTheme="minorEastAsia"/>
          <w:color w:val="auto"/>
          <w:sz w:val="24"/>
          <w:szCs w:val="24"/>
          <w:highlight w:val="none"/>
          <w:lang w:val="en-US" w:eastAsia="zh-CN"/>
        </w:rPr>
        <w:t>5</w:t>
      </w:r>
      <w:r>
        <w:rPr>
          <w:rFonts w:hint="eastAsia" w:asciiTheme="minorEastAsia" w:hAnsiTheme="minorEastAsia"/>
          <w:color w:val="auto"/>
          <w:sz w:val="24"/>
          <w:szCs w:val="24"/>
          <w:highlight w:val="none"/>
          <w:lang w:eastAsia="zh-CN"/>
        </w:rPr>
        <w:t>年</w:t>
      </w:r>
      <w:r>
        <w:rPr>
          <w:rFonts w:hint="eastAsia" w:asciiTheme="minorEastAsia" w:hAnsiTheme="minorEastAsia"/>
          <w:color w:val="auto"/>
          <w:sz w:val="24"/>
          <w:szCs w:val="24"/>
          <w:highlight w:val="none"/>
          <w:lang w:val="en-US" w:eastAsia="zh-CN"/>
        </w:rPr>
        <w:t>10</w:t>
      </w:r>
      <w:r>
        <w:rPr>
          <w:rFonts w:hint="eastAsia" w:asciiTheme="minorEastAsia" w:hAnsiTheme="minorEastAsia"/>
          <w:color w:val="auto"/>
          <w:sz w:val="24"/>
          <w:szCs w:val="24"/>
          <w:highlight w:val="none"/>
          <w:lang w:eastAsia="zh-CN"/>
        </w:rPr>
        <w:t>月</w:t>
      </w:r>
      <w:r>
        <w:rPr>
          <w:rFonts w:hint="eastAsia" w:asciiTheme="minorEastAsia" w:hAnsiTheme="minorEastAsia"/>
          <w:color w:val="auto"/>
          <w:sz w:val="24"/>
          <w:szCs w:val="24"/>
          <w:highlight w:val="none"/>
          <w:lang w:val="en-US" w:eastAsia="zh-CN"/>
        </w:rPr>
        <w:t>20</w:t>
      </w:r>
      <w:r>
        <w:rPr>
          <w:rFonts w:hint="eastAsia" w:asciiTheme="minorEastAsia" w:hAnsiTheme="minorEastAsia"/>
          <w:color w:val="auto"/>
          <w:sz w:val="24"/>
          <w:szCs w:val="24"/>
          <w:highlight w:val="none"/>
          <w:lang w:eastAsia="zh-CN"/>
        </w:rPr>
        <w:t>日</w:t>
      </w:r>
      <w:r>
        <w:rPr>
          <w:rFonts w:hint="eastAsia" w:asciiTheme="minorEastAsia" w:hAnsiTheme="minorEastAsia"/>
          <w:color w:val="auto"/>
          <w:sz w:val="24"/>
          <w:szCs w:val="24"/>
          <w:highlight w:val="none"/>
          <w:lang w:val="en-US" w:eastAsia="zh-CN"/>
        </w:rPr>
        <w:t>23</w:t>
      </w:r>
      <w:r>
        <w:rPr>
          <w:rFonts w:hint="eastAsia" w:asciiTheme="minorEastAsia" w:hAnsiTheme="minorEastAsia"/>
          <w:color w:val="auto"/>
          <w:sz w:val="24"/>
          <w:szCs w:val="24"/>
          <w:highlight w:val="none"/>
          <w:lang w:eastAsia="zh-CN"/>
        </w:rPr>
        <w:t>时</w:t>
      </w:r>
      <w:r>
        <w:rPr>
          <w:rFonts w:hint="eastAsia" w:asciiTheme="minorEastAsia" w:hAnsiTheme="minorEastAsia"/>
          <w:color w:val="auto"/>
          <w:sz w:val="24"/>
          <w:szCs w:val="24"/>
          <w:highlight w:val="none"/>
          <w:lang w:val="en-US" w:eastAsia="zh-CN"/>
        </w:rPr>
        <w:t>59</w:t>
      </w:r>
      <w:r>
        <w:rPr>
          <w:rFonts w:hint="eastAsia" w:asciiTheme="minorEastAsia" w:hAnsiTheme="minorEastAsia"/>
          <w:color w:val="auto"/>
          <w:sz w:val="24"/>
          <w:szCs w:val="24"/>
          <w:highlight w:val="none"/>
          <w:lang w:eastAsia="zh-CN"/>
        </w:rPr>
        <w:t>分；</w:t>
      </w:r>
    </w:p>
    <w:p w14:paraId="1CDE028D">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3</w:t>
      </w:r>
      <w:r>
        <w:rPr>
          <w:rFonts w:hint="eastAsia" w:asciiTheme="minorEastAsia" w:hAnsiTheme="minorEastAsia"/>
          <w:color w:val="auto"/>
          <w:sz w:val="24"/>
          <w:szCs w:val="24"/>
          <w:highlight w:val="none"/>
          <w:lang w:eastAsia="zh-CN"/>
        </w:rPr>
        <w:t>、根据《关于进一步加强公共资源交易管理持续优化营商环境的通知》（三公管办〔2020〕2 号）文件的要求, 招标（磋商）文件费用不再收取。</w:t>
      </w:r>
    </w:p>
    <w:p w14:paraId="6C93B452">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color w:val="auto"/>
          <w:sz w:val="24"/>
          <w:szCs w:val="24"/>
          <w:highlight w:val="none"/>
          <w:lang w:eastAsia="zh-CN"/>
        </w:rPr>
        <w:t>注：本项目为不见面开标项目。开标当日，</w:t>
      </w:r>
      <w:r>
        <w:rPr>
          <w:rFonts w:hint="eastAsia" w:ascii="宋体" w:hAnsi="宋体" w:eastAsia="宋体" w:cs="宋体"/>
          <w:color w:val="auto"/>
          <w:kern w:val="0"/>
          <w:sz w:val="24"/>
          <w:szCs w:val="24"/>
          <w:highlight w:val="none"/>
          <w:lang w:val="en-US" w:eastAsia="zh-CN"/>
        </w:rPr>
        <w:t>响应人</w:t>
      </w:r>
      <w:r>
        <w:rPr>
          <w:rFonts w:hint="eastAsia" w:asciiTheme="minorEastAsia" w:hAnsiTheme="minorEastAsia"/>
          <w:color w:val="auto"/>
          <w:sz w:val="24"/>
          <w:szCs w:val="24"/>
          <w:highlight w:val="none"/>
          <w:lang w:eastAsia="zh-CN"/>
        </w:rPr>
        <w:t>无需到开标现场参加开标会议，</w:t>
      </w:r>
      <w:r>
        <w:rPr>
          <w:rFonts w:hint="eastAsia" w:ascii="宋体" w:hAnsi="宋体" w:eastAsia="宋体" w:cs="宋体"/>
          <w:color w:val="auto"/>
          <w:kern w:val="0"/>
          <w:sz w:val="24"/>
          <w:szCs w:val="24"/>
          <w:highlight w:val="none"/>
          <w:lang w:val="en-US" w:eastAsia="zh-CN"/>
        </w:rPr>
        <w:t>响应人</w:t>
      </w:r>
      <w:r>
        <w:rPr>
          <w:rFonts w:hint="eastAsia" w:asciiTheme="minorEastAsia" w:hAnsiTheme="minorEastAsia"/>
          <w:color w:val="auto"/>
          <w:sz w:val="24"/>
          <w:szCs w:val="24"/>
          <w:highlight w:val="none"/>
          <w:lang w:eastAsia="zh-CN"/>
        </w:rPr>
        <w:t>应当</w:t>
      </w:r>
      <w:r>
        <w:rPr>
          <w:rFonts w:hint="eastAsia" w:asciiTheme="minorEastAsia" w:hAnsiTheme="minorEastAsia" w:eastAsiaTheme="minorEastAsia"/>
          <w:color w:val="auto"/>
          <w:sz w:val="24"/>
          <w:szCs w:val="24"/>
          <w:highlight w:val="none"/>
        </w:rPr>
        <w:t>在投标截止时间前，登陆不见面开标大厅选择登陆三门峡市公共资源电子招投标系统进行登陆网址为http://120.194.249.36:10094/BidOpening/bidopeninghallaction/hall/login）,在线准时参加开标活动并进行投标文件解密等。每位</w:t>
      </w:r>
      <w:r>
        <w:rPr>
          <w:rFonts w:hint="eastAsia" w:ascii="宋体" w:hAnsi="宋体" w:eastAsia="宋体" w:cs="宋体"/>
          <w:color w:val="auto"/>
          <w:kern w:val="0"/>
          <w:sz w:val="24"/>
          <w:szCs w:val="24"/>
          <w:highlight w:val="none"/>
          <w:lang w:val="en-US" w:eastAsia="zh-CN"/>
        </w:rPr>
        <w:t>响应人</w:t>
      </w:r>
      <w:r>
        <w:rPr>
          <w:rFonts w:hint="eastAsia" w:asciiTheme="minorEastAsia" w:hAnsiTheme="minorEastAsia" w:eastAsiaTheme="minorEastAsia"/>
          <w:color w:val="auto"/>
          <w:sz w:val="24"/>
          <w:szCs w:val="24"/>
          <w:highlight w:val="none"/>
        </w:rPr>
        <w:t>的解密时间为开标时间起30分钟内完成。未按时解密的其投标将被否决。因</w:t>
      </w:r>
      <w:r>
        <w:rPr>
          <w:rFonts w:hint="eastAsia" w:ascii="宋体" w:hAnsi="宋体" w:eastAsia="宋体" w:cs="宋体"/>
          <w:color w:val="auto"/>
          <w:kern w:val="0"/>
          <w:sz w:val="24"/>
          <w:szCs w:val="24"/>
          <w:highlight w:val="none"/>
          <w:lang w:val="en-US" w:eastAsia="zh-CN"/>
        </w:rPr>
        <w:t>响应人</w:t>
      </w:r>
      <w:r>
        <w:rPr>
          <w:rFonts w:hint="eastAsia" w:asciiTheme="minorEastAsia" w:hAnsiTheme="minorEastAsia" w:eastAsiaTheme="minorEastAsia"/>
          <w:color w:val="auto"/>
          <w:sz w:val="24"/>
          <w:szCs w:val="24"/>
          <w:highlight w:val="none"/>
        </w:rPr>
        <w:t>原因未能解密、解密失败或解密超时的将被拒绝。</w:t>
      </w:r>
    </w:p>
    <w:p w14:paraId="5EDB2739">
      <w:pPr>
        <w:keepNext w:val="0"/>
        <w:keepLines w:val="0"/>
        <w:pageBreakBefore w:val="0"/>
        <w:kinsoku/>
        <w:wordWrap w:val="0"/>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b/>
          <w:bCs/>
          <w:color w:val="auto"/>
          <w:sz w:val="24"/>
          <w:szCs w:val="24"/>
          <w:highlight w:val="none"/>
          <w:lang w:eastAsia="zh-CN"/>
        </w:rPr>
      </w:pPr>
      <w:r>
        <w:rPr>
          <w:rFonts w:hint="eastAsia" w:asciiTheme="minorEastAsia" w:hAnsiTheme="minorEastAsia" w:eastAsiaTheme="minorEastAsia"/>
          <w:b/>
          <w:bCs/>
          <w:color w:val="auto"/>
          <w:sz w:val="24"/>
          <w:szCs w:val="24"/>
          <w:highlight w:val="none"/>
        </w:rPr>
        <w:t>四、</w:t>
      </w:r>
      <w:bookmarkEnd w:id="7"/>
      <w:r>
        <w:rPr>
          <w:rFonts w:hint="eastAsia" w:asciiTheme="minorEastAsia" w:hAnsiTheme="minorEastAsia"/>
          <w:b/>
          <w:bCs/>
          <w:color w:val="auto"/>
          <w:sz w:val="24"/>
          <w:szCs w:val="24"/>
          <w:highlight w:val="none"/>
          <w:lang w:eastAsia="zh-CN"/>
        </w:rPr>
        <w:t>投标资料提交</w:t>
      </w:r>
    </w:p>
    <w:p w14:paraId="1EE9F83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本项目实行资格后审，审查内容以投标截止时间前在三门峡市公共资源交易系统上传的投标文件的信息为准。其上传资料真实性由供应商自行承担，同时，供应商需要完善主体库信息。否则，由此造成应得分而未得分或资格审查不合格等情况的，由供应商承担责任。</w:t>
      </w:r>
    </w:p>
    <w:p w14:paraId="29821C35">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2、供应商递交的投标文件不论中标与否均不予退还。</w:t>
      </w:r>
    </w:p>
    <w:p w14:paraId="2E25D60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3、采购人不组织投标单位踏勘现场。</w:t>
      </w:r>
    </w:p>
    <w:p w14:paraId="6B65ACF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4、本项目评分业绩以投标文件业绩信息为准，可使用 电子营业执照。</w:t>
      </w:r>
    </w:p>
    <w:p w14:paraId="7627182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5、根据优化营商环境的要求，评标时以投标文件为准：</w:t>
      </w:r>
    </w:p>
    <w:p w14:paraId="681F0C2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（1）资格评（预）审部分：资格评（预）以投标文件为准，其上传资料真</w:t>
      </w:r>
    </w:p>
    <w:p w14:paraId="073700B2">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实性由投标人自行承担，同时，供应商要完善主体库。</w:t>
      </w:r>
    </w:p>
    <w:p w14:paraId="5753B5B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（2）评标打分部分：评标打分部分仍按照 100 分制原则进行，涉及到资格审</w:t>
      </w:r>
    </w:p>
    <w:p w14:paraId="006C077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查、企业荣誉、人员业绩、企业业绩 等计分部分时，以投标单位自行上传到投标文件中的相应内容为准。</w:t>
      </w:r>
    </w:p>
    <w:p w14:paraId="07DB5811">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（3）投标文件编制部分：在磋商文件中要求供应商按照投标文件格式进行</w:t>
      </w:r>
    </w:p>
    <w:p w14:paraId="25B4031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投标文件编制，在投标文件编制时，应明确将投标单位企业基本情况、资质情况、人员情况、财务 情况、业绩情况编入投标文件，便于进行资格审查及评标打分。</w:t>
      </w:r>
    </w:p>
    <w:p w14:paraId="184C09F5">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b/>
          <w:bCs/>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注：我单位（采购人）严格按三财购【2021】9 号文要求的时限发布中标结果公告，发出中标通知书，签订采购合同，上传采购合同。</w:t>
      </w:r>
    </w:p>
    <w:p w14:paraId="4A61B277">
      <w:pPr>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b/>
          <w:bCs/>
          <w:color w:val="auto"/>
          <w:sz w:val="24"/>
          <w:szCs w:val="24"/>
          <w:highlight w:val="none"/>
          <w:lang w:val="en-US" w:eastAsia="zh-CN"/>
        </w:rPr>
      </w:pPr>
      <w:r>
        <w:rPr>
          <w:rFonts w:hint="eastAsia" w:asciiTheme="minorEastAsia" w:hAnsiTheme="minorEastAsia" w:eastAsiaTheme="minorEastAsia"/>
          <w:b/>
          <w:bCs/>
          <w:color w:val="auto"/>
          <w:sz w:val="24"/>
          <w:szCs w:val="24"/>
          <w:highlight w:val="none"/>
          <w:lang w:val="en-US" w:eastAsia="zh-CN"/>
        </w:rPr>
        <w:t>五、磋商保证金</w:t>
      </w:r>
    </w:p>
    <w:p w14:paraId="3BE0409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按照《河南省财政厅关于优化政府采购营商环境有关问题的通知》（豫财购[2019]4号文）的要求本项目不再收取磋商保证金。</w:t>
      </w:r>
    </w:p>
    <w:p w14:paraId="1ED31960">
      <w:pPr>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b/>
          <w:bCs/>
          <w:color w:val="auto"/>
          <w:sz w:val="24"/>
          <w:szCs w:val="24"/>
          <w:highlight w:val="none"/>
          <w:lang w:val="en-US" w:eastAsia="zh-CN"/>
        </w:rPr>
      </w:pPr>
      <w:r>
        <w:rPr>
          <w:rFonts w:hint="eastAsia" w:asciiTheme="minorEastAsia" w:hAnsiTheme="minorEastAsia" w:eastAsiaTheme="minorEastAsia"/>
          <w:b/>
          <w:bCs/>
          <w:color w:val="auto"/>
          <w:sz w:val="24"/>
          <w:szCs w:val="24"/>
          <w:highlight w:val="none"/>
          <w:lang w:val="en-US" w:eastAsia="zh-CN"/>
        </w:rPr>
        <w:t>六、磋商响应文件的递交截止时间（开标时间）及开标地点：</w:t>
      </w:r>
    </w:p>
    <w:p w14:paraId="6625F27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1、时间：2025年10月21日08时20分（北京时间）</w:t>
      </w:r>
    </w:p>
    <w:p w14:paraId="7DE461C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2、开标地点：渑池县公共资源交易中心六楼开标二室；</w:t>
      </w:r>
    </w:p>
    <w:p w14:paraId="6D81C3E0">
      <w:pPr>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b/>
          <w:bCs/>
          <w:color w:val="auto"/>
          <w:sz w:val="24"/>
          <w:szCs w:val="24"/>
          <w:highlight w:val="none"/>
          <w:lang w:val="en-US" w:eastAsia="zh-CN"/>
        </w:rPr>
      </w:pPr>
      <w:r>
        <w:rPr>
          <w:rFonts w:hint="eastAsia" w:asciiTheme="minorEastAsia" w:hAnsiTheme="minorEastAsia" w:eastAsiaTheme="minorEastAsia"/>
          <w:b/>
          <w:bCs/>
          <w:color w:val="auto"/>
          <w:sz w:val="24"/>
          <w:szCs w:val="24"/>
          <w:highlight w:val="none"/>
          <w:lang w:val="en-US" w:eastAsia="zh-CN"/>
        </w:rPr>
        <w:t>七、其他事项</w:t>
      </w:r>
    </w:p>
    <w:p w14:paraId="308F12D0">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响应人应仔细阅读操作手册，在本公告中要求的截止时间前完成网上投标等工作，并充分考虑人为操作等因素，因响应人操作不当等问题造成的无法报名、无法下载磋商文件、无法投标等一切后果，由响应人自行承担；</w:t>
      </w:r>
    </w:p>
    <w:p w14:paraId="695CAD75">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2、投标所发生一切费用由各响应人自行承担，并承担相应的风险和责任；</w:t>
      </w:r>
    </w:p>
    <w:p w14:paraId="61BC7C57">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3、响应人递交的磋商响应文件不论中标与否均不予退还。</w:t>
      </w:r>
    </w:p>
    <w:p w14:paraId="6CF5680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4、采购人不组织响应人踏勘现场。</w:t>
      </w:r>
    </w:p>
    <w:p w14:paraId="2E3762E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温馨提示：本项目为电子化、无纸化交易项目，开标时不再接受任何纸质资料，为保证您能投标成功，请需仔细阅读招标文件和三门峡市公共资源交易中心官网业务办理指南。</w:t>
      </w:r>
    </w:p>
    <w:p w14:paraId="3FF2AA9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八、发布公告的媒介</w:t>
      </w:r>
    </w:p>
    <w:p w14:paraId="6E32486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本次磋商公告同时在</w:t>
      </w:r>
      <w:r>
        <w:rPr>
          <w:rFonts w:hint="eastAsia" w:ascii="宋体" w:hAnsi="宋体" w:cs="宋体"/>
          <w:caps w:val="0"/>
          <w:color w:val="auto"/>
          <w:spacing w:val="0"/>
          <w:sz w:val="24"/>
          <w:szCs w:val="24"/>
          <w:highlight w:val="none"/>
        </w:rPr>
        <w:t>《河南省政府采购网》、《</w:t>
      </w:r>
      <w:r>
        <w:rPr>
          <w:rFonts w:hint="eastAsia" w:ascii="宋体" w:hAnsi="宋体" w:cs="宋体"/>
          <w:caps w:val="0"/>
          <w:color w:val="auto"/>
          <w:spacing w:val="0"/>
          <w:sz w:val="24"/>
          <w:szCs w:val="24"/>
          <w:highlight w:val="none"/>
          <w:lang w:eastAsia="zh-CN"/>
        </w:rPr>
        <w:t>中国采购与招标网</w:t>
      </w:r>
      <w:r>
        <w:rPr>
          <w:rFonts w:hint="eastAsia" w:ascii="宋体" w:hAnsi="宋体" w:cs="宋体"/>
          <w:caps w:val="0"/>
          <w:color w:val="auto"/>
          <w:spacing w:val="0"/>
          <w:sz w:val="24"/>
          <w:szCs w:val="24"/>
          <w:highlight w:val="none"/>
        </w:rPr>
        <w:t>》、《三门峡市公共资源交易中心网》</w:t>
      </w:r>
      <w:r>
        <w:rPr>
          <w:rFonts w:hint="eastAsia" w:asciiTheme="minorEastAsia" w:hAnsiTheme="minorEastAsia" w:eastAsiaTheme="minorEastAsia"/>
          <w:color w:val="auto"/>
          <w:sz w:val="24"/>
          <w:szCs w:val="24"/>
          <w:highlight w:val="none"/>
          <w:lang w:val="en-US" w:eastAsia="zh-CN"/>
        </w:rPr>
        <w:t>上发布。</w:t>
      </w:r>
    </w:p>
    <w:p w14:paraId="1749732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九、联系方式</w:t>
      </w:r>
    </w:p>
    <w:p w14:paraId="279FDD3B">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1、监督单位</w:t>
      </w:r>
    </w:p>
    <w:p w14:paraId="150C434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监督单位：渑池县政府采购办公室</w:t>
      </w:r>
    </w:p>
    <w:p w14:paraId="0DD3D4D5">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电话：0398-4818677</w:t>
      </w:r>
    </w:p>
    <w:p w14:paraId="437566DF">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2、采购人</w:t>
      </w:r>
    </w:p>
    <w:p w14:paraId="0D818875">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采购人：渑池县自然资源局</w:t>
      </w:r>
    </w:p>
    <w:p w14:paraId="7CE4764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联系人：赵先生</w:t>
      </w:r>
    </w:p>
    <w:p w14:paraId="5687230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电话：15239836609</w:t>
      </w:r>
    </w:p>
    <w:p w14:paraId="6EE0041D">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3、代理机构</w:t>
      </w:r>
    </w:p>
    <w:p w14:paraId="2C7E4AE9">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代理机构：佰诺项目管理有限公司</w:t>
      </w:r>
    </w:p>
    <w:p w14:paraId="4AE376A3">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 xml:space="preserve">联系人： 梁泽锋  何蒙  </w:t>
      </w:r>
    </w:p>
    <w:p w14:paraId="12881AF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电话：18623981358、18639867810</w:t>
      </w:r>
    </w:p>
    <w:p w14:paraId="79B600A6">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highlight w:val="none"/>
        </w:rPr>
      </w:pPr>
      <w:r>
        <w:rPr>
          <w:rFonts w:hint="eastAsia" w:asciiTheme="minorEastAsia" w:hAnsiTheme="minorEastAsia" w:eastAsiaTheme="minorEastAsia"/>
          <w:color w:val="auto"/>
          <w:sz w:val="24"/>
          <w:szCs w:val="24"/>
          <w:highlight w:val="none"/>
          <w:lang w:val="en-US" w:eastAsia="zh-CN"/>
        </w:rPr>
        <w:t>地址：三门峡市陕州区中心大道湖滨大厦A座2306室</w:t>
      </w:r>
    </w:p>
    <w:p w14:paraId="58985743">
      <w:pPr>
        <w:rPr>
          <w:rFonts w:hint="eastAsia" w:ascii="宋体" w:hAnsi="宋体" w:eastAsia="宋体"/>
          <w:color w:val="auto"/>
          <w:sz w:val="30"/>
          <w:szCs w:val="30"/>
          <w:highlight w:val="none"/>
        </w:rPr>
      </w:pPr>
    </w:p>
    <w:p w14:paraId="13B0A24F">
      <w:pPr>
        <w:rPr>
          <w:rFonts w:hint="eastAsia" w:ascii="宋体" w:hAnsi="宋体" w:eastAsia="宋体"/>
          <w:color w:val="auto"/>
          <w:sz w:val="30"/>
          <w:szCs w:val="30"/>
          <w:highlight w:val="none"/>
        </w:rPr>
      </w:pPr>
      <w:r>
        <w:rPr>
          <w:rFonts w:hint="eastAsia" w:ascii="宋体" w:hAnsi="宋体" w:eastAsia="宋体"/>
          <w:color w:val="auto"/>
          <w:sz w:val="30"/>
          <w:szCs w:val="30"/>
          <w:highlight w:val="none"/>
        </w:rPr>
        <w:br w:type="page"/>
      </w:r>
    </w:p>
    <w:p w14:paraId="062A8EFE">
      <w:pPr>
        <w:pStyle w:val="11"/>
        <w:jc w:val="center"/>
        <w:outlineLvl w:val="0"/>
        <w:rPr>
          <w:rFonts w:ascii="宋体" w:hAnsi="宋体" w:eastAsia="宋体"/>
          <w:color w:val="auto"/>
          <w:sz w:val="30"/>
          <w:szCs w:val="30"/>
          <w:highlight w:val="none"/>
        </w:rPr>
      </w:pPr>
      <w:r>
        <w:rPr>
          <w:rFonts w:hint="eastAsia" w:ascii="宋体" w:hAnsi="宋体" w:eastAsia="宋体"/>
          <w:color w:val="auto"/>
          <w:sz w:val="30"/>
          <w:szCs w:val="30"/>
          <w:highlight w:val="none"/>
        </w:rPr>
        <w:t xml:space="preserve">第二章 </w:t>
      </w:r>
      <w:r>
        <w:rPr>
          <w:rFonts w:hint="eastAsia" w:ascii="宋体" w:hAnsi="宋体" w:eastAsia="宋体"/>
          <w:color w:val="auto"/>
          <w:sz w:val="30"/>
          <w:szCs w:val="30"/>
          <w:highlight w:val="none"/>
          <w:lang w:val="en-US" w:eastAsia="zh-CN"/>
        </w:rPr>
        <w:t>供应商</w:t>
      </w:r>
      <w:r>
        <w:rPr>
          <w:rFonts w:hint="eastAsia" w:ascii="宋体" w:hAnsi="宋体" w:eastAsia="宋体"/>
          <w:color w:val="auto"/>
          <w:sz w:val="30"/>
          <w:szCs w:val="30"/>
          <w:highlight w:val="none"/>
        </w:rPr>
        <w:t>须知</w:t>
      </w:r>
      <w:bookmarkEnd w:id="5"/>
      <w:bookmarkEnd w:id="6"/>
    </w:p>
    <w:p w14:paraId="49255474">
      <w:pPr>
        <w:spacing w:line="360" w:lineRule="auto"/>
        <w:jc w:val="center"/>
        <w:outlineLvl w:val="0"/>
        <w:rPr>
          <w:rFonts w:ascii="宋体" w:hAnsi="宋体" w:eastAsia="宋体"/>
          <w:b/>
          <w:bCs/>
          <w:color w:val="auto"/>
          <w:sz w:val="28"/>
          <w:szCs w:val="28"/>
          <w:highlight w:val="none"/>
        </w:rPr>
      </w:pPr>
      <w:bookmarkStart w:id="8" w:name="_Toc29183"/>
      <w:bookmarkStart w:id="9" w:name="_Toc150"/>
      <w:r>
        <w:rPr>
          <w:rFonts w:hint="eastAsia" w:ascii="宋体" w:hAnsi="宋体"/>
          <w:b/>
          <w:bCs/>
          <w:color w:val="auto"/>
          <w:sz w:val="28"/>
          <w:szCs w:val="28"/>
          <w:highlight w:val="none"/>
          <w:lang w:val="en-US" w:eastAsia="zh-CN"/>
        </w:rPr>
        <w:t>供应商</w:t>
      </w:r>
      <w:r>
        <w:rPr>
          <w:rFonts w:hint="eastAsia" w:ascii="宋体" w:hAnsi="宋体" w:eastAsia="宋体"/>
          <w:b/>
          <w:bCs/>
          <w:color w:val="auto"/>
          <w:sz w:val="28"/>
          <w:szCs w:val="28"/>
          <w:highlight w:val="none"/>
        </w:rPr>
        <w:t>须知前附表</w:t>
      </w:r>
      <w:bookmarkEnd w:id="8"/>
      <w:bookmarkEnd w:id="9"/>
    </w:p>
    <w:tbl>
      <w:tblPr>
        <w:tblStyle w:val="20"/>
        <w:tblW w:w="9549" w:type="dxa"/>
        <w:jc w:val="center"/>
        <w:tblLayout w:type="fixed"/>
        <w:tblCellMar>
          <w:top w:w="0" w:type="dxa"/>
          <w:left w:w="108" w:type="dxa"/>
          <w:bottom w:w="0" w:type="dxa"/>
          <w:right w:w="108" w:type="dxa"/>
        </w:tblCellMar>
      </w:tblPr>
      <w:tblGrid>
        <w:gridCol w:w="938"/>
        <w:gridCol w:w="2436"/>
        <w:gridCol w:w="6175"/>
      </w:tblGrid>
      <w:tr w14:paraId="7E28E3A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A665F11">
            <w:pPr>
              <w:spacing w:line="360" w:lineRule="exact"/>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条款号</w:t>
            </w:r>
          </w:p>
        </w:tc>
        <w:tc>
          <w:tcPr>
            <w:tcW w:w="2436" w:type="dxa"/>
            <w:tcBorders>
              <w:top w:val="single" w:color="auto" w:sz="4" w:space="0"/>
              <w:left w:val="nil"/>
              <w:bottom w:val="single" w:color="auto" w:sz="4" w:space="0"/>
              <w:right w:val="single" w:color="auto" w:sz="4" w:space="0"/>
            </w:tcBorders>
            <w:noWrap w:val="0"/>
            <w:vAlign w:val="center"/>
          </w:tcPr>
          <w:p w14:paraId="1D71BA77">
            <w:pPr>
              <w:spacing w:line="360" w:lineRule="exact"/>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条款名称</w:t>
            </w:r>
          </w:p>
        </w:tc>
        <w:tc>
          <w:tcPr>
            <w:tcW w:w="6175" w:type="dxa"/>
            <w:tcBorders>
              <w:top w:val="single" w:color="auto" w:sz="4" w:space="0"/>
              <w:left w:val="nil"/>
              <w:bottom w:val="single" w:color="auto" w:sz="4" w:space="0"/>
              <w:right w:val="single" w:color="auto" w:sz="4" w:space="0"/>
            </w:tcBorders>
            <w:noWrap w:val="0"/>
            <w:vAlign w:val="center"/>
          </w:tcPr>
          <w:p w14:paraId="6F1877A1">
            <w:pPr>
              <w:spacing w:line="360" w:lineRule="exact"/>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编列内容</w:t>
            </w:r>
          </w:p>
        </w:tc>
      </w:tr>
      <w:tr w14:paraId="539F60B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D1658F6">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436" w:type="dxa"/>
            <w:tcBorders>
              <w:top w:val="single" w:color="auto" w:sz="4" w:space="0"/>
              <w:left w:val="nil"/>
              <w:bottom w:val="single" w:color="auto" w:sz="4" w:space="0"/>
              <w:right w:val="single" w:color="auto" w:sz="4" w:space="0"/>
            </w:tcBorders>
            <w:noWrap w:val="0"/>
            <w:vAlign w:val="center"/>
          </w:tcPr>
          <w:p w14:paraId="27D3E059">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监督单位和采购人</w:t>
            </w:r>
          </w:p>
        </w:tc>
        <w:tc>
          <w:tcPr>
            <w:tcW w:w="6175" w:type="dxa"/>
            <w:tcBorders>
              <w:top w:val="single" w:color="auto" w:sz="4" w:space="0"/>
              <w:left w:val="nil"/>
              <w:bottom w:val="single" w:color="auto" w:sz="4" w:space="0"/>
              <w:right w:val="single" w:color="auto" w:sz="4" w:space="0"/>
            </w:tcBorders>
            <w:noWrap w:val="0"/>
            <w:vAlign w:val="center"/>
          </w:tcPr>
          <w:p w14:paraId="4142FF8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1、监督单位</w:t>
            </w:r>
          </w:p>
          <w:p w14:paraId="581F5AF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监督单位：渑池县政府采购办公室</w:t>
            </w:r>
          </w:p>
          <w:p w14:paraId="3811122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电话：0398-4818677</w:t>
            </w:r>
          </w:p>
          <w:p w14:paraId="2EBB16B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2、采购人</w:t>
            </w:r>
          </w:p>
          <w:p w14:paraId="425EF03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采购人：渑池县自然资源局</w:t>
            </w:r>
          </w:p>
          <w:p w14:paraId="4239607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联系人：赵先生</w:t>
            </w:r>
          </w:p>
          <w:p w14:paraId="2D83305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highlight w:val="none"/>
                <w:lang w:eastAsia="zh-CN"/>
              </w:rPr>
            </w:pPr>
            <w:r>
              <w:rPr>
                <w:rFonts w:hint="eastAsia" w:asciiTheme="minorEastAsia" w:hAnsiTheme="minorEastAsia" w:eastAsiaTheme="minorEastAsia"/>
                <w:color w:val="auto"/>
                <w:sz w:val="24"/>
                <w:szCs w:val="24"/>
                <w:highlight w:val="none"/>
                <w:lang w:val="en-US" w:eastAsia="zh-CN"/>
              </w:rPr>
              <w:t>电话：15239836609</w:t>
            </w:r>
          </w:p>
        </w:tc>
      </w:tr>
      <w:tr w14:paraId="0092B0C0">
        <w:tblPrEx>
          <w:tblCellMar>
            <w:top w:w="0" w:type="dxa"/>
            <w:left w:w="108" w:type="dxa"/>
            <w:bottom w:w="0" w:type="dxa"/>
            <w:right w:w="108" w:type="dxa"/>
          </w:tblCellMar>
        </w:tblPrEx>
        <w:trPr>
          <w:trHeight w:val="174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7C87AE6">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436" w:type="dxa"/>
            <w:tcBorders>
              <w:top w:val="single" w:color="auto" w:sz="4" w:space="0"/>
              <w:left w:val="nil"/>
              <w:bottom w:val="single" w:color="auto" w:sz="4" w:space="0"/>
              <w:right w:val="single" w:color="auto" w:sz="4" w:space="0"/>
            </w:tcBorders>
            <w:noWrap w:val="0"/>
            <w:vAlign w:val="center"/>
          </w:tcPr>
          <w:p w14:paraId="764AAFFC">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采购代理机构</w:t>
            </w:r>
          </w:p>
        </w:tc>
        <w:tc>
          <w:tcPr>
            <w:tcW w:w="6175" w:type="dxa"/>
            <w:tcBorders>
              <w:top w:val="single" w:color="auto" w:sz="4" w:space="0"/>
              <w:left w:val="nil"/>
              <w:bottom w:val="single" w:color="auto" w:sz="4" w:space="0"/>
              <w:right w:val="single" w:color="auto" w:sz="4" w:space="0"/>
            </w:tcBorders>
            <w:noWrap w:val="0"/>
            <w:vAlign w:val="center"/>
          </w:tcPr>
          <w:p w14:paraId="4C0EE406">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代理机构：佰诺项目管理有限公司</w:t>
            </w:r>
          </w:p>
          <w:p w14:paraId="179D7EE4">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w:t>
            </w:r>
            <w:r>
              <w:rPr>
                <w:rFonts w:hint="eastAsia" w:asciiTheme="minorEastAsia" w:hAnsiTheme="minorEastAsia" w:eastAsiaTheme="minorEastAsia"/>
                <w:color w:val="auto"/>
                <w:sz w:val="24"/>
                <w:szCs w:val="24"/>
                <w:highlight w:val="none"/>
                <w:lang w:val="en-US" w:eastAsia="zh-CN"/>
              </w:rPr>
              <w:t xml:space="preserve"> 梁泽锋 何蒙  </w:t>
            </w:r>
          </w:p>
          <w:p w14:paraId="6B27BB04">
            <w:pPr>
              <w:spacing w:line="360" w:lineRule="exact"/>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电话：18623981358、18639867810</w:t>
            </w:r>
          </w:p>
          <w:p w14:paraId="087078A2">
            <w:pPr>
              <w:spacing w:line="36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地址：三门峡市陕州区中心大道湖滨大厦A座2306室</w:t>
            </w:r>
          </w:p>
        </w:tc>
      </w:tr>
      <w:tr w14:paraId="785034EC">
        <w:trPr>
          <w:trHeight w:val="511"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2A0F783">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436" w:type="dxa"/>
            <w:tcBorders>
              <w:top w:val="single" w:color="auto" w:sz="4" w:space="0"/>
              <w:left w:val="nil"/>
              <w:bottom w:val="single" w:color="auto" w:sz="4" w:space="0"/>
              <w:right w:val="single" w:color="auto" w:sz="4" w:space="0"/>
            </w:tcBorders>
            <w:noWrap w:val="0"/>
            <w:vAlign w:val="center"/>
          </w:tcPr>
          <w:p w14:paraId="212EAB35">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175" w:type="dxa"/>
            <w:tcBorders>
              <w:top w:val="single" w:color="auto" w:sz="4" w:space="0"/>
              <w:left w:val="nil"/>
              <w:bottom w:val="single" w:color="auto" w:sz="4" w:space="0"/>
              <w:right w:val="single" w:color="auto" w:sz="4" w:space="0"/>
            </w:tcBorders>
            <w:noWrap w:val="0"/>
            <w:vAlign w:val="center"/>
          </w:tcPr>
          <w:p w14:paraId="6AC68002">
            <w:pPr>
              <w:spacing w:line="36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渑池县2024年日常及年度国土变更调查项目</w:t>
            </w:r>
          </w:p>
        </w:tc>
      </w:tr>
      <w:tr w14:paraId="58C44E24">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F1388C6">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2436" w:type="dxa"/>
            <w:tcBorders>
              <w:top w:val="single" w:color="auto" w:sz="4" w:space="0"/>
              <w:left w:val="nil"/>
              <w:bottom w:val="single" w:color="auto" w:sz="4" w:space="0"/>
              <w:right w:val="single" w:color="auto" w:sz="4" w:space="0"/>
            </w:tcBorders>
            <w:noWrap w:val="0"/>
            <w:vAlign w:val="center"/>
          </w:tcPr>
          <w:p w14:paraId="51C887F4">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6175" w:type="dxa"/>
            <w:tcBorders>
              <w:top w:val="single" w:color="auto" w:sz="4" w:space="0"/>
              <w:left w:val="nil"/>
              <w:bottom w:val="single" w:color="auto" w:sz="4" w:space="0"/>
              <w:right w:val="single" w:color="auto" w:sz="4" w:space="0"/>
            </w:tcBorders>
            <w:noWrap w:val="0"/>
            <w:vAlign w:val="center"/>
          </w:tcPr>
          <w:p w14:paraId="2702058B">
            <w:pPr>
              <w:spacing w:line="360" w:lineRule="exact"/>
              <w:jc w:val="left"/>
              <w:rPr>
                <w:rFonts w:hint="default" w:ascii="宋体" w:hAnsi="宋体" w:eastAsia="宋体" w:cs="宋体"/>
                <w:color w:val="auto"/>
                <w:sz w:val="24"/>
                <w:highlight w:val="none"/>
                <w:lang w:val="en-US" w:eastAsia="zh-CN"/>
              </w:rPr>
            </w:pPr>
            <w:r>
              <w:rPr>
                <w:rFonts w:hint="eastAsia" w:ascii="宋体" w:hAnsi="宋体" w:cs="宋体"/>
                <w:color w:val="auto"/>
                <w:kern w:val="0"/>
                <w:sz w:val="24"/>
                <w:szCs w:val="24"/>
                <w:highlight w:val="none"/>
                <w:lang w:val="en-US" w:eastAsia="zh-CN"/>
              </w:rPr>
              <w:t>渑</w:t>
            </w:r>
            <w:r>
              <w:rPr>
                <w:rFonts w:hint="eastAsia" w:ascii="宋体" w:hAnsi="宋体" w:eastAsia="宋体" w:cs="宋体"/>
                <w:color w:val="auto"/>
                <w:kern w:val="0"/>
                <w:sz w:val="24"/>
                <w:szCs w:val="24"/>
                <w:highlight w:val="none"/>
                <w:lang w:val="en-US" w:eastAsia="zh-CN"/>
              </w:rPr>
              <w:t>竞磋采购-2025-81</w:t>
            </w:r>
            <w:r>
              <w:rPr>
                <w:rFonts w:hint="eastAsia" w:ascii="宋体" w:hAnsi="宋体" w:cs="宋体"/>
                <w:color w:val="auto"/>
                <w:kern w:val="0"/>
                <w:sz w:val="24"/>
                <w:szCs w:val="24"/>
                <w:highlight w:val="none"/>
                <w:lang w:val="en-US" w:eastAsia="zh-CN"/>
              </w:rPr>
              <w:t>、MCGZ[2025]245-ZC191</w:t>
            </w:r>
          </w:p>
        </w:tc>
      </w:tr>
      <w:tr w14:paraId="411BAB7C">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C8229D9">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2436" w:type="dxa"/>
            <w:tcBorders>
              <w:top w:val="single" w:color="auto" w:sz="4" w:space="0"/>
              <w:left w:val="nil"/>
              <w:bottom w:val="single" w:color="auto" w:sz="4" w:space="0"/>
              <w:right w:val="single" w:color="auto" w:sz="4" w:space="0"/>
            </w:tcBorders>
            <w:noWrap w:val="0"/>
            <w:vAlign w:val="center"/>
          </w:tcPr>
          <w:p w14:paraId="5C23A626">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项目地点</w:t>
            </w:r>
          </w:p>
        </w:tc>
        <w:tc>
          <w:tcPr>
            <w:tcW w:w="6175" w:type="dxa"/>
            <w:tcBorders>
              <w:top w:val="single" w:color="auto" w:sz="4" w:space="0"/>
              <w:left w:val="nil"/>
              <w:bottom w:val="single" w:color="auto" w:sz="4" w:space="0"/>
              <w:right w:val="single" w:color="auto" w:sz="4" w:space="0"/>
            </w:tcBorders>
            <w:noWrap w:val="0"/>
            <w:vAlign w:val="center"/>
          </w:tcPr>
          <w:p w14:paraId="5F4E2835">
            <w:pPr>
              <w:spacing w:line="360" w:lineRule="exact"/>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三门峡市</w:t>
            </w:r>
            <w:r>
              <w:rPr>
                <w:rFonts w:hint="eastAsia" w:ascii="宋体" w:hAnsi="宋体" w:cs="宋体"/>
                <w:color w:val="auto"/>
                <w:sz w:val="24"/>
                <w:highlight w:val="none"/>
                <w:lang w:val="en-US" w:eastAsia="zh-CN"/>
              </w:rPr>
              <w:t>渑池县</w:t>
            </w:r>
          </w:p>
        </w:tc>
      </w:tr>
      <w:tr w14:paraId="01C14C0C">
        <w:tblPrEx>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A2E9391">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2436" w:type="dxa"/>
            <w:tcBorders>
              <w:top w:val="single" w:color="auto" w:sz="4" w:space="0"/>
              <w:left w:val="nil"/>
              <w:bottom w:val="single" w:color="auto" w:sz="4" w:space="0"/>
              <w:right w:val="single" w:color="auto" w:sz="4" w:space="0"/>
            </w:tcBorders>
            <w:noWrap w:val="0"/>
            <w:vAlign w:val="center"/>
          </w:tcPr>
          <w:p w14:paraId="638525B3">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工程概况</w:t>
            </w:r>
          </w:p>
        </w:tc>
        <w:tc>
          <w:tcPr>
            <w:tcW w:w="6175" w:type="dxa"/>
            <w:tcBorders>
              <w:top w:val="single" w:color="auto" w:sz="4" w:space="0"/>
              <w:left w:val="nil"/>
              <w:bottom w:val="single" w:color="auto" w:sz="4" w:space="0"/>
              <w:right w:val="single" w:color="auto" w:sz="4" w:space="0"/>
            </w:tcBorders>
            <w:noWrap w:val="0"/>
            <w:vAlign w:val="center"/>
          </w:tcPr>
          <w:p w14:paraId="2557AB93">
            <w:pPr>
              <w:spacing w:line="360" w:lineRule="exact"/>
              <w:jc w:val="left"/>
              <w:rPr>
                <w:rFonts w:ascii="宋体" w:hAnsi="宋体" w:eastAsia="宋体" w:cs="宋体"/>
                <w:color w:val="auto"/>
                <w:sz w:val="24"/>
                <w:highlight w:val="none"/>
              </w:rPr>
            </w:pPr>
            <w:r>
              <w:rPr>
                <w:rFonts w:hint="eastAsia" w:ascii="宋体" w:hAnsi="宋体" w:cs="宋体"/>
                <w:color w:val="auto"/>
                <w:sz w:val="24"/>
                <w:highlight w:val="none"/>
                <w:lang w:val="en-US" w:eastAsia="zh-CN"/>
              </w:rPr>
              <w:t>渑池</w:t>
            </w:r>
            <w:r>
              <w:rPr>
                <w:rFonts w:hint="eastAsia" w:ascii="宋体" w:hAnsi="宋体" w:eastAsia="宋体" w:cs="宋体"/>
                <w:color w:val="auto"/>
                <w:sz w:val="24"/>
                <w:highlight w:val="none"/>
                <w:lang w:eastAsia="zh-CN"/>
              </w:rPr>
              <w:t>县</w:t>
            </w:r>
            <w:r>
              <w:rPr>
                <w:rFonts w:ascii="宋体" w:hAnsi="宋体" w:eastAsia="宋体" w:cs="宋体"/>
                <w:color w:val="auto"/>
                <w:sz w:val="24"/>
                <w:highlight w:val="none"/>
                <w:lang w:eastAsia="zh-CN"/>
              </w:rPr>
              <w:t>202</w:t>
            </w:r>
            <w:r>
              <w:rPr>
                <w:rFonts w:hint="eastAsia" w:ascii="宋体" w:hAnsi="宋体" w:cs="宋体"/>
                <w:color w:val="auto"/>
                <w:sz w:val="24"/>
                <w:highlight w:val="none"/>
                <w:lang w:val="en-US" w:eastAsia="zh-CN"/>
              </w:rPr>
              <w:t>4</w:t>
            </w:r>
            <w:r>
              <w:rPr>
                <w:rFonts w:ascii="宋体" w:hAnsi="宋体" w:eastAsia="宋体" w:cs="宋体"/>
                <w:color w:val="auto"/>
                <w:sz w:val="24"/>
                <w:highlight w:val="none"/>
                <w:lang w:eastAsia="zh-CN"/>
              </w:rPr>
              <w:t>年度国土变更调查项目，准确掌握</w:t>
            </w:r>
            <w:r>
              <w:rPr>
                <w:rFonts w:hint="eastAsia" w:ascii="宋体" w:hAnsi="宋体" w:cs="宋体"/>
                <w:color w:val="auto"/>
                <w:sz w:val="24"/>
                <w:highlight w:val="none"/>
                <w:lang w:val="en-US" w:eastAsia="zh-CN"/>
              </w:rPr>
              <w:t>渑池</w:t>
            </w:r>
            <w:r>
              <w:rPr>
                <w:rFonts w:ascii="宋体" w:hAnsi="宋体" w:eastAsia="宋体" w:cs="宋体"/>
                <w:color w:val="auto"/>
                <w:sz w:val="24"/>
                <w:highlight w:val="none"/>
                <w:lang w:eastAsia="zh-CN"/>
              </w:rPr>
              <w:t>县 202</w:t>
            </w:r>
            <w:r>
              <w:rPr>
                <w:rFonts w:hint="eastAsia" w:ascii="宋体" w:hAnsi="宋体" w:cs="宋体"/>
                <w:color w:val="auto"/>
                <w:sz w:val="24"/>
                <w:highlight w:val="none"/>
                <w:lang w:val="en-US" w:eastAsia="zh-CN"/>
              </w:rPr>
              <w:t>4</w:t>
            </w:r>
            <w:r>
              <w:rPr>
                <w:rFonts w:ascii="宋体" w:hAnsi="宋体" w:eastAsia="宋体" w:cs="宋体"/>
                <w:color w:val="auto"/>
                <w:sz w:val="24"/>
                <w:highlight w:val="none"/>
                <w:lang w:eastAsia="zh-CN"/>
              </w:rPr>
              <w:t>度国土利用变化情况，按时保质保量完成国家下达的国土变更调查任务。</w:t>
            </w:r>
          </w:p>
        </w:tc>
      </w:tr>
      <w:tr w14:paraId="6D0A1E6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3B3C0CB">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7</w:t>
            </w:r>
          </w:p>
        </w:tc>
        <w:tc>
          <w:tcPr>
            <w:tcW w:w="2436" w:type="dxa"/>
            <w:tcBorders>
              <w:top w:val="single" w:color="auto" w:sz="4" w:space="0"/>
              <w:left w:val="nil"/>
              <w:bottom w:val="single" w:color="auto" w:sz="4" w:space="0"/>
              <w:right w:val="single" w:color="auto" w:sz="4" w:space="0"/>
            </w:tcBorders>
            <w:noWrap w:val="0"/>
            <w:vAlign w:val="center"/>
          </w:tcPr>
          <w:p w14:paraId="5679CD64">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资金来源及落实情况</w:t>
            </w:r>
          </w:p>
        </w:tc>
        <w:tc>
          <w:tcPr>
            <w:tcW w:w="6175" w:type="dxa"/>
            <w:tcBorders>
              <w:top w:val="single" w:color="auto" w:sz="4" w:space="0"/>
              <w:left w:val="nil"/>
              <w:bottom w:val="single" w:color="auto" w:sz="4" w:space="0"/>
              <w:right w:val="single" w:color="auto" w:sz="4" w:space="0"/>
            </w:tcBorders>
            <w:noWrap w:val="0"/>
            <w:vAlign w:val="center"/>
          </w:tcPr>
          <w:p w14:paraId="69372786">
            <w:pPr>
              <w:spacing w:line="360" w:lineRule="exact"/>
              <w:jc w:val="left"/>
              <w:rPr>
                <w:rFonts w:ascii="宋体" w:hAnsi="宋体" w:eastAsia="宋体" w:cs="宋体"/>
                <w:color w:val="auto"/>
                <w:sz w:val="24"/>
                <w:highlight w:val="none"/>
              </w:rPr>
            </w:pPr>
            <w:r>
              <w:rPr>
                <w:rFonts w:hint="eastAsia" w:ascii="宋体" w:hAnsi="宋体" w:eastAsia="宋体"/>
                <w:color w:val="auto"/>
                <w:sz w:val="24"/>
                <w:highlight w:val="none"/>
                <w:shd w:val="clear" w:color="auto" w:fill="FFFFFF"/>
                <w:lang w:val="en-US" w:eastAsia="zh-CN"/>
              </w:rPr>
              <w:t>财政</w:t>
            </w:r>
            <w:r>
              <w:rPr>
                <w:rFonts w:hint="eastAsia" w:ascii="宋体" w:hAnsi="宋体" w:eastAsia="宋体" w:cs="宋体"/>
                <w:color w:val="auto"/>
                <w:kern w:val="0"/>
                <w:sz w:val="24"/>
                <w:szCs w:val="24"/>
                <w:highlight w:val="none"/>
              </w:rPr>
              <w:t>资金，已落实</w:t>
            </w:r>
          </w:p>
        </w:tc>
      </w:tr>
      <w:tr w14:paraId="235F97A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E73AC65">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8</w:t>
            </w:r>
          </w:p>
        </w:tc>
        <w:tc>
          <w:tcPr>
            <w:tcW w:w="2436" w:type="dxa"/>
            <w:tcBorders>
              <w:top w:val="single" w:color="auto" w:sz="4" w:space="0"/>
              <w:left w:val="nil"/>
              <w:bottom w:val="single" w:color="auto" w:sz="4" w:space="0"/>
              <w:right w:val="single" w:color="auto" w:sz="4" w:space="0"/>
            </w:tcBorders>
            <w:noWrap w:val="0"/>
            <w:vAlign w:val="center"/>
          </w:tcPr>
          <w:p w14:paraId="639A3232">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磋商范围</w:t>
            </w:r>
          </w:p>
        </w:tc>
        <w:tc>
          <w:tcPr>
            <w:tcW w:w="6175" w:type="dxa"/>
            <w:tcBorders>
              <w:top w:val="single" w:color="auto" w:sz="4" w:space="0"/>
              <w:left w:val="nil"/>
              <w:bottom w:val="single" w:color="auto" w:sz="4" w:space="0"/>
              <w:right w:val="single" w:color="auto" w:sz="4" w:space="0"/>
            </w:tcBorders>
            <w:noWrap w:val="0"/>
            <w:vAlign w:val="center"/>
          </w:tcPr>
          <w:p w14:paraId="42E7DA2A">
            <w:pPr>
              <w:spacing w:line="36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竞争性磋商文件及工程量清单范围内的全部内容</w:t>
            </w:r>
          </w:p>
        </w:tc>
      </w:tr>
      <w:tr w14:paraId="60ACEEE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EEBBB4E">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9</w:t>
            </w:r>
          </w:p>
        </w:tc>
        <w:tc>
          <w:tcPr>
            <w:tcW w:w="2436" w:type="dxa"/>
            <w:tcBorders>
              <w:top w:val="single" w:color="auto" w:sz="4" w:space="0"/>
              <w:left w:val="nil"/>
              <w:bottom w:val="single" w:color="auto" w:sz="4" w:space="0"/>
              <w:right w:val="single" w:color="auto" w:sz="4" w:space="0"/>
            </w:tcBorders>
            <w:noWrap w:val="0"/>
            <w:vAlign w:val="center"/>
          </w:tcPr>
          <w:p w14:paraId="49A80176">
            <w:pPr>
              <w:spacing w:line="360" w:lineRule="exact"/>
              <w:jc w:val="lef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服务期限</w:t>
            </w:r>
          </w:p>
        </w:tc>
        <w:tc>
          <w:tcPr>
            <w:tcW w:w="6175" w:type="dxa"/>
            <w:tcBorders>
              <w:top w:val="single" w:color="auto" w:sz="4" w:space="0"/>
              <w:left w:val="nil"/>
              <w:bottom w:val="single" w:color="auto" w:sz="4" w:space="0"/>
              <w:right w:val="single" w:color="auto" w:sz="4" w:space="0"/>
            </w:tcBorders>
            <w:noWrap w:val="0"/>
            <w:vAlign w:val="center"/>
          </w:tcPr>
          <w:p w14:paraId="383DDDA9">
            <w:pPr>
              <w:spacing w:line="360" w:lineRule="exact"/>
              <w:jc w:val="left"/>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合同签订后服务至成果验收通过</w:t>
            </w:r>
          </w:p>
        </w:tc>
      </w:tr>
      <w:tr w14:paraId="6B40D728">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449042E">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w:t>
            </w:r>
          </w:p>
        </w:tc>
        <w:tc>
          <w:tcPr>
            <w:tcW w:w="2436" w:type="dxa"/>
            <w:tcBorders>
              <w:top w:val="single" w:color="auto" w:sz="4" w:space="0"/>
              <w:left w:val="nil"/>
              <w:bottom w:val="single" w:color="auto" w:sz="4" w:space="0"/>
              <w:right w:val="single" w:color="auto" w:sz="4" w:space="0"/>
            </w:tcBorders>
            <w:noWrap w:val="0"/>
            <w:vAlign w:val="center"/>
          </w:tcPr>
          <w:p w14:paraId="7F921B67">
            <w:pPr>
              <w:spacing w:line="360" w:lineRule="exact"/>
              <w:jc w:val="lef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质量要求</w:t>
            </w:r>
          </w:p>
        </w:tc>
        <w:tc>
          <w:tcPr>
            <w:tcW w:w="6175" w:type="dxa"/>
            <w:tcBorders>
              <w:top w:val="single" w:color="auto" w:sz="4" w:space="0"/>
              <w:left w:val="nil"/>
              <w:bottom w:val="single" w:color="auto" w:sz="4" w:space="0"/>
              <w:right w:val="single" w:color="auto" w:sz="4" w:space="0"/>
            </w:tcBorders>
            <w:noWrap w:val="0"/>
            <w:vAlign w:val="center"/>
          </w:tcPr>
          <w:p w14:paraId="19064725">
            <w:pPr>
              <w:spacing w:line="360" w:lineRule="exact"/>
              <w:jc w:val="lef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合格，符合国家相关规定及行业标准要求</w:t>
            </w:r>
          </w:p>
        </w:tc>
      </w:tr>
      <w:tr w14:paraId="66D2BC4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81738E7">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436" w:type="dxa"/>
            <w:tcBorders>
              <w:top w:val="single" w:color="auto" w:sz="4" w:space="0"/>
              <w:left w:val="nil"/>
              <w:bottom w:val="single" w:color="auto" w:sz="4" w:space="0"/>
              <w:right w:val="single" w:color="auto" w:sz="4" w:space="0"/>
            </w:tcBorders>
            <w:noWrap w:val="0"/>
            <w:vAlign w:val="center"/>
          </w:tcPr>
          <w:p w14:paraId="7F0CB132">
            <w:pPr>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合同履行期限</w:t>
            </w:r>
          </w:p>
        </w:tc>
        <w:tc>
          <w:tcPr>
            <w:tcW w:w="6175" w:type="dxa"/>
            <w:tcBorders>
              <w:top w:val="single" w:color="auto" w:sz="4" w:space="0"/>
              <w:left w:val="nil"/>
              <w:bottom w:val="single" w:color="auto" w:sz="4" w:space="0"/>
              <w:right w:val="single" w:color="auto" w:sz="4" w:space="0"/>
            </w:tcBorders>
            <w:noWrap w:val="0"/>
            <w:vAlign w:val="center"/>
          </w:tcPr>
          <w:p w14:paraId="48F16A0B">
            <w:pPr>
              <w:spacing w:line="36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按合同约定执行</w:t>
            </w:r>
          </w:p>
        </w:tc>
      </w:tr>
      <w:tr w14:paraId="537809A6">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77E124F">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436" w:type="dxa"/>
            <w:tcBorders>
              <w:top w:val="single" w:color="auto" w:sz="4" w:space="0"/>
              <w:left w:val="nil"/>
              <w:bottom w:val="single" w:color="auto" w:sz="4" w:space="0"/>
              <w:right w:val="single" w:color="auto" w:sz="4" w:space="0"/>
            </w:tcBorders>
            <w:noWrap w:val="0"/>
            <w:vAlign w:val="center"/>
          </w:tcPr>
          <w:p w14:paraId="1F3B4C43">
            <w:pPr>
              <w:spacing w:line="360" w:lineRule="exact"/>
              <w:jc w:val="center"/>
              <w:rPr>
                <w:rFonts w:ascii="宋体" w:hAnsi="宋体" w:eastAsia="宋体" w:cs="宋体"/>
                <w:color w:val="auto"/>
                <w:sz w:val="24"/>
                <w:highlight w:val="none"/>
              </w:rPr>
            </w:pP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资格要求</w:t>
            </w:r>
          </w:p>
        </w:tc>
        <w:tc>
          <w:tcPr>
            <w:tcW w:w="6175" w:type="dxa"/>
            <w:tcBorders>
              <w:top w:val="single" w:color="auto" w:sz="4" w:space="0"/>
              <w:left w:val="nil"/>
              <w:bottom w:val="single" w:color="auto" w:sz="4" w:space="0"/>
              <w:right w:val="single" w:color="auto" w:sz="4" w:space="0"/>
            </w:tcBorders>
            <w:noWrap w:val="0"/>
            <w:vAlign w:val="center"/>
          </w:tcPr>
          <w:p w14:paraId="6DAB9506">
            <w:pPr>
              <w:spacing w:line="36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详见竞争性磋商公告</w:t>
            </w:r>
          </w:p>
        </w:tc>
      </w:tr>
      <w:tr w14:paraId="6657B27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FD597E4">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2436" w:type="dxa"/>
            <w:tcBorders>
              <w:top w:val="single" w:color="auto" w:sz="4" w:space="0"/>
              <w:left w:val="nil"/>
              <w:bottom w:val="single" w:color="auto" w:sz="4" w:space="0"/>
              <w:right w:val="single" w:color="auto" w:sz="4" w:space="0"/>
            </w:tcBorders>
            <w:noWrap w:val="0"/>
            <w:vAlign w:val="center"/>
          </w:tcPr>
          <w:p w14:paraId="59E8FDF6">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踏勘现场</w:t>
            </w:r>
          </w:p>
        </w:tc>
        <w:tc>
          <w:tcPr>
            <w:tcW w:w="6175" w:type="dxa"/>
            <w:tcBorders>
              <w:top w:val="single" w:color="auto" w:sz="4" w:space="0"/>
              <w:left w:val="nil"/>
              <w:bottom w:val="single" w:color="auto" w:sz="4" w:space="0"/>
              <w:right w:val="single" w:color="auto" w:sz="4" w:space="0"/>
            </w:tcBorders>
            <w:noWrap w:val="0"/>
            <w:vAlign w:val="center"/>
          </w:tcPr>
          <w:p w14:paraId="2170EB74">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■不组织</w:t>
            </w:r>
          </w:p>
        </w:tc>
      </w:tr>
      <w:tr w14:paraId="4E12993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598F3DD">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2436" w:type="dxa"/>
            <w:tcBorders>
              <w:top w:val="single" w:color="auto" w:sz="4" w:space="0"/>
              <w:left w:val="nil"/>
              <w:bottom w:val="single" w:color="auto" w:sz="4" w:space="0"/>
              <w:right w:val="single" w:color="auto" w:sz="4" w:space="0"/>
            </w:tcBorders>
            <w:noWrap w:val="0"/>
            <w:vAlign w:val="center"/>
          </w:tcPr>
          <w:p w14:paraId="68CDF145">
            <w:pPr>
              <w:spacing w:line="360" w:lineRule="exact"/>
              <w:jc w:val="center"/>
              <w:rPr>
                <w:rFonts w:ascii="宋体" w:hAnsi="宋体" w:eastAsia="宋体" w:cs="宋体"/>
                <w:color w:val="auto"/>
                <w:sz w:val="24"/>
                <w:highlight w:val="none"/>
              </w:rPr>
            </w:pP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提出问题的截止时间</w:t>
            </w:r>
          </w:p>
        </w:tc>
        <w:tc>
          <w:tcPr>
            <w:tcW w:w="6175" w:type="dxa"/>
            <w:tcBorders>
              <w:top w:val="single" w:color="auto" w:sz="4" w:space="0"/>
              <w:left w:val="nil"/>
              <w:bottom w:val="single" w:color="auto" w:sz="4" w:space="0"/>
              <w:right w:val="single" w:color="auto" w:sz="4" w:space="0"/>
            </w:tcBorders>
            <w:noWrap w:val="0"/>
            <w:vAlign w:val="center"/>
          </w:tcPr>
          <w:p w14:paraId="0CD32F9B">
            <w:pPr>
              <w:spacing w:line="360" w:lineRule="exact"/>
              <w:rPr>
                <w:rFonts w:ascii="宋体" w:hAnsi="宋体" w:eastAsia="宋体" w:cs="宋体"/>
                <w:color w:val="auto"/>
                <w:sz w:val="24"/>
                <w:highlight w:val="none"/>
              </w:rPr>
            </w:pPr>
            <w:bookmarkStart w:id="10" w:name="OLE_LINK47"/>
            <w:bookmarkStart w:id="11" w:name="OLE_LINK48"/>
            <w:bookmarkStart w:id="12" w:name="OLE_LINK49"/>
            <w:r>
              <w:rPr>
                <w:rFonts w:hint="eastAsia" w:ascii="宋体" w:hAnsi="宋体" w:eastAsia="宋体" w:cs="宋体"/>
                <w:color w:val="auto"/>
                <w:sz w:val="24"/>
                <w:highlight w:val="none"/>
              </w:rPr>
              <w:t>在磋商截止时间前5日</w:t>
            </w:r>
            <w:bookmarkEnd w:id="10"/>
            <w:bookmarkEnd w:id="11"/>
            <w:bookmarkEnd w:id="12"/>
          </w:p>
        </w:tc>
      </w:tr>
      <w:tr w14:paraId="035719E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200FC5B">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2436" w:type="dxa"/>
            <w:tcBorders>
              <w:top w:val="single" w:color="auto" w:sz="4" w:space="0"/>
              <w:left w:val="nil"/>
              <w:bottom w:val="single" w:color="auto" w:sz="4" w:space="0"/>
              <w:right w:val="single" w:color="auto" w:sz="4" w:space="0"/>
            </w:tcBorders>
            <w:noWrap w:val="0"/>
            <w:vAlign w:val="center"/>
          </w:tcPr>
          <w:p w14:paraId="324D8A3D">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采购人书面澄清的时间</w:t>
            </w:r>
          </w:p>
        </w:tc>
        <w:tc>
          <w:tcPr>
            <w:tcW w:w="6175" w:type="dxa"/>
            <w:tcBorders>
              <w:top w:val="single" w:color="auto" w:sz="4" w:space="0"/>
              <w:left w:val="nil"/>
              <w:bottom w:val="single" w:color="auto" w:sz="4" w:space="0"/>
              <w:right w:val="single" w:color="auto" w:sz="4" w:space="0"/>
            </w:tcBorders>
            <w:noWrap w:val="0"/>
            <w:vAlign w:val="center"/>
          </w:tcPr>
          <w:p w14:paraId="254625E0">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在磋商截止时间前5日</w:t>
            </w:r>
          </w:p>
        </w:tc>
      </w:tr>
      <w:tr w14:paraId="2690599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1B04599">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2436" w:type="dxa"/>
            <w:tcBorders>
              <w:top w:val="single" w:color="auto" w:sz="4" w:space="0"/>
              <w:left w:val="nil"/>
              <w:bottom w:val="single" w:color="auto" w:sz="4" w:space="0"/>
              <w:right w:val="single" w:color="auto" w:sz="4" w:space="0"/>
            </w:tcBorders>
            <w:noWrap w:val="0"/>
            <w:vAlign w:val="center"/>
          </w:tcPr>
          <w:p w14:paraId="0CE79E5A">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分包</w:t>
            </w:r>
          </w:p>
        </w:tc>
        <w:tc>
          <w:tcPr>
            <w:tcW w:w="6175" w:type="dxa"/>
            <w:tcBorders>
              <w:top w:val="single" w:color="auto" w:sz="4" w:space="0"/>
              <w:left w:val="nil"/>
              <w:bottom w:val="single" w:color="auto" w:sz="4" w:space="0"/>
              <w:right w:val="single" w:color="auto" w:sz="4" w:space="0"/>
            </w:tcBorders>
            <w:noWrap w:val="0"/>
            <w:vAlign w:val="center"/>
          </w:tcPr>
          <w:p w14:paraId="7B550CC8">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14:paraId="2081EA7E">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1112C86">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2436" w:type="dxa"/>
            <w:tcBorders>
              <w:top w:val="single" w:color="auto" w:sz="4" w:space="0"/>
              <w:left w:val="nil"/>
              <w:bottom w:val="single" w:color="auto" w:sz="4" w:space="0"/>
              <w:right w:val="single" w:color="auto" w:sz="4" w:space="0"/>
            </w:tcBorders>
            <w:noWrap w:val="0"/>
            <w:vAlign w:val="center"/>
          </w:tcPr>
          <w:p w14:paraId="39A96316">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偏离</w:t>
            </w:r>
          </w:p>
        </w:tc>
        <w:tc>
          <w:tcPr>
            <w:tcW w:w="6175" w:type="dxa"/>
            <w:tcBorders>
              <w:top w:val="single" w:color="auto" w:sz="4" w:space="0"/>
              <w:left w:val="nil"/>
              <w:bottom w:val="single" w:color="auto" w:sz="4" w:space="0"/>
              <w:right w:val="single" w:color="auto" w:sz="4" w:space="0"/>
            </w:tcBorders>
            <w:noWrap w:val="0"/>
            <w:vAlign w:val="center"/>
          </w:tcPr>
          <w:p w14:paraId="566417E0">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14:paraId="3318DF87">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36453C5">
            <w:pPr>
              <w:spacing w:line="360" w:lineRule="exact"/>
              <w:ind w:firstLine="240" w:firstLineChars="1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2436" w:type="dxa"/>
            <w:tcBorders>
              <w:top w:val="single" w:color="auto" w:sz="4" w:space="0"/>
              <w:left w:val="nil"/>
              <w:bottom w:val="single" w:color="auto" w:sz="4" w:space="0"/>
              <w:right w:val="single" w:color="auto" w:sz="4" w:space="0"/>
            </w:tcBorders>
            <w:noWrap w:val="0"/>
            <w:vAlign w:val="center"/>
          </w:tcPr>
          <w:p w14:paraId="5FB1FB38">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磋商响应性文件递交截止时间</w:t>
            </w:r>
          </w:p>
        </w:tc>
        <w:tc>
          <w:tcPr>
            <w:tcW w:w="6175" w:type="dxa"/>
            <w:tcBorders>
              <w:top w:val="single" w:color="auto" w:sz="4" w:space="0"/>
              <w:left w:val="nil"/>
              <w:bottom w:val="single" w:color="auto" w:sz="4" w:space="0"/>
              <w:right w:val="single" w:color="auto" w:sz="4" w:space="0"/>
            </w:tcBorders>
            <w:noWrap w:val="0"/>
            <w:vAlign w:val="center"/>
          </w:tcPr>
          <w:p w14:paraId="09157A49">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10月21</w:t>
            </w:r>
            <w:r>
              <w:rPr>
                <w:rFonts w:hint="eastAsia" w:ascii="宋体" w:hAnsi="宋体" w:eastAsia="宋体" w:cs="宋体"/>
                <w:color w:val="auto"/>
                <w:sz w:val="24"/>
                <w:highlight w:val="none"/>
              </w:rPr>
              <w:t>日08时</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0分</w:t>
            </w:r>
          </w:p>
        </w:tc>
      </w:tr>
      <w:tr w14:paraId="1831C6E3">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52DEAC4">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2436" w:type="dxa"/>
            <w:tcBorders>
              <w:top w:val="single" w:color="auto" w:sz="4" w:space="0"/>
              <w:left w:val="nil"/>
              <w:bottom w:val="single" w:color="auto" w:sz="4" w:space="0"/>
              <w:right w:val="single" w:color="auto" w:sz="4" w:space="0"/>
            </w:tcBorders>
            <w:noWrap w:val="0"/>
            <w:vAlign w:val="center"/>
          </w:tcPr>
          <w:p w14:paraId="5B38B5A9">
            <w:pPr>
              <w:spacing w:line="360" w:lineRule="exact"/>
              <w:jc w:val="center"/>
              <w:rPr>
                <w:rFonts w:ascii="宋体" w:hAnsi="宋体" w:eastAsia="宋体" w:cs="宋体"/>
                <w:color w:val="auto"/>
                <w:sz w:val="24"/>
                <w:highlight w:val="none"/>
              </w:rPr>
            </w:pP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确认收到磋商文件的澄清时间</w:t>
            </w:r>
          </w:p>
        </w:tc>
        <w:tc>
          <w:tcPr>
            <w:tcW w:w="6175" w:type="dxa"/>
            <w:tcBorders>
              <w:top w:val="single" w:color="auto" w:sz="4" w:space="0"/>
              <w:left w:val="nil"/>
              <w:bottom w:val="single" w:color="auto" w:sz="4" w:space="0"/>
              <w:right w:val="single" w:color="auto" w:sz="4" w:space="0"/>
            </w:tcBorders>
            <w:noWrap w:val="0"/>
            <w:vAlign w:val="center"/>
          </w:tcPr>
          <w:p w14:paraId="7C91A59C">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收到澄清后24小时内（已发出时间为准）</w:t>
            </w:r>
          </w:p>
        </w:tc>
      </w:tr>
      <w:tr w14:paraId="3A43F4C4">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60E0F55">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436" w:type="dxa"/>
            <w:tcBorders>
              <w:top w:val="single" w:color="auto" w:sz="4" w:space="0"/>
              <w:left w:val="nil"/>
              <w:bottom w:val="single" w:color="auto" w:sz="4" w:space="0"/>
              <w:right w:val="single" w:color="auto" w:sz="4" w:space="0"/>
            </w:tcBorders>
            <w:noWrap w:val="0"/>
            <w:vAlign w:val="center"/>
          </w:tcPr>
          <w:p w14:paraId="690FAFFA">
            <w:pPr>
              <w:spacing w:line="360" w:lineRule="exact"/>
              <w:jc w:val="center"/>
              <w:rPr>
                <w:rFonts w:ascii="宋体" w:hAnsi="宋体" w:eastAsia="宋体" w:cs="宋体"/>
                <w:color w:val="auto"/>
                <w:sz w:val="24"/>
                <w:highlight w:val="none"/>
              </w:rPr>
            </w:pP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确认收到磋商文件的修改时间</w:t>
            </w:r>
          </w:p>
        </w:tc>
        <w:tc>
          <w:tcPr>
            <w:tcW w:w="6175" w:type="dxa"/>
            <w:tcBorders>
              <w:top w:val="single" w:color="auto" w:sz="4" w:space="0"/>
              <w:left w:val="nil"/>
              <w:bottom w:val="single" w:color="auto" w:sz="4" w:space="0"/>
              <w:right w:val="single" w:color="auto" w:sz="4" w:space="0"/>
            </w:tcBorders>
            <w:noWrap w:val="0"/>
            <w:vAlign w:val="center"/>
          </w:tcPr>
          <w:p w14:paraId="1EA8BDB3">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收到澄清后24小时内（已发出时间为准）</w:t>
            </w:r>
          </w:p>
        </w:tc>
      </w:tr>
      <w:tr w14:paraId="428E9D38">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A957B0A">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436" w:type="dxa"/>
            <w:tcBorders>
              <w:top w:val="single" w:color="auto" w:sz="4" w:space="0"/>
              <w:left w:val="nil"/>
              <w:bottom w:val="single" w:color="auto" w:sz="4" w:space="0"/>
              <w:right w:val="single" w:color="auto" w:sz="4" w:space="0"/>
            </w:tcBorders>
            <w:noWrap w:val="0"/>
            <w:vAlign w:val="center"/>
          </w:tcPr>
          <w:p w14:paraId="43C48179">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磋商有效期</w:t>
            </w:r>
          </w:p>
        </w:tc>
        <w:tc>
          <w:tcPr>
            <w:tcW w:w="6175" w:type="dxa"/>
            <w:tcBorders>
              <w:top w:val="single" w:color="auto" w:sz="4" w:space="0"/>
              <w:left w:val="nil"/>
              <w:bottom w:val="single" w:color="auto" w:sz="4" w:space="0"/>
              <w:right w:val="single" w:color="auto" w:sz="4" w:space="0"/>
            </w:tcBorders>
            <w:noWrap w:val="0"/>
            <w:vAlign w:val="center"/>
          </w:tcPr>
          <w:p w14:paraId="18424ADA">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60日历天（磋商截止之日起）</w:t>
            </w:r>
          </w:p>
        </w:tc>
      </w:tr>
      <w:tr w14:paraId="47DA5E62">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688D429">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2</w:t>
            </w:r>
          </w:p>
        </w:tc>
        <w:tc>
          <w:tcPr>
            <w:tcW w:w="2436" w:type="dxa"/>
            <w:tcBorders>
              <w:top w:val="single" w:color="auto" w:sz="4" w:space="0"/>
              <w:left w:val="nil"/>
              <w:bottom w:val="single" w:color="auto" w:sz="4" w:space="0"/>
              <w:right w:val="single" w:color="auto" w:sz="4" w:space="0"/>
            </w:tcBorders>
            <w:noWrap w:val="0"/>
            <w:vAlign w:val="center"/>
          </w:tcPr>
          <w:p w14:paraId="3A71B307">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磋商文件售价</w:t>
            </w:r>
          </w:p>
        </w:tc>
        <w:tc>
          <w:tcPr>
            <w:tcW w:w="6175" w:type="dxa"/>
            <w:tcBorders>
              <w:top w:val="single" w:color="auto" w:sz="4" w:space="0"/>
              <w:left w:val="nil"/>
              <w:bottom w:val="single" w:color="auto" w:sz="4" w:space="0"/>
              <w:right w:val="single" w:color="auto" w:sz="4" w:space="0"/>
            </w:tcBorders>
            <w:noWrap w:val="0"/>
            <w:vAlign w:val="center"/>
          </w:tcPr>
          <w:p w14:paraId="7625A680">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lang w:eastAsia="zh-CN"/>
              </w:rPr>
              <w:t>本项目为全电子招标，</w:t>
            </w:r>
            <w:r>
              <w:rPr>
                <w:rFonts w:hint="eastAsia" w:ascii="宋体" w:hAnsi="宋体" w:eastAsia="宋体" w:cs="宋体"/>
                <w:color w:val="auto"/>
                <w:sz w:val="24"/>
                <w:highlight w:val="none"/>
              </w:rPr>
              <w:t>不再收取竞争性磋商文件费</w:t>
            </w:r>
          </w:p>
        </w:tc>
      </w:tr>
      <w:tr w14:paraId="7A03A26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F8AB80F">
            <w:pPr>
              <w:adjustRightInd w:val="0"/>
              <w:spacing w:line="360" w:lineRule="exact"/>
              <w:jc w:val="center"/>
              <w:textAlignment w:val="baseline"/>
              <w:rPr>
                <w:rFonts w:ascii="宋体" w:hAnsi="宋体" w:eastAsia="宋体" w:cs="宋体"/>
                <w:color w:val="auto"/>
                <w:sz w:val="24"/>
                <w:highlight w:val="none"/>
              </w:rPr>
            </w:pPr>
            <w:r>
              <w:rPr>
                <w:rFonts w:hint="eastAsia" w:ascii="宋体" w:hAnsi="宋体" w:eastAsia="宋体" w:cs="宋体"/>
                <w:color w:val="auto"/>
                <w:sz w:val="24"/>
                <w:highlight w:val="none"/>
              </w:rPr>
              <w:t>23</w:t>
            </w:r>
          </w:p>
        </w:tc>
        <w:tc>
          <w:tcPr>
            <w:tcW w:w="2436" w:type="dxa"/>
            <w:tcBorders>
              <w:top w:val="single" w:color="auto" w:sz="4" w:space="0"/>
              <w:left w:val="nil"/>
              <w:bottom w:val="single" w:color="auto" w:sz="4" w:space="0"/>
              <w:right w:val="single" w:color="auto" w:sz="4" w:space="0"/>
            </w:tcBorders>
            <w:noWrap w:val="0"/>
            <w:vAlign w:val="center"/>
          </w:tcPr>
          <w:p w14:paraId="64E59A34">
            <w:pPr>
              <w:widowControl/>
              <w:spacing w:line="360" w:lineRule="auto"/>
              <w:jc w:val="center"/>
              <w:rPr>
                <w:rFonts w:ascii="宋体" w:hAnsi="宋体" w:eastAsia="宋体" w:cs="宋体"/>
                <w:b w:val="0"/>
                <w:bCs w:val="0"/>
                <w:color w:val="auto"/>
                <w:sz w:val="24"/>
                <w:highlight w:val="none"/>
              </w:rPr>
            </w:pPr>
            <w:r>
              <w:rPr>
                <w:rFonts w:hint="eastAsia" w:ascii="宋体" w:hAnsi="宋体" w:eastAsia="宋体" w:cs="宋体"/>
                <w:caps w:val="0"/>
                <w:color w:val="auto"/>
                <w:spacing w:val="0"/>
                <w:sz w:val="24"/>
                <w:szCs w:val="24"/>
                <w:highlight w:val="none"/>
              </w:rPr>
              <w:t>近年完成的类似项目的年份要求</w:t>
            </w:r>
          </w:p>
        </w:tc>
        <w:tc>
          <w:tcPr>
            <w:tcW w:w="6175" w:type="dxa"/>
            <w:tcBorders>
              <w:top w:val="single" w:color="auto" w:sz="4" w:space="0"/>
              <w:left w:val="nil"/>
              <w:bottom w:val="single" w:color="auto" w:sz="4" w:space="0"/>
              <w:right w:val="single" w:color="auto" w:sz="4" w:space="0"/>
            </w:tcBorders>
            <w:noWrap w:val="0"/>
            <w:vAlign w:val="center"/>
          </w:tcPr>
          <w:p w14:paraId="7937D435">
            <w:pPr>
              <w:widowControl/>
              <w:spacing w:line="360" w:lineRule="auto"/>
              <w:jc w:val="left"/>
              <w:rPr>
                <w:rFonts w:ascii="宋体" w:hAnsi="宋体" w:eastAsia="宋体" w:cs="宋体"/>
                <w:b w:val="0"/>
                <w:bCs w:val="0"/>
                <w:color w:val="auto"/>
                <w:sz w:val="24"/>
                <w:highlight w:val="none"/>
              </w:rPr>
            </w:pPr>
            <w:r>
              <w:rPr>
                <w:rFonts w:hint="eastAsia" w:ascii="宋体" w:hAnsi="宋体" w:cs="宋体"/>
                <w:caps w:val="0"/>
                <w:color w:val="auto"/>
                <w:spacing w:val="0"/>
                <w:kern w:val="44"/>
                <w:sz w:val="24"/>
                <w:szCs w:val="24"/>
                <w:highlight w:val="none"/>
              </w:rPr>
              <w:t>202</w:t>
            </w:r>
            <w:r>
              <w:rPr>
                <w:rFonts w:hint="eastAsia" w:ascii="宋体" w:hAnsi="宋体" w:cs="宋体"/>
                <w:caps w:val="0"/>
                <w:color w:val="auto"/>
                <w:spacing w:val="0"/>
                <w:kern w:val="44"/>
                <w:sz w:val="24"/>
                <w:szCs w:val="24"/>
                <w:highlight w:val="none"/>
                <w:lang w:val="en-US" w:eastAsia="zh-CN"/>
              </w:rPr>
              <w:t>2</w:t>
            </w:r>
            <w:r>
              <w:rPr>
                <w:rFonts w:hint="eastAsia" w:ascii="宋体" w:hAnsi="宋体" w:cs="宋体"/>
                <w:caps w:val="0"/>
                <w:color w:val="auto"/>
                <w:spacing w:val="0"/>
                <w:kern w:val="44"/>
                <w:sz w:val="24"/>
                <w:szCs w:val="24"/>
                <w:highlight w:val="none"/>
              </w:rPr>
              <w:t>年1月1日以来</w:t>
            </w:r>
          </w:p>
        </w:tc>
      </w:tr>
      <w:tr w14:paraId="329D132A">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15432FA">
            <w:pPr>
              <w:adjustRightInd w:val="0"/>
              <w:spacing w:line="360" w:lineRule="exact"/>
              <w:jc w:val="center"/>
              <w:textAlignment w:val="baseline"/>
              <w:rPr>
                <w:rFonts w:ascii="宋体" w:hAnsi="宋体" w:eastAsia="宋体" w:cs="宋体"/>
                <w:color w:val="auto"/>
                <w:sz w:val="24"/>
                <w:highlight w:val="none"/>
              </w:rPr>
            </w:pPr>
            <w:r>
              <w:rPr>
                <w:rFonts w:hint="eastAsia" w:ascii="宋体" w:hAnsi="宋体" w:eastAsia="宋体" w:cs="宋体"/>
                <w:color w:val="auto"/>
                <w:sz w:val="24"/>
                <w:highlight w:val="none"/>
              </w:rPr>
              <w:t>24</w:t>
            </w:r>
          </w:p>
        </w:tc>
        <w:tc>
          <w:tcPr>
            <w:tcW w:w="2436" w:type="dxa"/>
            <w:tcBorders>
              <w:top w:val="single" w:color="auto" w:sz="4" w:space="0"/>
              <w:left w:val="nil"/>
              <w:bottom w:val="single" w:color="auto" w:sz="4" w:space="0"/>
              <w:right w:val="single" w:color="auto" w:sz="4" w:space="0"/>
            </w:tcBorders>
            <w:noWrap w:val="0"/>
            <w:vAlign w:val="center"/>
          </w:tcPr>
          <w:p w14:paraId="4C8CFFE1">
            <w:pPr>
              <w:widowControl/>
              <w:spacing w:line="360" w:lineRule="auto"/>
              <w:jc w:val="center"/>
              <w:rPr>
                <w:rFonts w:ascii="宋体" w:hAnsi="宋体" w:eastAsia="宋体" w:cs="宋体"/>
                <w:b w:val="0"/>
                <w:bCs w:val="0"/>
                <w:color w:val="auto"/>
                <w:sz w:val="24"/>
                <w:highlight w:val="none"/>
              </w:rPr>
            </w:pPr>
            <w:r>
              <w:rPr>
                <w:rFonts w:hint="eastAsia" w:ascii="宋体" w:hAnsi="宋体" w:eastAsia="宋体" w:cs="宋体"/>
                <w:caps w:val="0"/>
                <w:color w:val="auto"/>
                <w:spacing w:val="0"/>
                <w:sz w:val="24"/>
                <w:szCs w:val="24"/>
                <w:highlight w:val="none"/>
              </w:rPr>
              <w:t>近年发生的诉讼及仲裁情况的年份要求</w:t>
            </w:r>
          </w:p>
        </w:tc>
        <w:tc>
          <w:tcPr>
            <w:tcW w:w="6175" w:type="dxa"/>
            <w:tcBorders>
              <w:top w:val="single" w:color="auto" w:sz="4" w:space="0"/>
              <w:left w:val="nil"/>
              <w:bottom w:val="single" w:color="auto" w:sz="4" w:space="0"/>
              <w:right w:val="single" w:color="auto" w:sz="4" w:space="0"/>
            </w:tcBorders>
            <w:noWrap w:val="0"/>
            <w:vAlign w:val="center"/>
          </w:tcPr>
          <w:p w14:paraId="33BC53D8">
            <w:pPr>
              <w:widowControl/>
              <w:spacing w:line="360" w:lineRule="auto"/>
              <w:jc w:val="left"/>
              <w:rPr>
                <w:rFonts w:ascii="宋体" w:hAnsi="宋体" w:eastAsia="宋体" w:cs="宋体"/>
                <w:b w:val="0"/>
                <w:bCs w:val="0"/>
                <w:color w:val="auto"/>
                <w:sz w:val="24"/>
                <w:highlight w:val="none"/>
              </w:rPr>
            </w:pPr>
            <w:r>
              <w:rPr>
                <w:rFonts w:hint="eastAsia" w:ascii="宋体" w:hAnsi="宋体" w:cs="宋体"/>
                <w:caps w:val="0"/>
                <w:color w:val="auto"/>
                <w:spacing w:val="0"/>
                <w:kern w:val="44"/>
                <w:sz w:val="24"/>
                <w:szCs w:val="24"/>
                <w:highlight w:val="none"/>
              </w:rPr>
              <w:t>202</w:t>
            </w:r>
            <w:r>
              <w:rPr>
                <w:rFonts w:hint="eastAsia" w:ascii="宋体" w:hAnsi="宋体" w:cs="宋体"/>
                <w:caps w:val="0"/>
                <w:color w:val="auto"/>
                <w:spacing w:val="0"/>
                <w:kern w:val="44"/>
                <w:sz w:val="24"/>
                <w:szCs w:val="24"/>
                <w:highlight w:val="none"/>
                <w:lang w:val="en-US" w:eastAsia="zh-CN"/>
              </w:rPr>
              <w:t>2</w:t>
            </w:r>
            <w:r>
              <w:rPr>
                <w:rFonts w:hint="eastAsia" w:ascii="宋体" w:hAnsi="宋体" w:cs="宋体"/>
                <w:caps w:val="0"/>
                <w:color w:val="auto"/>
                <w:spacing w:val="0"/>
                <w:kern w:val="44"/>
                <w:sz w:val="24"/>
                <w:szCs w:val="24"/>
                <w:highlight w:val="none"/>
              </w:rPr>
              <w:t>年1月1日以来</w:t>
            </w:r>
          </w:p>
        </w:tc>
      </w:tr>
      <w:tr w14:paraId="6221E2C2">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8E45AB3">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25</w:t>
            </w:r>
          </w:p>
        </w:tc>
        <w:tc>
          <w:tcPr>
            <w:tcW w:w="2436" w:type="dxa"/>
            <w:tcBorders>
              <w:top w:val="single" w:color="auto" w:sz="4" w:space="0"/>
              <w:left w:val="nil"/>
              <w:bottom w:val="single" w:color="auto" w:sz="4" w:space="0"/>
              <w:right w:val="single" w:color="auto" w:sz="4" w:space="0"/>
            </w:tcBorders>
            <w:noWrap w:val="0"/>
            <w:vAlign w:val="center"/>
          </w:tcPr>
          <w:p w14:paraId="78A6656D">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是否允许递交备选投标方案</w:t>
            </w:r>
          </w:p>
        </w:tc>
        <w:tc>
          <w:tcPr>
            <w:tcW w:w="6175" w:type="dxa"/>
            <w:tcBorders>
              <w:top w:val="single" w:color="auto" w:sz="4" w:space="0"/>
              <w:left w:val="nil"/>
              <w:bottom w:val="single" w:color="auto" w:sz="4" w:space="0"/>
              <w:right w:val="single" w:color="auto" w:sz="4" w:space="0"/>
            </w:tcBorders>
            <w:noWrap w:val="0"/>
            <w:vAlign w:val="center"/>
          </w:tcPr>
          <w:p w14:paraId="6D205D00">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14:paraId="6F3D4FF9">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461802A">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26</w:t>
            </w:r>
          </w:p>
        </w:tc>
        <w:tc>
          <w:tcPr>
            <w:tcW w:w="2436" w:type="dxa"/>
            <w:tcBorders>
              <w:top w:val="single" w:color="auto" w:sz="4" w:space="0"/>
              <w:left w:val="nil"/>
              <w:bottom w:val="single" w:color="auto" w:sz="4" w:space="0"/>
              <w:right w:val="single" w:color="auto" w:sz="4" w:space="0"/>
            </w:tcBorders>
            <w:noWrap w:val="0"/>
            <w:vAlign w:val="center"/>
          </w:tcPr>
          <w:p w14:paraId="176EEC77">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是否退还磋商响应性文件</w:t>
            </w:r>
          </w:p>
        </w:tc>
        <w:tc>
          <w:tcPr>
            <w:tcW w:w="6175" w:type="dxa"/>
            <w:tcBorders>
              <w:top w:val="single" w:color="auto" w:sz="4" w:space="0"/>
              <w:left w:val="nil"/>
              <w:bottom w:val="single" w:color="auto" w:sz="4" w:space="0"/>
              <w:right w:val="single" w:color="auto" w:sz="4" w:space="0"/>
            </w:tcBorders>
            <w:noWrap w:val="0"/>
            <w:vAlign w:val="center"/>
          </w:tcPr>
          <w:p w14:paraId="15E2FA7F">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■否</w:t>
            </w:r>
          </w:p>
        </w:tc>
      </w:tr>
      <w:tr w14:paraId="7A3AD42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78440EE">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27</w:t>
            </w:r>
          </w:p>
        </w:tc>
        <w:tc>
          <w:tcPr>
            <w:tcW w:w="2436" w:type="dxa"/>
            <w:tcBorders>
              <w:top w:val="single" w:color="auto" w:sz="4" w:space="0"/>
              <w:left w:val="nil"/>
              <w:bottom w:val="single" w:color="auto" w:sz="4" w:space="0"/>
              <w:right w:val="single" w:color="auto" w:sz="4" w:space="0"/>
            </w:tcBorders>
            <w:noWrap w:val="0"/>
            <w:vAlign w:val="center"/>
          </w:tcPr>
          <w:p w14:paraId="25A5DCA5">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磋商时间和地点</w:t>
            </w:r>
          </w:p>
        </w:tc>
        <w:tc>
          <w:tcPr>
            <w:tcW w:w="6175" w:type="dxa"/>
            <w:tcBorders>
              <w:top w:val="single" w:color="auto" w:sz="4" w:space="0"/>
              <w:left w:val="nil"/>
              <w:bottom w:val="single" w:color="auto" w:sz="4" w:space="0"/>
              <w:right w:val="single" w:color="auto" w:sz="4" w:space="0"/>
            </w:tcBorders>
            <w:noWrap w:val="0"/>
            <w:vAlign w:val="center"/>
          </w:tcPr>
          <w:p w14:paraId="4FDFD496">
            <w:pPr>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磋商时间：202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10月21</w:t>
            </w:r>
            <w:r>
              <w:rPr>
                <w:rFonts w:hint="eastAsia" w:ascii="宋体" w:hAnsi="宋体" w:eastAsia="宋体" w:cs="宋体"/>
                <w:color w:val="auto"/>
                <w:sz w:val="24"/>
                <w:highlight w:val="none"/>
              </w:rPr>
              <w:t>日08时</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0分</w:t>
            </w:r>
          </w:p>
          <w:p w14:paraId="559005B7">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磋商地点：</w:t>
            </w:r>
            <w:r>
              <w:rPr>
                <w:rFonts w:hint="eastAsia" w:ascii="宋体" w:hAnsi="宋体" w:cs="宋体"/>
                <w:color w:val="auto"/>
                <w:sz w:val="24"/>
                <w:highlight w:val="none"/>
                <w:lang w:val="en-US" w:eastAsia="zh-CN"/>
              </w:rPr>
              <w:t>渑池</w:t>
            </w:r>
            <w:r>
              <w:rPr>
                <w:rFonts w:hint="eastAsia" w:ascii="宋体" w:hAnsi="宋体" w:eastAsia="宋体" w:cs="宋体"/>
                <w:color w:val="auto"/>
                <w:sz w:val="24"/>
                <w:highlight w:val="none"/>
              </w:rPr>
              <w:t>县公共资源交易中心</w:t>
            </w:r>
            <w:r>
              <w:rPr>
                <w:rFonts w:hint="eastAsia" w:ascii="宋体" w:hAnsi="宋体" w:cs="宋体"/>
                <w:color w:val="auto"/>
                <w:sz w:val="24"/>
                <w:highlight w:val="none"/>
                <w:lang w:val="en-US" w:eastAsia="zh-CN"/>
              </w:rPr>
              <w:t>六</w:t>
            </w:r>
            <w:r>
              <w:rPr>
                <w:rFonts w:hint="eastAsia" w:ascii="宋体" w:hAnsi="宋体" w:eastAsia="宋体" w:cs="宋体"/>
                <w:color w:val="auto"/>
                <w:sz w:val="24"/>
                <w:highlight w:val="none"/>
              </w:rPr>
              <w:t>楼开标</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rPr>
              <w:t>室</w:t>
            </w:r>
          </w:p>
        </w:tc>
      </w:tr>
      <w:tr w14:paraId="78461044">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3B9351C">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28</w:t>
            </w:r>
          </w:p>
        </w:tc>
        <w:tc>
          <w:tcPr>
            <w:tcW w:w="2436" w:type="dxa"/>
            <w:tcBorders>
              <w:top w:val="single" w:color="auto" w:sz="4" w:space="0"/>
              <w:left w:val="nil"/>
              <w:bottom w:val="single" w:color="auto" w:sz="4" w:space="0"/>
              <w:right w:val="single" w:color="auto" w:sz="4" w:space="0"/>
            </w:tcBorders>
            <w:noWrap w:val="0"/>
            <w:vAlign w:val="center"/>
          </w:tcPr>
          <w:p w14:paraId="59966625">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磋商小组</w:t>
            </w:r>
          </w:p>
        </w:tc>
        <w:tc>
          <w:tcPr>
            <w:tcW w:w="6175" w:type="dxa"/>
            <w:tcBorders>
              <w:top w:val="single" w:color="auto" w:sz="4" w:space="0"/>
              <w:left w:val="nil"/>
              <w:bottom w:val="single" w:color="auto" w:sz="4" w:space="0"/>
              <w:right w:val="single" w:color="auto" w:sz="4" w:space="0"/>
            </w:tcBorders>
            <w:noWrap w:val="0"/>
            <w:vAlign w:val="center"/>
          </w:tcPr>
          <w:p w14:paraId="1F1E5FA3">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磋商小组构成：3人，采购人代表1人，其余2名技术、经济等方面的专家从相关专家库中随机抽取。</w:t>
            </w:r>
          </w:p>
        </w:tc>
      </w:tr>
      <w:tr w14:paraId="17CDCCD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AFF7530">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29</w:t>
            </w:r>
          </w:p>
        </w:tc>
        <w:tc>
          <w:tcPr>
            <w:tcW w:w="2436" w:type="dxa"/>
            <w:tcBorders>
              <w:top w:val="single" w:color="auto" w:sz="4" w:space="0"/>
              <w:left w:val="nil"/>
              <w:bottom w:val="single" w:color="auto" w:sz="4" w:space="0"/>
              <w:right w:val="single" w:color="auto" w:sz="4" w:space="0"/>
            </w:tcBorders>
            <w:noWrap w:val="0"/>
            <w:vAlign w:val="center"/>
          </w:tcPr>
          <w:p w14:paraId="652953A0">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是否授权磋商小组确定成交</w:t>
            </w:r>
            <w:r>
              <w:rPr>
                <w:rFonts w:hint="eastAsia" w:ascii="宋体" w:hAnsi="宋体" w:eastAsia="宋体" w:cs="宋体"/>
                <w:color w:val="auto"/>
                <w:kern w:val="0"/>
                <w:sz w:val="24"/>
                <w:szCs w:val="24"/>
                <w:highlight w:val="none"/>
                <w:lang w:val="en-US" w:eastAsia="zh-CN"/>
              </w:rPr>
              <w:t>人</w:t>
            </w:r>
          </w:p>
        </w:tc>
        <w:tc>
          <w:tcPr>
            <w:tcW w:w="6175" w:type="dxa"/>
            <w:tcBorders>
              <w:top w:val="single" w:color="auto" w:sz="4" w:space="0"/>
              <w:left w:val="nil"/>
              <w:bottom w:val="single" w:color="auto" w:sz="4" w:space="0"/>
              <w:right w:val="single" w:color="auto" w:sz="4" w:space="0"/>
            </w:tcBorders>
            <w:noWrap w:val="0"/>
            <w:vAlign w:val="center"/>
          </w:tcPr>
          <w:p w14:paraId="722E74E2">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■否，推荐成交候选人数：3名</w:t>
            </w:r>
          </w:p>
        </w:tc>
      </w:tr>
      <w:tr w14:paraId="0C715D1E">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47628F1">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30</w:t>
            </w:r>
          </w:p>
        </w:tc>
        <w:tc>
          <w:tcPr>
            <w:tcW w:w="2436" w:type="dxa"/>
            <w:tcBorders>
              <w:top w:val="single" w:color="auto" w:sz="4" w:space="0"/>
              <w:left w:val="nil"/>
              <w:bottom w:val="single" w:color="auto" w:sz="4" w:space="0"/>
              <w:right w:val="single" w:color="auto" w:sz="4" w:space="0"/>
            </w:tcBorders>
            <w:noWrap w:val="0"/>
            <w:vAlign w:val="center"/>
          </w:tcPr>
          <w:p w14:paraId="526326BB">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6175" w:type="dxa"/>
            <w:tcBorders>
              <w:top w:val="single" w:color="auto" w:sz="4" w:space="0"/>
              <w:left w:val="nil"/>
              <w:bottom w:val="single" w:color="auto" w:sz="4" w:space="0"/>
              <w:right w:val="single" w:color="auto" w:sz="4" w:space="0"/>
            </w:tcBorders>
            <w:noWrap w:val="0"/>
            <w:vAlign w:val="center"/>
          </w:tcPr>
          <w:p w14:paraId="29325301">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无</w:t>
            </w:r>
          </w:p>
        </w:tc>
      </w:tr>
      <w:tr w14:paraId="75BCF13A">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CEA8EEF">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31</w:t>
            </w:r>
          </w:p>
        </w:tc>
        <w:tc>
          <w:tcPr>
            <w:tcW w:w="2436" w:type="dxa"/>
            <w:tcBorders>
              <w:top w:val="single" w:color="auto" w:sz="4" w:space="0"/>
              <w:left w:val="nil"/>
              <w:bottom w:val="single" w:color="auto" w:sz="4" w:space="0"/>
              <w:right w:val="single" w:color="auto" w:sz="4" w:space="0"/>
            </w:tcBorders>
            <w:noWrap w:val="0"/>
            <w:vAlign w:val="center"/>
          </w:tcPr>
          <w:p w14:paraId="104830EF">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招标控制价</w:t>
            </w:r>
          </w:p>
        </w:tc>
        <w:tc>
          <w:tcPr>
            <w:tcW w:w="6175" w:type="dxa"/>
            <w:tcBorders>
              <w:top w:val="single" w:color="auto" w:sz="4" w:space="0"/>
              <w:left w:val="nil"/>
              <w:bottom w:val="single" w:color="auto" w:sz="4" w:space="0"/>
              <w:right w:val="single" w:color="auto" w:sz="4" w:space="0"/>
            </w:tcBorders>
            <w:noWrap w:val="0"/>
            <w:vAlign w:val="center"/>
          </w:tcPr>
          <w:p w14:paraId="1C730CB3">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80.76万</w:t>
            </w:r>
            <w:r>
              <w:rPr>
                <w:rFonts w:hint="eastAsia" w:ascii="宋体" w:hAnsi="宋体" w:eastAsia="宋体" w:cs="宋体"/>
                <w:color w:val="auto"/>
                <w:sz w:val="24"/>
                <w:highlight w:val="none"/>
                <w:lang w:eastAsia="zh-CN"/>
              </w:rPr>
              <w:t>元</w:t>
            </w:r>
            <w:r>
              <w:rPr>
                <w:rFonts w:hint="eastAsia" w:ascii="宋体" w:hAnsi="宋体" w:eastAsia="宋体" w:cs="宋体"/>
                <w:color w:val="auto"/>
                <w:sz w:val="24"/>
                <w:highlight w:val="none"/>
              </w:rPr>
              <w:t>；</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报价超过招标控制价的，其磋商将被视为无效。</w:t>
            </w:r>
          </w:p>
        </w:tc>
      </w:tr>
      <w:tr w14:paraId="7E822C8E">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CBCF57C">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32</w:t>
            </w:r>
          </w:p>
        </w:tc>
        <w:tc>
          <w:tcPr>
            <w:tcW w:w="2436" w:type="dxa"/>
            <w:tcBorders>
              <w:top w:val="single" w:color="auto" w:sz="4" w:space="0"/>
              <w:left w:val="nil"/>
              <w:bottom w:val="single" w:color="auto" w:sz="4" w:space="0"/>
              <w:right w:val="single" w:color="auto" w:sz="4" w:space="0"/>
            </w:tcBorders>
            <w:noWrap w:val="0"/>
            <w:vAlign w:val="center"/>
          </w:tcPr>
          <w:p w14:paraId="0E5FB1D9">
            <w:pPr>
              <w:adjustRightInd w:val="0"/>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磋商保证金</w:t>
            </w:r>
          </w:p>
        </w:tc>
        <w:tc>
          <w:tcPr>
            <w:tcW w:w="6175" w:type="dxa"/>
            <w:tcBorders>
              <w:top w:val="single" w:color="auto" w:sz="4" w:space="0"/>
              <w:left w:val="nil"/>
              <w:bottom w:val="single" w:color="auto" w:sz="4" w:space="0"/>
              <w:right w:val="single" w:color="auto" w:sz="4" w:space="0"/>
            </w:tcBorders>
            <w:noWrap w:val="0"/>
            <w:vAlign w:val="center"/>
          </w:tcPr>
          <w:p w14:paraId="4B01D115">
            <w:pPr>
              <w:widowControl/>
              <w:spacing w:line="400" w:lineRule="exact"/>
              <w:rPr>
                <w:rFonts w:hint="eastAsia" w:ascii="宋体" w:hAnsi="宋体" w:eastAsia="宋体" w:cs="宋体"/>
                <w:color w:val="auto"/>
                <w:spacing w:val="6"/>
                <w:sz w:val="24"/>
                <w:highlight w:val="none"/>
                <w:lang w:eastAsia="zh-CN"/>
              </w:rPr>
            </w:pPr>
            <w:r>
              <w:rPr>
                <w:rFonts w:hint="eastAsia" w:ascii="宋体" w:hAnsi="宋体" w:eastAsia="宋体" w:cs="宋体"/>
                <w:color w:val="auto"/>
                <w:sz w:val="24"/>
                <w:highlight w:val="none"/>
              </w:rPr>
              <w:t>按照《河南省财政厅关于优化政府采购营商环境有关问题的通知》（豫财购[2019]4号文）的要求本项目不再收取磋商保证金</w:t>
            </w:r>
            <w:r>
              <w:rPr>
                <w:rFonts w:hint="eastAsia" w:ascii="宋体" w:hAnsi="宋体" w:cs="宋体"/>
                <w:color w:val="auto"/>
                <w:sz w:val="24"/>
                <w:highlight w:val="none"/>
                <w:lang w:eastAsia="zh-CN"/>
              </w:rPr>
              <w:t>。</w:t>
            </w:r>
          </w:p>
        </w:tc>
      </w:tr>
      <w:tr w14:paraId="5C32BF4E">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664C961">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33</w:t>
            </w:r>
          </w:p>
        </w:tc>
        <w:tc>
          <w:tcPr>
            <w:tcW w:w="2436" w:type="dxa"/>
            <w:tcBorders>
              <w:top w:val="single" w:color="auto" w:sz="4" w:space="0"/>
              <w:left w:val="nil"/>
              <w:bottom w:val="single" w:color="auto" w:sz="4" w:space="0"/>
              <w:right w:val="single" w:color="auto" w:sz="4" w:space="0"/>
            </w:tcBorders>
            <w:noWrap w:val="0"/>
            <w:vAlign w:val="center"/>
          </w:tcPr>
          <w:p w14:paraId="01EDEFBD">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签字和（或）盖章要求</w:t>
            </w:r>
          </w:p>
        </w:tc>
        <w:tc>
          <w:tcPr>
            <w:tcW w:w="6175" w:type="dxa"/>
            <w:tcBorders>
              <w:top w:val="single" w:color="auto" w:sz="4" w:space="0"/>
              <w:left w:val="nil"/>
              <w:bottom w:val="single" w:color="auto" w:sz="4" w:space="0"/>
              <w:right w:val="single" w:color="auto" w:sz="4" w:space="0"/>
            </w:tcBorders>
            <w:noWrap w:val="0"/>
            <w:vAlign w:val="center"/>
          </w:tcPr>
          <w:p w14:paraId="445105BB">
            <w:pPr>
              <w:wordWrap w:val="0"/>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1、本项目为电子化、无纸化交易项目，</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文件是</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通过中心投标文件制作系统制作，并经过电子签章和加密后生成的电子化投标文件，未对电子化文件进行签章的视为无效投标。投标人投标时，将不再接受任何纸质文件资料。</w:t>
            </w:r>
          </w:p>
          <w:p w14:paraId="4B4829E6">
            <w:pPr>
              <w:wordWrap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2、要求法定代表人或授权委托人电子签章的，投标人在进行电子化投标文件签章时，以签盖法定代表人签章为准。</w:t>
            </w:r>
          </w:p>
          <w:p w14:paraId="7851B365">
            <w:pPr>
              <w:wordWrap w:val="0"/>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3、电子化投标文件工具请点击</w:t>
            </w:r>
            <w:r>
              <w:rPr>
                <w:rFonts w:hint="eastAsia" w:ascii="宋体" w:hAnsi="宋体" w:eastAsia="宋体" w:cs="宋体"/>
                <w:color w:val="auto"/>
                <w:sz w:val="24"/>
                <w:highlight w:val="none"/>
                <w:lang w:eastAsia="zh-CN"/>
              </w:rPr>
              <w:t>https://download.bqpoint.com/download/downloaddetail.html?SourceFrom=Ztb&amp;ZtbSoftXiaQuCode=1506&amp;ZtbSoftType=tballinclusive</w:t>
            </w:r>
            <w:r>
              <w:rPr>
                <w:rFonts w:hint="eastAsia" w:ascii="宋体" w:hAnsi="宋体" w:eastAsia="宋体" w:cs="宋体"/>
                <w:color w:val="auto"/>
                <w:sz w:val="24"/>
                <w:highlight w:val="none"/>
              </w:rPr>
              <w:t>进行下载。</w:t>
            </w:r>
          </w:p>
        </w:tc>
      </w:tr>
      <w:tr w14:paraId="09D9F030">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233681B">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34</w:t>
            </w:r>
          </w:p>
        </w:tc>
        <w:tc>
          <w:tcPr>
            <w:tcW w:w="2436" w:type="dxa"/>
            <w:tcBorders>
              <w:top w:val="single" w:color="auto" w:sz="4" w:space="0"/>
              <w:left w:val="nil"/>
              <w:bottom w:val="single" w:color="auto" w:sz="4" w:space="0"/>
              <w:right w:val="single" w:color="auto" w:sz="4" w:space="0"/>
            </w:tcBorders>
            <w:noWrap w:val="0"/>
            <w:vAlign w:val="center"/>
          </w:tcPr>
          <w:p w14:paraId="29746E31">
            <w:pPr>
              <w:adjustRightInd w:val="0"/>
              <w:spacing w:line="400" w:lineRule="exact"/>
              <w:jc w:val="center"/>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响应文件上传</w:t>
            </w:r>
          </w:p>
        </w:tc>
        <w:tc>
          <w:tcPr>
            <w:tcW w:w="6175" w:type="dxa"/>
            <w:tcBorders>
              <w:top w:val="single" w:color="auto" w:sz="4" w:space="0"/>
              <w:left w:val="nil"/>
              <w:bottom w:val="single" w:color="auto" w:sz="4" w:space="0"/>
              <w:right w:val="single" w:color="auto" w:sz="4" w:space="0"/>
            </w:tcBorders>
            <w:noWrap w:val="0"/>
            <w:vAlign w:val="center"/>
          </w:tcPr>
          <w:p w14:paraId="331EE256">
            <w:pPr>
              <w:spacing w:line="360" w:lineRule="auto"/>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用CA在电子平台上传电子响应文件</w:t>
            </w:r>
          </w:p>
        </w:tc>
      </w:tr>
      <w:tr w14:paraId="48647D18">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76A9BEB">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35</w:t>
            </w:r>
          </w:p>
        </w:tc>
        <w:tc>
          <w:tcPr>
            <w:tcW w:w="2436" w:type="dxa"/>
            <w:tcBorders>
              <w:top w:val="single" w:color="auto" w:sz="4" w:space="0"/>
              <w:left w:val="nil"/>
              <w:bottom w:val="single" w:color="auto" w:sz="4" w:space="0"/>
              <w:right w:val="single" w:color="auto" w:sz="4" w:space="0"/>
            </w:tcBorders>
            <w:noWrap w:val="0"/>
            <w:vAlign w:val="center"/>
          </w:tcPr>
          <w:p w14:paraId="2B87C8FB">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招标代理服务费</w:t>
            </w:r>
          </w:p>
        </w:tc>
        <w:tc>
          <w:tcPr>
            <w:tcW w:w="6175" w:type="dxa"/>
            <w:tcBorders>
              <w:top w:val="single" w:color="auto" w:sz="4" w:space="0"/>
              <w:left w:val="nil"/>
              <w:bottom w:val="single" w:color="auto" w:sz="4" w:space="0"/>
              <w:right w:val="single" w:color="auto" w:sz="4" w:space="0"/>
            </w:tcBorders>
            <w:noWrap w:val="0"/>
            <w:vAlign w:val="center"/>
          </w:tcPr>
          <w:p w14:paraId="07ACD0DD">
            <w:pPr>
              <w:spacing w:line="360" w:lineRule="exact"/>
              <w:rPr>
                <w:rFonts w:ascii="宋体" w:hAnsi="宋体" w:eastAsia="宋体" w:cs="宋体"/>
                <w:color w:val="auto"/>
                <w:sz w:val="24"/>
                <w:highlight w:val="none"/>
              </w:rPr>
            </w:pPr>
            <w:r>
              <w:rPr>
                <w:rFonts w:hint="eastAsia" w:ascii="宋体" w:hAnsi="宋体" w:eastAsia="宋体" w:cs="宋体"/>
                <w:color w:val="auto"/>
                <w:sz w:val="24"/>
                <w:highlight w:val="none"/>
              </w:rPr>
              <w:t>招标代理服务收费参照豫招协[2023]002号河南省招标投标协会关于印发《河南省招标代理服务收费指导意见》规定的收费标准收取中标服务费。招标代理服务收费按差额定率累进法计算。</w:t>
            </w:r>
            <w:r>
              <w:rPr>
                <w:rFonts w:hint="eastAsia" w:cs="宋体" w:asciiTheme="minorEastAsia" w:hAnsiTheme="minorEastAsia" w:eastAsiaTheme="minorEastAsia"/>
                <w:color w:val="auto"/>
                <w:sz w:val="24"/>
                <w:szCs w:val="24"/>
                <w:highlight w:val="none"/>
                <w:lang w:val="en-US" w:eastAsia="zh-CN"/>
              </w:rPr>
              <w:t>该</w:t>
            </w:r>
            <w:r>
              <w:rPr>
                <w:rFonts w:hint="eastAsia" w:cs="宋体" w:asciiTheme="minorEastAsia" w:hAnsiTheme="minorEastAsia" w:eastAsiaTheme="minorEastAsia"/>
                <w:color w:val="auto"/>
                <w:sz w:val="24"/>
                <w:szCs w:val="24"/>
                <w:highlight w:val="none"/>
                <w:lang w:eastAsia="zh-CN"/>
              </w:rPr>
              <w:t>代理服务费由成交人领取成交通知书时向代理机构</w:t>
            </w:r>
            <w:r>
              <w:rPr>
                <w:rFonts w:hint="eastAsia" w:cs="宋体" w:asciiTheme="minorEastAsia" w:hAnsiTheme="minorEastAsia" w:eastAsiaTheme="minorEastAsia"/>
                <w:color w:val="auto"/>
                <w:sz w:val="24"/>
                <w:szCs w:val="24"/>
                <w:highlight w:val="none"/>
                <w:lang w:val="en-US" w:eastAsia="zh-CN"/>
              </w:rPr>
              <w:t>支付</w:t>
            </w:r>
            <w:r>
              <w:rPr>
                <w:rFonts w:hint="eastAsia" w:cs="宋体" w:asciiTheme="minorEastAsia" w:hAnsiTheme="minorEastAsia" w:eastAsiaTheme="minorEastAsia"/>
                <w:color w:val="auto"/>
                <w:sz w:val="24"/>
                <w:szCs w:val="24"/>
                <w:highlight w:val="none"/>
              </w:rPr>
              <w:t>。</w:t>
            </w:r>
          </w:p>
        </w:tc>
      </w:tr>
      <w:tr w14:paraId="0D329CD2">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69033E0">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36</w:t>
            </w:r>
          </w:p>
        </w:tc>
        <w:tc>
          <w:tcPr>
            <w:tcW w:w="2436" w:type="dxa"/>
            <w:tcBorders>
              <w:top w:val="single" w:color="auto" w:sz="4" w:space="0"/>
              <w:left w:val="nil"/>
              <w:bottom w:val="single" w:color="auto" w:sz="4" w:space="0"/>
              <w:right w:val="single" w:color="auto" w:sz="4" w:space="0"/>
            </w:tcBorders>
            <w:noWrap w:val="0"/>
            <w:vAlign w:val="center"/>
          </w:tcPr>
          <w:p w14:paraId="5BF2E63F">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付款办法</w:t>
            </w:r>
          </w:p>
        </w:tc>
        <w:tc>
          <w:tcPr>
            <w:tcW w:w="6175" w:type="dxa"/>
            <w:tcBorders>
              <w:top w:val="single" w:color="auto" w:sz="4" w:space="0"/>
              <w:left w:val="nil"/>
              <w:bottom w:val="single" w:color="auto" w:sz="4" w:space="0"/>
              <w:right w:val="single" w:color="auto" w:sz="4" w:space="0"/>
            </w:tcBorders>
            <w:noWrap w:val="0"/>
            <w:vAlign w:val="center"/>
          </w:tcPr>
          <w:p w14:paraId="7A01222A">
            <w:pPr>
              <w:spacing w:line="360" w:lineRule="exact"/>
              <w:jc w:val="left"/>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1、合同签定后，根据施工进度，工程完成80%，拨付合同金额的60%；</w:t>
            </w:r>
          </w:p>
          <w:p w14:paraId="6F714525">
            <w:pPr>
              <w:spacing w:line="360" w:lineRule="exact"/>
              <w:jc w:val="left"/>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2、经竣工验收后，拨付合同金额的80%；</w:t>
            </w:r>
          </w:p>
          <w:p w14:paraId="3E698DA2">
            <w:pPr>
              <w:spacing w:line="360" w:lineRule="exact"/>
              <w:jc w:val="left"/>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3、经完成审计后，拨付至审计金额的97%；</w:t>
            </w:r>
          </w:p>
          <w:p w14:paraId="40D48B1A">
            <w:pPr>
              <w:spacing w:line="360" w:lineRule="exact"/>
              <w:jc w:val="left"/>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4、一年质保期满，经复验合格后，剩余3%全部付清。</w:t>
            </w:r>
          </w:p>
          <w:p w14:paraId="141B541E">
            <w:pPr>
              <w:spacing w:line="360" w:lineRule="exact"/>
              <w:rPr>
                <w:rFonts w:hint="eastAsia" w:ascii="宋体" w:hAnsi="宋体" w:eastAsia="宋体" w:cs="宋体"/>
                <w:color w:val="auto"/>
                <w:sz w:val="24"/>
                <w:highlight w:val="none"/>
              </w:rPr>
            </w:pPr>
            <w:r>
              <w:rPr>
                <w:rFonts w:hint="eastAsia" w:cs="宋体" w:asciiTheme="minorEastAsia" w:hAnsiTheme="minorEastAsia" w:eastAsiaTheme="minorEastAsia"/>
                <w:color w:val="auto"/>
                <w:sz w:val="24"/>
                <w:szCs w:val="24"/>
                <w:highlight w:val="none"/>
                <w:lang w:val="en-US" w:eastAsia="zh-CN"/>
              </w:rPr>
              <w:t>（具体以双方签订合同为准）</w:t>
            </w:r>
          </w:p>
        </w:tc>
      </w:tr>
      <w:tr w14:paraId="7CF6D2F5">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F596D44">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37</w:t>
            </w:r>
          </w:p>
        </w:tc>
        <w:tc>
          <w:tcPr>
            <w:tcW w:w="2436" w:type="dxa"/>
            <w:tcBorders>
              <w:top w:val="single" w:color="auto" w:sz="4" w:space="0"/>
              <w:left w:val="nil"/>
              <w:bottom w:val="single" w:color="auto" w:sz="4" w:space="0"/>
              <w:right w:val="single" w:color="auto" w:sz="4" w:space="0"/>
            </w:tcBorders>
            <w:noWrap w:val="0"/>
            <w:vAlign w:val="center"/>
          </w:tcPr>
          <w:p w14:paraId="34901C57">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合同的签订时间</w:t>
            </w:r>
          </w:p>
        </w:tc>
        <w:tc>
          <w:tcPr>
            <w:tcW w:w="6175" w:type="dxa"/>
            <w:tcBorders>
              <w:top w:val="single" w:color="auto" w:sz="4" w:space="0"/>
              <w:left w:val="nil"/>
              <w:bottom w:val="single" w:color="auto" w:sz="4" w:space="0"/>
              <w:right w:val="single" w:color="auto" w:sz="4" w:space="0"/>
            </w:tcBorders>
            <w:noWrap w:val="0"/>
            <w:vAlign w:val="center"/>
          </w:tcPr>
          <w:p w14:paraId="3DD79B81">
            <w:pPr>
              <w:spacing w:line="360" w:lineRule="exact"/>
              <w:rPr>
                <w:rFonts w:hint="eastAsia" w:ascii="宋体" w:hAnsi="宋体" w:eastAsia="宋体" w:cs="宋体"/>
                <w:color w:val="auto"/>
                <w:sz w:val="24"/>
                <w:highlight w:val="none"/>
              </w:rPr>
            </w:pP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sz w:val="24"/>
                <w:highlight w:val="none"/>
              </w:rPr>
              <w:t>和成交人应自成交通知书发出之日起</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个工作日内签订合同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tc>
      </w:tr>
      <w:tr w14:paraId="2696BB7A">
        <w:tblPrEx>
          <w:tblCellMar>
            <w:top w:w="0" w:type="dxa"/>
            <w:left w:w="108" w:type="dxa"/>
            <w:bottom w:w="0" w:type="dxa"/>
            <w:right w:w="108" w:type="dxa"/>
          </w:tblCellMar>
        </w:tblPrEx>
        <w:trPr>
          <w:trHeight w:val="234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7E5A784">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38</w:t>
            </w:r>
          </w:p>
        </w:tc>
        <w:tc>
          <w:tcPr>
            <w:tcW w:w="2436" w:type="dxa"/>
            <w:tcBorders>
              <w:top w:val="single" w:color="auto" w:sz="4" w:space="0"/>
              <w:left w:val="nil"/>
              <w:bottom w:val="single" w:color="auto" w:sz="4" w:space="0"/>
              <w:right w:val="single" w:color="auto" w:sz="4" w:space="0"/>
            </w:tcBorders>
            <w:noWrap w:val="0"/>
            <w:vAlign w:val="center"/>
          </w:tcPr>
          <w:p w14:paraId="502C8C5B">
            <w:pPr>
              <w:spacing w:line="360" w:lineRule="exact"/>
              <w:jc w:val="center"/>
              <w:rPr>
                <w:rFonts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采购标的所属行业</w:t>
            </w:r>
          </w:p>
        </w:tc>
        <w:tc>
          <w:tcPr>
            <w:tcW w:w="6175" w:type="dxa"/>
            <w:tcBorders>
              <w:top w:val="single" w:color="auto" w:sz="4" w:space="0"/>
              <w:left w:val="nil"/>
              <w:bottom w:val="single" w:color="auto" w:sz="4" w:space="0"/>
              <w:right w:val="single" w:color="auto" w:sz="4" w:space="0"/>
            </w:tcBorders>
            <w:noWrap w:val="0"/>
            <w:vAlign w:val="center"/>
          </w:tcPr>
          <w:p w14:paraId="78B35651">
            <w:pPr>
              <w:spacing w:line="360" w:lineRule="exact"/>
              <w:jc w:val="left"/>
              <w:rPr>
                <w:rFonts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本项目为</w:t>
            </w:r>
            <w:r>
              <w:rPr>
                <w:rFonts w:hint="eastAsia" w:ascii="宋体" w:hAnsi="宋体" w:cs="宋体"/>
                <w:b w:val="0"/>
                <w:bCs w:val="0"/>
                <w:color w:val="auto"/>
                <w:sz w:val="24"/>
                <w:highlight w:val="none"/>
                <w:lang w:val="en-US" w:eastAsia="zh-CN"/>
              </w:rPr>
              <w:t>服务</w:t>
            </w:r>
            <w:r>
              <w:rPr>
                <w:rFonts w:hint="eastAsia" w:ascii="宋体" w:hAnsi="宋体" w:eastAsia="宋体" w:cs="宋体"/>
                <w:b w:val="0"/>
                <w:bCs w:val="0"/>
                <w:color w:val="auto"/>
                <w:sz w:val="24"/>
                <w:highlight w:val="none"/>
              </w:rPr>
              <w:t>类采购项目</w:t>
            </w:r>
          </w:p>
          <w:p w14:paraId="1B78B1AC">
            <w:pPr>
              <w:spacing w:line="360" w:lineRule="exact"/>
              <w:jc w:val="left"/>
              <w:rPr>
                <w:rFonts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采购标的所属行业：</w:t>
            </w:r>
            <w:r>
              <w:rPr>
                <w:rFonts w:hint="eastAsia" w:ascii="宋体" w:hAnsi="宋体" w:cs="宋体"/>
                <w:b w:val="0"/>
                <w:bCs w:val="0"/>
                <w:color w:val="auto"/>
                <w:sz w:val="24"/>
                <w:highlight w:val="none"/>
                <w:lang w:val="en-US" w:eastAsia="zh-CN"/>
              </w:rPr>
              <w:t>服务</w:t>
            </w:r>
            <w:r>
              <w:rPr>
                <w:rFonts w:hint="eastAsia" w:ascii="宋体" w:hAnsi="宋体" w:eastAsia="宋体" w:cs="宋体"/>
                <w:b w:val="0"/>
                <w:bCs w:val="0"/>
                <w:color w:val="auto"/>
                <w:sz w:val="24"/>
                <w:highlight w:val="none"/>
              </w:rPr>
              <w:t>业</w:t>
            </w:r>
          </w:p>
          <w:p w14:paraId="7BF55F2C">
            <w:pPr>
              <w:spacing w:line="360" w:lineRule="exact"/>
              <w:jc w:val="left"/>
              <w:rPr>
                <w:rFonts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划定标准为：《工业和信息化部、国家统计局、国家发展和改革委员会、财政部关于印发&lt;中小企业划型标准规定的通知&gt;（工信部联企业〔2011〕300号）规定的划分标准为依据。</w:t>
            </w:r>
          </w:p>
        </w:tc>
      </w:tr>
      <w:tr w14:paraId="54FCEBE1">
        <w:tblPrEx>
          <w:tblCellMar>
            <w:top w:w="0" w:type="dxa"/>
            <w:left w:w="108" w:type="dxa"/>
            <w:bottom w:w="0" w:type="dxa"/>
            <w:right w:w="108" w:type="dxa"/>
          </w:tblCellMar>
        </w:tblPrEx>
        <w:trPr>
          <w:trHeight w:val="1467"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251A328">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39</w:t>
            </w:r>
          </w:p>
        </w:tc>
        <w:tc>
          <w:tcPr>
            <w:tcW w:w="2436" w:type="dxa"/>
            <w:tcBorders>
              <w:top w:val="single" w:color="auto" w:sz="4" w:space="0"/>
              <w:left w:val="nil"/>
              <w:bottom w:val="single" w:color="auto" w:sz="4" w:space="0"/>
              <w:right w:val="single" w:color="auto" w:sz="4" w:space="0"/>
            </w:tcBorders>
            <w:noWrap w:val="0"/>
            <w:vAlign w:val="center"/>
          </w:tcPr>
          <w:p w14:paraId="6F8F4826">
            <w:pPr>
              <w:spacing w:line="400" w:lineRule="exact"/>
              <w:jc w:val="center"/>
              <w:rPr>
                <w:rFonts w:ascii="宋体" w:hAnsi="宋体" w:eastAsia="宋体" w:cs="宋体"/>
                <w:color w:val="auto"/>
                <w:spacing w:val="6"/>
                <w:sz w:val="24"/>
                <w:highlight w:val="none"/>
              </w:rPr>
            </w:pPr>
            <w:r>
              <w:rPr>
                <w:rFonts w:hint="eastAsia" w:ascii="宋体" w:hAnsi="宋体" w:eastAsia="宋体" w:cs="宋体"/>
                <w:color w:val="auto"/>
                <w:sz w:val="24"/>
                <w:highlight w:val="none"/>
              </w:rPr>
              <w:t>竞争性磋商文件的解释</w:t>
            </w:r>
          </w:p>
        </w:tc>
        <w:tc>
          <w:tcPr>
            <w:tcW w:w="6175" w:type="dxa"/>
            <w:tcBorders>
              <w:top w:val="single" w:color="auto" w:sz="4" w:space="0"/>
              <w:left w:val="nil"/>
              <w:bottom w:val="single" w:color="auto" w:sz="4" w:space="0"/>
              <w:right w:val="single" w:color="auto" w:sz="4" w:space="0"/>
            </w:tcBorders>
            <w:noWrap w:val="0"/>
            <w:vAlign w:val="center"/>
          </w:tcPr>
          <w:p w14:paraId="094348D4">
            <w:pPr>
              <w:spacing w:line="400" w:lineRule="exact"/>
              <w:ind w:right="-153" w:rightChars="-73"/>
              <w:jc w:val="left"/>
              <w:rPr>
                <w:rFonts w:ascii="宋体" w:hAnsi="宋体" w:eastAsia="宋体" w:cs="宋体"/>
                <w:color w:val="auto"/>
                <w:spacing w:val="6"/>
                <w:sz w:val="24"/>
                <w:highlight w:val="none"/>
              </w:rPr>
            </w:pPr>
            <w:r>
              <w:rPr>
                <w:rFonts w:hint="eastAsia" w:ascii="宋体" w:hAnsi="宋体" w:eastAsia="宋体" w:cs="宋体"/>
                <w:color w:val="auto"/>
                <w:sz w:val="24"/>
                <w:highlight w:val="none"/>
              </w:rPr>
              <w:t>在符合相关法律法规的前题下，竞争性磋商文件的解释权归采购人所有。本竞争性磋商文件中其他部分内容与</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须知前附表不一致的，以</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须知前附表为准。</w:t>
            </w:r>
          </w:p>
        </w:tc>
      </w:tr>
      <w:tr w14:paraId="1B4BF4C6">
        <w:tblPrEx>
          <w:tblCellMar>
            <w:top w:w="0" w:type="dxa"/>
            <w:left w:w="108" w:type="dxa"/>
            <w:bottom w:w="0" w:type="dxa"/>
            <w:right w:w="108" w:type="dxa"/>
          </w:tblCellMar>
        </w:tblPrEx>
        <w:trPr>
          <w:trHeight w:val="951"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3CB10F3">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0</w:t>
            </w:r>
          </w:p>
        </w:tc>
        <w:tc>
          <w:tcPr>
            <w:tcW w:w="2436" w:type="dxa"/>
            <w:tcBorders>
              <w:top w:val="single" w:color="auto" w:sz="4" w:space="0"/>
              <w:left w:val="nil"/>
              <w:bottom w:val="single" w:color="auto" w:sz="4" w:space="0"/>
              <w:right w:val="single" w:color="auto" w:sz="4" w:space="0"/>
            </w:tcBorders>
            <w:noWrap w:val="0"/>
            <w:vAlign w:val="center"/>
          </w:tcPr>
          <w:p w14:paraId="3420709A">
            <w:pPr>
              <w:widowControl/>
              <w:spacing w:line="400" w:lineRule="exact"/>
              <w:ind w:firstLine="240" w:firstLineChars="100"/>
              <w:jc w:val="center"/>
              <w:rPr>
                <w:rFonts w:ascii="宋体" w:hAnsi="宋体" w:eastAsia="宋体" w:cs="宋体"/>
                <w:color w:val="auto"/>
                <w:spacing w:val="6"/>
                <w:sz w:val="24"/>
                <w:highlight w:val="none"/>
              </w:rPr>
            </w:pPr>
            <w:r>
              <w:rPr>
                <w:rFonts w:hint="eastAsia" w:ascii="宋体" w:hAnsi="宋体" w:eastAsia="宋体" w:cs="宋体"/>
                <w:color w:val="auto"/>
                <w:sz w:val="24"/>
                <w:highlight w:val="none"/>
              </w:rPr>
              <w:t>结果公告</w:t>
            </w:r>
          </w:p>
        </w:tc>
        <w:tc>
          <w:tcPr>
            <w:tcW w:w="6175" w:type="dxa"/>
            <w:tcBorders>
              <w:top w:val="single" w:color="auto" w:sz="4" w:space="0"/>
              <w:left w:val="nil"/>
              <w:bottom w:val="single" w:color="auto" w:sz="4" w:space="0"/>
              <w:right w:val="single" w:color="auto" w:sz="4" w:space="0"/>
            </w:tcBorders>
            <w:noWrap w:val="0"/>
            <w:vAlign w:val="center"/>
          </w:tcPr>
          <w:p w14:paraId="7290B87B">
            <w:pPr>
              <w:widowControl/>
              <w:spacing w:line="400" w:lineRule="exact"/>
              <w:jc w:val="left"/>
              <w:rPr>
                <w:rFonts w:hint="eastAsia" w:eastAsia="宋体" w:asciiTheme="minorEastAsia" w:hAnsiTheme="minorEastAsia"/>
                <w:color w:val="auto"/>
                <w:sz w:val="24"/>
                <w:szCs w:val="24"/>
                <w:highlight w:val="none"/>
                <w:lang w:val="en-US" w:eastAsia="zh-CN"/>
              </w:rPr>
            </w:pP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竞争性磋商公告</w:t>
            </w:r>
            <w:r>
              <w:rPr>
                <w:rFonts w:hint="eastAsia" w:ascii="宋体" w:hAnsi="宋体" w:eastAsia="宋体" w:cs="宋体"/>
                <w:color w:val="auto"/>
                <w:sz w:val="24"/>
                <w:szCs w:val="24"/>
                <w:highlight w:val="none"/>
              </w:rPr>
              <w:t>发布的同一媒介上</w:t>
            </w:r>
            <w:r>
              <w:rPr>
                <w:rFonts w:hint="eastAsia" w:ascii="宋体" w:hAnsi="宋体" w:eastAsia="宋体" w:cs="宋体"/>
                <w:color w:val="auto"/>
                <w:sz w:val="24"/>
                <w:szCs w:val="24"/>
                <w:highlight w:val="none"/>
                <w:lang w:val="en-US" w:eastAsia="zh-CN"/>
              </w:rPr>
              <w:t>发布</w:t>
            </w:r>
          </w:p>
        </w:tc>
      </w:tr>
      <w:tr w14:paraId="7F5BB8B2">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5330C5F">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1</w:t>
            </w:r>
          </w:p>
        </w:tc>
        <w:tc>
          <w:tcPr>
            <w:tcW w:w="2436" w:type="dxa"/>
            <w:tcBorders>
              <w:top w:val="single" w:color="auto" w:sz="4" w:space="0"/>
              <w:left w:val="nil"/>
              <w:bottom w:val="single" w:color="auto" w:sz="4" w:space="0"/>
              <w:right w:val="single" w:color="auto" w:sz="4" w:space="0"/>
            </w:tcBorders>
            <w:noWrap w:val="0"/>
            <w:vAlign w:val="center"/>
          </w:tcPr>
          <w:p w14:paraId="5A24DCC7">
            <w:pPr>
              <w:widowControl/>
              <w:spacing w:line="400" w:lineRule="exact"/>
              <w:ind w:firstLine="240" w:firstLineChars="100"/>
              <w:jc w:val="center"/>
              <w:rPr>
                <w:rFonts w:ascii="宋体" w:hAnsi="宋体" w:eastAsia="宋体" w:cs="宋体"/>
                <w:color w:val="auto"/>
                <w:spacing w:val="6"/>
                <w:sz w:val="24"/>
                <w:highlight w:val="none"/>
              </w:rPr>
            </w:pPr>
            <w:r>
              <w:rPr>
                <w:rFonts w:hint="eastAsia" w:ascii="宋体" w:hAnsi="宋体" w:eastAsia="宋体" w:cs="宋体"/>
                <w:color w:val="auto"/>
                <w:sz w:val="24"/>
                <w:highlight w:val="none"/>
              </w:rPr>
              <w:t>知识产权</w:t>
            </w:r>
          </w:p>
        </w:tc>
        <w:tc>
          <w:tcPr>
            <w:tcW w:w="6175" w:type="dxa"/>
            <w:tcBorders>
              <w:top w:val="single" w:color="auto" w:sz="4" w:space="0"/>
              <w:left w:val="nil"/>
              <w:bottom w:val="single" w:color="auto" w:sz="4" w:space="0"/>
              <w:right w:val="single" w:color="auto" w:sz="4" w:space="0"/>
            </w:tcBorders>
            <w:noWrap w:val="0"/>
            <w:vAlign w:val="center"/>
          </w:tcPr>
          <w:p w14:paraId="6D5B065D">
            <w:pPr>
              <w:widowControl/>
              <w:spacing w:line="400" w:lineRule="exact"/>
              <w:jc w:val="left"/>
              <w:rPr>
                <w:rFonts w:ascii="宋体" w:hAnsi="宋体" w:eastAsia="宋体" w:cs="宋体"/>
                <w:color w:val="auto"/>
                <w:spacing w:val="6"/>
                <w:sz w:val="24"/>
                <w:highlight w:val="none"/>
              </w:rPr>
            </w:pPr>
            <w:r>
              <w:rPr>
                <w:rFonts w:hint="eastAsia" w:ascii="宋体" w:hAnsi="宋体" w:eastAsia="宋体" w:cs="宋体"/>
                <w:color w:val="auto"/>
                <w:sz w:val="24"/>
                <w:highlight w:val="none"/>
              </w:rPr>
              <w:t>构成本竞争性磋商文件各个组成部分的文件，未经采购人书面同意，</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不得擅自复印和用于非本招标项目所需的其他目的。采购人全部或者部分使用未中标人响应文件中的技术成果或技术方案时，需征得其书面同意，并不得擅自复印或提供给第三人。</w:t>
            </w:r>
          </w:p>
        </w:tc>
      </w:tr>
      <w:tr w14:paraId="4D762F01">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7F730AD">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2</w:t>
            </w:r>
          </w:p>
        </w:tc>
        <w:tc>
          <w:tcPr>
            <w:tcW w:w="2436" w:type="dxa"/>
            <w:tcBorders>
              <w:top w:val="single" w:color="auto" w:sz="4" w:space="0"/>
              <w:left w:val="nil"/>
              <w:bottom w:val="single" w:color="auto" w:sz="4" w:space="0"/>
              <w:right w:val="single" w:color="auto" w:sz="4" w:space="0"/>
            </w:tcBorders>
            <w:noWrap w:val="0"/>
            <w:vAlign w:val="center"/>
          </w:tcPr>
          <w:p w14:paraId="629AB987">
            <w:pPr>
              <w:widowControl/>
              <w:spacing w:line="400" w:lineRule="exact"/>
              <w:jc w:val="center"/>
              <w:rPr>
                <w:rFonts w:ascii="宋体" w:hAnsi="宋体" w:eastAsia="宋体" w:cs="宋体"/>
                <w:color w:val="auto"/>
                <w:spacing w:val="6"/>
                <w:sz w:val="24"/>
                <w:highlight w:val="none"/>
              </w:rPr>
            </w:pPr>
            <w:r>
              <w:rPr>
                <w:rFonts w:hint="eastAsia" w:ascii="宋体" w:hAnsi="宋体" w:eastAsia="宋体" w:cs="宋体"/>
                <w:color w:val="auto"/>
                <w:sz w:val="24"/>
                <w:highlight w:val="none"/>
              </w:rPr>
              <w:t>重新招标的其他情形</w:t>
            </w:r>
          </w:p>
        </w:tc>
        <w:tc>
          <w:tcPr>
            <w:tcW w:w="6175" w:type="dxa"/>
            <w:tcBorders>
              <w:top w:val="single" w:color="auto" w:sz="4" w:space="0"/>
              <w:left w:val="nil"/>
              <w:bottom w:val="single" w:color="auto" w:sz="4" w:space="0"/>
              <w:right w:val="single" w:color="auto" w:sz="4" w:space="0"/>
            </w:tcBorders>
            <w:noWrap w:val="0"/>
            <w:vAlign w:val="center"/>
          </w:tcPr>
          <w:p w14:paraId="17FB8271">
            <w:pPr>
              <w:widowControl/>
              <w:spacing w:line="400" w:lineRule="exact"/>
              <w:jc w:val="left"/>
              <w:rPr>
                <w:rFonts w:ascii="宋体" w:hAnsi="宋体" w:eastAsia="宋体" w:cs="宋体"/>
                <w:color w:val="auto"/>
                <w:spacing w:val="6"/>
                <w:sz w:val="24"/>
                <w:highlight w:val="none"/>
              </w:rPr>
            </w:pPr>
            <w:r>
              <w:rPr>
                <w:rFonts w:hint="eastAsia" w:ascii="宋体" w:hAnsi="宋体" w:eastAsia="宋体" w:cs="宋体"/>
                <w:color w:val="auto"/>
                <w:sz w:val="24"/>
                <w:highlight w:val="none"/>
              </w:rPr>
              <w:t>除</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须知正文规定的情形外，除非已经产生中标候选人，在磋商有效期内同意延长磋商有效期的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少于三个的，采购人应当依法重新招标。</w:t>
            </w:r>
          </w:p>
        </w:tc>
      </w:tr>
      <w:tr w14:paraId="45D2DFEC">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46CE2D1">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3</w:t>
            </w:r>
          </w:p>
        </w:tc>
        <w:tc>
          <w:tcPr>
            <w:tcW w:w="2436" w:type="dxa"/>
            <w:tcBorders>
              <w:top w:val="single" w:color="auto" w:sz="4" w:space="0"/>
              <w:left w:val="nil"/>
              <w:bottom w:val="single" w:color="auto" w:sz="4" w:space="0"/>
              <w:right w:val="single" w:color="auto" w:sz="4" w:space="0"/>
            </w:tcBorders>
            <w:noWrap w:val="0"/>
            <w:vAlign w:val="center"/>
          </w:tcPr>
          <w:p w14:paraId="54461BC2">
            <w:pPr>
              <w:widowControl/>
              <w:spacing w:line="400" w:lineRule="exact"/>
              <w:ind w:firstLine="240" w:firstLineChars="100"/>
              <w:jc w:val="center"/>
              <w:rPr>
                <w:rFonts w:ascii="宋体" w:hAnsi="宋体" w:eastAsia="宋体" w:cs="宋体"/>
                <w:color w:val="auto"/>
                <w:spacing w:val="6"/>
                <w:sz w:val="24"/>
                <w:highlight w:val="none"/>
              </w:rPr>
            </w:pPr>
            <w:r>
              <w:rPr>
                <w:rFonts w:hint="eastAsia" w:ascii="宋体" w:hAnsi="宋体" w:eastAsia="宋体" w:cs="宋体"/>
                <w:color w:val="auto"/>
                <w:sz w:val="24"/>
                <w:highlight w:val="none"/>
              </w:rPr>
              <w:t>同义词语</w:t>
            </w:r>
          </w:p>
        </w:tc>
        <w:tc>
          <w:tcPr>
            <w:tcW w:w="6175" w:type="dxa"/>
            <w:tcBorders>
              <w:top w:val="single" w:color="auto" w:sz="4" w:space="0"/>
              <w:left w:val="nil"/>
              <w:bottom w:val="single" w:color="auto" w:sz="4" w:space="0"/>
              <w:right w:val="single" w:color="auto" w:sz="4" w:space="0"/>
            </w:tcBorders>
            <w:noWrap w:val="0"/>
            <w:vAlign w:val="center"/>
          </w:tcPr>
          <w:p w14:paraId="40BA9FB6">
            <w:pPr>
              <w:widowControl/>
              <w:spacing w:line="400" w:lineRule="exact"/>
              <w:jc w:val="left"/>
              <w:rPr>
                <w:rFonts w:ascii="宋体" w:hAnsi="宋体" w:eastAsia="宋体" w:cs="宋体"/>
                <w:color w:val="auto"/>
                <w:spacing w:val="6"/>
                <w:sz w:val="24"/>
                <w:highlight w:val="none"/>
              </w:rPr>
            </w:pPr>
            <w:r>
              <w:rPr>
                <w:rFonts w:hint="eastAsia" w:ascii="宋体" w:hAnsi="宋体" w:eastAsia="宋体" w:cs="宋体"/>
                <w:color w:val="auto"/>
                <w:sz w:val="24"/>
                <w:highlight w:val="none"/>
              </w:rPr>
              <w:t>构成竞争性磋商文件组成部分的“通用合同条款”、“专用合同条款”、“技术标准和要求”和“工程量清单”等章节中出现的措辞“发包人”和“承包人”，在招标磋商阶段应当分别按“采购人”和“</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”进行理解。</w:t>
            </w:r>
          </w:p>
        </w:tc>
      </w:tr>
      <w:tr w14:paraId="0A0A6B43">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B824A18">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4</w:t>
            </w:r>
          </w:p>
        </w:tc>
        <w:tc>
          <w:tcPr>
            <w:tcW w:w="2436" w:type="dxa"/>
            <w:tcBorders>
              <w:top w:val="single" w:color="auto" w:sz="4" w:space="0"/>
              <w:left w:val="nil"/>
              <w:bottom w:val="single" w:color="auto" w:sz="4" w:space="0"/>
              <w:right w:val="single" w:color="auto" w:sz="4" w:space="0"/>
            </w:tcBorders>
            <w:noWrap w:val="0"/>
            <w:vAlign w:val="center"/>
          </w:tcPr>
          <w:p w14:paraId="2B1E6690">
            <w:pPr>
              <w:widowControl/>
              <w:spacing w:line="400" w:lineRule="exact"/>
              <w:ind w:firstLine="240" w:firstLineChars="100"/>
              <w:jc w:val="center"/>
              <w:rPr>
                <w:rFonts w:ascii="宋体" w:hAnsi="宋体" w:eastAsia="宋体" w:cs="宋体"/>
                <w:color w:val="auto"/>
                <w:spacing w:val="6"/>
                <w:sz w:val="24"/>
                <w:highlight w:val="none"/>
              </w:rPr>
            </w:pPr>
            <w:r>
              <w:rPr>
                <w:rFonts w:hint="eastAsia" w:ascii="宋体" w:hAnsi="宋体" w:eastAsia="宋体" w:cs="宋体"/>
                <w:color w:val="auto"/>
                <w:sz w:val="24"/>
                <w:highlight w:val="none"/>
              </w:rPr>
              <w:t>监  督</w:t>
            </w:r>
          </w:p>
        </w:tc>
        <w:tc>
          <w:tcPr>
            <w:tcW w:w="6175" w:type="dxa"/>
            <w:tcBorders>
              <w:top w:val="single" w:color="auto" w:sz="4" w:space="0"/>
              <w:left w:val="nil"/>
              <w:bottom w:val="single" w:color="auto" w:sz="4" w:space="0"/>
              <w:right w:val="single" w:color="auto" w:sz="4" w:space="0"/>
            </w:tcBorders>
            <w:noWrap w:val="0"/>
            <w:vAlign w:val="center"/>
          </w:tcPr>
          <w:p w14:paraId="60F795FC">
            <w:pPr>
              <w:widowControl/>
              <w:spacing w:line="400" w:lineRule="exact"/>
              <w:jc w:val="left"/>
              <w:rPr>
                <w:rFonts w:ascii="宋体" w:hAnsi="宋体" w:eastAsia="宋体" w:cs="宋体"/>
                <w:color w:val="auto"/>
                <w:spacing w:val="6"/>
                <w:sz w:val="24"/>
                <w:highlight w:val="none"/>
              </w:rPr>
            </w:pPr>
            <w:r>
              <w:rPr>
                <w:rFonts w:hint="eastAsia" w:ascii="宋体" w:hAnsi="宋体" w:eastAsia="宋体" w:cs="宋体"/>
                <w:color w:val="auto"/>
                <w:sz w:val="24"/>
                <w:highlight w:val="none"/>
              </w:rPr>
              <w:t>本项目的招标磋商活动及其相关当事人应当接受有管辖权的招标投标行政监督部门依法实施的监督。</w:t>
            </w:r>
          </w:p>
        </w:tc>
      </w:tr>
      <w:tr w14:paraId="38883DB1">
        <w:tblPrEx>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B7F0110">
            <w:pPr>
              <w:spacing w:line="3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w:t>
            </w:r>
            <w:r>
              <w:rPr>
                <w:rFonts w:hint="eastAsia" w:ascii="宋体" w:hAnsi="宋体" w:cs="宋体"/>
                <w:color w:val="auto"/>
                <w:sz w:val="24"/>
                <w:highlight w:val="none"/>
                <w:lang w:val="en-US" w:eastAsia="zh-CN"/>
              </w:rPr>
              <w:t>5</w:t>
            </w:r>
          </w:p>
        </w:tc>
        <w:tc>
          <w:tcPr>
            <w:tcW w:w="2436" w:type="dxa"/>
            <w:tcBorders>
              <w:top w:val="single" w:color="auto" w:sz="4" w:space="0"/>
              <w:left w:val="nil"/>
              <w:bottom w:val="single" w:color="auto" w:sz="4" w:space="0"/>
              <w:right w:val="single" w:color="auto" w:sz="4" w:space="0"/>
            </w:tcBorders>
            <w:noWrap w:val="0"/>
            <w:vAlign w:val="center"/>
          </w:tcPr>
          <w:p w14:paraId="45DA6777">
            <w:pPr>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投标须知</w:t>
            </w:r>
          </w:p>
        </w:tc>
        <w:tc>
          <w:tcPr>
            <w:tcW w:w="6175" w:type="dxa"/>
            <w:tcBorders>
              <w:top w:val="single" w:color="auto" w:sz="4" w:space="0"/>
              <w:left w:val="nil"/>
              <w:bottom w:val="single" w:color="auto" w:sz="4" w:space="0"/>
              <w:right w:val="single" w:color="auto" w:sz="4" w:space="0"/>
            </w:tcBorders>
            <w:noWrap w:val="0"/>
            <w:vAlign w:val="center"/>
          </w:tcPr>
          <w:p w14:paraId="6E5106D5">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本项目为电子化、无纸化交易项目，</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文件是</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通过中心投标文件制作系统制作，并经过电子签章和加密后生成的电子版</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w:t>
            </w:r>
            <w:r>
              <w:rPr>
                <w:rFonts w:hint="eastAsia" w:ascii="宋体" w:hAnsi="宋体" w:cs="宋体"/>
                <w:color w:val="auto"/>
                <w:kern w:val="2"/>
                <w:sz w:val="24"/>
                <w:szCs w:val="24"/>
                <w:highlight w:val="none"/>
                <w:lang w:eastAsia="zh-CN"/>
              </w:rPr>
              <w:t>开</w:t>
            </w:r>
            <w:r>
              <w:rPr>
                <w:rFonts w:hint="eastAsia" w:ascii="宋体" w:hAnsi="宋体" w:eastAsia="宋体" w:cs="宋体"/>
                <w:color w:val="auto"/>
                <w:kern w:val="2"/>
                <w:sz w:val="24"/>
                <w:szCs w:val="24"/>
                <w:highlight w:val="none"/>
              </w:rPr>
              <w:t>标时，将不再接受任何纸质文件资料。</w:t>
            </w:r>
          </w:p>
          <w:p w14:paraId="3D5DE12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文件具体制作教材请</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通过CA证书登录三门峡市公共资源电子交易系统在“组件下载”中查看。</w:t>
            </w:r>
          </w:p>
          <w:p w14:paraId="3C1B2BE0">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温馨提示：本项目为电子化、无纸化交易项目，开标时不接受任何纸质资料，为保证您能</w:t>
            </w:r>
            <w:r>
              <w:rPr>
                <w:rFonts w:hint="eastAsia" w:ascii="宋体" w:hAnsi="宋体" w:cs="宋体"/>
                <w:color w:val="auto"/>
                <w:kern w:val="2"/>
                <w:sz w:val="24"/>
                <w:szCs w:val="24"/>
                <w:highlight w:val="none"/>
                <w:lang w:eastAsia="zh-CN"/>
              </w:rPr>
              <w:t>开</w:t>
            </w:r>
            <w:r>
              <w:rPr>
                <w:rFonts w:hint="eastAsia" w:ascii="宋体" w:hAnsi="宋体" w:eastAsia="宋体" w:cs="宋体"/>
                <w:color w:val="auto"/>
                <w:kern w:val="2"/>
                <w:sz w:val="24"/>
                <w:szCs w:val="24"/>
                <w:highlight w:val="none"/>
              </w:rPr>
              <w:t>标成功，请需仔细阅读以下条款。</w:t>
            </w:r>
          </w:p>
          <w:p w14:paraId="44607A0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一、电子化投标</w:t>
            </w:r>
          </w:p>
          <w:p w14:paraId="1E29D2A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文件的签章</w:t>
            </w:r>
          </w:p>
          <w:p w14:paraId="4A68B774">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在生成电子化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文件后，应对电子化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文件进行签章，未进行签章的视为无效</w:t>
            </w:r>
            <w:r>
              <w:rPr>
                <w:rFonts w:hint="eastAsia" w:ascii="宋体" w:hAnsi="宋体" w:cs="宋体"/>
                <w:color w:val="auto"/>
                <w:kern w:val="2"/>
                <w:sz w:val="24"/>
                <w:szCs w:val="24"/>
                <w:highlight w:val="none"/>
                <w:lang w:eastAsia="zh-CN"/>
              </w:rPr>
              <w:t>文件</w:t>
            </w:r>
            <w:r>
              <w:rPr>
                <w:rFonts w:hint="eastAsia" w:ascii="宋体" w:hAnsi="宋体" w:eastAsia="宋体" w:cs="宋体"/>
                <w:color w:val="auto"/>
                <w:kern w:val="2"/>
                <w:sz w:val="24"/>
                <w:szCs w:val="24"/>
                <w:highlight w:val="none"/>
              </w:rPr>
              <w:t>。</w:t>
            </w:r>
          </w:p>
          <w:p w14:paraId="49D09774">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cs="宋体"/>
                <w:color w:val="auto"/>
                <w:kern w:val="2"/>
                <w:sz w:val="24"/>
                <w:szCs w:val="24"/>
                <w:highlight w:val="none"/>
                <w:lang w:eastAsia="zh-CN"/>
              </w:rPr>
              <w:t>磋商</w:t>
            </w:r>
            <w:r>
              <w:rPr>
                <w:rFonts w:hint="eastAsia" w:ascii="宋体" w:hAnsi="宋体" w:eastAsia="宋体" w:cs="宋体"/>
                <w:color w:val="auto"/>
                <w:kern w:val="2"/>
                <w:sz w:val="24"/>
                <w:szCs w:val="24"/>
                <w:highlight w:val="none"/>
              </w:rPr>
              <w:t>文件中要求法定代表人或授权委托人签字或盖章的，</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在进行电子化响应文件</w:t>
            </w:r>
            <w:r>
              <w:rPr>
                <w:rFonts w:hint="eastAsia" w:ascii="宋体" w:hAnsi="宋体" w:eastAsia="宋体" w:cs="宋体"/>
                <w:color w:val="auto"/>
                <w:kern w:val="2"/>
                <w:sz w:val="24"/>
                <w:szCs w:val="24"/>
                <w:highlight w:val="none"/>
                <w:lang w:eastAsia="zh-CN"/>
              </w:rPr>
              <w:t>需逐页</w:t>
            </w:r>
            <w:r>
              <w:rPr>
                <w:rFonts w:hint="eastAsia" w:ascii="宋体" w:hAnsi="宋体" w:eastAsia="宋体" w:cs="宋体"/>
                <w:color w:val="auto"/>
                <w:kern w:val="2"/>
                <w:sz w:val="24"/>
                <w:szCs w:val="24"/>
                <w:highlight w:val="none"/>
              </w:rPr>
              <w:t>签章</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签章时以签盖法定代表人签章为准。电子化响应文件具体制作教材请</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通过CA证书登录三门峡市公共资源电子化交易系统在右上角“组建下载”中查看。</w:t>
            </w:r>
          </w:p>
          <w:p w14:paraId="04AB7F4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文件的格式及上传</w:t>
            </w:r>
          </w:p>
          <w:p w14:paraId="446054F7">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所上传的电子化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文件，应是通过中心</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文件制作系统制作的，经过签章和加密后生成的电子版</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文件。上传</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文件格式后缀为SMXTF，上传完后，建议验证CA锁是否正常。</w:t>
            </w:r>
          </w:p>
          <w:p w14:paraId="2748BA15">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投报多个标段的，每个标段均要生成独立的电子</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w:t>
            </w:r>
          </w:p>
          <w:p w14:paraId="3DFABFBA">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文件应在</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截止时间前成功上传至三门峡市公共资源电子化交易系统。至</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截止时间止，仍未上传成功的电子化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文件将不予接收。</w:t>
            </w:r>
          </w:p>
          <w:p w14:paraId="2F01293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 ：如按照电子化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操作教材制作完成的电子化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文件无法上传的，</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应在</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 xml:space="preserve">截止时间前尽早的联系中心技术人员，以便有充分的时间进行处理。 </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应充分考虑到处理技术问题和上传数据等工作所需的时间问题，</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文件未在</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截止时间前成功上传的，其</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文件不予接收。</w:t>
            </w:r>
          </w:p>
          <w:p w14:paraId="3F46A839">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技术联系电话：</w:t>
            </w:r>
            <w:r>
              <w:rPr>
                <w:rFonts w:hint="eastAsia" w:ascii="宋体" w:hAnsi="宋体" w:eastAsia="宋体" w:cs="宋体"/>
                <w:color w:val="auto"/>
                <w:kern w:val="2"/>
                <w:sz w:val="24"/>
                <w:szCs w:val="24"/>
                <w:highlight w:val="none"/>
                <w:lang w:val="en-US" w:eastAsia="zh-CN"/>
              </w:rPr>
              <w:t>400-998-0000</w:t>
            </w:r>
          </w:p>
          <w:p w14:paraId="232C2F08">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三</w:t>
            </w:r>
            <w:r>
              <w:rPr>
                <w:rFonts w:hint="eastAsia" w:ascii="宋体" w:hAnsi="宋体" w:eastAsia="宋体" w:cs="宋体"/>
                <w:color w:val="auto"/>
                <w:kern w:val="2"/>
                <w:sz w:val="24"/>
                <w:szCs w:val="24"/>
                <w:highlight w:val="none"/>
              </w:rPr>
              <w:t>）电子化项目开标、解密、唱标、评标</w:t>
            </w:r>
          </w:p>
          <w:p w14:paraId="3C2F3B9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1、本项目采用电子化、无纸化进行招标，开标当日，</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无需到开标现场参加开标会议。</w:t>
            </w:r>
          </w:p>
          <w:p w14:paraId="4CBBEDD3">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应当在</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截止时间前，登陆不见面开标大厅选择登陆三门峡市公共资源电子招</w:t>
            </w:r>
            <w:r>
              <w:rPr>
                <w:rFonts w:hint="eastAsia" w:ascii="宋体" w:hAnsi="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系统进行登陆http://120.194.249.36:10094/BidOpening/bidopeninghallaction/hall/login）,在线准时参加开标活动并进行</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文件解密等。每位</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的解密时间为开标时间起30分钟内完成。未按时解密的其</w:t>
            </w:r>
            <w:r>
              <w:rPr>
                <w:rFonts w:hint="eastAsia" w:ascii="宋体" w:hAnsi="宋体" w:cs="宋体"/>
                <w:color w:val="auto"/>
                <w:kern w:val="2"/>
                <w:sz w:val="24"/>
                <w:szCs w:val="24"/>
                <w:highlight w:val="none"/>
                <w:lang w:eastAsia="zh-CN"/>
              </w:rPr>
              <w:t>响应文件</w:t>
            </w:r>
            <w:r>
              <w:rPr>
                <w:rFonts w:hint="eastAsia" w:ascii="宋体" w:hAnsi="宋体" w:eastAsia="宋体" w:cs="宋体"/>
                <w:color w:val="auto"/>
                <w:kern w:val="2"/>
                <w:sz w:val="24"/>
                <w:szCs w:val="24"/>
                <w:highlight w:val="none"/>
              </w:rPr>
              <w:t>将被否决。因</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原因未能解密、解密失败或解密超时的将被拒绝。</w:t>
            </w:r>
          </w:p>
          <w:p w14:paraId="2BECF6E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3、电子化</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文件解密异常的处理</w:t>
            </w:r>
          </w:p>
          <w:p w14:paraId="65E91CB2">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如出现</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的电子</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文件无法解密的情况，</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应及时致电中介服务机构说明。</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文件解密异常，按以下步骤进行处理：</w:t>
            </w:r>
          </w:p>
          <w:p w14:paraId="2FF1888C">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（1）首先由技术人员进行问题排查。</w:t>
            </w:r>
          </w:p>
          <w:p w14:paraId="1D4A7EFB">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（2）经技术人员排查后，是</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文件自身问题导致</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文件无法解密的，该</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文件将不予接收、解密和唱标。开标会议继续进行。</w:t>
            </w:r>
          </w:p>
          <w:p w14:paraId="4E1FEF9D">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（3）经技术人员排查后，如果是电子化交易系统问题造成</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文件无法解密的，将由技术人员对问题进行处理。如短时间内问题无法解决的，将由中介服务机构向监督部门申请，经监督部门同意后，暂停开标会议，待问题解决后继续开标。</w:t>
            </w:r>
          </w:p>
          <w:p w14:paraId="5C29A9D6">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4、待所有</w:t>
            </w:r>
            <w:r>
              <w:rPr>
                <w:rFonts w:hint="eastAsia" w:ascii="宋体" w:hAnsi="宋体" w:cs="宋体"/>
                <w:color w:val="auto"/>
                <w:kern w:val="2"/>
                <w:sz w:val="24"/>
                <w:szCs w:val="24"/>
                <w:highlight w:val="none"/>
                <w:lang w:eastAsia="zh-CN"/>
              </w:rPr>
              <w:t>供应商响应</w:t>
            </w:r>
            <w:r>
              <w:rPr>
                <w:rFonts w:hint="eastAsia" w:ascii="宋体" w:hAnsi="宋体" w:eastAsia="宋体" w:cs="宋体"/>
                <w:color w:val="auto"/>
                <w:kern w:val="2"/>
                <w:sz w:val="24"/>
                <w:szCs w:val="24"/>
                <w:highlight w:val="none"/>
              </w:rPr>
              <w:t>文件解密完成后，由中介服务机构操作，对所有已解密</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文件进行唱标。</w:t>
            </w:r>
          </w:p>
          <w:p w14:paraId="0EC64BCD">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应保证在开标期间电话、电脑、网络能够正常工作，</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因停电、电脑病毒、网络堵塞等原因，未在规定的解密时间内对</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文件进行解密的，其</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文件不予接收、唱标。</w:t>
            </w:r>
          </w:p>
          <w:p w14:paraId="093F4193">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5、开标时</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可登录到交易系统中在开标大厅中点击开标一览表查看自己的报价。如对自己的唱标内容有异议的，应在唱标内容显示后10分钟内向</w:t>
            </w:r>
            <w:r>
              <w:rPr>
                <w:rFonts w:hint="eastAsia" w:ascii="宋体" w:hAnsi="宋体" w:cs="宋体"/>
                <w:color w:val="auto"/>
                <w:sz w:val="24"/>
                <w:highlight w:val="none"/>
              </w:rPr>
              <w:t>中服务机构通过开标大厅对话框提出质疑。中介服务机构做好书面记录。</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未在规定时间内提出质疑的，视为认可</w:t>
            </w:r>
            <w:r>
              <w:rPr>
                <w:rFonts w:hint="eastAsia" w:ascii="宋体" w:hAnsi="宋体" w:eastAsia="宋体" w:cs="宋体"/>
                <w:color w:val="auto"/>
                <w:kern w:val="2"/>
                <w:sz w:val="24"/>
                <w:szCs w:val="24"/>
                <w:highlight w:val="none"/>
                <w:lang w:eastAsia="zh-CN"/>
              </w:rPr>
              <w:t>唱标内容。</w:t>
            </w:r>
          </w:p>
          <w:p w14:paraId="22277782">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6、评标时，磋商小组对电子化响应文件有质疑的，将通过电子化交易系统对</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lang w:eastAsia="zh-CN"/>
              </w:rPr>
              <w:t>发起质疑，</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lang w:eastAsia="zh-CN"/>
              </w:rPr>
              <w:t>的回复文件必须以经过</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lang w:eastAsia="zh-CN"/>
              </w:rPr>
              <w:t>和其法定代表人签章的PDF 格式文件为准，并通过电子化交易系统提交至磋商小组。</w:t>
            </w:r>
          </w:p>
          <w:p w14:paraId="5CC94287">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应在开标结束后，应该守在系统前，进行二轮或多轮报价或者磋商小组提出的答疑，报价和答疑时间为30分钟，若</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2"/>
                <w:sz w:val="24"/>
                <w:szCs w:val="24"/>
                <w:highlight w:val="none"/>
              </w:rPr>
              <w:t>错过时间或时间不够无法延时而导致文件无效或废标，由</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2"/>
                <w:sz w:val="24"/>
                <w:szCs w:val="24"/>
                <w:highlight w:val="none"/>
              </w:rPr>
              <w:t>自行承担责任。代理机构无义务必须通知到每个</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2"/>
                <w:sz w:val="24"/>
                <w:szCs w:val="24"/>
                <w:highlight w:val="none"/>
              </w:rPr>
              <w:t>进行报价或答疑。在开标及评审过程中，代理机构、采购人及监督人是无法携带通讯工具，</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2"/>
                <w:sz w:val="24"/>
                <w:szCs w:val="24"/>
                <w:highlight w:val="none"/>
              </w:rPr>
              <w:t>若出现问题导致文件无效或废标，</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2"/>
                <w:sz w:val="24"/>
                <w:szCs w:val="24"/>
                <w:highlight w:val="none"/>
              </w:rPr>
              <w:t>自行承担责任。</w:t>
            </w:r>
          </w:p>
          <w:p w14:paraId="47F0C78F">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 相关证书原件的提交</w:t>
            </w:r>
          </w:p>
          <w:p w14:paraId="19120813">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本项目实行资格后审，</w:t>
            </w:r>
            <w:r>
              <w:rPr>
                <w:rFonts w:hint="eastAsia" w:ascii="宋体" w:hAnsi="宋体" w:cs="宋体"/>
                <w:color w:val="auto"/>
                <w:kern w:val="2"/>
                <w:sz w:val="24"/>
                <w:szCs w:val="24"/>
                <w:highlight w:val="none"/>
                <w:lang w:eastAsia="zh-CN"/>
              </w:rPr>
              <w:t>磋商</w:t>
            </w:r>
            <w:r>
              <w:rPr>
                <w:rFonts w:hint="eastAsia" w:ascii="宋体" w:hAnsi="宋体" w:eastAsia="宋体" w:cs="宋体"/>
                <w:color w:val="auto"/>
                <w:kern w:val="2"/>
                <w:sz w:val="24"/>
                <w:szCs w:val="24"/>
                <w:highlight w:val="none"/>
              </w:rPr>
              <w:t>文件中要求</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提交资质、业绩、荣誉及单位人员等相关资料原件的，</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需将原件扫描件制作到电子</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文件中，其上传资料真实性由</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自行承担，同时，</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要完善主体库。</w:t>
            </w:r>
            <w:r>
              <w:rPr>
                <w:rFonts w:hint="eastAsia" w:ascii="宋体" w:hAnsi="宋体" w:cs="宋体"/>
                <w:color w:val="auto"/>
                <w:kern w:val="2"/>
                <w:sz w:val="24"/>
                <w:szCs w:val="24"/>
                <w:highlight w:val="none"/>
                <w:lang w:eastAsia="zh-CN"/>
              </w:rPr>
              <w:t>磋商小组</w:t>
            </w:r>
            <w:r>
              <w:rPr>
                <w:rFonts w:hint="eastAsia" w:ascii="宋体" w:hAnsi="宋体" w:eastAsia="宋体" w:cs="宋体"/>
                <w:color w:val="auto"/>
                <w:kern w:val="2"/>
                <w:sz w:val="24"/>
                <w:szCs w:val="24"/>
                <w:highlight w:val="none"/>
              </w:rPr>
              <w:t>对原件的核验工作按以下条款进行：</w:t>
            </w:r>
          </w:p>
          <w:p w14:paraId="011657F0">
            <w:pPr>
              <w:keepNext w:val="0"/>
              <w:keepLines w:val="0"/>
              <w:pageBreakBefore w:val="0"/>
              <w:widowControl w:val="0"/>
              <w:numPr>
                <w:ilvl w:val="0"/>
                <w:numId w:val="1"/>
              </w:numPr>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评标时，评委先查阅</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文件中是否具有该资料的原件扫描件，其上传资料真实性由</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自行承担，同时，</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需要完善主体库信息。本项目需要提交的原件扫描件以</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截止时间前在以</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自行上传到</w:t>
            </w:r>
            <w:r>
              <w:rPr>
                <w:rFonts w:hint="eastAsia" w:ascii="宋体" w:hAnsi="宋体" w:cs="宋体"/>
                <w:color w:val="auto"/>
                <w:kern w:val="2"/>
                <w:sz w:val="24"/>
                <w:szCs w:val="24"/>
                <w:highlight w:val="none"/>
                <w:lang w:eastAsia="zh-CN"/>
              </w:rPr>
              <w:t>响应</w:t>
            </w:r>
            <w:r>
              <w:rPr>
                <w:rFonts w:hint="eastAsia" w:ascii="宋体" w:hAnsi="宋体" w:eastAsia="宋体" w:cs="宋体"/>
                <w:color w:val="auto"/>
                <w:kern w:val="2"/>
                <w:sz w:val="24"/>
                <w:szCs w:val="24"/>
                <w:highlight w:val="none"/>
              </w:rPr>
              <w:t>文件中的相应内容为准。规定时间外上传或更改的信息不作为评标依据。评标时不接受</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所提交的任何原件</w:t>
            </w:r>
            <w:r>
              <w:rPr>
                <w:rFonts w:hint="eastAsia" w:ascii="宋体" w:hAnsi="宋体" w:eastAsia="宋体" w:cs="宋体"/>
                <w:color w:val="auto"/>
                <w:kern w:val="2"/>
                <w:sz w:val="24"/>
                <w:szCs w:val="24"/>
                <w:highlight w:val="none"/>
                <w:lang w:eastAsia="zh-CN"/>
              </w:rPr>
              <w:t>。</w:t>
            </w:r>
          </w:p>
          <w:p w14:paraId="099FA971">
            <w:pPr>
              <w:keepNext w:val="0"/>
              <w:keepLines w:val="0"/>
              <w:pageBreakBefore w:val="0"/>
              <w:widowControl w:val="0"/>
              <w:kinsoku/>
              <w:wordWrap w:val="0"/>
              <w:overflowPunct/>
              <w:topLinePunct w:val="0"/>
              <w:autoSpaceDE/>
              <w:autoSpaceDN/>
              <w:bidi w:val="0"/>
              <w:snapToGrid w:val="0"/>
              <w:spacing w:before="0" w:beforeLines="0" w:beforeAutospacing="0" w:after="0" w:afterLines="0" w:afterAutospacing="0" w:line="400" w:lineRule="exact"/>
              <w:ind w:left="0" w:right="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需应仔细阅读操作手册，保证上传内容齐全，真实有效，原件扫描件清晰可辨。因</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上传原因导致应得分项而未得分或资格审查不合格等情况的，由</w:t>
            </w:r>
            <w:r>
              <w:rPr>
                <w:rFonts w:hint="eastAsia" w:ascii="宋体" w:hAnsi="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自行承担责任。</w:t>
            </w:r>
          </w:p>
          <w:p w14:paraId="65F3B99F">
            <w:pPr>
              <w:spacing w:line="360" w:lineRule="exact"/>
              <w:jc w:val="left"/>
              <w:rPr>
                <w:rFonts w:ascii="宋体" w:hAnsi="宋体" w:eastAsia="宋体" w:cs="宋体"/>
                <w:color w:val="auto"/>
                <w:sz w:val="24"/>
                <w:highlight w:val="none"/>
              </w:rPr>
            </w:pPr>
            <w:r>
              <w:rPr>
                <w:rFonts w:hint="eastAsia" w:ascii="宋体" w:hAnsi="宋体" w:eastAsia="宋体" w:cs="宋体"/>
                <w:color w:val="auto"/>
                <w:kern w:val="2"/>
                <w:sz w:val="24"/>
                <w:szCs w:val="24"/>
                <w:highlight w:val="none"/>
              </w:rPr>
              <w:t>提示：本项目为电子化、无纸化交易项目，开标时不再接受任何纸质资料，为保证您能</w:t>
            </w:r>
            <w:r>
              <w:rPr>
                <w:rFonts w:hint="eastAsia" w:ascii="宋体" w:hAnsi="宋体" w:cs="宋体"/>
                <w:color w:val="auto"/>
                <w:kern w:val="2"/>
                <w:sz w:val="24"/>
                <w:szCs w:val="24"/>
                <w:highlight w:val="none"/>
                <w:lang w:eastAsia="zh-CN"/>
              </w:rPr>
              <w:t>开</w:t>
            </w:r>
            <w:r>
              <w:rPr>
                <w:rFonts w:hint="eastAsia" w:ascii="宋体" w:hAnsi="宋体" w:eastAsia="宋体" w:cs="宋体"/>
                <w:color w:val="auto"/>
                <w:kern w:val="2"/>
                <w:sz w:val="24"/>
                <w:szCs w:val="24"/>
                <w:highlight w:val="none"/>
              </w:rPr>
              <w:t>标成功，请需仔细阅读以上条款。</w:t>
            </w:r>
          </w:p>
        </w:tc>
      </w:tr>
    </w:tbl>
    <w:p w14:paraId="2513089B">
      <w:pPr>
        <w:spacing w:line="600" w:lineRule="exact"/>
        <w:ind w:firstLine="482" w:firstLineChars="200"/>
        <w:rPr>
          <w:rFonts w:hint="eastAsia" w:ascii="宋体" w:hAnsi="宋体" w:eastAsia="宋体" w:cs="宋体"/>
          <w:b/>
          <w:bCs/>
          <w:color w:val="auto"/>
          <w:kern w:val="0"/>
          <w:sz w:val="24"/>
          <w:highlight w:val="none"/>
        </w:rPr>
      </w:pPr>
      <w:bookmarkStart w:id="13" w:name="_Toc479"/>
      <w:bookmarkStart w:id="14" w:name="_Toc74643721"/>
      <w:bookmarkStart w:id="15" w:name="_Toc26685"/>
    </w:p>
    <w:p w14:paraId="592143DB">
      <w:pPr>
        <w:spacing w:line="600" w:lineRule="exact"/>
        <w:ind w:firstLine="482" w:firstLineChars="200"/>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1.</w:t>
      </w:r>
      <w:r>
        <w:rPr>
          <w:rFonts w:hint="eastAsia" w:ascii="宋体" w:hAnsi="宋体" w:eastAsia="宋体" w:cs="宋体"/>
          <w:b/>
          <w:bCs/>
          <w:color w:val="auto"/>
          <w:kern w:val="0"/>
          <w:sz w:val="24"/>
          <w:highlight w:val="none"/>
        </w:rPr>
        <w:t>总  则</w:t>
      </w:r>
    </w:p>
    <w:p w14:paraId="22020C07">
      <w:pPr>
        <w:spacing w:line="600" w:lineRule="exact"/>
        <w:ind w:firstLine="482" w:firstLineChars="200"/>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1.1项目概况</w:t>
      </w:r>
    </w:p>
    <w:p w14:paraId="164C4B91">
      <w:pPr>
        <w:pStyle w:val="40"/>
        <w:numPr>
          <w:ilvl w:val="0"/>
          <w:numId w:val="0"/>
        </w:numPr>
        <w:tabs>
          <w:tab w:val="left" w:pos="2061"/>
        </w:tabs>
        <w:spacing w:before="161"/>
        <w:ind w:firstLine="1428" w:firstLineChars="600"/>
        <w:rPr>
          <w:color w:val="auto"/>
          <w:sz w:val="24"/>
          <w:highlight w:val="none"/>
          <w:lang w:eastAsia="zh-CN"/>
        </w:rPr>
      </w:pPr>
      <w:r>
        <w:rPr>
          <w:rFonts w:hint="eastAsia"/>
          <w:color w:val="auto"/>
          <w:spacing w:val="-1"/>
          <w:sz w:val="24"/>
          <w:highlight w:val="none"/>
          <w:lang w:val="en-US" w:eastAsia="zh-CN"/>
        </w:rPr>
        <w:t xml:space="preserve">1.1.1 </w:t>
      </w:r>
      <w:r>
        <w:rPr>
          <w:color w:val="auto"/>
          <w:spacing w:val="-1"/>
          <w:sz w:val="24"/>
          <w:highlight w:val="none"/>
          <w:lang w:eastAsia="zh-CN"/>
        </w:rPr>
        <w:t>《中华人民共和国政府采购法》《政府采购竞争性磋商采购方式管理</w:t>
      </w:r>
      <w:r>
        <w:rPr>
          <w:color w:val="auto"/>
          <w:sz w:val="24"/>
          <w:highlight w:val="none"/>
          <w:lang w:eastAsia="zh-CN"/>
        </w:rPr>
        <w:t>暂行办法》及财库〔2015〕124号文</w:t>
      </w:r>
    </w:p>
    <w:p w14:paraId="10FE1C18">
      <w:pPr>
        <w:pStyle w:val="40"/>
        <w:numPr>
          <w:ilvl w:val="0"/>
          <w:numId w:val="0"/>
        </w:numPr>
        <w:tabs>
          <w:tab w:val="left" w:pos="2180"/>
        </w:tabs>
        <w:spacing w:before="1"/>
        <w:ind w:left="1460" w:leftChars="0"/>
        <w:rPr>
          <w:color w:val="auto"/>
          <w:sz w:val="24"/>
          <w:highlight w:val="none"/>
          <w:lang w:eastAsia="zh-CN"/>
        </w:rPr>
      </w:pPr>
      <w:r>
        <w:rPr>
          <w:rFonts w:hint="eastAsia"/>
          <w:color w:val="auto"/>
          <w:spacing w:val="-1"/>
          <w:sz w:val="24"/>
          <w:highlight w:val="none"/>
          <w:lang w:val="en-US" w:eastAsia="zh-CN"/>
        </w:rPr>
        <w:t>1.1.2</w:t>
      </w:r>
      <w:r>
        <w:rPr>
          <w:color w:val="auto"/>
          <w:sz w:val="24"/>
          <w:highlight w:val="none"/>
          <w:lang w:eastAsia="zh-CN"/>
        </w:rPr>
        <w:t>采购人：见供应商须知前附表。</w:t>
      </w:r>
    </w:p>
    <w:p w14:paraId="02FD9998">
      <w:pPr>
        <w:pStyle w:val="40"/>
        <w:numPr>
          <w:ilvl w:val="0"/>
          <w:numId w:val="0"/>
        </w:numPr>
        <w:tabs>
          <w:tab w:val="left" w:pos="2180"/>
        </w:tabs>
        <w:spacing w:before="160"/>
        <w:ind w:left="1460" w:leftChars="0"/>
        <w:rPr>
          <w:color w:val="auto"/>
          <w:sz w:val="24"/>
          <w:highlight w:val="none"/>
          <w:lang w:eastAsia="zh-CN"/>
        </w:rPr>
      </w:pPr>
      <w:r>
        <w:rPr>
          <w:rFonts w:hint="eastAsia"/>
          <w:color w:val="auto"/>
          <w:spacing w:val="-1"/>
          <w:sz w:val="24"/>
          <w:highlight w:val="none"/>
          <w:lang w:val="en-US" w:eastAsia="zh-CN"/>
        </w:rPr>
        <w:t>1.1.3</w:t>
      </w:r>
      <w:r>
        <w:rPr>
          <w:color w:val="auto"/>
          <w:sz w:val="24"/>
          <w:highlight w:val="none"/>
          <w:lang w:eastAsia="zh-CN"/>
        </w:rPr>
        <w:t>采购代理机构：见供应商须知前附表。</w:t>
      </w:r>
    </w:p>
    <w:p w14:paraId="53719CF0">
      <w:pPr>
        <w:pStyle w:val="40"/>
        <w:numPr>
          <w:ilvl w:val="0"/>
          <w:numId w:val="0"/>
        </w:numPr>
        <w:tabs>
          <w:tab w:val="left" w:pos="2180"/>
        </w:tabs>
        <w:spacing w:before="161"/>
        <w:ind w:left="1460" w:leftChars="0"/>
        <w:rPr>
          <w:color w:val="auto"/>
          <w:sz w:val="24"/>
          <w:highlight w:val="none"/>
          <w:lang w:eastAsia="zh-CN"/>
        </w:rPr>
      </w:pPr>
      <w:r>
        <w:rPr>
          <w:rFonts w:hint="eastAsia"/>
          <w:color w:val="auto"/>
          <w:spacing w:val="-1"/>
          <w:sz w:val="24"/>
          <w:highlight w:val="none"/>
          <w:lang w:val="en-US" w:eastAsia="zh-CN"/>
        </w:rPr>
        <w:t>1.1.4</w:t>
      </w:r>
      <w:r>
        <w:rPr>
          <w:color w:val="auto"/>
          <w:sz w:val="24"/>
          <w:highlight w:val="none"/>
          <w:lang w:eastAsia="zh-CN"/>
        </w:rPr>
        <w:t>采购项目名称：见供应商须知前附表。</w:t>
      </w:r>
    </w:p>
    <w:p w14:paraId="637F59D2">
      <w:pPr>
        <w:pStyle w:val="40"/>
        <w:numPr>
          <w:ilvl w:val="0"/>
          <w:numId w:val="0"/>
        </w:numPr>
        <w:tabs>
          <w:tab w:val="left" w:pos="2180"/>
        </w:tabs>
        <w:spacing w:before="160"/>
        <w:ind w:left="1460" w:leftChars="0"/>
        <w:rPr>
          <w:color w:val="auto"/>
          <w:sz w:val="24"/>
          <w:highlight w:val="none"/>
          <w:lang w:eastAsia="zh-CN"/>
        </w:rPr>
      </w:pPr>
      <w:r>
        <w:rPr>
          <w:rFonts w:hint="eastAsia"/>
          <w:color w:val="auto"/>
          <w:spacing w:val="-1"/>
          <w:sz w:val="24"/>
          <w:highlight w:val="none"/>
          <w:lang w:val="en-US" w:eastAsia="zh-CN"/>
        </w:rPr>
        <w:t>1.1.5</w:t>
      </w:r>
      <w:r>
        <w:rPr>
          <w:color w:val="auto"/>
          <w:sz w:val="24"/>
          <w:highlight w:val="none"/>
          <w:lang w:eastAsia="zh-CN"/>
        </w:rPr>
        <w:t>项目地点：见供应商须知前附表。</w:t>
      </w:r>
    </w:p>
    <w:p w14:paraId="2F90EC34">
      <w:pPr>
        <w:keepNext/>
        <w:keepLines/>
        <w:spacing w:line="600" w:lineRule="exact"/>
        <w:ind w:firstLine="482" w:firstLineChars="200"/>
        <w:outlineLvl w:val="3"/>
        <w:rPr>
          <w:rFonts w:ascii="宋体" w:hAnsi="宋体" w:eastAsia="宋体" w:cs="宋体"/>
          <w:b/>
          <w:bCs/>
          <w:color w:val="auto"/>
          <w:sz w:val="24"/>
          <w:highlight w:val="none"/>
        </w:rPr>
      </w:pPr>
      <w:r>
        <w:rPr>
          <w:rFonts w:hint="eastAsia" w:ascii="宋体" w:hAnsi="宋体" w:eastAsia="宋体" w:cs="宋体"/>
          <w:b/>
          <w:bCs/>
          <w:color w:val="auto"/>
          <w:sz w:val="24"/>
          <w:highlight w:val="none"/>
        </w:rPr>
        <w:t>1.2 资金来源</w:t>
      </w:r>
    </w:p>
    <w:p w14:paraId="36CC675E">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1.2.1 本招标项目的资金来源：见</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须知前附表。</w:t>
      </w:r>
    </w:p>
    <w:p w14:paraId="450F4A29">
      <w:pPr>
        <w:spacing w:line="6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 磋商范围、</w:t>
      </w:r>
      <w:r>
        <w:rPr>
          <w:rFonts w:hint="eastAsia" w:ascii="宋体" w:hAnsi="宋体" w:eastAsia="宋体" w:cs="宋体"/>
          <w:b/>
          <w:bCs/>
          <w:color w:val="auto"/>
          <w:sz w:val="24"/>
          <w:highlight w:val="none"/>
          <w:lang w:eastAsia="zh-CN"/>
        </w:rPr>
        <w:t>磋商文件及答疑、澄清文件的所有内容</w:t>
      </w:r>
    </w:p>
    <w:p w14:paraId="21CF510E">
      <w:pPr>
        <w:pStyle w:val="40"/>
        <w:numPr>
          <w:ilvl w:val="0"/>
          <w:numId w:val="0"/>
        </w:numPr>
        <w:tabs>
          <w:tab w:val="left" w:pos="2180"/>
        </w:tabs>
        <w:spacing w:before="161"/>
        <w:ind w:left="1460" w:leftChars="0"/>
        <w:rPr>
          <w:color w:val="auto"/>
          <w:sz w:val="24"/>
          <w:highlight w:val="none"/>
          <w:lang w:eastAsia="zh-CN"/>
        </w:rPr>
      </w:pPr>
      <w:r>
        <w:rPr>
          <w:rFonts w:hint="eastAsia"/>
          <w:color w:val="auto"/>
          <w:spacing w:val="-1"/>
          <w:sz w:val="24"/>
          <w:highlight w:val="none"/>
          <w:lang w:val="en-US" w:eastAsia="zh-CN"/>
        </w:rPr>
        <w:t xml:space="preserve">1.3.1 </w:t>
      </w:r>
      <w:r>
        <w:rPr>
          <w:color w:val="auto"/>
          <w:sz w:val="24"/>
          <w:highlight w:val="none"/>
          <w:lang w:eastAsia="zh-CN"/>
        </w:rPr>
        <w:t>磋商范围：见供应商须知前附表。</w:t>
      </w:r>
    </w:p>
    <w:p w14:paraId="7CBF761F">
      <w:pPr>
        <w:pStyle w:val="40"/>
        <w:numPr>
          <w:ilvl w:val="0"/>
          <w:numId w:val="0"/>
        </w:numPr>
        <w:tabs>
          <w:tab w:val="left" w:pos="2180"/>
        </w:tabs>
        <w:spacing w:before="160"/>
        <w:ind w:left="1460" w:leftChars="0"/>
        <w:rPr>
          <w:color w:val="auto"/>
          <w:sz w:val="24"/>
          <w:highlight w:val="none"/>
          <w:lang w:eastAsia="zh-CN"/>
        </w:rPr>
      </w:pPr>
      <w:r>
        <w:rPr>
          <w:rFonts w:hint="eastAsia"/>
          <w:color w:val="auto"/>
          <w:spacing w:val="-1"/>
          <w:sz w:val="24"/>
          <w:highlight w:val="none"/>
          <w:lang w:val="en-US" w:eastAsia="zh-CN"/>
        </w:rPr>
        <w:t>1.3.2</w:t>
      </w:r>
      <w:r>
        <w:rPr>
          <w:color w:val="auto"/>
          <w:sz w:val="24"/>
          <w:highlight w:val="none"/>
          <w:lang w:eastAsia="zh-CN"/>
        </w:rPr>
        <w:t>服务周期：见供应商须知前附表。</w:t>
      </w:r>
    </w:p>
    <w:p w14:paraId="45E657E2">
      <w:pPr>
        <w:keepNext/>
        <w:keepLines/>
        <w:spacing w:line="600" w:lineRule="exact"/>
        <w:ind w:firstLine="480" w:firstLineChars="200"/>
        <w:outlineLvl w:val="3"/>
        <w:rPr>
          <w:color w:val="auto"/>
          <w:sz w:val="24"/>
          <w:highlight w:val="none"/>
          <w:lang w:eastAsia="zh-CN"/>
        </w:rPr>
      </w:pPr>
      <w:r>
        <w:rPr>
          <w:color w:val="auto"/>
          <w:sz w:val="24"/>
          <w:highlight w:val="none"/>
          <w:lang w:eastAsia="zh-CN"/>
        </w:rPr>
        <w:t>质量要求：见供应商须知前附表。</w:t>
      </w:r>
    </w:p>
    <w:p w14:paraId="13D6B823">
      <w:pPr>
        <w:keepNext/>
        <w:keepLines/>
        <w:spacing w:line="600" w:lineRule="exact"/>
        <w:ind w:firstLine="482" w:firstLineChars="200"/>
        <w:outlineLvl w:val="3"/>
        <w:rPr>
          <w:rFonts w:ascii="宋体" w:hAnsi="宋体" w:eastAsia="宋体" w:cs="宋体"/>
          <w:b/>
          <w:bCs/>
          <w:color w:val="auto"/>
          <w:sz w:val="24"/>
          <w:highlight w:val="none"/>
        </w:rPr>
      </w:pPr>
      <w:r>
        <w:rPr>
          <w:rFonts w:hint="eastAsia" w:ascii="宋体" w:hAnsi="宋体" w:eastAsia="宋体" w:cs="宋体"/>
          <w:b/>
          <w:bCs/>
          <w:color w:val="auto"/>
          <w:sz w:val="24"/>
          <w:highlight w:val="none"/>
        </w:rPr>
        <w:t>1.4</w:t>
      </w:r>
      <w:r>
        <w:rPr>
          <w:rFonts w:hint="eastAsia" w:ascii="宋体" w:hAnsi="宋体" w:cs="宋体"/>
          <w:b/>
          <w:bCs/>
          <w:color w:val="auto"/>
          <w:sz w:val="24"/>
          <w:highlight w:val="none"/>
          <w:lang w:val="en-US" w:eastAsia="zh-CN"/>
        </w:rPr>
        <w:t>供应商</w:t>
      </w:r>
      <w:r>
        <w:rPr>
          <w:rFonts w:hint="eastAsia" w:ascii="宋体" w:hAnsi="宋体" w:eastAsia="宋体" w:cs="宋体"/>
          <w:b/>
          <w:bCs/>
          <w:color w:val="auto"/>
          <w:sz w:val="24"/>
          <w:highlight w:val="none"/>
        </w:rPr>
        <w:t>资格要求</w:t>
      </w:r>
    </w:p>
    <w:p w14:paraId="2330305F">
      <w:pPr>
        <w:pStyle w:val="3"/>
        <w:spacing w:line="360" w:lineRule="auto"/>
        <w:ind w:left="0" w:firstLine="700" w:firstLineChars="350"/>
        <w:rPr>
          <w:color w:val="auto"/>
          <w:highlight w:val="none"/>
          <w:lang w:eastAsia="zh-CN"/>
        </w:rPr>
      </w:pPr>
      <w:r>
        <w:rPr>
          <w:color w:val="auto"/>
          <w:highlight w:val="none"/>
          <w:lang w:eastAsia="zh-CN"/>
        </w:rPr>
        <w:t>详见供应商前附表供应商资格要求供应商不得存在下列情形之一：</w:t>
      </w:r>
    </w:p>
    <w:p w14:paraId="5F653F51">
      <w:pPr>
        <w:pStyle w:val="3"/>
        <w:spacing w:line="360" w:lineRule="auto"/>
        <w:ind w:firstLine="600" w:firstLineChars="300"/>
        <w:rPr>
          <w:color w:val="auto"/>
          <w:highlight w:val="none"/>
          <w:lang w:eastAsia="zh-CN"/>
        </w:rPr>
      </w:pPr>
      <w:r>
        <w:rPr>
          <w:rFonts w:hint="eastAsia"/>
          <w:color w:val="auto"/>
          <w:highlight w:val="none"/>
          <w:lang w:val="en-US" w:eastAsia="zh-CN"/>
        </w:rPr>
        <w:t xml:space="preserve">1.4.1 </w:t>
      </w:r>
      <w:r>
        <w:rPr>
          <w:color w:val="auto"/>
          <w:highlight w:val="none"/>
          <w:lang w:eastAsia="zh-CN"/>
        </w:rPr>
        <w:t xml:space="preserve">不具有独立法人资格的附属机构(单位)； </w:t>
      </w:r>
    </w:p>
    <w:p w14:paraId="3347AD6C">
      <w:pPr>
        <w:pStyle w:val="3"/>
        <w:spacing w:line="360" w:lineRule="auto"/>
        <w:ind w:firstLine="600" w:firstLineChars="300"/>
        <w:rPr>
          <w:color w:val="auto"/>
          <w:highlight w:val="none"/>
          <w:lang w:eastAsia="zh-CN"/>
        </w:rPr>
      </w:pPr>
      <w:r>
        <w:rPr>
          <w:rFonts w:hint="eastAsia"/>
          <w:color w:val="auto"/>
          <w:highlight w:val="none"/>
          <w:lang w:val="en-US" w:eastAsia="zh-CN"/>
        </w:rPr>
        <w:t xml:space="preserve">1.4.2 </w:t>
      </w:r>
      <w:r>
        <w:rPr>
          <w:color w:val="auto"/>
          <w:highlight w:val="none"/>
          <w:lang w:eastAsia="zh-CN"/>
        </w:rPr>
        <w:t>被责令停业的；</w:t>
      </w:r>
    </w:p>
    <w:p w14:paraId="1A76ED89">
      <w:pPr>
        <w:pStyle w:val="3"/>
        <w:spacing w:line="360" w:lineRule="auto"/>
        <w:ind w:firstLine="600" w:firstLineChars="300"/>
        <w:rPr>
          <w:color w:val="auto"/>
          <w:highlight w:val="none"/>
          <w:lang w:eastAsia="zh-CN"/>
        </w:rPr>
      </w:pPr>
      <w:r>
        <w:rPr>
          <w:rFonts w:hint="eastAsia"/>
          <w:color w:val="auto"/>
          <w:highlight w:val="none"/>
          <w:lang w:val="en-US" w:eastAsia="zh-CN"/>
        </w:rPr>
        <w:t xml:space="preserve">1.4.3 </w:t>
      </w:r>
      <w:r>
        <w:rPr>
          <w:color w:val="auto"/>
          <w:highlight w:val="none"/>
          <w:lang w:eastAsia="zh-CN"/>
        </w:rPr>
        <w:t xml:space="preserve">被暂停或取消投标资格的； </w:t>
      </w:r>
    </w:p>
    <w:p w14:paraId="3E119EE9">
      <w:pPr>
        <w:pStyle w:val="3"/>
        <w:spacing w:line="360" w:lineRule="auto"/>
        <w:ind w:left="0" w:firstLine="600" w:firstLineChars="300"/>
        <w:rPr>
          <w:color w:val="auto"/>
          <w:highlight w:val="none"/>
          <w:lang w:eastAsia="zh-CN"/>
        </w:rPr>
      </w:pPr>
      <w:r>
        <w:rPr>
          <w:rFonts w:hint="eastAsia"/>
          <w:color w:val="auto"/>
          <w:highlight w:val="none"/>
          <w:lang w:val="en-US" w:eastAsia="zh-CN"/>
        </w:rPr>
        <w:t xml:space="preserve">1.4.4 </w:t>
      </w:r>
      <w:r>
        <w:rPr>
          <w:color w:val="auto"/>
          <w:highlight w:val="none"/>
          <w:lang w:eastAsia="zh-CN"/>
        </w:rPr>
        <w:t>财产被接管或冻结的；</w:t>
      </w:r>
    </w:p>
    <w:p w14:paraId="2353BAF2">
      <w:pPr>
        <w:pStyle w:val="3"/>
        <w:spacing w:before="1" w:line="360" w:lineRule="auto"/>
        <w:ind w:left="0" w:firstLine="600" w:firstLineChars="300"/>
        <w:rPr>
          <w:color w:val="auto"/>
          <w:highlight w:val="none"/>
          <w:lang w:eastAsia="zh-CN"/>
        </w:rPr>
      </w:pPr>
      <w:r>
        <w:rPr>
          <w:rFonts w:hint="eastAsia"/>
          <w:color w:val="auto"/>
          <w:highlight w:val="none"/>
          <w:lang w:val="en-US" w:eastAsia="zh-CN"/>
        </w:rPr>
        <w:t xml:space="preserve">1.4.5 </w:t>
      </w:r>
      <w:r>
        <w:rPr>
          <w:color w:val="auto"/>
          <w:highlight w:val="none"/>
          <w:lang w:eastAsia="zh-CN"/>
        </w:rPr>
        <w:t>在最近三年内有骗取中标或严重违约原因引起的重大工程质量问题的。</w:t>
      </w:r>
    </w:p>
    <w:p w14:paraId="45B36307">
      <w:pPr>
        <w:keepNext/>
        <w:keepLines/>
        <w:spacing w:line="600" w:lineRule="exact"/>
        <w:ind w:firstLine="482" w:firstLineChars="200"/>
        <w:outlineLvl w:val="3"/>
        <w:rPr>
          <w:rFonts w:ascii="宋体" w:hAnsi="宋体" w:eastAsia="宋体" w:cs="宋体"/>
          <w:b/>
          <w:bCs/>
          <w:color w:val="auto"/>
          <w:sz w:val="24"/>
          <w:highlight w:val="none"/>
        </w:rPr>
      </w:pPr>
      <w:r>
        <w:rPr>
          <w:rFonts w:hint="eastAsia" w:ascii="宋体" w:hAnsi="宋体" w:eastAsia="宋体" w:cs="宋体"/>
          <w:b/>
          <w:bCs/>
          <w:color w:val="auto"/>
          <w:sz w:val="24"/>
          <w:highlight w:val="none"/>
        </w:rPr>
        <w:t>1.5 费用承担</w:t>
      </w:r>
    </w:p>
    <w:p w14:paraId="0CECE47F">
      <w:pPr>
        <w:spacing w:line="600" w:lineRule="exact"/>
        <w:ind w:firstLine="480" w:firstLineChars="200"/>
        <w:rPr>
          <w:rFonts w:ascii="宋体" w:hAnsi="宋体" w:eastAsia="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准备和参加磋商活动发生的费用自理。</w:t>
      </w:r>
    </w:p>
    <w:p w14:paraId="0E0BE4FA">
      <w:pPr>
        <w:keepNext/>
        <w:keepLines/>
        <w:spacing w:line="600" w:lineRule="exact"/>
        <w:ind w:firstLine="482" w:firstLineChars="200"/>
        <w:outlineLvl w:val="3"/>
        <w:rPr>
          <w:rFonts w:ascii="宋体" w:hAnsi="宋体" w:eastAsia="宋体" w:cs="宋体"/>
          <w:b/>
          <w:bCs/>
          <w:color w:val="auto"/>
          <w:sz w:val="24"/>
          <w:highlight w:val="none"/>
        </w:rPr>
      </w:pPr>
      <w:r>
        <w:rPr>
          <w:rFonts w:hint="eastAsia" w:ascii="宋体" w:hAnsi="宋体" w:eastAsia="宋体" w:cs="宋体"/>
          <w:b/>
          <w:bCs/>
          <w:color w:val="auto"/>
          <w:sz w:val="24"/>
          <w:highlight w:val="none"/>
        </w:rPr>
        <w:t>1.6 保密</w:t>
      </w:r>
    </w:p>
    <w:p w14:paraId="61F62941">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参与磋商活动的各方应对磋商文件和响应文件中的商业和技术等秘密保密，违者应对由此造成的后果承担法律责任。</w:t>
      </w:r>
    </w:p>
    <w:p w14:paraId="77D26556">
      <w:pPr>
        <w:keepNext/>
        <w:keepLines/>
        <w:spacing w:line="600" w:lineRule="exact"/>
        <w:ind w:firstLine="482" w:firstLineChars="200"/>
        <w:outlineLvl w:val="3"/>
        <w:rPr>
          <w:rFonts w:ascii="宋体" w:hAnsi="宋体" w:eastAsia="宋体" w:cs="宋体"/>
          <w:b/>
          <w:bCs/>
          <w:color w:val="auto"/>
          <w:sz w:val="24"/>
          <w:highlight w:val="none"/>
        </w:rPr>
      </w:pPr>
      <w:r>
        <w:rPr>
          <w:rFonts w:hint="eastAsia" w:ascii="宋体" w:hAnsi="宋体" w:eastAsia="宋体" w:cs="宋体"/>
          <w:b/>
          <w:bCs/>
          <w:color w:val="auto"/>
          <w:sz w:val="24"/>
          <w:highlight w:val="none"/>
        </w:rPr>
        <w:t>1.7 语言文字</w:t>
      </w:r>
    </w:p>
    <w:p w14:paraId="1A8DC18E">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除专用术语外，与采购磋商有关的语言均使用中文。必要时专用术语应附中文注释。</w:t>
      </w:r>
    </w:p>
    <w:p w14:paraId="48724B32">
      <w:pPr>
        <w:keepNext/>
        <w:keepLines/>
        <w:spacing w:line="600" w:lineRule="exact"/>
        <w:ind w:firstLine="482" w:firstLineChars="200"/>
        <w:outlineLvl w:val="3"/>
        <w:rPr>
          <w:rFonts w:ascii="宋体" w:hAnsi="宋体" w:eastAsia="宋体" w:cs="宋体"/>
          <w:b/>
          <w:bCs/>
          <w:color w:val="auto"/>
          <w:sz w:val="24"/>
          <w:highlight w:val="none"/>
        </w:rPr>
      </w:pPr>
      <w:r>
        <w:rPr>
          <w:rFonts w:hint="eastAsia" w:ascii="宋体" w:hAnsi="宋体" w:eastAsia="宋体" w:cs="宋体"/>
          <w:b/>
          <w:bCs/>
          <w:color w:val="auto"/>
          <w:sz w:val="24"/>
          <w:highlight w:val="none"/>
        </w:rPr>
        <w:t>1.8 计量单位</w:t>
      </w:r>
    </w:p>
    <w:p w14:paraId="4272424B">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所有计量均采用中华人民共和国法定计量单位。</w:t>
      </w:r>
    </w:p>
    <w:p w14:paraId="5C91F9D7">
      <w:pPr>
        <w:keepNext/>
        <w:keepLines/>
        <w:spacing w:line="600" w:lineRule="exact"/>
        <w:ind w:firstLine="482" w:firstLineChars="200"/>
        <w:outlineLvl w:val="3"/>
        <w:rPr>
          <w:rFonts w:ascii="宋体" w:hAnsi="宋体" w:eastAsia="宋体" w:cs="宋体"/>
          <w:b/>
          <w:bCs/>
          <w:color w:val="auto"/>
          <w:sz w:val="24"/>
          <w:highlight w:val="none"/>
        </w:rPr>
      </w:pPr>
      <w:r>
        <w:rPr>
          <w:rFonts w:hint="eastAsia" w:ascii="宋体" w:hAnsi="宋体" w:eastAsia="宋体" w:cs="宋体"/>
          <w:b/>
          <w:bCs/>
          <w:color w:val="auto"/>
          <w:sz w:val="24"/>
          <w:highlight w:val="none"/>
        </w:rPr>
        <w:t>1.9 踏勘现场</w:t>
      </w:r>
    </w:p>
    <w:p w14:paraId="2BE221B0">
      <w:pPr>
        <w:pStyle w:val="40"/>
        <w:tabs>
          <w:tab w:val="left" w:pos="2180"/>
        </w:tabs>
        <w:spacing w:line="360" w:lineRule="auto"/>
        <w:ind w:left="480" w:firstLine="0"/>
        <w:rPr>
          <w:color w:val="auto"/>
          <w:sz w:val="24"/>
          <w:highlight w:val="none"/>
          <w:lang w:eastAsia="zh-CN"/>
        </w:rPr>
      </w:pPr>
      <w:r>
        <w:rPr>
          <w:rFonts w:hint="eastAsia"/>
          <w:color w:val="auto"/>
          <w:sz w:val="24"/>
          <w:highlight w:val="none"/>
          <w:lang w:eastAsia="zh-CN"/>
        </w:rPr>
        <w:t>1</w:t>
      </w:r>
      <w:r>
        <w:rPr>
          <w:color w:val="auto"/>
          <w:sz w:val="24"/>
          <w:highlight w:val="none"/>
          <w:lang w:eastAsia="zh-CN"/>
        </w:rPr>
        <w:t>.9.1  采购人不统一组织供应商踏勘项目现场。</w:t>
      </w:r>
    </w:p>
    <w:p w14:paraId="76680D2A">
      <w:pPr>
        <w:pStyle w:val="40"/>
        <w:tabs>
          <w:tab w:val="left" w:pos="2180"/>
        </w:tabs>
        <w:spacing w:line="360" w:lineRule="auto"/>
        <w:ind w:left="480" w:firstLine="0"/>
        <w:rPr>
          <w:color w:val="auto"/>
          <w:sz w:val="24"/>
          <w:highlight w:val="none"/>
          <w:lang w:eastAsia="zh-CN"/>
        </w:rPr>
      </w:pPr>
      <w:r>
        <w:rPr>
          <w:color w:val="auto"/>
          <w:sz w:val="24"/>
          <w:highlight w:val="none"/>
          <w:lang w:eastAsia="zh-CN"/>
        </w:rPr>
        <w:t>1.9.2  供应商踏勘现场发生的费用自理。</w:t>
      </w:r>
    </w:p>
    <w:p w14:paraId="720AD837">
      <w:pPr>
        <w:pStyle w:val="40"/>
        <w:tabs>
          <w:tab w:val="left" w:pos="2180"/>
        </w:tabs>
        <w:spacing w:line="360" w:lineRule="auto"/>
        <w:ind w:left="480" w:firstLine="0"/>
        <w:rPr>
          <w:color w:val="auto"/>
          <w:sz w:val="24"/>
          <w:highlight w:val="none"/>
          <w:lang w:eastAsia="zh-CN"/>
        </w:rPr>
      </w:pPr>
      <w:r>
        <w:rPr>
          <w:color w:val="auto"/>
          <w:sz w:val="24"/>
          <w:highlight w:val="none"/>
          <w:lang w:eastAsia="zh-CN"/>
        </w:rPr>
        <w:t>1.9.3  供应商自行负责在踏勘现场中所发生的人员伤亡和财产损失。</w:t>
      </w:r>
    </w:p>
    <w:p w14:paraId="67A6EB8C">
      <w:pPr>
        <w:keepNext/>
        <w:keepLines/>
        <w:spacing w:line="600" w:lineRule="exact"/>
        <w:ind w:firstLine="482" w:firstLineChars="200"/>
        <w:outlineLvl w:val="3"/>
        <w:rPr>
          <w:rFonts w:ascii="宋体" w:hAnsi="宋体" w:eastAsia="宋体" w:cs="宋体"/>
          <w:b/>
          <w:bCs/>
          <w:color w:val="auto"/>
          <w:sz w:val="24"/>
          <w:highlight w:val="none"/>
        </w:rPr>
      </w:pPr>
      <w:r>
        <w:rPr>
          <w:rFonts w:hint="eastAsia" w:ascii="宋体" w:hAnsi="宋体" w:eastAsia="宋体" w:cs="宋体"/>
          <w:b/>
          <w:bCs/>
          <w:color w:val="auto"/>
          <w:sz w:val="24"/>
          <w:highlight w:val="none"/>
        </w:rPr>
        <w:t>1.10 磋商预备会</w:t>
      </w:r>
    </w:p>
    <w:p w14:paraId="66F102E4">
      <w:p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不</w:t>
      </w:r>
      <w:r>
        <w:rPr>
          <w:rFonts w:hint="eastAsia" w:ascii="宋体" w:hAnsi="宋体" w:cs="宋体"/>
          <w:color w:val="auto"/>
          <w:sz w:val="24"/>
          <w:highlight w:val="none"/>
          <w:lang w:val="en-US" w:eastAsia="zh-CN"/>
        </w:rPr>
        <w:t>召开</w:t>
      </w:r>
    </w:p>
    <w:p w14:paraId="46732F6D">
      <w:pPr>
        <w:keepNext/>
        <w:keepLines/>
        <w:spacing w:line="600" w:lineRule="exact"/>
        <w:ind w:firstLine="482" w:firstLineChars="200"/>
        <w:outlineLvl w:val="3"/>
        <w:rPr>
          <w:rFonts w:ascii="宋体" w:hAnsi="宋体" w:eastAsia="宋体" w:cs="宋体"/>
          <w:b/>
          <w:bCs/>
          <w:color w:val="auto"/>
          <w:sz w:val="24"/>
          <w:highlight w:val="none"/>
        </w:rPr>
      </w:pPr>
      <w:r>
        <w:rPr>
          <w:rFonts w:hint="eastAsia" w:ascii="宋体" w:hAnsi="宋体" w:eastAsia="宋体" w:cs="宋体"/>
          <w:b/>
          <w:bCs/>
          <w:color w:val="auto"/>
          <w:sz w:val="24"/>
          <w:highlight w:val="none"/>
        </w:rPr>
        <w:t>1.11 分包</w:t>
      </w:r>
    </w:p>
    <w:p w14:paraId="42F0CB38">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不允许分包。</w:t>
      </w:r>
    </w:p>
    <w:p w14:paraId="6CDC0583">
      <w:pPr>
        <w:keepNext/>
        <w:keepLines/>
        <w:spacing w:line="600" w:lineRule="exact"/>
        <w:ind w:firstLine="482" w:firstLineChars="200"/>
        <w:outlineLvl w:val="3"/>
        <w:rPr>
          <w:rFonts w:ascii="宋体" w:hAnsi="宋体" w:eastAsia="宋体" w:cs="宋体"/>
          <w:b/>
          <w:bCs/>
          <w:color w:val="auto"/>
          <w:sz w:val="24"/>
          <w:highlight w:val="none"/>
        </w:rPr>
      </w:pPr>
      <w:r>
        <w:rPr>
          <w:rFonts w:hint="eastAsia" w:ascii="宋体" w:hAnsi="宋体" w:eastAsia="宋体" w:cs="宋体"/>
          <w:b/>
          <w:bCs/>
          <w:color w:val="auto"/>
          <w:sz w:val="24"/>
          <w:highlight w:val="none"/>
        </w:rPr>
        <w:t>1.12 偏离</w:t>
      </w:r>
    </w:p>
    <w:p w14:paraId="52542320">
      <w:pPr>
        <w:spacing w:line="600" w:lineRule="exact"/>
        <w:ind w:firstLine="480" w:firstLineChars="200"/>
        <w:rPr>
          <w:rFonts w:ascii="宋体" w:hAnsi="宋体" w:eastAsia="宋体" w:cs="宋体"/>
          <w:color w:val="auto"/>
          <w:sz w:val="24"/>
          <w:highlight w:val="none"/>
        </w:rPr>
      </w:pPr>
      <w:bookmarkStart w:id="16" w:name="_Toc184635072"/>
      <w:bookmarkEnd w:id="16"/>
      <w:r>
        <w:rPr>
          <w:rFonts w:hint="eastAsia" w:ascii="宋体" w:hAnsi="宋体" w:eastAsia="宋体" w:cs="宋体"/>
          <w:color w:val="auto"/>
          <w:sz w:val="24"/>
          <w:highlight w:val="none"/>
        </w:rPr>
        <w:t>不允许偏离</w:t>
      </w:r>
    </w:p>
    <w:p w14:paraId="190E3927">
      <w:pPr>
        <w:spacing w:line="600" w:lineRule="exact"/>
        <w:ind w:firstLine="482" w:firstLineChars="200"/>
        <w:rPr>
          <w:rFonts w:hint="eastAsia" w:ascii="宋体" w:hAnsi="宋体" w:eastAsia="宋体" w:cs="宋体"/>
          <w:b/>
          <w:bCs/>
          <w:color w:val="auto"/>
          <w:kern w:val="0"/>
          <w:sz w:val="24"/>
          <w:highlight w:val="none"/>
        </w:rPr>
      </w:pPr>
      <w:bookmarkStart w:id="17" w:name="_Toc466566784"/>
      <w:bookmarkEnd w:id="17"/>
      <w:bookmarkStart w:id="18" w:name="_Toc20173"/>
      <w:bookmarkStart w:id="19" w:name="_Toc466566695"/>
      <w:bookmarkStart w:id="20" w:name="_Toc17642"/>
      <w:bookmarkStart w:id="21" w:name="_Toc17517"/>
      <w:bookmarkStart w:id="22" w:name="_Toc23678"/>
      <w:r>
        <w:rPr>
          <w:rFonts w:hint="eastAsia" w:ascii="宋体" w:hAnsi="宋体" w:eastAsia="宋体" w:cs="宋体"/>
          <w:b/>
          <w:bCs/>
          <w:color w:val="auto"/>
          <w:kern w:val="0"/>
          <w:sz w:val="24"/>
          <w:highlight w:val="none"/>
          <w:lang w:val="en-US" w:eastAsia="zh-CN"/>
        </w:rPr>
        <w:t>2.</w:t>
      </w:r>
      <w:r>
        <w:rPr>
          <w:rFonts w:hint="eastAsia" w:ascii="宋体" w:hAnsi="宋体" w:eastAsia="宋体" w:cs="宋体"/>
          <w:b/>
          <w:bCs/>
          <w:color w:val="auto"/>
          <w:kern w:val="0"/>
          <w:sz w:val="24"/>
          <w:highlight w:val="none"/>
        </w:rPr>
        <w:t>竞争性磋商文件</w:t>
      </w:r>
      <w:bookmarkEnd w:id="18"/>
      <w:bookmarkEnd w:id="19"/>
      <w:bookmarkEnd w:id="20"/>
      <w:bookmarkEnd w:id="21"/>
      <w:bookmarkEnd w:id="22"/>
    </w:p>
    <w:p w14:paraId="6FE49F52">
      <w:pPr>
        <w:spacing w:line="600" w:lineRule="exact"/>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2.1 竞争性磋商文件的组成</w:t>
      </w:r>
    </w:p>
    <w:p w14:paraId="4CCB2F32">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本竞争性磋商文件包括：</w:t>
      </w:r>
    </w:p>
    <w:p w14:paraId="08DEE6DB">
      <w:p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 xml:space="preserve"> 竞争性磋商公告</w:t>
      </w:r>
    </w:p>
    <w:p w14:paraId="3257598B">
      <w:p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供应商须知</w:t>
      </w:r>
    </w:p>
    <w:p w14:paraId="5A255D24">
      <w:p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 xml:space="preserve"> 评审标准（综合评分法）</w:t>
      </w:r>
    </w:p>
    <w:p w14:paraId="2CA934FE">
      <w:p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 xml:space="preserve">  合同条款及格式</w:t>
      </w:r>
    </w:p>
    <w:p w14:paraId="5311C9A0">
      <w:p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 xml:space="preserve"> 服务内容及技术要求</w:t>
      </w:r>
    </w:p>
    <w:p w14:paraId="035B69CC">
      <w:pPr>
        <w:spacing w:line="6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 xml:space="preserve"> 响应文件格式</w:t>
      </w:r>
    </w:p>
    <w:p w14:paraId="3B128AF4">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对竞争性磋商文件所作的澄清、修改，构成竞争性文件的组成部分。</w:t>
      </w:r>
    </w:p>
    <w:p w14:paraId="432B8AD5">
      <w:pPr>
        <w:keepNext/>
        <w:keepLines/>
        <w:spacing w:line="600" w:lineRule="exact"/>
        <w:ind w:firstLine="482" w:firstLineChars="200"/>
        <w:outlineLvl w:val="3"/>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2.2 竞争性磋商文件的澄清</w:t>
      </w:r>
      <w:r>
        <w:rPr>
          <w:rFonts w:hint="eastAsia" w:ascii="宋体" w:hAnsi="宋体" w:cs="宋体"/>
          <w:b/>
          <w:bCs/>
          <w:color w:val="auto"/>
          <w:sz w:val="24"/>
          <w:highlight w:val="none"/>
          <w:lang w:val="en-US" w:eastAsia="zh-CN"/>
        </w:rPr>
        <w:t>及修改</w:t>
      </w:r>
    </w:p>
    <w:p w14:paraId="7C4B8116">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应仔细阅读和检查竞争性磋商文件的全部内容。如发现内容不完整或附件不全，应及时向采购人提出，以便补齐。如有疑问，应在</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须知前附表规定的时间在三门峡市公共资源交易系统中提出质询，要求采购人对竞争性磋商文件予以澄清。</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2.2.2竞争性磋商文件的澄清以澄清回复的方式在三门峡市公共资源交易系统中回复报名完成</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 xml:space="preserve">，但不指明澄清问题的来源。澄清竞争性磋商文件实质性内容且影响响应文件编制的，将相应延长磋商截止时间。 </w:t>
      </w:r>
    </w:p>
    <w:p w14:paraId="532E3112">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2.2.3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应自行查看澄清信息。</w:t>
      </w:r>
    </w:p>
    <w:p w14:paraId="57993BFB">
      <w:pPr>
        <w:spacing w:line="60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2.3 竞争性磋商文件的修改</w:t>
      </w:r>
    </w:p>
    <w:p w14:paraId="04D54C08">
      <w:pPr>
        <w:spacing w:line="600" w:lineRule="exact"/>
        <w:ind w:firstLine="480" w:firstLineChars="200"/>
        <w:outlineLvl w:val="0"/>
        <w:rPr>
          <w:rFonts w:hint="eastAsia" w:ascii="宋体" w:hAnsi="宋体" w:eastAsia="宋体" w:cs="宋体"/>
          <w:b w:val="0"/>
          <w:bCs w:val="0"/>
          <w:color w:val="auto"/>
          <w:kern w:val="0"/>
          <w:sz w:val="24"/>
          <w:highlight w:val="none"/>
        </w:rPr>
      </w:pPr>
      <w:bookmarkStart w:id="23" w:name="_Toc1236"/>
      <w:r>
        <w:rPr>
          <w:rFonts w:hint="eastAsia" w:ascii="宋体" w:hAnsi="宋体" w:eastAsia="宋体" w:cs="宋体"/>
          <w:b w:val="0"/>
          <w:bCs w:val="0"/>
          <w:color w:val="auto"/>
          <w:kern w:val="0"/>
          <w:sz w:val="24"/>
          <w:highlight w:val="none"/>
        </w:rPr>
        <w:t>2.3.1 在磋商截止时间5</w:t>
      </w:r>
      <w:r>
        <w:rPr>
          <w:rFonts w:hint="eastAsia" w:ascii="宋体" w:hAnsi="宋体" w:cs="宋体"/>
          <w:b w:val="0"/>
          <w:bCs w:val="0"/>
          <w:color w:val="auto"/>
          <w:kern w:val="0"/>
          <w:sz w:val="24"/>
          <w:highlight w:val="none"/>
          <w:lang w:val="en-US" w:eastAsia="zh-CN"/>
        </w:rPr>
        <w:t>日</w:t>
      </w:r>
      <w:r>
        <w:rPr>
          <w:rFonts w:hint="eastAsia" w:ascii="宋体" w:hAnsi="宋体" w:eastAsia="宋体" w:cs="宋体"/>
          <w:b w:val="0"/>
          <w:bCs w:val="0"/>
          <w:color w:val="auto"/>
          <w:kern w:val="0"/>
          <w:sz w:val="24"/>
          <w:highlight w:val="none"/>
        </w:rPr>
        <w:t>前，采购人可以修改竞争性磋商文件，并以变更公告形式通知所有已购买竞争性磋商文件的</w:t>
      </w:r>
      <w:r>
        <w:rPr>
          <w:rFonts w:hint="eastAsia" w:ascii="宋体" w:hAnsi="宋体" w:cs="宋体"/>
          <w:b w:val="0"/>
          <w:bCs w:val="0"/>
          <w:color w:val="auto"/>
          <w:kern w:val="0"/>
          <w:sz w:val="24"/>
          <w:highlight w:val="none"/>
          <w:lang w:eastAsia="zh-CN"/>
        </w:rPr>
        <w:t>供应商</w:t>
      </w:r>
      <w:r>
        <w:rPr>
          <w:rFonts w:hint="eastAsia" w:ascii="宋体" w:hAnsi="宋体" w:eastAsia="宋体" w:cs="宋体"/>
          <w:b w:val="0"/>
          <w:bCs w:val="0"/>
          <w:color w:val="auto"/>
          <w:kern w:val="0"/>
          <w:sz w:val="24"/>
          <w:highlight w:val="none"/>
        </w:rPr>
        <w:t>。</w:t>
      </w:r>
    </w:p>
    <w:p w14:paraId="76565FD1">
      <w:pPr>
        <w:spacing w:line="600" w:lineRule="exact"/>
        <w:ind w:firstLine="480" w:firstLineChars="200"/>
        <w:outlineLvl w:val="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2.3.2 如果修改竞争性磋商文件，会在三门峡市公共资源交易中心网发布变更公告，不再发纸质的变更信息。提醒</w:t>
      </w:r>
      <w:r>
        <w:rPr>
          <w:rFonts w:hint="eastAsia" w:ascii="宋体" w:hAnsi="宋体" w:cs="宋体"/>
          <w:b w:val="0"/>
          <w:bCs w:val="0"/>
          <w:color w:val="auto"/>
          <w:kern w:val="0"/>
          <w:sz w:val="24"/>
          <w:highlight w:val="none"/>
          <w:lang w:eastAsia="zh-CN"/>
        </w:rPr>
        <w:t>供应商</w:t>
      </w:r>
      <w:r>
        <w:rPr>
          <w:rFonts w:hint="eastAsia" w:ascii="宋体" w:hAnsi="宋体" w:eastAsia="宋体" w:cs="宋体"/>
          <w:b w:val="0"/>
          <w:bCs w:val="0"/>
          <w:color w:val="auto"/>
          <w:kern w:val="0"/>
          <w:sz w:val="24"/>
          <w:highlight w:val="none"/>
        </w:rPr>
        <w:t>随时注意网上发布的信息。如因磋商</w:t>
      </w:r>
      <w:r>
        <w:rPr>
          <w:rFonts w:hint="eastAsia" w:ascii="宋体" w:hAnsi="宋体" w:cs="宋体"/>
          <w:b w:val="0"/>
          <w:bCs w:val="0"/>
          <w:color w:val="auto"/>
          <w:kern w:val="0"/>
          <w:sz w:val="24"/>
          <w:highlight w:val="none"/>
          <w:lang w:eastAsia="zh-CN"/>
        </w:rPr>
        <w:t>供应商</w:t>
      </w:r>
      <w:r>
        <w:rPr>
          <w:rFonts w:hint="eastAsia" w:ascii="宋体" w:hAnsi="宋体" w:eastAsia="宋体" w:cs="宋体"/>
          <w:b w:val="0"/>
          <w:bCs w:val="0"/>
          <w:color w:val="auto"/>
          <w:kern w:val="0"/>
          <w:sz w:val="24"/>
          <w:highlight w:val="none"/>
        </w:rPr>
        <w:t>自身原因未看到信息，因此造成的一切后果由</w:t>
      </w:r>
      <w:r>
        <w:rPr>
          <w:rFonts w:hint="eastAsia" w:ascii="宋体" w:hAnsi="宋体" w:cs="宋体"/>
          <w:b w:val="0"/>
          <w:bCs w:val="0"/>
          <w:color w:val="auto"/>
          <w:kern w:val="0"/>
          <w:sz w:val="24"/>
          <w:highlight w:val="none"/>
          <w:lang w:eastAsia="zh-CN"/>
        </w:rPr>
        <w:t>供应商</w:t>
      </w:r>
      <w:r>
        <w:rPr>
          <w:rFonts w:hint="eastAsia" w:ascii="宋体" w:hAnsi="宋体" w:eastAsia="宋体" w:cs="宋体"/>
          <w:b w:val="0"/>
          <w:bCs w:val="0"/>
          <w:color w:val="auto"/>
          <w:kern w:val="0"/>
          <w:sz w:val="24"/>
          <w:highlight w:val="none"/>
        </w:rPr>
        <w:t>自行承担。</w:t>
      </w:r>
    </w:p>
    <w:p w14:paraId="29B04C0A">
      <w:pPr>
        <w:spacing w:line="600" w:lineRule="exact"/>
        <w:ind w:firstLine="480" w:firstLineChars="200"/>
        <w:outlineLvl w:val="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2.3.3为使</w:t>
      </w:r>
      <w:r>
        <w:rPr>
          <w:rFonts w:hint="eastAsia" w:ascii="宋体" w:hAnsi="宋体" w:cs="宋体"/>
          <w:b w:val="0"/>
          <w:bCs w:val="0"/>
          <w:color w:val="auto"/>
          <w:kern w:val="0"/>
          <w:sz w:val="24"/>
          <w:highlight w:val="none"/>
          <w:lang w:eastAsia="zh-CN"/>
        </w:rPr>
        <w:t>供应商</w:t>
      </w:r>
      <w:r>
        <w:rPr>
          <w:rFonts w:hint="eastAsia" w:ascii="宋体" w:hAnsi="宋体" w:eastAsia="宋体" w:cs="宋体"/>
          <w:b w:val="0"/>
          <w:bCs w:val="0"/>
          <w:color w:val="auto"/>
          <w:kern w:val="0"/>
          <w:sz w:val="24"/>
          <w:highlight w:val="none"/>
        </w:rPr>
        <w:t>在准备响应文件时有合理的时间考虑竞争性磋商文件的修改，招标代理机构可酌情推迟磋商截止时间和磋商时间，但应当至少在磋商截止时间</w:t>
      </w:r>
      <w:r>
        <w:rPr>
          <w:rFonts w:hint="eastAsia" w:ascii="宋体" w:hAnsi="宋体" w:eastAsia="宋体" w:cs="宋体"/>
          <w:b w:val="0"/>
          <w:bCs w:val="0"/>
          <w:color w:val="auto"/>
          <w:kern w:val="0"/>
          <w:sz w:val="24"/>
          <w:highlight w:val="none"/>
          <w:lang w:val="en-US" w:eastAsia="zh-CN"/>
        </w:rPr>
        <w:t>5日</w:t>
      </w:r>
      <w:r>
        <w:rPr>
          <w:rFonts w:hint="eastAsia" w:ascii="宋体" w:hAnsi="宋体" w:eastAsia="宋体" w:cs="宋体"/>
          <w:b w:val="0"/>
          <w:bCs w:val="0"/>
          <w:color w:val="auto"/>
          <w:kern w:val="0"/>
          <w:sz w:val="24"/>
          <w:highlight w:val="none"/>
        </w:rPr>
        <w:t>前将变更时间以发布变更公告的形式通知所有</w:t>
      </w:r>
      <w:r>
        <w:rPr>
          <w:rFonts w:hint="eastAsia" w:ascii="宋体" w:hAnsi="宋体" w:cs="宋体"/>
          <w:b w:val="0"/>
          <w:bCs w:val="0"/>
          <w:color w:val="auto"/>
          <w:kern w:val="0"/>
          <w:sz w:val="24"/>
          <w:highlight w:val="none"/>
          <w:lang w:eastAsia="zh-CN"/>
        </w:rPr>
        <w:t>供应商</w:t>
      </w:r>
      <w:r>
        <w:rPr>
          <w:rFonts w:hint="eastAsia" w:ascii="宋体" w:hAnsi="宋体" w:eastAsia="宋体" w:cs="宋体"/>
          <w:b w:val="0"/>
          <w:bCs w:val="0"/>
          <w:color w:val="auto"/>
          <w:kern w:val="0"/>
          <w:sz w:val="24"/>
          <w:highlight w:val="none"/>
        </w:rPr>
        <w:t>。该修改内容为竞争性磋商文件的组成部分。在此情况下，采购人和</w:t>
      </w:r>
      <w:r>
        <w:rPr>
          <w:rFonts w:hint="eastAsia" w:ascii="宋体" w:hAnsi="宋体" w:cs="宋体"/>
          <w:b w:val="0"/>
          <w:bCs w:val="0"/>
          <w:color w:val="auto"/>
          <w:kern w:val="0"/>
          <w:sz w:val="24"/>
          <w:highlight w:val="none"/>
          <w:lang w:eastAsia="zh-CN"/>
        </w:rPr>
        <w:t>供应商</w:t>
      </w:r>
      <w:r>
        <w:rPr>
          <w:rFonts w:hint="eastAsia" w:ascii="宋体" w:hAnsi="宋体" w:eastAsia="宋体" w:cs="宋体"/>
          <w:b w:val="0"/>
          <w:bCs w:val="0"/>
          <w:color w:val="auto"/>
          <w:kern w:val="0"/>
          <w:sz w:val="24"/>
          <w:highlight w:val="none"/>
        </w:rPr>
        <w:t>受磋商截止期制约的所有权利和义务均应延长至新的截止日期。</w:t>
      </w:r>
      <w:bookmarkStart w:id="24" w:name="_Toc184635073"/>
      <w:bookmarkEnd w:id="24"/>
    </w:p>
    <w:p w14:paraId="66B8926F">
      <w:pPr>
        <w:spacing w:line="600" w:lineRule="exact"/>
        <w:ind w:firstLine="482" w:firstLineChars="200"/>
        <w:outlineLvl w:val="0"/>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3．响应文件</w:t>
      </w:r>
      <w:bookmarkEnd w:id="23"/>
    </w:p>
    <w:p w14:paraId="396350BA">
      <w:pPr>
        <w:spacing w:line="600" w:lineRule="exact"/>
        <w:ind w:firstLine="482" w:firstLineChars="200"/>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3.1 响应文件的组成</w:t>
      </w:r>
    </w:p>
    <w:p w14:paraId="56E90E40">
      <w:pPr>
        <w:keepNext/>
        <w:keepLines/>
        <w:spacing w:line="600" w:lineRule="exact"/>
        <w:ind w:firstLine="482" w:firstLineChars="200"/>
        <w:outlineLvl w:val="3"/>
        <w:rPr>
          <w:rFonts w:ascii="宋体" w:hAnsi="宋体" w:eastAsia="宋体" w:cs="宋体"/>
          <w:b/>
          <w:bCs/>
          <w:color w:val="auto"/>
          <w:sz w:val="24"/>
          <w:highlight w:val="none"/>
        </w:rPr>
      </w:pPr>
      <w:r>
        <w:rPr>
          <w:rFonts w:hint="eastAsia" w:ascii="宋体" w:hAnsi="宋体" w:eastAsia="宋体" w:cs="宋体"/>
          <w:b/>
          <w:bCs/>
          <w:color w:val="auto"/>
          <w:sz w:val="24"/>
          <w:highlight w:val="none"/>
        </w:rPr>
        <w:t>3.1.1 响应文件应包括下列内容：</w:t>
      </w:r>
    </w:p>
    <w:p w14:paraId="74CE5B49">
      <w:pPr>
        <w:autoSpaceDE w:val="0"/>
        <w:autoSpaceDN w:val="0"/>
        <w:adjustRightInd w:val="0"/>
        <w:spacing w:line="600" w:lineRule="exact"/>
        <w:ind w:firstLine="542" w:firstLineChars="225"/>
        <w:jc w:val="left"/>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lang w:eastAsia="zh-CN"/>
        </w:rPr>
        <w:t>）</w:t>
      </w:r>
      <w:r>
        <w:rPr>
          <w:rFonts w:hint="eastAsia" w:ascii="宋体" w:hAnsi="宋体" w:eastAsia="宋体" w:cs="宋体"/>
          <w:b/>
          <w:bCs/>
          <w:color w:val="auto"/>
          <w:kern w:val="0"/>
          <w:sz w:val="24"/>
          <w:highlight w:val="none"/>
          <w:lang w:eastAsia="zh-CN"/>
        </w:rPr>
        <w:t>、磋商函及磋商函附录</w:t>
      </w:r>
    </w:p>
    <w:p w14:paraId="6DD9CA27">
      <w:pPr>
        <w:autoSpaceDE w:val="0"/>
        <w:autoSpaceDN w:val="0"/>
        <w:adjustRightInd w:val="0"/>
        <w:spacing w:line="600" w:lineRule="exact"/>
        <w:ind w:firstLine="542" w:firstLineChars="225"/>
        <w:jc w:val="left"/>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2</w:t>
      </w:r>
      <w:r>
        <w:rPr>
          <w:rFonts w:hint="eastAsia" w:ascii="宋体" w:hAnsi="宋体" w:cs="宋体"/>
          <w:b/>
          <w:bCs/>
          <w:color w:val="auto"/>
          <w:kern w:val="0"/>
          <w:sz w:val="24"/>
          <w:highlight w:val="none"/>
          <w:lang w:eastAsia="zh-CN"/>
        </w:rPr>
        <w:t>）</w:t>
      </w:r>
      <w:r>
        <w:rPr>
          <w:rFonts w:hint="eastAsia" w:ascii="宋体" w:hAnsi="宋体" w:eastAsia="宋体" w:cs="宋体"/>
          <w:b/>
          <w:bCs/>
          <w:color w:val="auto"/>
          <w:kern w:val="0"/>
          <w:sz w:val="24"/>
          <w:highlight w:val="none"/>
          <w:lang w:eastAsia="zh-CN"/>
        </w:rPr>
        <w:t>、法定代表人身份证明书</w:t>
      </w:r>
    </w:p>
    <w:p w14:paraId="37B19439">
      <w:pPr>
        <w:autoSpaceDE w:val="0"/>
        <w:autoSpaceDN w:val="0"/>
        <w:adjustRightInd w:val="0"/>
        <w:spacing w:line="600" w:lineRule="exact"/>
        <w:ind w:firstLine="542" w:firstLineChars="225"/>
        <w:jc w:val="left"/>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3</w:t>
      </w:r>
      <w:r>
        <w:rPr>
          <w:rFonts w:hint="eastAsia" w:ascii="宋体" w:hAnsi="宋体" w:cs="宋体"/>
          <w:b/>
          <w:bCs/>
          <w:color w:val="auto"/>
          <w:kern w:val="0"/>
          <w:sz w:val="24"/>
          <w:highlight w:val="none"/>
          <w:lang w:eastAsia="zh-CN"/>
        </w:rPr>
        <w:t>）</w:t>
      </w:r>
      <w:r>
        <w:rPr>
          <w:rFonts w:hint="eastAsia" w:ascii="宋体" w:hAnsi="宋体" w:eastAsia="宋体" w:cs="宋体"/>
          <w:b/>
          <w:bCs/>
          <w:color w:val="auto"/>
          <w:kern w:val="0"/>
          <w:sz w:val="24"/>
          <w:highlight w:val="none"/>
          <w:lang w:eastAsia="zh-CN"/>
        </w:rPr>
        <w:t>、授权委托书</w:t>
      </w:r>
    </w:p>
    <w:p w14:paraId="76A99F03">
      <w:pPr>
        <w:autoSpaceDE w:val="0"/>
        <w:autoSpaceDN w:val="0"/>
        <w:adjustRightInd w:val="0"/>
        <w:spacing w:line="600" w:lineRule="exact"/>
        <w:ind w:firstLine="542" w:firstLineChars="225"/>
        <w:jc w:val="left"/>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4</w:t>
      </w:r>
      <w:r>
        <w:rPr>
          <w:rFonts w:hint="eastAsia" w:ascii="宋体" w:hAnsi="宋体" w:cs="宋体"/>
          <w:b/>
          <w:bCs/>
          <w:color w:val="auto"/>
          <w:kern w:val="0"/>
          <w:sz w:val="24"/>
          <w:highlight w:val="none"/>
          <w:lang w:eastAsia="zh-CN"/>
        </w:rPr>
        <w:t>）</w:t>
      </w:r>
      <w:r>
        <w:rPr>
          <w:rFonts w:hint="eastAsia" w:ascii="宋体" w:hAnsi="宋体" w:eastAsia="宋体" w:cs="宋体"/>
          <w:b/>
          <w:bCs/>
          <w:color w:val="auto"/>
          <w:kern w:val="0"/>
          <w:sz w:val="24"/>
          <w:highlight w:val="none"/>
          <w:lang w:eastAsia="zh-CN"/>
        </w:rPr>
        <w:t>、资格审查资料</w:t>
      </w:r>
    </w:p>
    <w:p w14:paraId="30ADBBD1">
      <w:pPr>
        <w:autoSpaceDE w:val="0"/>
        <w:autoSpaceDN w:val="0"/>
        <w:adjustRightInd w:val="0"/>
        <w:spacing w:line="600" w:lineRule="exact"/>
        <w:ind w:firstLine="542" w:firstLineChars="225"/>
        <w:jc w:val="left"/>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lang w:eastAsia="zh-CN"/>
        </w:rPr>
        <w:t>）</w:t>
      </w:r>
      <w:r>
        <w:rPr>
          <w:rFonts w:hint="eastAsia" w:ascii="宋体" w:hAnsi="宋体" w:eastAsia="宋体" w:cs="宋体"/>
          <w:b/>
          <w:bCs/>
          <w:color w:val="auto"/>
          <w:kern w:val="0"/>
          <w:sz w:val="24"/>
          <w:highlight w:val="none"/>
          <w:lang w:eastAsia="zh-CN"/>
        </w:rPr>
        <w:t>、项目组成人员</w:t>
      </w:r>
    </w:p>
    <w:p w14:paraId="5F49B1E2">
      <w:pPr>
        <w:autoSpaceDE w:val="0"/>
        <w:autoSpaceDN w:val="0"/>
        <w:adjustRightInd w:val="0"/>
        <w:spacing w:line="600" w:lineRule="exact"/>
        <w:ind w:firstLine="542" w:firstLineChars="225"/>
        <w:jc w:val="left"/>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6</w:t>
      </w:r>
      <w:r>
        <w:rPr>
          <w:rFonts w:hint="eastAsia" w:ascii="宋体" w:hAnsi="宋体" w:cs="宋体"/>
          <w:b/>
          <w:bCs/>
          <w:color w:val="auto"/>
          <w:kern w:val="0"/>
          <w:sz w:val="24"/>
          <w:highlight w:val="none"/>
          <w:lang w:eastAsia="zh-CN"/>
        </w:rPr>
        <w:t>）、</w:t>
      </w:r>
      <w:r>
        <w:rPr>
          <w:rFonts w:hint="eastAsia" w:ascii="宋体" w:hAnsi="宋体" w:eastAsia="宋体" w:cs="宋体"/>
          <w:b/>
          <w:bCs/>
          <w:color w:val="auto"/>
          <w:kern w:val="0"/>
          <w:sz w:val="24"/>
          <w:highlight w:val="none"/>
          <w:lang w:eastAsia="zh-CN"/>
        </w:rPr>
        <w:t>技术</w:t>
      </w:r>
      <w:r>
        <w:rPr>
          <w:rFonts w:hint="eastAsia" w:ascii="宋体" w:hAnsi="宋体" w:eastAsia="宋体" w:cs="宋体"/>
          <w:b/>
          <w:bCs/>
          <w:color w:val="auto"/>
          <w:kern w:val="0"/>
          <w:sz w:val="24"/>
          <w:highlight w:val="none"/>
          <w:lang w:val="en-US" w:eastAsia="zh-CN"/>
        </w:rPr>
        <w:t>方案</w:t>
      </w:r>
    </w:p>
    <w:p w14:paraId="3A558EC9">
      <w:pPr>
        <w:autoSpaceDE w:val="0"/>
        <w:autoSpaceDN w:val="0"/>
        <w:adjustRightInd w:val="0"/>
        <w:spacing w:line="600" w:lineRule="exact"/>
        <w:ind w:firstLine="542" w:firstLineChars="225"/>
        <w:jc w:val="left"/>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7</w:t>
      </w:r>
      <w:r>
        <w:rPr>
          <w:rFonts w:hint="eastAsia" w:ascii="宋体" w:hAnsi="宋体" w:cs="宋体"/>
          <w:b/>
          <w:bCs/>
          <w:color w:val="auto"/>
          <w:kern w:val="0"/>
          <w:sz w:val="24"/>
          <w:highlight w:val="none"/>
          <w:lang w:eastAsia="zh-CN"/>
        </w:rPr>
        <w:t>）</w:t>
      </w:r>
      <w:r>
        <w:rPr>
          <w:rFonts w:hint="eastAsia" w:ascii="宋体" w:hAnsi="宋体" w:eastAsia="宋体" w:cs="宋体"/>
          <w:b/>
          <w:bCs/>
          <w:color w:val="auto"/>
          <w:kern w:val="0"/>
          <w:sz w:val="24"/>
          <w:highlight w:val="none"/>
          <w:lang w:eastAsia="zh-CN"/>
        </w:rPr>
        <w:t>、供应商认为需要提交的其他资料</w:t>
      </w:r>
    </w:p>
    <w:p w14:paraId="5BB358F8">
      <w:pPr>
        <w:autoSpaceDE w:val="0"/>
        <w:autoSpaceDN w:val="0"/>
        <w:adjustRightInd w:val="0"/>
        <w:spacing w:line="600" w:lineRule="exact"/>
        <w:ind w:firstLine="542" w:firstLineChars="225"/>
        <w:jc w:val="left"/>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8</w:t>
      </w:r>
      <w:r>
        <w:rPr>
          <w:rFonts w:hint="eastAsia" w:ascii="宋体" w:hAnsi="宋体" w:cs="宋体"/>
          <w:b/>
          <w:bCs/>
          <w:color w:val="auto"/>
          <w:kern w:val="0"/>
          <w:sz w:val="24"/>
          <w:highlight w:val="none"/>
          <w:lang w:eastAsia="zh-CN"/>
        </w:rPr>
        <w:t>）</w:t>
      </w:r>
      <w:r>
        <w:rPr>
          <w:rFonts w:hint="eastAsia" w:ascii="宋体" w:hAnsi="宋体" w:eastAsia="宋体" w:cs="宋体"/>
          <w:b/>
          <w:bCs/>
          <w:color w:val="auto"/>
          <w:kern w:val="0"/>
          <w:sz w:val="24"/>
          <w:highlight w:val="none"/>
          <w:lang w:val="en-US" w:eastAsia="zh-CN"/>
        </w:rPr>
        <w:t>、</w:t>
      </w:r>
      <w:r>
        <w:rPr>
          <w:rFonts w:hint="eastAsia" w:ascii="宋体" w:hAnsi="宋体" w:eastAsia="宋体" w:cs="宋体"/>
          <w:b/>
          <w:bCs/>
          <w:color w:val="auto"/>
          <w:kern w:val="0"/>
          <w:sz w:val="24"/>
          <w:highlight w:val="none"/>
          <w:lang w:eastAsia="zh-CN"/>
        </w:rPr>
        <w:t>残疾人福利性单位声明函</w:t>
      </w:r>
    </w:p>
    <w:p w14:paraId="6EC924C2">
      <w:pPr>
        <w:autoSpaceDE w:val="0"/>
        <w:autoSpaceDN w:val="0"/>
        <w:adjustRightInd w:val="0"/>
        <w:spacing w:line="600" w:lineRule="exact"/>
        <w:ind w:firstLine="542" w:firstLineChars="225"/>
        <w:jc w:val="left"/>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9</w:t>
      </w:r>
      <w:r>
        <w:rPr>
          <w:rFonts w:hint="eastAsia" w:ascii="宋体" w:hAnsi="宋体" w:cs="宋体"/>
          <w:b/>
          <w:bCs/>
          <w:color w:val="auto"/>
          <w:kern w:val="0"/>
          <w:sz w:val="24"/>
          <w:highlight w:val="none"/>
          <w:lang w:eastAsia="zh-CN"/>
        </w:rPr>
        <w:t>）</w:t>
      </w:r>
      <w:r>
        <w:rPr>
          <w:rFonts w:hint="eastAsia" w:ascii="宋体" w:hAnsi="宋体" w:eastAsia="宋体" w:cs="宋体"/>
          <w:b/>
          <w:bCs/>
          <w:color w:val="auto"/>
          <w:kern w:val="0"/>
          <w:sz w:val="24"/>
          <w:highlight w:val="none"/>
          <w:lang w:val="en-US" w:eastAsia="zh-CN"/>
        </w:rPr>
        <w:t>、中小微企业声明函（工程、服务）</w:t>
      </w:r>
    </w:p>
    <w:p w14:paraId="63DACB8D">
      <w:pPr>
        <w:autoSpaceDE w:val="0"/>
        <w:autoSpaceDN w:val="0"/>
        <w:adjustRightInd w:val="0"/>
        <w:spacing w:line="600" w:lineRule="exact"/>
        <w:ind w:firstLine="542" w:firstLineChars="225"/>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3.2 磋商报价</w:t>
      </w:r>
    </w:p>
    <w:p w14:paraId="3119E991">
      <w:pPr>
        <w:pStyle w:val="40"/>
        <w:tabs>
          <w:tab w:val="left" w:pos="2120"/>
        </w:tabs>
        <w:spacing w:line="360" w:lineRule="auto"/>
        <w:ind w:left="474" w:firstLine="0"/>
        <w:rPr>
          <w:color w:val="auto"/>
          <w:sz w:val="24"/>
          <w:szCs w:val="24"/>
          <w:highlight w:val="none"/>
          <w:lang w:eastAsia="zh-CN"/>
        </w:rPr>
      </w:pPr>
      <w:r>
        <w:rPr>
          <w:rFonts w:hint="eastAsia"/>
          <w:color w:val="auto"/>
          <w:spacing w:val="-3"/>
          <w:sz w:val="24"/>
          <w:szCs w:val="24"/>
          <w:highlight w:val="none"/>
          <w:lang w:eastAsia="zh-CN"/>
        </w:rPr>
        <w:t>3</w:t>
      </w:r>
      <w:r>
        <w:rPr>
          <w:color w:val="auto"/>
          <w:spacing w:val="-3"/>
          <w:sz w:val="24"/>
          <w:szCs w:val="24"/>
          <w:highlight w:val="none"/>
          <w:lang w:eastAsia="zh-CN"/>
        </w:rPr>
        <w:t>.2.1  供应商应按照竞争性磋商文件中提供的格式完整地填写响应文件、报</w:t>
      </w:r>
      <w:r>
        <w:rPr>
          <w:color w:val="auto"/>
          <w:sz w:val="24"/>
          <w:szCs w:val="24"/>
          <w:highlight w:val="none"/>
          <w:lang w:eastAsia="zh-CN"/>
        </w:rPr>
        <w:t>价一览表等。</w:t>
      </w:r>
    </w:p>
    <w:p w14:paraId="0FE0E0F2">
      <w:pPr>
        <w:pStyle w:val="40"/>
        <w:tabs>
          <w:tab w:val="left" w:pos="2120"/>
        </w:tabs>
        <w:spacing w:line="360" w:lineRule="auto"/>
        <w:ind w:left="480" w:firstLine="0"/>
        <w:rPr>
          <w:color w:val="auto"/>
          <w:sz w:val="24"/>
          <w:szCs w:val="24"/>
          <w:highlight w:val="none"/>
          <w:lang w:eastAsia="zh-CN"/>
        </w:rPr>
      </w:pPr>
      <w:r>
        <w:rPr>
          <w:color w:val="auto"/>
          <w:sz w:val="24"/>
          <w:szCs w:val="24"/>
          <w:highlight w:val="none"/>
          <w:lang w:eastAsia="zh-CN"/>
        </w:rPr>
        <w:t>3.2.2  供应商应按照竞争性磋商文件提供的报价表格式填写报价。</w:t>
      </w:r>
    </w:p>
    <w:p w14:paraId="3342FEE0">
      <w:pPr>
        <w:pStyle w:val="40"/>
        <w:tabs>
          <w:tab w:val="left" w:pos="2120"/>
        </w:tabs>
        <w:spacing w:line="360" w:lineRule="auto"/>
        <w:ind w:left="480" w:firstLine="0"/>
        <w:jc w:val="both"/>
        <w:rPr>
          <w:color w:val="auto"/>
          <w:sz w:val="24"/>
          <w:szCs w:val="24"/>
          <w:highlight w:val="none"/>
          <w:lang w:eastAsia="zh-CN"/>
        </w:rPr>
      </w:pPr>
      <w:r>
        <w:rPr>
          <w:color w:val="auto"/>
          <w:sz w:val="24"/>
          <w:szCs w:val="24"/>
          <w:highlight w:val="none"/>
          <w:lang w:eastAsia="zh-CN"/>
        </w:rPr>
        <w:t>3.2.3  供应商的响应报价应结合现行标准和招标控制价自主进行报价。</w:t>
      </w:r>
    </w:p>
    <w:p w14:paraId="7391BB7C">
      <w:pPr>
        <w:pStyle w:val="40"/>
        <w:tabs>
          <w:tab w:val="left" w:pos="2120"/>
        </w:tabs>
        <w:spacing w:line="360" w:lineRule="auto"/>
        <w:ind w:left="472" w:firstLine="0"/>
        <w:jc w:val="both"/>
        <w:rPr>
          <w:color w:val="auto"/>
          <w:sz w:val="24"/>
          <w:szCs w:val="24"/>
          <w:highlight w:val="none"/>
          <w:lang w:eastAsia="zh-CN"/>
        </w:rPr>
      </w:pPr>
      <w:r>
        <w:rPr>
          <w:color w:val="auto"/>
          <w:spacing w:val="-4"/>
          <w:sz w:val="24"/>
          <w:szCs w:val="24"/>
          <w:highlight w:val="none"/>
          <w:lang w:eastAsia="zh-CN"/>
        </w:rPr>
        <w:t>3.2.4  供应商的报价应含有所投服务、税费、交付后约定期限内免费后续服</w:t>
      </w:r>
      <w:r>
        <w:rPr>
          <w:color w:val="auto"/>
          <w:sz w:val="24"/>
          <w:szCs w:val="24"/>
          <w:highlight w:val="none"/>
          <w:lang w:eastAsia="zh-CN"/>
        </w:rPr>
        <w:t>务等工作所</w:t>
      </w:r>
    </w:p>
    <w:p w14:paraId="66BEE438">
      <w:pPr>
        <w:tabs>
          <w:tab w:val="left" w:pos="2120"/>
        </w:tabs>
        <w:spacing w:line="360" w:lineRule="auto"/>
        <w:jc w:val="both"/>
        <w:rPr>
          <w:color w:val="auto"/>
          <w:sz w:val="24"/>
          <w:szCs w:val="24"/>
          <w:highlight w:val="none"/>
          <w:lang w:eastAsia="zh-CN"/>
        </w:rPr>
      </w:pPr>
      <w:r>
        <w:rPr>
          <w:color w:val="auto"/>
          <w:sz w:val="24"/>
          <w:szCs w:val="24"/>
          <w:highlight w:val="none"/>
          <w:lang w:eastAsia="zh-CN"/>
        </w:rPr>
        <w:t>发生的一切应有费用，报价为签订合同的依据。</w:t>
      </w:r>
    </w:p>
    <w:p w14:paraId="30C12DA9">
      <w:pPr>
        <w:rPr>
          <w:color w:val="auto"/>
          <w:highlight w:val="none"/>
          <w:lang w:eastAsia="zh-CN"/>
        </w:rPr>
        <w:sectPr>
          <w:pgSz w:w="11910" w:h="16840"/>
          <w:pgMar w:top="1440" w:right="1080" w:bottom="1440" w:left="1080" w:header="0" w:footer="909" w:gutter="0"/>
          <w:cols w:space="720" w:num="1"/>
          <w:docGrid w:linePitch="299" w:charSpace="0"/>
        </w:sectPr>
      </w:pPr>
    </w:p>
    <w:p w14:paraId="5E3DCF08">
      <w:pPr>
        <w:pStyle w:val="40"/>
        <w:tabs>
          <w:tab w:val="left" w:pos="2120"/>
        </w:tabs>
        <w:spacing w:line="360" w:lineRule="auto"/>
        <w:ind w:left="472" w:firstLine="0"/>
        <w:jc w:val="both"/>
        <w:rPr>
          <w:color w:val="auto"/>
          <w:spacing w:val="-7"/>
          <w:sz w:val="24"/>
          <w:szCs w:val="24"/>
          <w:highlight w:val="none"/>
          <w:lang w:eastAsia="zh-CN"/>
        </w:rPr>
      </w:pPr>
      <w:bookmarkStart w:id="25" w:name="3.2_报价"/>
      <w:bookmarkEnd w:id="25"/>
      <w:r>
        <w:rPr>
          <w:color w:val="auto"/>
          <w:spacing w:val="-4"/>
          <w:sz w:val="24"/>
          <w:szCs w:val="24"/>
          <w:highlight w:val="none"/>
          <w:lang w:eastAsia="zh-CN"/>
        </w:rPr>
        <w:t>3.2.5  磋商过程供应商需两轮报价，不得超过采购人公布的项目预算，否则</w:t>
      </w:r>
      <w:r>
        <w:rPr>
          <w:color w:val="auto"/>
          <w:spacing w:val="-7"/>
          <w:sz w:val="24"/>
          <w:szCs w:val="24"/>
          <w:highlight w:val="none"/>
          <w:lang w:eastAsia="zh-CN"/>
        </w:rPr>
        <w:t>其投标无效。</w:t>
      </w:r>
    </w:p>
    <w:p w14:paraId="0E0BBC0E">
      <w:pPr>
        <w:tabs>
          <w:tab w:val="left" w:pos="2120"/>
        </w:tabs>
        <w:spacing w:line="360" w:lineRule="auto"/>
        <w:jc w:val="both"/>
        <w:rPr>
          <w:color w:val="auto"/>
          <w:sz w:val="24"/>
          <w:szCs w:val="24"/>
          <w:highlight w:val="none"/>
          <w:lang w:eastAsia="zh-CN"/>
        </w:rPr>
      </w:pPr>
      <w:r>
        <w:rPr>
          <w:color w:val="auto"/>
          <w:spacing w:val="-3"/>
          <w:sz w:val="24"/>
          <w:szCs w:val="24"/>
          <w:highlight w:val="none"/>
          <w:lang w:eastAsia="zh-CN"/>
        </w:rPr>
        <w:t>（</w:t>
      </w:r>
      <w:r>
        <w:rPr>
          <w:color w:val="auto"/>
          <w:spacing w:val="-8"/>
          <w:sz w:val="24"/>
          <w:szCs w:val="24"/>
          <w:highlight w:val="none"/>
          <w:lang w:eastAsia="zh-CN"/>
        </w:rPr>
        <w:t>初次报价、最终报价。本项目进行两次报价，响应文件中报价为</w:t>
      </w:r>
      <w:r>
        <w:rPr>
          <w:color w:val="auto"/>
          <w:sz w:val="24"/>
          <w:szCs w:val="24"/>
          <w:highlight w:val="none"/>
          <w:lang w:eastAsia="zh-CN"/>
        </w:rPr>
        <w:t>初次报价，最终报价不能高于上次报价，高于上次报价视为无效响应）。</w:t>
      </w:r>
    </w:p>
    <w:p w14:paraId="3075A981">
      <w:pPr>
        <w:pStyle w:val="40"/>
        <w:tabs>
          <w:tab w:val="left" w:pos="2120"/>
        </w:tabs>
        <w:spacing w:line="360" w:lineRule="auto"/>
        <w:ind w:left="480" w:firstLine="0"/>
        <w:jc w:val="both"/>
        <w:rPr>
          <w:color w:val="auto"/>
          <w:sz w:val="24"/>
          <w:szCs w:val="24"/>
          <w:highlight w:val="none"/>
          <w:lang w:eastAsia="zh-CN"/>
        </w:rPr>
      </w:pPr>
      <w:r>
        <w:rPr>
          <w:rFonts w:hint="eastAsia"/>
          <w:color w:val="auto"/>
          <w:sz w:val="24"/>
          <w:szCs w:val="24"/>
          <w:highlight w:val="none"/>
          <w:lang w:eastAsia="zh-CN"/>
        </w:rPr>
        <w:t>3</w:t>
      </w:r>
      <w:r>
        <w:rPr>
          <w:color w:val="auto"/>
          <w:sz w:val="24"/>
          <w:szCs w:val="24"/>
          <w:highlight w:val="none"/>
          <w:lang w:eastAsia="zh-CN"/>
        </w:rPr>
        <w:t>.2.6  供应商不得以他人名义磋商或者以其他方式弄虚作假，骗取成交；</w:t>
      </w:r>
    </w:p>
    <w:p w14:paraId="3E4144A5">
      <w:pPr>
        <w:pStyle w:val="40"/>
        <w:tabs>
          <w:tab w:val="left" w:pos="2120"/>
        </w:tabs>
        <w:spacing w:line="360" w:lineRule="auto"/>
        <w:ind w:left="474" w:firstLine="0"/>
        <w:jc w:val="both"/>
        <w:rPr>
          <w:color w:val="auto"/>
          <w:spacing w:val="-11"/>
          <w:sz w:val="24"/>
          <w:szCs w:val="24"/>
          <w:highlight w:val="none"/>
          <w:lang w:eastAsia="zh-CN"/>
        </w:rPr>
      </w:pPr>
      <w:r>
        <w:rPr>
          <w:color w:val="auto"/>
          <w:spacing w:val="-3"/>
          <w:sz w:val="24"/>
          <w:szCs w:val="24"/>
          <w:highlight w:val="none"/>
          <w:lang w:eastAsia="zh-CN"/>
        </w:rPr>
        <w:t>3.2.7  响应性文件应对竞争性磋商文件中各项做出实质性响应，否则该磋商</w:t>
      </w:r>
      <w:r>
        <w:rPr>
          <w:color w:val="auto"/>
          <w:spacing w:val="-11"/>
          <w:sz w:val="24"/>
          <w:szCs w:val="24"/>
          <w:highlight w:val="none"/>
          <w:lang w:eastAsia="zh-CN"/>
        </w:rPr>
        <w:t>将可能被拒</w:t>
      </w:r>
    </w:p>
    <w:p w14:paraId="60BA9871">
      <w:pPr>
        <w:tabs>
          <w:tab w:val="left" w:pos="2120"/>
        </w:tabs>
        <w:spacing w:line="360" w:lineRule="auto"/>
        <w:jc w:val="both"/>
        <w:rPr>
          <w:color w:val="auto"/>
          <w:sz w:val="24"/>
          <w:szCs w:val="24"/>
          <w:highlight w:val="none"/>
          <w:lang w:eastAsia="zh-CN"/>
        </w:rPr>
      </w:pPr>
      <w:r>
        <w:rPr>
          <w:color w:val="auto"/>
          <w:spacing w:val="-11"/>
          <w:sz w:val="24"/>
          <w:szCs w:val="24"/>
          <w:highlight w:val="none"/>
          <w:lang w:eastAsia="zh-CN"/>
        </w:rPr>
        <w:t>绝。供应商服务承诺书应按不低于竞争性磋商文件中的服务要求标准</w:t>
      </w:r>
      <w:r>
        <w:rPr>
          <w:color w:val="auto"/>
          <w:sz w:val="24"/>
          <w:szCs w:val="24"/>
          <w:highlight w:val="none"/>
          <w:lang w:eastAsia="zh-CN"/>
        </w:rPr>
        <w:t>做出响应。</w:t>
      </w:r>
    </w:p>
    <w:p w14:paraId="2FEAD028">
      <w:pPr>
        <w:pStyle w:val="40"/>
        <w:tabs>
          <w:tab w:val="left" w:pos="2120"/>
        </w:tabs>
        <w:spacing w:line="360" w:lineRule="auto"/>
        <w:ind w:left="474" w:firstLine="0"/>
        <w:jc w:val="both"/>
        <w:rPr>
          <w:color w:val="auto"/>
          <w:spacing w:val="-5"/>
          <w:sz w:val="24"/>
          <w:szCs w:val="24"/>
          <w:highlight w:val="none"/>
          <w:lang w:eastAsia="zh-CN"/>
        </w:rPr>
      </w:pPr>
      <w:r>
        <w:rPr>
          <w:rFonts w:hint="eastAsia"/>
          <w:color w:val="auto"/>
          <w:spacing w:val="-3"/>
          <w:sz w:val="24"/>
          <w:szCs w:val="24"/>
          <w:highlight w:val="none"/>
          <w:lang w:eastAsia="zh-CN"/>
        </w:rPr>
        <w:t>3</w:t>
      </w:r>
      <w:r>
        <w:rPr>
          <w:color w:val="auto"/>
          <w:spacing w:val="-3"/>
          <w:sz w:val="24"/>
          <w:szCs w:val="24"/>
          <w:highlight w:val="none"/>
          <w:lang w:eastAsia="zh-CN"/>
        </w:rPr>
        <w:t>.2.8  磋商文件能够详细列明采购标的服务要求的，磋商结束后，磋商小组</w:t>
      </w:r>
      <w:r>
        <w:rPr>
          <w:color w:val="auto"/>
          <w:spacing w:val="-5"/>
          <w:sz w:val="24"/>
          <w:szCs w:val="24"/>
          <w:highlight w:val="none"/>
          <w:lang w:eastAsia="zh-CN"/>
        </w:rPr>
        <w:t>应当要求所</w:t>
      </w:r>
    </w:p>
    <w:p w14:paraId="33F87807">
      <w:pPr>
        <w:tabs>
          <w:tab w:val="left" w:pos="2120"/>
        </w:tabs>
        <w:spacing w:line="360" w:lineRule="auto"/>
        <w:jc w:val="both"/>
        <w:rPr>
          <w:color w:val="auto"/>
          <w:sz w:val="24"/>
          <w:szCs w:val="24"/>
          <w:highlight w:val="none"/>
          <w:lang w:eastAsia="zh-CN"/>
        </w:rPr>
      </w:pPr>
      <w:r>
        <w:rPr>
          <w:color w:val="auto"/>
          <w:spacing w:val="-5"/>
          <w:sz w:val="24"/>
          <w:szCs w:val="24"/>
          <w:highlight w:val="none"/>
          <w:lang w:eastAsia="zh-CN"/>
        </w:rPr>
        <w:t>有实质性响应的供应商在规定时间内提交最终报价。最终报价是供应</w:t>
      </w:r>
      <w:r>
        <w:rPr>
          <w:color w:val="auto"/>
          <w:sz w:val="24"/>
          <w:szCs w:val="24"/>
          <w:highlight w:val="none"/>
          <w:lang w:eastAsia="zh-CN"/>
        </w:rPr>
        <w:t>商响应文件的有效组成部分。</w:t>
      </w:r>
    </w:p>
    <w:p w14:paraId="52E4DD55">
      <w:pPr>
        <w:keepNext/>
        <w:keepLines/>
        <w:spacing w:line="600" w:lineRule="exact"/>
        <w:ind w:firstLine="482" w:firstLineChars="200"/>
        <w:outlineLvl w:val="3"/>
        <w:rPr>
          <w:rFonts w:ascii="宋体" w:hAnsi="宋体" w:eastAsia="宋体" w:cs="宋体"/>
          <w:b/>
          <w:bCs/>
          <w:color w:val="auto"/>
          <w:sz w:val="24"/>
          <w:highlight w:val="none"/>
        </w:rPr>
      </w:pPr>
      <w:r>
        <w:rPr>
          <w:rFonts w:hint="eastAsia" w:ascii="宋体" w:hAnsi="宋体" w:eastAsia="宋体" w:cs="宋体"/>
          <w:b/>
          <w:bCs/>
          <w:color w:val="auto"/>
          <w:sz w:val="24"/>
          <w:highlight w:val="none"/>
        </w:rPr>
        <w:t>3.3 磋商有效期</w:t>
      </w:r>
    </w:p>
    <w:p w14:paraId="6A585B36">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3.3.1 在</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须知前附表规定的磋商有效期内，</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不得要求撤销或修改其响应文件。</w:t>
      </w:r>
    </w:p>
    <w:p w14:paraId="7A8201A6">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3.3.2 出现特殊情况需要延长磋商有效期的，采购人以书面形式通知所有</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延长磋商有效期。</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同意延长的，不得要求或被允许修改或撤销其响应文件；</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拒绝延长的，其磋商失效。</w:t>
      </w:r>
    </w:p>
    <w:p w14:paraId="7E327131">
      <w:pPr>
        <w:spacing w:line="60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3.4 磋商保证金</w:t>
      </w:r>
    </w:p>
    <w:p w14:paraId="1E5DFA04">
      <w:pPr>
        <w:spacing w:line="600" w:lineRule="exact"/>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按照《河南省财政厅关于优化政府采购营商环境有关问题的通知》（豫财购[2019]4号文）的要求本项目不再收取磋商保证金。</w:t>
      </w:r>
    </w:p>
    <w:p w14:paraId="27F7D6AA">
      <w:pPr>
        <w:spacing w:line="60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3.5 资格审查资料</w:t>
      </w:r>
    </w:p>
    <w:p w14:paraId="2D5B960F">
      <w:pPr>
        <w:spacing w:line="600" w:lineRule="exact"/>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rPr>
        <w:t>详见</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lang w:eastAsia="zh-CN"/>
        </w:rPr>
        <w:t>须知</w:t>
      </w:r>
      <w:r>
        <w:rPr>
          <w:rFonts w:hint="eastAsia" w:ascii="宋体" w:hAnsi="宋体" w:eastAsia="宋体" w:cs="宋体"/>
          <w:color w:val="auto"/>
          <w:sz w:val="24"/>
          <w:highlight w:val="none"/>
        </w:rPr>
        <w:t>前附表</w:t>
      </w:r>
      <w:r>
        <w:rPr>
          <w:rFonts w:hint="eastAsia" w:ascii="宋体" w:hAnsi="宋体" w:cs="宋体"/>
          <w:color w:val="auto"/>
          <w:sz w:val="24"/>
          <w:highlight w:val="none"/>
          <w:lang w:eastAsia="zh-CN"/>
        </w:rPr>
        <w:t>。</w:t>
      </w:r>
    </w:p>
    <w:p w14:paraId="0D035372">
      <w:pPr>
        <w:pStyle w:val="12"/>
        <w:spacing w:line="360" w:lineRule="auto"/>
        <w:ind w:left="0" w:firstLine="482" w:firstLineChars="200"/>
        <w:rPr>
          <w:color w:val="auto"/>
          <w:highlight w:val="none"/>
          <w:lang w:eastAsia="zh-CN"/>
        </w:rPr>
      </w:pPr>
      <w:r>
        <w:rPr>
          <w:color w:val="auto"/>
          <w:highlight w:val="none"/>
          <w:lang w:eastAsia="zh-CN"/>
        </w:rPr>
        <w:t>3.6 备选投标方案</w:t>
      </w:r>
    </w:p>
    <w:p w14:paraId="33C0BE9C">
      <w:pPr>
        <w:adjustRightInd w:val="0"/>
        <w:spacing w:line="360" w:lineRule="auto"/>
        <w:ind w:firstLine="480" w:firstLineChars="200"/>
        <w:rPr>
          <w:rFonts w:hint="eastAsia" w:ascii="宋体" w:hAnsi="宋体" w:cs="宋体"/>
          <w:color w:val="auto"/>
          <w:sz w:val="24"/>
          <w:highlight w:val="none"/>
          <w:lang w:eastAsia="zh-CN"/>
        </w:rPr>
      </w:pPr>
      <w:r>
        <w:rPr>
          <w:rFonts w:hint="eastAsia" w:hAnsiTheme="minorHAnsi"/>
          <w:color w:val="auto"/>
          <w:sz w:val="24"/>
          <w:szCs w:val="24"/>
          <w:highlight w:val="none"/>
          <w:lang w:eastAsia="zh-CN"/>
        </w:rPr>
        <w:t>供应商不得递交备选投标方案。</w:t>
      </w:r>
    </w:p>
    <w:p w14:paraId="59CDB588">
      <w:pPr>
        <w:keepNext/>
        <w:keepLines/>
        <w:spacing w:line="600" w:lineRule="exact"/>
        <w:ind w:firstLine="482" w:firstLineChars="200"/>
        <w:outlineLvl w:val="3"/>
        <w:rPr>
          <w:rFonts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rPr>
        <w:t xml:space="preserve"> 响应文件的编制</w:t>
      </w:r>
    </w:p>
    <w:p w14:paraId="6250A188">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3.6.1 响应文件应按第六章“响应文件格式”进行编写，如有必要，可以增加附页，作为响应文件的组成部分。其中，磋商函附录在满足磋商文件实质性要求的基础上，可以提出比磋商文件要求更有利于采购人的承诺。</w:t>
      </w:r>
    </w:p>
    <w:p w14:paraId="4E07F862">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3.6.2 响应文件应当对磋商文件有关计划工期、磋商有效期、质量要求、磋商范围等实质性内容作出响应。</w:t>
      </w:r>
    </w:p>
    <w:p w14:paraId="1C3DEDFE">
      <w:pPr>
        <w:spacing w:line="60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 xml:space="preserve"> 响应文件的签署</w:t>
      </w:r>
    </w:p>
    <w:p w14:paraId="053A168C">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3.7.1电子响应文件必须</w:t>
      </w:r>
      <w:r>
        <w:rPr>
          <w:rFonts w:hint="eastAsia" w:ascii="宋体" w:hAnsi="宋体" w:cs="宋体"/>
          <w:color w:val="auto"/>
          <w:sz w:val="24"/>
          <w:highlight w:val="none"/>
          <w:lang w:val="en-US" w:eastAsia="zh-CN"/>
        </w:rPr>
        <w:t>在投标截止时间前上传至三门峡市公共资源交易中心平台</w:t>
      </w:r>
      <w:r>
        <w:rPr>
          <w:rFonts w:hint="eastAsia" w:ascii="宋体" w:hAnsi="宋体" w:eastAsia="宋体" w:cs="宋体"/>
          <w:b/>
          <w:bCs/>
          <w:color w:val="auto"/>
          <w:sz w:val="24"/>
          <w:highlight w:val="none"/>
        </w:rPr>
        <w:t>。</w:t>
      </w:r>
    </w:p>
    <w:p w14:paraId="65D20F8D">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3.7.2电子响应文件由</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的法定代表人签字或盖章。</w:t>
      </w:r>
      <w:bookmarkStart w:id="26" w:name="_Toc184635074"/>
      <w:bookmarkEnd w:id="26"/>
    </w:p>
    <w:p w14:paraId="57C68B0F">
      <w:pPr>
        <w:numPr>
          <w:ilvl w:val="0"/>
          <w:numId w:val="2"/>
        </w:numPr>
        <w:spacing w:line="600" w:lineRule="exact"/>
        <w:ind w:firstLine="482" w:firstLineChars="200"/>
        <w:outlineLvl w:val="0"/>
        <w:rPr>
          <w:rFonts w:ascii="宋体" w:hAnsi="宋体" w:eastAsia="宋体" w:cs="宋体"/>
          <w:b/>
          <w:bCs/>
          <w:color w:val="auto"/>
          <w:kern w:val="28"/>
          <w:sz w:val="24"/>
          <w:highlight w:val="none"/>
        </w:rPr>
      </w:pPr>
      <w:bookmarkStart w:id="27" w:name="_Toc26837"/>
      <w:bookmarkStart w:id="28" w:name="_Toc5339"/>
      <w:bookmarkStart w:id="29" w:name="_Toc27329"/>
      <w:bookmarkStart w:id="30" w:name="_Toc27283"/>
      <w:r>
        <w:rPr>
          <w:rFonts w:hint="eastAsia" w:ascii="宋体" w:hAnsi="宋体" w:cs="宋体"/>
          <w:b/>
          <w:bCs/>
          <w:color w:val="auto"/>
          <w:kern w:val="28"/>
          <w:sz w:val="24"/>
          <w:highlight w:val="none"/>
          <w:lang w:val="en-US" w:eastAsia="zh-CN"/>
        </w:rPr>
        <w:t>电子响应文件的</w:t>
      </w:r>
      <w:bookmarkEnd w:id="27"/>
      <w:bookmarkEnd w:id="28"/>
      <w:bookmarkEnd w:id="29"/>
      <w:bookmarkEnd w:id="30"/>
      <w:r>
        <w:rPr>
          <w:rFonts w:hint="eastAsia" w:ascii="宋体" w:hAnsi="宋体" w:cs="宋体"/>
          <w:b/>
          <w:bCs/>
          <w:color w:val="auto"/>
          <w:kern w:val="28"/>
          <w:sz w:val="24"/>
          <w:highlight w:val="none"/>
          <w:lang w:val="en-US" w:eastAsia="zh-CN"/>
        </w:rPr>
        <w:t>递交</w:t>
      </w:r>
    </w:p>
    <w:p w14:paraId="5407F6A7">
      <w:pPr>
        <w:pStyle w:val="12"/>
        <w:tabs>
          <w:tab w:val="left" w:pos="1463"/>
        </w:tabs>
        <w:spacing w:line="360" w:lineRule="auto"/>
        <w:ind w:left="482" w:firstLine="0"/>
        <w:jc w:val="both"/>
        <w:rPr>
          <w:color w:val="auto"/>
          <w:highlight w:val="none"/>
          <w:lang w:eastAsia="zh-CN"/>
        </w:rPr>
      </w:pPr>
      <w:bookmarkStart w:id="31" w:name="_Toc23682"/>
      <w:bookmarkStart w:id="32" w:name="_Toc22689"/>
      <w:bookmarkStart w:id="33" w:name="_Toc27427"/>
      <w:bookmarkStart w:id="34" w:name="_Toc2978"/>
      <w:r>
        <w:rPr>
          <w:rFonts w:hint="eastAsia"/>
          <w:color w:val="auto"/>
          <w:highlight w:val="none"/>
          <w:lang w:eastAsia="zh-CN"/>
        </w:rPr>
        <w:t>4</w:t>
      </w:r>
      <w:r>
        <w:rPr>
          <w:color w:val="auto"/>
          <w:highlight w:val="none"/>
          <w:lang w:eastAsia="zh-CN"/>
        </w:rPr>
        <w:t>.1  磋商响应文件的签署</w:t>
      </w:r>
    </w:p>
    <w:p w14:paraId="1F8A1B78">
      <w:pPr>
        <w:pStyle w:val="40"/>
        <w:tabs>
          <w:tab w:val="left" w:pos="2106"/>
        </w:tabs>
        <w:spacing w:line="360" w:lineRule="auto"/>
        <w:ind w:left="474" w:firstLine="0"/>
        <w:jc w:val="both"/>
        <w:rPr>
          <w:color w:val="auto"/>
          <w:spacing w:val="-10"/>
          <w:sz w:val="24"/>
          <w:szCs w:val="24"/>
          <w:highlight w:val="none"/>
          <w:lang w:eastAsia="zh-CN"/>
        </w:rPr>
      </w:pPr>
      <w:r>
        <w:rPr>
          <w:rFonts w:hint="eastAsia"/>
          <w:color w:val="auto"/>
          <w:spacing w:val="-3"/>
          <w:sz w:val="24"/>
          <w:szCs w:val="24"/>
          <w:highlight w:val="none"/>
          <w:lang w:eastAsia="zh-CN"/>
        </w:rPr>
        <w:t>4</w:t>
      </w:r>
      <w:r>
        <w:rPr>
          <w:color w:val="auto"/>
          <w:spacing w:val="-3"/>
          <w:sz w:val="24"/>
          <w:szCs w:val="24"/>
          <w:highlight w:val="none"/>
          <w:lang w:eastAsia="zh-CN"/>
        </w:rPr>
        <w:t>.1.1  供应商在进行电子化磋商响应文件签章时，竞争性磋商文件中要求供</w:t>
      </w:r>
      <w:r>
        <w:rPr>
          <w:color w:val="auto"/>
          <w:spacing w:val="-10"/>
          <w:sz w:val="24"/>
          <w:szCs w:val="24"/>
          <w:highlight w:val="none"/>
          <w:lang w:eastAsia="zh-CN"/>
        </w:rPr>
        <w:t>应商盖章的，</w:t>
      </w:r>
    </w:p>
    <w:p w14:paraId="517E838E">
      <w:pPr>
        <w:tabs>
          <w:tab w:val="left" w:pos="2106"/>
        </w:tabs>
        <w:spacing w:line="360" w:lineRule="auto"/>
        <w:jc w:val="both"/>
        <w:rPr>
          <w:color w:val="auto"/>
          <w:sz w:val="24"/>
          <w:szCs w:val="24"/>
          <w:highlight w:val="none"/>
          <w:lang w:eastAsia="zh-CN"/>
        </w:rPr>
      </w:pPr>
      <w:r>
        <w:rPr>
          <w:color w:val="auto"/>
          <w:spacing w:val="-10"/>
          <w:sz w:val="24"/>
          <w:szCs w:val="24"/>
          <w:highlight w:val="none"/>
          <w:lang w:eastAsia="zh-CN"/>
        </w:rPr>
        <w:t>以签盖单位章为准；要求法定代表人签章的，以签盖法定代表人签</w:t>
      </w:r>
      <w:r>
        <w:rPr>
          <w:color w:val="auto"/>
          <w:spacing w:val="-2"/>
          <w:sz w:val="24"/>
          <w:szCs w:val="24"/>
          <w:highlight w:val="none"/>
          <w:lang w:eastAsia="zh-CN"/>
        </w:rPr>
        <w:t xml:space="preserve">章为准。电子化磋商响应文件具体制作教材请供应商通过 </w:t>
      </w:r>
      <w:r>
        <w:rPr>
          <w:color w:val="auto"/>
          <w:sz w:val="24"/>
          <w:szCs w:val="24"/>
          <w:highlight w:val="none"/>
          <w:lang w:eastAsia="zh-CN"/>
        </w:rPr>
        <w:t>CA</w:t>
      </w:r>
      <w:r>
        <w:rPr>
          <w:color w:val="auto"/>
          <w:spacing w:val="-9"/>
          <w:sz w:val="24"/>
          <w:szCs w:val="24"/>
          <w:highlight w:val="none"/>
          <w:lang w:eastAsia="zh-CN"/>
        </w:rPr>
        <w:t xml:space="preserve"> 证书登录三门峡市</w:t>
      </w:r>
      <w:r>
        <w:rPr>
          <w:color w:val="auto"/>
          <w:sz w:val="24"/>
          <w:szCs w:val="24"/>
          <w:highlight w:val="none"/>
          <w:lang w:eastAsia="zh-CN"/>
        </w:rPr>
        <w:t>公共资源电子化交易系统在右上角“组件下载”中查看。</w:t>
      </w:r>
    </w:p>
    <w:p w14:paraId="552D91A7">
      <w:pPr>
        <w:pStyle w:val="12"/>
        <w:tabs>
          <w:tab w:val="left" w:pos="1703"/>
        </w:tabs>
        <w:spacing w:line="360" w:lineRule="auto"/>
        <w:ind w:left="482" w:firstLine="0"/>
        <w:jc w:val="both"/>
        <w:rPr>
          <w:color w:val="auto"/>
          <w:highlight w:val="none"/>
          <w:lang w:eastAsia="zh-CN"/>
        </w:rPr>
      </w:pPr>
      <w:bookmarkStart w:id="35" w:name="4.2_磋商响应文件的上传"/>
      <w:bookmarkEnd w:id="35"/>
      <w:r>
        <w:rPr>
          <w:rFonts w:hint="eastAsia"/>
          <w:color w:val="auto"/>
          <w:highlight w:val="none"/>
          <w:lang w:eastAsia="zh-CN"/>
        </w:rPr>
        <w:t>4</w:t>
      </w:r>
      <w:r>
        <w:rPr>
          <w:color w:val="auto"/>
          <w:highlight w:val="none"/>
          <w:lang w:eastAsia="zh-CN"/>
        </w:rPr>
        <w:t>.2  磋商响应文件的上传</w:t>
      </w:r>
    </w:p>
    <w:p w14:paraId="1D56FA25">
      <w:pPr>
        <w:pStyle w:val="3"/>
        <w:spacing w:line="360" w:lineRule="auto"/>
        <w:ind w:left="0" w:firstLine="408" w:firstLineChars="200"/>
        <w:jc w:val="both"/>
        <w:rPr>
          <w:color w:val="auto"/>
          <w:highlight w:val="none"/>
          <w:lang w:eastAsia="zh-CN"/>
        </w:rPr>
      </w:pPr>
      <w:r>
        <w:rPr>
          <w:color w:val="auto"/>
          <w:spacing w:val="2"/>
          <w:highlight w:val="none"/>
          <w:lang w:eastAsia="zh-CN"/>
        </w:rPr>
        <w:t>电子化磋商响应文件应在投标截止时间前成功上传至三门峡市公共资源电</w:t>
      </w:r>
      <w:r>
        <w:rPr>
          <w:color w:val="auto"/>
          <w:spacing w:val="-10"/>
          <w:highlight w:val="none"/>
          <w:lang w:eastAsia="zh-CN"/>
        </w:rPr>
        <w:t>子化交易系统。至投标截止时间止，仍未上传成功的电子化磋商响应文件将不予</w:t>
      </w:r>
      <w:r>
        <w:rPr>
          <w:color w:val="auto"/>
          <w:highlight w:val="none"/>
          <w:lang w:eastAsia="zh-CN"/>
        </w:rPr>
        <w:t>接收。</w:t>
      </w:r>
    </w:p>
    <w:p w14:paraId="54320073">
      <w:pPr>
        <w:spacing w:line="360" w:lineRule="auto"/>
        <w:ind w:firstLine="432" w:firstLineChars="200"/>
        <w:rPr>
          <w:b/>
          <w:color w:val="auto"/>
          <w:sz w:val="24"/>
          <w:szCs w:val="24"/>
          <w:highlight w:val="none"/>
          <w:lang w:eastAsia="zh-CN"/>
        </w:rPr>
      </w:pPr>
      <w:r>
        <w:rPr>
          <w:color w:val="auto"/>
          <w:spacing w:val="-12"/>
          <w:sz w:val="24"/>
          <w:szCs w:val="24"/>
          <w:highlight w:val="none"/>
          <w:lang w:eastAsia="zh-CN"/>
        </w:rPr>
        <w:t xml:space="preserve">注：如按照电子化投标操作教材制作完成的电子化磋商响应文件无法上传的， </w:t>
      </w:r>
      <w:r>
        <w:rPr>
          <w:color w:val="auto"/>
          <w:sz w:val="24"/>
          <w:szCs w:val="24"/>
          <w:highlight w:val="none"/>
          <w:lang w:eastAsia="zh-CN"/>
        </w:rPr>
        <w:t>供应商应在</w:t>
      </w:r>
      <w:r>
        <w:rPr>
          <w:b/>
          <w:color w:val="auto"/>
          <w:sz w:val="24"/>
          <w:szCs w:val="24"/>
          <w:highlight w:val="none"/>
          <w:lang w:eastAsia="zh-CN"/>
        </w:rPr>
        <w:t>投标截止时间前尽早的</w:t>
      </w:r>
      <w:r>
        <w:rPr>
          <w:color w:val="auto"/>
          <w:spacing w:val="-10"/>
          <w:sz w:val="24"/>
          <w:szCs w:val="24"/>
          <w:highlight w:val="none"/>
          <w:lang w:eastAsia="zh-CN"/>
        </w:rPr>
        <w:t xml:space="preserve">联系中心技术人员，以便有充分的时间进行处 </w:t>
      </w:r>
      <w:r>
        <w:rPr>
          <w:color w:val="auto"/>
          <w:spacing w:val="-3"/>
          <w:sz w:val="24"/>
          <w:szCs w:val="24"/>
          <w:highlight w:val="none"/>
          <w:lang w:eastAsia="zh-CN"/>
        </w:rPr>
        <w:t>理。</w:t>
      </w:r>
      <w:r>
        <w:rPr>
          <w:b/>
          <w:color w:val="auto"/>
          <w:sz w:val="24"/>
          <w:szCs w:val="24"/>
          <w:highlight w:val="none"/>
          <w:lang w:eastAsia="zh-CN"/>
        </w:rPr>
        <w:t xml:space="preserve">供应商应充分考虑到处理技术问题和上传数据等工作所需的时间问题，电 </w:t>
      </w:r>
      <w:r>
        <w:rPr>
          <w:b/>
          <w:color w:val="auto"/>
          <w:spacing w:val="-1"/>
          <w:sz w:val="24"/>
          <w:szCs w:val="24"/>
          <w:highlight w:val="none"/>
          <w:lang w:eastAsia="zh-CN"/>
        </w:rPr>
        <w:t>子化磋商响应文件未在投标截止时间前成功上传的，其磋商响应文件不予接收。</w:t>
      </w:r>
    </w:p>
    <w:p w14:paraId="3307307C">
      <w:pPr>
        <w:pStyle w:val="12"/>
        <w:tabs>
          <w:tab w:val="left" w:pos="1463"/>
        </w:tabs>
        <w:spacing w:line="360" w:lineRule="auto"/>
        <w:ind w:left="482" w:firstLine="0"/>
        <w:rPr>
          <w:color w:val="auto"/>
          <w:highlight w:val="none"/>
          <w:lang w:eastAsia="zh-CN"/>
        </w:rPr>
      </w:pPr>
      <w:bookmarkStart w:id="36" w:name="4.3_响应文件的修改与撤回"/>
      <w:bookmarkEnd w:id="36"/>
      <w:r>
        <w:rPr>
          <w:rFonts w:hint="eastAsia"/>
          <w:color w:val="auto"/>
          <w:highlight w:val="none"/>
          <w:lang w:eastAsia="zh-CN"/>
        </w:rPr>
        <w:t>4</w:t>
      </w:r>
      <w:r>
        <w:rPr>
          <w:color w:val="auto"/>
          <w:highlight w:val="none"/>
          <w:lang w:eastAsia="zh-CN"/>
        </w:rPr>
        <w:t>.3  响应文件的修改与撤回</w:t>
      </w:r>
    </w:p>
    <w:p w14:paraId="2927627C">
      <w:pPr>
        <w:pStyle w:val="40"/>
        <w:tabs>
          <w:tab w:val="left" w:pos="2180"/>
        </w:tabs>
        <w:spacing w:line="360" w:lineRule="auto"/>
        <w:ind w:left="480" w:firstLine="0"/>
        <w:rPr>
          <w:color w:val="auto"/>
          <w:sz w:val="24"/>
          <w:szCs w:val="24"/>
          <w:highlight w:val="none"/>
          <w:lang w:eastAsia="zh-CN"/>
        </w:rPr>
      </w:pPr>
      <w:r>
        <w:rPr>
          <w:rFonts w:hint="eastAsia"/>
          <w:color w:val="auto"/>
          <w:sz w:val="24"/>
          <w:szCs w:val="24"/>
          <w:highlight w:val="none"/>
          <w:lang w:eastAsia="zh-CN"/>
        </w:rPr>
        <w:t>4</w:t>
      </w:r>
      <w:r>
        <w:rPr>
          <w:color w:val="auto"/>
          <w:sz w:val="24"/>
          <w:szCs w:val="24"/>
          <w:highlight w:val="none"/>
          <w:lang w:eastAsia="zh-CN"/>
        </w:rPr>
        <w:t>.3.1  在规定的投标截止时间前，供应商可以修改或撤回响应文件。</w:t>
      </w:r>
    </w:p>
    <w:p w14:paraId="7A3D9FDF">
      <w:pPr>
        <w:pStyle w:val="40"/>
        <w:tabs>
          <w:tab w:val="left" w:pos="2061"/>
        </w:tabs>
        <w:spacing w:line="360" w:lineRule="auto"/>
        <w:ind w:left="480" w:firstLine="0"/>
        <w:rPr>
          <w:color w:val="auto"/>
          <w:sz w:val="24"/>
          <w:szCs w:val="24"/>
          <w:highlight w:val="none"/>
          <w:lang w:eastAsia="zh-CN"/>
        </w:rPr>
      </w:pPr>
      <w:r>
        <w:rPr>
          <w:rFonts w:hint="eastAsia"/>
          <w:color w:val="auto"/>
          <w:sz w:val="24"/>
          <w:szCs w:val="24"/>
          <w:highlight w:val="none"/>
          <w:lang w:eastAsia="zh-CN"/>
        </w:rPr>
        <w:t>4</w:t>
      </w:r>
      <w:r>
        <w:rPr>
          <w:color w:val="auto"/>
          <w:sz w:val="24"/>
          <w:szCs w:val="24"/>
          <w:highlight w:val="none"/>
          <w:lang w:eastAsia="zh-CN"/>
        </w:rPr>
        <w:t>.3.2  在投标截止时间之后，供应商不得补充、修改电子化磋商响应文件。</w:t>
      </w:r>
    </w:p>
    <w:p w14:paraId="527BB42D">
      <w:pPr>
        <w:spacing w:line="600" w:lineRule="exact"/>
        <w:ind w:firstLine="482" w:firstLineChars="200"/>
        <w:outlineLvl w:val="0"/>
        <w:rPr>
          <w:rFonts w:ascii="宋体" w:hAnsi="宋体" w:eastAsia="宋体" w:cs="宋体"/>
          <w:b/>
          <w:bCs/>
          <w:color w:val="auto"/>
          <w:sz w:val="24"/>
          <w:highlight w:val="none"/>
        </w:rPr>
      </w:pPr>
      <w:r>
        <w:rPr>
          <w:rFonts w:hint="eastAsia" w:ascii="宋体" w:hAnsi="宋体" w:eastAsia="宋体" w:cs="宋体"/>
          <w:b/>
          <w:bCs/>
          <w:color w:val="auto"/>
          <w:sz w:val="24"/>
          <w:highlight w:val="none"/>
        </w:rPr>
        <w:t>5．磋商</w:t>
      </w:r>
      <w:bookmarkEnd w:id="31"/>
      <w:bookmarkEnd w:id="32"/>
      <w:bookmarkEnd w:id="33"/>
      <w:bookmarkEnd w:id="34"/>
      <w:r>
        <w:rPr>
          <w:rFonts w:hint="eastAsia" w:ascii="宋体" w:hAnsi="宋体" w:eastAsia="宋体" w:cs="宋体"/>
          <w:b/>
          <w:bCs/>
          <w:color w:val="auto"/>
          <w:sz w:val="24"/>
          <w:highlight w:val="none"/>
        </w:rPr>
        <w:t>程序</w:t>
      </w:r>
    </w:p>
    <w:p w14:paraId="1A254AC3">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5.1 磋商时间和地点</w:t>
      </w:r>
    </w:p>
    <w:p w14:paraId="72751609">
      <w:pPr>
        <w:spacing w:line="600" w:lineRule="exact"/>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见</w:t>
      </w:r>
      <w:r>
        <w:rPr>
          <w:rFonts w:hint="eastAsia" w:ascii="宋体" w:hAnsi="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须知前附表</w:t>
      </w:r>
      <w:r>
        <w:rPr>
          <w:rFonts w:hint="eastAsia" w:ascii="宋体" w:hAnsi="宋体" w:cs="宋体"/>
          <w:b w:val="0"/>
          <w:bCs w:val="0"/>
          <w:color w:val="auto"/>
          <w:sz w:val="24"/>
          <w:highlight w:val="none"/>
          <w:lang w:eastAsia="zh-CN"/>
        </w:rPr>
        <w:t>。</w:t>
      </w:r>
    </w:p>
    <w:p w14:paraId="6B90A850">
      <w:pPr>
        <w:spacing w:line="600" w:lineRule="exact"/>
        <w:ind w:firstLine="480" w:firstLineChars="200"/>
        <w:rPr>
          <w:rFonts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5.2  磋商程序</w:t>
      </w:r>
    </w:p>
    <w:p w14:paraId="34CA6D60">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5.2.1采购人按须知前附表规定的时间和地点磋商；</w:t>
      </w:r>
    </w:p>
    <w:p w14:paraId="7C73F5D2">
      <w:pPr>
        <w:snapToGrid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5.2.2本项目</w:t>
      </w:r>
      <w:r>
        <w:rPr>
          <w:rFonts w:hint="eastAsia" w:ascii="宋体" w:hAnsi="宋体" w:eastAsia="宋体" w:cs="宋体"/>
          <w:b w:val="0"/>
          <w:bCs w:val="0"/>
          <w:color w:val="auto"/>
          <w:sz w:val="24"/>
          <w:highlight w:val="none"/>
        </w:rPr>
        <w:t>采用电子化、无纸化进行磋商；</w:t>
      </w:r>
    </w:p>
    <w:p w14:paraId="18E38F58">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5.2.3响应文件递交截止时间后上传的,采购人将不予接收；</w:t>
      </w:r>
    </w:p>
    <w:p w14:paraId="2A8E52FF">
      <w:pPr>
        <w:autoSpaceDE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5.2.4按照响应文件上传顺序进行解密；</w:t>
      </w:r>
    </w:p>
    <w:p w14:paraId="4B1A57F0">
      <w:pPr>
        <w:autoSpaceDE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5.2.5经确认无误后，按照报送时间顺序确定磋商顺序；</w:t>
      </w:r>
    </w:p>
    <w:p w14:paraId="3BF4D93C">
      <w:pPr>
        <w:autoSpaceDE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5.2.6磋商时</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可登录到交易系统中在磋商解密栏中点击磋商一览表查看自己的磋商报价。</w:t>
      </w:r>
      <w:r>
        <w:rPr>
          <w:rFonts w:hint="eastAsia" w:cs="宋体" w:asciiTheme="minorEastAsia" w:hAnsiTheme="minorEastAsia" w:eastAsiaTheme="minorEastAsia"/>
          <w:b w:val="0"/>
          <w:bCs w:val="0"/>
          <w:color w:val="auto"/>
          <w:sz w:val="24"/>
          <w:szCs w:val="24"/>
          <w:highlight w:val="none"/>
        </w:rPr>
        <w:t>如对磋商过程有异议的，应在</w:t>
      </w:r>
      <w:r>
        <w:rPr>
          <w:rFonts w:hint="eastAsia" w:cs="宋体" w:asciiTheme="minorEastAsia" w:hAnsiTheme="minorEastAsia" w:eastAsiaTheme="minorEastAsia"/>
          <w:b w:val="0"/>
          <w:bCs w:val="0"/>
          <w:color w:val="auto"/>
          <w:sz w:val="24"/>
          <w:szCs w:val="24"/>
          <w:highlight w:val="none"/>
          <w:lang w:eastAsia="zh-CN"/>
        </w:rPr>
        <w:t>供应商</w:t>
      </w:r>
      <w:r>
        <w:rPr>
          <w:rFonts w:hint="eastAsia" w:cs="宋体" w:asciiTheme="minorEastAsia" w:hAnsiTheme="minorEastAsia" w:eastAsiaTheme="minorEastAsia"/>
          <w:b w:val="0"/>
          <w:bCs w:val="0"/>
          <w:color w:val="auto"/>
          <w:sz w:val="24"/>
          <w:szCs w:val="24"/>
          <w:highlight w:val="none"/>
        </w:rPr>
        <w:t>解密成功后</w:t>
      </w:r>
      <w:r>
        <w:rPr>
          <w:rFonts w:hint="eastAsia" w:cs="宋体" w:asciiTheme="minorEastAsia" w:hAnsiTheme="minorEastAsia" w:eastAsiaTheme="minorEastAsia"/>
          <w:b w:val="0"/>
          <w:bCs w:val="0"/>
          <w:color w:val="auto"/>
          <w:sz w:val="24"/>
          <w:szCs w:val="24"/>
          <w:highlight w:val="none"/>
          <w:lang w:val="en-US" w:eastAsia="zh-CN"/>
        </w:rPr>
        <w:t>10</w:t>
      </w:r>
      <w:r>
        <w:rPr>
          <w:rFonts w:hint="eastAsia" w:cs="宋体" w:asciiTheme="minorEastAsia" w:hAnsiTheme="minorEastAsia" w:eastAsiaTheme="minorEastAsia"/>
          <w:b w:val="0"/>
          <w:bCs w:val="0"/>
          <w:color w:val="auto"/>
          <w:sz w:val="24"/>
          <w:szCs w:val="24"/>
          <w:highlight w:val="none"/>
        </w:rPr>
        <w:t>分钟内通过开标大厅对话框向中介服务机构</w:t>
      </w:r>
      <w:r>
        <w:rPr>
          <w:rFonts w:hint="eastAsia" w:cs="宋体" w:asciiTheme="minorEastAsia" w:hAnsiTheme="minorEastAsia"/>
          <w:b w:val="0"/>
          <w:bCs w:val="0"/>
          <w:color w:val="auto"/>
          <w:sz w:val="24"/>
          <w:szCs w:val="24"/>
          <w:highlight w:val="none"/>
          <w:lang w:val="en-US" w:eastAsia="zh-CN"/>
        </w:rPr>
        <w:t>提出</w:t>
      </w:r>
      <w:r>
        <w:rPr>
          <w:rFonts w:hint="eastAsia" w:cs="宋体" w:asciiTheme="minorEastAsia" w:hAnsiTheme="minorEastAsia" w:eastAsiaTheme="minorEastAsia"/>
          <w:b w:val="0"/>
          <w:bCs w:val="0"/>
          <w:color w:val="auto"/>
          <w:sz w:val="24"/>
          <w:szCs w:val="24"/>
          <w:highlight w:val="none"/>
        </w:rPr>
        <w:t>质疑。</w:t>
      </w:r>
    </w:p>
    <w:p w14:paraId="390B2746">
      <w:pPr>
        <w:spacing w:line="600" w:lineRule="exact"/>
        <w:ind w:firstLine="482" w:firstLineChars="200"/>
        <w:outlineLvl w:val="0"/>
        <w:rPr>
          <w:rFonts w:ascii="宋体" w:hAnsi="宋体" w:eastAsia="宋体" w:cs="宋体"/>
          <w:b/>
          <w:bCs/>
          <w:color w:val="auto"/>
          <w:kern w:val="28"/>
          <w:sz w:val="24"/>
          <w:highlight w:val="none"/>
        </w:rPr>
      </w:pPr>
      <w:bookmarkStart w:id="37" w:name="_Toc23857"/>
      <w:bookmarkStart w:id="38" w:name="_Toc21298"/>
      <w:bookmarkStart w:id="39" w:name="_Toc7091"/>
      <w:bookmarkStart w:id="40" w:name="_Toc15884"/>
      <w:r>
        <w:rPr>
          <w:rFonts w:hint="eastAsia" w:ascii="宋体" w:hAnsi="宋体" w:eastAsia="宋体" w:cs="宋体"/>
          <w:b/>
          <w:bCs/>
          <w:color w:val="auto"/>
          <w:kern w:val="28"/>
          <w:sz w:val="24"/>
          <w:highlight w:val="none"/>
        </w:rPr>
        <w:t>6. 磋商细则</w:t>
      </w:r>
      <w:bookmarkEnd w:id="37"/>
      <w:bookmarkEnd w:id="38"/>
      <w:bookmarkEnd w:id="39"/>
      <w:bookmarkEnd w:id="40"/>
    </w:p>
    <w:p w14:paraId="697BA944">
      <w:pPr>
        <w:spacing w:line="600" w:lineRule="exact"/>
        <w:ind w:firstLine="480" w:firstLineChars="200"/>
        <w:outlineLvl w:val="0"/>
        <w:rPr>
          <w:rFonts w:hint="eastAsia" w:ascii="宋体" w:hAnsi="宋体" w:eastAsia="宋体" w:cs="宋体"/>
          <w:b w:val="0"/>
          <w:bCs w:val="0"/>
          <w:color w:val="auto"/>
          <w:sz w:val="24"/>
          <w:highlight w:val="none"/>
        </w:rPr>
      </w:pPr>
      <w:bookmarkStart w:id="41" w:name="_Toc28036"/>
      <w:bookmarkStart w:id="42" w:name="_Toc10240"/>
      <w:bookmarkStart w:id="43" w:name="_Toc26867"/>
      <w:bookmarkStart w:id="44" w:name="_Toc21922"/>
      <w:r>
        <w:rPr>
          <w:rFonts w:hint="eastAsia" w:ascii="宋体" w:hAnsi="宋体" w:cs="宋体"/>
          <w:b w:val="0"/>
          <w:bCs w:val="0"/>
          <w:color w:val="auto"/>
          <w:sz w:val="24"/>
          <w:highlight w:val="none"/>
          <w:lang w:val="en-US" w:eastAsia="zh-CN"/>
        </w:rPr>
        <w:t>6.1</w:t>
      </w:r>
      <w:r>
        <w:rPr>
          <w:rFonts w:hint="eastAsia" w:ascii="宋体" w:hAnsi="宋体" w:eastAsia="宋体" w:cs="宋体"/>
          <w:b w:val="0"/>
          <w:bCs w:val="0"/>
          <w:color w:val="auto"/>
          <w:sz w:val="24"/>
          <w:highlight w:val="none"/>
        </w:rPr>
        <w:t>采购人按照上传响应性文件时间的顺序，决定磋商顺序；</w:t>
      </w:r>
    </w:p>
    <w:p w14:paraId="67F71816">
      <w:pPr>
        <w:spacing w:line="600" w:lineRule="exact"/>
        <w:ind w:firstLine="480" w:firstLineChars="200"/>
        <w:outlineLvl w:val="0"/>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6.2</w:t>
      </w:r>
      <w:r>
        <w:rPr>
          <w:rFonts w:hint="eastAsia" w:ascii="宋体" w:hAnsi="宋体" w:eastAsia="宋体" w:cs="宋体"/>
          <w:b w:val="0"/>
          <w:bCs w:val="0"/>
          <w:color w:val="auto"/>
          <w:sz w:val="24"/>
          <w:highlight w:val="none"/>
        </w:rPr>
        <w:t>磋商小组所有成员应当集中与单一</w:t>
      </w:r>
      <w:r>
        <w:rPr>
          <w:rFonts w:hint="eastAsia" w:ascii="宋体" w:hAnsi="宋体" w:cs="宋体"/>
          <w:b w:val="0"/>
          <w:bCs w:val="0"/>
          <w:color w:val="auto"/>
          <w:sz w:val="24"/>
          <w:highlight w:val="none"/>
          <w:lang w:val="en-US" w:eastAsia="zh-CN"/>
        </w:rPr>
        <w:t>供应商</w:t>
      </w:r>
      <w:r>
        <w:rPr>
          <w:rFonts w:hint="eastAsia" w:ascii="宋体" w:hAnsi="宋体" w:eastAsia="宋体" w:cs="宋体"/>
          <w:b w:val="0"/>
          <w:bCs w:val="0"/>
          <w:color w:val="auto"/>
          <w:sz w:val="24"/>
          <w:highlight w:val="none"/>
        </w:rPr>
        <w:t>分别进行磋商。磋商小组将根据采购文件规定的程序、评定成交的标准等事项与实质性响应采购文件要求的</w:t>
      </w:r>
      <w:r>
        <w:rPr>
          <w:rFonts w:hint="eastAsia" w:ascii="宋体" w:hAnsi="宋体" w:cs="宋体"/>
          <w:b w:val="0"/>
          <w:bCs w:val="0"/>
          <w:color w:val="auto"/>
          <w:sz w:val="24"/>
          <w:highlight w:val="none"/>
          <w:lang w:val="en-US" w:eastAsia="zh-CN"/>
        </w:rPr>
        <w:t>供应商</w:t>
      </w:r>
      <w:r>
        <w:rPr>
          <w:rFonts w:hint="eastAsia" w:ascii="宋体" w:hAnsi="宋体" w:eastAsia="宋体" w:cs="宋体"/>
          <w:b w:val="0"/>
          <w:bCs w:val="0"/>
          <w:color w:val="auto"/>
          <w:sz w:val="24"/>
          <w:highlight w:val="none"/>
        </w:rPr>
        <w:t>分别进行磋商。在磋商中，磋商的任何一方不得透露与磋商有关的其他</w:t>
      </w:r>
      <w:r>
        <w:rPr>
          <w:rFonts w:hint="eastAsia" w:ascii="宋体" w:hAnsi="宋体" w:cs="宋体"/>
          <w:b w:val="0"/>
          <w:bCs w:val="0"/>
          <w:color w:val="auto"/>
          <w:sz w:val="24"/>
          <w:highlight w:val="none"/>
          <w:lang w:val="en-US" w:eastAsia="zh-CN"/>
        </w:rPr>
        <w:t>供应商</w:t>
      </w:r>
      <w:r>
        <w:rPr>
          <w:rFonts w:hint="eastAsia" w:ascii="宋体" w:hAnsi="宋体" w:eastAsia="宋体" w:cs="宋体"/>
          <w:b w:val="0"/>
          <w:bCs w:val="0"/>
          <w:color w:val="auto"/>
          <w:sz w:val="24"/>
          <w:highlight w:val="none"/>
        </w:rPr>
        <w:t>的技术资料、价格和其他信息。</w:t>
      </w:r>
    </w:p>
    <w:p w14:paraId="7C2A3155">
      <w:pPr>
        <w:spacing w:line="600" w:lineRule="exact"/>
        <w:ind w:firstLine="480" w:firstLineChars="200"/>
        <w:outlineLvl w:val="0"/>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6.3</w:t>
      </w:r>
      <w:r>
        <w:rPr>
          <w:rFonts w:hint="eastAsia" w:ascii="宋体" w:hAnsi="宋体" w:eastAsia="宋体" w:cs="宋体"/>
          <w:b w:val="0"/>
          <w:bCs w:val="0"/>
          <w:color w:val="auto"/>
          <w:sz w:val="24"/>
          <w:highlight w:val="none"/>
        </w:rPr>
        <w:t>本次磋商中，响应性文件中的报价为第一次报价。</w:t>
      </w:r>
    </w:p>
    <w:p w14:paraId="39E273FA">
      <w:pPr>
        <w:spacing w:line="600" w:lineRule="exact"/>
        <w:ind w:firstLine="480" w:firstLineChars="200"/>
        <w:outlineLvl w:val="0"/>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6.4供应商</w:t>
      </w:r>
      <w:r>
        <w:rPr>
          <w:rFonts w:hint="eastAsia" w:ascii="宋体" w:hAnsi="宋体" w:eastAsia="宋体" w:cs="宋体"/>
          <w:b w:val="0"/>
          <w:bCs w:val="0"/>
          <w:color w:val="auto"/>
          <w:sz w:val="24"/>
          <w:highlight w:val="none"/>
        </w:rPr>
        <w:t>可以在磋商小组规定的时间内进行第二次报价，通过交易中心系统以电子形式递交，第二轮报价不得高于第一轮报价，成交价以最终报价为准。磋商过程中，磋商小组可以根据磋商情况调整磋商轮次。</w:t>
      </w:r>
    </w:p>
    <w:p w14:paraId="3F4302CB">
      <w:pPr>
        <w:spacing w:line="600" w:lineRule="exact"/>
        <w:ind w:firstLine="480" w:firstLineChars="200"/>
        <w:outlineLvl w:val="0"/>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6.5</w:t>
      </w:r>
      <w:r>
        <w:rPr>
          <w:rFonts w:hint="eastAsia" w:ascii="宋体" w:hAnsi="宋体" w:eastAsia="宋体" w:cs="宋体"/>
          <w:b w:val="0"/>
          <w:bCs w:val="0"/>
          <w:color w:val="auto"/>
          <w:sz w:val="24"/>
          <w:highlight w:val="none"/>
        </w:rPr>
        <w:t>本项目采用综合评分法，磋商小组成员综合评审各</w:t>
      </w:r>
      <w:r>
        <w:rPr>
          <w:rFonts w:hint="eastAsia" w:ascii="宋体" w:hAnsi="宋体" w:cs="宋体"/>
          <w:b w:val="0"/>
          <w:bCs w:val="0"/>
          <w:color w:val="auto"/>
          <w:sz w:val="24"/>
          <w:highlight w:val="none"/>
          <w:lang w:val="en-US" w:eastAsia="zh-CN"/>
        </w:rPr>
        <w:t>供应商</w:t>
      </w:r>
      <w:r>
        <w:rPr>
          <w:rFonts w:hint="eastAsia" w:ascii="宋体" w:hAnsi="宋体" w:eastAsia="宋体" w:cs="宋体"/>
          <w:b w:val="0"/>
          <w:bCs w:val="0"/>
          <w:color w:val="auto"/>
          <w:sz w:val="24"/>
          <w:highlight w:val="none"/>
        </w:rPr>
        <w:t>提交的响应性文件，按总得分由高到低的顺序推荐3名成交候选人，并编写评审报告。</w:t>
      </w:r>
    </w:p>
    <w:p w14:paraId="2B72AFEB">
      <w:pPr>
        <w:spacing w:line="600" w:lineRule="exact"/>
        <w:ind w:firstLine="482" w:firstLineChars="200"/>
        <w:outlineLvl w:val="0"/>
        <w:rPr>
          <w:rFonts w:ascii="宋体" w:hAnsi="宋体" w:eastAsia="宋体" w:cs="宋体"/>
          <w:b/>
          <w:bCs/>
          <w:color w:val="auto"/>
          <w:sz w:val="24"/>
          <w:highlight w:val="none"/>
        </w:rPr>
      </w:pPr>
      <w:r>
        <w:rPr>
          <w:rFonts w:hint="eastAsia" w:ascii="宋体" w:hAnsi="宋体" w:eastAsia="宋体" w:cs="宋体"/>
          <w:b/>
          <w:bCs/>
          <w:color w:val="auto"/>
          <w:sz w:val="24"/>
          <w:highlight w:val="none"/>
        </w:rPr>
        <w:t>7、</w:t>
      </w:r>
      <w:bookmarkEnd w:id="41"/>
      <w:bookmarkEnd w:id="42"/>
      <w:bookmarkEnd w:id="43"/>
      <w:bookmarkEnd w:id="44"/>
      <w:r>
        <w:rPr>
          <w:rFonts w:hint="eastAsia" w:ascii="宋体" w:hAnsi="宋体" w:eastAsia="宋体" w:cs="宋体"/>
          <w:b/>
          <w:bCs/>
          <w:color w:val="auto"/>
          <w:sz w:val="24"/>
          <w:highlight w:val="none"/>
        </w:rPr>
        <w:t>磋商小组</w:t>
      </w:r>
    </w:p>
    <w:p w14:paraId="22CDBF29">
      <w:pPr>
        <w:widowControl/>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7</w:t>
      </w:r>
      <w:r>
        <w:rPr>
          <w:rFonts w:hint="eastAsia" w:ascii="宋体" w:hAnsi="宋体" w:eastAsia="宋体" w:cs="宋体"/>
          <w:color w:val="auto"/>
          <w:sz w:val="24"/>
          <w:highlight w:val="none"/>
        </w:rPr>
        <w:t>.1磋商小组由采购人依法组建，负责磋商。根据《政府采购竞争性磋商采购方式管理办法》的规定，磋商小组应当履行以下义务：</w:t>
      </w:r>
    </w:p>
    <w:p w14:paraId="42D0E6CB">
      <w:pPr>
        <w:widowControl/>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）遵纪守法，客观、公正、廉洁地履行职责；</w:t>
      </w:r>
    </w:p>
    <w:p w14:paraId="2DC9C36D">
      <w:pPr>
        <w:widowControl/>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）根据竞争性磋商文件的规定独立进行评审，对个人的评审意见承担法律责任；</w:t>
      </w:r>
    </w:p>
    <w:p w14:paraId="6A5D5BFE">
      <w:pPr>
        <w:widowControl/>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）参与磋商报告的起草；</w:t>
      </w:r>
    </w:p>
    <w:p w14:paraId="019177E5">
      <w:pPr>
        <w:widowControl/>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）配合采购人、采购代理机构答复响应标人提出的质疑；</w:t>
      </w:r>
    </w:p>
    <w:p w14:paraId="2E755119">
      <w:pPr>
        <w:widowControl/>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）配合财政部门的投诉处理和监督检查工作。</w:t>
      </w:r>
    </w:p>
    <w:p w14:paraId="12A538AA">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7.2磋商小组由有关技术、经济方面的专家组成。磋商小组人数及技术、经济专家的确定方式见响应标人须知前附表。</w:t>
      </w:r>
    </w:p>
    <w:p w14:paraId="6EB69682">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7.3 磋商原则</w:t>
      </w:r>
    </w:p>
    <w:p w14:paraId="5E02755A">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7.3.1严格按照竞争性磋商文件中的所有相关规定；按照“公平、公正、科学”的原则进行磋商。</w:t>
      </w:r>
    </w:p>
    <w:p w14:paraId="407D49AB">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7.3.2反对不正当竞争。</w:t>
      </w:r>
    </w:p>
    <w:p w14:paraId="588E1CDC">
      <w:pPr>
        <w:spacing w:line="600" w:lineRule="exact"/>
        <w:ind w:firstLine="482" w:firstLineChars="200"/>
        <w:outlineLvl w:val="0"/>
        <w:rPr>
          <w:rFonts w:ascii="宋体" w:hAnsi="宋体" w:eastAsia="宋体" w:cs="宋体"/>
          <w:b/>
          <w:bCs/>
          <w:color w:val="auto"/>
          <w:sz w:val="24"/>
          <w:highlight w:val="none"/>
        </w:rPr>
      </w:pPr>
      <w:bookmarkStart w:id="45" w:name="_Toc2977"/>
      <w:bookmarkStart w:id="46" w:name="_Toc12301"/>
      <w:bookmarkStart w:id="47" w:name="_Toc11627"/>
      <w:bookmarkStart w:id="48" w:name="_Toc18474"/>
      <w:r>
        <w:rPr>
          <w:rFonts w:hint="eastAsia" w:ascii="宋体" w:hAnsi="宋体" w:eastAsia="宋体" w:cs="宋体"/>
          <w:b/>
          <w:bCs/>
          <w:color w:val="auto"/>
          <w:sz w:val="24"/>
          <w:highlight w:val="none"/>
        </w:rPr>
        <w:t>8、磋商过程的保密</w:t>
      </w:r>
      <w:bookmarkEnd w:id="45"/>
      <w:bookmarkEnd w:id="46"/>
      <w:bookmarkEnd w:id="47"/>
      <w:bookmarkEnd w:id="48"/>
    </w:p>
    <w:p w14:paraId="6BCA26CC">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8.1响应文件的审查、澄清、评价和比较的有关资料以及成交候选人的推荐情况，与磋商有关的其他任何情况均应严格保密。</w:t>
      </w:r>
    </w:p>
    <w:p w14:paraId="767DCC3B">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8.2在响应文件的评审和比较、成交候选人推荐以及授予合同的过程中，</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向采购人和磋商小组施加影响的任何行为，都将会导致其磋商被拒绝。</w:t>
      </w:r>
    </w:p>
    <w:p w14:paraId="36189344">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8.3采购人不对未成交人就磋商过程以及未能成交原因作出任何解释。未成交人不得向磋商小组成员和其他有关人员索问磋商过程的情况和资料。</w:t>
      </w:r>
    </w:p>
    <w:p w14:paraId="5BD7B236">
      <w:pPr>
        <w:spacing w:line="600" w:lineRule="exact"/>
        <w:ind w:firstLine="482" w:firstLineChars="200"/>
        <w:outlineLvl w:val="0"/>
        <w:rPr>
          <w:rFonts w:ascii="宋体" w:hAnsi="宋体" w:eastAsia="宋体" w:cs="宋体"/>
          <w:b/>
          <w:bCs/>
          <w:color w:val="auto"/>
          <w:sz w:val="24"/>
          <w:highlight w:val="none"/>
        </w:rPr>
      </w:pPr>
      <w:bookmarkStart w:id="49" w:name="_Toc31314"/>
      <w:bookmarkStart w:id="50" w:name="_Toc10832"/>
      <w:bookmarkStart w:id="51" w:name="_Toc10668"/>
      <w:bookmarkStart w:id="52" w:name="_Toc24402"/>
      <w:r>
        <w:rPr>
          <w:rFonts w:hint="eastAsia" w:ascii="宋体" w:hAnsi="宋体" w:eastAsia="宋体" w:cs="宋体"/>
          <w:b/>
          <w:bCs/>
          <w:color w:val="auto"/>
          <w:sz w:val="24"/>
          <w:highlight w:val="none"/>
        </w:rPr>
        <w:t>9、响应文件的澄清</w:t>
      </w:r>
      <w:bookmarkEnd w:id="49"/>
      <w:bookmarkEnd w:id="50"/>
      <w:bookmarkEnd w:id="51"/>
      <w:bookmarkEnd w:id="52"/>
    </w:p>
    <w:p w14:paraId="1D03932F">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磋商小组可以以书面形式要求</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对其响应文件中含义不明确的内容作必要的澄清或说明。</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应采用书面形式进行澄清和说明，但不得超出响应文件的范围或者改变响应文件实质性内容。凡属于磋商小组在磋商发现的计算错误并进行核实的修改不在此列。</w:t>
      </w:r>
    </w:p>
    <w:p w14:paraId="6113A781">
      <w:pPr>
        <w:spacing w:line="600" w:lineRule="exact"/>
        <w:ind w:firstLine="482" w:firstLineChars="200"/>
        <w:outlineLvl w:val="0"/>
        <w:rPr>
          <w:rFonts w:ascii="宋体" w:hAnsi="宋体" w:eastAsia="宋体" w:cs="宋体"/>
          <w:b/>
          <w:bCs/>
          <w:color w:val="auto"/>
          <w:sz w:val="24"/>
          <w:highlight w:val="none"/>
        </w:rPr>
      </w:pPr>
      <w:bookmarkStart w:id="53" w:name="_Toc7780"/>
      <w:bookmarkStart w:id="54" w:name="_Toc10092"/>
      <w:bookmarkStart w:id="55" w:name="_Toc572"/>
      <w:bookmarkStart w:id="56" w:name="_Toc26096"/>
      <w:r>
        <w:rPr>
          <w:rFonts w:hint="eastAsia" w:ascii="宋体" w:hAnsi="宋体" w:eastAsia="宋体" w:cs="宋体"/>
          <w:b/>
          <w:bCs/>
          <w:color w:val="auto"/>
          <w:sz w:val="24"/>
          <w:highlight w:val="none"/>
        </w:rPr>
        <w:t>10、响应文件的初步评审</w:t>
      </w:r>
      <w:bookmarkEnd w:id="53"/>
      <w:bookmarkEnd w:id="54"/>
      <w:bookmarkEnd w:id="55"/>
      <w:bookmarkEnd w:id="56"/>
    </w:p>
    <w:p w14:paraId="665E5171">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10.1根据初步评审要求经审查有效的响应文件，才能提交磋商小组进行评审。</w:t>
      </w:r>
    </w:p>
    <w:p w14:paraId="23707391">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的义务方面造成重大的限制，纠正这些差异或保留，将会对其他实质上响应竞争性磋商文件要求的</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的竞争地位产生不公正的影响。</w:t>
      </w:r>
    </w:p>
    <w:p w14:paraId="6E24D4C7">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10.3如果响应文件实质上不响应竞争性磋商文件的要求，采购人将予以拒绝，并且不允许</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通过修改或撤消其不符合要求的差异或保留，使之成为具有响应性的磋商。</w:t>
      </w:r>
    </w:p>
    <w:p w14:paraId="330E161D">
      <w:pPr>
        <w:spacing w:line="600" w:lineRule="exact"/>
        <w:ind w:firstLine="482" w:firstLineChars="200"/>
        <w:outlineLvl w:val="0"/>
        <w:rPr>
          <w:rFonts w:ascii="宋体" w:hAnsi="宋体" w:eastAsia="宋体" w:cs="宋体"/>
          <w:b/>
          <w:bCs/>
          <w:color w:val="auto"/>
          <w:sz w:val="24"/>
          <w:highlight w:val="none"/>
        </w:rPr>
      </w:pPr>
      <w:bookmarkStart w:id="57" w:name="_Toc4879"/>
      <w:bookmarkStart w:id="58" w:name="_Toc8522"/>
      <w:bookmarkStart w:id="59" w:name="_Toc10938"/>
      <w:bookmarkStart w:id="60" w:name="_Toc23151"/>
      <w:r>
        <w:rPr>
          <w:rFonts w:hint="eastAsia" w:ascii="宋体" w:hAnsi="宋体" w:eastAsia="宋体" w:cs="宋体"/>
          <w:b/>
          <w:bCs/>
          <w:color w:val="auto"/>
          <w:sz w:val="24"/>
          <w:highlight w:val="none"/>
        </w:rPr>
        <w:t>11.响应文件计算错误的修正</w:t>
      </w:r>
      <w:bookmarkEnd w:id="57"/>
      <w:bookmarkEnd w:id="58"/>
      <w:bookmarkEnd w:id="59"/>
      <w:bookmarkEnd w:id="60"/>
    </w:p>
    <w:p w14:paraId="5152D87A">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11.1磋商小组将对确定为实质上响应竞争性磋商文件要求的响应文件进行校核，看其是否有计算或表达上的错误，修正错误的原则如下：</w:t>
      </w:r>
    </w:p>
    <w:p w14:paraId="238CCD23">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11.1.1如果数字表示的金额和用文字表示的金额不一致时，应以文字表示的金额为准；</w:t>
      </w:r>
    </w:p>
    <w:p w14:paraId="3F32A1CB">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11.1.2当单价与数量的乘积与合价不一致时，以单价为准，除非磋商小组认为单价有明显的小数点错误，此时应以标出的合价为准，并修改单价。</w:t>
      </w:r>
    </w:p>
    <w:p w14:paraId="2B70ABEE">
      <w:pPr>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11.2按上述修正错误的原则及方法调整或修正响应文件的磋商报价，</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同意后，调整后的磋商报价对</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起约束作用。如果</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不接受修正后的报价，则磋商小组对其不再进行评审。</w:t>
      </w:r>
    </w:p>
    <w:p w14:paraId="4AC540AB">
      <w:pPr>
        <w:spacing w:line="600" w:lineRule="exact"/>
        <w:ind w:firstLine="482" w:firstLineChars="200"/>
        <w:outlineLvl w:val="0"/>
        <w:rPr>
          <w:rFonts w:ascii="宋体" w:hAnsi="宋体" w:eastAsia="宋体" w:cs="宋体"/>
          <w:b/>
          <w:bCs/>
          <w:color w:val="auto"/>
          <w:sz w:val="24"/>
          <w:highlight w:val="none"/>
        </w:rPr>
      </w:pPr>
      <w:bookmarkStart w:id="61" w:name="_Toc25476"/>
      <w:bookmarkStart w:id="62" w:name="_Toc7158"/>
      <w:bookmarkStart w:id="63" w:name="_Toc22441"/>
      <w:bookmarkStart w:id="64" w:name="_Toc21245"/>
      <w:r>
        <w:rPr>
          <w:rFonts w:hint="eastAsia" w:ascii="宋体" w:hAnsi="宋体" w:eastAsia="宋体" w:cs="宋体"/>
          <w:b/>
          <w:bCs/>
          <w:color w:val="auto"/>
          <w:sz w:val="24"/>
          <w:highlight w:val="none"/>
        </w:rPr>
        <w:t>12. 响应文件的评审、比较和否决</w:t>
      </w:r>
      <w:bookmarkEnd w:id="61"/>
      <w:bookmarkEnd w:id="62"/>
      <w:bookmarkEnd w:id="63"/>
      <w:bookmarkEnd w:id="64"/>
    </w:p>
    <w:p w14:paraId="1B17EC75">
      <w:pPr>
        <w:snapToGrid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12.1磋商小组仅对在实质上响应竞争性磋商文件要求的响应文件进行评估和比较。</w:t>
      </w:r>
    </w:p>
    <w:p w14:paraId="76D87458">
      <w:pPr>
        <w:snapToGrid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12.2在磋商过程中，磋商小组发现</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的磋商报价明显低于其他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的报价，并有可能低于其企业成本的，则磋商小组可以以书面形式要求该</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作出书面说明并提供相关证明材料。</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不能合理说明或不能提供相关证明材料的，磋商小组对其响应文件不再进行评审。</w:t>
      </w:r>
    </w:p>
    <w:p w14:paraId="3067479E">
      <w:pPr>
        <w:snapToGrid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12.3在首轮磋商的基础上，磋商小组讨论、分析、综合各种因素后，决定是否与各方再次进行磋商。 </w:t>
      </w:r>
    </w:p>
    <w:p w14:paraId="420DDB41">
      <w:pPr>
        <w:snapToGrid w:val="0"/>
        <w:spacing w:line="60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13、成交候选人</w:t>
      </w:r>
    </w:p>
    <w:p w14:paraId="1C6E84D7">
      <w:pPr>
        <w:snapToGrid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磋商小组应当根据综合评分情况，按照评审由高到低的顺序推荐成交候选</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sz w:val="24"/>
          <w:highlight w:val="none"/>
        </w:rPr>
        <w:t>，并向采购人提供书面评审报告，采购人及采购代理机构在政府采购项目评审结束</w:t>
      </w:r>
      <w:r>
        <w:rPr>
          <w:rFonts w:hint="eastAsia" w:ascii="宋体" w:hAnsi="宋体" w:cs="宋体"/>
          <w:color w:val="auto"/>
          <w:sz w:val="24"/>
          <w:highlight w:val="none"/>
          <w:lang w:val="en-US" w:eastAsia="zh-CN"/>
        </w:rPr>
        <w:t>后及时</w:t>
      </w:r>
      <w:r>
        <w:rPr>
          <w:rFonts w:hint="eastAsia" w:ascii="宋体" w:hAnsi="宋体" w:eastAsia="宋体" w:cs="宋体"/>
          <w:color w:val="auto"/>
          <w:sz w:val="24"/>
          <w:highlight w:val="none"/>
        </w:rPr>
        <w:t>完成评标报告的报送、中标（成交）</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的确定、中标（成交）公告发布及中标（成交）通知书的发出等。</w:t>
      </w:r>
    </w:p>
    <w:p w14:paraId="16ADA81C">
      <w:pPr>
        <w:snapToGrid w:val="0"/>
        <w:spacing w:line="60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14、合同授予</w:t>
      </w:r>
    </w:p>
    <w:p w14:paraId="54B45540">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成交</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自成交通知书发出之日起</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个工作日内应与采购人签订承包合同。</w:t>
      </w:r>
    </w:p>
    <w:p w14:paraId="72BC3D55">
      <w:pPr>
        <w:snapToGrid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竞争性磋商文件成交单位的响应性文件及其相关澄清、补遗文件等，均为签订合同的依据。</w:t>
      </w:r>
    </w:p>
    <w:p w14:paraId="07DF2676">
      <w:pPr>
        <w:snapToGrid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14.2成交单位如未能按竞争性磋商文件要求，在规定限期内与采购人签订合同，无论何种原因招标方将取消其成交资格、撤销其成交通知书。在此情况下，采购人可将合同授予排名次高的</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w:t>
      </w:r>
    </w:p>
    <w:p w14:paraId="381308D2">
      <w:pPr>
        <w:snapToGrid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14.3在签订合同过程中，如发现成交</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以他人名义磋商或者以其他方式弄虚作假，骗取成交的，采购人有权取消其成交资格。</w:t>
      </w:r>
    </w:p>
    <w:p w14:paraId="71218789">
      <w:pPr>
        <w:snapToGrid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14.4采购人应在采购合同</w:t>
      </w:r>
      <w:r>
        <w:rPr>
          <w:rFonts w:hint="eastAsia" w:ascii="宋体" w:hAnsi="宋体" w:cs="宋体"/>
          <w:color w:val="auto"/>
          <w:sz w:val="24"/>
          <w:highlight w:val="none"/>
          <w:lang w:val="en-US" w:eastAsia="zh-CN"/>
        </w:rPr>
        <w:t>后及时</w:t>
      </w:r>
      <w:r>
        <w:rPr>
          <w:rFonts w:hint="eastAsia" w:ascii="宋体" w:hAnsi="宋体" w:eastAsia="宋体" w:cs="宋体"/>
          <w:color w:val="auto"/>
          <w:sz w:val="24"/>
          <w:highlight w:val="none"/>
        </w:rPr>
        <w:t>将政府采购合同在</w:t>
      </w:r>
      <w:r>
        <w:rPr>
          <w:rFonts w:hint="eastAsia" w:ascii="宋体" w:hAnsi="宋体" w:cs="宋体"/>
          <w:color w:val="auto"/>
          <w:sz w:val="24"/>
          <w:highlight w:val="none"/>
          <w:lang w:val="en-US" w:eastAsia="zh-CN"/>
        </w:rPr>
        <w:t>三门峡市公共资源交易中心网</w:t>
      </w:r>
      <w:r>
        <w:rPr>
          <w:rFonts w:hint="eastAsia" w:ascii="宋体" w:hAnsi="宋体" w:eastAsia="宋体" w:cs="宋体"/>
          <w:color w:val="auto"/>
          <w:sz w:val="24"/>
          <w:highlight w:val="none"/>
        </w:rPr>
        <w:t>发布公告信息及将采购合同报同级</w:t>
      </w:r>
      <w:r>
        <w:rPr>
          <w:rFonts w:hint="eastAsia" w:ascii="宋体" w:hAnsi="宋体" w:cs="宋体"/>
          <w:color w:val="auto"/>
          <w:sz w:val="24"/>
          <w:highlight w:val="none"/>
          <w:lang w:val="en-US" w:eastAsia="zh-CN"/>
        </w:rPr>
        <w:t>监督</w:t>
      </w:r>
      <w:r>
        <w:rPr>
          <w:rFonts w:hint="eastAsia" w:ascii="宋体" w:hAnsi="宋体" w:eastAsia="宋体" w:cs="宋体"/>
          <w:color w:val="auto"/>
          <w:sz w:val="24"/>
          <w:highlight w:val="none"/>
        </w:rPr>
        <w:t>部门备案。</w:t>
      </w:r>
      <w:bookmarkEnd w:id="13"/>
    </w:p>
    <w:p w14:paraId="3E4D949C">
      <w:pPr>
        <w:keepNext/>
        <w:tabs>
          <w:tab w:val="left" w:pos="1233"/>
        </w:tabs>
        <w:spacing w:line="600" w:lineRule="exact"/>
        <w:ind w:firstLine="482" w:firstLineChars="200"/>
        <w:outlineLvl w:val="1"/>
        <w:rPr>
          <w:rFonts w:ascii="宋体" w:hAnsi="宋体" w:eastAsia="宋体" w:cs="宋体"/>
          <w:b/>
          <w:bCs/>
          <w:color w:val="auto"/>
          <w:sz w:val="24"/>
          <w:highlight w:val="none"/>
        </w:rPr>
      </w:pPr>
      <w:r>
        <w:rPr>
          <w:rFonts w:hint="eastAsia" w:ascii="宋体" w:hAnsi="宋体" w:eastAsia="宋体" w:cs="宋体"/>
          <w:b/>
          <w:bCs/>
          <w:color w:val="auto"/>
          <w:sz w:val="24"/>
          <w:highlight w:val="none"/>
        </w:rPr>
        <w:t>15、重新招标</w:t>
      </w:r>
    </w:p>
    <w:p w14:paraId="6BA7E849">
      <w:pPr>
        <w:snapToGrid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15.1出现下列情形之一的，将终止竞争性磋商采购活动，发布项目终止公告并说明原因，重新开展采购活动：</w:t>
      </w:r>
    </w:p>
    <w:p w14:paraId="173D4C3B">
      <w:pPr>
        <w:snapToGrid w:val="0"/>
        <w:spacing w:line="600" w:lineRule="exact"/>
        <w:ind w:firstLine="480" w:firstLineChars="200"/>
        <w:rPr>
          <w:rFonts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不符合法律、法规和竞争性磋商文件中规定的其他实质性要求的；</w:t>
      </w:r>
    </w:p>
    <w:p w14:paraId="2E7DBB96">
      <w:pPr>
        <w:snapToGrid w:val="0"/>
        <w:spacing w:line="600" w:lineRule="exact"/>
        <w:ind w:firstLine="480" w:firstLineChars="200"/>
        <w:rPr>
          <w:rFonts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其他法律、法规及本竞争性磋商文件规定的属响应无效的情形。终止竞争性磋商采购活动的条款；</w:t>
      </w:r>
    </w:p>
    <w:p w14:paraId="0049D475">
      <w:pPr>
        <w:snapToGrid w:val="0"/>
        <w:spacing w:line="600" w:lineRule="exact"/>
        <w:ind w:firstLine="480" w:firstLineChars="200"/>
        <w:rPr>
          <w:rFonts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因情况变化，不再符合规定的竞争性磋商采购方式适用情形的；出现影响采购公正的违法、违规行为的；</w:t>
      </w:r>
    </w:p>
    <w:p w14:paraId="287D8C5A">
      <w:pPr>
        <w:snapToGrid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15.2</w:t>
      </w:r>
      <w:r>
        <w:rPr>
          <w:rFonts w:hint="eastAsia" w:ascii="宋体" w:hAnsi="宋体" w:eastAsia="宋体" w:cs="宋体"/>
          <w:color w:val="auto"/>
          <w:spacing w:val="-4"/>
          <w:sz w:val="24"/>
          <w:highlight w:val="none"/>
        </w:rPr>
        <w:t>磋商截止时间结束后参加</w:t>
      </w:r>
      <w:r>
        <w:rPr>
          <w:rFonts w:hint="eastAsia" w:ascii="宋体" w:hAnsi="宋体" w:cs="宋体"/>
          <w:color w:val="auto"/>
          <w:spacing w:val="-4"/>
          <w:sz w:val="24"/>
          <w:highlight w:val="none"/>
          <w:lang w:eastAsia="zh-CN"/>
        </w:rPr>
        <w:t>供应商</w:t>
      </w:r>
      <w:r>
        <w:rPr>
          <w:rFonts w:hint="eastAsia" w:ascii="宋体" w:hAnsi="宋体" w:eastAsia="宋体" w:cs="宋体"/>
          <w:color w:val="auto"/>
          <w:spacing w:val="-4"/>
          <w:sz w:val="24"/>
          <w:highlight w:val="none"/>
        </w:rPr>
        <w:t>不足3家的，应重新组织采购。评审期间符合专业条件的</w:t>
      </w:r>
      <w:r>
        <w:rPr>
          <w:rFonts w:hint="eastAsia" w:ascii="宋体" w:hAnsi="宋体" w:cs="宋体"/>
          <w:color w:val="auto"/>
          <w:spacing w:val="-4"/>
          <w:sz w:val="24"/>
          <w:highlight w:val="none"/>
          <w:lang w:eastAsia="zh-CN"/>
        </w:rPr>
        <w:t>供应商</w:t>
      </w:r>
      <w:r>
        <w:rPr>
          <w:rFonts w:hint="eastAsia" w:ascii="宋体" w:hAnsi="宋体" w:eastAsia="宋体" w:cs="宋体"/>
          <w:color w:val="auto"/>
          <w:spacing w:val="-4"/>
          <w:sz w:val="24"/>
          <w:highlight w:val="none"/>
        </w:rPr>
        <w:t>或者对磋商响应文件作出实质响应的</w:t>
      </w:r>
      <w:r>
        <w:rPr>
          <w:rFonts w:hint="eastAsia" w:ascii="宋体" w:hAnsi="宋体" w:cs="宋体"/>
          <w:color w:val="auto"/>
          <w:spacing w:val="-4"/>
          <w:sz w:val="24"/>
          <w:highlight w:val="none"/>
          <w:lang w:eastAsia="zh-CN"/>
        </w:rPr>
        <w:t>供应商</w:t>
      </w:r>
      <w:r>
        <w:rPr>
          <w:rFonts w:hint="eastAsia" w:ascii="宋体" w:hAnsi="宋体" w:eastAsia="宋体" w:cs="宋体"/>
          <w:color w:val="auto"/>
          <w:spacing w:val="-4"/>
          <w:sz w:val="24"/>
          <w:highlight w:val="none"/>
        </w:rPr>
        <w:t>不足3家的，</w:t>
      </w:r>
      <w:r>
        <w:rPr>
          <w:rFonts w:hint="eastAsia" w:ascii="宋体" w:hAnsi="宋体" w:eastAsia="宋体" w:cs="宋体"/>
          <w:color w:val="auto"/>
          <w:sz w:val="24"/>
          <w:highlight w:val="none"/>
        </w:rPr>
        <w:t>应重新组织采购。</w:t>
      </w:r>
    </w:p>
    <w:p w14:paraId="0C11BE88">
      <w:pPr>
        <w:widowControl/>
        <w:shd w:val="clear" w:color="auto" w:fill="FFFFFF"/>
        <w:spacing w:line="600" w:lineRule="exact"/>
        <w:ind w:firstLine="482" w:firstLineChars="200"/>
        <w:jc w:val="left"/>
        <w:rPr>
          <w:rFonts w:ascii="宋体" w:hAnsi="宋体" w:eastAsia="宋体" w:cs="monospace"/>
          <w:b/>
          <w:color w:val="auto"/>
          <w:sz w:val="24"/>
          <w:highlight w:val="none"/>
        </w:rPr>
      </w:pPr>
      <w:r>
        <w:rPr>
          <w:rFonts w:hint="eastAsia" w:ascii="宋体" w:hAnsi="宋体" w:eastAsia="宋体" w:cs="monospace"/>
          <w:b/>
          <w:color w:val="auto"/>
          <w:kern w:val="0"/>
          <w:sz w:val="24"/>
          <w:highlight w:val="none"/>
          <w:shd w:val="clear" w:color="auto" w:fill="FFFFFF"/>
        </w:rPr>
        <w:t>16、</w:t>
      </w:r>
      <w:r>
        <w:rPr>
          <w:rFonts w:ascii="宋体" w:hAnsi="宋体" w:eastAsia="宋体" w:cs="sans-serif"/>
          <w:b/>
          <w:color w:val="auto"/>
          <w:kern w:val="0"/>
          <w:sz w:val="24"/>
          <w:highlight w:val="none"/>
          <w:shd w:val="clear" w:color="auto" w:fill="FFFFFF"/>
        </w:rPr>
        <w:t>投诉</w:t>
      </w:r>
    </w:p>
    <w:p w14:paraId="14AE8B6E">
      <w:pPr>
        <w:snapToGrid w:val="0"/>
        <w:spacing w:line="600" w:lineRule="exact"/>
        <w:ind w:firstLine="480" w:firstLineChars="200"/>
        <w:rPr>
          <w:rFonts w:ascii="宋体" w:hAnsi="宋体" w:eastAsia="宋体" w:cs="宋体"/>
          <w:color w:val="auto"/>
          <w:sz w:val="24"/>
          <w:highlight w:val="none"/>
        </w:rPr>
      </w:pPr>
      <w:r>
        <w:rPr>
          <w:rFonts w:hint="eastAsia" w:ascii="宋体" w:hAnsi="宋体" w:cs="宋体"/>
          <w:color w:val="auto"/>
          <w:kern w:val="0"/>
          <w:sz w:val="24"/>
          <w:szCs w:val="24"/>
          <w:highlight w:val="none"/>
          <w:lang w:val="en-US" w:eastAsia="zh-CN"/>
        </w:rPr>
        <w:t>供应商</w:t>
      </w:r>
      <w:r>
        <w:rPr>
          <w:rFonts w:ascii="宋体" w:hAnsi="宋体" w:eastAsia="宋体" w:cs="宋体"/>
          <w:color w:val="auto"/>
          <w:sz w:val="24"/>
          <w:highlight w:val="none"/>
        </w:rPr>
        <w:t>和其他利害关系人认为本次竞争性磋商违反法律、法规和规章规定的，有权向有关行政监督部门投诉。</w:t>
      </w:r>
    </w:p>
    <w:p w14:paraId="5A2EDF2E">
      <w:pPr>
        <w:widowControl/>
        <w:shd w:val="clear" w:color="auto" w:fill="FFFFFF"/>
        <w:spacing w:line="600" w:lineRule="exact"/>
        <w:ind w:firstLine="482" w:firstLineChars="200"/>
        <w:jc w:val="left"/>
        <w:rPr>
          <w:rFonts w:ascii="宋体" w:hAnsi="宋体" w:eastAsia="宋体" w:cs="monospace"/>
          <w:b/>
          <w:color w:val="auto"/>
          <w:sz w:val="24"/>
          <w:highlight w:val="none"/>
        </w:rPr>
      </w:pPr>
      <w:r>
        <w:rPr>
          <w:rFonts w:hint="eastAsia" w:ascii="宋体" w:hAnsi="宋体" w:eastAsia="宋体" w:cs="monospace"/>
          <w:b/>
          <w:color w:val="auto"/>
          <w:kern w:val="0"/>
          <w:sz w:val="24"/>
          <w:highlight w:val="none"/>
          <w:shd w:val="clear" w:color="auto" w:fill="FFFFFF"/>
        </w:rPr>
        <w:t>17</w:t>
      </w:r>
      <w:r>
        <w:rPr>
          <w:rFonts w:hint="eastAsia" w:ascii="宋体" w:hAnsi="宋体" w:cs="monospace"/>
          <w:b/>
          <w:color w:val="auto"/>
          <w:kern w:val="0"/>
          <w:sz w:val="24"/>
          <w:highlight w:val="none"/>
          <w:shd w:val="clear" w:color="auto" w:fill="FFFFFF"/>
          <w:lang w:eastAsia="zh-CN"/>
        </w:rPr>
        <w:t>、</w:t>
      </w:r>
      <w:r>
        <w:rPr>
          <w:rFonts w:ascii="宋体" w:hAnsi="宋体" w:eastAsia="宋体" w:cs="sans-serif"/>
          <w:b/>
          <w:color w:val="auto"/>
          <w:kern w:val="0"/>
          <w:sz w:val="24"/>
          <w:highlight w:val="none"/>
          <w:shd w:val="clear" w:color="auto" w:fill="FFFFFF"/>
        </w:rPr>
        <w:t>质疑程序及处理</w:t>
      </w:r>
    </w:p>
    <w:p w14:paraId="28B0047E">
      <w:pPr>
        <w:snapToGrid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17.1</w:t>
      </w:r>
      <w:r>
        <w:rPr>
          <w:rFonts w:ascii="宋体" w:hAnsi="宋体" w:eastAsia="宋体" w:cs="宋体"/>
          <w:color w:val="auto"/>
          <w:sz w:val="24"/>
          <w:highlight w:val="none"/>
        </w:rPr>
        <w:t>若</w:t>
      </w:r>
      <w:r>
        <w:rPr>
          <w:rFonts w:hint="eastAsia" w:ascii="宋体" w:hAnsi="宋体" w:cs="宋体"/>
          <w:color w:val="auto"/>
          <w:kern w:val="0"/>
          <w:sz w:val="24"/>
          <w:szCs w:val="24"/>
          <w:highlight w:val="none"/>
          <w:lang w:val="en-US" w:eastAsia="zh-CN"/>
        </w:rPr>
        <w:t>供应商</w:t>
      </w:r>
      <w:r>
        <w:rPr>
          <w:rFonts w:ascii="宋体" w:hAnsi="宋体" w:eastAsia="宋体" w:cs="宋体"/>
          <w:color w:val="auto"/>
          <w:sz w:val="24"/>
          <w:highlight w:val="none"/>
        </w:rPr>
        <w:t>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748C0B65">
      <w:pPr>
        <w:snapToGrid w:val="0"/>
        <w:spacing w:line="600" w:lineRule="exact"/>
        <w:ind w:firstLine="480" w:firstLineChars="200"/>
        <w:rPr>
          <w:rFonts w:ascii="宋体" w:hAnsi="宋体" w:eastAsia="宋体" w:cs="宋体"/>
          <w:b w:val="0"/>
          <w:bCs w:val="0"/>
          <w:color w:val="auto"/>
          <w:sz w:val="24"/>
          <w:highlight w:val="none"/>
        </w:rPr>
      </w:pPr>
      <w:r>
        <w:rPr>
          <w:rFonts w:ascii="宋体" w:hAnsi="宋体" w:eastAsia="宋体" w:cs="宋体"/>
          <w:b w:val="0"/>
          <w:bCs w:val="0"/>
          <w:color w:val="auto"/>
          <w:sz w:val="24"/>
          <w:highlight w:val="none"/>
        </w:rPr>
        <w:t>（</w:t>
      </w:r>
      <w:r>
        <w:rPr>
          <w:rFonts w:hint="eastAsia" w:ascii="宋体" w:hAnsi="宋体" w:cs="宋体"/>
          <w:b w:val="0"/>
          <w:bCs w:val="0"/>
          <w:color w:val="auto"/>
          <w:sz w:val="24"/>
          <w:highlight w:val="none"/>
          <w:lang w:val="en-US" w:eastAsia="zh-CN"/>
        </w:rPr>
        <w:t>1</w:t>
      </w:r>
      <w:r>
        <w:rPr>
          <w:rFonts w:ascii="宋体" w:hAnsi="宋体" w:eastAsia="宋体" w:cs="宋体"/>
          <w:b w:val="0"/>
          <w:bCs w:val="0"/>
          <w:color w:val="auto"/>
          <w:sz w:val="24"/>
          <w:highlight w:val="none"/>
        </w:rPr>
        <w:t>）对可以质疑的磋商文件提出质疑的，为收到磋商文件之日或者磋商文件公告期限届满之日；</w:t>
      </w:r>
    </w:p>
    <w:p w14:paraId="0D7683EF">
      <w:pPr>
        <w:snapToGrid w:val="0"/>
        <w:spacing w:line="600" w:lineRule="exact"/>
        <w:ind w:firstLine="480" w:firstLineChars="200"/>
        <w:rPr>
          <w:rFonts w:ascii="宋体" w:hAnsi="宋体" w:eastAsia="宋体" w:cs="宋体"/>
          <w:b w:val="0"/>
          <w:bCs w:val="0"/>
          <w:color w:val="auto"/>
          <w:sz w:val="24"/>
          <w:highlight w:val="none"/>
        </w:rPr>
      </w:pPr>
      <w:r>
        <w:rPr>
          <w:rFonts w:ascii="宋体" w:hAnsi="宋体" w:eastAsia="宋体" w:cs="宋体"/>
          <w:b w:val="0"/>
          <w:bCs w:val="0"/>
          <w:color w:val="auto"/>
          <w:sz w:val="24"/>
          <w:highlight w:val="none"/>
        </w:rPr>
        <w:t>（</w:t>
      </w:r>
      <w:r>
        <w:rPr>
          <w:rFonts w:hint="eastAsia" w:ascii="宋体" w:hAnsi="宋体" w:cs="宋体"/>
          <w:b w:val="0"/>
          <w:bCs w:val="0"/>
          <w:color w:val="auto"/>
          <w:sz w:val="24"/>
          <w:highlight w:val="none"/>
          <w:lang w:val="en-US" w:eastAsia="zh-CN"/>
        </w:rPr>
        <w:t>2</w:t>
      </w:r>
      <w:r>
        <w:rPr>
          <w:rFonts w:ascii="宋体" w:hAnsi="宋体" w:eastAsia="宋体" w:cs="宋体"/>
          <w:b w:val="0"/>
          <w:bCs w:val="0"/>
          <w:color w:val="auto"/>
          <w:sz w:val="24"/>
          <w:highlight w:val="none"/>
        </w:rPr>
        <w:t>）对采购过程提出质疑的，为各采购程序环节结束之</w:t>
      </w:r>
      <w:r>
        <w:rPr>
          <w:rFonts w:hint="eastAsia" w:ascii="宋体" w:hAnsi="宋体" w:cs="宋体"/>
          <w:b w:val="0"/>
          <w:bCs w:val="0"/>
          <w:color w:val="auto"/>
          <w:sz w:val="24"/>
          <w:highlight w:val="none"/>
          <w:lang w:val="en-US" w:eastAsia="zh-CN"/>
        </w:rPr>
        <w:t>时</w:t>
      </w:r>
      <w:r>
        <w:rPr>
          <w:rFonts w:ascii="宋体" w:hAnsi="宋体" w:eastAsia="宋体" w:cs="宋体"/>
          <w:b w:val="0"/>
          <w:bCs w:val="0"/>
          <w:color w:val="auto"/>
          <w:sz w:val="24"/>
          <w:highlight w:val="none"/>
        </w:rPr>
        <w:t>；</w:t>
      </w:r>
    </w:p>
    <w:p w14:paraId="1A3A3C54">
      <w:pPr>
        <w:snapToGrid w:val="0"/>
        <w:spacing w:line="600" w:lineRule="exact"/>
        <w:ind w:firstLine="480" w:firstLineChars="200"/>
        <w:rPr>
          <w:rFonts w:ascii="宋体" w:hAnsi="宋体" w:eastAsia="宋体" w:cs="宋体"/>
          <w:b w:val="0"/>
          <w:bCs w:val="0"/>
          <w:color w:val="auto"/>
          <w:sz w:val="24"/>
          <w:highlight w:val="none"/>
        </w:rPr>
      </w:pPr>
      <w:r>
        <w:rPr>
          <w:rFonts w:ascii="宋体" w:hAnsi="宋体" w:eastAsia="宋体" w:cs="宋体"/>
          <w:b w:val="0"/>
          <w:bCs w:val="0"/>
          <w:color w:val="auto"/>
          <w:sz w:val="24"/>
          <w:highlight w:val="none"/>
        </w:rPr>
        <w:t>（</w:t>
      </w:r>
      <w:r>
        <w:rPr>
          <w:rFonts w:hint="eastAsia" w:ascii="宋体" w:hAnsi="宋体" w:cs="宋体"/>
          <w:b w:val="0"/>
          <w:bCs w:val="0"/>
          <w:color w:val="auto"/>
          <w:sz w:val="24"/>
          <w:highlight w:val="none"/>
          <w:lang w:val="en-US" w:eastAsia="zh-CN"/>
        </w:rPr>
        <w:t>3</w:t>
      </w:r>
      <w:r>
        <w:rPr>
          <w:rFonts w:ascii="宋体" w:hAnsi="宋体" w:eastAsia="宋体" w:cs="宋体"/>
          <w:b w:val="0"/>
          <w:bCs w:val="0"/>
          <w:color w:val="auto"/>
          <w:sz w:val="24"/>
          <w:highlight w:val="none"/>
        </w:rPr>
        <w:t>）对成交结果提出质疑的，为成交结果公告期限届满之日。</w:t>
      </w:r>
    </w:p>
    <w:p w14:paraId="7A654AC1">
      <w:pPr>
        <w:snapToGrid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17.2</w:t>
      </w:r>
      <w:r>
        <w:rPr>
          <w:rFonts w:ascii="宋体" w:hAnsi="宋体" w:eastAsia="宋体" w:cs="宋体"/>
          <w:color w:val="auto"/>
          <w:sz w:val="24"/>
          <w:highlight w:val="none"/>
        </w:rPr>
        <w:t>质疑书应当包括下列主要内容，并按照“谁主张、谁举证”的原则，附上相关证明材料。否则，采购人不予受理：</w:t>
      </w:r>
    </w:p>
    <w:p w14:paraId="37CF73B3">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）质疑</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全称、地址、法定代表人、联系人及联系电话、邮政编码等；</w:t>
      </w:r>
    </w:p>
    <w:p w14:paraId="340F5AE0">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）被质疑采购项目的名称、编号；</w:t>
      </w:r>
    </w:p>
    <w:p w14:paraId="2C71C4E0">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）质疑的具体事项、明确的请求和主张；</w:t>
      </w:r>
    </w:p>
    <w:p w14:paraId="2389D812">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）质疑所依据的法律依据（具体条款）、具体事实和具体理由。质疑书依据理由部分只有主观陈述、推理、猜测等，而没有提供客观事实依据、法律依据的；</w:t>
      </w:r>
    </w:p>
    <w:p w14:paraId="4E96284F">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）质疑事项按照有关法律、法规和规章规定及竞争性磋商文件要求属于保密或者处于保密阶段的事项，磋商</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必须提供正常的信息来源或有效证据，磋商</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不能提供或者拒绝提供合法的信息来源或有效证据的；</w:t>
      </w:r>
    </w:p>
    <w:p w14:paraId="0B395CF8">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）充足有效的相关证明材料；如果涉及到产品功能或技术指标的，应出具相关制造商的证明文件；</w:t>
      </w:r>
    </w:p>
    <w:p w14:paraId="332A50E2">
      <w:pPr>
        <w:snapToGrid w:val="0"/>
        <w:spacing w:line="6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）质疑材料中有外文资料的，应一并附上中文译本，并以中文译本为准</w:t>
      </w:r>
      <w:r>
        <w:rPr>
          <w:rFonts w:hint="eastAsia" w:ascii="宋体" w:hAnsi="宋体" w:cs="宋体"/>
          <w:color w:val="auto"/>
          <w:sz w:val="24"/>
          <w:highlight w:val="none"/>
          <w:lang w:eastAsia="zh-CN"/>
        </w:rPr>
        <w:t>；</w:t>
      </w:r>
    </w:p>
    <w:p w14:paraId="3BDDF5B2">
      <w:pPr>
        <w:snapToGrid w:val="0"/>
        <w:spacing w:line="6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）提起质疑的日期</w:t>
      </w:r>
      <w:r>
        <w:rPr>
          <w:rFonts w:hint="eastAsia" w:ascii="宋体" w:hAnsi="宋体" w:cs="宋体"/>
          <w:color w:val="auto"/>
          <w:sz w:val="24"/>
          <w:highlight w:val="none"/>
          <w:lang w:eastAsia="zh-CN"/>
        </w:rPr>
        <w:t>。</w:t>
      </w:r>
    </w:p>
    <w:p w14:paraId="51927633">
      <w:pPr>
        <w:snapToGrid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17.3</w:t>
      </w:r>
      <w:r>
        <w:rPr>
          <w:rFonts w:hint="eastAsia" w:ascii="宋体" w:hAnsi="宋体" w:cs="宋体"/>
          <w:color w:val="auto"/>
          <w:kern w:val="0"/>
          <w:sz w:val="24"/>
          <w:szCs w:val="24"/>
          <w:highlight w:val="none"/>
          <w:lang w:val="en-US" w:eastAsia="zh-CN"/>
        </w:rPr>
        <w:t>供应商</w:t>
      </w:r>
      <w:r>
        <w:rPr>
          <w:rFonts w:ascii="宋体" w:hAnsi="宋体" w:eastAsia="宋体" w:cs="宋体"/>
          <w:color w:val="auto"/>
          <w:sz w:val="24"/>
          <w:highlight w:val="none"/>
        </w:rPr>
        <w:t>质疑实行实名制并须在质疑书上署名。</w:t>
      </w:r>
      <w:r>
        <w:rPr>
          <w:rFonts w:hint="eastAsia" w:ascii="宋体" w:hAnsi="宋体" w:cs="宋体"/>
          <w:color w:val="auto"/>
          <w:kern w:val="0"/>
          <w:sz w:val="24"/>
          <w:szCs w:val="24"/>
          <w:highlight w:val="none"/>
          <w:lang w:val="en-US" w:eastAsia="zh-CN"/>
        </w:rPr>
        <w:t>供应商</w:t>
      </w:r>
      <w:r>
        <w:rPr>
          <w:rFonts w:ascii="宋体" w:hAnsi="宋体" w:eastAsia="宋体" w:cs="宋体"/>
          <w:color w:val="auto"/>
          <w:sz w:val="24"/>
          <w:highlight w:val="none"/>
        </w:rPr>
        <w:t>不得进行虚假、恶意质疑，不得以质疑为手段获取不当得利、实现非法目的。</w:t>
      </w:r>
      <w:r>
        <w:rPr>
          <w:rFonts w:hint="eastAsia" w:ascii="宋体" w:hAnsi="宋体" w:cs="宋体"/>
          <w:color w:val="auto"/>
          <w:kern w:val="0"/>
          <w:sz w:val="24"/>
          <w:szCs w:val="24"/>
          <w:highlight w:val="none"/>
          <w:lang w:val="en-US" w:eastAsia="zh-CN"/>
        </w:rPr>
        <w:t>供应商</w:t>
      </w:r>
      <w:r>
        <w:rPr>
          <w:rFonts w:ascii="宋体" w:hAnsi="宋体" w:eastAsia="宋体" w:cs="宋体"/>
          <w:color w:val="auto"/>
          <w:sz w:val="24"/>
          <w:highlight w:val="none"/>
        </w:rPr>
        <w:t>为自然人的，应当由本人签字；</w:t>
      </w:r>
      <w:r>
        <w:rPr>
          <w:rFonts w:hint="eastAsia" w:ascii="宋体" w:hAnsi="宋体" w:cs="宋体"/>
          <w:color w:val="auto"/>
          <w:kern w:val="0"/>
          <w:sz w:val="24"/>
          <w:szCs w:val="24"/>
          <w:highlight w:val="none"/>
          <w:lang w:val="en-US" w:eastAsia="zh-CN"/>
        </w:rPr>
        <w:t>供应商</w:t>
      </w:r>
      <w:r>
        <w:rPr>
          <w:rFonts w:ascii="宋体" w:hAnsi="宋体" w:eastAsia="宋体" w:cs="宋体"/>
          <w:color w:val="auto"/>
          <w:sz w:val="24"/>
          <w:highlight w:val="none"/>
        </w:rPr>
        <w:t>为法人的，应当由法定代表人签字或盖章并加盖公章；</w:t>
      </w:r>
      <w:r>
        <w:rPr>
          <w:rFonts w:hint="eastAsia" w:ascii="宋体" w:hAnsi="宋体" w:cs="宋体"/>
          <w:color w:val="auto"/>
          <w:kern w:val="0"/>
          <w:sz w:val="24"/>
          <w:szCs w:val="24"/>
          <w:highlight w:val="none"/>
          <w:lang w:val="en-US" w:eastAsia="zh-CN"/>
        </w:rPr>
        <w:t>供应商</w:t>
      </w:r>
      <w:r>
        <w:rPr>
          <w:rFonts w:ascii="宋体" w:hAnsi="宋体" w:eastAsia="宋体" w:cs="宋体"/>
          <w:color w:val="auto"/>
          <w:sz w:val="24"/>
          <w:highlight w:val="none"/>
        </w:rPr>
        <w:t>为其他组织的，应当由主要负责人签字或盖章并加盖公章。</w:t>
      </w:r>
      <w:r>
        <w:rPr>
          <w:rFonts w:hint="eastAsia" w:ascii="宋体" w:hAnsi="宋体" w:cs="宋体"/>
          <w:color w:val="auto"/>
          <w:kern w:val="0"/>
          <w:sz w:val="24"/>
          <w:szCs w:val="24"/>
          <w:highlight w:val="none"/>
          <w:lang w:val="en-US" w:eastAsia="zh-CN"/>
        </w:rPr>
        <w:t>供应商</w:t>
      </w:r>
      <w:r>
        <w:rPr>
          <w:rFonts w:ascii="宋体" w:hAnsi="宋体" w:eastAsia="宋体" w:cs="宋体"/>
          <w:color w:val="auto"/>
          <w:sz w:val="24"/>
          <w:highlight w:val="none"/>
        </w:rPr>
        <w:t>其他工作人员或代理人员在质疑书上的署名不具有法律效力。</w:t>
      </w:r>
    </w:p>
    <w:p w14:paraId="7DF8532B">
      <w:pPr>
        <w:snapToGrid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w:t>
      </w:r>
      <w:r>
        <w:rPr>
          <w:rFonts w:ascii="宋体" w:hAnsi="宋体" w:eastAsia="宋体" w:cs="宋体"/>
          <w:color w:val="auto"/>
          <w:sz w:val="24"/>
          <w:highlight w:val="none"/>
        </w:rPr>
        <w:t>.4</w:t>
      </w:r>
      <w:r>
        <w:rPr>
          <w:rFonts w:hint="eastAsia" w:ascii="宋体" w:hAnsi="宋体" w:cs="宋体"/>
          <w:color w:val="auto"/>
          <w:kern w:val="0"/>
          <w:sz w:val="24"/>
          <w:szCs w:val="24"/>
          <w:highlight w:val="none"/>
          <w:lang w:val="en-US" w:eastAsia="zh-CN"/>
        </w:rPr>
        <w:t>供应商</w:t>
      </w:r>
      <w:r>
        <w:rPr>
          <w:rFonts w:ascii="宋体" w:hAnsi="宋体" w:eastAsia="宋体" w:cs="宋体"/>
          <w:color w:val="auto"/>
          <w:sz w:val="24"/>
          <w:highlight w:val="none"/>
        </w:rPr>
        <w:t>委托代理人办理质疑事宜，应当提交授权委托书，并载明委托代理的具体权限和事项。授权委托书应当由委托人签字并加盖单位公章。</w:t>
      </w:r>
    </w:p>
    <w:p w14:paraId="18374D03">
      <w:pPr>
        <w:snapToGrid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w:t>
      </w:r>
      <w:r>
        <w:rPr>
          <w:rFonts w:ascii="宋体" w:hAnsi="宋体" w:eastAsia="宋体" w:cs="宋体"/>
          <w:color w:val="auto"/>
          <w:sz w:val="24"/>
          <w:highlight w:val="none"/>
        </w:rPr>
        <w:t>.</w:t>
      </w:r>
      <w:r>
        <w:rPr>
          <w:rFonts w:hint="eastAsia" w:ascii="宋体" w:hAnsi="宋体" w:eastAsia="宋体" w:cs="宋体"/>
          <w:color w:val="auto"/>
          <w:sz w:val="24"/>
          <w:highlight w:val="none"/>
        </w:rPr>
        <w:t>5</w:t>
      </w:r>
      <w:r>
        <w:rPr>
          <w:rFonts w:ascii="宋体" w:hAnsi="宋体" w:eastAsia="宋体" w:cs="宋体"/>
          <w:color w:val="auto"/>
          <w:sz w:val="24"/>
          <w:highlight w:val="none"/>
        </w:rPr>
        <w:t>质疑书提交方式。</w:t>
      </w:r>
      <w:r>
        <w:rPr>
          <w:rFonts w:hint="eastAsia" w:ascii="宋体" w:hAnsi="宋体" w:cs="宋体"/>
          <w:color w:val="auto"/>
          <w:kern w:val="0"/>
          <w:sz w:val="24"/>
          <w:szCs w:val="24"/>
          <w:highlight w:val="none"/>
          <w:lang w:val="en-US" w:eastAsia="zh-CN"/>
        </w:rPr>
        <w:t>供应商</w:t>
      </w:r>
      <w:r>
        <w:rPr>
          <w:rFonts w:ascii="宋体" w:hAnsi="宋体" w:eastAsia="宋体" w:cs="宋体"/>
          <w:color w:val="auto"/>
          <w:sz w:val="24"/>
          <w:highlight w:val="none"/>
        </w:rPr>
        <w:t>或者其委托代理人应当当面提交质疑书及相关证明材料。</w:t>
      </w:r>
      <w:r>
        <w:rPr>
          <w:rFonts w:hint="eastAsia" w:ascii="宋体" w:hAnsi="宋体" w:cs="宋体"/>
          <w:color w:val="auto"/>
          <w:kern w:val="0"/>
          <w:sz w:val="24"/>
          <w:szCs w:val="24"/>
          <w:highlight w:val="none"/>
          <w:lang w:val="en-US" w:eastAsia="zh-CN"/>
        </w:rPr>
        <w:t>供应商</w:t>
      </w:r>
      <w:r>
        <w:rPr>
          <w:rFonts w:ascii="宋体" w:hAnsi="宋体" w:eastAsia="宋体" w:cs="宋体"/>
          <w:color w:val="auto"/>
          <w:sz w:val="24"/>
          <w:highlight w:val="none"/>
        </w:rPr>
        <w:t>以电子邮件、传真等其他方式提交质疑书及相关证明材料的，或者不是</w:t>
      </w:r>
      <w:r>
        <w:rPr>
          <w:rFonts w:hint="eastAsia" w:ascii="宋体" w:hAnsi="宋体" w:cs="宋体"/>
          <w:color w:val="auto"/>
          <w:kern w:val="0"/>
          <w:sz w:val="24"/>
          <w:szCs w:val="24"/>
          <w:highlight w:val="none"/>
          <w:lang w:val="en-US" w:eastAsia="zh-CN"/>
        </w:rPr>
        <w:t>供应商</w:t>
      </w:r>
      <w:r>
        <w:rPr>
          <w:rFonts w:ascii="宋体" w:hAnsi="宋体" w:eastAsia="宋体" w:cs="宋体"/>
          <w:color w:val="auto"/>
          <w:sz w:val="24"/>
          <w:highlight w:val="none"/>
        </w:rPr>
        <w:t>或者其委托代理人提交质疑书及相关证明材料的，采购人或采购机构可以拒收。</w:t>
      </w:r>
    </w:p>
    <w:p w14:paraId="4BAA0968">
      <w:pPr>
        <w:snapToGrid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w:t>
      </w:r>
      <w:r>
        <w:rPr>
          <w:rFonts w:ascii="宋体" w:hAnsi="宋体" w:eastAsia="宋体" w:cs="宋体"/>
          <w:color w:val="auto"/>
          <w:sz w:val="24"/>
          <w:highlight w:val="none"/>
        </w:rPr>
        <w:t>.</w:t>
      </w:r>
      <w:r>
        <w:rPr>
          <w:rFonts w:hint="eastAsia" w:ascii="宋体" w:hAnsi="宋体" w:eastAsia="宋体" w:cs="宋体"/>
          <w:color w:val="auto"/>
          <w:sz w:val="24"/>
          <w:highlight w:val="none"/>
        </w:rPr>
        <w:t>6</w:t>
      </w:r>
      <w:r>
        <w:rPr>
          <w:rFonts w:hint="eastAsia" w:ascii="宋体" w:hAnsi="宋体" w:cs="宋体"/>
          <w:color w:val="auto"/>
          <w:kern w:val="0"/>
          <w:sz w:val="24"/>
          <w:szCs w:val="24"/>
          <w:highlight w:val="none"/>
          <w:lang w:val="en-US" w:eastAsia="zh-CN"/>
        </w:rPr>
        <w:t>供应商</w:t>
      </w:r>
      <w:r>
        <w:rPr>
          <w:rFonts w:ascii="宋体" w:hAnsi="宋体" w:eastAsia="宋体" w:cs="宋体"/>
          <w:color w:val="auto"/>
          <w:sz w:val="24"/>
          <w:highlight w:val="none"/>
        </w:rPr>
        <w:t>不得虚假质疑和恶意质疑，并对质疑内容的真实性承担责任。</w:t>
      </w:r>
      <w:r>
        <w:rPr>
          <w:rFonts w:hint="eastAsia" w:ascii="宋体" w:hAnsi="宋体" w:cs="宋体"/>
          <w:color w:val="auto"/>
          <w:kern w:val="0"/>
          <w:sz w:val="24"/>
          <w:szCs w:val="24"/>
          <w:highlight w:val="none"/>
          <w:lang w:val="en-US" w:eastAsia="zh-CN"/>
        </w:rPr>
        <w:t>供应商</w:t>
      </w:r>
      <w:r>
        <w:rPr>
          <w:rFonts w:ascii="宋体" w:hAnsi="宋体" w:eastAsia="宋体" w:cs="宋体"/>
          <w:color w:val="auto"/>
          <w:sz w:val="24"/>
          <w:highlight w:val="none"/>
        </w:rPr>
        <w:t>或者其他利害关系人通过捏造事实、伪造证明材料等方式提出异议或投诉，阻碍磋商活动正常进行的，属于严重不良行为，采购人将提请财政部门将其列入不良行为记录名单，并依法予以处罚。</w:t>
      </w:r>
    </w:p>
    <w:p w14:paraId="4F1D5BC4">
      <w:pPr>
        <w:snapToGrid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17.7</w:t>
      </w:r>
      <w:r>
        <w:rPr>
          <w:rFonts w:ascii="宋体" w:hAnsi="宋体" w:eastAsia="宋体" w:cs="宋体"/>
          <w:color w:val="auto"/>
          <w:sz w:val="24"/>
          <w:highlight w:val="none"/>
        </w:rPr>
        <w:t>采购人将在收到符合上述条件的书面质疑后7个工作日内审查质疑事项，作出答复或相关处理决定，并以书面形式通知质疑</w:t>
      </w:r>
      <w:r>
        <w:rPr>
          <w:rFonts w:hint="eastAsia" w:ascii="宋体" w:hAnsi="宋体" w:cs="宋体"/>
          <w:color w:val="auto"/>
          <w:kern w:val="0"/>
          <w:sz w:val="24"/>
          <w:szCs w:val="24"/>
          <w:highlight w:val="none"/>
          <w:lang w:val="en-US" w:eastAsia="zh-CN"/>
        </w:rPr>
        <w:t>供应商</w:t>
      </w:r>
      <w:r>
        <w:rPr>
          <w:rFonts w:ascii="宋体" w:hAnsi="宋体" w:eastAsia="宋体" w:cs="宋体"/>
          <w:color w:val="auto"/>
          <w:sz w:val="24"/>
          <w:highlight w:val="none"/>
        </w:rPr>
        <w:t>和其他有关</w:t>
      </w:r>
      <w:r>
        <w:rPr>
          <w:rFonts w:hint="eastAsia" w:ascii="宋体" w:hAnsi="宋体" w:cs="宋体"/>
          <w:color w:val="auto"/>
          <w:kern w:val="0"/>
          <w:sz w:val="24"/>
          <w:szCs w:val="24"/>
          <w:highlight w:val="none"/>
          <w:lang w:val="en-US" w:eastAsia="zh-CN"/>
        </w:rPr>
        <w:t>供应商</w:t>
      </w:r>
      <w:r>
        <w:rPr>
          <w:rFonts w:ascii="宋体" w:hAnsi="宋体" w:eastAsia="宋体" w:cs="宋体"/>
          <w:color w:val="auto"/>
          <w:sz w:val="24"/>
          <w:highlight w:val="none"/>
        </w:rPr>
        <w:t>，但答复的内容不涉及商业秘密。若质疑涉及磋商制度或程序，将被转交政府采购的管理部门审查。采购人遵循“谁过错谁负担”的原则，有过错的一方承担调查论证费用。</w:t>
      </w:r>
    </w:p>
    <w:p w14:paraId="47FC56F9">
      <w:pPr>
        <w:snapToGrid w:val="0"/>
        <w:spacing w:line="6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17.8</w:t>
      </w:r>
      <w:r>
        <w:rPr>
          <w:rFonts w:ascii="宋体" w:hAnsi="宋体" w:eastAsia="宋体" w:cs="宋体"/>
          <w:color w:val="auto"/>
          <w:sz w:val="24"/>
          <w:highlight w:val="none"/>
        </w:rPr>
        <w:t>质疑</w:t>
      </w:r>
      <w:r>
        <w:rPr>
          <w:rFonts w:hint="eastAsia" w:ascii="宋体" w:hAnsi="宋体" w:cs="宋体"/>
          <w:color w:val="auto"/>
          <w:kern w:val="0"/>
          <w:sz w:val="24"/>
          <w:szCs w:val="24"/>
          <w:highlight w:val="none"/>
          <w:lang w:val="en-US" w:eastAsia="zh-CN"/>
        </w:rPr>
        <w:t>供应商</w:t>
      </w:r>
      <w:r>
        <w:rPr>
          <w:rFonts w:ascii="宋体" w:hAnsi="宋体" w:eastAsia="宋体" w:cs="宋体"/>
          <w:color w:val="auto"/>
          <w:sz w:val="24"/>
          <w:highlight w:val="none"/>
        </w:rPr>
        <w:t>对采购人的答复不满意以及采购人未在规定的时间内做出答复的，可以在答复期满后15个工作日内向财政部门投诉。</w:t>
      </w:r>
    </w:p>
    <w:p w14:paraId="22F0771B">
      <w:pPr>
        <w:snapToGrid w:val="0"/>
        <w:spacing w:line="440" w:lineRule="exact"/>
        <w:ind w:firstLine="482" w:firstLineChars="200"/>
        <w:rPr>
          <w:rFonts w:hint="eastAsia" w:cs="宋体" w:asciiTheme="minorEastAsia" w:hAnsiTheme="minorEastAsia" w:eastAsiaTheme="minorEastAsia"/>
          <w:b/>
          <w:bCs/>
          <w:color w:val="auto"/>
          <w:sz w:val="24"/>
          <w:szCs w:val="24"/>
          <w:highlight w:val="none"/>
          <w:lang w:val="en-US" w:eastAsia="zh-CN"/>
        </w:rPr>
      </w:pPr>
      <w:r>
        <w:rPr>
          <w:rFonts w:hint="eastAsia" w:cs="宋体" w:asciiTheme="minorEastAsia" w:hAnsiTheme="minorEastAsia" w:eastAsiaTheme="minorEastAsia"/>
          <w:b/>
          <w:bCs/>
          <w:color w:val="auto"/>
          <w:sz w:val="24"/>
          <w:szCs w:val="24"/>
          <w:highlight w:val="none"/>
          <w:lang w:val="en-US" w:eastAsia="zh-CN"/>
        </w:rPr>
        <w:t>18、招标代理服务费</w:t>
      </w:r>
    </w:p>
    <w:p w14:paraId="01D52816">
      <w:pPr>
        <w:snapToGrid w:val="0"/>
        <w:spacing w:line="440" w:lineRule="exact"/>
        <w:ind w:firstLine="480" w:firstLineChars="200"/>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招标代理服务收费参照豫招协[2023]002号河南省招标投标协会关于印发《河南省招标代理服务收费指导意见》规定的收费标准收取中标服务费。</w:t>
      </w:r>
    </w:p>
    <w:p w14:paraId="21D00F86">
      <w:pPr>
        <w:snapToGrid w:val="0"/>
        <w:spacing w:line="440" w:lineRule="exact"/>
        <w:ind w:firstLine="480" w:firstLineChars="200"/>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河南省招标代理服务费计算标准</w:t>
      </w:r>
    </w:p>
    <w:tbl>
      <w:tblPr>
        <w:tblStyle w:val="20"/>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2ECED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601EEDD">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ACD2204">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0019B46">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5BFA2D3">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服务</w:t>
            </w:r>
          </w:p>
        </w:tc>
      </w:tr>
      <w:tr w14:paraId="5407A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FDB9212">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71EAF9C">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AFEBEFB">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11A8603">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r>
      <w:tr w14:paraId="16652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8C8FC7E">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3454699">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BE0F4E8">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1850EAB">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r>
      <w:tr w14:paraId="65B4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6D63824">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0AEFFBC">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2C8817F">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494C868">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r>
      <w:tr w14:paraId="2D23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B915369">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6B62ABC">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81233AA">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611C35C">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r>
      <w:tr w14:paraId="2FBB8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E0C4DFA">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0BF259D">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F35BBD0">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0831769">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r>
      <w:tr w14:paraId="59841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59B277E">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4904EC2">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EB4AFB7">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B060A0D">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r>
      <w:tr w14:paraId="4A58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41A01DB0">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66C49A8F">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0A16FEE4">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322CF3CE">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r>
      <w:tr w14:paraId="30197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0EC87CB">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102F286">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7AACD7F">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A6F4326">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r>
      <w:tr w14:paraId="219AD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E24924B">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50亿--100亿元（含</w:t>
            </w:r>
            <w:r>
              <w:rPr>
                <w:rFonts w:hint="eastAsia" w:ascii="宋体" w:hAnsi="宋体"/>
                <w:b w:val="0"/>
                <w:i w:val="0"/>
                <w:snapToGrid/>
                <w:color w:val="auto"/>
                <w:sz w:val="24"/>
                <w:szCs w:val="18"/>
                <w:highlight w:val="none"/>
                <w:u w:val="none"/>
                <w:lang w:val="en-US" w:eastAsia="zh-CN"/>
              </w:rPr>
              <w:t>100</w:t>
            </w:r>
            <w:r>
              <w:rPr>
                <w:rFonts w:hint="default" w:ascii="宋体" w:hAnsi="宋体" w:eastAsia="宋体"/>
                <w:b w:val="0"/>
                <w:i w:val="0"/>
                <w:snapToGrid/>
                <w:color w:val="auto"/>
                <w:sz w:val="24"/>
                <w:szCs w:val="18"/>
                <w:highlight w:val="none"/>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4C88F26">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2FC224C">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2E98C30">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r>
      <w:tr w14:paraId="105FC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18448BD">
            <w:pPr>
              <w:kinsoku/>
              <w:autoSpaceDE/>
              <w:autoSpaceDN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481E7AC">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9AF86FB">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136069A">
            <w:pPr>
              <w:kinsoku/>
              <w:autoSpaceDE/>
              <w:autoSpaceDN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r>
      <w:tr w14:paraId="095CC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7E558AA1">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注：1.按本表费率计算的收费金额为招标代理服务费的基准价格，不含工程量清单、最高投标限价（招标控制价）或标底的编制费用。</w:t>
            </w:r>
          </w:p>
          <w:p w14:paraId="37226DE2">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val="en-US" w:eastAsia="zh-CN"/>
              </w:rPr>
            </w:pPr>
            <w:r>
              <w:rPr>
                <w:rFonts w:hint="eastAsia" w:ascii="宋体" w:hAnsi="宋体" w:eastAsia="宋体"/>
                <w:b w:val="0"/>
                <w:i w:val="0"/>
                <w:snapToGrid/>
                <w:color w:val="auto"/>
                <w:sz w:val="24"/>
                <w:szCs w:val="24"/>
                <w:highlight w:val="none"/>
                <w:u w:val="none"/>
                <w:lang w:val="en-US" w:eastAsia="zh-CN"/>
              </w:rPr>
              <w:t>2.招标代理服务收费按差额定率累进法计算。</w:t>
            </w:r>
          </w:p>
          <w:p w14:paraId="5A6803A7">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例如: 某工程招标代理业务，项目预算金额（招标控制价）为10000万元，招标代理服务收费计算如下:</w:t>
            </w:r>
          </w:p>
          <w:p w14:paraId="7A679D2C">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eastAsia" w:ascii="宋体" w:hAnsi="宋体"/>
                <w:b w:val="0"/>
                <w:i w:val="0"/>
                <w:snapToGrid/>
                <w:color w:val="auto"/>
                <w:sz w:val="24"/>
                <w:szCs w:val="24"/>
                <w:highlight w:val="none"/>
                <w:u w:val="none"/>
                <w:lang w:val="en-US" w:eastAsia="zh-CN"/>
              </w:rPr>
              <w:t xml:space="preserve"> </w:t>
            </w:r>
            <w:r>
              <w:rPr>
                <w:rFonts w:hint="default" w:ascii="宋体" w:hAnsi="宋体" w:eastAsia="宋体"/>
                <w:b w:val="0"/>
                <w:i w:val="0"/>
                <w:snapToGrid/>
                <w:color w:val="auto"/>
                <w:sz w:val="24"/>
                <w:szCs w:val="24"/>
                <w:highlight w:val="none"/>
                <w:u w:val="none"/>
                <w:lang w:eastAsia="zh-CN"/>
              </w:rPr>
              <w:t>100万元×1.2%=1.2万元</w:t>
            </w:r>
          </w:p>
          <w:p w14:paraId="264EC1C5">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（500-100）万元×1.0%=4万元</w:t>
            </w:r>
          </w:p>
          <w:p w14:paraId="01B4BA60">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（1000-500）×0.7%=3.5万元</w:t>
            </w:r>
          </w:p>
          <w:p w14:paraId="51BCC522">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（5000-1000）×0.4%=16万元</w:t>
            </w:r>
          </w:p>
          <w:p w14:paraId="3B9C9DA8">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highlight w:val="none"/>
                <w:u w:val="none"/>
                <w:lang w:eastAsia="zh-CN"/>
              </w:rPr>
            </w:pPr>
            <w:r>
              <w:rPr>
                <w:rFonts w:hint="default" w:ascii="宋体" w:hAnsi="宋体" w:eastAsia="宋体"/>
                <w:b w:val="0"/>
                <w:i w:val="0"/>
                <w:snapToGrid/>
                <w:color w:val="auto"/>
                <w:sz w:val="24"/>
                <w:szCs w:val="24"/>
                <w:highlight w:val="none"/>
                <w:u w:val="none"/>
                <w:lang w:eastAsia="zh-CN"/>
              </w:rPr>
              <w:t>（10000-5000）×0.25%=12.5万元合计收费=1.2+4+3.5+16+12.5=37.2万元</w:t>
            </w:r>
          </w:p>
        </w:tc>
      </w:tr>
    </w:tbl>
    <w:p w14:paraId="762A952F">
      <w:pPr>
        <w:jc w:val="both"/>
        <w:rPr>
          <w:rFonts w:hint="eastAsia" w:ascii="宋体" w:hAnsi="宋体" w:cs="宋体"/>
          <w:b/>
          <w:bCs/>
          <w:color w:val="auto"/>
          <w:sz w:val="24"/>
          <w:szCs w:val="24"/>
          <w:highlight w:val="none"/>
          <w:lang w:eastAsia="zh-CN"/>
        </w:rPr>
      </w:pPr>
      <w:r>
        <w:rPr>
          <w:rFonts w:ascii="宋体" w:hAnsi="宋体"/>
          <w:color w:val="auto"/>
          <w:sz w:val="24"/>
          <w:szCs w:val="24"/>
          <w:highlight w:val="none"/>
        </w:rPr>
        <w:br w:type="page"/>
      </w:r>
    </w:p>
    <w:p w14:paraId="7359D6FC">
      <w:pPr>
        <w:pStyle w:val="11"/>
        <w:numPr>
          <w:ilvl w:val="0"/>
          <w:numId w:val="3"/>
        </w:numPr>
        <w:jc w:val="center"/>
        <w:outlineLvl w:val="0"/>
        <w:rPr>
          <w:color w:val="auto"/>
          <w:highlight w:val="none"/>
        </w:rPr>
      </w:pPr>
      <w:bookmarkStart w:id="65" w:name="_Toc29021"/>
      <w:r>
        <w:rPr>
          <w:rFonts w:hint="eastAsia" w:ascii="宋体" w:hAnsi="宋体" w:eastAsia="宋体"/>
          <w:color w:val="auto"/>
          <w:sz w:val="30"/>
          <w:szCs w:val="30"/>
          <w:highlight w:val="none"/>
        </w:rPr>
        <w:t>评审标准（综合评分法）</w:t>
      </w:r>
      <w:bookmarkEnd w:id="14"/>
      <w:bookmarkEnd w:id="15"/>
      <w:bookmarkEnd w:id="65"/>
    </w:p>
    <w:tbl>
      <w:tblPr>
        <w:tblStyle w:val="20"/>
        <w:tblW w:w="10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930"/>
        <w:gridCol w:w="3027"/>
        <w:gridCol w:w="5878"/>
      </w:tblGrid>
      <w:tr w14:paraId="5E71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901" w:type="dxa"/>
            <w:gridSpan w:val="2"/>
            <w:tcBorders>
              <w:top w:val="single" w:color="auto" w:sz="4" w:space="0"/>
              <w:left w:val="single" w:color="auto" w:sz="4" w:space="0"/>
              <w:bottom w:val="single" w:color="auto" w:sz="4" w:space="0"/>
              <w:right w:val="single" w:color="auto" w:sz="4" w:space="0"/>
            </w:tcBorders>
            <w:vAlign w:val="center"/>
          </w:tcPr>
          <w:p w14:paraId="5E69E7E5">
            <w:pPr>
              <w:spacing w:line="360" w:lineRule="auto"/>
              <w:rPr>
                <w:rFonts w:ascii="宋体" w:hAnsi="宋体" w:eastAsia="宋体" w:cs="Times New Roman"/>
                <w:b/>
                <w:color w:val="auto"/>
                <w:sz w:val="28"/>
                <w:szCs w:val="28"/>
                <w:highlight w:val="none"/>
              </w:rPr>
            </w:pPr>
            <w:bookmarkStart w:id="66" w:name="_Toc4687"/>
            <w:r>
              <w:rPr>
                <w:rFonts w:hint="eastAsia" w:ascii="宋体" w:hAnsi="宋体" w:eastAsia="宋体" w:cs="Times New Roman"/>
                <w:b/>
                <w:color w:val="auto"/>
                <w:sz w:val="28"/>
                <w:szCs w:val="28"/>
                <w:highlight w:val="none"/>
              </w:rPr>
              <w:t>条款号</w:t>
            </w:r>
          </w:p>
        </w:tc>
        <w:tc>
          <w:tcPr>
            <w:tcW w:w="3027" w:type="dxa"/>
            <w:tcBorders>
              <w:top w:val="single" w:color="auto" w:sz="4" w:space="0"/>
              <w:left w:val="single" w:color="auto" w:sz="4" w:space="0"/>
              <w:bottom w:val="single" w:color="auto" w:sz="4" w:space="0"/>
              <w:right w:val="single" w:color="auto" w:sz="4" w:space="0"/>
            </w:tcBorders>
            <w:vAlign w:val="center"/>
          </w:tcPr>
          <w:p w14:paraId="350B7E0F">
            <w:pPr>
              <w:spacing w:line="360" w:lineRule="auto"/>
              <w:jc w:val="center"/>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评审因素</w:t>
            </w:r>
          </w:p>
        </w:tc>
        <w:tc>
          <w:tcPr>
            <w:tcW w:w="5878" w:type="dxa"/>
            <w:tcBorders>
              <w:top w:val="single" w:color="auto" w:sz="4" w:space="0"/>
              <w:left w:val="single" w:color="auto" w:sz="4" w:space="0"/>
              <w:bottom w:val="single" w:color="auto" w:sz="4" w:space="0"/>
              <w:right w:val="single" w:color="auto" w:sz="4" w:space="0"/>
            </w:tcBorders>
            <w:vAlign w:val="center"/>
          </w:tcPr>
          <w:p w14:paraId="68AAED3E">
            <w:pPr>
              <w:spacing w:line="360" w:lineRule="auto"/>
              <w:jc w:val="center"/>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评审标准</w:t>
            </w:r>
          </w:p>
        </w:tc>
      </w:tr>
      <w:tr w14:paraId="466E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971" w:type="dxa"/>
            <w:vMerge w:val="restart"/>
            <w:tcBorders>
              <w:top w:val="single" w:color="auto" w:sz="4" w:space="0"/>
              <w:left w:val="single" w:color="auto" w:sz="4" w:space="0"/>
              <w:right w:val="single" w:color="auto" w:sz="4" w:space="0"/>
            </w:tcBorders>
            <w:vAlign w:val="center"/>
          </w:tcPr>
          <w:p w14:paraId="5CC28F96">
            <w:pPr>
              <w:spacing w:line="360" w:lineRule="auto"/>
              <w:jc w:val="center"/>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2.1.1</w:t>
            </w:r>
          </w:p>
        </w:tc>
        <w:tc>
          <w:tcPr>
            <w:tcW w:w="930" w:type="dxa"/>
            <w:vMerge w:val="restart"/>
            <w:tcBorders>
              <w:top w:val="single" w:color="auto" w:sz="4" w:space="0"/>
              <w:left w:val="single" w:color="auto" w:sz="4" w:space="0"/>
              <w:right w:val="single" w:color="auto" w:sz="4" w:space="0"/>
            </w:tcBorders>
            <w:vAlign w:val="center"/>
          </w:tcPr>
          <w:p w14:paraId="57E33A9A">
            <w:pPr>
              <w:spacing w:line="360" w:lineRule="auto"/>
              <w:jc w:val="center"/>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资格性</w:t>
            </w:r>
          </w:p>
          <w:p w14:paraId="1E90A047">
            <w:pPr>
              <w:spacing w:line="360" w:lineRule="auto"/>
              <w:jc w:val="center"/>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审查</w:t>
            </w:r>
          </w:p>
          <w:p w14:paraId="489833B3">
            <w:pPr>
              <w:spacing w:line="360" w:lineRule="auto"/>
              <w:jc w:val="center"/>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标准</w:t>
            </w:r>
          </w:p>
        </w:tc>
        <w:tc>
          <w:tcPr>
            <w:tcW w:w="3027" w:type="dxa"/>
            <w:tcBorders>
              <w:top w:val="single" w:color="auto" w:sz="4" w:space="0"/>
              <w:left w:val="single" w:color="auto" w:sz="4" w:space="0"/>
              <w:right w:val="single" w:color="auto" w:sz="4" w:space="0"/>
            </w:tcBorders>
            <w:vAlign w:val="center"/>
          </w:tcPr>
          <w:p w14:paraId="4C3339F5">
            <w:pPr>
              <w:spacing w:line="360" w:lineRule="auto"/>
              <w:jc w:val="center"/>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满足《中华人民共和国政府采购法》第二十二条的规定</w:t>
            </w:r>
          </w:p>
        </w:tc>
        <w:tc>
          <w:tcPr>
            <w:tcW w:w="5878" w:type="dxa"/>
            <w:tcBorders>
              <w:top w:val="single" w:color="auto" w:sz="4" w:space="0"/>
              <w:left w:val="single" w:color="auto" w:sz="4" w:space="0"/>
              <w:right w:val="single" w:color="auto" w:sz="4" w:space="0"/>
            </w:tcBorders>
            <w:vAlign w:val="center"/>
          </w:tcPr>
          <w:p w14:paraId="211AA06A">
            <w:pPr>
              <w:spacing w:line="500" w:lineRule="exact"/>
              <w:rPr>
                <w:rFonts w:ascii="宋体" w:hAnsi="宋体" w:eastAsia="宋体" w:cs="MingLiU"/>
                <w:color w:val="auto"/>
                <w:sz w:val="24"/>
                <w:szCs w:val="24"/>
                <w:highlight w:val="none"/>
              </w:rPr>
            </w:pPr>
            <w:r>
              <w:rPr>
                <w:rFonts w:hint="eastAsia" w:ascii="宋体" w:hAnsi="宋体" w:eastAsia="宋体" w:cs="宋体"/>
                <w:color w:val="auto"/>
                <w:sz w:val="24"/>
                <w:szCs w:val="24"/>
                <w:highlight w:val="none"/>
                <w:lang w:val="en-US" w:eastAsia="zh-CN"/>
              </w:rPr>
              <w:t>供应商符合《中华人民共和国政府采购法》第二十二条规定（提供承诺书，格式自拟）</w:t>
            </w:r>
          </w:p>
        </w:tc>
      </w:tr>
      <w:tr w14:paraId="12B3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1B171429">
            <w:pPr>
              <w:spacing w:line="360" w:lineRule="auto"/>
              <w:jc w:val="center"/>
              <w:rPr>
                <w:rFonts w:ascii="宋体" w:hAnsi="宋体" w:eastAsia="宋体" w:cs="Times New Roman"/>
                <w:bCs/>
                <w:color w:val="auto"/>
                <w:sz w:val="28"/>
                <w:szCs w:val="28"/>
                <w:highlight w:val="none"/>
              </w:rPr>
            </w:pPr>
          </w:p>
        </w:tc>
        <w:tc>
          <w:tcPr>
            <w:tcW w:w="930" w:type="dxa"/>
            <w:vMerge w:val="continue"/>
            <w:tcBorders>
              <w:left w:val="single" w:color="auto" w:sz="4" w:space="0"/>
              <w:right w:val="single" w:color="auto" w:sz="4" w:space="0"/>
            </w:tcBorders>
            <w:vAlign w:val="center"/>
          </w:tcPr>
          <w:p w14:paraId="72278BF2">
            <w:pPr>
              <w:spacing w:line="360" w:lineRule="auto"/>
              <w:jc w:val="center"/>
              <w:rPr>
                <w:rFonts w:ascii="宋体" w:hAnsi="宋体" w:eastAsia="宋体" w:cs="Times New Roman"/>
                <w:color w:val="auto"/>
                <w:sz w:val="28"/>
                <w:szCs w:val="28"/>
                <w:highlight w:val="none"/>
              </w:rPr>
            </w:pPr>
          </w:p>
        </w:tc>
        <w:tc>
          <w:tcPr>
            <w:tcW w:w="3027" w:type="dxa"/>
            <w:tcBorders>
              <w:top w:val="single" w:color="auto" w:sz="4" w:space="0"/>
              <w:left w:val="single" w:color="auto" w:sz="4" w:space="0"/>
              <w:right w:val="single" w:color="auto" w:sz="4" w:space="0"/>
            </w:tcBorders>
            <w:vAlign w:val="center"/>
          </w:tcPr>
          <w:p w14:paraId="2CD34B99">
            <w:pPr>
              <w:spacing w:line="276"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营业执照</w:t>
            </w:r>
          </w:p>
        </w:tc>
        <w:tc>
          <w:tcPr>
            <w:tcW w:w="5878" w:type="dxa"/>
            <w:tcBorders>
              <w:top w:val="single" w:color="auto" w:sz="4" w:space="0"/>
              <w:left w:val="single" w:color="auto" w:sz="4" w:space="0"/>
              <w:right w:val="single" w:color="auto" w:sz="4" w:space="0"/>
            </w:tcBorders>
            <w:vAlign w:val="center"/>
          </w:tcPr>
          <w:p w14:paraId="090E81E9">
            <w:pPr>
              <w:spacing w:line="500" w:lineRule="exact"/>
              <w:rPr>
                <w:rFonts w:ascii="宋体" w:hAnsi="宋体" w:eastAsia="宋体" w:cs="MingLiU"/>
                <w:color w:val="auto"/>
                <w:sz w:val="24"/>
                <w:szCs w:val="24"/>
                <w:highlight w:val="none"/>
              </w:rPr>
            </w:pPr>
            <w:r>
              <w:rPr>
                <w:rFonts w:hint="eastAsia" w:ascii="宋体" w:hAnsi="宋体" w:eastAsia="宋体" w:cs="MingLiU"/>
                <w:color w:val="auto"/>
                <w:sz w:val="24"/>
                <w:szCs w:val="24"/>
                <w:highlight w:val="none"/>
                <w:lang w:eastAsia="zh-CN"/>
              </w:rPr>
              <w:t>供应商具有独立法人资格，且持有效的三证合一的营业执照</w:t>
            </w:r>
          </w:p>
        </w:tc>
      </w:tr>
      <w:tr w14:paraId="7BA9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096ACE85">
            <w:pPr>
              <w:spacing w:line="360" w:lineRule="auto"/>
              <w:jc w:val="center"/>
              <w:rPr>
                <w:rFonts w:ascii="宋体" w:hAnsi="宋体" w:eastAsia="宋体" w:cs="Times New Roman"/>
                <w:bCs/>
                <w:color w:val="auto"/>
                <w:sz w:val="28"/>
                <w:szCs w:val="28"/>
                <w:highlight w:val="none"/>
              </w:rPr>
            </w:pPr>
          </w:p>
        </w:tc>
        <w:tc>
          <w:tcPr>
            <w:tcW w:w="930" w:type="dxa"/>
            <w:vMerge w:val="continue"/>
            <w:tcBorders>
              <w:left w:val="single" w:color="auto" w:sz="4" w:space="0"/>
              <w:right w:val="single" w:color="auto" w:sz="4" w:space="0"/>
            </w:tcBorders>
            <w:vAlign w:val="center"/>
          </w:tcPr>
          <w:p w14:paraId="05641B14">
            <w:pPr>
              <w:spacing w:line="360" w:lineRule="auto"/>
              <w:jc w:val="center"/>
              <w:rPr>
                <w:rFonts w:ascii="宋体" w:hAnsi="宋体" w:eastAsia="宋体" w:cs="Times New Roman"/>
                <w:color w:val="auto"/>
                <w:sz w:val="28"/>
                <w:szCs w:val="28"/>
                <w:highlight w:val="none"/>
              </w:rPr>
            </w:pPr>
          </w:p>
        </w:tc>
        <w:tc>
          <w:tcPr>
            <w:tcW w:w="3027" w:type="dxa"/>
            <w:tcBorders>
              <w:top w:val="single" w:color="auto" w:sz="4" w:space="0"/>
              <w:left w:val="single" w:color="auto" w:sz="4" w:space="0"/>
              <w:right w:val="single" w:color="auto" w:sz="4" w:space="0"/>
            </w:tcBorders>
            <w:vAlign w:val="center"/>
          </w:tcPr>
          <w:p w14:paraId="21297522">
            <w:pPr>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企业资质</w:t>
            </w:r>
          </w:p>
        </w:tc>
        <w:tc>
          <w:tcPr>
            <w:tcW w:w="5878" w:type="dxa"/>
            <w:tcBorders>
              <w:top w:val="single" w:color="auto" w:sz="4" w:space="0"/>
              <w:left w:val="single" w:color="auto" w:sz="4" w:space="0"/>
              <w:right w:val="single" w:color="auto" w:sz="4" w:space="0"/>
            </w:tcBorders>
            <w:vAlign w:val="center"/>
          </w:tcPr>
          <w:p w14:paraId="5F03A03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供应商须具备测绘乙级或以上资质</w:t>
            </w:r>
          </w:p>
        </w:tc>
      </w:tr>
      <w:tr w14:paraId="6618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2986156D">
            <w:pPr>
              <w:spacing w:line="360" w:lineRule="auto"/>
              <w:jc w:val="center"/>
              <w:rPr>
                <w:rFonts w:ascii="宋体" w:hAnsi="宋体" w:eastAsia="宋体" w:cs="Times New Roman"/>
                <w:bCs/>
                <w:color w:val="auto"/>
                <w:sz w:val="28"/>
                <w:szCs w:val="28"/>
                <w:highlight w:val="none"/>
              </w:rPr>
            </w:pPr>
          </w:p>
        </w:tc>
        <w:tc>
          <w:tcPr>
            <w:tcW w:w="930" w:type="dxa"/>
            <w:vMerge w:val="continue"/>
            <w:tcBorders>
              <w:left w:val="single" w:color="auto" w:sz="4" w:space="0"/>
              <w:right w:val="single" w:color="auto" w:sz="4" w:space="0"/>
            </w:tcBorders>
            <w:vAlign w:val="center"/>
          </w:tcPr>
          <w:p w14:paraId="69D77FB1">
            <w:pPr>
              <w:spacing w:line="360" w:lineRule="auto"/>
              <w:jc w:val="center"/>
              <w:rPr>
                <w:rFonts w:ascii="宋体" w:hAnsi="宋体" w:eastAsia="宋体" w:cs="Times New Roman"/>
                <w:color w:val="auto"/>
                <w:sz w:val="28"/>
                <w:szCs w:val="28"/>
                <w:highlight w:val="none"/>
              </w:rPr>
            </w:pPr>
          </w:p>
        </w:tc>
        <w:tc>
          <w:tcPr>
            <w:tcW w:w="3027" w:type="dxa"/>
            <w:tcBorders>
              <w:top w:val="single" w:color="auto" w:sz="4" w:space="0"/>
              <w:left w:val="single" w:color="auto" w:sz="4" w:space="0"/>
              <w:right w:val="single" w:color="auto" w:sz="4" w:space="0"/>
            </w:tcBorders>
            <w:vAlign w:val="center"/>
          </w:tcPr>
          <w:p w14:paraId="5881F64F">
            <w:pPr>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拟派项目负责人</w:t>
            </w:r>
          </w:p>
        </w:tc>
        <w:tc>
          <w:tcPr>
            <w:tcW w:w="5878" w:type="dxa"/>
            <w:tcBorders>
              <w:top w:val="single" w:color="auto" w:sz="4" w:space="0"/>
              <w:left w:val="single" w:color="auto" w:sz="4" w:space="0"/>
              <w:right w:val="single" w:color="auto" w:sz="4" w:space="0"/>
            </w:tcBorders>
            <w:vAlign w:val="center"/>
          </w:tcPr>
          <w:p w14:paraId="2BFE8B05">
            <w:pPr>
              <w:spacing w:line="500" w:lineRule="exact"/>
              <w:rPr>
                <w:color w:val="auto"/>
                <w:sz w:val="24"/>
                <w:szCs w:val="24"/>
                <w:highlight w:val="none"/>
              </w:rPr>
            </w:pPr>
            <w:r>
              <w:rPr>
                <w:rFonts w:hint="eastAsia"/>
                <w:color w:val="auto"/>
                <w:sz w:val="24"/>
                <w:szCs w:val="24"/>
                <w:highlight w:val="none"/>
                <w:lang w:eastAsia="zh-CN"/>
              </w:rPr>
              <w:t>拟派项目负责人须具备测绘专业中级，</w:t>
            </w:r>
            <w:r>
              <w:rPr>
                <w:rFonts w:hint="eastAsia"/>
                <w:color w:val="auto"/>
                <w:sz w:val="24"/>
                <w:szCs w:val="24"/>
                <w:highlight w:val="none"/>
                <w:lang w:val="en-US" w:eastAsia="zh-CN"/>
              </w:rPr>
              <w:t>需</w:t>
            </w:r>
            <w:r>
              <w:rPr>
                <w:rFonts w:hint="eastAsia"/>
                <w:color w:val="auto"/>
                <w:sz w:val="24"/>
                <w:szCs w:val="24"/>
                <w:highlight w:val="none"/>
                <w:lang w:eastAsia="zh-CN"/>
              </w:rPr>
              <w:t>提供</w:t>
            </w:r>
            <w:r>
              <w:rPr>
                <w:rFonts w:hint="eastAsia"/>
                <w:color w:val="auto"/>
                <w:sz w:val="24"/>
                <w:szCs w:val="24"/>
                <w:highlight w:val="none"/>
                <w:lang w:val="en-US" w:eastAsia="zh-CN"/>
              </w:rPr>
              <w:t>本单位</w:t>
            </w:r>
            <w:r>
              <w:rPr>
                <w:rFonts w:hint="eastAsia"/>
                <w:color w:val="auto"/>
                <w:sz w:val="24"/>
                <w:szCs w:val="24"/>
                <w:highlight w:val="none"/>
                <w:lang w:eastAsia="zh-CN"/>
              </w:rPr>
              <w:t>养老保险缴费证明半年以来任意连续3个月</w:t>
            </w:r>
          </w:p>
        </w:tc>
      </w:tr>
      <w:tr w14:paraId="0D81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71" w:type="dxa"/>
            <w:vMerge w:val="continue"/>
            <w:tcBorders>
              <w:left w:val="single" w:color="auto" w:sz="4" w:space="0"/>
              <w:right w:val="single" w:color="auto" w:sz="4" w:space="0"/>
            </w:tcBorders>
            <w:vAlign w:val="center"/>
          </w:tcPr>
          <w:p w14:paraId="0AD81BB2">
            <w:pPr>
              <w:spacing w:line="360" w:lineRule="auto"/>
              <w:jc w:val="center"/>
              <w:rPr>
                <w:rFonts w:ascii="宋体" w:hAnsi="宋体" w:eastAsia="宋体" w:cs="Times New Roman"/>
                <w:bCs/>
                <w:color w:val="auto"/>
                <w:sz w:val="28"/>
                <w:szCs w:val="28"/>
                <w:highlight w:val="none"/>
              </w:rPr>
            </w:pPr>
          </w:p>
        </w:tc>
        <w:tc>
          <w:tcPr>
            <w:tcW w:w="930" w:type="dxa"/>
            <w:vMerge w:val="continue"/>
            <w:tcBorders>
              <w:left w:val="single" w:color="auto" w:sz="4" w:space="0"/>
              <w:right w:val="single" w:color="auto" w:sz="4" w:space="0"/>
            </w:tcBorders>
            <w:vAlign w:val="center"/>
          </w:tcPr>
          <w:p w14:paraId="16CCFC2B">
            <w:pPr>
              <w:spacing w:line="360" w:lineRule="auto"/>
              <w:jc w:val="center"/>
              <w:rPr>
                <w:rFonts w:ascii="宋体" w:hAnsi="宋体" w:eastAsia="宋体" w:cs="Times New Roman"/>
                <w:color w:val="auto"/>
                <w:sz w:val="28"/>
                <w:szCs w:val="28"/>
                <w:highlight w:val="none"/>
              </w:rPr>
            </w:pPr>
          </w:p>
        </w:tc>
        <w:tc>
          <w:tcPr>
            <w:tcW w:w="3027" w:type="dxa"/>
            <w:tcBorders>
              <w:top w:val="single" w:color="auto" w:sz="4" w:space="0"/>
              <w:left w:val="single" w:color="auto" w:sz="4" w:space="0"/>
              <w:right w:val="single" w:color="auto" w:sz="4" w:space="0"/>
            </w:tcBorders>
            <w:vAlign w:val="center"/>
          </w:tcPr>
          <w:p w14:paraId="15E4B84E">
            <w:pPr>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无商业贿赂及无不正当竞争行为</w:t>
            </w:r>
          </w:p>
        </w:tc>
        <w:tc>
          <w:tcPr>
            <w:tcW w:w="5878" w:type="dxa"/>
            <w:tcBorders>
              <w:top w:val="single" w:color="auto" w:sz="4" w:space="0"/>
              <w:left w:val="single" w:color="auto" w:sz="4" w:space="0"/>
              <w:right w:val="single" w:color="auto" w:sz="4" w:space="0"/>
            </w:tcBorders>
            <w:vAlign w:val="center"/>
          </w:tcPr>
          <w:p w14:paraId="0A94975E">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供应商出具无商业贿赂及无不正当竞争行为的承诺书。</w:t>
            </w:r>
          </w:p>
        </w:tc>
      </w:tr>
      <w:tr w14:paraId="1AAA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71" w:type="dxa"/>
            <w:vMerge w:val="continue"/>
            <w:tcBorders>
              <w:left w:val="single" w:color="auto" w:sz="4" w:space="0"/>
              <w:right w:val="single" w:color="auto" w:sz="4" w:space="0"/>
            </w:tcBorders>
            <w:vAlign w:val="center"/>
          </w:tcPr>
          <w:p w14:paraId="7DE07833">
            <w:pPr>
              <w:spacing w:line="360" w:lineRule="auto"/>
              <w:jc w:val="center"/>
              <w:rPr>
                <w:rFonts w:ascii="宋体" w:hAnsi="宋体" w:eastAsia="宋体" w:cs="Times New Roman"/>
                <w:bCs/>
                <w:color w:val="auto"/>
                <w:sz w:val="28"/>
                <w:szCs w:val="28"/>
                <w:highlight w:val="none"/>
              </w:rPr>
            </w:pPr>
          </w:p>
        </w:tc>
        <w:tc>
          <w:tcPr>
            <w:tcW w:w="930" w:type="dxa"/>
            <w:vMerge w:val="continue"/>
            <w:tcBorders>
              <w:left w:val="single" w:color="auto" w:sz="4" w:space="0"/>
              <w:right w:val="single" w:color="auto" w:sz="4" w:space="0"/>
            </w:tcBorders>
            <w:vAlign w:val="center"/>
          </w:tcPr>
          <w:p w14:paraId="0C6DF364">
            <w:pPr>
              <w:spacing w:line="360" w:lineRule="auto"/>
              <w:jc w:val="center"/>
              <w:rPr>
                <w:rFonts w:ascii="宋体" w:hAnsi="宋体" w:eastAsia="宋体" w:cs="Times New Roman"/>
                <w:color w:val="auto"/>
                <w:sz w:val="28"/>
                <w:szCs w:val="28"/>
                <w:highlight w:val="none"/>
              </w:rPr>
            </w:pPr>
          </w:p>
        </w:tc>
        <w:tc>
          <w:tcPr>
            <w:tcW w:w="3027" w:type="dxa"/>
            <w:tcBorders>
              <w:top w:val="single" w:color="auto" w:sz="4" w:space="0"/>
              <w:left w:val="single" w:color="auto" w:sz="4" w:space="0"/>
              <w:right w:val="single" w:color="auto" w:sz="4" w:space="0"/>
            </w:tcBorders>
            <w:vAlign w:val="center"/>
          </w:tcPr>
          <w:p w14:paraId="74C8AA5A">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无行贿犯罪记录</w:t>
            </w:r>
          </w:p>
        </w:tc>
        <w:tc>
          <w:tcPr>
            <w:tcW w:w="5878" w:type="dxa"/>
            <w:tcBorders>
              <w:top w:val="single" w:color="auto" w:sz="4" w:space="0"/>
              <w:left w:val="single" w:color="auto" w:sz="4" w:space="0"/>
              <w:right w:val="single" w:color="auto" w:sz="4" w:space="0"/>
            </w:tcBorders>
            <w:vAlign w:val="center"/>
          </w:tcPr>
          <w:p w14:paraId="4133C0C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加政府采购活动前3年内无行贿犯罪记录，提供《中国裁判文书网》查询结果网页截图或企业自行承诺的无行贿犯罪承诺书，查询&lt;承诺&gt;对象为“企业，法定代表人，拟派项目负责人”（查询时间自公告发布之日起，查询结果清晰可见）</w:t>
            </w:r>
          </w:p>
        </w:tc>
      </w:tr>
      <w:tr w14:paraId="2A23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6EB85A9E">
            <w:pPr>
              <w:spacing w:line="360" w:lineRule="auto"/>
              <w:jc w:val="center"/>
              <w:rPr>
                <w:rFonts w:ascii="宋体" w:hAnsi="宋体" w:eastAsia="宋体" w:cs="Times New Roman"/>
                <w:bCs/>
                <w:color w:val="auto"/>
                <w:sz w:val="28"/>
                <w:szCs w:val="28"/>
                <w:highlight w:val="none"/>
              </w:rPr>
            </w:pPr>
          </w:p>
        </w:tc>
        <w:tc>
          <w:tcPr>
            <w:tcW w:w="930" w:type="dxa"/>
            <w:vMerge w:val="continue"/>
            <w:tcBorders>
              <w:left w:val="single" w:color="auto" w:sz="4" w:space="0"/>
              <w:right w:val="single" w:color="auto" w:sz="4" w:space="0"/>
            </w:tcBorders>
            <w:vAlign w:val="center"/>
          </w:tcPr>
          <w:p w14:paraId="3A6EEAC1">
            <w:pPr>
              <w:spacing w:line="360" w:lineRule="auto"/>
              <w:jc w:val="center"/>
              <w:rPr>
                <w:rFonts w:ascii="宋体" w:hAnsi="宋体" w:eastAsia="宋体" w:cs="Times New Roman"/>
                <w:color w:val="auto"/>
                <w:sz w:val="28"/>
                <w:szCs w:val="28"/>
                <w:highlight w:val="none"/>
              </w:rPr>
            </w:pPr>
          </w:p>
        </w:tc>
        <w:tc>
          <w:tcPr>
            <w:tcW w:w="3027" w:type="dxa"/>
            <w:tcBorders>
              <w:top w:val="single" w:color="auto" w:sz="4" w:space="0"/>
              <w:left w:val="single" w:color="auto" w:sz="4" w:space="0"/>
              <w:right w:val="single" w:color="auto" w:sz="4" w:space="0"/>
            </w:tcBorders>
            <w:vAlign w:val="center"/>
          </w:tcPr>
          <w:p w14:paraId="5EA93B40">
            <w:pPr>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信用查询</w:t>
            </w:r>
          </w:p>
        </w:tc>
        <w:tc>
          <w:tcPr>
            <w:tcW w:w="5878" w:type="dxa"/>
            <w:tcBorders>
              <w:top w:val="single" w:color="auto" w:sz="4" w:space="0"/>
              <w:left w:val="single" w:color="auto" w:sz="4" w:space="0"/>
              <w:right w:val="single" w:color="auto" w:sz="4" w:space="0"/>
            </w:tcBorders>
            <w:vAlign w:val="center"/>
          </w:tcPr>
          <w:p w14:paraId="33DD7A97">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根据《关于在政府采购活动中查询及使用信用记录有关问题的通知》(财库[2016]125 号)和豫财购【2016】15 号的规定，对列入失信被执行人、重大税收违法失信主体、政府采购严重违法失信行为记录名单的供应商，拒绝参与本项目采购活动；（查询渠道：“信用中国”网站（www.creditchina.gov.cn）、中国政府采购网（www.ccgp.gov.cn）（提供“信用中国”和“中国政府采购网”网站的查询信息截图，查询时间须在本项目自发布公告之日起至项目开标之日范围内）</w:t>
            </w:r>
          </w:p>
        </w:tc>
      </w:tr>
      <w:tr w14:paraId="68FE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3CF309C9">
            <w:pPr>
              <w:spacing w:line="360" w:lineRule="auto"/>
              <w:jc w:val="center"/>
              <w:rPr>
                <w:rFonts w:ascii="宋体" w:hAnsi="宋体" w:eastAsia="宋体" w:cs="Times New Roman"/>
                <w:bCs/>
                <w:color w:val="auto"/>
                <w:sz w:val="28"/>
                <w:szCs w:val="28"/>
                <w:highlight w:val="none"/>
              </w:rPr>
            </w:pPr>
          </w:p>
        </w:tc>
        <w:tc>
          <w:tcPr>
            <w:tcW w:w="930" w:type="dxa"/>
            <w:vMerge w:val="continue"/>
            <w:tcBorders>
              <w:left w:val="single" w:color="auto" w:sz="4" w:space="0"/>
              <w:right w:val="single" w:color="auto" w:sz="4" w:space="0"/>
            </w:tcBorders>
            <w:vAlign w:val="center"/>
          </w:tcPr>
          <w:p w14:paraId="1A25FABF">
            <w:pPr>
              <w:spacing w:line="360" w:lineRule="auto"/>
              <w:jc w:val="center"/>
              <w:rPr>
                <w:rFonts w:ascii="宋体" w:hAnsi="宋体" w:eastAsia="宋体" w:cs="Times New Roman"/>
                <w:color w:val="auto"/>
                <w:sz w:val="28"/>
                <w:szCs w:val="28"/>
                <w:highlight w:val="none"/>
              </w:rPr>
            </w:pPr>
          </w:p>
        </w:tc>
        <w:tc>
          <w:tcPr>
            <w:tcW w:w="3027" w:type="dxa"/>
            <w:tcBorders>
              <w:top w:val="single" w:color="auto" w:sz="4" w:space="0"/>
              <w:left w:val="single" w:color="auto" w:sz="4" w:space="0"/>
              <w:right w:val="single" w:color="auto" w:sz="4" w:space="0"/>
            </w:tcBorders>
            <w:vAlign w:val="center"/>
          </w:tcPr>
          <w:p w14:paraId="3F87DC4C">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具有良好的商业信誉和健全的财务会计制度</w:t>
            </w:r>
          </w:p>
        </w:tc>
        <w:tc>
          <w:tcPr>
            <w:tcW w:w="5878" w:type="dxa"/>
            <w:tcBorders>
              <w:top w:val="single" w:color="auto" w:sz="4" w:space="0"/>
              <w:left w:val="single" w:color="auto" w:sz="4" w:space="0"/>
              <w:right w:val="single" w:color="auto" w:sz="4" w:space="0"/>
            </w:tcBorders>
            <w:vAlign w:val="center"/>
          </w:tcPr>
          <w:p w14:paraId="16A60D39">
            <w:pPr>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具有良好的商业信誉和健全的财务会计制度，供应商自行出具具有良好的商业信誉和健全的财务会计制度的承诺书</w:t>
            </w:r>
          </w:p>
        </w:tc>
      </w:tr>
      <w:tr w14:paraId="4FE2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0EAFCEBC">
            <w:pPr>
              <w:spacing w:line="360" w:lineRule="auto"/>
              <w:jc w:val="center"/>
              <w:rPr>
                <w:rFonts w:ascii="宋体" w:hAnsi="宋体" w:eastAsia="宋体" w:cs="Times New Roman"/>
                <w:bCs/>
                <w:color w:val="auto"/>
                <w:sz w:val="28"/>
                <w:szCs w:val="28"/>
                <w:highlight w:val="none"/>
              </w:rPr>
            </w:pPr>
          </w:p>
        </w:tc>
        <w:tc>
          <w:tcPr>
            <w:tcW w:w="930" w:type="dxa"/>
            <w:vMerge w:val="continue"/>
            <w:tcBorders>
              <w:left w:val="single" w:color="auto" w:sz="4" w:space="0"/>
              <w:right w:val="single" w:color="auto" w:sz="4" w:space="0"/>
            </w:tcBorders>
            <w:vAlign w:val="center"/>
          </w:tcPr>
          <w:p w14:paraId="1D3D373E">
            <w:pPr>
              <w:spacing w:line="360" w:lineRule="auto"/>
              <w:jc w:val="center"/>
              <w:rPr>
                <w:rFonts w:ascii="宋体" w:hAnsi="宋体" w:eastAsia="宋体" w:cs="Times New Roman"/>
                <w:color w:val="auto"/>
                <w:sz w:val="28"/>
                <w:szCs w:val="28"/>
                <w:highlight w:val="none"/>
              </w:rPr>
            </w:pPr>
          </w:p>
        </w:tc>
        <w:tc>
          <w:tcPr>
            <w:tcW w:w="3027" w:type="dxa"/>
            <w:tcBorders>
              <w:top w:val="single" w:color="auto" w:sz="4" w:space="0"/>
              <w:left w:val="single" w:color="auto" w:sz="4" w:space="0"/>
              <w:right w:val="single" w:color="auto" w:sz="4" w:space="0"/>
            </w:tcBorders>
            <w:vAlign w:val="center"/>
          </w:tcPr>
          <w:p w14:paraId="7713824C">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非联合体磋商</w:t>
            </w:r>
          </w:p>
        </w:tc>
        <w:tc>
          <w:tcPr>
            <w:tcW w:w="5878" w:type="dxa"/>
            <w:tcBorders>
              <w:top w:val="single" w:color="auto" w:sz="4" w:space="0"/>
              <w:left w:val="single" w:color="auto" w:sz="4" w:space="0"/>
              <w:right w:val="single" w:color="auto" w:sz="4" w:space="0"/>
            </w:tcBorders>
            <w:vAlign w:val="center"/>
          </w:tcPr>
          <w:p w14:paraId="0AFD03D5">
            <w:pPr>
              <w:spacing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本项目不接受联合体磋商（提供承诺书，格式自拟）</w:t>
            </w:r>
          </w:p>
        </w:tc>
      </w:tr>
      <w:tr w14:paraId="5FC1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0B1B91A7">
            <w:pPr>
              <w:spacing w:line="360" w:lineRule="auto"/>
              <w:jc w:val="center"/>
              <w:rPr>
                <w:rFonts w:ascii="宋体" w:hAnsi="宋体" w:eastAsia="宋体" w:cs="Times New Roman"/>
                <w:bCs/>
                <w:color w:val="auto"/>
                <w:sz w:val="28"/>
                <w:szCs w:val="28"/>
                <w:highlight w:val="none"/>
              </w:rPr>
            </w:pPr>
          </w:p>
        </w:tc>
        <w:tc>
          <w:tcPr>
            <w:tcW w:w="930" w:type="dxa"/>
            <w:vMerge w:val="continue"/>
            <w:tcBorders>
              <w:left w:val="single" w:color="auto" w:sz="4" w:space="0"/>
              <w:right w:val="single" w:color="auto" w:sz="4" w:space="0"/>
            </w:tcBorders>
            <w:vAlign w:val="center"/>
          </w:tcPr>
          <w:p w14:paraId="466C13F7">
            <w:pPr>
              <w:spacing w:line="360" w:lineRule="auto"/>
              <w:jc w:val="center"/>
              <w:rPr>
                <w:rFonts w:ascii="宋体" w:hAnsi="宋体" w:eastAsia="宋体" w:cs="Times New Roman"/>
                <w:color w:val="auto"/>
                <w:sz w:val="28"/>
                <w:szCs w:val="28"/>
                <w:highlight w:val="none"/>
              </w:rPr>
            </w:pPr>
          </w:p>
        </w:tc>
        <w:tc>
          <w:tcPr>
            <w:tcW w:w="3027" w:type="dxa"/>
            <w:tcBorders>
              <w:top w:val="single" w:color="auto" w:sz="4" w:space="0"/>
              <w:left w:val="single" w:color="auto" w:sz="4" w:space="0"/>
              <w:right w:val="single" w:color="auto" w:sz="4" w:space="0"/>
            </w:tcBorders>
            <w:vAlign w:val="center"/>
          </w:tcPr>
          <w:p w14:paraId="08C87039">
            <w:pPr>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其它</w:t>
            </w:r>
          </w:p>
        </w:tc>
        <w:tc>
          <w:tcPr>
            <w:tcW w:w="5878" w:type="dxa"/>
            <w:tcBorders>
              <w:top w:val="single" w:color="auto" w:sz="4" w:space="0"/>
              <w:left w:val="single" w:color="auto" w:sz="4" w:space="0"/>
              <w:right w:val="single" w:color="auto" w:sz="4" w:space="0"/>
            </w:tcBorders>
            <w:vAlign w:val="center"/>
          </w:tcPr>
          <w:p w14:paraId="31341121">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本次磋商实行资格后审</w:t>
            </w:r>
          </w:p>
        </w:tc>
      </w:tr>
      <w:tr w14:paraId="620B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806" w:type="dxa"/>
            <w:gridSpan w:val="4"/>
            <w:tcBorders>
              <w:left w:val="single" w:color="auto" w:sz="4" w:space="0"/>
              <w:right w:val="single" w:color="auto" w:sz="4" w:space="0"/>
            </w:tcBorders>
            <w:vAlign w:val="center"/>
          </w:tcPr>
          <w:p w14:paraId="3C0C7E83">
            <w:pPr>
              <w:tabs>
                <w:tab w:val="left" w:pos="1868"/>
              </w:tabs>
              <w:jc w:val="left"/>
              <w:rPr>
                <w:rFonts w:ascii="宋体" w:hAnsi="宋体" w:eastAsia="宋体" w:cs="MingLiU"/>
                <w:color w:val="auto"/>
                <w:sz w:val="24"/>
                <w:szCs w:val="24"/>
                <w:highlight w:val="none"/>
              </w:rPr>
            </w:pPr>
            <w:r>
              <w:rPr>
                <w:rFonts w:hint="eastAsia" w:ascii="宋体" w:hAnsi="宋体" w:eastAsia="宋体" w:cs="MingLiU"/>
                <w:color w:val="auto"/>
                <w:sz w:val="24"/>
                <w:szCs w:val="24"/>
                <w:highlight w:val="none"/>
              </w:rPr>
              <w:t>资格评审以响应文件为准，其上传资料真实性由投标人自行承担，同时，投标人要完善主体库。</w:t>
            </w:r>
          </w:p>
        </w:tc>
      </w:tr>
      <w:tr w14:paraId="0192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71" w:type="dxa"/>
            <w:vMerge w:val="restart"/>
            <w:tcBorders>
              <w:top w:val="single" w:color="auto" w:sz="4" w:space="0"/>
              <w:left w:val="single" w:color="auto" w:sz="4" w:space="0"/>
              <w:right w:val="single" w:color="auto" w:sz="4" w:space="0"/>
            </w:tcBorders>
            <w:vAlign w:val="center"/>
          </w:tcPr>
          <w:p w14:paraId="003BA50B">
            <w:pPr>
              <w:spacing w:line="360" w:lineRule="auto"/>
              <w:jc w:val="center"/>
              <w:rPr>
                <w:rFonts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2.1.2</w:t>
            </w:r>
          </w:p>
        </w:tc>
        <w:tc>
          <w:tcPr>
            <w:tcW w:w="930" w:type="dxa"/>
            <w:vMerge w:val="restart"/>
            <w:tcBorders>
              <w:top w:val="single" w:color="auto" w:sz="4" w:space="0"/>
              <w:left w:val="single" w:color="auto" w:sz="4" w:space="0"/>
              <w:right w:val="single" w:color="auto" w:sz="4" w:space="0"/>
            </w:tcBorders>
            <w:vAlign w:val="center"/>
          </w:tcPr>
          <w:p w14:paraId="4FF5EDAC">
            <w:pPr>
              <w:spacing w:line="360" w:lineRule="auto"/>
              <w:jc w:val="center"/>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符合性</w:t>
            </w:r>
          </w:p>
          <w:p w14:paraId="44E336D0">
            <w:pPr>
              <w:spacing w:line="360" w:lineRule="auto"/>
              <w:jc w:val="center"/>
              <w:rPr>
                <w:rFonts w:ascii="宋体" w:hAnsi="宋体" w:eastAsia="宋体" w:cs="Times New Roman"/>
                <w:bCs/>
                <w:color w:val="auto"/>
                <w:sz w:val="28"/>
                <w:szCs w:val="28"/>
                <w:highlight w:val="none"/>
              </w:rPr>
            </w:pPr>
            <w:r>
              <w:rPr>
                <w:rFonts w:hint="eastAsia" w:ascii="宋体" w:hAnsi="宋体" w:eastAsia="宋体" w:cs="Times New Roman"/>
                <w:bCs/>
                <w:color w:val="auto"/>
                <w:sz w:val="28"/>
                <w:szCs w:val="28"/>
                <w:highlight w:val="none"/>
              </w:rPr>
              <w:t>审查</w:t>
            </w:r>
          </w:p>
          <w:p w14:paraId="2C00A61F">
            <w:pPr>
              <w:spacing w:line="360" w:lineRule="auto"/>
              <w:jc w:val="center"/>
              <w:rPr>
                <w:rFonts w:ascii="宋体" w:hAnsi="宋体" w:eastAsia="宋体" w:cs="Times New Roman"/>
                <w:color w:val="auto"/>
                <w:sz w:val="28"/>
                <w:szCs w:val="28"/>
                <w:highlight w:val="none"/>
              </w:rPr>
            </w:pPr>
            <w:r>
              <w:rPr>
                <w:rFonts w:hint="eastAsia" w:ascii="宋体" w:hAnsi="宋体" w:eastAsia="宋体" w:cs="Times New Roman"/>
                <w:bCs/>
                <w:color w:val="auto"/>
                <w:sz w:val="28"/>
                <w:szCs w:val="28"/>
                <w:highlight w:val="none"/>
              </w:rPr>
              <w:t>标准</w:t>
            </w:r>
          </w:p>
        </w:tc>
        <w:tc>
          <w:tcPr>
            <w:tcW w:w="3027" w:type="dxa"/>
            <w:tcBorders>
              <w:top w:val="single" w:color="auto" w:sz="4" w:space="0"/>
              <w:left w:val="single" w:color="auto" w:sz="4" w:space="0"/>
              <w:right w:val="single" w:color="auto" w:sz="4" w:space="0"/>
            </w:tcBorders>
            <w:vAlign w:val="center"/>
          </w:tcPr>
          <w:p w14:paraId="72E61B68">
            <w:pPr>
              <w:spacing w:line="720" w:lineRule="auto"/>
              <w:jc w:val="center"/>
              <w:rPr>
                <w:rFonts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szCs w:val="24"/>
                <w:highlight w:val="none"/>
              </w:rPr>
              <w:t>名称</w:t>
            </w:r>
          </w:p>
        </w:tc>
        <w:tc>
          <w:tcPr>
            <w:tcW w:w="5878" w:type="dxa"/>
            <w:tcBorders>
              <w:top w:val="single" w:color="auto" w:sz="4" w:space="0"/>
              <w:left w:val="single" w:color="auto" w:sz="4" w:space="0"/>
              <w:right w:val="single" w:color="auto" w:sz="4" w:space="0"/>
            </w:tcBorders>
            <w:vAlign w:val="center"/>
          </w:tcPr>
          <w:p w14:paraId="3B5713A9">
            <w:pPr>
              <w:spacing w:line="720" w:lineRule="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与营业执照、资质证书</w:t>
            </w:r>
            <w:r>
              <w:rPr>
                <w:rFonts w:hint="eastAsia" w:ascii="宋体" w:hAnsi="宋体" w:cs="宋体"/>
                <w:color w:val="auto"/>
                <w:sz w:val="24"/>
                <w:szCs w:val="24"/>
                <w:highlight w:val="none"/>
                <w:lang w:val="en-US" w:eastAsia="zh-CN"/>
              </w:rPr>
              <w:t>一致</w:t>
            </w:r>
          </w:p>
        </w:tc>
      </w:tr>
      <w:tr w14:paraId="06E8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71" w:type="dxa"/>
            <w:vMerge w:val="continue"/>
            <w:tcBorders>
              <w:left w:val="single" w:color="auto" w:sz="4" w:space="0"/>
              <w:right w:val="single" w:color="auto" w:sz="4" w:space="0"/>
            </w:tcBorders>
            <w:vAlign w:val="center"/>
          </w:tcPr>
          <w:p w14:paraId="39E32B02">
            <w:pPr>
              <w:rPr>
                <w:rFonts w:ascii="宋体" w:hAnsi="宋体" w:eastAsia="宋体" w:cs="Times New Roman"/>
                <w:color w:val="auto"/>
                <w:sz w:val="28"/>
                <w:szCs w:val="28"/>
                <w:highlight w:val="none"/>
              </w:rPr>
            </w:pPr>
          </w:p>
        </w:tc>
        <w:tc>
          <w:tcPr>
            <w:tcW w:w="930" w:type="dxa"/>
            <w:vMerge w:val="continue"/>
            <w:tcBorders>
              <w:left w:val="single" w:color="auto" w:sz="4" w:space="0"/>
              <w:right w:val="single" w:color="auto" w:sz="4" w:space="0"/>
            </w:tcBorders>
            <w:vAlign w:val="center"/>
          </w:tcPr>
          <w:p w14:paraId="5037FAE8">
            <w:pPr>
              <w:rPr>
                <w:rFonts w:ascii="宋体" w:hAnsi="宋体" w:eastAsia="宋体" w:cs="Times New Roman"/>
                <w:color w:val="auto"/>
                <w:sz w:val="28"/>
                <w:szCs w:val="28"/>
                <w:highlight w:val="none"/>
              </w:rPr>
            </w:pPr>
          </w:p>
        </w:tc>
        <w:tc>
          <w:tcPr>
            <w:tcW w:w="3027" w:type="dxa"/>
            <w:tcBorders>
              <w:top w:val="single" w:color="auto" w:sz="4" w:space="0"/>
              <w:left w:val="single" w:color="auto" w:sz="4" w:space="0"/>
              <w:bottom w:val="single" w:color="auto" w:sz="4" w:space="0"/>
              <w:right w:val="single" w:color="auto" w:sz="4" w:space="0"/>
            </w:tcBorders>
            <w:vAlign w:val="center"/>
          </w:tcPr>
          <w:p w14:paraId="698C4086">
            <w:pPr>
              <w:spacing w:line="500" w:lineRule="exact"/>
              <w:ind w:firstLine="240" w:firstLineChars="100"/>
              <w:jc w:val="center"/>
              <w:rPr>
                <w:rFonts w:ascii="宋体" w:hAnsi="宋体" w:eastAsia="宋体" w:cs="宋体"/>
                <w:color w:val="auto"/>
                <w:sz w:val="24"/>
                <w:szCs w:val="24"/>
                <w:highlight w:val="none"/>
              </w:rPr>
            </w:pPr>
            <w:r>
              <w:rPr>
                <w:rFonts w:hint="eastAsia" w:ascii="宋体" w:hAnsi="宋体"/>
                <w:color w:val="auto"/>
                <w:sz w:val="24"/>
                <w:szCs w:val="24"/>
                <w:highlight w:val="none"/>
                <w:lang w:val="en-US" w:eastAsia="zh-CN"/>
              </w:rPr>
              <w:t>电子签章</w:t>
            </w:r>
          </w:p>
        </w:tc>
        <w:tc>
          <w:tcPr>
            <w:tcW w:w="5878" w:type="dxa"/>
            <w:tcBorders>
              <w:top w:val="single" w:color="auto" w:sz="4" w:space="0"/>
              <w:left w:val="single" w:color="auto" w:sz="4" w:space="0"/>
              <w:bottom w:val="single" w:color="auto" w:sz="4" w:space="0"/>
              <w:right w:val="single" w:color="auto" w:sz="4" w:space="0"/>
            </w:tcBorders>
            <w:vAlign w:val="center"/>
          </w:tcPr>
          <w:p w14:paraId="1990FCEB">
            <w:pPr>
              <w:spacing w:line="5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符合磋商文件要求</w:t>
            </w:r>
          </w:p>
        </w:tc>
      </w:tr>
      <w:tr w14:paraId="21D8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71" w:type="dxa"/>
            <w:vMerge w:val="continue"/>
            <w:tcBorders>
              <w:left w:val="single" w:color="auto" w:sz="4" w:space="0"/>
              <w:right w:val="single" w:color="auto" w:sz="4" w:space="0"/>
            </w:tcBorders>
            <w:vAlign w:val="center"/>
          </w:tcPr>
          <w:p w14:paraId="645FC88C">
            <w:pPr>
              <w:rPr>
                <w:rFonts w:ascii="宋体" w:hAnsi="宋体" w:eastAsia="宋体" w:cs="Times New Roman"/>
                <w:color w:val="auto"/>
                <w:sz w:val="28"/>
                <w:szCs w:val="28"/>
                <w:highlight w:val="none"/>
              </w:rPr>
            </w:pPr>
          </w:p>
        </w:tc>
        <w:tc>
          <w:tcPr>
            <w:tcW w:w="930" w:type="dxa"/>
            <w:vMerge w:val="continue"/>
            <w:tcBorders>
              <w:left w:val="single" w:color="auto" w:sz="4" w:space="0"/>
              <w:right w:val="single" w:color="auto" w:sz="4" w:space="0"/>
            </w:tcBorders>
            <w:vAlign w:val="center"/>
          </w:tcPr>
          <w:p w14:paraId="08B78431">
            <w:pPr>
              <w:rPr>
                <w:rFonts w:ascii="宋体" w:hAnsi="宋体" w:eastAsia="宋体" w:cs="Times New Roman"/>
                <w:color w:val="auto"/>
                <w:sz w:val="28"/>
                <w:szCs w:val="28"/>
                <w:highlight w:val="none"/>
              </w:rPr>
            </w:pPr>
          </w:p>
        </w:tc>
        <w:tc>
          <w:tcPr>
            <w:tcW w:w="3027" w:type="dxa"/>
            <w:tcBorders>
              <w:top w:val="single" w:color="auto" w:sz="4" w:space="0"/>
              <w:left w:val="single" w:color="auto" w:sz="4" w:space="0"/>
              <w:bottom w:val="single" w:color="auto" w:sz="4" w:space="0"/>
              <w:right w:val="single" w:color="auto" w:sz="4" w:space="0"/>
            </w:tcBorders>
            <w:vAlign w:val="center"/>
          </w:tcPr>
          <w:p w14:paraId="2078E07F">
            <w:pPr>
              <w:spacing w:line="720" w:lineRule="auto"/>
              <w:jc w:val="center"/>
              <w:rPr>
                <w:rFonts w:ascii="宋体" w:hAnsi="宋体" w:eastAsia="宋体" w:cs="宋体"/>
                <w:color w:val="auto"/>
                <w:sz w:val="24"/>
                <w:szCs w:val="24"/>
                <w:highlight w:val="none"/>
              </w:rPr>
            </w:pPr>
            <w:r>
              <w:rPr>
                <w:rFonts w:hint="eastAsia" w:ascii="宋体" w:hAnsi="宋体"/>
                <w:color w:val="auto"/>
                <w:sz w:val="24"/>
                <w:szCs w:val="24"/>
                <w:highlight w:val="none"/>
              </w:rPr>
              <w:t>磋商有效期</w:t>
            </w:r>
          </w:p>
        </w:tc>
        <w:tc>
          <w:tcPr>
            <w:tcW w:w="5878" w:type="dxa"/>
            <w:tcBorders>
              <w:top w:val="single" w:color="auto" w:sz="4" w:space="0"/>
              <w:left w:val="single" w:color="auto" w:sz="4" w:space="0"/>
              <w:bottom w:val="single" w:color="auto" w:sz="4" w:space="0"/>
              <w:right w:val="single" w:color="auto" w:sz="4" w:space="0"/>
            </w:tcBorders>
            <w:vAlign w:val="center"/>
          </w:tcPr>
          <w:p w14:paraId="1FC2B1AB">
            <w:pPr>
              <w:spacing w:line="720" w:lineRule="auto"/>
              <w:jc w:val="left"/>
              <w:rPr>
                <w:rFonts w:ascii="宋体" w:hAnsi="宋体" w:eastAsia="宋体" w:cs="宋体"/>
                <w:color w:val="auto"/>
                <w:sz w:val="24"/>
                <w:szCs w:val="24"/>
                <w:highlight w:val="none"/>
              </w:rPr>
            </w:pPr>
            <w:r>
              <w:rPr>
                <w:rFonts w:hint="eastAsia" w:asciiTheme="minorEastAsia" w:hAnsiTheme="minorEastAsia" w:cstheme="minorEastAsia"/>
                <w:color w:val="auto"/>
                <w:spacing w:val="6"/>
                <w:sz w:val="24"/>
                <w:szCs w:val="24"/>
                <w:highlight w:val="none"/>
              </w:rPr>
              <w:t>60日历天(从磋商截止之日算起)</w:t>
            </w:r>
          </w:p>
        </w:tc>
      </w:tr>
      <w:tr w14:paraId="5F67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exact"/>
          <w:jc w:val="center"/>
        </w:trPr>
        <w:tc>
          <w:tcPr>
            <w:tcW w:w="971" w:type="dxa"/>
            <w:vMerge w:val="continue"/>
            <w:tcBorders>
              <w:left w:val="single" w:color="auto" w:sz="4" w:space="0"/>
              <w:right w:val="single" w:color="auto" w:sz="4" w:space="0"/>
            </w:tcBorders>
            <w:vAlign w:val="center"/>
          </w:tcPr>
          <w:p w14:paraId="5C428222">
            <w:pPr>
              <w:rPr>
                <w:rFonts w:ascii="宋体" w:hAnsi="宋体" w:eastAsia="宋体" w:cs="Times New Roman"/>
                <w:color w:val="auto"/>
                <w:sz w:val="28"/>
                <w:szCs w:val="28"/>
                <w:highlight w:val="none"/>
              </w:rPr>
            </w:pPr>
          </w:p>
        </w:tc>
        <w:tc>
          <w:tcPr>
            <w:tcW w:w="930" w:type="dxa"/>
            <w:vMerge w:val="continue"/>
            <w:tcBorders>
              <w:left w:val="single" w:color="auto" w:sz="4" w:space="0"/>
              <w:right w:val="single" w:color="auto" w:sz="4" w:space="0"/>
            </w:tcBorders>
            <w:vAlign w:val="center"/>
          </w:tcPr>
          <w:p w14:paraId="1D99954F">
            <w:pPr>
              <w:rPr>
                <w:rFonts w:ascii="宋体" w:hAnsi="宋体" w:eastAsia="宋体" w:cs="Times New Roman"/>
                <w:color w:val="auto"/>
                <w:sz w:val="28"/>
                <w:szCs w:val="28"/>
                <w:highlight w:val="none"/>
              </w:rPr>
            </w:pPr>
          </w:p>
        </w:tc>
        <w:tc>
          <w:tcPr>
            <w:tcW w:w="3027" w:type="dxa"/>
            <w:tcBorders>
              <w:top w:val="single" w:color="auto" w:sz="4" w:space="0"/>
              <w:left w:val="single" w:color="auto" w:sz="4" w:space="0"/>
              <w:bottom w:val="single" w:color="auto" w:sz="4" w:space="0"/>
              <w:right w:val="single" w:color="auto" w:sz="4" w:space="0"/>
            </w:tcBorders>
            <w:vAlign w:val="center"/>
          </w:tcPr>
          <w:p w14:paraId="13CE9B83">
            <w:pPr>
              <w:spacing w:line="72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5878" w:type="dxa"/>
            <w:tcBorders>
              <w:top w:val="single" w:color="auto" w:sz="4" w:space="0"/>
              <w:left w:val="single" w:color="auto" w:sz="4" w:space="0"/>
              <w:bottom w:val="single" w:color="auto" w:sz="4" w:space="0"/>
              <w:right w:val="single" w:color="auto" w:sz="4" w:space="0"/>
            </w:tcBorders>
            <w:vAlign w:val="center"/>
          </w:tcPr>
          <w:p w14:paraId="527644D8">
            <w:pPr>
              <w:jc w:val="left"/>
              <w:rPr>
                <w:color w:val="auto"/>
                <w:sz w:val="24"/>
                <w:szCs w:val="24"/>
                <w:highlight w:val="none"/>
              </w:rPr>
            </w:pPr>
            <w:r>
              <w:rPr>
                <w:rFonts w:hint="eastAsia"/>
                <w:color w:val="auto"/>
                <w:sz w:val="24"/>
                <w:szCs w:val="24"/>
                <w:highlight w:val="none"/>
              </w:rPr>
              <w:t>只能有一个有效报价</w:t>
            </w:r>
          </w:p>
        </w:tc>
      </w:tr>
      <w:tr w14:paraId="030D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exact"/>
          <w:jc w:val="center"/>
        </w:trPr>
        <w:tc>
          <w:tcPr>
            <w:tcW w:w="971" w:type="dxa"/>
            <w:vMerge w:val="continue"/>
            <w:tcBorders>
              <w:left w:val="single" w:color="auto" w:sz="4" w:space="0"/>
              <w:bottom w:val="single" w:color="auto" w:sz="4" w:space="0"/>
              <w:right w:val="single" w:color="auto" w:sz="4" w:space="0"/>
            </w:tcBorders>
            <w:vAlign w:val="center"/>
          </w:tcPr>
          <w:p w14:paraId="30B541C9">
            <w:pPr>
              <w:rPr>
                <w:rFonts w:ascii="宋体" w:hAnsi="宋体" w:eastAsia="宋体" w:cs="Times New Roman"/>
                <w:color w:val="auto"/>
                <w:sz w:val="28"/>
                <w:szCs w:val="28"/>
                <w:highlight w:val="none"/>
              </w:rPr>
            </w:pPr>
          </w:p>
        </w:tc>
        <w:tc>
          <w:tcPr>
            <w:tcW w:w="930" w:type="dxa"/>
            <w:vMerge w:val="continue"/>
            <w:tcBorders>
              <w:left w:val="single" w:color="auto" w:sz="4" w:space="0"/>
              <w:bottom w:val="single" w:color="auto" w:sz="4" w:space="0"/>
              <w:right w:val="single" w:color="auto" w:sz="4" w:space="0"/>
            </w:tcBorders>
            <w:vAlign w:val="center"/>
          </w:tcPr>
          <w:p w14:paraId="116A5D81">
            <w:pPr>
              <w:rPr>
                <w:rFonts w:ascii="宋体" w:hAnsi="宋体" w:eastAsia="宋体" w:cs="Times New Roman"/>
                <w:color w:val="auto"/>
                <w:sz w:val="28"/>
                <w:szCs w:val="28"/>
                <w:highlight w:val="none"/>
              </w:rPr>
            </w:pPr>
          </w:p>
        </w:tc>
        <w:tc>
          <w:tcPr>
            <w:tcW w:w="3027" w:type="dxa"/>
            <w:tcBorders>
              <w:top w:val="single" w:color="auto" w:sz="4" w:space="0"/>
              <w:left w:val="single" w:color="auto" w:sz="4" w:space="0"/>
              <w:bottom w:val="single" w:color="auto" w:sz="4" w:space="0"/>
              <w:right w:val="single" w:color="auto" w:sz="4" w:space="0"/>
            </w:tcBorders>
            <w:vAlign w:val="center"/>
          </w:tcPr>
          <w:p w14:paraId="4C794319">
            <w:pPr>
              <w:spacing w:line="5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响应文件格式</w:t>
            </w:r>
          </w:p>
        </w:tc>
        <w:tc>
          <w:tcPr>
            <w:tcW w:w="5878" w:type="dxa"/>
            <w:tcBorders>
              <w:top w:val="single" w:color="auto" w:sz="4" w:space="0"/>
              <w:left w:val="single" w:color="auto" w:sz="4" w:space="0"/>
              <w:bottom w:val="single" w:color="auto" w:sz="4" w:space="0"/>
              <w:right w:val="single" w:color="auto" w:sz="4" w:space="0"/>
            </w:tcBorders>
            <w:vAlign w:val="center"/>
          </w:tcPr>
          <w:p w14:paraId="168FB5A3">
            <w:pPr>
              <w:spacing w:line="560" w:lineRule="exact"/>
              <w:jc w:val="left"/>
              <w:rPr>
                <w:color w:val="auto"/>
                <w:sz w:val="24"/>
                <w:szCs w:val="24"/>
                <w:highlight w:val="none"/>
              </w:rPr>
            </w:pPr>
            <w:r>
              <w:rPr>
                <w:rFonts w:hint="eastAsia"/>
                <w:color w:val="auto"/>
                <w:sz w:val="24"/>
                <w:szCs w:val="24"/>
                <w:highlight w:val="none"/>
              </w:rPr>
              <w:t>符合磋商文件格式要求</w:t>
            </w:r>
          </w:p>
        </w:tc>
      </w:tr>
    </w:tbl>
    <w:p w14:paraId="0F5EB76B">
      <w:pPr>
        <w:spacing w:line="600" w:lineRule="exact"/>
        <w:rPr>
          <w:rFonts w:ascii="Calibri" w:hAnsi="Calibri" w:eastAsia="宋体" w:cs="Times New Roman"/>
          <w:color w:val="auto"/>
          <w:sz w:val="28"/>
          <w:szCs w:val="28"/>
          <w:highlight w:val="none"/>
        </w:rPr>
      </w:pPr>
      <w:r>
        <w:rPr>
          <w:rFonts w:hint="eastAsia" w:ascii="宋体" w:hAnsi="宋体" w:eastAsia="宋体" w:cs="宋体"/>
          <w:b/>
          <w:color w:val="auto"/>
          <w:sz w:val="28"/>
          <w:szCs w:val="28"/>
          <w:highlight w:val="none"/>
        </w:rPr>
        <w:t>1. 磋商文件的评审、比较和否决</w:t>
      </w:r>
    </w:p>
    <w:p w14:paraId="08C930B2">
      <w:pPr>
        <w:spacing w:line="600" w:lineRule="exact"/>
        <w:ind w:firstLine="482" w:firstLineChars="200"/>
        <w:rPr>
          <w:rFonts w:ascii="Calibri" w:hAnsi="Calibri" w:eastAsia="宋体" w:cs="Times New Roman"/>
          <w:color w:val="auto"/>
          <w:sz w:val="24"/>
          <w:szCs w:val="24"/>
          <w:highlight w:val="none"/>
        </w:rPr>
      </w:pPr>
      <w:r>
        <w:rPr>
          <w:rFonts w:hint="eastAsia" w:ascii="宋体" w:hAnsi="宋体" w:eastAsia="宋体" w:cs="宋体"/>
          <w:b/>
          <w:color w:val="auto"/>
          <w:sz w:val="24"/>
          <w:szCs w:val="24"/>
          <w:highlight w:val="none"/>
        </w:rPr>
        <w:t>1.1</w:t>
      </w:r>
      <w:r>
        <w:rPr>
          <w:rFonts w:hint="eastAsia" w:ascii="宋体" w:hAnsi="宋体" w:eastAsia="宋体" w:cs="宋体"/>
          <w:color w:val="auto"/>
          <w:sz w:val="24"/>
          <w:szCs w:val="24"/>
          <w:highlight w:val="none"/>
        </w:rPr>
        <w:t>磋商小组将按照竞争性磋商文件的规定，仅对在实质上响应竞争性磋商文件要求的响应文件进行评估和比较。</w:t>
      </w:r>
    </w:p>
    <w:p w14:paraId="17B80FDB">
      <w:pPr>
        <w:spacing w:line="600" w:lineRule="exact"/>
        <w:ind w:firstLine="482" w:firstLineChars="200"/>
        <w:rPr>
          <w:rFonts w:ascii="Calibri" w:hAnsi="Calibri" w:eastAsia="宋体" w:cs="Times New Roman"/>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color w:val="auto"/>
          <w:sz w:val="24"/>
          <w:szCs w:val="24"/>
          <w:highlight w:val="none"/>
        </w:rPr>
        <w:t>根据相关法律法规及有关磋商文件规定，结合本项目具体情况，制定本次采购磋商办法。并按照“公平、公正、科学、择优”的原则进行磋商。采用百分制综合评估法进行评比。</w:t>
      </w:r>
    </w:p>
    <w:p w14:paraId="4DC7F1E2">
      <w:pPr>
        <w:spacing w:line="600" w:lineRule="exact"/>
        <w:ind w:firstLine="482" w:firstLineChars="200"/>
        <w:rPr>
          <w:rFonts w:ascii="Calibri" w:hAnsi="Calibri" w:eastAsia="宋体" w:cs="Times New Roman"/>
          <w:color w:val="auto"/>
          <w:sz w:val="24"/>
          <w:szCs w:val="24"/>
          <w:highlight w:val="none"/>
        </w:rPr>
      </w:pPr>
      <w:r>
        <w:rPr>
          <w:rFonts w:hint="eastAsia" w:ascii="宋体" w:hAnsi="宋体" w:eastAsia="宋体" w:cs="宋体"/>
          <w:b/>
          <w:color w:val="auto"/>
          <w:sz w:val="24"/>
          <w:szCs w:val="24"/>
          <w:highlight w:val="none"/>
        </w:rPr>
        <w:t>1.3</w:t>
      </w:r>
      <w:r>
        <w:rPr>
          <w:rFonts w:hint="eastAsia" w:ascii="宋体" w:hAnsi="宋体" w:eastAsia="宋体" w:cs="宋体"/>
          <w:color w:val="auto"/>
          <w:sz w:val="24"/>
          <w:szCs w:val="24"/>
          <w:highlight w:val="none"/>
        </w:rPr>
        <w:t>在磋商过程中，磋商小组可以以书面形式要求磋商供应商就响应文件中含义不明确的内容进行书面说明并提供相关材料；</w:t>
      </w:r>
      <w:r>
        <w:rPr>
          <w:rFonts w:hint="eastAsia" w:ascii="宋体" w:hAnsi="宋体" w:eastAsia="宋体" w:cs="宋体"/>
          <w:color w:val="auto"/>
          <w:spacing w:val="-12"/>
          <w:sz w:val="24"/>
          <w:szCs w:val="24"/>
          <w:highlight w:val="none"/>
        </w:rPr>
        <w:t>凡遇到响应文件中无界定或界定不清、前后不一致使评委会成员</w:t>
      </w:r>
      <w:r>
        <w:rPr>
          <w:rFonts w:hint="eastAsia" w:ascii="宋体" w:hAnsi="宋体" w:eastAsia="宋体" w:cs="宋体"/>
          <w:color w:val="auto"/>
          <w:sz w:val="24"/>
          <w:szCs w:val="24"/>
          <w:highlight w:val="none"/>
        </w:rPr>
        <w:t>意见</w:t>
      </w:r>
      <w:r>
        <w:rPr>
          <w:rFonts w:hint="eastAsia" w:ascii="宋体" w:hAnsi="宋体" w:eastAsia="宋体" w:cs="宋体"/>
          <w:color w:val="auto"/>
          <w:spacing w:val="-12"/>
          <w:sz w:val="24"/>
          <w:szCs w:val="24"/>
          <w:highlight w:val="none"/>
        </w:rPr>
        <w:t>有分歧且又难于协商一致的问题，均由评委会予以表决，获半数以上同意的即为通过，未获半数同意的即为否决</w:t>
      </w:r>
      <w:r>
        <w:rPr>
          <w:rFonts w:hint="eastAsia" w:ascii="宋体" w:hAnsi="宋体" w:eastAsia="宋体" w:cs="宋体"/>
          <w:color w:val="auto"/>
          <w:sz w:val="24"/>
          <w:szCs w:val="24"/>
          <w:highlight w:val="none"/>
        </w:rPr>
        <w:t>。</w:t>
      </w:r>
    </w:p>
    <w:p w14:paraId="0F06AB1D">
      <w:pPr>
        <w:spacing w:line="600" w:lineRule="exact"/>
        <w:ind w:firstLine="482" w:firstLineChars="200"/>
        <w:rPr>
          <w:rFonts w:ascii="Calibri" w:hAnsi="Calibri" w:eastAsia="宋体" w:cs="Times New Roman"/>
          <w:color w:val="auto"/>
          <w:sz w:val="24"/>
          <w:szCs w:val="24"/>
          <w:highlight w:val="none"/>
        </w:rPr>
      </w:pPr>
      <w:r>
        <w:rPr>
          <w:rFonts w:hint="eastAsia" w:ascii="宋体" w:hAnsi="宋体" w:eastAsia="宋体" w:cs="宋体"/>
          <w:b/>
          <w:color w:val="auto"/>
          <w:sz w:val="24"/>
          <w:szCs w:val="24"/>
          <w:highlight w:val="none"/>
        </w:rPr>
        <w:t>1.4</w:t>
      </w:r>
      <w:r>
        <w:rPr>
          <w:rFonts w:hint="eastAsia" w:ascii="宋体" w:hAnsi="宋体" w:eastAsia="宋体" w:cs="宋体"/>
          <w:color w:val="auto"/>
          <w:sz w:val="24"/>
          <w:szCs w:val="24"/>
          <w:highlight w:val="none"/>
        </w:rPr>
        <w:t>磋商时，磋商报价是磋商的重要依据，但不是唯一依据，采购人不承诺将合同授予报价最低或最高的磋商供应商。</w:t>
      </w:r>
    </w:p>
    <w:p w14:paraId="6C872D49">
      <w:pPr>
        <w:spacing w:line="600" w:lineRule="exact"/>
        <w:ind w:firstLine="482" w:firstLineChars="200"/>
        <w:rPr>
          <w:rFonts w:ascii="Calibri" w:hAnsi="Calibri" w:eastAsia="宋体" w:cs="Times New Roman"/>
          <w:color w:val="auto"/>
          <w:sz w:val="24"/>
          <w:szCs w:val="24"/>
          <w:highlight w:val="none"/>
        </w:rPr>
      </w:pPr>
      <w:r>
        <w:rPr>
          <w:rFonts w:hint="eastAsia" w:ascii="宋体" w:hAnsi="宋体" w:eastAsia="宋体" w:cs="宋体"/>
          <w:b/>
          <w:color w:val="auto"/>
          <w:sz w:val="24"/>
          <w:szCs w:val="24"/>
          <w:highlight w:val="none"/>
        </w:rPr>
        <w:t>1.5</w:t>
      </w:r>
      <w:r>
        <w:rPr>
          <w:rFonts w:hint="eastAsia" w:ascii="宋体" w:hAnsi="宋体" w:eastAsia="宋体" w:cs="宋体"/>
          <w:color w:val="auto"/>
          <w:sz w:val="24"/>
          <w:szCs w:val="24"/>
          <w:highlight w:val="none"/>
        </w:rPr>
        <w:t>磋商小组依据竞争性磋商文件中规定的磋商标准和方法，对响应文件进行评审和比较，向采购人提出书面磋商报告，并推荐合格的成交候选人。采购人根据磋商小组提出的书面磋商报告和推荐的成交候选人按序确定成交人。</w:t>
      </w:r>
    </w:p>
    <w:p w14:paraId="63A146BC">
      <w:pPr>
        <w:spacing w:line="600" w:lineRule="exact"/>
        <w:ind w:firstLine="482" w:firstLineChars="200"/>
        <w:rPr>
          <w:rFonts w:ascii="Calibri" w:hAnsi="Calibri" w:eastAsia="宋体" w:cs="Times New Roman"/>
          <w:color w:val="auto"/>
          <w:sz w:val="24"/>
          <w:szCs w:val="24"/>
          <w:highlight w:val="none"/>
        </w:rPr>
      </w:pPr>
      <w:r>
        <w:rPr>
          <w:rFonts w:hint="eastAsia" w:ascii="宋体" w:hAnsi="宋体" w:eastAsia="宋体" w:cs="宋体"/>
          <w:b/>
          <w:color w:val="auto"/>
          <w:sz w:val="24"/>
          <w:szCs w:val="24"/>
          <w:highlight w:val="none"/>
        </w:rPr>
        <w:t>2. 磋商程序</w:t>
      </w:r>
    </w:p>
    <w:p w14:paraId="3A469E2F">
      <w:pPr>
        <w:spacing w:line="600" w:lineRule="exact"/>
        <w:ind w:firstLine="560" w:firstLineChars="200"/>
        <w:rPr>
          <w:rFonts w:ascii="Calibri" w:hAnsi="Calibri" w:eastAsia="宋体" w:cs="Times New Roman"/>
          <w:color w:val="auto"/>
          <w:sz w:val="28"/>
          <w:szCs w:val="28"/>
          <w:highlight w:val="none"/>
        </w:rPr>
      </w:pPr>
      <w:r>
        <w:rPr>
          <w:rFonts w:hint="eastAsia" w:ascii="宋体" w:hAnsi="宋体" w:eastAsia="宋体" w:cs="宋体"/>
          <w:color w:val="auto"/>
          <w:sz w:val="28"/>
          <w:szCs w:val="28"/>
          <w:highlight w:val="none"/>
        </w:rPr>
        <w:t>2.1 资格审查</w:t>
      </w:r>
    </w:p>
    <w:p w14:paraId="6649CA85">
      <w:pPr>
        <w:spacing w:line="600" w:lineRule="exact"/>
        <w:ind w:firstLine="480" w:firstLineChars="200"/>
        <w:rPr>
          <w:rFonts w:ascii="Calibri" w:hAnsi="Calibri" w:eastAsia="宋体" w:cs="Times New Roman"/>
          <w:color w:val="auto"/>
          <w:sz w:val="24"/>
          <w:szCs w:val="24"/>
          <w:highlight w:val="none"/>
        </w:rPr>
      </w:pPr>
      <w:r>
        <w:rPr>
          <w:rFonts w:hint="eastAsia" w:ascii="宋体" w:hAnsi="宋体" w:eastAsia="宋体" w:cs="宋体"/>
          <w:color w:val="auto"/>
          <w:sz w:val="24"/>
          <w:szCs w:val="24"/>
          <w:highlight w:val="none"/>
        </w:rPr>
        <w:t>本项目采用资格后审</w:t>
      </w:r>
    </w:p>
    <w:p w14:paraId="0F9A8E70">
      <w:pPr>
        <w:spacing w:line="600" w:lineRule="exact"/>
        <w:ind w:firstLine="480" w:firstLineChars="200"/>
        <w:rPr>
          <w:rFonts w:ascii="宋体" w:hAnsi="宋体" w:eastAsia="宋体" w:cs="宋体"/>
          <w:color w:val="auto"/>
          <w:sz w:val="28"/>
          <w:szCs w:val="28"/>
          <w:highlight w:val="none"/>
        </w:rPr>
      </w:pPr>
      <w:r>
        <w:rPr>
          <w:rFonts w:hint="eastAsia" w:ascii="宋体" w:hAnsi="宋体" w:eastAsia="宋体" w:cs="宋体"/>
          <w:color w:val="auto"/>
          <w:sz w:val="24"/>
          <w:szCs w:val="24"/>
          <w:highlight w:val="none"/>
        </w:rPr>
        <w:t>磋商小组按照竞争性磋商文件供应商资格要求，对磋商供应商的响应文件进行资格和符合性审查，有一项不符合的，按废标处理，符合的进入下一磋商程序。</w:t>
      </w:r>
    </w:p>
    <w:p w14:paraId="1341E228">
      <w:pPr>
        <w:spacing w:line="600" w:lineRule="exact"/>
        <w:ind w:firstLine="562" w:firstLineChars="20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3.磋商具体方法和标准</w:t>
      </w:r>
    </w:p>
    <w:p w14:paraId="4C88904D">
      <w:pPr>
        <w:spacing w:line="6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磋商小组根据磋商原则和办法对所有响应文件进行集中审核，分别评价。</w:t>
      </w:r>
    </w:p>
    <w:tbl>
      <w:tblPr>
        <w:tblStyle w:val="20"/>
        <w:tblpPr w:leftFromText="180" w:rightFromText="180" w:vertAnchor="text" w:horzAnchor="margin" w:tblpXSpec="center" w:tblpY="172"/>
        <w:tblW w:w="10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384"/>
        <w:gridCol w:w="877"/>
        <w:gridCol w:w="6716"/>
      </w:tblGrid>
      <w:tr w14:paraId="0734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44" w:type="dxa"/>
            <w:tcBorders>
              <w:top w:val="single" w:color="auto" w:sz="4" w:space="0"/>
              <w:left w:val="single" w:color="auto" w:sz="4" w:space="0"/>
              <w:bottom w:val="single" w:color="auto" w:sz="4" w:space="0"/>
              <w:right w:val="single" w:color="auto" w:sz="4" w:space="0"/>
            </w:tcBorders>
            <w:vAlign w:val="center"/>
          </w:tcPr>
          <w:p w14:paraId="29E3EF8A">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评分因素</w:t>
            </w:r>
          </w:p>
        </w:tc>
        <w:tc>
          <w:tcPr>
            <w:tcW w:w="1384" w:type="dxa"/>
            <w:tcBorders>
              <w:top w:val="single" w:color="auto" w:sz="4" w:space="0"/>
              <w:left w:val="single" w:color="auto" w:sz="4" w:space="0"/>
              <w:bottom w:val="single" w:color="auto" w:sz="4" w:space="0"/>
              <w:right w:val="single" w:color="auto" w:sz="4" w:space="0"/>
            </w:tcBorders>
            <w:vAlign w:val="center"/>
          </w:tcPr>
          <w:p w14:paraId="3A965AAC">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877" w:type="dxa"/>
            <w:tcBorders>
              <w:top w:val="single" w:color="auto" w:sz="4" w:space="0"/>
              <w:left w:val="single" w:color="auto" w:sz="4" w:space="0"/>
              <w:bottom w:val="single" w:color="auto" w:sz="4" w:space="0"/>
              <w:right w:val="single" w:color="auto" w:sz="4" w:space="0"/>
            </w:tcBorders>
            <w:vAlign w:val="center"/>
          </w:tcPr>
          <w:p w14:paraId="70ECB84B">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6716" w:type="dxa"/>
            <w:tcBorders>
              <w:top w:val="single" w:color="auto" w:sz="4" w:space="0"/>
              <w:left w:val="single" w:color="auto" w:sz="4" w:space="0"/>
              <w:bottom w:val="single" w:color="auto" w:sz="4" w:space="0"/>
              <w:right w:val="single" w:color="auto" w:sz="4" w:space="0"/>
            </w:tcBorders>
            <w:vAlign w:val="center"/>
          </w:tcPr>
          <w:p w14:paraId="272653A1">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0A5A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444" w:type="dxa"/>
            <w:tcBorders>
              <w:top w:val="single" w:color="auto" w:sz="4" w:space="0"/>
              <w:left w:val="single" w:color="auto" w:sz="4" w:space="0"/>
              <w:bottom w:val="single" w:color="auto" w:sz="4" w:space="0"/>
              <w:right w:val="single" w:color="auto" w:sz="4" w:space="0"/>
            </w:tcBorders>
            <w:vAlign w:val="center"/>
          </w:tcPr>
          <w:p w14:paraId="72CAE064">
            <w:pPr>
              <w:spacing w:before="156"/>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报价</w:t>
            </w:r>
          </w:p>
          <w:p w14:paraId="6D50AA46">
            <w:pPr>
              <w:spacing w:before="156"/>
              <w:jc w:val="center"/>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lang w:val="en-US" w:eastAsia="zh-CN"/>
              </w:rPr>
              <w:t>30</w:t>
            </w:r>
            <w:r>
              <w:rPr>
                <w:rFonts w:hint="eastAsia" w:ascii="宋体" w:hAnsi="宋体" w:eastAsia="宋体" w:cs="Times New Roman"/>
                <w:b/>
                <w:color w:val="auto"/>
                <w:sz w:val="24"/>
                <w:szCs w:val="24"/>
                <w:highlight w:val="none"/>
              </w:rPr>
              <w:t>分）</w:t>
            </w:r>
          </w:p>
        </w:tc>
        <w:tc>
          <w:tcPr>
            <w:tcW w:w="1384" w:type="dxa"/>
            <w:tcBorders>
              <w:top w:val="single" w:color="auto" w:sz="4" w:space="0"/>
              <w:left w:val="single" w:color="auto" w:sz="4" w:space="0"/>
              <w:bottom w:val="single" w:color="auto" w:sz="4" w:space="0"/>
              <w:right w:val="single" w:color="auto" w:sz="4" w:space="0"/>
            </w:tcBorders>
            <w:vAlign w:val="center"/>
          </w:tcPr>
          <w:p w14:paraId="37AA0B77">
            <w:pPr>
              <w:spacing w:before="156"/>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报价分</w:t>
            </w:r>
          </w:p>
        </w:tc>
        <w:tc>
          <w:tcPr>
            <w:tcW w:w="877" w:type="dxa"/>
            <w:tcBorders>
              <w:top w:val="single" w:color="auto" w:sz="4" w:space="0"/>
              <w:left w:val="single" w:color="auto" w:sz="4" w:space="0"/>
              <w:bottom w:val="single" w:color="auto" w:sz="4" w:space="0"/>
              <w:right w:val="single" w:color="auto" w:sz="4" w:space="0"/>
            </w:tcBorders>
            <w:vAlign w:val="center"/>
          </w:tcPr>
          <w:p w14:paraId="2C886B90">
            <w:pPr>
              <w:spacing w:before="156"/>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30</w:t>
            </w:r>
            <w:r>
              <w:rPr>
                <w:rFonts w:hint="eastAsia" w:ascii="宋体" w:hAnsi="宋体" w:eastAsia="宋体" w:cs="Times New Roman"/>
                <w:color w:val="auto"/>
                <w:sz w:val="24"/>
                <w:szCs w:val="24"/>
                <w:highlight w:val="none"/>
              </w:rPr>
              <w:t>分</w:t>
            </w:r>
          </w:p>
        </w:tc>
        <w:tc>
          <w:tcPr>
            <w:tcW w:w="6716" w:type="dxa"/>
            <w:tcBorders>
              <w:top w:val="single" w:color="auto" w:sz="4" w:space="0"/>
              <w:left w:val="single" w:color="auto" w:sz="4" w:space="0"/>
              <w:bottom w:val="single" w:color="auto" w:sz="4" w:space="0"/>
              <w:right w:val="single" w:color="auto" w:sz="4" w:space="0"/>
            </w:tcBorders>
            <w:vAlign w:val="center"/>
          </w:tcPr>
          <w:p w14:paraId="2BA5E3A8">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1、超出采购人控制价的投标报价为无效报价、按废标处理。</w:t>
            </w:r>
          </w:p>
          <w:p w14:paraId="6E1002DB">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2、所有为未进入详细评审的投标为无效投标，其报价不作为评分依据。</w:t>
            </w:r>
          </w:p>
          <w:p w14:paraId="618990BA">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3、价格分统一采用低价优先法计算，既满足竞争性磋商文件要求且投标价格最低的投标报价为评标基准价，其价格分为满分。其他供应商的价格分统一按照下列公式计算：</w:t>
            </w:r>
          </w:p>
          <w:p w14:paraId="619D3FC2">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磋商报价得分=(磋商基准价/最后磋商报价)×</w:t>
            </w:r>
            <w:r>
              <w:rPr>
                <w:rFonts w:hint="eastAsia" w:ascii="宋体" w:hAnsi="宋体" w:eastAsia="宋体" w:cs="Times New Roman"/>
                <w:color w:val="auto"/>
                <w:kern w:val="0"/>
                <w:sz w:val="24"/>
                <w:szCs w:val="24"/>
                <w:highlight w:val="none"/>
                <w:lang w:val="en-US" w:eastAsia="zh-CN"/>
              </w:rPr>
              <w:t>30</w:t>
            </w:r>
            <w:r>
              <w:rPr>
                <w:rFonts w:hint="eastAsia" w:ascii="宋体" w:hAnsi="宋体" w:eastAsia="宋体" w:cs="Times New Roman"/>
                <w:color w:val="auto"/>
                <w:kern w:val="0"/>
                <w:sz w:val="24"/>
                <w:szCs w:val="24"/>
                <w:highlight w:val="none"/>
              </w:rPr>
              <w:t>%×100</w:t>
            </w:r>
          </w:p>
          <w:p w14:paraId="55FD115B">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备注：1、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0BD2EDE">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2、促进中小型企业发展，必须执行财政部、工信部印发的《政府采购促进中小企业发展管理办法》，对小型和微型企业的报价给予20</w:t>
            </w:r>
            <w:r>
              <w:rPr>
                <w:rFonts w:hint="eastAsia" w:ascii="宋体" w:hAnsi="宋体" w:eastAsia="宋体" w:cs="Times New Roman"/>
                <w:color w:val="auto"/>
                <w:kern w:val="0"/>
                <w:sz w:val="24"/>
                <w:szCs w:val="24"/>
                <w:highlight w:val="none"/>
                <w:lang w:val="en-US" w:eastAsia="zh-CN"/>
              </w:rPr>
              <w:t>%</w:t>
            </w:r>
            <w:r>
              <w:rPr>
                <w:rFonts w:hint="eastAsia" w:ascii="宋体" w:hAnsi="宋体" w:eastAsia="宋体" w:cs="Times New Roman"/>
                <w:color w:val="auto"/>
                <w:kern w:val="0"/>
                <w:sz w:val="24"/>
                <w:szCs w:val="24"/>
                <w:highlight w:val="none"/>
              </w:rPr>
              <w:t>的扣除，用扣除后的价格参与评审。中小企业需提供《中小企业声明函》，并对其真实性负责，如有不实，属于“隐瞒真实情况，提供虚假资料”的情形，将依照《政府采购法》的有关规定追究相应责任。</w:t>
            </w:r>
          </w:p>
          <w:p w14:paraId="0ABBD07B">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3、监狱企业、残疾人福利性单位享受小型、微型企业与的报价给予20</w:t>
            </w:r>
            <w:r>
              <w:rPr>
                <w:rFonts w:hint="eastAsia" w:ascii="宋体" w:hAnsi="宋体" w:eastAsia="宋体" w:cs="Times New Roman"/>
                <w:color w:val="auto"/>
                <w:kern w:val="0"/>
                <w:sz w:val="24"/>
                <w:szCs w:val="24"/>
                <w:highlight w:val="none"/>
                <w:lang w:val="en-US" w:eastAsia="zh-CN"/>
              </w:rPr>
              <w:t>%</w:t>
            </w:r>
            <w:r>
              <w:rPr>
                <w:rFonts w:hint="eastAsia" w:ascii="宋体" w:hAnsi="宋体" w:eastAsia="宋体" w:cs="Times New Roman"/>
                <w:color w:val="auto"/>
                <w:kern w:val="0"/>
                <w:sz w:val="24"/>
                <w:szCs w:val="24"/>
                <w:highlight w:val="none"/>
              </w:rPr>
              <w:t>的扣除政策。</w:t>
            </w:r>
          </w:p>
          <w:p w14:paraId="6BDB63C3">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4、监狱企业参加政府采购活动时，应当提供由省级以上监狱管理局、戒毒管理局（含新疆生产建设兵团）出具的属于监狱企业的证明文件，否则不予价格折扣。</w:t>
            </w:r>
          </w:p>
          <w:p w14:paraId="4D8B0B02">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5、残疾人福利性单位应当在响应性文件中提供《残疾人福利性单位声明函》。</w:t>
            </w:r>
          </w:p>
          <w:p w14:paraId="62FCACDE">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6、小型和微型企业产品包括货物及其提供的服务与工程。</w:t>
            </w:r>
          </w:p>
          <w:p w14:paraId="25C97734">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7、中小企业、残疾人福利性单位提供其他企业制造的货物的，则该货物的制造商也必须为上述企业，否则不能享受价格优惠。</w:t>
            </w:r>
          </w:p>
          <w:p w14:paraId="403B146E">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8、残疾人福利性单位属于小型、微型企业的，不重复享受政策。</w:t>
            </w:r>
          </w:p>
          <w:p w14:paraId="0340DF56">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9、符合价格折扣的供应商需提供相关资质证明。</w:t>
            </w:r>
          </w:p>
        </w:tc>
      </w:tr>
      <w:tr w14:paraId="2BA0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4" w:type="dxa"/>
            <w:vMerge w:val="restart"/>
            <w:tcBorders>
              <w:top w:val="single" w:color="auto" w:sz="4" w:space="0"/>
              <w:left w:val="single" w:color="auto" w:sz="4" w:space="0"/>
              <w:right w:val="single" w:color="auto" w:sz="4" w:space="0"/>
            </w:tcBorders>
            <w:vAlign w:val="center"/>
          </w:tcPr>
          <w:p w14:paraId="5D8F8AF5">
            <w:pPr>
              <w:spacing w:before="156"/>
              <w:jc w:val="center"/>
              <w:rPr>
                <w:rFonts w:ascii="宋体" w:hAnsi="宋体" w:eastAsia="宋体" w:cs="Times New Roman"/>
                <w:b/>
                <w:bCs/>
                <w:color w:val="auto"/>
                <w:sz w:val="24"/>
                <w:szCs w:val="24"/>
                <w:highlight w:val="none"/>
              </w:rPr>
            </w:pPr>
          </w:p>
          <w:p w14:paraId="56AF9D92">
            <w:pPr>
              <w:spacing w:before="156"/>
              <w:jc w:val="center"/>
              <w:rPr>
                <w:rFonts w:ascii="宋体" w:hAnsi="宋体" w:eastAsia="宋体" w:cs="Times New Roman"/>
                <w:b/>
                <w:bCs/>
                <w:color w:val="auto"/>
                <w:sz w:val="24"/>
                <w:szCs w:val="24"/>
                <w:highlight w:val="none"/>
              </w:rPr>
            </w:pPr>
          </w:p>
          <w:p w14:paraId="6B884A2B">
            <w:pPr>
              <w:spacing w:before="156"/>
              <w:jc w:val="center"/>
              <w:rPr>
                <w:rFonts w:ascii="宋体" w:hAnsi="宋体" w:eastAsia="宋体" w:cs="Times New Roman"/>
                <w:b/>
                <w:bCs/>
                <w:color w:val="auto"/>
                <w:sz w:val="24"/>
                <w:szCs w:val="24"/>
                <w:highlight w:val="none"/>
              </w:rPr>
            </w:pPr>
          </w:p>
          <w:p w14:paraId="11E98462">
            <w:pPr>
              <w:spacing w:before="156"/>
              <w:jc w:val="center"/>
              <w:rPr>
                <w:rFonts w:ascii="宋体" w:hAnsi="宋体" w:eastAsia="宋体" w:cs="Times New Roman"/>
                <w:b/>
                <w:bCs/>
                <w:color w:val="auto"/>
                <w:sz w:val="24"/>
                <w:szCs w:val="24"/>
                <w:highlight w:val="none"/>
              </w:rPr>
            </w:pPr>
          </w:p>
          <w:p w14:paraId="5BC1E1A7">
            <w:pPr>
              <w:spacing w:before="156"/>
              <w:jc w:val="center"/>
              <w:rPr>
                <w:rFonts w:ascii="宋体" w:hAnsi="宋体" w:eastAsia="宋体" w:cs="Times New Roman"/>
                <w:b/>
                <w:bCs/>
                <w:color w:val="auto"/>
                <w:sz w:val="24"/>
                <w:szCs w:val="24"/>
                <w:highlight w:val="none"/>
              </w:rPr>
            </w:pPr>
          </w:p>
          <w:p w14:paraId="20EDE96E">
            <w:pPr>
              <w:spacing w:before="156"/>
              <w:jc w:val="center"/>
              <w:rPr>
                <w:rFonts w:ascii="宋体" w:hAnsi="宋体" w:eastAsia="宋体" w:cs="Times New Roman"/>
                <w:b/>
                <w:bCs/>
                <w:color w:val="auto"/>
                <w:sz w:val="24"/>
                <w:szCs w:val="24"/>
                <w:highlight w:val="none"/>
              </w:rPr>
            </w:pPr>
          </w:p>
          <w:p w14:paraId="2461FB35">
            <w:pPr>
              <w:spacing w:before="156"/>
              <w:jc w:val="center"/>
              <w:rPr>
                <w:rFonts w:ascii="宋体" w:hAnsi="宋体" w:eastAsia="宋体" w:cs="Times New Roman"/>
                <w:b/>
                <w:bCs/>
                <w:color w:val="auto"/>
                <w:sz w:val="24"/>
                <w:szCs w:val="24"/>
                <w:highlight w:val="none"/>
              </w:rPr>
            </w:pPr>
          </w:p>
          <w:p w14:paraId="6FFA2CC7">
            <w:pPr>
              <w:spacing w:before="156"/>
              <w:jc w:val="center"/>
              <w:rPr>
                <w:rFonts w:ascii="宋体" w:hAnsi="宋体" w:eastAsia="宋体" w:cs="Times New Roman"/>
                <w:b/>
                <w:color w:val="auto"/>
                <w:sz w:val="24"/>
                <w:szCs w:val="24"/>
                <w:highlight w:val="none"/>
              </w:rPr>
            </w:pPr>
            <w:r>
              <w:rPr>
                <w:rFonts w:hint="eastAsia" w:ascii="宋体" w:hAnsi="宋体" w:eastAsia="宋体" w:cs="Times New Roman"/>
                <w:b/>
                <w:bCs/>
                <w:color w:val="auto"/>
                <w:sz w:val="24"/>
                <w:szCs w:val="24"/>
                <w:highlight w:val="none"/>
              </w:rPr>
              <w:t>技术部分</w:t>
            </w:r>
            <w:r>
              <w:rPr>
                <w:rFonts w:hint="eastAsia"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lang w:val="en-US" w:eastAsia="zh-CN"/>
              </w:rPr>
              <w:t>50</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分</w:t>
            </w:r>
          </w:p>
        </w:tc>
        <w:tc>
          <w:tcPr>
            <w:tcW w:w="1384" w:type="dxa"/>
            <w:tcBorders>
              <w:top w:val="single" w:color="auto" w:sz="4" w:space="0"/>
              <w:left w:val="single" w:color="auto" w:sz="4" w:space="0"/>
              <w:right w:val="single" w:color="auto" w:sz="4" w:space="0"/>
            </w:tcBorders>
            <w:vAlign w:val="center"/>
          </w:tcPr>
          <w:p w14:paraId="404BC6E5">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项目总体工作方案</w:t>
            </w:r>
          </w:p>
          <w:p w14:paraId="749874F2">
            <w:pPr>
              <w:spacing w:line="520" w:lineRule="exact"/>
              <w:rPr>
                <w:rFonts w:ascii="宋体" w:hAnsi="宋体" w:eastAsia="宋体" w:cs="Times New Roman"/>
                <w:color w:val="auto"/>
                <w:kern w:val="0"/>
                <w:sz w:val="24"/>
                <w:szCs w:val="24"/>
                <w:highlight w:val="none"/>
              </w:rPr>
            </w:pPr>
          </w:p>
        </w:tc>
        <w:tc>
          <w:tcPr>
            <w:tcW w:w="877" w:type="dxa"/>
            <w:tcBorders>
              <w:top w:val="single" w:color="auto" w:sz="4" w:space="0"/>
              <w:left w:val="single" w:color="auto" w:sz="4" w:space="0"/>
              <w:bottom w:val="single" w:color="auto" w:sz="4" w:space="0"/>
              <w:right w:val="single" w:color="auto" w:sz="4" w:space="0"/>
            </w:tcBorders>
            <w:vAlign w:val="center"/>
          </w:tcPr>
          <w:p w14:paraId="6D355F16">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10分</w:t>
            </w:r>
          </w:p>
        </w:tc>
        <w:tc>
          <w:tcPr>
            <w:tcW w:w="6716" w:type="dxa"/>
            <w:tcBorders>
              <w:top w:val="single" w:color="auto" w:sz="4" w:space="0"/>
              <w:left w:val="single" w:color="auto" w:sz="4" w:space="0"/>
              <w:bottom w:val="single" w:color="auto" w:sz="4" w:space="0"/>
              <w:right w:val="single" w:color="auto" w:sz="4" w:space="0"/>
            </w:tcBorders>
            <w:vAlign w:val="center"/>
          </w:tcPr>
          <w:p w14:paraId="274378B4">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供应商的项目总体工作方案全面、合理性强、可行性高，工作规划清晰合理，项目组织实施体系详尽，切实可行的，得10分；</w:t>
            </w:r>
          </w:p>
          <w:p w14:paraId="4DC05824">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供应商的项目总体工作方案基本全面、合理性较好、可行性较好，工作规划较为清晰合理，项目组织实施体系相对详尽，有可行性的，得6分；</w:t>
            </w:r>
          </w:p>
          <w:p w14:paraId="3856F6E4">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供应商的项目总体工作方案不全面、合理性一般、可行性一般，工作规划较为清晰合理，项目组织实施体系相对一般的，得2分；</w:t>
            </w:r>
          </w:p>
          <w:p w14:paraId="0FA9C793">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未提供的不得分。</w:t>
            </w:r>
          </w:p>
        </w:tc>
      </w:tr>
      <w:tr w14:paraId="097C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44" w:type="dxa"/>
            <w:vMerge w:val="continue"/>
            <w:tcBorders>
              <w:left w:val="single" w:color="auto" w:sz="4" w:space="0"/>
              <w:right w:val="single" w:color="auto" w:sz="4" w:space="0"/>
            </w:tcBorders>
            <w:vAlign w:val="center"/>
          </w:tcPr>
          <w:p w14:paraId="36F05061">
            <w:pPr>
              <w:spacing w:before="156"/>
              <w:jc w:val="center"/>
              <w:rPr>
                <w:rFonts w:ascii="宋体" w:hAnsi="宋体" w:eastAsia="宋体" w:cs="Times New Roman"/>
                <w:b/>
                <w:bCs/>
                <w:color w:val="auto"/>
                <w:sz w:val="24"/>
                <w:szCs w:val="24"/>
                <w:highlight w:val="none"/>
              </w:rPr>
            </w:pPr>
          </w:p>
        </w:tc>
        <w:tc>
          <w:tcPr>
            <w:tcW w:w="1384" w:type="dxa"/>
            <w:tcBorders>
              <w:top w:val="single" w:color="auto" w:sz="4" w:space="0"/>
              <w:left w:val="single" w:color="auto" w:sz="4" w:space="0"/>
              <w:right w:val="single" w:color="auto" w:sz="4" w:space="0"/>
            </w:tcBorders>
            <w:vAlign w:val="center"/>
          </w:tcPr>
          <w:p w14:paraId="4B789DB9">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项目工作安排及人员配备</w:t>
            </w:r>
          </w:p>
        </w:tc>
        <w:tc>
          <w:tcPr>
            <w:tcW w:w="877" w:type="dxa"/>
            <w:tcBorders>
              <w:top w:val="single" w:color="auto" w:sz="4" w:space="0"/>
              <w:left w:val="single" w:color="auto" w:sz="4" w:space="0"/>
              <w:bottom w:val="single" w:color="auto" w:sz="4" w:space="0"/>
              <w:right w:val="single" w:color="auto" w:sz="4" w:space="0"/>
            </w:tcBorders>
            <w:vAlign w:val="center"/>
          </w:tcPr>
          <w:p w14:paraId="2BD9E082">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8分</w:t>
            </w:r>
          </w:p>
        </w:tc>
        <w:tc>
          <w:tcPr>
            <w:tcW w:w="6716" w:type="dxa"/>
            <w:tcBorders>
              <w:top w:val="single" w:color="auto" w:sz="4" w:space="0"/>
              <w:left w:val="single" w:color="auto" w:sz="4" w:space="0"/>
              <w:bottom w:val="single" w:color="auto" w:sz="4" w:space="0"/>
              <w:right w:val="single" w:color="auto" w:sz="4" w:space="0"/>
            </w:tcBorders>
            <w:vAlign w:val="center"/>
          </w:tcPr>
          <w:p w14:paraId="4C7CC8CD">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项目工作安排计划得当，可操作性及针对性强，有合理的人员安排，职责分工明确的8分；</w:t>
            </w:r>
          </w:p>
          <w:p w14:paraId="1B63A59A">
            <w:pPr>
              <w:spacing w:line="520" w:lineRule="exact"/>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项目工作安排计划可行，可操作性基本得当，人员安排基本合理的</w:t>
            </w:r>
            <w:r>
              <w:rPr>
                <w:rFonts w:hint="eastAsia" w:ascii="宋体" w:hAnsi="宋体" w:eastAsia="宋体" w:cs="Times New Roman"/>
                <w:color w:val="auto"/>
                <w:kern w:val="0"/>
                <w:sz w:val="24"/>
                <w:szCs w:val="24"/>
                <w:highlight w:val="none"/>
                <w:lang w:val="en-US" w:eastAsia="zh-CN"/>
              </w:rPr>
              <w:t>5</w:t>
            </w:r>
            <w:r>
              <w:rPr>
                <w:rFonts w:hint="eastAsia" w:ascii="宋体" w:hAnsi="宋体" w:eastAsia="宋体" w:cs="Times New Roman"/>
                <w:color w:val="auto"/>
                <w:kern w:val="0"/>
                <w:sz w:val="24"/>
                <w:szCs w:val="24"/>
                <w:highlight w:val="none"/>
              </w:rPr>
              <w:t>分；</w:t>
            </w:r>
          </w:p>
          <w:p w14:paraId="29190691">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项目工作安排计划和人员安排一般、可操作性一般的得</w:t>
            </w:r>
            <w:r>
              <w:rPr>
                <w:rFonts w:hint="eastAsia" w:ascii="宋体" w:hAnsi="宋体" w:eastAsia="宋体" w:cs="Times New Roman"/>
                <w:color w:val="auto"/>
                <w:kern w:val="0"/>
                <w:sz w:val="24"/>
                <w:szCs w:val="24"/>
                <w:highlight w:val="none"/>
                <w:lang w:val="en-US" w:eastAsia="zh-CN"/>
              </w:rPr>
              <w:t>2</w:t>
            </w:r>
            <w:r>
              <w:rPr>
                <w:rFonts w:hint="eastAsia" w:ascii="宋体" w:hAnsi="宋体" w:eastAsia="宋体" w:cs="Times New Roman"/>
                <w:color w:val="auto"/>
                <w:kern w:val="0"/>
                <w:sz w:val="24"/>
                <w:szCs w:val="24"/>
                <w:highlight w:val="none"/>
              </w:rPr>
              <w:t>分；</w:t>
            </w:r>
          </w:p>
          <w:p w14:paraId="09CFCB76">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未提供的不得分。</w:t>
            </w:r>
          </w:p>
        </w:tc>
      </w:tr>
      <w:tr w14:paraId="24AD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44" w:type="dxa"/>
            <w:vMerge w:val="continue"/>
            <w:tcBorders>
              <w:left w:val="single" w:color="auto" w:sz="4" w:space="0"/>
              <w:right w:val="single" w:color="auto" w:sz="4" w:space="0"/>
            </w:tcBorders>
            <w:vAlign w:val="center"/>
          </w:tcPr>
          <w:p w14:paraId="78BD2C33">
            <w:pPr>
              <w:spacing w:before="156"/>
              <w:jc w:val="center"/>
              <w:rPr>
                <w:rFonts w:ascii="宋体" w:hAnsi="宋体" w:eastAsia="宋体" w:cs="Times New Roman"/>
                <w:b/>
                <w:bCs/>
                <w:color w:val="auto"/>
                <w:sz w:val="24"/>
                <w:szCs w:val="24"/>
                <w:highlight w:val="none"/>
              </w:rPr>
            </w:pPr>
          </w:p>
        </w:tc>
        <w:tc>
          <w:tcPr>
            <w:tcW w:w="1384" w:type="dxa"/>
            <w:tcBorders>
              <w:top w:val="single" w:color="auto" w:sz="4" w:space="0"/>
              <w:left w:val="single" w:color="auto" w:sz="4" w:space="0"/>
              <w:right w:val="single" w:color="auto" w:sz="4" w:space="0"/>
            </w:tcBorders>
            <w:vAlign w:val="center"/>
          </w:tcPr>
          <w:p w14:paraId="08DA615E">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项目实施技术方案</w:t>
            </w:r>
          </w:p>
        </w:tc>
        <w:tc>
          <w:tcPr>
            <w:tcW w:w="877" w:type="dxa"/>
            <w:tcBorders>
              <w:top w:val="single" w:color="auto" w:sz="4" w:space="0"/>
              <w:left w:val="single" w:color="auto" w:sz="4" w:space="0"/>
              <w:bottom w:val="single" w:color="auto" w:sz="4" w:space="0"/>
              <w:right w:val="single" w:color="auto" w:sz="4" w:space="0"/>
            </w:tcBorders>
            <w:vAlign w:val="center"/>
          </w:tcPr>
          <w:p w14:paraId="33AA8207">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8分</w:t>
            </w:r>
          </w:p>
        </w:tc>
        <w:tc>
          <w:tcPr>
            <w:tcW w:w="6716" w:type="dxa"/>
            <w:tcBorders>
              <w:top w:val="single" w:color="auto" w:sz="4" w:space="0"/>
              <w:left w:val="single" w:color="auto" w:sz="4" w:space="0"/>
              <w:bottom w:val="single" w:color="auto" w:sz="4" w:space="0"/>
              <w:right w:val="single" w:color="auto" w:sz="4" w:space="0"/>
            </w:tcBorders>
            <w:vAlign w:val="center"/>
          </w:tcPr>
          <w:p w14:paraId="74DAE421">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项目实施技术方案得当，可操作性及针对性强、与本项目实施内容相匹配的8分；</w:t>
            </w:r>
          </w:p>
          <w:p w14:paraId="03798311">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实施技术方案可行，可操作性基本得当的</w:t>
            </w:r>
            <w:r>
              <w:rPr>
                <w:rFonts w:hint="eastAsia" w:ascii="宋体" w:hAnsi="宋体" w:eastAsia="宋体" w:cs="Times New Roman"/>
                <w:color w:val="auto"/>
                <w:kern w:val="0"/>
                <w:sz w:val="24"/>
                <w:szCs w:val="24"/>
                <w:highlight w:val="none"/>
                <w:lang w:val="en-US" w:eastAsia="zh-CN"/>
              </w:rPr>
              <w:t>5</w:t>
            </w:r>
            <w:r>
              <w:rPr>
                <w:rFonts w:hint="eastAsia" w:ascii="宋体" w:hAnsi="宋体" w:eastAsia="宋体" w:cs="Times New Roman"/>
                <w:color w:val="auto"/>
                <w:kern w:val="0"/>
                <w:sz w:val="24"/>
                <w:szCs w:val="24"/>
                <w:highlight w:val="none"/>
              </w:rPr>
              <w:t>分；</w:t>
            </w:r>
          </w:p>
          <w:p w14:paraId="5C06799F">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实施技术方案一般、可操作性一般的得</w:t>
            </w:r>
            <w:r>
              <w:rPr>
                <w:rFonts w:hint="eastAsia" w:ascii="宋体" w:hAnsi="宋体" w:eastAsia="宋体" w:cs="Times New Roman"/>
                <w:color w:val="auto"/>
                <w:kern w:val="0"/>
                <w:sz w:val="24"/>
                <w:szCs w:val="24"/>
                <w:highlight w:val="none"/>
                <w:lang w:val="en-US" w:eastAsia="zh-CN"/>
              </w:rPr>
              <w:t>2</w:t>
            </w:r>
            <w:r>
              <w:rPr>
                <w:rFonts w:hint="eastAsia" w:ascii="宋体" w:hAnsi="宋体" w:eastAsia="宋体" w:cs="Times New Roman"/>
                <w:color w:val="auto"/>
                <w:kern w:val="0"/>
                <w:sz w:val="24"/>
                <w:szCs w:val="24"/>
                <w:highlight w:val="none"/>
              </w:rPr>
              <w:t>分；</w:t>
            </w:r>
          </w:p>
          <w:p w14:paraId="1A9EF2D5">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未提供的不得分。</w:t>
            </w:r>
          </w:p>
        </w:tc>
      </w:tr>
      <w:tr w14:paraId="16AF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44" w:type="dxa"/>
            <w:vMerge w:val="continue"/>
            <w:tcBorders>
              <w:left w:val="single" w:color="auto" w:sz="4" w:space="0"/>
              <w:right w:val="single" w:color="auto" w:sz="4" w:space="0"/>
            </w:tcBorders>
            <w:vAlign w:val="center"/>
          </w:tcPr>
          <w:p w14:paraId="4ECD3EF1">
            <w:pPr>
              <w:spacing w:before="156"/>
              <w:jc w:val="center"/>
              <w:rPr>
                <w:rFonts w:ascii="宋体" w:hAnsi="宋体" w:eastAsia="宋体" w:cs="Times New Roman"/>
                <w:b/>
                <w:bCs/>
                <w:color w:val="auto"/>
                <w:sz w:val="24"/>
                <w:szCs w:val="24"/>
                <w:highlight w:val="none"/>
              </w:rPr>
            </w:pPr>
          </w:p>
        </w:tc>
        <w:tc>
          <w:tcPr>
            <w:tcW w:w="1384" w:type="dxa"/>
            <w:tcBorders>
              <w:top w:val="single" w:color="auto" w:sz="4" w:space="0"/>
              <w:left w:val="single" w:color="auto" w:sz="4" w:space="0"/>
              <w:right w:val="single" w:color="auto" w:sz="4" w:space="0"/>
            </w:tcBorders>
            <w:vAlign w:val="center"/>
          </w:tcPr>
          <w:p w14:paraId="2167697D">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确保项目服务质量的技术和组织措施</w:t>
            </w:r>
          </w:p>
        </w:tc>
        <w:tc>
          <w:tcPr>
            <w:tcW w:w="877" w:type="dxa"/>
            <w:tcBorders>
              <w:top w:val="single" w:color="auto" w:sz="4" w:space="0"/>
              <w:left w:val="single" w:color="auto" w:sz="4" w:space="0"/>
              <w:bottom w:val="single" w:color="auto" w:sz="4" w:space="0"/>
              <w:right w:val="single" w:color="auto" w:sz="4" w:space="0"/>
            </w:tcBorders>
            <w:vAlign w:val="center"/>
          </w:tcPr>
          <w:p w14:paraId="07ABC6A2">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8分</w:t>
            </w:r>
          </w:p>
        </w:tc>
        <w:tc>
          <w:tcPr>
            <w:tcW w:w="6716" w:type="dxa"/>
            <w:tcBorders>
              <w:top w:val="single" w:color="auto" w:sz="4" w:space="0"/>
              <w:left w:val="single" w:color="auto" w:sz="4" w:space="0"/>
              <w:bottom w:val="single" w:color="auto" w:sz="4" w:space="0"/>
              <w:right w:val="single" w:color="auto" w:sz="4" w:space="0"/>
            </w:tcBorders>
            <w:vAlign w:val="center"/>
          </w:tcPr>
          <w:p w14:paraId="74EB6754">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项目质量的技术和组织措施得当，可操作性及针对性强、与本项目实施内容相匹配的8分；</w:t>
            </w:r>
          </w:p>
          <w:p w14:paraId="07558725">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项目质量的技术和组织措施可行，可操作性基本得当的</w:t>
            </w:r>
            <w:r>
              <w:rPr>
                <w:rFonts w:hint="eastAsia" w:ascii="宋体" w:hAnsi="宋体" w:eastAsia="宋体" w:cs="Times New Roman"/>
                <w:color w:val="auto"/>
                <w:kern w:val="0"/>
                <w:sz w:val="24"/>
                <w:szCs w:val="24"/>
                <w:highlight w:val="none"/>
                <w:lang w:val="en-US" w:eastAsia="zh-CN"/>
              </w:rPr>
              <w:t>5</w:t>
            </w:r>
            <w:r>
              <w:rPr>
                <w:rFonts w:hint="eastAsia" w:ascii="宋体" w:hAnsi="宋体" w:eastAsia="宋体" w:cs="Times New Roman"/>
                <w:color w:val="auto"/>
                <w:kern w:val="0"/>
                <w:sz w:val="24"/>
                <w:szCs w:val="24"/>
                <w:highlight w:val="none"/>
              </w:rPr>
              <w:t>分；</w:t>
            </w:r>
          </w:p>
          <w:p w14:paraId="410E547F">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项目质量的技术和组织措施一般、可操作性一般的得</w:t>
            </w:r>
            <w:r>
              <w:rPr>
                <w:rFonts w:hint="eastAsia" w:ascii="宋体" w:hAnsi="宋体" w:eastAsia="宋体" w:cs="Times New Roman"/>
                <w:color w:val="auto"/>
                <w:kern w:val="0"/>
                <w:sz w:val="24"/>
                <w:szCs w:val="24"/>
                <w:highlight w:val="none"/>
                <w:lang w:val="en-US" w:eastAsia="zh-CN"/>
              </w:rPr>
              <w:t>2</w:t>
            </w:r>
            <w:r>
              <w:rPr>
                <w:rFonts w:hint="eastAsia" w:ascii="宋体" w:hAnsi="宋体" w:eastAsia="宋体" w:cs="Times New Roman"/>
                <w:color w:val="auto"/>
                <w:kern w:val="0"/>
                <w:sz w:val="24"/>
                <w:szCs w:val="24"/>
                <w:highlight w:val="none"/>
              </w:rPr>
              <w:t>分；</w:t>
            </w:r>
          </w:p>
          <w:p w14:paraId="00134581">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未提供的不得分。</w:t>
            </w:r>
          </w:p>
        </w:tc>
      </w:tr>
      <w:tr w14:paraId="487A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44" w:type="dxa"/>
            <w:vMerge w:val="continue"/>
            <w:tcBorders>
              <w:left w:val="single" w:color="auto" w:sz="4" w:space="0"/>
              <w:right w:val="single" w:color="auto" w:sz="4" w:space="0"/>
            </w:tcBorders>
            <w:vAlign w:val="center"/>
          </w:tcPr>
          <w:p w14:paraId="6071017F">
            <w:pPr>
              <w:spacing w:before="156"/>
              <w:jc w:val="center"/>
              <w:rPr>
                <w:rFonts w:ascii="宋体" w:hAnsi="宋体" w:eastAsia="宋体" w:cs="Times New Roman"/>
                <w:b/>
                <w:bCs/>
                <w:color w:val="auto"/>
                <w:sz w:val="24"/>
                <w:szCs w:val="24"/>
                <w:highlight w:val="none"/>
              </w:rPr>
            </w:pPr>
          </w:p>
        </w:tc>
        <w:tc>
          <w:tcPr>
            <w:tcW w:w="1384" w:type="dxa"/>
            <w:tcBorders>
              <w:top w:val="single" w:color="auto" w:sz="4" w:space="0"/>
              <w:left w:val="single" w:color="auto" w:sz="4" w:space="0"/>
              <w:right w:val="single" w:color="auto" w:sz="4" w:space="0"/>
            </w:tcBorders>
            <w:vAlign w:val="center"/>
          </w:tcPr>
          <w:p w14:paraId="5EBB55BA">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确保项目进度、工期的技术和组织措施</w:t>
            </w:r>
          </w:p>
        </w:tc>
        <w:tc>
          <w:tcPr>
            <w:tcW w:w="877" w:type="dxa"/>
            <w:tcBorders>
              <w:top w:val="single" w:color="auto" w:sz="4" w:space="0"/>
              <w:left w:val="single" w:color="auto" w:sz="4" w:space="0"/>
              <w:bottom w:val="single" w:color="auto" w:sz="4" w:space="0"/>
              <w:right w:val="single" w:color="auto" w:sz="4" w:space="0"/>
            </w:tcBorders>
            <w:vAlign w:val="center"/>
          </w:tcPr>
          <w:p w14:paraId="13608BA6">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8分</w:t>
            </w:r>
          </w:p>
        </w:tc>
        <w:tc>
          <w:tcPr>
            <w:tcW w:w="6716" w:type="dxa"/>
            <w:tcBorders>
              <w:top w:val="single" w:color="auto" w:sz="4" w:space="0"/>
              <w:left w:val="single" w:color="auto" w:sz="4" w:space="0"/>
              <w:bottom w:val="single" w:color="auto" w:sz="4" w:space="0"/>
              <w:right w:val="single" w:color="auto" w:sz="4" w:space="0"/>
            </w:tcBorders>
            <w:vAlign w:val="center"/>
          </w:tcPr>
          <w:p w14:paraId="456BDDE1">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项目进度、工期的技术和组织措施得当，可操作性及针对性强、与本项目实施内容相匹配的8分；</w:t>
            </w:r>
          </w:p>
          <w:p w14:paraId="79D4F7E5">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项目进度、工期的技术和组织措施可行，可操作性基本得当的</w:t>
            </w:r>
            <w:r>
              <w:rPr>
                <w:rFonts w:hint="eastAsia" w:ascii="宋体" w:hAnsi="宋体" w:eastAsia="宋体" w:cs="Times New Roman"/>
                <w:color w:val="auto"/>
                <w:kern w:val="0"/>
                <w:sz w:val="24"/>
                <w:szCs w:val="24"/>
                <w:highlight w:val="none"/>
                <w:lang w:val="en-US" w:eastAsia="zh-CN"/>
              </w:rPr>
              <w:t>5</w:t>
            </w:r>
            <w:r>
              <w:rPr>
                <w:rFonts w:hint="eastAsia" w:ascii="宋体" w:hAnsi="宋体" w:eastAsia="宋体" w:cs="Times New Roman"/>
                <w:color w:val="auto"/>
                <w:kern w:val="0"/>
                <w:sz w:val="24"/>
                <w:szCs w:val="24"/>
                <w:highlight w:val="none"/>
              </w:rPr>
              <w:t>分；</w:t>
            </w:r>
          </w:p>
          <w:p w14:paraId="2235220C">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项目进度、工期的技术和组织措施一般、可操作性一般的得</w:t>
            </w:r>
            <w:r>
              <w:rPr>
                <w:rFonts w:hint="eastAsia" w:ascii="宋体" w:hAnsi="宋体" w:eastAsia="宋体" w:cs="Times New Roman"/>
                <w:color w:val="auto"/>
                <w:kern w:val="0"/>
                <w:sz w:val="24"/>
                <w:szCs w:val="24"/>
                <w:highlight w:val="none"/>
                <w:lang w:val="en-US" w:eastAsia="zh-CN"/>
              </w:rPr>
              <w:t>2</w:t>
            </w:r>
            <w:r>
              <w:rPr>
                <w:rFonts w:hint="eastAsia" w:ascii="宋体" w:hAnsi="宋体" w:eastAsia="宋体" w:cs="Times New Roman"/>
                <w:color w:val="auto"/>
                <w:kern w:val="0"/>
                <w:sz w:val="24"/>
                <w:szCs w:val="24"/>
                <w:highlight w:val="none"/>
              </w:rPr>
              <w:t>分；</w:t>
            </w:r>
          </w:p>
          <w:p w14:paraId="7B7815FA">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未提供的不得分。</w:t>
            </w:r>
          </w:p>
        </w:tc>
      </w:tr>
      <w:tr w14:paraId="6B1F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44" w:type="dxa"/>
            <w:vMerge w:val="continue"/>
            <w:tcBorders>
              <w:left w:val="single" w:color="auto" w:sz="4" w:space="0"/>
              <w:right w:val="single" w:color="auto" w:sz="4" w:space="0"/>
            </w:tcBorders>
            <w:vAlign w:val="center"/>
          </w:tcPr>
          <w:p w14:paraId="21E00903">
            <w:pPr>
              <w:spacing w:before="156"/>
              <w:jc w:val="center"/>
              <w:rPr>
                <w:rFonts w:ascii="宋体" w:hAnsi="宋体" w:eastAsia="宋体" w:cs="Times New Roman"/>
                <w:b/>
                <w:bCs/>
                <w:color w:val="auto"/>
                <w:sz w:val="24"/>
                <w:szCs w:val="24"/>
                <w:highlight w:val="none"/>
              </w:rPr>
            </w:pPr>
          </w:p>
        </w:tc>
        <w:tc>
          <w:tcPr>
            <w:tcW w:w="1384" w:type="dxa"/>
            <w:tcBorders>
              <w:top w:val="single" w:color="auto" w:sz="4" w:space="0"/>
              <w:left w:val="single" w:color="auto" w:sz="4" w:space="0"/>
              <w:right w:val="single" w:color="auto" w:sz="4" w:space="0"/>
            </w:tcBorders>
            <w:vAlign w:val="center"/>
          </w:tcPr>
          <w:p w14:paraId="7E66BC59">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信息安全保密措施</w:t>
            </w:r>
          </w:p>
        </w:tc>
        <w:tc>
          <w:tcPr>
            <w:tcW w:w="877" w:type="dxa"/>
            <w:tcBorders>
              <w:top w:val="single" w:color="auto" w:sz="4" w:space="0"/>
              <w:left w:val="single" w:color="auto" w:sz="4" w:space="0"/>
              <w:bottom w:val="single" w:color="auto" w:sz="4" w:space="0"/>
              <w:right w:val="single" w:color="auto" w:sz="4" w:space="0"/>
            </w:tcBorders>
            <w:vAlign w:val="center"/>
          </w:tcPr>
          <w:p w14:paraId="59F80EC5">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8分</w:t>
            </w:r>
          </w:p>
        </w:tc>
        <w:tc>
          <w:tcPr>
            <w:tcW w:w="6716" w:type="dxa"/>
            <w:tcBorders>
              <w:top w:val="single" w:color="auto" w:sz="4" w:space="0"/>
              <w:left w:val="single" w:color="auto" w:sz="4" w:space="0"/>
              <w:bottom w:val="single" w:color="auto" w:sz="4" w:space="0"/>
              <w:right w:val="single" w:color="auto" w:sz="4" w:space="0"/>
            </w:tcBorders>
            <w:vAlign w:val="center"/>
          </w:tcPr>
          <w:p w14:paraId="659C9B7B">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信息安全保密措施得当，可操作性强的8分；</w:t>
            </w:r>
          </w:p>
          <w:p w14:paraId="5C510FEB">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信息安全保密措施可行，可操作性基本得当的</w:t>
            </w:r>
            <w:r>
              <w:rPr>
                <w:rFonts w:hint="eastAsia" w:ascii="宋体" w:hAnsi="宋体" w:eastAsia="宋体" w:cs="Times New Roman"/>
                <w:color w:val="auto"/>
                <w:kern w:val="0"/>
                <w:sz w:val="24"/>
                <w:szCs w:val="24"/>
                <w:highlight w:val="none"/>
                <w:lang w:val="en-US" w:eastAsia="zh-CN"/>
              </w:rPr>
              <w:t>5</w:t>
            </w:r>
            <w:r>
              <w:rPr>
                <w:rFonts w:hint="eastAsia" w:ascii="宋体" w:hAnsi="宋体" w:eastAsia="宋体" w:cs="Times New Roman"/>
                <w:color w:val="auto"/>
                <w:kern w:val="0"/>
                <w:sz w:val="24"/>
                <w:szCs w:val="24"/>
                <w:highlight w:val="none"/>
              </w:rPr>
              <w:t>分；信息安全保密措施一般、可操作性一般的得</w:t>
            </w:r>
            <w:r>
              <w:rPr>
                <w:rFonts w:hint="eastAsia" w:ascii="宋体" w:hAnsi="宋体" w:eastAsia="宋体" w:cs="Times New Roman"/>
                <w:color w:val="auto"/>
                <w:kern w:val="0"/>
                <w:sz w:val="24"/>
                <w:szCs w:val="24"/>
                <w:highlight w:val="none"/>
                <w:lang w:val="en-US" w:eastAsia="zh-CN"/>
              </w:rPr>
              <w:t>2</w:t>
            </w:r>
            <w:r>
              <w:rPr>
                <w:rFonts w:hint="eastAsia" w:ascii="宋体" w:hAnsi="宋体" w:eastAsia="宋体" w:cs="Times New Roman"/>
                <w:color w:val="auto"/>
                <w:kern w:val="0"/>
                <w:sz w:val="24"/>
                <w:szCs w:val="24"/>
                <w:highlight w:val="none"/>
              </w:rPr>
              <w:t>分；</w:t>
            </w:r>
          </w:p>
          <w:p w14:paraId="5354F830">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未提供的不得分。</w:t>
            </w:r>
          </w:p>
        </w:tc>
      </w:tr>
      <w:tr w14:paraId="5C5B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444" w:type="dxa"/>
            <w:vMerge w:val="restart"/>
            <w:tcBorders>
              <w:top w:val="single" w:color="auto" w:sz="4" w:space="0"/>
              <w:left w:val="single" w:color="auto" w:sz="4" w:space="0"/>
              <w:right w:val="single" w:color="auto" w:sz="4" w:space="0"/>
            </w:tcBorders>
            <w:vAlign w:val="center"/>
          </w:tcPr>
          <w:p w14:paraId="7958DB04">
            <w:pPr>
              <w:spacing w:before="156"/>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商务部分（</w:t>
            </w:r>
            <w:r>
              <w:rPr>
                <w:rFonts w:hint="eastAsia" w:ascii="宋体" w:hAnsi="宋体" w:eastAsia="宋体" w:cs="Times New Roman"/>
                <w:b/>
                <w:color w:val="auto"/>
                <w:sz w:val="24"/>
                <w:szCs w:val="24"/>
                <w:highlight w:val="none"/>
                <w:lang w:val="en-US" w:eastAsia="zh-CN"/>
              </w:rPr>
              <w:t>20</w:t>
            </w:r>
            <w:r>
              <w:rPr>
                <w:rFonts w:hint="eastAsia" w:ascii="宋体" w:hAnsi="宋体" w:eastAsia="宋体" w:cs="Times New Roman"/>
                <w:b/>
                <w:color w:val="auto"/>
                <w:sz w:val="24"/>
                <w:szCs w:val="24"/>
                <w:highlight w:val="none"/>
              </w:rPr>
              <w:t>分）</w:t>
            </w:r>
          </w:p>
        </w:tc>
        <w:tc>
          <w:tcPr>
            <w:tcW w:w="1384" w:type="dxa"/>
            <w:tcBorders>
              <w:top w:val="single" w:color="auto" w:sz="4" w:space="0"/>
              <w:left w:val="single" w:color="auto" w:sz="4" w:space="0"/>
              <w:right w:val="single" w:color="auto" w:sz="4" w:space="0"/>
            </w:tcBorders>
            <w:vAlign w:val="center"/>
          </w:tcPr>
          <w:p w14:paraId="3600C8D7">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企业业绩</w:t>
            </w:r>
          </w:p>
        </w:tc>
        <w:tc>
          <w:tcPr>
            <w:tcW w:w="877" w:type="dxa"/>
            <w:tcBorders>
              <w:top w:val="single" w:color="auto" w:sz="4" w:space="0"/>
              <w:left w:val="single" w:color="auto" w:sz="4" w:space="0"/>
              <w:right w:val="single" w:color="auto" w:sz="4" w:space="0"/>
            </w:tcBorders>
            <w:vAlign w:val="center"/>
          </w:tcPr>
          <w:p w14:paraId="66F46D6E">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3</w:t>
            </w:r>
            <w:r>
              <w:rPr>
                <w:rFonts w:hint="eastAsia" w:ascii="宋体" w:hAnsi="宋体" w:eastAsia="宋体" w:cs="Times New Roman"/>
                <w:color w:val="auto"/>
                <w:kern w:val="0"/>
                <w:sz w:val="24"/>
                <w:szCs w:val="24"/>
                <w:highlight w:val="none"/>
              </w:rPr>
              <w:t>分</w:t>
            </w:r>
          </w:p>
        </w:tc>
        <w:tc>
          <w:tcPr>
            <w:tcW w:w="6716" w:type="dxa"/>
            <w:tcBorders>
              <w:top w:val="single" w:color="auto" w:sz="4" w:space="0"/>
              <w:left w:val="single" w:color="auto" w:sz="4" w:space="0"/>
              <w:bottom w:val="single" w:color="auto" w:sz="4" w:space="0"/>
              <w:right w:val="single" w:color="auto" w:sz="4" w:space="0"/>
            </w:tcBorders>
            <w:vAlign w:val="center"/>
          </w:tcPr>
          <w:p w14:paraId="4791F478">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供应商自2022年1月1日以来承担过测绘类项目每个得</w:t>
            </w:r>
            <w:r>
              <w:rPr>
                <w:rFonts w:hint="eastAsia" w:ascii="宋体" w:hAnsi="宋体" w:eastAsia="宋体" w:cs="Times New Roman"/>
                <w:color w:val="auto"/>
                <w:kern w:val="0"/>
                <w:sz w:val="24"/>
                <w:szCs w:val="24"/>
                <w:highlight w:val="none"/>
                <w:lang w:val="en-US" w:eastAsia="zh-CN"/>
              </w:rPr>
              <w:t>1</w:t>
            </w:r>
            <w:r>
              <w:rPr>
                <w:rFonts w:hint="eastAsia" w:ascii="宋体" w:hAnsi="宋体" w:eastAsia="宋体" w:cs="Times New Roman"/>
                <w:color w:val="auto"/>
                <w:kern w:val="0"/>
                <w:sz w:val="24"/>
                <w:szCs w:val="24"/>
                <w:highlight w:val="none"/>
              </w:rPr>
              <w:t>分，本项最高得</w:t>
            </w:r>
            <w:r>
              <w:rPr>
                <w:rFonts w:hint="eastAsia" w:ascii="宋体" w:hAnsi="宋体" w:eastAsia="宋体" w:cs="Times New Roman"/>
                <w:color w:val="auto"/>
                <w:kern w:val="0"/>
                <w:sz w:val="24"/>
                <w:szCs w:val="24"/>
                <w:highlight w:val="none"/>
                <w:lang w:val="en-US" w:eastAsia="zh-CN"/>
              </w:rPr>
              <w:t>3</w:t>
            </w:r>
            <w:r>
              <w:rPr>
                <w:rFonts w:hint="eastAsia" w:ascii="宋体" w:hAnsi="宋体" w:eastAsia="宋体" w:cs="Times New Roman"/>
                <w:color w:val="auto"/>
                <w:kern w:val="0"/>
                <w:sz w:val="24"/>
                <w:szCs w:val="24"/>
                <w:highlight w:val="none"/>
              </w:rPr>
              <w:t>分。</w:t>
            </w:r>
          </w:p>
          <w:p w14:paraId="576E2D93">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注：提供中标通知书或合同扫描件且必须清晰可见，不提供不得分（任意一项上需体现时间）。</w:t>
            </w:r>
          </w:p>
        </w:tc>
      </w:tr>
      <w:tr w14:paraId="4FB7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444" w:type="dxa"/>
            <w:vMerge w:val="continue"/>
            <w:tcBorders>
              <w:left w:val="single" w:color="auto" w:sz="4" w:space="0"/>
              <w:right w:val="single" w:color="auto" w:sz="4" w:space="0"/>
            </w:tcBorders>
            <w:vAlign w:val="center"/>
          </w:tcPr>
          <w:p w14:paraId="612A4491">
            <w:pPr>
              <w:spacing w:before="156"/>
              <w:jc w:val="center"/>
              <w:rPr>
                <w:rFonts w:ascii="宋体" w:hAnsi="宋体" w:eastAsia="宋体" w:cs="Times New Roman"/>
                <w:b/>
                <w:color w:val="auto"/>
                <w:sz w:val="24"/>
                <w:szCs w:val="24"/>
                <w:highlight w:val="none"/>
              </w:rPr>
            </w:pPr>
          </w:p>
        </w:tc>
        <w:tc>
          <w:tcPr>
            <w:tcW w:w="1384" w:type="dxa"/>
            <w:tcBorders>
              <w:left w:val="single" w:color="auto" w:sz="4" w:space="0"/>
              <w:right w:val="single" w:color="auto" w:sz="4" w:space="0"/>
            </w:tcBorders>
            <w:vAlign w:val="center"/>
          </w:tcPr>
          <w:p w14:paraId="13ADF90E">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仪器设备</w:t>
            </w:r>
          </w:p>
        </w:tc>
        <w:tc>
          <w:tcPr>
            <w:tcW w:w="877" w:type="dxa"/>
            <w:tcBorders>
              <w:left w:val="single" w:color="auto" w:sz="4" w:space="0"/>
              <w:right w:val="single" w:color="auto" w:sz="4" w:space="0"/>
            </w:tcBorders>
            <w:vAlign w:val="center"/>
          </w:tcPr>
          <w:p w14:paraId="27E280AB">
            <w:pPr>
              <w:spacing w:line="520" w:lineRule="exact"/>
              <w:rPr>
                <w:rFonts w:ascii="宋体" w:hAnsi="宋体" w:eastAsia="宋体" w:cs="Times New Roman"/>
                <w:color w:val="auto"/>
                <w:kern w:val="0"/>
                <w:sz w:val="24"/>
                <w:szCs w:val="24"/>
                <w:highlight w:val="none"/>
              </w:rPr>
            </w:pPr>
            <w:r>
              <w:rPr>
                <w:rFonts w:hint="eastAsia" w:ascii="宋体" w:hAnsi="宋体" w:cs="Times New Roman"/>
                <w:color w:val="auto"/>
                <w:kern w:val="0"/>
                <w:sz w:val="24"/>
                <w:szCs w:val="24"/>
                <w:highlight w:val="none"/>
                <w:lang w:val="en-US" w:eastAsia="zh-CN"/>
              </w:rPr>
              <w:t>3</w:t>
            </w:r>
            <w:r>
              <w:rPr>
                <w:rFonts w:hint="eastAsia" w:ascii="宋体" w:hAnsi="宋体" w:eastAsia="宋体" w:cs="Times New Roman"/>
                <w:color w:val="auto"/>
                <w:kern w:val="0"/>
                <w:sz w:val="24"/>
                <w:szCs w:val="24"/>
                <w:highlight w:val="none"/>
              </w:rPr>
              <w:t>分</w:t>
            </w:r>
          </w:p>
        </w:tc>
        <w:tc>
          <w:tcPr>
            <w:tcW w:w="6716" w:type="dxa"/>
            <w:tcBorders>
              <w:top w:val="single" w:color="auto" w:sz="4" w:space="0"/>
              <w:left w:val="single" w:color="auto" w:sz="4" w:space="0"/>
              <w:bottom w:val="single" w:color="auto" w:sz="4" w:space="0"/>
              <w:right w:val="single" w:color="auto" w:sz="4" w:space="0"/>
            </w:tcBorders>
            <w:vAlign w:val="center"/>
          </w:tcPr>
          <w:p w14:paraId="0EDFF008">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拟投入的设备具有无人机，每提供一台得</w:t>
            </w:r>
            <w:r>
              <w:rPr>
                <w:rFonts w:hint="eastAsia" w:ascii="宋体" w:hAnsi="宋体" w:eastAsia="宋体" w:cs="Times New Roman"/>
                <w:color w:val="auto"/>
                <w:kern w:val="0"/>
                <w:sz w:val="24"/>
                <w:szCs w:val="24"/>
                <w:highlight w:val="none"/>
                <w:lang w:val="en-US" w:eastAsia="zh-CN"/>
              </w:rPr>
              <w:t>1</w:t>
            </w:r>
            <w:r>
              <w:rPr>
                <w:rFonts w:hint="eastAsia" w:ascii="宋体" w:hAnsi="宋体" w:eastAsia="宋体" w:cs="Times New Roman"/>
                <w:color w:val="auto"/>
                <w:kern w:val="0"/>
                <w:sz w:val="24"/>
                <w:szCs w:val="24"/>
                <w:highlight w:val="none"/>
              </w:rPr>
              <w:t>分，最多得</w:t>
            </w:r>
            <w:r>
              <w:rPr>
                <w:rFonts w:hint="eastAsia" w:ascii="宋体" w:hAnsi="宋体" w:cs="Times New Roman"/>
                <w:color w:val="auto"/>
                <w:kern w:val="0"/>
                <w:sz w:val="24"/>
                <w:szCs w:val="24"/>
                <w:highlight w:val="none"/>
                <w:lang w:val="en-US" w:eastAsia="zh-CN"/>
              </w:rPr>
              <w:t>3</w:t>
            </w:r>
            <w:r>
              <w:rPr>
                <w:rFonts w:hint="eastAsia" w:ascii="宋体" w:hAnsi="宋体" w:eastAsia="宋体" w:cs="Times New Roman"/>
                <w:color w:val="auto"/>
                <w:kern w:val="0"/>
                <w:sz w:val="24"/>
                <w:szCs w:val="24"/>
                <w:highlight w:val="none"/>
              </w:rPr>
              <w:t>分。注：需提供购买发票扫描件。</w:t>
            </w:r>
          </w:p>
        </w:tc>
      </w:tr>
      <w:tr w14:paraId="76E0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444" w:type="dxa"/>
            <w:vMerge w:val="continue"/>
            <w:tcBorders>
              <w:left w:val="single" w:color="auto" w:sz="4" w:space="0"/>
              <w:right w:val="single" w:color="auto" w:sz="4" w:space="0"/>
            </w:tcBorders>
            <w:vAlign w:val="center"/>
          </w:tcPr>
          <w:p w14:paraId="56F13D17">
            <w:pPr>
              <w:spacing w:before="156"/>
              <w:jc w:val="center"/>
              <w:rPr>
                <w:rFonts w:ascii="宋体" w:hAnsi="宋体" w:eastAsia="宋体" w:cs="Times New Roman"/>
                <w:b/>
                <w:color w:val="auto"/>
                <w:sz w:val="24"/>
                <w:szCs w:val="24"/>
                <w:highlight w:val="none"/>
              </w:rPr>
            </w:pPr>
          </w:p>
        </w:tc>
        <w:tc>
          <w:tcPr>
            <w:tcW w:w="1384" w:type="dxa"/>
            <w:vMerge w:val="restart"/>
            <w:tcBorders>
              <w:left w:val="single" w:color="auto" w:sz="4" w:space="0"/>
              <w:right w:val="single" w:color="auto" w:sz="4" w:space="0"/>
            </w:tcBorders>
            <w:vAlign w:val="center"/>
          </w:tcPr>
          <w:p w14:paraId="2CEC6626">
            <w:pPr>
              <w:spacing w:line="52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项目管理机构</w:t>
            </w:r>
          </w:p>
          <w:p w14:paraId="1F14E14A">
            <w:pPr>
              <w:spacing w:line="520" w:lineRule="exact"/>
              <w:rPr>
                <w:rFonts w:ascii="宋体" w:hAnsi="宋体" w:eastAsia="宋体" w:cs="Times New Roman"/>
                <w:color w:val="auto"/>
                <w:kern w:val="0"/>
                <w:sz w:val="24"/>
                <w:szCs w:val="24"/>
                <w:highlight w:val="none"/>
              </w:rPr>
            </w:pPr>
          </w:p>
        </w:tc>
        <w:tc>
          <w:tcPr>
            <w:tcW w:w="877" w:type="dxa"/>
            <w:vMerge w:val="restart"/>
            <w:tcBorders>
              <w:left w:val="single" w:color="auto" w:sz="4" w:space="0"/>
              <w:right w:val="single" w:color="auto" w:sz="4" w:space="0"/>
            </w:tcBorders>
            <w:vAlign w:val="center"/>
          </w:tcPr>
          <w:p w14:paraId="702FAEF5">
            <w:pPr>
              <w:spacing w:line="520" w:lineRule="exact"/>
              <w:rPr>
                <w:rFonts w:ascii="宋体" w:hAnsi="宋体" w:eastAsia="宋体" w:cs="Times New Roman"/>
                <w:color w:val="auto"/>
                <w:kern w:val="0"/>
                <w:sz w:val="24"/>
                <w:szCs w:val="24"/>
                <w:highlight w:val="none"/>
              </w:rPr>
            </w:pPr>
            <w:r>
              <w:rPr>
                <w:rFonts w:hint="eastAsia" w:ascii="宋体" w:hAnsi="宋体" w:cs="Times New Roman"/>
                <w:color w:val="auto"/>
                <w:kern w:val="0"/>
                <w:sz w:val="24"/>
                <w:szCs w:val="24"/>
                <w:highlight w:val="none"/>
                <w:lang w:val="en-US" w:eastAsia="zh-CN"/>
              </w:rPr>
              <w:t>4</w:t>
            </w:r>
            <w:r>
              <w:rPr>
                <w:rFonts w:hint="eastAsia" w:ascii="宋体" w:hAnsi="宋体" w:eastAsia="宋体" w:cs="Times New Roman"/>
                <w:color w:val="auto"/>
                <w:kern w:val="0"/>
                <w:sz w:val="24"/>
                <w:szCs w:val="24"/>
                <w:highlight w:val="none"/>
              </w:rPr>
              <w:t>分</w:t>
            </w:r>
          </w:p>
        </w:tc>
        <w:tc>
          <w:tcPr>
            <w:tcW w:w="6716" w:type="dxa"/>
            <w:tcBorders>
              <w:top w:val="single" w:color="auto" w:sz="4" w:space="0"/>
              <w:left w:val="single" w:color="auto" w:sz="4" w:space="0"/>
              <w:bottom w:val="single" w:color="auto" w:sz="4" w:space="0"/>
              <w:right w:val="single" w:color="auto" w:sz="4" w:space="0"/>
            </w:tcBorders>
            <w:vAlign w:val="center"/>
          </w:tcPr>
          <w:p w14:paraId="1813F982">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投入本项目专业技术人员中具有无人机驾驶证的，每提供一个得1分，最多得2分(投标文件未附证书、社保证明（近三个月）扫描件、扫描件不清晰或缺页，影响评标的不得分）；</w:t>
            </w:r>
          </w:p>
        </w:tc>
      </w:tr>
      <w:tr w14:paraId="04CC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444" w:type="dxa"/>
            <w:vMerge w:val="continue"/>
            <w:tcBorders>
              <w:left w:val="single" w:color="auto" w:sz="4" w:space="0"/>
              <w:right w:val="single" w:color="auto" w:sz="4" w:space="0"/>
            </w:tcBorders>
            <w:vAlign w:val="center"/>
          </w:tcPr>
          <w:p w14:paraId="3DE992C5">
            <w:pPr>
              <w:spacing w:before="156"/>
              <w:jc w:val="center"/>
              <w:rPr>
                <w:rFonts w:ascii="宋体" w:hAnsi="宋体" w:eastAsia="宋体" w:cs="Times New Roman"/>
                <w:b/>
                <w:color w:val="auto"/>
                <w:sz w:val="24"/>
                <w:szCs w:val="24"/>
                <w:highlight w:val="none"/>
              </w:rPr>
            </w:pPr>
          </w:p>
        </w:tc>
        <w:tc>
          <w:tcPr>
            <w:tcW w:w="1384" w:type="dxa"/>
            <w:vMerge w:val="continue"/>
            <w:tcBorders>
              <w:left w:val="single" w:color="auto" w:sz="4" w:space="0"/>
              <w:bottom w:val="single" w:color="auto" w:sz="4" w:space="0"/>
              <w:right w:val="single" w:color="auto" w:sz="4" w:space="0"/>
            </w:tcBorders>
            <w:vAlign w:val="center"/>
          </w:tcPr>
          <w:p w14:paraId="5F1AB22D">
            <w:pPr>
              <w:spacing w:line="520" w:lineRule="exact"/>
              <w:rPr>
                <w:rFonts w:ascii="宋体" w:hAnsi="宋体" w:eastAsia="宋体" w:cs="Times New Roman"/>
                <w:color w:val="auto"/>
                <w:kern w:val="0"/>
                <w:sz w:val="24"/>
                <w:szCs w:val="24"/>
                <w:highlight w:val="none"/>
              </w:rPr>
            </w:pPr>
          </w:p>
        </w:tc>
        <w:tc>
          <w:tcPr>
            <w:tcW w:w="877" w:type="dxa"/>
            <w:vMerge w:val="continue"/>
            <w:tcBorders>
              <w:left w:val="single" w:color="auto" w:sz="4" w:space="0"/>
              <w:bottom w:val="single" w:color="auto" w:sz="4" w:space="0"/>
              <w:right w:val="single" w:color="auto" w:sz="4" w:space="0"/>
            </w:tcBorders>
            <w:vAlign w:val="center"/>
          </w:tcPr>
          <w:p w14:paraId="371E6990">
            <w:pPr>
              <w:spacing w:line="520" w:lineRule="exact"/>
              <w:rPr>
                <w:rFonts w:ascii="宋体" w:hAnsi="宋体" w:eastAsia="宋体" w:cs="Times New Roman"/>
                <w:color w:val="auto"/>
                <w:kern w:val="0"/>
                <w:sz w:val="24"/>
                <w:szCs w:val="24"/>
                <w:highlight w:val="none"/>
              </w:rPr>
            </w:pPr>
          </w:p>
        </w:tc>
        <w:tc>
          <w:tcPr>
            <w:tcW w:w="6716" w:type="dxa"/>
            <w:tcBorders>
              <w:top w:val="single" w:color="auto" w:sz="4" w:space="0"/>
              <w:left w:val="single" w:color="auto" w:sz="4" w:space="0"/>
              <w:bottom w:val="single" w:color="auto" w:sz="4" w:space="0"/>
              <w:right w:val="single" w:color="auto" w:sz="4" w:space="0"/>
            </w:tcBorders>
            <w:vAlign w:val="center"/>
          </w:tcPr>
          <w:p w14:paraId="73548C00">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拟投入本项目人员(除负责人外)</w:t>
            </w:r>
            <w:r>
              <w:rPr>
                <w:rFonts w:hint="eastAsia" w:ascii="宋体" w:hAnsi="宋体" w:eastAsia="宋体" w:cs="Times New Roman"/>
                <w:color w:val="auto"/>
                <w:kern w:val="0"/>
                <w:sz w:val="24"/>
                <w:szCs w:val="24"/>
                <w:highlight w:val="none"/>
                <w:lang w:val="en-US" w:eastAsia="zh-CN"/>
              </w:rPr>
              <w:t>为注册测绘师</w:t>
            </w:r>
            <w:r>
              <w:rPr>
                <w:rFonts w:hint="eastAsia" w:ascii="宋体" w:hAnsi="宋体" w:eastAsia="宋体" w:cs="Times New Roman"/>
                <w:color w:val="auto"/>
                <w:kern w:val="0"/>
                <w:sz w:val="24"/>
                <w:szCs w:val="24"/>
                <w:highlight w:val="none"/>
              </w:rPr>
              <w:t>的，每提供一人得</w:t>
            </w:r>
            <w:r>
              <w:rPr>
                <w:rFonts w:hint="eastAsia" w:ascii="宋体" w:hAnsi="宋体" w:eastAsia="宋体" w:cs="Times New Roman"/>
                <w:color w:val="auto"/>
                <w:kern w:val="0"/>
                <w:sz w:val="24"/>
                <w:szCs w:val="24"/>
                <w:highlight w:val="none"/>
                <w:lang w:val="en-US" w:eastAsia="zh-CN"/>
              </w:rPr>
              <w:t>1</w:t>
            </w:r>
            <w:r>
              <w:rPr>
                <w:rFonts w:hint="eastAsia" w:ascii="宋体" w:hAnsi="宋体" w:eastAsia="宋体" w:cs="Times New Roman"/>
                <w:color w:val="auto"/>
                <w:kern w:val="0"/>
                <w:sz w:val="24"/>
                <w:szCs w:val="24"/>
                <w:highlight w:val="none"/>
              </w:rPr>
              <w:t>分，最高得</w:t>
            </w:r>
            <w:r>
              <w:rPr>
                <w:rFonts w:hint="eastAsia" w:ascii="宋体" w:hAnsi="宋体" w:cs="Times New Roman"/>
                <w:color w:val="auto"/>
                <w:kern w:val="0"/>
                <w:sz w:val="24"/>
                <w:szCs w:val="24"/>
                <w:highlight w:val="none"/>
                <w:lang w:val="en-US" w:eastAsia="zh-CN"/>
              </w:rPr>
              <w:t>2</w:t>
            </w:r>
            <w:r>
              <w:rPr>
                <w:rFonts w:hint="eastAsia" w:ascii="宋体" w:hAnsi="宋体" w:eastAsia="宋体" w:cs="Times New Roman"/>
                <w:color w:val="auto"/>
                <w:kern w:val="0"/>
                <w:sz w:val="24"/>
                <w:szCs w:val="24"/>
                <w:highlight w:val="none"/>
              </w:rPr>
              <w:t>分。</w:t>
            </w:r>
          </w:p>
          <w:p w14:paraId="07900376">
            <w:pPr>
              <w:spacing w:line="520" w:lineRule="exac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备注：除负责人外，以上资料须附在标书中，否则不得分。（投标文件未附</w:t>
            </w:r>
            <w:r>
              <w:rPr>
                <w:rFonts w:hint="eastAsia" w:ascii="宋体" w:hAnsi="宋体" w:eastAsia="宋体" w:cs="Times New Roman"/>
                <w:color w:val="auto"/>
                <w:kern w:val="0"/>
                <w:sz w:val="24"/>
                <w:szCs w:val="24"/>
                <w:highlight w:val="none"/>
                <w:lang w:val="en-US" w:eastAsia="zh-CN"/>
              </w:rPr>
              <w:t>测绘证书</w:t>
            </w:r>
            <w:r>
              <w:rPr>
                <w:rFonts w:hint="eastAsia" w:ascii="宋体" w:hAnsi="宋体" w:eastAsia="宋体" w:cs="Times New Roman"/>
                <w:color w:val="auto"/>
                <w:kern w:val="0"/>
                <w:sz w:val="24"/>
                <w:szCs w:val="24"/>
                <w:highlight w:val="none"/>
              </w:rPr>
              <w:t>、社保证明扫描件、扫描件不清晰或缺页，影响评标的不得分）。</w:t>
            </w:r>
          </w:p>
        </w:tc>
      </w:tr>
      <w:tr w14:paraId="27A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444" w:type="dxa"/>
            <w:vMerge w:val="continue"/>
            <w:tcBorders>
              <w:left w:val="single" w:color="auto" w:sz="4" w:space="0"/>
              <w:right w:val="single" w:color="auto" w:sz="4" w:space="0"/>
            </w:tcBorders>
            <w:vAlign w:val="center"/>
          </w:tcPr>
          <w:p w14:paraId="35FD56B8">
            <w:pPr>
              <w:spacing w:before="156"/>
              <w:jc w:val="center"/>
              <w:rPr>
                <w:rFonts w:ascii="宋体" w:hAnsi="宋体" w:eastAsia="宋体" w:cs="Times New Roman"/>
                <w:b/>
                <w:color w:val="auto"/>
                <w:sz w:val="24"/>
                <w:szCs w:val="24"/>
                <w:highlight w:val="none"/>
              </w:rPr>
            </w:pPr>
          </w:p>
        </w:tc>
        <w:tc>
          <w:tcPr>
            <w:tcW w:w="1384" w:type="dxa"/>
            <w:tcBorders>
              <w:top w:val="single" w:color="auto" w:sz="4" w:space="0"/>
              <w:left w:val="single" w:color="auto" w:sz="4" w:space="0"/>
              <w:right w:val="single" w:color="auto" w:sz="4" w:space="0"/>
            </w:tcBorders>
            <w:vAlign w:val="center"/>
          </w:tcPr>
          <w:p w14:paraId="37495767">
            <w:pPr>
              <w:spacing w:line="52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服务承诺</w:t>
            </w:r>
          </w:p>
          <w:p w14:paraId="1665EBA5">
            <w:pPr>
              <w:spacing w:line="520" w:lineRule="exact"/>
              <w:jc w:val="center"/>
              <w:rPr>
                <w:rFonts w:ascii="宋体" w:hAnsi="宋体" w:eastAsia="宋体" w:cs="Times New Roman"/>
                <w:color w:val="auto"/>
                <w:kern w:val="0"/>
                <w:sz w:val="24"/>
                <w:szCs w:val="24"/>
                <w:highlight w:val="none"/>
              </w:rPr>
            </w:pPr>
          </w:p>
        </w:tc>
        <w:tc>
          <w:tcPr>
            <w:tcW w:w="877" w:type="dxa"/>
            <w:tcBorders>
              <w:top w:val="single" w:color="auto" w:sz="4" w:space="0"/>
              <w:left w:val="single" w:color="auto" w:sz="4" w:space="0"/>
              <w:right w:val="single" w:color="auto" w:sz="4" w:space="0"/>
            </w:tcBorders>
            <w:vAlign w:val="center"/>
          </w:tcPr>
          <w:p w14:paraId="7CA6D204">
            <w:pPr>
              <w:spacing w:line="52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lang w:val="en-US" w:eastAsia="zh-CN"/>
              </w:rPr>
              <w:t>0</w:t>
            </w:r>
            <w:r>
              <w:rPr>
                <w:rFonts w:hint="eastAsia" w:ascii="宋体" w:hAnsi="宋体" w:eastAsia="宋体" w:cs="Times New Roman"/>
                <w:color w:val="auto"/>
                <w:kern w:val="0"/>
                <w:sz w:val="24"/>
                <w:szCs w:val="24"/>
                <w:highlight w:val="none"/>
              </w:rPr>
              <w:t>分</w:t>
            </w:r>
          </w:p>
        </w:tc>
        <w:tc>
          <w:tcPr>
            <w:tcW w:w="6716" w:type="dxa"/>
            <w:tcBorders>
              <w:top w:val="single" w:color="auto" w:sz="4" w:space="0"/>
              <w:left w:val="single" w:color="auto" w:sz="4" w:space="0"/>
              <w:bottom w:val="single" w:color="auto" w:sz="4" w:space="0"/>
              <w:right w:val="single" w:color="auto" w:sz="4" w:space="0"/>
            </w:tcBorders>
            <w:vAlign w:val="center"/>
          </w:tcPr>
          <w:p w14:paraId="00434B2B">
            <w:pPr>
              <w:spacing w:line="52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服从工作承诺：服从采购人的工作计划安排，并积极配合工作方面的承诺（工作计划安排非常合理，积极配合工作的得4分，工作计划有安排，能够配合工作的得2分，工作计划一般，配合工作一般的得1分）。</w:t>
            </w:r>
          </w:p>
          <w:p w14:paraId="65D875B3">
            <w:pPr>
              <w:spacing w:line="520" w:lineRule="exact"/>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（2）质量承诺：投标人在成果质量管理上有服务承诺及充分合理保证措施（质量管理上服务承诺及充分合理保证措施，做得详细且具体的得4分，做得合理的得2分，做得一般的得1分）。</w:t>
            </w:r>
          </w:p>
          <w:p w14:paraId="1931E3E5">
            <w:pPr>
              <w:spacing w:line="520" w:lineRule="exact"/>
              <w:jc w:val="left"/>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rPr>
              <w:t>（3）后续服务承诺：（后续服务方案具体、详细的得</w:t>
            </w:r>
            <w:r>
              <w:rPr>
                <w:rFonts w:hint="eastAsia" w:ascii="宋体" w:hAnsi="宋体" w:eastAsia="宋体" w:cs="Times New Roman"/>
                <w:color w:val="auto"/>
                <w:kern w:val="0"/>
                <w:sz w:val="24"/>
                <w:szCs w:val="24"/>
                <w:highlight w:val="none"/>
                <w:lang w:val="en-US" w:eastAsia="zh-CN"/>
              </w:rPr>
              <w:t>2</w:t>
            </w:r>
            <w:r>
              <w:rPr>
                <w:rFonts w:hint="eastAsia" w:ascii="宋体" w:hAnsi="宋体" w:eastAsia="宋体" w:cs="Times New Roman"/>
                <w:color w:val="auto"/>
                <w:kern w:val="0"/>
                <w:sz w:val="24"/>
                <w:szCs w:val="24"/>
                <w:highlight w:val="none"/>
              </w:rPr>
              <w:t>分，后续服务方案合理的得</w:t>
            </w:r>
            <w:r>
              <w:rPr>
                <w:rFonts w:hint="eastAsia" w:ascii="宋体" w:hAnsi="宋体" w:eastAsia="宋体" w:cs="Times New Roman"/>
                <w:color w:val="auto"/>
                <w:kern w:val="0"/>
                <w:sz w:val="24"/>
                <w:szCs w:val="24"/>
                <w:highlight w:val="none"/>
                <w:lang w:val="en-US" w:eastAsia="zh-CN"/>
              </w:rPr>
              <w:t>1</w:t>
            </w:r>
            <w:r>
              <w:rPr>
                <w:rFonts w:hint="eastAsia" w:ascii="宋体" w:hAnsi="宋体" w:eastAsia="宋体" w:cs="Times New Roman"/>
                <w:color w:val="auto"/>
                <w:kern w:val="0"/>
                <w:sz w:val="24"/>
                <w:szCs w:val="24"/>
                <w:highlight w:val="none"/>
              </w:rPr>
              <w:t>分。</w:t>
            </w:r>
          </w:p>
        </w:tc>
      </w:tr>
    </w:tbl>
    <w:p w14:paraId="46488A9B">
      <w:pPr>
        <w:spacing w:line="600" w:lineRule="exact"/>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1.评标办法</w:t>
      </w:r>
    </w:p>
    <w:p w14:paraId="59EA7EDD">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分法。磋商小组对满足磋商文件实质性要求的响应文件，按照本章规定的评分标准进行打分，并按得分由高到低顺序推荐成交候选人，综合评分相等时，以报价得分高的优先；报价得分也相等的，由采购人自行确定。</w:t>
      </w:r>
    </w:p>
    <w:p w14:paraId="365F4305">
      <w:pPr>
        <w:spacing w:line="600" w:lineRule="exact"/>
        <w:ind w:firstLine="482" w:firstLineChars="200"/>
        <w:jc w:val="left"/>
        <w:rPr>
          <w:rFonts w:hint="eastAsia" w:ascii="宋体" w:hAnsi="宋体" w:eastAsia="宋体" w:cs="宋体"/>
          <w:b/>
          <w:bCs/>
          <w:color w:val="auto"/>
          <w:sz w:val="24"/>
          <w:highlight w:val="none"/>
        </w:rPr>
      </w:pPr>
      <w:bookmarkStart w:id="67" w:name="_Toc26640_WPSOffice_Level2"/>
      <w:bookmarkStart w:id="68" w:name="_Toc152045601"/>
      <w:bookmarkStart w:id="69" w:name="_Toc24936"/>
      <w:bookmarkStart w:id="70" w:name="_Toc487498487"/>
      <w:bookmarkStart w:id="71" w:name="_Toc144974568"/>
      <w:bookmarkStart w:id="72" w:name="_Toc152042378"/>
      <w:bookmarkStart w:id="73" w:name="_Toc20649"/>
      <w:bookmarkStart w:id="74" w:name="_Toc16578"/>
      <w:bookmarkStart w:id="75" w:name="_Toc318450723"/>
      <w:bookmarkStart w:id="76" w:name="_Toc455080157"/>
      <w:bookmarkStart w:id="77" w:name="_Toc281405529"/>
      <w:bookmarkStart w:id="78" w:name="_Toc22439"/>
      <w:bookmarkStart w:id="79" w:name="_Toc318450725"/>
      <w:bookmarkStart w:id="80" w:name="_Toc464035560"/>
      <w:bookmarkStart w:id="81" w:name="_Toc152042380"/>
      <w:bookmarkStart w:id="82" w:name="_Toc463701081"/>
      <w:bookmarkStart w:id="83" w:name="_Toc152045603"/>
      <w:bookmarkStart w:id="84" w:name="_Toc30189"/>
      <w:bookmarkStart w:id="85" w:name="_Toc12013"/>
      <w:bookmarkStart w:id="86" w:name="_Toc281405531"/>
      <w:bookmarkStart w:id="87" w:name="_Toc25492"/>
      <w:bookmarkStart w:id="88" w:name="_Toc144974570"/>
      <w:bookmarkStart w:id="89" w:name="_Toc11061"/>
      <w:bookmarkStart w:id="90" w:name="_Toc455080159"/>
      <w:r>
        <w:rPr>
          <w:rFonts w:hint="eastAsia" w:ascii="宋体" w:hAnsi="宋体" w:eastAsia="宋体" w:cs="宋体"/>
          <w:b/>
          <w:bCs/>
          <w:color w:val="auto"/>
          <w:sz w:val="24"/>
          <w:highlight w:val="none"/>
        </w:rPr>
        <w:t>2. 评审标准</w:t>
      </w:r>
      <w:bookmarkEnd w:id="67"/>
      <w:bookmarkEnd w:id="68"/>
      <w:bookmarkEnd w:id="69"/>
      <w:bookmarkEnd w:id="70"/>
      <w:bookmarkEnd w:id="71"/>
      <w:bookmarkEnd w:id="72"/>
      <w:bookmarkEnd w:id="73"/>
      <w:bookmarkEnd w:id="74"/>
      <w:bookmarkEnd w:id="75"/>
      <w:bookmarkEnd w:id="76"/>
      <w:bookmarkEnd w:id="77"/>
    </w:p>
    <w:bookmarkEnd w:id="78"/>
    <w:bookmarkEnd w:id="79"/>
    <w:bookmarkEnd w:id="80"/>
    <w:bookmarkEnd w:id="81"/>
    <w:bookmarkEnd w:id="82"/>
    <w:bookmarkEnd w:id="83"/>
    <w:bookmarkEnd w:id="84"/>
    <w:bookmarkEnd w:id="85"/>
    <w:bookmarkEnd w:id="86"/>
    <w:bookmarkEnd w:id="87"/>
    <w:bookmarkEnd w:id="88"/>
    <w:bookmarkEnd w:id="89"/>
    <w:bookmarkEnd w:id="90"/>
    <w:p w14:paraId="30467676">
      <w:pPr>
        <w:spacing w:line="600" w:lineRule="exact"/>
        <w:ind w:firstLine="480" w:firstLineChars="200"/>
        <w:jc w:val="left"/>
        <w:rPr>
          <w:rFonts w:hint="eastAsia" w:ascii="宋体" w:hAnsi="宋体" w:eastAsia="宋体" w:cs="宋体"/>
          <w:color w:val="auto"/>
          <w:sz w:val="24"/>
          <w:highlight w:val="none"/>
        </w:rPr>
      </w:pPr>
      <w:bookmarkStart w:id="91" w:name="_Toc16952"/>
      <w:bookmarkStart w:id="92" w:name="_Toc30922_WPSOffice_Level3"/>
      <w:bookmarkStart w:id="93" w:name="_Toc15878"/>
      <w:bookmarkStart w:id="94" w:name="_Toc455080160"/>
      <w:bookmarkStart w:id="95" w:name="_Toc318450726"/>
      <w:bookmarkStart w:id="96" w:name="_Toc281405532"/>
      <w:bookmarkStart w:id="97" w:name="_Toc17308"/>
      <w:r>
        <w:rPr>
          <w:rFonts w:hint="eastAsia" w:ascii="宋体" w:hAnsi="宋体" w:eastAsia="宋体" w:cs="宋体"/>
          <w:color w:val="auto"/>
          <w:sz w:val="24"/>
          <w:highlight w:val="none"/>
        </w:rPr>
        <w:t>2.1 初步评审标准</w:t>
      </w:r>
      <w:bookmarkEnd w:id="91"/>
      <w:bookmarkEnd w:id="92"/>
      <w:bookmarkEnd w:id="93"/>
    </w:p>
    <w:p w14:paraId="2CD36E46">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 资格评审标准：由磋商小组审核。</w:t>
      </w:r>
    </w:p>
    <w:p w14:paraId="27AE5751">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 形式评审标准：由磋商小组审核。</w:t>
      </w:r>
    </w:p>
    <w:p w14:paraId="69428E2A">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2.1.3 响应性评审标准：由磋商小组审核。</w:t>
      </w:r>
    </w:p>
    <w:p w14:paraId="5AFCF536">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以上有一项不符合要求的按无效标处理。</w:t>
      </w:r>
    </w:p>
    <w:p w14:paraId="61A572EB">
      <w:pPr>
        <w:spacing w:line="600" w:lineRule="exact"/>
        <w:ind w:firstLine="480" w:firstLineChars="200"/>
        <w:jc w:val="left"/>
        <w:rPr>
          <w:rFonts w:hint="eastAsia" w:ascii="宋体" w:hAnsi="宋体" w:eastAsia="宋体" w:cs="宋体"/>
          <w:color w:val="auto"/>
          <w:sz w:val="24"/>
          <w:highlight w:val="none"/>
        </w:rPr>
      </w:pPr>
      <w:bookmarkStart w:id="98" w:name="_Toc17292_WPSOffice_Level3"/>
      <w:r>
        <w:rPr>
          <w:rFonts w:hint="eastAsia" w:ascii="宋体" w:hAnsi="宋体" w:eastAsia="宋体" w:cs="宋体"/>
          <w:color w:val="auto"/>
          <w:sz w:val="24"/>
          <w:highlight w:val="none"/>
        </w:rPr>
        <w:t>2.2 分值构成与评分标准</w:t>
      </w:r>
      <w:bookmarkEnd w:id="98"/>
    </w:p>
    <w:p w14:paraId="7DEE8CEE">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 分值构成</w:t>
      </w:r>
    </w:p>
    <w:p w14:paraId="48657ECE">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（1）最后磋商报价：见评标办法前附表</w:t>
      </w:r>
    </w:p>
    <w:p w14:paraId="085C7BBD">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（2）技术标：见评标办法前附表</w:t>
      </w:r>
    </w:p>
    <w:p w14:paraId="1EBA70C6">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（3）商务标：见评标办法前附表</w:t>
      </w:r>
    </w:p>
    <w:p w14:paraId="6FBA5F24">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 评分标准</w:t>
      </w:r>
    </w:p>
    <w:p w14:paraId="7BF71805">
      <w:pPr>
        <w:spacing w:line="600" w:lineRule="exact"/>
        <w:ind w:firstLine="480" w:firstLineChars="200"/>
        <w:jc w:val="left"/>
        <w:rPr>
          <w:rFonts w:hint="eastAsia" w:ascii="宋体" w:hAnsi="宋体" w:eastAsia="宋体" w:cs="宋体"/>
          <w:color w:val="auto"/>
          <w:sz w:val="24"/>
          <w:highlight w:val="none"/>
        </w:rPr>
      </w:pPr>
      <w:bookmarkStart w:id="99" w:name="_Toc487498488"/>
      <w:bookmarkStart w:id="100" w:name="_Toc25340"/>
      <w:r>
        <w:rPr>
          <w:rFonts w:hint="eastAsia" w:ascii="宋体" w:hAnsi="宋体" w:eastAsia="宋体" w:cs="宋体"/>
          <w:color w:val="auto"/>
          <w:sz w:val="24"/>
          <w:highlight w:val="none"/>
        </w:rPr>
        <w:t>（1）最后磋商报价：见评标办法前附表</w:t>
      </w:r>
    </w:p>
    <w:p w14:paraId="12316EEB">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（2）技术标：见评标办法前附表</w:t>
      </w:r>
    </w:p>
    <w:p w14:paraId="0347C627">
      <w:pPr>
        <w:spacing w:line="600" w:lineRule="exact"/>
        <w:ind w:firstLine="480" w:firstLineChars="200"/>
        <w:jc w:val="left"/>
        <w:rPr>
          <w:rFonts w:hint="eastAsia"/>
          <w:color w:val="auto"/>
          <w:highlight w:val="none"/>
        </w:rPr>
      </w:pPr>
      <w:r>
        <w:rPr>
          <w:rFonts w:hint="eastAsia" w:ascii="宋体" w:hAnsi="宋体" w:eastAsia="宋体" w:cs="宋体"/>
          <w:color w:val="auto"/>
          <w:sz w:val="24"/>
          <w:highlight w:val="none"/>
        </w:rPr>
        <w:t>（3）商务标：见评标办法前附表</w:t>
      </w:r>
    </w:p>
    <w:p w14:paraId="036A8711">
      <w:pPr>
        <w:spacing w:line="600" w:lineRule="exact"/>
        <w:ind w:firstLine="482" w:firstLineChars="200"/>
        <w:jc w:val="left"/>
        <w:rPr>
          <w:rFonts w:hint="eastAsia" w:ascii="宋体" w:hAnsi="宋体" w:eastAsia="宋体" w:cs="宋体"/>
          <w:b/>
          <w:bCs/>
          <w:color w:val="auto"/>
          <w:sz w:val="24"/>
          <w:highlight w:val="none"/>
        </w:rPr>
      </w:pPr>
      <w:bookmarkStart w:id="101" w:name="_Toc15225"/>
      <w:bookmarkStart w:id="102" w:name="_Toc14449_WPSOffice_Level2"/>
      <w:r>
        <w:rPr>
          <w:rFonts w:hint="eastAsia" w:ascii="宋体" w:hAnsi="宋体" w:eastAsia="宋体" w:cs="宋体"/>
          <w:b/>
          <w:bCs/>
          <w:color w:val="auto"/>
          <w:sz w:val="24"/>
          <w:highlight w:val="none"/>
        </w:rPr>
        <w:t>3. 评审程序</w:t>
      </w:r>
      <w:bookmarkEnd w:id="94"/>
      <w:bookmarkEnd w:id="95"/>
      <w:bookmarkEnd w:id="96"/>
      <w:bookmarkEnd w:id="97"/>
      <w:bookmarkEnd w:id="99"/>
      <w:bookmarkEnd w:id="100"/>
      <w:bookmarkEnd w:id="101"/>
      <w:bookmarkEnd w:id="102"/>
    </w:p>
    <w:p w14:paraId="0138B85E">
      <w:pPr>
        <w:spacing w:line="600" w:lineRule="exact"/>
        <w:ind w:firstLine="480" w:firstLineChars="200"/>
        <w:jc w:val="left"/>
        <w:rPr>
          <w:rFonts w:hint="eastAsia" w:ascii="宋体" w:hAnsi="宋体" w:eastAsia="宋体" w:cs="宋体"/>
          <w:color w:val="auto"/>
          <w:sz w:val="24"/>
          <w:highlight w:val="none"/>
        </w:rPr>
      </w:pPr>
      <w:bookmarkStart w:id="103" w:name="_Toc11862_WPSOffice_Level3"/>
      <w:bookmarkStart w:id="104" w:name="_Toc30986"/>
      <w:bookmarkStart w:id="105" w:name="_Toc455080161"/>
      <w:bookmarkStart w:id="106" w:name="_Toc18886"/>
      <w:bookmarkStart w:id="107" w:name="_Toc29614"/>
      <w:bookmarkStart w:id="108" w:name="_Toc14633"/>
      <w:bookmarkStart w:id="109" w:name="_Toc281405533"/>
      <w:bookmarkStart w:id="110" w:name="_Toc5427"/>
      <w:bookmarkStart w:id="111" w:name="_Toc7272"/>
      <w:bookmarkStart w:id="112" w:name="_Toc463701083"/>
      <w:bookmarkStart w:id="113" w:name="_Toc318450727"/>
      <w:bookmarkStart w:id="114" w:name="_Toc464035562"/>
      <w:r>
        <w:rPr>
          <w:rFonts w:hint="eastAsia" w:ascii="宋体" w:hAnsi="宋体" w:eastAsia="宋体" w:cs="宋体"/>
          <w:color w:val="auto"/>
          <w:sz w:val="24"/>
          <w:highlight w:val="none"/>
        </w:rPr>
        <w:t>3.1 初步评审</w:t>
      </w:r>
      <w:bookmarkEnd w:id="103"/>
      <w:bookmarkEnd w:id="104"/>
      <w:bookmarkEnd w:id="105"/>
      <w:bookmarkEnd w:id="106"/>
      <w:bookmarkEnd w:id="107"/>
      <w:bookmarkEnd w:id="108"/>
      <w:bookmarkEnd w:id="109"/>
      <w:bookmarkEnd w:id="110"/>
      <w:bookmarkEnd w:id="111"/>
      <w:bookmarkEnd w:id="112"/>
      <w:bookmarkEnd w:id="113"/>
      <w:bookmarkEnd w:id="114"/>
    </w:p>
    <w:p w14:paraId="7FA57BB8">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3.1.1 磋商小组依据本章评标办法前附表规定的标准对响应文件进行初步评审。有一项不符合评审标准的，作废标处理。</w:t>
      </w:r>
    </w:p>
    <w:p w14:paraId="4BD716F4">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3.1.2 </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有以下情形之一的，其投标作废标处理：</w:t>
      </w:r>
    </w:p>
    <w:p w14:paraId="3B156BF1">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未</w:t>
      </w:r>
      <w:r>
        <w:rPr>
          <w:rFonts w:hint="eastAsia" w:ascii="宋体" w:hAnsi="宋体" w:eastAsia="宋体" w:cs="宋体"/>
          <w:color w:val="auto"/>
          <w:sz w:val="24"/>
          <w:highlight w:val="none"/>
          <w:lang w:val="en-US" w:eastAsia="zh-CN"/>
        </w:rPr>
        <w:t>按要求</w:t>
      </w:r>
      <w:r>
        <w:rPr>
          <w:rFonts w:hint="eastAsia" w:ascii="宋体" w:hAnsi="宋体" w:eastAsia="宋体" w:cs="宋体"/>
          <w:color w:val="auto"/>
          <w:sz w:val="24"/>
          <w:highlight w:val="none"/>
        </w:rPr>
        <w:t>提交磋商保证金或金额不足的；</w:t>
      </w:r>
    </w:p>
    <w:p w14:paraId="7BEB7B3C">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（2）串通投标或弄虚作假或有其他违法行为的；</w:t>
      </w:r>
    </w:p>
    <w:p w14:paraId="1F0F2E11">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（3）不按磋商小组要求澄清、说明或补正的；</w:t>
      </w:r>
    </w:p>
    <w:p w14:paraId="24A12E6F">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（4）未按规定格式填写、内容不全或关键字迹模糊、无法辨认的；</w:t>
      </w:r>
    </w:p>
    <w:p w14:paraId="57B276A3">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（5）响应文件附有采购人不能接受的条件；</w:t>
      </w:r>
    </w:p>
    <w:p w14:paraId="7DC8AFE0">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（6）不符合磋商文件规定的其他实质性要求。</w:t>
      </w:r>
    </w:p>
    <w:p w14:paraId="4A1E5173">
      <w:pPr>
        <w:spacing w:line="600" w:lineRule="exact"/>
        <w:ind w:firstLine="480" w:firstLineChars="200"/>
        <w:jc w:val="left"/>
        <w:rPr>
          <w:rFonts w:hint="eastAsia" w:ascii="宋体" w:hAnsi="宋体" w:eastAsia="宋体" w:cs="宋体"/>
          <w:color w:val="auto"/>
          <w:sz w:val="24"/>
          <w:highlight w:val="none"/>
        </w:rPr>
      </w:pPr>
      <w:bookmarkStart w:id="115" w:name="_Toc21032"/>
      <w:bookmarkStart w:id="116" w:name="_Toc7121"/>
      <w:bookmarkStart w:id="117" w:name="_Toc12406"/>
      <w:bookmarkStart w:id="118" w:name="_Toc10692"/>
      <w:bookmarkStart w:id="119" w:name="_Toc455080162"/>
      <w:bookmarkStart w:id="120" w:name="_Toc10295_WPSOffice_Level3"/>
      <w:bookmarkStart w:id="121" w:name="_Toc463701084"/>
      <w:bookmarkStart w:id="122" w:name="_Toc281405534"/>
      <w:bookmarkStart w:id="123" w:name="_Toc26049"/>
      <w:bookmarkStart w:id="124" w:name="_Toc464035563"/>
      <w:bookmarkStart w:id="125" w:name="_Toc318450728"/>
      <w:bookmarkStart w:id="126" w:name="_Toc21570"/>
      <w:r>
        <w:rPr>
          <w:rFonts w:hint="eastAsia" w:ascii="宋体" w:hAnsi="宋体" w:eastAsia="宋体" w:cs="宋体"/>
          <w:color w:val="auto"/>
          <w:sz w:val="24"/>
          <w:highlight w:val="none"/>
        </w:rPr>
        <w:t>3.2 详细评审</w:t>
      </w:r>
      <w:bookmarkEnd w:id="115"/>
      <w:bookmarkEnd w:id="116"/>
      <w:bookmarkEnd w:id="117"/>
      <w:bookmarkEnd w:id="118"/>
      <w:bookmarkEnd w:id="119"/>
      <w:bookmarkEnd w:id="120"/>
      <w:bookmarkEnd w:id="121"/>
      <w:bookmarkEnd w:id="122"/>
      <w:bookmarkEnd w:id="123"/>
      <w:bookmarkEnd w:id="124"/>
      <w:bookmarkEnd w:id="125"/>
      <w:bookmarkEnd w:id="126"/>
    </w:p>
    <w:p w14:paraId="10366C81">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3.2.1磋商小组邀请通过初步评审的</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进行磋商报价，磋商报价为</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最终有效报价。</w:t>
      </w:r>
    </w:p>
    <w:p w14:paraId="166F8A9B">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3.2.2磋商小组</w:t>
      </w:r>
      <w:r>
        <w:rPr>
          <w:rFonts w:hint="eastAsia" w:ascii="宋体" w:hAnsi="宋体" w:eastAsia="宋体" w:cs="宋体"/>
          <w:color w:val="auto"/>
          <w:sz w:val="24"/>
          <w:highlight w:val="none"/>
        </w:rPr>
        <w:t>认为</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的报价明显低于其他通过符合性审查</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的报价，有可能影响产品质量或者不能诚信履约的，应当要求其在评标现场合理的时间内提供书面说明，必要时提交相关证明材料；</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不能证明其报价合理性的，</w:t>
      </w:r>
      <w:r>
        <w:rPr>
          <w:rFonts w:hint="eastAsia" w:ascii="宋体" w:hAnsi="宋体" w:eastAsia="宋体" w:cs="宋体"/>
          <w:color w:val="auto"/>
          <w:sz w:val="24"/>
          <w:highlight w:val="none"/>
          <w:lang w:val="en-US"/>
        </w:rPr>
        <w:t>磋商小组</w:t>
      </w:r>
      <w:r>
        <w:rPr>
          <w:rFonts w:hint="eastAsia" w:ascii="宋体" w:hAnsi="宋体" w:eastAsia="宋体" w:cs="宋体"/>
          <w:color w:val="auto"/>
          <w:sz w:val="24"/>
          <w:highlight w:val="none"/>
        </w:rPr>
        <w:t>应当将其作为无效投标处理。</w:t>
      </w:r>
    </w:p>
    <w:p w14:paraId="78A6224D">
      <w:pPr>
        <w:spacing w:line="600" w:lineRule="exact"/>
        <w:ind w:firstLine="480" w:firstLineChars="200"/>
        <w:jc w:val="left"/>
        <w:rPr>
          <w:rFonts w:hint="eastAsia" w:eastAsia="宋体"/>
          <w:color w:val="auto"/>
          <w:highlight w:val="none"/>
          <w:lang w:eastAsia="zh-CN"/>
        </w:rPr>
      </w:pPr>
      <w:r>
        <w:rPr>
          <w:rFonts w:hint="eastAsia" w:ascii="宋体" w:hAnsi="宋体" w:eastAsia="宋体" w:cs="宋体"/>
          <w:color w:val="auto"/>
          <w:sz w:val="24"/>
          <w:highlight w:val="none"/>
        </w:rPr>
        <w:t>3.2.</w:t>
      </w: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rPr>
        <w:t>磋商小组按本章评标办法前附表规定的量化因素和分值进行打分，并计算出综合评分得分。</w:t>
      </w:r>
    </w:p>
    <w:p w14:paraId="0DFB0F42">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highlight w:val="none"/>
          <w:lang w:val="en-US"/>
        </w:rPr>
        <w:t>4</w:t>
      </w:r>
      <w:r>
        <w:rPr>
          <w:rFonts w:hint="eastAsia" w:ascii="宋体" w:hAnsi="宋体" w:eastAsia="宋体" w:cs="宋体"/>
          <w:color w:val="auto"/>
          <w:sz w:val="24"/>
          <w:highlight w:val="none"/>
        </w:rPr>
        <w:t>评分分值计算保留小数点后两位，</w:t>
      </w:r>
      <w:r>
        <w:rPr>
          <w:rFonts w:hint="eastAsia" w:ascii="宋体" w:hAnsi="宋体" w:eastAsia="宋体" w:cs="宋体"/>
          <w:color w:val="auto"/>
          <w:sz w:val="24"/>
          <w:highlight w:val="none"/>
          <w:lang w:val="en-US"/>
        </w:rPr>
        <w:t>计分过程中按四舍五入的法则，取至小数点后</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val="en-US"/>
        </w:rPr>
        <w:t>位，最终结果取至小数点后</w:t>
      </w:r>
      <w:r>
        <w:rPr>
          <w:rFonts w:hint="eastAsia" w:ascii="宋体" w:hAnsi="宋体" w:cs="宋体"/>
          <w:color w:val="auto"/>
          <w:sz w:val="24"/>
          <w:highlight w:val="none"/>
          <w:lang w:val="en-US" w:eastAsia="zh-CN"/>
        </w:rPr>
        <w:t>两</w:t>
      </w:r>
      <w:r>
        <w:rPr>
          <w:rFonts w:hint="eastAsia" w:ascii="宋体" w:hAnsi="宋体" w:eastAsia="宋体" w:cs="宋体"/>
          <w:color w:val="auto"/>
          <w:sz w:val="24"/>
          <w:highlight w:val="none"/>
          <w:lang w:val="en-US"/>
        </w:rPr>
        <w:t>位</w:t>
      </w:r>
      <w:r>
        <w:rPr>
          <w:rFonts w:hint="eastAsia" w:ascii="宋体" w:hAnsi="宋体" w:eastAsia="宋体" w:cs="宋体"/>
          <w:color w:val="auto"/>
          <w:sz w:val="24"/>
          <w:highlight w:val="none"/>
        </w:rPr>
        <w:t xml:space="preserve">。 </w:t>
      </w:r>
    </w:p>
    <w:p w14:paraId="0581001A">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highlight w:val="none"/>
          <w:lang w:val="en-US"/>
        </w:rPr>
        <w:t>5</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的最终得分以全部小组成员打分的算术平均值为准，作为该</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的最终得分。</w:t>
      </w:r>
    </w:p>
    <w:p w14:paraId="45A91324">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r>
        <w:rPr>
          <w:rFonts w:hint="eastAsia" w:ascii="宋体" w:hAnsi="宋体" w:eastAsia="宋体" w:cs="宋体"/>
          <w:color w:val="auto"/>
          <w:sz w:val="24"/>
          <w:highlight w:val="none"/>
          <w:lang w:val="en-US"/>
        </w:rPr>
        <w:t>6</w:t>
      </w:r>
      <w:r>
        <w:rPr>
          <w:rFonts w:hint="eastAsia" w:ascii="宋体" w:hAnsi="宋体" w:eastAsia="宋体" w:cs="宋体"/>
          <w:color w:val="auto"/>
          <w:sz w:val="24"/>
          <w:highlight w:val="none"/>
        </w:rPr>
        <w:t>在磋商过程中，凡遇到磋商文件中无界定或界定不清、前后不一致使磋商小组意见有分歧且又难以协商一致的问题，均由磋商小组予以表决，获半数以上同意的即为通过，未获半数同意的即为否决。</w:t>
      </w:r>
    </w:p>
    <w:p w14:paraId="064EB91F">
      <w:pPr>
        <w:spacing w:line="600" w:lineRule="exact"/>
        <w:ind w:firstLine="480" w:firstLineChars="200"/>
        <w:jc w:val="left"/>
        <w:rPr>
          <w:rFonts w:hint="eastAsia" w:ascii="宋体" w:hAnsi="宋体" w:eastAsia="宋体" w:cs="宋体"/>
          <w:color w:val="auto"/>
          <w:sz w:val="24"/>
          <w:highlight w:val="none"/>
        </w:rPr>
      </w:pPr>
      <w:bookmarkStart w:id="127" w:name="_Toc318450729"/>
      <w:bookmarkStart w:id="128" w:name="_Toc28633"/>
      <w:bookmarkStart w:id="129" w:name="_Toc24862"/>
      <w:bookmarkStart w:id="130" w:name="_Toc8813"/>
      <w:bookmarkStart w:id="131" w:name="_Toc11958"/>
      <w:bookmarkStart w:id="132" w:name="_Toc10153"/>
      <w:bookmarkStart w:id="133" w:name="_Toc281405535"/>
      <w:bookmarkStart w:id="134" w:name="_Toc8342"/>
      <w:bookmarkStart w:id="135" w:name="_Toc455080163"/>
      <w:bookmarkStart w:id="136" w:name="_Toc463701085"/>
      <w:bookmarkStart w:id="137" w:name="_Toc464035564"/>
      <w:bookmarkStart w:id="138" w:name="_Toc31110_WPSOffice_Level3"/>
      <w:r>
        <w:rPr>
          <w:rFonts w:hint="eastAsia" w:ascii="宋体" w:hAnsi="宋体" w:eastAsia="宋体" w:cs="宋体"/>
          <w:color w:val="auto"/>
          <w:sz w:val="24"/>
          <w:highlight w:val="none"/>
        </w:rPr>
        <w:t>3.3 响应文件的澄清和补正</w:t>
      </w:r>
      <w:bookmarkEnd w:id="127"/>
      <w:bookmarkEnd w:id="128"/>
      <w:bookmarkEnd w:id="129"/>
      <w:bookmarkEnd w:id="130"/>
      <w:bookmarkEnd w:id="131"/>
      <w:bookmarkEnd w:id="132"/>
      <w:bookmarkEnd w:id="133"/>
      <w:bookmarkEnd w:id="134"/>
      <w:bookmarkEnd w:id="135"/>
      <w:bookmarkEnd w:id="136"/>
      <w:bookmarkEnd w:id="137"/>
      <w:bookmarkEnd w:id="138"/>
    </w:p>
    <w:p w14:paraId="344C3A86">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3.3.1在磋商过程中，磋商小组可以书面形式要求</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对所提交的响应文件中不明确的内容进行书面澄清或说明，或者对细微偏离进行补正。磋商小组不接受</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主动提出的澄清、说明或补正。</w:t>
      </w:r>
    </w:p>
    <w:p w14:paraId="5016F45C">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3.3.2 澄清、说明和补正不得超出响应文件的范围或者改变响应文件的实质性内容（算术性错误修正的除外）。</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的书面澄清、说明和补正属于响应文件的组成部分。</w:t>
      </w:r>
    </w:p>
    <w:p w14:paraId="345F9582">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3.3.3 磋商小组对</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提交的澄清、说明或补正有疑问的，可以要求</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进一步澄清、说明或补正，直至满足磋商小组的要求。</w:t>
      </w:r>
    </w:p>
    <w:p w14:paraId="64B6B901">
      <w:pPr>
        <w:spacing w:line="600" w:lineRule="exact"/>
        <w:ind w:firstLine="480" w:firstLineChars="200"/>
        <w:jc w:val="left"/>
        <w:rPr>
          <w:rFonts w:hint="eastAsia" w:ascii="宋体" w:hAnsi="宋体" w:eastAsia="宋体" w:cs="宋体"/>
          <w:color w:val="auto"/>
          <w:sz w:val="24"/>
          <w:highlight w:val="none"/>
        </w:rPr>
      </w:pPr>
      <w:bookmarkStart w:id="139" w:name="_Toc455080164"/>
      <w:bookmarkStart w:id="140" w:name="_Toc16310_WPSOffice_Level3"/>
      <w:bookmarkStart w:id="141" w:name="_Toc22986"/>
      <w:bookmarkStart w:id="142" w:name="_Toc318450730"/>
      <w:bookmarkStart w:id="143" w:name="_Toc19453"/>
      <w:bookmarkStart w:id="144" w:name="_Toc463701086"/>
      <w:bookmarkStart w:id="145" w:name="_Toc32183"/>
      <w:bookmarkStart w:id="146" w:name="_Toc464035565"/>
      <w:bookmarkStart w:id="147" w:name="_Toc1857"/>
      <w:bookmarkStart w:id="148" w:name="_Toc5903"/>
      <w:bookmarkStart w:id="149" w:name="_Toc281405536"/>
      <w:bookmarkStart w:id="150" w:name="_Toc26894"/>
      <w:r>
        <w:rPr>
          <w:rFonts w:hint="eastAsia" w:ascii="宋体" w:hAnsi="宋体" w:eastAsia="宋体" w:cs="宋体"/>
          <w:color w:val="auto"/>
          <w:sz w:val="24"/>
          <w:highlight w:val="none"/>
        </w:rPr>
        <w:t>3.4 评标结果</w:t>
      </w:r>
      <w:bookmarkEnd w:id="139"/>
      <w:bookmarkEnd w:id="140"/>
      <w:bookmarkEnd w:id="141"/>
      <w:bookmarkEnd w:id="142"/>
      <w:bookmarkEnd w:id="143"/>
      <w:bookmarkEnd w:id="144"/>
      <w:bookmarkEnd w:id="145"/>
      <w:bookmarkEnd w:id="146"/>
      <w:bookmarkEnd w:id="147"/>
      <w:bookmarkEnd w:id="148"/>
      <w:bookmarkEnd w:id="149"/>
      <w:bookmarkEnd w:id="150"/>
    </w:p>
    <w:p w14:paraId="3024CF31">
      <w:pP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3.4.1除第二章“</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highlight w:val="none"/>
        </w:rPr>
        <w:t>须知”前附表授权直接确定成交人外，磋商小组按照得分由高到低的顺序推荐成交候选人。</w:t>
      </w:r>
    </w:p>
    <w:p w14:paraId="24D968C5">
      <w:pPr>
        <w:spacing w:line="600" w:lineRule="exact"/>
        <w:ind w:firstLine="480" w:firstLineChars="200"/>
        <w:jc w:val="lef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3.4.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rPr>
        <w:t xml:space="preserve"> 磋商小组完成评标后，应当向采购人提交书面评审报告。</w:t>
      </w:r>
    </w:p>
    <w:p w14:paraId="5CB96730">
      <w:pPr>
        <w:widowControl/>
        <w:jc w:val="center"/>
        <w:outlineLvl w:val="0"/>
        <w:rPr>
          <w:rFonts w:ascii="宋体" w:hAnsi="宋体" w:eastAsia="宋体"/>
          <w:color w:val="auto"/>
          <w:sz w:val="32"/>
          <w:szCs w:val="32"/>
          <w:highlight w:val="none"/>
        </w:rPr>
      </w:pPr>
      <w:r>
        <w:rPr>
          <w:rFonts w:ascii="宋体" w:hAnsi="宋体" w:eastAsia="宋体"/>
          <w:color w:val="auto"/>
          <w:sz w:val="24"/>
          <w:highlight w:val="none"/>
        </w:rPr>
        <w:br w:type="page"/>
      </w:r>
      <w:bookmarkStart w:id="151" w:name="_Toc22305"/>
      <w:r>
        <w:rPr>
          <w:rFonts w:hint="eastAsia" w:ascii="宋体" w:hAnsi="宋体" w:eastAsia="宋体"/>
          <w:b/>
          <w:bCs/>
          <w:color w:val="auto"/>
          <w:sz w:val="32"/>
          <w:szCs w:val="32"/>
          <w:highlight w:val="none"/>
        </w:rPr>
        <w:t xml:space="preserve">第四章  </w:t>
      </w:r>
      <w:bookmarkEnd w:id="66"/>
      <w:bookmarkEnd w:id="151"/>
      <w:r>
        <w:rPr>
          <w:rFonts w:hint="eastAsia" w:ascii="宋体" w:hAnsi="宋体" w:eastAsia="宋体"/>
          <w:b/>
          <w:bCs/>
          <w:color w:val="auto"/>
          <w:sz w:val="32"/>
          <w:szCs w:val="32"/>
          <w:highlight w:val="none"/>
        </w:rPr>
        <w:t>合同条款及格式</w:t>
      </w:r>
    </w:p>
    <w:p w14:paraId="64586FF7">
      <w:pPr>
        <w:jc w:val="center"/>
        <w:outlineLvl w:val="0"/>
        <w:rPr>
          <w:rFonts w:ascii="宋体" w:hAnsi="宋体" w:eastAsia="宋体" w:cs="宋体"/>
          <w:b/>
          <w:color w:val="auto"/>
          <w:sz w:val="22"/>
          <w:szCs w:val="36"/>
          <w:highlight w:val="none"/>
        </w:rPr>
      </w:pPr>
      <w:bookmarkStart w:id="152" w:name="_Toc3846"/>
      <w:bookmarkStart w:id="153" w:name="_Toc15583"/>
      <w:bookmarkStart w:id="154" w:name="_Toc2625"/>
      <w:bookmarkStart w:id="155" w:name="_Toc27433"/>
      <w:r>
        <w:rPr>
          <w:rFonts w:hint="eastAsia" w:ascii="宋体" w:hAnsi="宋体" w:eastAsia="宋体" w:cs="宋体"/>
          <w:b/>
          <w:color w:val="auto"/>
          <w:sz w:val="24"/>
          <w:szCs w:val="36"/>
          <w:highlight w:val="none"/>
        </w:rPr>
        <w:t>(仅供参考</w:t>
      </w:r>
      <w:bookmarkEnd w:id="152"/>
      <w:bookmarkEnd w:id="153"/>
      <w:r>
        <w:rPr>
          <w:rFonts w:hint="eastAsia" w:ascii="宋体" w:hAnsi="宋体" w:cs="宋体"/>
          <w:b/>
          <w:color w:val="auto"/>
          <w:sz w:val="24"/>
          <w:szCs w:val="36"/>
          <w:highlight w:val="none"/>
          <w:lang w:eastAsia="zh-CN"/>
        </w:rPr>
        <w:t>，</w:t>
      </w:r>
      <w:r>
        <w:rPr>
          <w:rFonts w:hint="eastAsia" w:ascii="宋体" w:hAnsi="宋体" w:eastAsia="宋体" w:cs="宋体"/>
          <w:b/>
          <w:color w:val="auto"/>
          <w:sz w:val="24"/>
          <w:szCs w:val="24"/>
          <w:highlight w:val="none"/>
        </w:rPr>
        <w:t>以实际签订合同为准）</w:t>
      </w:r>
      <w:bookmarkEnd w:id="154"/>
      <w:bookmarkEnd w:id="155"/>
    </w:p>
    <w:p w14:paraId="20E7B845">
      <w:pPr>
        <w:spacing w:before="133" w:line="360" w:lineRule="auto"/>
        <w:ind w:left="1277"/>
        <w:outlineLvl w:val="1"/>
        <w:rPr>
          <w:rFonts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（此合同范本仅供参考，具体以签订正式合同时为</w:t>
      </w:r>
      <w:r>
        <w:rPr>
          <w:rFonts w:hint="eastAsia" w:ascii="宋体" w:hAnsi="宋体" w:eastAsia="宋体" w:cs="宋体"/>
          <w:b/>
          <w:bCs/>
          <w:color w:val="auto"/>
          <w:spacing w:val="-4"/>
          <w:sz w:val="24"/>
          <w:szCs w:val="24"/>
          <w:highlight w:val="none"/>
        </w:rPr>
        <w:t>准）</w:t>
      </w:r>
    </w:p>
    <w:p w14:paraId="6D5D760A">
      <w:pPr>
        <w:spacing w:before="29" w:line="360" w:lineRule="auto"/>
        <w:ind w:left="488"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p>
    <w:p w14:paraId="219339C0">
      <w:pPr>
        <w:spacing w:before="29" w:line="360" w:lineRule="auto"/>
        <w:ind w:left="488"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供应商（乙方）：</w:t>
      </w:r>
    </w:p>
    <w:p w14:paraId="5D700C8E">
      <w:pPr>
        <w:spacing w:before="29" w:line="360" w:lineRule="auto"/>
        <w:ind w:left="488"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p>
    <w:p w14:paraId="0E9D4CAE">
      <w:pPr>
        <w:spacing w:before="29" w:line="360" w:lineRule="auto"/>
        <w:ind w:left="488"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p>
    <w:p w14:paraId="55109856">
      <w:pPr>
        <w:spacing w:before="29" w:line="360" w:lineRule="auto"/>
        <w:ind w:left="488"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pacing w:val="-3"/>
          <w:sz w:val="24"/>
          <w:szCs w:val="24"/>
          <w:highlight w:val="none"/>
        </w:rPr>
        <w:t>经</w:t>
      </w:r>
      <w:r>
        <w:rPr>
          <w:rFonts w:hint="eastAsia" w:ascii="宋体" w:hAnsi="宋体" w:cs="宋体"/>
          <w:color w:val="auto"/>
          <w:spacing w:val="-3"/>
          <w:sz w:val="24"/>
          <w:szCs w:val="24"/>
          <w:highlight w:val="none"/>
        </w:rPr>
        <w:t>磋商</w:t>
      </w:r>
      <w:r>
        <w:rPr>
          <w:rFonts w:hint="eastAsia" w:ascii="宋体" w:hAnsi="宋体" w:eastAsia="宋体" w:cs="宋体"/>
          <w:color w:val="auto"/>
          <w:spacing w:val="-3"/>
          <w:sz w:val="24"/>
          <w:szCs w:val="24"/>
          <w:highlight w:val="none"/>
        </w:rPr>
        <w:t>小组评审，决定将政府采购合同授予乙方。为进一步明确甲</w:t>
      </w:r>
      <w:r>
        <w:rPr>
          <w:rFonts w:hint="eastAsia" w:ascii="宋体" w:hAnsi="宋体" w:eastAsia="宋体" w:cs="宋体"/>
          <w:color w:val="auto"/>
          <w:spacing w:val="-1"/>
          <w:sz w:val="24"/>
          <w:szCs w:val="24"/>
          <w:highlight w:val="none"/>
        </w:rPr>
        <w:t>乙双方的责任，确保合同顺利履行，根据《中华人民共和国政府采购法》及其实施条例、</w:t>
      </w:r>
      <w:r>
        <w:rPr>
          <w:rFonts w:hint="eastAsia" w:ascii="宋体" w:hAnsi="宋体" w:eastAsia="宋体" w:cs="宋体"/>
          <w:color w:val="auto"/>
          <w:spacing w:val="-7"/>
          <w:sz w:val="24"/>
          <w:szCs w:val="24"/>
          <w:highlight w:val="none"/>
        </w:rPr>
        <w:t>《中华人民共和国合同法》以及本项目中标（成交）结果，甲乙双方充分协商，订立合同，共同遵守。</w:t>
      </w:r>
    </w:p>
    <w:p w14:paraId="579E8B10">
      <w:pPr>
        <w:spacing w:before="35" w:line="360" w:lineRule="auto"/>
        <w:ind w:left="492"/>
        <w:outlineLvl w:val="1"/>
        <w:rPr>
          <w:rFonts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第一条服务对象基本情况</w:t>
      </w:r>
    </w:p>
    <w:p w14:paraId="7F2749B5">
      <w:pPr>
        <w:spacing w:before="294" w:line="360" w:lineRule="auto"/>
        <w:ind w:left="489"/>
        <w:rPr>
          <w:rFonts w:ascii="宋体" w:hAnsi="宋体" w:eastAsia="宋体" w:cs="宋体"/>
          <w:color w:val="auto"/>
          <w:sz w:val="24"/>
          <w:szCs w:val="24"/>
          <w:highlight w:val="none"/>
        </w:rPr>
      </w:pPr>
      <w:r>
        <w:rPr>
          <w:rFonts w:hint="eastAsia" w:ascii="宋体" w:hAnsi="宋体" w:eastAsia="宋体" w:cs="宋体"/>
          <w:color w:val="auto"/>
          <w:spacing w:val="29"/>
          <w:sz w:val="24"/>
          <w:szCs w:val="24"/>
          <w:highlight w:val="none"/>
        </w:rPr>
        <w:t>服务类型：_______</w:t>
      </w:r>
    </w:p>
    <w:p w14:paraId="5DD68C84">
      <w:pPr>
        <w:spacing w:before="304" w:line="360" w:lineRule="auto"/>
        <w:ind w:left="49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其他必要内容  ________</w:t>
      </w:r>
    </w:p>
    <w:p w14:paraId="15154E75">
      <w:pPr>
        <w:spacing w:before="303" w:line="360" w:lineRule="auto"/>
        <w:ind w:left="492"/>
        <w:outlineLvl w:val="1"/>
        <w:rPr>
          <w:rFonts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第二条具体服务事项</w:t>
      </w:r>
    </w:p>
    <w:p w14:paraId="5D8C5080">
      <w:pPr>
        <w:pStyle w:val="3"/>
        <w:spacing w:line="360" w:lineRule="auto"/>
        <w:rPr>
          <w:rFonts w:ascii="宋体" w:eastAsia="宋体" w:cs="宋体"/>
          <w:color w:val="auto"/>
          <w:highlight w:val="none"/>
        </w:rPr>
      </w:pPr>
    </w:p>
    <w:p w14:paraId="192DF0A2">
      <w:pPr>
        <w:spacing w:line="360" w:lineRule="auto"/>
        <w:ind w:right="98" w:firstLine="492"/>
        <w:rPr>
          <w:rFonts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 xml:space="preserve">1、 </w:t>
      </w:r>
    </w:p>
    <w:p w14:paraId="4566C2BE">
      <w:pPr>
        <w:spacing w:line="360" w:lineRule="auto"/>
        <w:ind w:right="98" w:firstLine="492"/>
        <w:rPr>
          <w:rFonts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 xml:space="preserve">2、 </w:t>
      </w:r>
    </w:p>
    <w:p w14:paraId="499629A4">
      <w:pPr>
        <w:spacing w:line="360" w:lineRule="auto"/>
        <w:ind w:right="98" w:firstLine="492"/>
        <w:rPr>
          <w:rFonts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w:t>
      </w:r>
    </w:p>
    <w:p w14:paraId="53AF98B3">
      <w:pPr>
        <w:spacing w:line="360" w:lineRule="auto"/>
        <w:ind w:right="98" w:firstLine="492"/>
        <w:rPr>
          <w:rFonts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第三条</w:t>
      </w:r>
      <w:r>
        <w:rPr>
          <w:rFonts w:hint="eastAsia" w:ascii="宋体" w:hAnsi="宋体" w:cs="宋体"/>
          <w:b/>
          <w:bCs/>
          <w:color w:val="auto"/>
          <w:spacing w:val="-2"/>
          <w:sz w:val="24"/>
          <w:szCs w:val="24"/>
          <w:highlight w:val="none"/>
        </w:rPr>
        <w:t>服务期限</w:t>
      </w:r>
      <w:r>
        <w:rPr>
          <w:rFonts w:hint="eastAsia" w:ascii="宋体" w:hAnsi="宋体" w:eastAsia="宋体" w:cs="宋体"/>
          <w:color w:val="auto"/>
          <w:spacing w:val="-2"/>
          <w:sz w:val="24"/>
          <w:szCs w:val="24"/>
          <w:highlight w:val="none"/>
        </w:rPr>
        <w:t>为</w:t>
      </w:r>
      <w:r>
        <w:rPr>
          <w:rFonts w:hint="eastAsia" w:ascii="宋体" w:hAnsi="宋体" w:eastAsia="宋体" w:cs="宋体"/>
          <w:color w:val="auto"/>
          <w:sz w:val="24"/>
          <w:szCs w:val="24"/>
          <w:highlight w:val="none"/>
        </w:rPr>
        <w:t>＿＿＿＿</w:t>
      </w:r>
      <w:r>
        <w:rPr>
          <w:rFonts w:hint="eastAsia" w:ascii="宋体" w:hAnsi="宋体" w:cs="宋体"/>
          <w:color w:val="auto"/>
          <w:spacing w:val="-2"/>
          <w:sz w:val="24"/>
          <w:szCs w:val="24"/>
          <w:highlight w:val="none"/>
        </w:rPr>
        <w:t>天</w:t>
      </w:r>
      <w:r>
        <w:rPr>
          <w:rFonts w:hint="eastAsia" w:ascii="宋体" w:hAnsi="宋体" w:eastAsia="宋体" w:cs="宋体"/>
          <w:color w:val="auto"/>
          <w:spacing w:val="-2"/>
          <w:sz w:val="24"/>
          <w:szCs w:val="24"/>
          <w:highlight w:val="none"/>
        </w:rPr>
        <w:t>。自</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年</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月</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时起至</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23"/>
          <w:sz w:val="24"/>
          <w:szCs w:val="24"/>
          <w:highlight w:val="none"/>
        </w:rPr>
        <w:t>____月</w:t>
      </w:r>
      <w:r>
        <w:rPr>
          <w:rFonts w:hint="eastAsia" w:ascii="宋体" w:hAnsi="宋体" w:eastAsia="宋体" w:cs="宋体"/>
          <w:color w:val="auto"/>
          <w:spacing w:val="29"/>
          <w:sz w:val="24"/>
          <w:szCs w:val="24"/>
          <w:highlight w:val="none"/>
        </w:rPr>
        <w:t>＿＿＿＿</w:t>
      </w:r>
      <w:r>
        <w:rPr>
          <w:rFonts w:hint="eastAsia" w:ascii="宋体" w:hAnsi="宋体" w:eastAsia="宋体" w:cs="宋体"/>
          <w:color w:val="auto"/>
          <w:spacing w:val="23"/>
          <w:sz w:val="24"/>
          <w:szCs w:val="24"/>
          <w:highlight w:val="none"/>
        </w:rPr>
        <w:t>日</w:t>
      </w:r>
      <w:r>
        <w:rPr>
          <w:rFonts w:hint="eastAsia" w:ascii="宋体" w:hAnsi="宋体" w:eastAsia="宋体" w:cs="宋体"/>
          <w:color w:val="auto"/>
          <w:spacing w:val="29"/>
          <w:sz w:val="24"/>
          <w:szCs w:val="24"/>
          <w:highlight w:val="none"/>
        </w:rPr>
        <w:t>＿＿＿＿</w:t>
      </w:r>
      <w:r>
        <w:rPr>
          <w:rFonts w:hint="eastAsia" w:ascii="宋体" w:hAnsi="宋体" w:eastAsia="宋体" w:cs="宋体"/>
          <w:color w:val="auto"/>
          <w:spacing w:val="23"/>
          <w:sz w:val="24"/>
          <w:szCs w:val="24"/>
          <w:highlight w:val="none"/>
        </w:rPr>
        <w:t>时止。</w:t>
      </w:r>
    </w:p>
    <w:p w14:paraId="3D62793D">
      <w:pPr>
        <w:spacing w:before="43" w:line="360" w:lineRule="auto"/>
        <w:ind w:left="492"/>
        <w:outlineLvl w:val="1"/>
        <w:rPr>
          <w:rFonts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第四条甲方权利义务</w:t>
      </w:r>
    </w:p>
    <w:p w14:paraId="6D23247D">
      <w:pPr>
        <w:spacing w:before="292" w:line="360" w:lineRule="auto"/>
        <w:ind w:left="507"/>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1、甲方有对乙方提出改进服务意见的权利，</w:t>
      </w:r>
      <w:r>
        <w:rPr>
          <w:rFonts w:hint="eastAsia" w:ascii="宋体" w:hAnsi="宋体" w:eastAsia="宋体" w:cs="宋体"/>
          <w:color w:val="auto"/>
          <w:spacing w:val="-3"/>
          <w:sz w:val="24"/>
          <w:szCs w:val="24"/>
          <w:highlight w:val="none"/>
        </w:rPr>
        <w:t>监督乙方工作。</w:t>
      </w:r>
    </w:p>
    <w:p w14:paraId="4CC1FE48">
      <w:pPr>
        <w:spacing w:before="295" w:line="360" w:lineRule="auto"/>
        <w:ind w:left="492"/>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2、甲方负责协助乙方做好一切外部事物的处理与协调工作。</w:t>
      </w:r>
    </w:p>
    <w:p w14:paraId="6F55D13E">
      <w:pPr>
        <w:spacing w:before="292" w:line="360" w:lineRule="auto"/>
        <w:ind w:left="507"/>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3、乙方在工作中需要甲方工作人员协助的，甲方应积极配合。</w:t>
      </w:r>
    </w:p>
    <w:p w14:paraId="6B4FE857">
      <w:pPr>
        <w:spacing w:before="292" w:line="360" w:lineRule="auto"/>
        <w:ind w:left="507"/>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4、合同签订期限为     年。</w:t>
      </w:r>
    </w:p>
    <w:p w14:paraId="7456BFA1">
      <w:pPr>
        <w:spacing w:before="43" w:line="360" w:lineRule="auto"/>
        <w:ind w:left="492"/>
        <w:outlineLvl w:val="1"/>
        <w:rPr>
          <w:rFonts w:ascii="宋体" w:hAnsi="宋体" w:eastAsia="宋体" w:cs="宋体"/>
          <w:b/>
          <w:bCs/>
          <w:color w:val="auto"/>
          <w:spacing w:val="-8"/>
          <w:sz w:val="24"/>
          <w:szCs w:val="24"/>
          <w:highlight w:val="none"/>
        </w:rPr>
      </w:pPr>
      <w:r>
        <w:rPr>
          <w:rFonts w:hint="eastAsia" w:ascii="宋体" w:hAnsi="宋体" w:eastAsia="宋体" w:cs="宋体"/>
          <w:b/>
          <w:bCs/>
          <w:color w:val="auto"/>
          <w:spacing w:val="-8"/>
          <w:sz w:val="24"/>
          <w:szCs w:val="24"/>
          <w:highlight w:val="none"/>
        </w:rPr>
        <w:t>第五条   乙方权利义务</w:t>
      </w:r>
    </w:p>
    <w:p w14:paraId="1F1F7C73">
      <w:pPr>
        <w:spacing w:before="292" w:line="360" w:lineRule="auto"/>
        <w:ind w:left="507"/>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1、乙方应根据有关法律法规及本合同约定，制定具体服务管理制度。</w:t>
      </w:r>
    </w:p>
    <w:p w14:paraId="08E00DAD">
      <w:pPr>
        <w:spacing w:before="39" w:line="360" w:lineRule="auto"/>
        <w:ind w:firstLine="48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2、乙方应接受甲方的监督和考核， 遵守甲方的规章制度，根据合同约定，服从甲方安排。</w:t>
      </w:r>
    </w:p>
    <w:p w14:paraId="0A881334">
      <w:pPr>
        <w:spacing w:before="39" w:line="360" w:lineRule="auto"/>
        <w:ind w:firstLine="48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3、在工作区域内乙方人员提供管理服务过程中，因乙方人员的故意或过失，造成甲乙双方或任何第三方的人身损害或财产损失，乙方承担一切法律责任与赔偿。</w:t>
      </w:r>
    </w:p>
    <w:p w14:paraId="7FDA3506">
      <w:pPr>
        <w:spacing w:before="39" w:line="360" w:lineRule="auto"/>
        <w:ind w:firstLine="480"/>
        <w:outlineLvl w:val="2"/>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4、详见合同约定内容</w:t>
      </w:r>
    </w:p>
    <w:p w14:paraId="4D957B26">
      <w:pPr>
        <w:spacing w:before="39" w:line="360" w:lineRule="auto"/>
        <w:ind w:firstLine="48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w:t>
      </w:r>
    </w:p>
    <w:p w14:paraId="09A790EC">
      <w:pPr>
        <w:spacing w:before="39" w:line="360" w:lineRule="auto"/>
        <w:ind w:firstLine="480"/>
        <w:outlineLvl w:val="1"/>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第六条   服务目标</w:t>
      </w:r>
    </w:p>
    <w:p w14:paraId="7FC8D676">
      <w:pPr>
        <w:spacing w:before="39" w:line="360" w:lineRule="auto"/>
        <w:ind w:firstLine="480"/>
        <w:rPr>
          <w:rFonts w:ascii="宋体" w:hAnsi="宋体" w:eastAsia="宋体" w:cs="宋体"/>
          <w:color w:val="auto"/>
          <w:spacing w:val="-4"/>
          <w:sz w:val="24"/>
          <w:szCs w:val="24"/>
          <w:highlight w:val="none"/>
        </w:rPr>
      </w:pPr>
      <w:r>
        <w:rPr>
          <w:rFonts w:hint="eastAsia" w:ascii="宋体" w:hAnsi="宋体" w:eastAsia="宋体" w:cs="宋体"/>
          <w:color w:val="auto"/>
          <w:spacing w:val="-3"/>
          <w:sz w:val="24"/>
          <w:szCs w:val="24"/>
          <w:highlight w:val="none"/>
        </w:rPr>
        <w:t>乙方根据甲方的具体服务事项及要求制定出服务工作标准和考核标准。经与</w:t>
      </w:r>
      <w:r>
        <w:rPr>
          <w:rFonts w:hint="eastAsia" w:ascii="宋体" w:hAnsi="宋体" w:eastAsia="宋体" w:cs="宋体"/>
          <w:color w:val="auto"/>
          <w:spacing w:val="-4"/>
          <w:sz w:val="24"/>
          <w:szCs w:val="24"/>
          <w:highlight w:val="none"/>
        </w:rPr>
        <w:t>甲方协商同意 后，乙方须按此工作标准和考核标准，实现服务目标。</w:t>
      </w:r>
    </w:p>
    <w:p w14:paraId="38F7B1FD">
      <w:pPr>
        <w:numPr>
          <w:ilvl w:val="0"/>
          <w:numId w:val="4"/>
        </w:numPr>
        <w:spacing w:before="39" w:line="360" w:lineRule="auto"/>
        <w:ind w:firstLine="48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________________ 2、________________ 3、________________ </w:t>
      </w:r>
    </w:p>
    <w:p w14:paraId="67067350">
      <w:pPr>
        <w:spacing w:before="39"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4、________________ 5、________________ „</w:t>
      </w:r>
    </w:p>
    <w:p w14:paraId="35682A06">
      <w:pPr>
        <w:spacing w:before="39" w:line="360" w:lineRule="auto"/>
        <w:ind w:firstLine="480"/>
        <w:outlineLvl w:val="1"/>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第七条  服务费用</w:t>
      </w:r>
    </w:p>
    <w:p w14:paraId="319F5718">
      <w:pPr>
        <w:spacing w:before="39" w:line="360" w:lineRule="auto"/>
        <w:ind w:firstLine="480"/>
        <w:outlineLvl w:val="2"/>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1、费用结算</w:t>
      </w:r>
    </w:p>
    <w:p w14:paraId="0D19A5D1">
      <w:pPr>
        <w:spacing w:before="39" w:line="360" w:lineRule="auto"/>
        <w:ind w:firstLine="48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本合同以人民币付款，总计   万元。</w:t>
      </w:r>
    </w:p>
    <w:p w14:paraId="2E75A2F8">
      <w:pPr>
        <w:spacing w:before="39" w:line="360" w:lineRule="auto"/>
        <w:ind w:firstLine="48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付款方式：</w:t>
      </w:r>
    </w:p>
    <w:p w14:paraId="323DAFE8">
      <w:pPr>
        <w:spacing w:before="39" w:line="360" w:lineRule="auto"/>
        <w:ind w:firstLine="480"/>
        <w:outlineLvl w:val="2"/>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2、费用构成</w:t>
      </w:r>
    </w:p>
    <w:p w14:paraId="4342ADA4">
      <w:pPr>
        <w:spacing w:before="39" w:line="360" w:lineRule="auto"/>
        <w:ind w:firstLine="48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w:t>
      </w:r>
    </w:p>
    <w:p w14:paraId="44B36C55">
      <w:pPr>
        <w:spacing w:before="39" w:line="360" w:lineRule="auto"/>
        <w:ind w:firstLine="48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w:t>
      </w:r>
    </w:p>
    <w:p w14:paraId="34AE0A70">
      <w:pPr>
        <w:spacing w:before="39" w:line="360" w:lineRule="auto"/>
        <w:ind w:firstLine="48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w:t>
      </w:r>
    </w:p>
    <w:p w14:paraId="4B22374C">
      <w:pPr>
        <w:spacing w:before="1" w:line="360" w:lineRule="auto"/>
        <w:ind w:left="481"/>
        <w:outlineLvl w:val="1"/>
        <w:rPr>
          <w:rFonts w:ascii="宋体" w:hAnsi="宋体" w:eastAsia="宋体" w:cs="宋体"/>
          <w:b/>
          <w:bCs/>
          <w:color w:val="auto"/>
          <w:spacing w:val="-3"/>
          <w:sz w:val="24"/>
          <w:szCs w:val="24"/>
          <w:highlight w:val="none"/>
        </w:rPr>
      </w:pPr>
      <w:r>
        <w:rPr>
          <w:rFonts w:hint="eastAsia" w:ascii="宋体" w:hAnsi="宋体" w:eastAsia="宋体" w:cs="宋体"/>
          <w:b/>
          <w:bCs/>
          <w:color w:val="auto"/>
          <w:spacing w:val="-3"/>
          <w:sz w:val="24"/>
          <w:szCs w:val="24"/>
          <w:highlight w:val="none"/>
        </w:rPr>
        <w:t>第八条  验收方法</w:t>
      </w:r>
    </w:p>
    <w:p w14:paraId="3146C267">
      <w:pPr>
        <w:spacing w:before="298" w:line="360" w:lineRule="auto"/>
        <w:ind w:left="1" w:right="20" w:firstLine="510"/>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甲方应当按照政府采购合同规定的技术、服务、安全标</w:t>
      </w:r>
      <w:r>
        <w:rPr>
          <w:rFonts w:hint="eastAsia" w:ascii="宋体" w:hAnsi="宋体" w:eastAsia="宋体" w:cs="宋体"/>
          <w:color w:val="auto"/>
          <w:spacing w:val="-3"/>
          <w:sz w:val="24"/>
          <w:szCs w:val="24"/>
          <w:highlight w:val="none"/>
        </w:rPr>
        <w:t>准组织对乙方履约情况进行验收，</w:t>
      </w:r>
      <w:r>
        <w:rPr>
          <w:rFonts w:hint="eastAsia" w:ascii="宋体" w:hAnsi="宋体" w:eastAsia="宋体" w:cs="宋体"/>
          <w:color w:val="auto"/>
          <w:spacing w:val="-5"/>
          <w:sz w:val="24"/>
          <w:szCs w:val="24"/>
          <w:highlight w:val="none"/>
        </w:rPr>
        <w:t>并出具验收书。验收书应当包括每一项技术、服务、安</w:t>
      </w:r>
      <w:r>
        <w:rPr>
          <w:rFonts w:hint="eastAsia" w:ascii="宋体" w:hAnsi="宋体" w:eastAsia="宋体" w:cs="宋体"/>
          <w:color w:val="auto"/>
          <w:spacing w:val="-6"/>
          <w:sz w:val="24"/>
          <w:szCs w:val="24"/>
          <w:highlight w:val="none"/>
        </w:rPr>
        <w:t>全标准的履约情况。验收不合格的，乙</w:t>
      </w:r>
      <w:r>
        <w:rPr>
          <w:rFonts w:hint="eastAsia" w:ascii="宋体" w:hAnsi="宋体" w:eastAsia="宋体" w:cs="宋体"/>
          <w:color w:val="auto"/>
          <w:sz w:val="24"/>
          <w:szCs w:val="24"/>
          <w:highlight w:val="none"/>
        </w:rPr>
        <w:t>方应负责重新提供达到本合同约定的质量要求的标准；验收合格的,验</w:t>
      </w:r>
      <w:r>
        <w:rPr>
          <w:rFonts w:hint="eastAsia" w:ascii="宋体" w:hAnsi="宋体" w:eastAsia="宋体" w:cs="宋体"/>
          <w:color w:val="auto"/>
          <w:spacing w:val="-1"/>
          <w:sz w:val="24"/>
          <w:szCs w:val="24"/>
          <w:highlight w:val="none"/>
        </w:rPr>
        <w:t>收书作为支付货款的重</w:t>
      </w:r>
      <w:r>
        <w:rPr>
          <w:rFonts w:hint="eastAsia" w:ascii="宋体" w:hAnsi="宋体" w:eastAsia="宋体" w:cs="宋体"/>
          <w:color w:val="auto"/>
          <w:spacing w:val="-9"/>
          <w:sz w:val="24"/>
          <w:szCs w:val="24"/>
          <w:highlight w:val="none"/>
        </w:rPr>
        <w:t>要依据。</w:t>
      </w:r>
    </w:p>
    <w:p w14:paraId="58DE5DFF">
      <w:pPr>
        <w:spacing w:before="33" w:line="360" w:lineRule="auto"/>
        <w:ind w:left="5" w:right="64" w:firstLine="474"/>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政府向社会公众提供的公共服务项目，验收时应当邀请服务对象参与并出具意见，验收结</w:t>
      </w:r>
      <w:r>
        <w:rPr>
          <w:rFonts w:hint="eastAsia" w:ascii="宋体" w:hAnsi="宋体" w:eastAsia="宋体" w:cs="宋体"/>
          <w:color w:val="auto"/>
          <w:spacing w:val="-5"/>
          <w:sz w:val="24"/>
          <w:szCs w:val="24"/>
          <w:highlight w:val="none"/>
        </w:rPr>
        <w:t>果应当向社会公告。</w:t>
      </w:r>
    </w:p>
    <w:p w14:paraId="258B8A22">
      <w:pPr>
        <w:spacing w:before="35" w:line="360" w:lineRule="auto"/>
        <w:ind w:left="483"/>
        <w:outlineLvl w:val="1"/>
        <w:rPr>
          <w:rFonts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第九条违约责任</w:t>
      </w:r>
    </w:p>
    <w:p w14:paraId="3EAF550F">
      <w:pPr>
        <w:spacing w:before="293" w:line="360" w:lineRule="auto"/>
        <w:ind w:right="67" w:firstLine="49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1、甲方违反本合同的约定，使乙方不能完成服务目标，乙方有权要求甲</w:t>
      </w:r>
      <w:r>
        <w:rPr>
          <w:rFonts w:hint="eastAsia" w:ascii="宋体" w:hAnsi="宋体" w:eastAsia="宋体" w:cs="宋体"/>
          <w:color w:val="auto"/>
          <w:spacing w:val="-1"/>
          <w:sz w:val="24"/>
          <w:szCs w:val="24"/>
          <w:highlight w:val="none"/>
        </w:rPr>
        <w:t>方在一定期限内解决，逾期未解决的乙方有权终止合同；造成乙方经济损失的，甲方应给予乙方经济</w:t>
      </w:r>
      <w:r>
        <w:rPr>
          <w:rFonts w:hint="eastAsia" w:ascii="宋体" w:hAnsi="宋体" w:eastAsia="宋体" w:cs="宋体"/>
          <w:color w:val="auto"/>
          <w:spacing w:val="-2"/>
          <w:sz w:val="24"/>
          <w:szCs w:val="24"/>
          <w:highlight w:val="none"/>
        </w:rPr>
        <w:t>赔偿。</w:t>
      </w:r>
    </w:p>
    <w:p w14:paraId="7B53CCA0">
      <w:pPr>
        <w:spacing w:before="35" w:line="360" w:lineRule="auto"/>
        <w:ind w:right="62" w:firstLine="48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2、乙方违反本合同的约定，不能完成服务目标，甲方有权要求乙方限期整改，逾期未整</w:t>
      </w:r>
      <w:r>
        <w:rPr>
          <w:rFonts w:hint="eastAsia" w:ascii="宋体" w:hAnsi="宋体" w:eastAsia="宋体" w:cs="宋体"/>
          <w:color w:val="auto"/>
          <w:spacing w:val="-2"/>
          <w:sz w:val="24"/>
          <w:szCs w:val="24"/>
          <w:highlight w:val="none"/>
        </w:rPr>
        <w:t>改或多次整改无提高，甲方有权单方终止合</w:t>
      </w:r>
      <w:r>
        <w:rPr>
          <w:rFonts w:hint="eastAsia" w:ascii="宋体" w:hAnsi="宋体" w:eastAsia="宋体" w:cs="宋体"/>
          <w:color w:val="auto"/>
          <w:spacing w:val="-3"/>
          <w:sz w:val="24"/>
          <w:szCs w:val="24"/>
          <w:highlight w:val="none"/>
        </w:rPr>
        <w:t>同；造成甲方经济损失的，乙方应给予甲方经济赔</w:t>
      </w:r>
      <w:r>
        <w:rPr>
          <w:rFonts w:hint="eastAsia" w:ascii="宋体" w:hAnsi="宋体" w:eastAsia="宋体" w:cs="宋体"/>
          <w:color w:val="auto"/>
          <w:spacing w:val="-11"/>
          <w:sz w:val="24"/>
          <w:szCs w:val="24"/>
          <w:highlight w:val="none"/>
        </w:rPr>
        <w:t>偿。</w:t>
      </w:r>
    </w:p>
    <w:p w14:paraId="2CABC091">
      <w:pPr>
        <w:spacing w:before="34" w:line="360" w:lineRule="auto"/>
        <w:ind w:left="1" w:right="64" w:firstLine="48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3、乙方违反本合同的约定，擅自提高收费标准的，甲方有权要求乙方清退；造成甲方经</w:t>
      </w:r>
      <w:r>
        <w:rPr>
          <w:rFonts w:hint="eastAsia" w:ascii="宋体" w:hAnsi="宋体" w:eastAsia="宋体" w:cs="宋体"/>
          <w:color w:val="auto"/>
          <w:spacing w:val="-3"/>
          <w:sz w:val="24"/>
          <w:szCs w:val="24"/>
          <w:highlight w:val="none"/>
        </w:rPr>
        <w:t>济损失的，乙方应给予甲方经济赔偿。</w:t>
      </w:r>
    </w:p>
    <w:p w14:paraId="0C4914C2">
      <w:pPr>
        <w:spacing w:before="39" w:line="360" w:lineRule="auto"/>
        <w:ind w:firstLine="480"/>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4、甲乙双方任何一方无法律依据提前终止本合同的，违约方应赔偿对方</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元的违约金；</w:t>
      </w:r>
      <w:r>
        <w:rPr>
          <w:rFonts w:hint="eastAsia" w:ascii="宋体" w:hAnsi="宋体" w:eastAsia="宋体" w:cs="宋体"/>
          <w:color w:val="auto"/>
          <w:spacing w:val="-3"/>
          <w:sz w:val="24"/>
          <w:szCs w:val="24"/>
          <w:highlight w:val="none"/>
        </w:rPr>
        <w:t>造成对方经济损失的，应给予经济赔偿。</w:t>
      </w:r>
    </w:p>
    <w:p w14:paraId="6674B54E">
      <w:pPr>
        <w:spacing w:before="32" w:line="360" w:lineRule="auto"/>
        <w:ind w:left="486"/>
        <w:outlineLvl w:val="2"/>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5、其他。</w:t>
      </w:r>
    </w:p>
    <w:p w14:paraId="7C63DC39">
      <w:pPr>
        <w:spacing w:before="294" w:line="360" w:lineRule="auto"/>
        <w:ind w:left="483"/>
        <w:outlineLvl w:val="1"/>
        <w:rPr>
          <w:rFonts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第十条其他事项</w:t>
      </w:r>
    </w:p>
    <w:p w14:paraId="13D3FCC1">
      <w:pPr>
        <w:spacing w:before="295" w:line="360" w:lineRule="auto"/>
        <w:ind w:left="499"/>
        <w:outlineLvl w:val="2"/>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1、本合同自甲乙双方签字盖章后生效。</w:t>
      </w:r>
    </w:p>
    <w:p w14:paraId="3EFB5D0D">
      <w:pPr>
        <w:spacing w:before="266" w:line="360" w:lineRule="auto"/>
        <w:ind w:right="110" w:firstLine="484"/>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2、合同执行期内，甲乙双方均不得随意变更或解除合同。合同如有未尽事宜，须经双方</w:t>
      </w:r>
      <w:r>
        <w:rPr>
          <w:rFonts w:hint="eastAsia" w:ascii="宋体" w:hAnsi="宋体" w:eastAsia="宋体" w:cs="宋体"/>
          <w:color w:val="auto"/>
          <w:spacing w:val="-3"/>
          <w:sz w:val="24"/>
          <w:szCs w:val="24"/>
          <w:highlight w:val="none"/>
        </w:rPr>
        <w:t>共同协商，做出补充规定，补充规定与本合同具有同等效力，也可按照《中华人民共</w:t>
      </w:r>
      <w:r>
        <w:rPr>
          <w:rFonts w:hint="eastAsia" w:ascii="宋体" w:hAnsi="宋体" w:eastAsia="宋体" w:cs="宋体"/>
          <w:color w:val="auto"/>
          <w:spacing w:val="-4"/>
          <w:sz w:val="24"/>
          <w:szCs w:val="24"/>
          <w:highlight w:val="none"/>
        </w:rPr>
        <w:t>和国合同</w:t>
      </w:r>
      <w:r>
        <w:rPr>
          <w:rFonts w:hint="eastAsia" w:ascii="宋体" w:hAnsi="宋体" w:eastAsia="宋体" w:cs="宋体"/>
          <w:color w:val="auto"/>
          <w:spacing w:val="-5"/>
          <w:sz w:val="24"/>
          <w:szCs w:val="24"/>
          <w:highlight w:val="none"/>
        </w:rPr>
        <w:t>法》的规定执行。</w:t>
      </w:r>
    </w:p>
    <w:p w14:paraId="55FBD50E">
      <w:pPr>
        <w:spacing w:before="35" w:line="360" w:lineRule="auto"/>
        <w:ind w:left="5" w:right="110"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3、本合同执行期间，如遇不可抗力，致使合同无法履行</w:t>
      </w:r>
      <w:r>
        <w:rPr>
          <w:rFonts w:hint="eastAsia" w:ascii="宋体" w:hAnsi="宋体" w:eastAsia="宋体" w:cs="宋体"/>
          <w:color w:val="auto"/>
          <w:spacing w:val="-1"/>
          <w:sz w:val="24"/>
          <w:szCs w:val="24"/>
          <w:highlight w:val="none"/>
        </w:rPr>
        <w:t>时，双方按有关法律规定及时协</w:t>
      </w:r>
      <w:r>
        <w:rPr>
          <w:rFonts w:hint="eastAsia" w:ascii="宋体" w:hAnsi="宋体" w:eastAsia="宋体" w:cs="宋体"/>
          <w:color w:val="auto"/>
          <w:spacing w:val="-10"/>
          <w:sz w:val="24"/>
          <w:szCs w:val="24"/>
          <w:highlight w:val="none"/>
        </w:rPr>
        <w:t>商处理。</w:t>
      </w:r>
    </w:p>
    <w:p w14:paraId="1160A744">
      <w:pPr>
        <w:spacing w:before="30" w:line="360" w:lineRule="auto"/>
        <w:ind w:right="106" w:firstLine="480"/>
        <w:rPr>
          <w:rFonts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rPr>
        <w:t>4、本合同如发生纠纷，当事人双方应当及时协商解决，协商不成</w:t>
      </w:r>
      <w:r>
        <w:rPr>
          <w:rFonts w:hint="eastAsia" w:ascii="宋体" w:hAnsi="宋体" w:eastAsia="宋体" w:cs="宋体"/>
          <w:color w:val="auto"/>
          <w:spacing w:val="-1"/>
          <w:sz w:val="24"/>
          <w:szCs w:val="24"/>
          <w:highlight w:val="none"/>
        </w:rPr>
        <w:t>时，任何一方均可请政府采购监督管理机关调解，调解不成，按以下第</w:t>
      </w:r>
      <w:r>
        <w:rPr>
          <w:rFonts w:hint="eastAsia" w:ascii="宋体" w:hAnsi="宋体" w:eastAsia="宋体" w:cs="宋体"/>
          <w:color w:val="auto"/>
          <w:spacing w:val="-27"/>
          <w:sz w:val="24"/>
          <w:szCs w:val="24"/>
          <w:highlight w:val="none"/>
        </w:rPr>
        <w:t>（）</w:t>
      </w:r>
      <w:r>
        <w:rPr>
          <w:rFonts w:hint="eastAsia" w:ascii="宋体" w:hAnsi="宋体" w:eastAsia="宋体" w:cs="宋体"/>
          <w:color w:val="auto"/>
          <w:spacing w:val="-2"/>
          <w:sz w:val="24"/>
          <w:szCs w:val="24"/>
          <w:highlight w:val="none"/>
        </w:rPr>
        <w:t>项方式处理</w:t>
      </w:r>
      <w:r>
        <w:rPr>
          <w:rFonts w:hint="eastAsia" w:ascii="宋体" w:hAnsi="宋体" w:eastAsia="宋体" w:cs="宋体"/>
          <w:color w:val="auto"/>
          <w:spacing w:val="-27"/>
          <w:sz w:val="24"/>
          <w:szCs w:val="24"/>
          <w:highlight w:val="none"/>
        </w:rPr>
        <w:t>：（</w:t>
      </w:r>
      <w:r>
        <w:rPr>
          <w:rFonts w:hint="eastAsia" w:ascii="宋体" w:hAnsi="宋体" w:eastAsia="宋体" w:cs="宋体"/>
          <w:color w:val="auto"/>
          <w:spacing w:val="-2"/>
          <w:sz w:val="24"/>
          <w:szCs w:val="24"/>
          <w:highlight w:val="none"/>
        </w:rPr>
        <w:t>1）根据《中华人民共和</w:t>
      </w:r>
      <w:r>
        <w:rPr>
          <w:rFonts w:hint="eastAsia" w:ascii="宋体" w:hAnsi="宋体" w:eastAsia="宋体" w:cs="宋体"/>
          <w:color w:val="auto"/>
          <w:spacing w:val="-1"/>
          <w:sz w:val="24"/>
          <w:szCs w:val="24"/>
          <w:highlight w:val="none"/>
        </w:rPr>
        <w:t>国仲裁法》的规定申请仲裁。</w:t>
      </w:r>
    </w:p>
    <w:p w14:paraId="52DE9CDE">
      <w:pPr>
        <w:spacing w:before="30" w:line="360" w:lineRule="auto"/>
        <w:ind w:right="106"/>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（2）向合同签订地有管辖权的</w:t>
      </w:r>
      <w:r>
        <w:rPr>
          <w:rFonts w:hint="eastAsia" w:ascii="宋体" w:hAnsi="宋体" w:eastAsia="宋体" w:cs="宋体"/>
          <w:color w:val="auto"/>
          <w:spacing w:val="-2"/>
          <w:sz w:val="24"/>
          <w:szCs w:val="24"/>
          <w:highlight w:val="none"/>
        </w:rPr>
        <w:t>人民法院起诉。</w:t>
      </w:r>
    </w:p>
    <w:p w14:paraId="7DD921B7">
      <w:pPr>
        <w:spacing w:before="33" w:line="360" w:lineRule="auto"/>
        <w:ind w:firstLine="486"/>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5、采购双方必须严格按照</w:t>
      </w:r>
      <w:r>
        <w:rPr>
          <w:rFonts w:hint="eastAsia" w:ascii="宋体" w:hAnsi="宋体" w:cs="宋体"/>
          <w:color w:val="auto"/>
          <w:spacing w:val="-6"/>
          <w:sz w:val="24"/>
          <w:szCs w:val="24"/>
          <w:highlight w:val="none"/>
        </w:rPr>
        <w:t>磋商</w:t>
      </w:r>
      <w:r>
        <w:rPr>
          <w:rFonts w:hint="eastAsia" w:ascii="宋体" w:hAnsi="宋体" w:eastAsia="宋体" w:cs="宋体"/>
          <w:color w:val="auto"/>
          <w:spacing w:val="-6"/>
          <w:sz w:val="24"/>
          <w:szCs w:val="24"/>
          <w:highlight w:val="none"/>
        </w:rPr>
        <w:t>文件、响应文件及有关</w:t>
      </w:r>
      <w:r>
        <w:rPr>
          <w:rFonts w:hint="eastAsia" w:ascii="宋体" w:hAnsi="宋体" w:eastAsia="宋体" w:cs="宋体"/>
          <w:color w:val="auto"/>
          <w:spacing w:val="-7"/>
          <w:sz w:val="24"/>
          <w:szCs w:val="24"/>
          <w:highlight w:val="none"/>
        </w:rPr>
        <w:t>承诺签订采购合同，不得擅自变更。</w:t>
      </w:r>
      <w:r>
        <w:rPr>
          <w:rFonts w:hint="eastAsia" w:ascii="宋体" w:hAnsi="宋体" w:eastAsia="宋体" w:cs="宋体"/>
          <w:color w:val="auto"/>
          <w:spacing w:val="-1"/>
          <w:sz w:val="24"/>
          <w:szCs w:val="24"/>
          <w:highlight w:val="none"/>
        </w:rPr>
        <w:t>对任何因双方擅自变更合同引起的问题市政府采购中心概不负责，合同风险由双方自行承</w:t>
      </w:r>
      <w:r>
        <w:rPr>
          <w:rFonts w:hint="eastAsia" w:ascii="宋体" w:hAnsi="宋体" w:eastAsia="宋体" w:cs="宋体"/>
          <w:color w:val="auto"/>
          <w:spacing w:val="-2"/>
          <w:sz w:val="24"/>
          <w:szCs w:val="24"/>
          <w:highlight w:val="none"/>
        </w:rPr>
        <w:t>担。</w:t>
      </w:r>
    </w:p>
    <w:p w14:paraId="63FD00BE">
      <w:pPr>
        <w:spacing w:before="33" w:line="360" w:lineRule="auto"/>
        <w:ind w:firstLine="486"/>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6、本合同一式份，甲乙双方各执份；由甲方报送县采购科一份。</w:t>
      </w:r>
    </w:p>
    <w:p w14:paraId="33CBC166">
      <w:pPr>
        <w:spacing w:before="33" w:line="360" w:lineRule="auto"/>
        <w:ind w:firstLine="486"/>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第十一条下列关于采购文件及有关附件是本合同不可分割的组成部分，与本合同具有同等法律效力，这些文件包括但不限于：</w:t>
      </w:r>
    </w:p>
    <w:p w14:paraId="35E4C15F">
      <w:pPr>
        <w:spacing w:before="33" w:line="360" w:lineRule="auto"/>
        <w:ind w:firstLine="486"/>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r>
        <w:rPr>
          <w:rFonts w:hint="eastAsia" w:ascii="宋体" w:hAnsi="宋体" w:cs="宋体"/>
          <w:color w:val="auto"/>
          <w:spacing w:val="-6"/>
          <w:sz w:val="24"/>
          <w:szCs w:val="24"/>
          <w:highlight w:val="none"/>
        </w:rPr>
        <w:t>磋商</w:t>
      </w:r>
      <w:r>
        <w:rPr>
          <w:rFonts w:hint="eastAsia" w:ascii="宋体" w:hAnsi="宋体" w:eastAsia="宋体" w:cs="宋体"/>
          <w:color w:val="auto"/>
          <w:spacing w:val="-6"/>
          <w:sz w:val="24"/>
          <w:szCs w:val="24"/>
          <w:highlight w:val="none"/>
        </w:rPr>
        <w:t>文件（2）乙方提供的响应文件（3）服务承诺；（4）甲乙双方商定的其他文件。以上附件顺序在前的具有优先解释权。</w:t>
      </w:r>
    </w:p>
    <w:p w14:paraId="2EEDBF62">
      <w:pPr>
        <w:spacing w:before="72" w:line="360" w:lineRule="auto"/>
        <w:rPr>
          <w:rFonts w:ascii="宋体" w:hAnsi="宋体" w:eastAsia="宋体" w:cs="宋体"/>
          <w:color w:val="auto"/>
          <w:spacing w:val="-1"/>
          <w:sz w:val="24"/>
          <w:szCs w:val="24"/>
          <w:highlight w:val="none"/>
        </w:rPr>
      </w:pPr>
    </w:p>
    <w:p w14:paraId="0A981881">
      <w:pPr>
        <w:spacing w:before="72" w:line="360" w:lineRule="auto"/>
        <w:ind w:left="48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采购人（甲方</w:t>
      </w:r>
      <w:r>
        <w:rPr>
          <w:rFonts w:hint="eastAsia" w:ascii="宋体" w:hAnsi="宋体" w:eastAsia="宋体" w:cs="宋体"/>
          <w:color w:val="auto"/>
          <w:sz w:val="24"/>
          <w:szCs w:val="24"/>
          <w:highlight w:val="none"/>
        </w:rPr>
        <w:t>）：    （</w:t>
      </w:r>
      <w:r>
        <w:rPr>
          <w:rFonts w:hint="eastAsia" w:ascii="宋体" w:hAnsi="宋体" w:eastAsia="宋体" w:cs="宋体"/>
          <w:color w:val="auto"/>
          <w:spacing w:val="-1"/>
          <w:sz w:val="24"/>
          <w:szCs w:val="24"/>
          <w:highlight w:val="none"/>
        </w:rPr>
        <w:t>公章）   供应商（乙方</w:t>
      </w:r>
      <w:r>
        <w:rPr>
          <w:rFonts w:hint="eastAsia" w:ascii="宋体" w:hAnsi="宋体" w:eastAsia="宋体" w:cs="宋体"/>
          <w:color w:val="auto"/>
          <w:sz w:val="24"/>
          <w:szCs w:val="24"/>
          <w:highlight w:val="none"/>
        </w:rPr>
        <w:t>）： （</w:t>
      </w:r>
      <w:r>
        <w:rPr>
          <w:rFonts w:hint="eastAsia" w:ascii="宋体" w:hAnsi="宋体" w:eastAsia="宋体" w:cs="宋体"/>
          <w:color w:val="auto"/>
          <w:spacing w:val="-1"/>
          <w:sz w:val="24"/>
          <w:szCs w:val="24"/>
          <w:highlight w:val="none"/>
        </w:rPr>
        <w:t>公章）</w:t>
      </w:r>
    </w:p>
    <w:p w14:paraId="47D7F444">
      <w:pPr>
        <w:spacing w:before="183" w:line="360" w:lineRule="auto"/>
        <w:ind w:left="481"/>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地址：                         </w:t>
      </w:r>
      <w:r>
        <w:rPr>
          <w:rFonts w:hint="eastAsia" w:ascii="宋体" w:hAnsi="宋体" w:eastAsia="宋体" w:cs="宋体"/>
          <w:color w:val="auto"/>
          <w:spacing w:val="-6"/>
          <w:sz w:val="24"/>
          <w:szCs w:val="24"/>
          <w:highlight w:val="none"/>
        </w:rPr>
        <w:t xml:space="preserve"> 地址：</w:t>
      </w:r>
    </w:p>
    <w:p w14:paraId="42068CB9">
      <w:pPr>
        <w:spacing w:before="167" w:line="360" w:lineRule="auto"/>
        <w:ind w:left="482"/>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法定代表人：法定代表人：</w:t>
      </w:r>
    </w:p>
    <w:p w14:paraId="23ED8B9B">
      <w:pPr>
        <w:spacing w:before="182" w:line="360" w:lineRule="auto"/>
        <w:ind w:left="48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委托代理人：委托代理人：</w:t>
      </w:r>
    </w:p>
    <w:p w14:paraId="7DAA267D">
      <w:pPr>
        <w:spacing w:before="181" w:line="360" w:lineRule="auto"/>
        <w:ind w:left="509"/>
        <w:rPr>
          <w:rFonts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 xml:space="preserve">电话：                        </w:t>
      </w:r>
      <w:r>
        <w:rPr>
          <w:rFonts w:hint="eastAsia" w:ascii="宋体" w:hAnsi="宋体" w:eastAsia="宋体" w:cs="宋体"/>
          <w:color w:val="auto"/>
          <w:spacing w:val="-10"/>
          <w:sz w:val="24"/>
          <w:szCs w:val="24"/>
          <w:highlight w:val="none"/>
        </w:rPr>
        <w:t xml:space="preserve"> 电话：</w:t>
      </w:r>
    </w:p>
    <w:p w14:paraId="5AF89F01">
      <w:pPr>
        <w:spacing w:before="180" w:line="360" w:lineRule="auto"/>
        <w:ind w:left="482"/>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开户银行：开户银行：</w:t>
      </w:r>
    </w:p>
    <w:p w14:paraId="53310D0C">
      <w:pPr>
        <w:spacing w:before="179" w:line="360" w:lineRule="auto"/>
        <w:ind w:left="485"/>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账号：                      </w:t>
      </w:r>
      <w:r>
        <w:rPr>
          <w:rFonts w:hint="eastAsia" w:ascii="宋体" w:hAnsi="宋体" w:eastAsia="宋体" w:cs="宋体"/>
          <w:color w:val="auto"/>
          <w:spacing w:val="-6"/>
          <w:sz w:val="24"/>
          <w:szCs w:val="24"/>
          <w:highlight w:val="none"/>
        </w:rPr>
        <w:t>账号：</w:t>
      </w:r>
    </w:p>
    <w:p w14:paraId="5C3A8CF9">
      <w:pPr>
        <w:spacing w:before="180" w:line="360" w:lineRule="auto"/>
        <w:ind w:left="482" w:firstLine="468" w:firstLineChars="200"/>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年月日年月日</w:t>
      </w:r>
    </w:p>
    <w:p w14:paraId="5D3EFD03">
      <w:pPr>
        <w:spacing w:line="520" w:lineRule="exact"/>
        <w:rPr>
          <w:rFonts w:ascii="宋体" w:hAnsi="宋体" w:cs="宋体"/>
          <w:b/>
          <w:bCs/>
          <w:color w:val="auto"/>
          <w:sz w:val="24"/>
          <w:szCs w:val="24"/>
          <w:highlight w:val="none"/>
        </w:rPr>
      </w:pPr>
    </w:p>
    <w:p w14:paraId="2940A2B6">
      <w:pPr>
        <w:widowControl/>
        <w:jc w:val="center"/>
        <w:outlineLvl w:val="0"/>
        <w:rPr>
          <w:rFonts w:hint="eastAsia" w:ascii="宋体" w:hAnsi="宋体" w:eastAsia="宋体"/>
          <w:b/>
          <w:bCs/>
          <w:color w:val="auto"/>
          <w:sz w:val="32"/>
          <w:szCs w:val="32"/>
          <w:highlight w:val="none"/>
          <w:lang w:val="en-US"/>
        </w:rPr>
      </w:pPr>
      <w:r>
        <w:rPr>
          <w:rFonts w:ascii="宋体" w:hAnsi="宋体" w:eastAsia="宋体"/>
          <w:b/>
          <w:color w:val="auto"/>
          <w:sz w:val="30"/>
          <w:szCs w:val="30"/>
          <w:highlight w:val="none"/>
        </w:rPr>
        <w:br w:type="page"/>
      </w:r>
      <w:bookmarkStart w:id="156" w:name="_Toc351203633"/>
      <w:bookmarkEnd w:id="156"/>
      <w:bookmarkStart w:id="157" w:name="_Toc10941"/>
      <w:bookmarkStart w:id="158" w:name="_Toc30457"/>
      <w:r>
        <w:rPr>
          <w:rFonts w:hint="eastAsia" w:ascii="宋体" w:hAnsi="宋体" w:eastAsia="宋体"/>
          <w:b/>
          <w:bCs/>
          <w:color w:val="auto"/>
          <w:sz w:val="32"/>
          <w:szCs w:val="32"/>
          <w:highlight w:val="none"/>
        </w:rPr>
        <w:t xml:space="preserve">第五章  </w:t>
      </w:r>
      <w:bookmarkEnd w:id="157"/>
      <w:bookmarkEnd w:id="158"/>
      <w:r>
        <w:rPr>
          <w:rFonts w:hint="eastAsia" w:ascii="宋体" w:hAnsi="宋体" w:eastAsia="宋体"/>
          <w:b/>
          <w:bCs/>
          <w:color w:val="auto"/>
          <w:sz w:val="32"/>
          <w:szCs w:val="32"/>
          <w:highlight w:val="none"/>
        </w:rPr>
        <w:t xml:space="preserve"> </w:t>
      </w:r>
      <w:r>
        <w:rPr>
          <w:rFonts w:hint="eastAsia" w:ascii="宋体" w:hAnsi="宋体" w:eastAsia="宋体"/>
          <w:b/>
          <w:bCs/>
          <w:color w:val="auto"/>
          <w:sz w:val="32"/>
          <w:szCs w:val="32"/>
          <w:highlight w:val="none"/>
          <w:lang w:eastAsia="zh-CN"/>
        </w:rPr>
        <w:t>服务内容</w:t>
      </w:r>
      <w:r>
        <w:rPr>
          <w:rFonts w:hint="eastAsia" w:ascii="宋体" w:hAnsi="宋体" w:eastAsia="宋体"/>
          <w:b/>
          <w:bCs/>
          <w:color w:val="auto"/>
          <w:sz w:val="32"/>
          <w:szCs w:val="32"/>
          <w:highlight w:val="none"/>
          <w:lang w:val="en-US" w:eastAsia="zh-CN"/>
        </w:rPr>
        <w:t>及技术要求</w:t>
      </w:r>
    </w:p>
    <w:p w14:paraId="6D72B2B6">
      <w:pPr>
        <w:widowControl/>
        <w:jc w:val="both"/>
        <w:outlineLvl w:val="0"/>
        <w:rPr>
          <w:rFonts w:ascii="宋体" w:hAnsi="宋体" w:eastAsia="宋体" w:cs="Times New Roman"/>
          <w:b/>
          <w:bCs/>
          <w:color w:val="auto"/>
          <w:sz w:val="36"/>
          <w:szCs w:val="36"/>
          <w:highlight w:val="none"/>
        </w:rPr>
      </w:pPr>
    </w:p>
    <w:p w14:paraId="7A428F46">
      <w:pPr>
        <w:pStyle w:val="3"/>
        <w:spacing w:before="5"/>
        <w:ind w:left="0"/>
        <w:rPr>
          <w:b/>
          <w:color w:val="auto"/>
          <w:sz w:val="35"/>
          <w:highlight w:val="none"/>
          <w:lang w:eastAsia="zh-CN"/>
        </w:rPr>
      </w:pPr>
    </w:p>
    <w:p w14:paraId="4236E837">
      <w:pPr>
        <w:spacing w:line="360" w:lineRule="auto"/>
        <w:ind w:firstLine="562" w:firstLineChars="200"/>
        <w:rPr>
          <w:rFonts w:asciiTheme="minorEastAsia" w:hAnsiTheme="minorEastAsia"/>
          <w:color w:val="auto"/>
          <w:sz w:val="28"/>
          <w:szCs w:val="28"/>
          <w:highlight w:val="none"/>
          <w:lang w:eastAsia="zh-CN"/>
        </w:rPr>
      </w:pPr>
      <w:r>
        <w:rPr>
          <w:rFonts w:hint="eastAsia" w:asciiTheme="minorEastAsia" w:hAnsiTheme="minorEastAsia"/>
          <w:b/>
          <w:color w:val="auto"/>
          <w:sz w:val="28"/>
          <w:szCs w:val="28"/>
          <w:highlight w:val="none"/>
          <w:lang w:eastAsia="zh-CN"/>
        </w:rPr>
        <w:t>项目概况</w:t>
      </w:r>
      <w:r>
        <w:rPr>
          <w:rFonts w:hint="eastAsia" w:asciiTheme="minorEastAsia" w:hAnsiTheme="minorEastAsia"/>
          <w:color w:val="auto"/>
          <w:sz w:val="28"/>
          <w:szCs w:val="28"/>
          <w:highlight w:val="none"/>
          <w:lang w:eastAsia="zh-CN"/>
        </w:rPr>
        <w:t>：</w:t>
      </w:r>
      <w:r>
        <w:rPr>
          <w:rFonts w:hint="eastAsia" w:ascii="宋体" w:hAnsi="宋体" w:eastAsia="宋体" w:cs="宋体"/>
          <w:color w:val="auto"/>
          <w:kern w:val="0"/>
          <w:sz w:val="24"/>
          <w:szCs w:val="24"/>
          <w:highlight w:val="none"/>
          <w:lang w:eastAsia="zh-CN"/>
        </w:rPr>
        <w:t>渑</w:t>
      </w:r>
      <w:r>
        <w:rPr>
          <w:rFonts w:hint="eastAsia" w:asciiTheme="minorEastAsia" w:hAnsiTheme="minorEastAsia"/>
          <w:color w:val="auto"/>
          <w:sz w:val="28"/>
          <w:szCs w:val="28"/>
          <w:highlight w:val="none"/>
          <w:lang w:eastAsia="zh-CN"/>
        </w:rPr>
        <w:t>池县2024年日常及年度国土变更调查</w:t>
      </w:r>
      <w:r>
        <w:rPr>
          <w:rFonts w:hint="eastAsia" w:asciiTheme="minorEastAsia" w:hAnsiTheme="minorEastAsia"/>
          <w:color w:val="auto"/>
          <w:sz w:val="28"/>
          <w:szCs w:val="28"/>
          <w:highlight w:val="none"/>
          <w:lang w:val="en-US" w:eastAsia="zh-CN"/>
        </w:rPr>
        <w:t>项目</w:t>
      </w:r>
      <w:r>
        <w:rPr>
          <w:rFonts w:hint="eastAsia" w:asciiTheme="minorEastAsia" w:hAnsiTheme="minorEastAsia"/>
          <w:color w:val="auto"/>
          <w:sz w:val="28"/>
          <w:szCs w:val="28"/>
          <w:highlight w:val="none"/>
          <w:lang w:eastAsia="zh-CN"/>
        </w:rPr>
        <w:t>，准确掌握</w:t>
      </w:r>
      <w:r>
        <w:rPr>
          <w:rFonts w:hint="eastAsia" w:asciiTheme="minorEastAsia" w:hAnsiTheme="minorEastAsia"/>
          <w:color w:val="auto"/>
          <w:sz w:val="28"/>
          <w:szCs w:val="28"/>
          <w:highlight w:val="none"/>
          <w:lang w:val="en-US" w:eastAsia="zh-CN"/>
        </w:rPr>
        <w:t>渑池</w:t>
      </w:r>
      <w:r>
        <w:rPr>
          <w:rFonts w:hint="eastAsia" w:asciiTheme="minorEastAsia" w:hAnsiTheme="minorEastAsia"/>
          <w:color w:val="auto"/>
          <w:sz w:val="28"/>
          <w:szCs w:val="28"/>
          <w:highlight w:val="none"/>
          <w:lang w:eastAsia="zh-CN"/>
        </w:rPr>
        <w:t>县 202</w:t>
      </w:r>
      <w:r>
        <w:rPr>
          <w:rFonts w:hint="eastAsia" w:asciiTheme="minorEastAsia" w:hAnsiTheme="minorEastAsia"/>
          <w:color w:val="auto"/>
          <w:sz w:val="28"/>
          <w:szCs w:val="28"/>
          <w:highlight w:val="none"/>
          <w:lang w:val="en-US" w:eastAsia="zh-CN"/>
        </w:rPr>
        <w:t>4</w:t>
      </w:r>
      <w:r>
        <w:rPr>
          <w:rFonts w:hint="eastAsia" w:asciiTheme="minorEastAsia" w:hAnsiTheme="minorEastAsia"/>
          <w:color w:val="auto"/>
          <w:sz w:val="28"/>
          <w:szCs w:val="28"/>
          <w:highlight w:val="none"/>
          <w:lang w:eastAsia="zh-CN"/>
        </w:rPr>
        <w:t xml:space="preserve"> 度国土利用变化情况，按时保质保量完成国家下达的国土变更调查任务。</w:t>
      </w:r>
    </w:p>
    <w:p w14:paraId="37E70E6E">
      <w:pPr>
        <w:spacing w:line="360" w:lineRule="auto"/>
        <w:ind w:firstLine="562" w:firstLineChars="200"/>
        <w:rPr>
          <w:rFonts w:asciiTheme="minorEastAsia" w:hAnsiTheme="minorEastAsia"/>
          <w:b/>
          <w:color w:val="auto"/>
          <w:sz w:val="28"/>
          <w:szCs w:val="28"/>
          <w:highlight w:val="none"/>
          <w:lang w:eastAsia="zh-CN"/>
        </w:rPr>
      </w:pPr>
      <w:r>
        <w:rPr>
          <w:rFonts w:hint="eastAsia" w:asciiTheme="minorEastAsia" w:hAnsiTheme="minorEastAsia"/>
          <w:b/>
          <w:color w:val="auto"/>
          <w:sz w:val="28"/>
          <w:szCs w:val="28"/>
          <w:highlight w:val="none"/>
          <w:lang w:eastAsia="zh-CN"/>
        </w:rPr>
        <w:t>服务内容：</w:t>
      </w:r>
    </w:p>
    <w:p w14:paraId="3C0C45DA">
      <w:pPr>
        <w:spacing w:line="360" w:lineRule="auto"/>
        <w:ind w:firstLine="560" w:firstLineChars="200"/>
        <w:rPr>
          <w:rFonts w:asciiTheme="minorEastAsia" w:hAnsiTheme="minorEastAsia"/>
          <w:color w:val="auto"/>
          <w:sz w:val="28"/>
          <w:szCs w:val="28"/>
          <w:highlight w:val="none"/>
          <w:lang w:eastAsia="zh-CN"/>
        </w:rPr>
      </w:pPr>
      <w:r>
        <w:rPr>
          <w:rFonts w:hint="eastAsia" w:asciiTheme="minorEastAsia" w:hAnsiTheme="minorEastAsia"/>
          <w:color w:val="auto"/>
          <w:sz w:val="28"/>
          <w:szCs w:val="28"/>
          <w:highlight w:val="none"/>
          <w:lang w:eastAsia="zh-CN"/>
        </w:rPr>
        <w:t>（一）年度变更。做好</w:t>
      </w:r>
      <w:r>
        <w:rPr>
          <w:rFonts w:hint="eastAsia" w:asciiTheme="minorEastAsia" w:hAnsiTheme="minorEastAsia"/>
          <w:color w:val="auto"/>
          <w:sz w:val="28"/>
          <w:szCs w:val="28"/>
          <w:highlight w:val="none"/>
          <w:lang w:val="en-US" w:eastAsia="zh-CN"/>
        </w:rPr>
        <w:t>渑池</w:t>
      </w:r>
      <w:r>
        <w:rPr>
          <w:rFonts w:hint="eastAsia" w:asciiTheme="minorEastAsia" w:hAnsiTheme="minorEastAsia"/>
          <w:color w:val="auto"/>
          <w:sz w:val="28"/>
          <w:szCs w:val="28"/>
          <w:highlight w:val="none"/>
          <w:lang w:eastAsia="zh-CN"/>
        </w:rPr>
        <w:t>县202</w:t>
      </w:r>
      <w:r>
        <w:rPr>
          <w:rFonts w:hint="eastAsia" w:asciiTheme="minorEastAsia" w:hAnsiTheme="minorEastAsia"/>
          <w:color w:val="auto"/>
          <w:sz w:val="28"/>
          <w:szCs w:val="28"/>
          <w:highlight w:val="none"/>
          <w:lang w:val="en-US" w:eastAsia="zh-CN"/>
        </w:rPr>
        <w:t>4</w:t>
      </w:r>
      <w:r>
        <w:rPr>
          <w:rFonts w:hint="eastAsia" w:asciiTheme="minorEastAsia" w:hAnsiTheme="minorEastAsia"/>
          <w:color w:val="auto"/>
          <w:sz w:val="28"/>
          <w:szCs w:val="28"/>
          <w:highlight w:val="none"/>
          <w:lang w:eastAsia="zh-CN"/>
        </w:rPr>
        <w:t>年度国土变更调查项目外业实地举证、内业平台填报、数据上图、自检和数据库建库、质检工作，并对本区域国土变更调查成果的真实性负责；全面掌握202</w:t>
      </w:r>
      <w:r>
        <w:rPr>
          <w:rFonts w:hint="eastAsia" w:asciiTheme="minorEastAsia" w:hAnsiTheme="minorEastAsia"/>
          <w:color w:val="auto"/>
          <w:sz w:val="28"/>
          <w:szCs w:val="28"/>
          <w:highlight w:val="none"/>
          <w:lang w:val="en-US" w:eastAsia="zh-CN"/>
        </w:rPr>
        <w:t>4</w:t>
      </w:r>
      <w:r>
        <w:rPr>
          <w:rFonts w:hint="eastAsia" w:asciiTheme="minorEastAsia" w:hAnsiTheme="minorEastAsia"/>
          <w:color w:val="auto"/>
          <w:sz w:val="28"/>
          <w:szCs w:val="28"/>
          <w:highlight w:val="none"/>
          <w:lang w:eastAsia="zh-CN"/>
        </w:rPr>
        <w:t>年度地类、面积属性及相关相关单独图层信息的变化，更新县级国土调查数据库，形成年度国土变更调查成果，并积极落实对上级自然资源主管部门审核结果的整改等工作；</w:t>
      </w:r>
    </w:p>
    <w:p w14:paraId="7CD2D74B">
      <w:pPr>
        <w:spacing w:line="360" w:lineRule="auto"/>
        <w:ind w:firstLine="560" w:firstLineChars="200"/>
        <w:rPr>
          <w:rFonts w:asciiTheme="minorEastAsia" w:hAnsiTheme="minorEastAsia"/>
          <w:color w:val="auto"/>
          <w:sz w:val="28"/>
          <w:szCs w:val="28"/>
          <w:highlight w:val="none"/>
          <w:lang w:eastAsia="zh-CN"/>
        </w:rPr>
      </w:pPr>
      <w:r>
        <w:rPr>
          <w:rFonts w:hint="eastAsia" w:asciiTheme="minorEastAsia" w:hAnsiTheme="minorEastAsia"/>
          <w:color w:val="auto"/>
          <w:sz w:val="28"/>
          <w:szCs w:val="28"/>
          <w:highlight w:val="none"/>
          <w:lang w:eastAsia="zh-CN"/>
        </w:rPr>
        <w:t>（二）日常变更。按照年度国土变更调查有关工作要求进行，主要程序内容包括资料收集、调查举证、平台填报、矢量上图等工作。</w:t>
      </w:r>
    </w:p>
    <w:p w14:paraId="5BAEB8E9">
      <w:pPr>
        <w:spacing w:line="360" w:lineRule="auto"/>
        <w:ind w:firstLine="562" w:firstLineChars="200"/>
        <w:rPr>
          <w:rFonts w:asciiTheme="minorEastAsia" w:hAnsiTheme="minorEastAsia"/>
          <w:color w:val="auto"/>
          <w:sz w:val="28"/>
          <w:szCs w:val="28"/>
          <w:highlight w:val="none"/>
          <w:lang w:eastAsia="zh-CN"/>
        </w:rPr>
      </w:pPr>
      <w:r>
        <w:rPr>
          <w:rFonts w:hint="eastAsia" w:asciiTheme="minorEastAsia" w:hAnsiTheme="minorEastAsia"/>
          <w:b/>
          <w:color w:val="auto"/>
          <w:sz w:val="28"/>
          <w:szCs w:val="28"/>
          <w:highlight w:val="none"/>
          <w:lang w:eastAsia="zh-CN"/>
        </w:rPr>
        <w:t>质量要求：</w:t>
      </w:r>
      <w:r>
        <w:rPr>
          <w:rFonts w:hint="eastAsia" w:asciiTheme="minorEastAsia" w:hAnsiTheme="minorEastAsia"/>
          <w:color w:val="auto"/>
          <w:sz w:val="28"/>
          <w:szCs w:val="28"/>
          <w:highlight w:val="none"/>
          <w:lang w:eastAsia="zh-CN"/>
        </w:rPr>
        <w:t>合格，符合国家相关规定及行业标准要求。</w:t>
      </w:r>
    </w:p>
    <w:p w14:paraId="2EF6468F">
      <w:pPr>
        <w:spacing w:line="360" w:lineRule="auto"/>
        <w:ind w:firstLine="560" w:firstLineChars="200"/>
        <w:rPr>
          <w:rFonts w:hint="eastAsia" w:asciiTheme="minorEastAsia" w:hAnsiTheme="minorEastAsia"/>
          <w:color w:val="auto"/>
          <w:sz w:val="28"/>
          <w:szCs w:val="28"/>
          <w:highlight w:val="none"/>
          <w:lang w:eastAsia="zh-CN"/>
        </w:rPr>
      </w:pPr>
      <w:r>
        <w:rPr>
          <w:rFonts w:hint="eastAsia" w:asciiTheme="minorEastAsia" w:hAnsiTheme="minorEastAsia"/>
          <w:color w:val="auto"/>
          <w:sz w:val="28"/>
          <w:szCs w:val="28"/>
          <w:highlight w:val="none"/>
          <w:lang w:eastAsia="zh-CN"/>
        </w:rPr>
        <w:t>服务周期：合同签订后服务至</w:t>
      </w:r>
      <w:r>
        <w:rPr>
          <w:rFonts w:hint="eastAsia" w:asciiTheme="minorEastAsia" w:hAnsiTheme="minorEastAsia"/>
          <w:color w:val="auto"/>
          <w:sz w:val="28"/>
          <w:szCs w:val="28"/>
          <w:highlight w:val="none"/>
          <w:lang w:val="en-US" w:eastAsia="zh-CN"/>
        </w:rPr>
        <w:t>成果验收通过</w:t>
      </w:r>
    </w:p>
    <w:p w14:paraId="123293A5">
      <w:pPr>
        <w:spacing w:line="360" w:lineRule="auto"/>
        <w:ind w:firstLine="562" w:firstLineChars="200"/>
        <w:rPr>
          <w:rFonts w:cs="微软雅黑" w:asciiTheme="minorEastAsia" w:hAnsiTheme="minorEastAsia"/>
          <w:color w:val="auto"/>
          <w:sz w:val="28"/>
          <w:szCs w:val="28"/>
          <w:highlight w:val="none"/>
          <w:lang w:eastAsia="zh-CN"/>
        </w:rPr>
      </w:pPr>
      <w:r>
        <w:rPr>
          <w:rFonts w:hint="eastAsia" w:asciiTheme="minorEastAsia" w:hAnsiTheme="minorEastAsia"/>
          <w:b/>
          <w:color w:val="auto"/>
          <w:sz w:val="28"/>
          <w:szCs w:val="28"/>
          <w:highlight w:val="none"/>
          <w:lang w:eastAsia="zh-CN"/>
        </w:rPr>
        <w:t>资质要求：</w:t>
      </w:r>
    </w:p>
    <w:p w14:paraId="5773DAAC">
      <w:pPr>
        <w:spacing w:line="360" w:lineRule="auto"/>
        <w:ind w:firstLine="560" w:firstLineChars="200"/>
        <w:rPr>
          <w:color w:val="auto"/>
          <w:highlight w:val="none"/>
          <w:lang w:eastAsia="zh-CN"/>
        </w:rPr>
        <w:sectPr>
          <w:pgSz w:w="11910" w:h="16840"/>
          <w:pgMar w:top="1440" w:right="1080" w:bottom="1440" w:left="1080" w:header="0" w:footer="909" w:gutter="0"/>
          <w:cols w:space="720" w:num="1"/>
          <w:docGrid w:linePitch="299" w:charSpace="0"/>
        </w:sectPr>
      </w:pPr>
      <w:r>
        <w:rPr>
          <w:rFonts w:hint="eastAsia" w:asciiTheme="minorEastAsia" w:hAnsiTheme="minorEastAsia"/>
          <w:color w:val="auto"/>
          <w:sz w:val="28"/>
          <w:szCs w:val="28"/>
          <w:highlight w:val="none"/>
          <w:lang w:val="en-US" w:eastAsia="zh-CN"/>
        </w:rPr>
        <w:t>供</w:t>
      </w:r>
      <w:r>
        <w:rPr>
          <w:rFonts w:hint="eastAsia" w:asciiTheme="minorEastAsia" w:hAnsiTheme="minorEastAsia"/>
          <w:color w:val="auto"/>
          <w:sz w:val="28"/>
          <w:szCs w:val="28"/>
          <w:highlight w:val="none"/>
          <w:lang w:eastAsia="zh-CN"/>
        </w:rPr>
        <w:t>应商须具备测绘乙级或以上资质；</w:t>
      </w:r>
    </w:p>
    <w:p w14:paraId="3E91AF07">
      <w:pPr>
        <w:widowControl/>
        <w:jc w:val="center"/>
        <w:outlineLvl w:val="0"/>
        <w:rPr>
          <w:rFonts w:hint="eastAsia" w:ascii="宋体" w:hAnsi="宋体" w:eastAsia="宋体" w:cs="Times New Roman"/>
          <w:b/>
          <w:bCs/>
          <w:color w:val="auto"/>
          <w:sz w:val="32"/>
          <w:szCs w:val="32"/>
          <w:highlight w:val="none"/>
        </w:rPr>
      </w:pPr>
      <w:bookmarkStart w:id="159" w:name="_Toc21"/>
      <w:r>
        <w:rPr>
          <w:rFonts w:hint="eastAsia" w:ascii="宋体" w:hAnsi="宋体" w:eastAsia="宋体" w:cs="Times New Roman"/>
          <w:b/>
          <w:bCs/>
          <w:color w:val="auto"/>
          <w:sz w:val="32"/>
          <w:szCs w:val="32"/>
          <w:highlight w:val="none"/>
          <w:lang w:val="en-US" w:eastAsia="zh-CN"/>
        </w:rPr>
        <w:t xml:space="preserve">第六章 </w:t>
      </w:r>
      <w:bookmarkEnd w:id="159"/>
      <w:bookmarkStart w:id="160" w:name="_Toc1125"/>
      <w:bookmarkStart w:id="161" w:name="_Toc7917"/>
      <w:r>
        <w:rPr>
          <w:rFonts w:hint="eastAsia" w:ascii="宋体" w:hAnsi="宋体" w:eastAsia="宋体" w:cs="Times New Roman"/>
          <w:b/>
          <w:bCs/>
          <w:color w:val="auto"/>
          <w:sz w:val="32"/>
          <w:szCs w:val="32"/>
          <w:highlight w:val="none"/>
        </w:rPr>
        <w:t>响应文件格式</w:t>
      </w:r>
      <w:bookmarkEnd w:id="160"/>
      <w:bookmarkEnd w:id="161"/>
    </w:p>
    <w:p w14:paraId="21AE98FF">
      <w:pPr>
        <w:jc w:val="center"/>
        <w:rPr>
          <w:rFonts w:ascii="宋体" w:hAnsi="宋体" w:eastAsia="宋体"/>
          <w:color w:val="auto"/>
          <w:sz w:val="28"/>
          <w:szCs w:val="28"/>
          <w:highlight w:val="none"/>
          <w:u w:val="single"/>
        </w:rPr>
      </w:pPr>
    </w:p>
    <w:p w14:paraId="0A711361">
      <w:pPr>
        <w:jc w:val="center"/>
        <w:rPr>
          <w:rFonts w:ascii="宋体" w:hAnsi="宋体" w:eastAsia="宋体"/>
          <w:color w:val="auto"/>
          <w:sz w:val="28"/>
          <w:szCs w:val="28"/>
          <w:highlight w:val="none"/>
          <w:u w:val="single"/>
        </w:rPr>
      </w:pPr>
    </w:p>
    <w:p w14:paraId="50FB7322">
      <w:pPr>
        <w:jc w:val="center"/>
        <w:rPr>
          <w:rFonts w:ascii="宋体" w:hAnsi="宋体" w:eastAsia="宋体"/>
          <w:color w:val="auto"/>
          <w:sz w:val="28"/>
          <w:szCs w:val="28"/>
          <w:highlight w:val="none"/>
          <w:u w:val="single"/>
        </w:rPr>
      </w:pPr>
    </w:p>
    <w:p w14:paraId="6C95296C">
      <w:pPr>
        <w:spacing w:line="364" w:lineRule="auto"/>
        <w:jc w:val="center"/>
        <w:rPr>
          <w:rFonts w:hint="default"/>
          <w:b/>
          <w:color w:val="auto"/>
          <w:sz w:val="32"/>
          <w:highlight w:val="none"/>
          <w:u w:val="single"/>
          <w:lang w:val="en-US" w:eastAsia="zh-CN"/>
        </w:rPr>
      </w:pPr>
      <w:r>
        <w:rPr>
          <w:b/>
          <w:color w:val="auto"/>
          <w:sz w:val="32"/>
          <w:highlight w:val="none"/>
          <w:lang w:eastAsia="zh-CN"/>
        </w:rPr>
        <w:t>项目名称</w:t>
      </w:r>
      <w:r>
        <w:rPr>
          <w:rFonts w:hint="eastAsia"/>
          <w:b/>
          <w:color w:val="auto"/>
          <w:sz w:val="32"/>
          <w:highlight w:val="none"/>
          <w:lang w:eastAsia="zh-CN"/>
        </w:rPr>
        <w:t>：</w:t>
      </w:r>
      <w:r>
        <w:rPr>
          <w:rFonts w:hint="eastAsia"/>
          <w:b/>
          <w:color w:val="auto"/>
          <w:sz w:val="32"/>
          <w:highlight w:val="none"/>
          <w:u w:val="single"/>
          <w:lang w:val="en-US" w:eastAsia="zh-CN"/>
        </w:rPr>
        <w:t xml:space="preserve">        </w:t>
      </w:r>
    </w:p>
    <w:p w14:paraId="6C44AE07">
      <w:pPr>
        <w:spacing w:line="364" w:lineRule="auto"/>
        <w:jc w:val="center"/>
        <w:rPr>
          <w:rFonts w:hint="default"/>
          <w:b/>
          <w:color w:val="auto"/>
          <w:sz w:val="32"/>
          <w:highlight w:val="none"/>
          <w:u w:val="single"/>
          <w:lang w:val="en-US" w:eastAsia="zh-CN"/>
        </w:rPr>
      </w:pPr>
      <w:r>
        <w:rPr>
          <w:b/>
          <w:color w:val="auto"/>
          <w:sz w:val="32"/>
          <w:highlight w:val="none"/>
          <w:lang w:eastAsia="zh-CN"/>
        </w:rPr>
        <w:t>项目编号：</w:t>
      </w:r>
      <w:r>
        <w:rPr>
          <w:rFonts w:hint="eastAsia"/>
          <w:b/>
          <w:color w:val="auto"/>
          <w:sz w:val="32"/>
          <w:highlight w:val="none"/>
          <w:u w:val="single"/>
          <w:lang w:val="en-US" w:eastAsia="zh-CN"/>
        </w:rPr>
        <w:t xml:space="preserve">         </w:t>
      </w:r>
    </w:p>
    <w:p w14:paraId="16737A44">
      <w:pPr>
        <w:pStyle w:val="3"/>
        <w:spacing w:before="11"/>
        <w:ind w:left="0"/>
        <w:rPr>
          <w:b/>
          <w:color w:val="auto"/>
          <w:sz w:val="40"/>
          <w:highlight w:val="none"/>
          <w:lang w:eastAsia="zh-CN"/>
        </w:rPr>
      </w:pPr>
    </w:p>
    <w:p w14:paraId="711BE524">
      <w:pPr>
        <w:ind w:left="530" w:right="532"/>
        <w:jc w:val="center"/>
        <w:rPr>
          <w:b/>
          <w:color w:val="auto"/>
          <w:sz w:val="72"/>
          <w:highlight w:val="none"/>
          <w:lang w:eastAsia="zh-CN"/>
        </w:rPr>
      </w:pPr>
      <w:r>
        <w:rPr>
          <w:b/>
          <w:color w:val="auto"/>
          <w:sz w:val="72"/>
          <w:highlight w:val="none"/>
          <w:lang w:eastAsia="zh-CN"/>
        </w:rPr>
        <w:t>响 应 文 件</w:t>
      </w:r>
    </w:p>
    <w:p w14:paraId="34DD3A76">
      <w:pPr>
        <w:pStyle w:val="3"/>
        <w:ind w:left="0"/>
        <w:rPr>
          <w:b/>
          <w:color w:val="auto"/>
          <w:sz w:val="72"/>
          <w:highlight w:val="none"/>
          <w:lang w:eastAsia="zh-CN"/>
        </w:rPr>
      </w:pPr>
    </w:p>
    <w:p w14:paraId="7EE6594E">
      <w:pPr>
        <w:pStyle w:val="3"/>
        <w:ind w:left="0"/>
        <w:rPr>
          <w:b/>
          <w:color w:val="auto"/>
          <w:sz w:val="72"/>
          <w:highlight w:val="none"/>
          <w:lang w:eastAsia="zh-CN"/>
        </w:rPr>
      </w:pPr>
    </w:p>
    <w:p w14:paraId="71821E8E">
      <w:pPr>
        <w:pStyle w:val="3"/>
        <w:ind w:left="0"/>
        <w:rPr>
          <w:b/>
          <w:color w:val="auto"/>
          <w:sz w:val="72"/>
          <w:highlight w:val="none"/>
          <w:lang w:eastAsia="zh-CN"/>
        </w:rPr>
      </w:pPr>
    </w:p>
    <w:p w14:paraId="47BEFA11">
      <w:pPr>
        <w:pStyle w:val="3"/>
        <w:ind w:left="0"/>
        <w:rPr>
          <w:b/>
          <w:color w:val="auto"/>
          <w:sz w:val="72"/>
          <w:highlight w:val="none"/>
          <w:lang w:eastAsia="zh-CN"/>
        </w:rPr>
      </w:pPr>
    </w:p>
    <w:p w14:paraId="106786B2">
      <w:pPr>
        <w:pStyle w:val="3"/>
        <w:spacing w:before="4"/>
        <w:ind w:left="0"/>
        <w:rPr>
          <w:b/>
          <w:color w:val="auto"/>
          <w:sz w:val="88"/>
          <w:highlight w:val="none"/>
          <w:lang w:eastAsia="zh-CN"/>
        </w:rPr>
      </w:pPr>
    </w:p>
    <w:p w14:paraId="13B8B61A">
      <w:pPr>
        <w:tabs>
          <w:tab w:val="left" w:pos="6156"/>
        </w:tabs>
        <w:spacing w:line="720" w:lineRule="auto"/>
        <w:ind w:firstLine="1134"/>
        <w:jc w:val="both"/>
        <w:rPr>
          <w:b/>
          <w:color w:val="auto"/>
          <w:spacing w:val="-13"/>
          <w:sz w:val="28"/>
          <w:highlight w:val="none"/>
          <w:lang w:eastAsia="zh-CN"/>
        </w:rPr>
      </w:pPr>
      <w:r>
        <w:rPr>
          <w:b/>
          <w:color w:val="auto"/>
          <w:sz w:val="28"/>
          <w:highlight w:val="none"/>
          <w:lang w:eastAsia="zh-CN"/>
        </w:rPr>
        <w:t>供应商：</w:t>
      </w:r>
      <w:r>
        <w:rPr>
          <w:b/>
          <w:color w:val="auto"/>
          <w:sz w:val="28"/>
          <w:highlight w:val="none"/>
          <w:u w:val="single"/>
          <w:lang w:eastAsia="zh-CN"/>
        </w:rPr>
        <w:t xml:space="preserve">             </w:t>
      </w:r>
      <w:r>
        <w:rPr>
          <w:b/>
          <w:color w:val="auto"/>
          <w:sz w:val="28"/>
          <w:highlight w:val="none"/>
          <w:lang w:eastAsia="zh-CN"/>
        </w:rPr>
        <w:t>（</w:t>
      </w:r>
      <w:r>
        <w:rPr>
          <w:rFonts w:hint="eastAsia"/>
          <w:b/>
          <w:color w:val="auto"/>
          <w:sz w:val="28"/>
          <w:highlight w:val="none"/>
          <w:lang w:val="en-US" w:eastAsia="zh-CN"/>
        </w:rPr>
        <w:t>电子</w:t>
      </w:r>
      <w:r>
        <w:rPr>
          <w:b/>
          <w:color w:val="auto"/>
          <w:sz w:val="28"/>
          <w:highlight w:val="none"/>
          <w:lang w:eastAsia="zh-CN"/>
        </w:rPr>
        <w:t>签章</w:t>
      </w:r>
      <w:r>
        <w:rPr>
          <w:b/>
          <w:color w:val="auto"/>
          <w:spacing w:val="-13"/>
          <w:sz w:val="28"/>
          <w:highlight w:val="none"/>
          <w:lang w:eastAsia="zh-CN"/>
        </w:rPr>
        <w:t xml:space="preserve">） </w:t>
      </w:r>
    </w:p>
    <w:p w14:paraId="6FE57803">
      <w:pPr>
        <w:tabs>
          <w:tab w:val="left" w:pos="6156"/>
        </w:tabs>
        <w:spacing w:line="720" w:lineRule="auto"/>
        <w:ind w:firstLine="1134"/>
        <w:jc w:val="both"/>
        <w:rPr>
          <w:b/>
          <w:color w:val="auto"/>
          <w:sz w:val="28"/>
          <w:highlight w:val="none"/>
          <w:lang w:eastAsia="zh-CN"/>
        </w:rPr>
      </w:pPr>
      <w:r>
        <w:rPr>
          <w:b/>
          <w:color w:val="auto"/>
          <w:sz w:val="28"/>
          <w:highlight w:val="none"/>
          <w:lang w:eastAsia="zh-CN"/>
        </w:rPr>
        <w:t>法定代表人</w:t>
      </w:r>
      <w:r>
        <w:rPr>
          <w:b/>
          <w:color w:val="auto"/>
          <w:spacing w:val="-4"/>
          <w:sz w:val="28"/>
          <w:highlight w:val="none"/>
          <w:lang w:eastAsia="zh-CN"/>
        </w:rPr>
        <w:t>：</w:t>
      </w:r>
      <w:r>
        <w:rPr>
          <w:b/>
          <w:color w:val="auto"/>
          <w:spacing w:val="-4"/>
          <w:sz w:val="28"/>
          <w:highlight w:val="none"/>
          <w:u w:val="single"/>
          <w:lang w:eastAsia="zh-CN"/>
        </w:rPr>
        <w:t xml:space="preserve">            </w:t>
      </w:r>
      <w:r>
        <w:rPr>
          <w:b/>
          <w:color w:val="auto"/>
          <w:sz w:val="28"/>
          <w:highlight w:val="none"/>
          <w:lang w:eastAsia="zh-CN"/>
        </w:rPr>
        <w:t xml:space="preserve">（电子签章） </w:t>
      </w:r>
      <w:bookmarkStart w:id="162" w:name="日__期：_____年__月___日"/>
      <w:bookmarkEnd w:id="162"/>
    </w:p>
    <w:p w14:paraId="6FA5557F">
      <w:pPr>
        <w:tabs>
          <w:tab w:val="left" w:pos="6156"/>
        </w:tabs>
        <w:spacing w:line="720" w:lineRule="auto"/>
        <w:ind w:firstLine="1134"/>
        <w:jc w:val="both"/>
        <w:rPr>
          <w:b/>
          <w:color w:val="auto"/>
          <w:sz w:val="28"/>
          <w:highlight w:val="none"/>
          <w:lang w:eastAsia="zh-CN"/>
        </w:rPr>
      </w:pPr>
      <w:r>
        <w:rPr>
          <w:b/>
          <w:color w:val="auto"/>
          <w:sz w:val="28"/>
          <w:highlight w:val="none"/>
          <w:lang w:eastAsia="zh-CN"/>
        </w:rPr>
        <w:t>日 期 ：</w:t>
      </w:r>
      <w:r>
        <w:rPr>
          <w:b/>
          <w:color w:val="auto"/>
          <w:sz w:val="28"/>
          <w:highlight w:val="none"/>
          <w:u w:val="single"/>
          <w:lang w:eastAsia="zh-CN"/>
        </w:rPr>
        <w:t xml:space="preserve">   </w:t>
      </w:r>
      <w:r>
        <w:rPr>
          <w:rFonts w:hint="eastAsia"/>
          <w:b/>
          <w:color w:val="auto"/>
          <w:sz w:val="28"/>
          <w:highlight w:val="none"/>
          <w:u w:val="single"/>
          <w:lang w:val="en-US" w:eastAsia="zh-CN"/>
        </w:rPr>
        <w:t xml:space="preserve">  </w:t>
      </w:r>
      <w:r>
        <w:rPr>
          <w:b/>
          <w:color w:val="auto"/>
          <w:sz w:val="28"/>
          <w:highlight w:val="none"/>
          <w:u w:val="single"/>
          <w:lang w:eastAsia="zh-CN"/>
        </w:rPr>
        <w:t xml:space="preserve">   </w:t>
      </w:r>
      <w:r>
        <w:rPr>
          <w:b/>
          <w:color w:val="auto"/>
          <w:sz w:val="28"/>
          <w:highlight w:val="none"/>
          <w:lang w:eastAsia="zh-CN"/>
        </w:rPr>
        <w:t>年</w:t>
      </w:r>
      <w:r>
        <w:rPr>
          <w:b/>
          <w:color w:val="auto"/>
          <w:sz w:val="28"/>
          <w:highlight w:val="none"/>
          <w:u w:val="single"/>
          <w:lang w:eastAsia="zh-CN"/>
        </w:rPr>
        <w:t xml:space="preserve">      </w:t>
      </w:r>
      <w:r>
        <w:rPr>
          <w:b/>
          <w:color w:val="auto"/>
          <w:sz w:val="28"/>
          <w:highlight w:val="none"/>
          <w:lang w:eastAsia="zh-CN"/>
        </w:rPr>
        <w:t>月</w:t>
      </w:r>
      <w:r>
        <w:rPr>
          <w:b/>
          <w:color w:val="auto"/>
          <w:spacing w:val="134"/>
          <w:sz w:val="28"/>
          <w:highlight w:val="none"/>
          <w:u w:val="single"/>
          <w:lang w:eastAsia="zh-CN"/>
        </w:rPr>
        <w:t xml:space="preserve"> </w:t>
      </w:r>
      <w:r>
        <w:rPr>
          <w:rFonts w:hint="eastAsia"/>
          <w:b/>
          <w:color w:val="auto"/>
          <w:spacing w:val="134"/>
          <w:sz w:val="28"/>
          <w:highlight w:val="none"/>
          <w:u w:val="single"/>
          <w:lang w:val="en-US" w:eastAsia="zh-CN"/>
        </w:rPr>
        <w:t xml:space="preserve"> </w:t>
      </w:r>
      <w:r>
        <w:rPr>
          <w:b/>
          <w:color w:val="auto"/>
          <w:sz w:val="28"/>
          <w:highlight w:val="none"/>
          <w:lang w:eastAsia="zh-CN"/>
        </w:rPr>
        <w:t>日</w:t>
      </w:r>
    </w:p>
    <w:p w14:paraId="7331FF2C">
      <w:pPr>
        <w:spacing w:line="626" w:lineRule="auto"/>
        <w:jc w:val="both"/>
        <w:rPr>
          <w:color w:val="auto"/>
          <w:sz w:val="28"/>
          <w:highlight w:val="none"/>
          <w:lang w:eastAsia="zh-CN"/>
        </w:rPr>
        <w:sectPr>
          <w:pgSz w:w="11910" w:h="16840"/>
          <w:pgMar w:top="1440" w:right="1080" w:bottom="1440" w:left="1080" w:header="0" w:footer="909" w:gutter="0"/>
          <w:cols w:space="720" w:num="1"/>
          <w:docGrid w:linePitch="299" w:charSpace="0"/>
        </w:sectPr>
      </w:pPr>
    </w:p>
    <w:p w14:paraId="0ACCFA6D">
      <w:pPr>
        <w:tabs>
          <w:tab w:val="left" w:pos="1164"/>
        </w:tabs>
        <w:spacing w:before="22"/>
        <w:ind w:left="81"/>
        <w:jc w:val="center"/>
        <w:rPr>
          <w:b/>
          <w:color w:val="auto"/>
          <w:sz w:val="36"/>
          <w:highlight w:val="none"/>
          <w:lang w:eastAsia="zh-CN"/>
        </w:rPr>
      </w:pPr>
      <w:r>
        <w:rPr>
          <w:b/>
          <w:color w:val="auto"/>
          <w:sz w:val="36"/>
          <w:highlight w:val="none"/>
          <w:lang w:eastAsia="zh-CN"/>
        </w:rPr>
        <w:t>目</w:t>
      </w:r>
      <w:r>
        <w:rPr>
          <w:b/>
          <w:color w:val="auto"/>
          <w:sz w:val="36"/>
          <w:highlight w:val="none"/>
          <w:lang w:eastAsia="zh-CN"/>
        </w:rPr>
        <w:tab/>
      </w:r>
      <w:r>
        <w:rPr>
          <w:b/>
          <w:color w:val="auto"/>
          <w:sz w:val="36"/>
          <w:highlight w:val="none"/>
          <w:lang w:eastAsia="zh-CN"/>
        </w:rPr>
        <w:t>录</w:t>
      </w:r>
    </w:p>
    <w:p w14:paraId="18D225B7">
      <w:pPr>
        <w:pStyle w:val="3"/>
        <w:spacing w:before="1"/>
        <w:ind w:left="0"/>
        <w:rPr>
          <w:b/>
          <w:color w:val="auto"/>
          <w:sz w:val="12"/>
          <w:highlight w:val="none"/>
          <w:lang w:eastAsia="zh-CN"/>
        </w:rPr>
      </w:pPr>
    </w:p>
    <w:p w14:paraId="650FDF07">
      <w:pPr>
        <w:keepNext w:val="0"/>
        <w:keepLines w:val="0"/>
        <w:pageBreakBefore w:val="0"/>
        <w:widowControl w:val="0"/>
        <w:kinsoku/>
        <w:wordWrap/>
        <w:overflowPunct/>
        <w:topLinePunct w:val="0"/>
        <w:autoSpaceDE/>
        <w:autoSpaceDN/>
        <w:bidi w:val="0"/>
        <w:adjustRightInd/>
        <w:snapToGrid/>
        <w:spacing w:before="35" w:line="740" w:lineRule="exact"/>
        <w:ind w:left="527" w:right="533"/>
        <w:jc w:val="both"/>
        <w:textAlignment w:val="auto"/>
        <w:rPr>
          <w:b/>
          <w:color w:val="auto"/>
          <w:sz w:val="28"/>
          <w:highlight w:val="none"/>
          <w:lang w:eastAsia="zh-CN"/>
        </w:rPr>
      </w:pPr>
      <w:bookmarkStart w:id="163" w:name="一、磋商函及磋商函附录"/>
      <w:bookmarkEnd w:id="163"/>
      <w:bookmarkStart w:id="164" w:name="（二）磋商函附录"/>
      <w:bookmarkEnd w:id="164"/>
      <w:r>
        <w:rPr>
          <w:b/>
          <w:color w:val="auto"/>
          <w:sz w:val="28"/>
          <w:highlight w:val="none"/>
          <w:lang w:eastAsia="zh-CN"/>
        </w:rPr>
        <w:t>一、磋商函及磋商函附录</w:t>
      </w:r>
    </w:p>
    <w:p w14:paraId="7FD517D1">
      <w:pPr>
        <w:keepNext w:val="0"/>
        <w:keepLines w:val="0"/>
        <w:pageBreakBefore w:val="0"/>
        <w:widowControl w:val="0"/>
        <w:kinsoku/>
        <w:wordWrap/>
        <w:overflowPunct/>
        <w:topLinePunct w:val="0"/>
        <w:autoSpaceDE/>
        <w:autoSpaceDN/>
        <w:bidi w:val="0"/>
        <w:adjustRightInd/>
        <w:snapToGrid/>
        <w:spacing w:before="35" w:line="740" w:lineRule="exact"/>
        <w:ind w:left="527" w:right="533"/>
        <w:jc w:val="both"/>
        <w:textAlignment w:val="auto"/>
        <w:rPr>
          <w:b/>
          <w:color w:val="auto"/>
          <w:sz w:val="28"/>
          <w:highlight w:val="none"/>
          <w:lang w:eastAsia="zh-CN"/>
        </w:rPr>
      </w:pPr>
      <w:r>
        <w:rPr>
          <w:b/>
          <w:color w:val="auto"/>
          <w:sz w:val="28"/>
          <w:highlight w:val="none"/>
          <w:lang w:eastAsia="zh-CN"/>
        </w:rPr>
        <w:t>二、法定代表人身份证明书</w:t>
      </w:r>
    </w:p>
    <w:p w14:paraId="3AB8ED62">
      <w:pPr>
        <w:keepNext w:val="0"/>
        <w:keepLines w:val="0"/>
        <w:pageBreakBefore w:val="0"/>
        <w:widowControl w:val="0"/>
        <w:kinsoku/>
        <w:wordWrap/>
        <w:overflowPunct/>
        <w:topLinePunct w:val="0"/>
        <w:autoSpaceDE/>
        <w:autoSpaceDN/>
        <w:bidi w:val="0"/>
        <w:adjustRightInd/>
        <w:snapToGrid/>
        <w:spacing w:before="35" w:line="740" w:lineRule="exact"/>
        <w:ind w:left="527" w:right="533"/>
        <w:jc w:val="both"/>
        <w:textAlignment w:val="auto"/>
        <w:rPr>
          <w:b/>
          <w:color w:val="auto"/>
          <w:sz w:val="28"/>
          <w:highlight w:val="none"/>
          <w:lang w:eastAsia="zh-CN"/>
        </w:rPr>
      </w:pPr>
      <w:r>
        <w:rPr>
          <w:b/>
          <w:color w:val="auto"/>
          <w:sz w:val="28"/>
          <w:highlight w:val="none"/>
          <w:lang w:eastAsia="zh-CN"/>
        </w:rPr>
        <w:t>三、授权委托书</w:t>
      </w:r>
    </w:p>
    <w:p w14:paraId="6AE32DC8">
      <w:pPr>
        <w:keepNext w:val="0"/>
        <w:keepLines w:val="0"/>
        <w:pageBreakBefore w:val="0"/>
        <w:widowControl w:val="0"/>
        <w:kinsoku/>
        <w:wordWrap/>
        <w:overflowPunct/>
        <w:topLinePunct w:val="0"/>
        <w:autoSpaceDE/>
        <w:autoSpaceDN/>
        <w:bidi w:val="0"/>
        <w:adjustRightInd/>
        <w:snapToGrid/>
        <w:spacing w:before="35" w:line="740" w:lineRule="exact"/>
        <w:ind w:left="527" w:right="533"/>
        <w:jc w:val="both"/>
        <w:textAlignment w:val="auto"/>
        <w:rPr>
          <w:b/>
          <w:color w:val="auto"/>
          <w:sz w:val="28"/>
          <w:highlight w:val="none"/>
          <w:lang w:eastAsia="zh-CN"/>
        </w:rPr>
      </w:pPr>
      <w:r>
        <w:rPr>
          <w:rFonts w:hint="eastAsia"/>
          <w:b/>
          <w:color w:val="auto"/>
          <w:sz w:val="28"/>
          <w:highlight w:val="none"/>
          <w:lang w:val="en-US" w:eastAsia="zh-CN"/>
        </w:rPr>
        <w:t>四</w:t>
      </w:r>
      <w:r>
        <w:rPr>
          <w:b/>
          <w:color w:val="auto"/>
          <w:sz w:val="28"/>
          <w:highlight w:val="none"/>
          <w:lang w:eastAsia="zh-CN"/>
        </w:rPr>
        <w:t>、资格审查资料</w:t>
      </w:r>
    </w:p>
    <w:p w14:paraId="1E4038AF">
      <w:pPr>
        <w:keepNext w:val="0"/>
        <w:keepLines w:val="0"/>
        <w:pageBreakBefore w:val="0"/>
        <w:widowControl w:val="0"/>
        <w:kinsoku/>
        <w:wordWrap/>
        <w:overflowPunct/>
        <w:topLinePunct w:val="0"/>
        <w:autoSpaceDE/>
        <w:autoSpaceDN/>
        <w:bidi w:val="0"/>
        <w:adjustRightInd/>
        <w:snapToGrid/>
        <w:spacing w:before="35" w:line="740" w:lineRule="exact"/>
        <w:ind w:left="527" w:right="533"/>
        <w:jc w:val="both"/>
        <w:textAlignment w:val="auto"/>
        <w:rPr>
          <w:b/>
          <w:color w:val="auto"/>
          <w:sz w:val="28"/>
          <w:highlight w:val="none"/>
          <w:lang w:eastAsia="zh-CN"/>
        </w:rPr>
      </w:pPr>
      <w:r>
        <w:rPr>
          <w:rFonts w:hint="eastAsia"/>
          <w:b/>
          <w:color w:val="auto"/>
          <w:sz w:val="28"/>
          <w:highlight w:val="none"/>
          <w:lang w:val="en-US" w:eastAsia="zh-CN"/>
        </w:rPr>
        <w:t>五</w:t>
      </w:r>
      <w:r>
        <w:rPr>
          <w:b/>
          <w:color w:val="auto"/>
          <w:sz w:val="28"/>
          <w:highlight w:val="none"/>
          <w:lang w:eastAsia="zh-CN"/>
        </w:rPr>
        <w:t>、项目组成人员</w:t>
      </w:r>
    </w:p>
    <w:p w14:paraId="1D4F185B">
      <w:pPr>
        <w:keepNext w:val="0"/>
        <w:keepLines w:val="0"/>
        <w:pageBreakBefore w:val="0"/>
        <w:widowControl w:val="0"/>
        <w:kinsoku/>
        <w:wordWrap/>
        <w:overflowPunct/>
        <w:topLinePunct w:val="0"/>
        <w:autoSpaceDE/>
        <w:autoSpaceDN/>
        <w:bidi w:val="0"/>
        <w:adjustRightInd/>
        <w:snapToGrid/>
        <w:spacing w:before="35" w:line="740" w:lineRule="exact"/>
        <w:ind w:left="527" w:right="533"/>
        <w:jc w:val="both"/>
        <w:textAlignment w:val="auto"/>
        <w:rPr>
          <w:rFonts w:hint="eastAsia"/>
          <w:b/>
          <w:color w:val="auto"/>
          <w:sz w:val="28"/>
          <w:highlight w:val="none"/>
          <w:lang w:val="en-US" w:eastAsia="zh-CN"/>
        </w:rPr>
      </w:pPr>
      <w:r>
        <w:rPr>
          <w:rFonts w:hint="eastAsia"/>
          <w:b/>
          <w:color w:val="auto"/>
          <w:sz w:val="28"/>
          <w:highlight w:val="none"/>
          <w:lang w:val="en-US" w:eastAsia="zh-CN"/>
        </w:rPr>
        <w:t>六、</w:t>
      </w:r>
      <w:r>
        <w:rPr>
          <w:rFonts w:hint="eastAsia"/>
          <w:b/>
          <w:color w:val="auto"/>
          <w:sz w:val="28"/>
          <w:highlight w:val="none"/>
          <w:lang w:eastAsia="zh-CN"/>
        </w:rPr>
        <w:t>技术</w:t>
      </w:r>
      <w:r>
        <w:rPr>
          <w:rFonts w:hint="eastAsia"/>
          <w:b/>
          <w:color w:val="auto"/>
          <w:sz w:val="28"/>
          <w:highlight w:val="none"/>
          <w:lang w:val="en-US" w:eastAsia="zh-CN"/>
        </w:rPr>
        <w:t>方案</w:t>
      </w:r>
    </w:p>
    <w:p w14:paraId="74996F33">
      <w:pPr>
        <w:keepNext w:val="0"/>
        <w:keepLines w:val="0"/>
        <w:pageBreakBefore w:val="0"/>
        <w:widowControl w:val="0"/>
        <w:kinsoku/>
        <w:wordWrap/>
        <w:overflowPunct/>
        <w:topLinePunct w:val="0"/>
        <w:autoSpaceDE/>
        <w:autoSpaceDN/>
        <w:bidi w:val="0"/>
        <w:adjustRightInd/>
        <w:snapToGrid/>
        <w:spacing w:before="35" w:line="740" w:lineRule="exact"/>
        <w:ind w:left="527" w:right="533"/>
        <w:jc w:val="both"/>
        <w:textAlignment w:val="auto"/>
        <w:rPr>
          <w:b/>
          <w:color w:val="auto"/>
          <w:sz w:val="28"/>
          <w:highlight w:val="none"/>
          <w:lang w:eastAsia="zh-CN"/>
        </w:rPr>
      </w:pPr>
      <w:r>
        <w:rPr>
          <w:rFonts w:hint="eastAsia"/>
          <w:b/>
          <w:color w:val="auto"/>
          <w:sz w:val="28"/>
          <w:highlight w:val="none"/>
          <w:lang w:val="en-US" w:eastAsia="zh-CN"/>
        </w:rPr>
        <w:t>七</w:t>
      </w:r>
      <w:r>
        <w:rPr>
          <w:b/>
          <w:color w:val="auto"/>
          <w:sz w:val="28"/>
          <w:highlight w:val="none"/>
          <w:lang w:eastAsia="zh-CN"/>
        </w:rPr>
        <w:t>、</w:t>
      </w:r>
      <w:r>
        <w:rPr>
          <w:rFonts w:hint="eastAsia"/>
          <w:b/>
          <w:color w:val="auto"/>
          <w:sz w:val="28"/>
          <w:highlight w:val="none"/>
          <w:lang w:eastAsia="zh-CN"/>
        </w:rPr>
        <w:t>供应商认为需要提交的其他资料</w:t>
      </w:r>
    </w:p>
    <w:p w14:paraId="5E2FBCEE">
      <w:pPr>
        <w:keepNext w:val="0"/>
        <w:keepLines w:val="0"/>
        <w:pageBreakBefore w:val="0"/>
        <w:widowControl w:val="0"/>
        <w:kinsoku/>
        <w:wordWrap/>
        <w:overflowPunct/>
        <w:topLinePunct w:val="0"/>
        <w:autoSpaceDE/>
        <w:autoSpaceDN/>
        <w:bidi w:val="0"/>
        <w:adjustRightInd/>
        <w:snapToGrid/>
        <w:spacing w:before="35" w:line="740" w:lineRule="exact"/>
        <w:ind w:left="527" w:right="533"/>
        <w:jc w:val="both"/>
        <w:textAlignment w:val="auto"/>
        <w:rPr>
          <w:b/>
          <w:color w:val="auto"/>
          <w:sz w:val="28"/>
          <w:highlight w:val="none"/>
          <w:lang w:eastAsia="zh-CN"/>
        </w:rPr>
      </w:pPr>
      <w:r>
        <w:rPr>
          <w:rFonts w:hint="eastAsia"/>
          <w:b/>
          <w:color w:val="auto"/>
          <w:sz w:val="28"/>
          <w:highlight w:val="none"/>
          <w:lang w:val="en-US" w:eastAsia="zh-CN"/>
        </w:rPr>
        <w:t>八、</w:t>
      </w:r>
      <w:r>
        <w:rPr>
          <w:b/>
          <w:color w:val="auto"/>
          <w:sz w:val="28"/>
          <w:highlight w:val="none"/>
          <w:lang w:eastAsia="zh-CN"/>
        </w:rPr>
        <w:t>残疾人福利性单位声明函</w:t>
      </w:r>
    </w:p>
    <w:p w14:paraId="698C9223">
      <w:pPr>
        <w:keepNext w:val="0"/>
        <w:keepLines w:val="0"/>
        <w:pageBreakBefore w:val="0"/>
        <w:widowControl w:val="0"/>
        <w:kinsoku/>
        <w:wordWrap/>
        <w:overflowPunct/>
        <w:topLinePunct w:val="0"/>
        <w:autoSpaceDE/>
        <w:autoSpaceDN/>
        <w:bidi w:val="0"/>
        <w:adjustRightInd/>
        <w:snapToGrid/>
        <w:spacing w:before="35" w:line="740" w:lineRule="exact"/>
        <w:ind w:left="527" w:right="533"/>
        <w:jc w:val="both"/>
        <w:textAlignment w:val="auto"/>
        <w:rPr>
          <w:b/>
          <w:color w:val="auto"/>
          <w:sz w:val="28"/>
          <w:highlight w:val="none"/>
          <w:lang w:val="en-US" w:eastAsia="zh-CN"/>
        </w:rPr>
      </w:pPr>
      <w:r>
        <w:rPr>
          <w:rFonts w:hint="eastAsia"/>
          <w:b/>
          <w:color w:val="auto"/>
          <w:sz w:val="28"/>
          <w:highlight w:val="none"/>
          <w:lang w:val="en-US" w:eastAsia="zh-CN"/>
        </w:rPr>
        <w:t>九、中小微企业声明函（工程、服务）</w:t>
      </w:r>
    </w:p>
    <w:p w14:paraId="3E7A0ACB">
      <w:pPr>
        <w:rPr>
          <w:color w:val="auto"/>
          <w:highlight w:val="none"/>
          <w:lang w:eastAsia="zh-CN"/>
        </w:rPr>
      </w:pPr>
    </w:p>
    <w:p w14:paraId="06B1AB9C">
      <w:pPr>
        <w:rPr>
          <w:color w:val="auto"/>
          <w:highlight w:val="none"/>
          <w:lang w:eastAsia="zh-CN"/>
        </w:rPr>
      </w:pPr>
      <w:r>
        <w:rPr>
          <w:color w:val="auto"/>
          <w:highlight w:val="none"/>
          <w:lang w:eastAsia="zh-CN"/>
        </w:rPr>
        <w:br w:type="page"/>
      </w:r>
    </w:p>
    <w:p w14:paraId="1435540D">
      <w:pPr>
        <w:spacing w:before="35"/>
        <w:ind w:left="530" w:right="531"/>
        <w:jc w:val="center"/>
        <w:rPr>
          <w:b/>
          <w:color w:val="auto"/>
          <w:sz w:val="28"/>
          <w:highlight w:val="none"/>
          <w:lang w:eastAsia="zh-CN"/>
        </w:rPr>
      </w:pPr>
      <w:r>
        <w:rPr>
          <w:b/>
          <w:color w:val="auto"/>
          <w:sz w:val="28"/>
          <w:highlight w:val="none"/>
          <w:lang w:eastAsia="zh-CN"/>
        </w:rPr>
        <w:t>一、磋商函及磋商函附录</w:t>
      </w:r>
    </w:p>
    <w:p w14:paraId="0D507362">
      <w:pPr>
        <w:spacing w:before="134"/>
        <w:ind w:left="530" w:right="531"/>
        <w:jc w:val="center"/>
        <w:rPr>
          <w:b/>
          <w:color w:val="auto"/>
          <w:sz w:val="28"/>
          <w:highlight w:val="none"/>
          <w:lang w:eastAsia="zh-CN"/>
        </w:rPr>
      </w:pPr>
      <w:bookmarkStart w:id="165" w:name="（一）磋商函"/>
      <w:bookmarkEnd w:id="165"/>
      <w:r>
        <w:rPr>
          <w:b/>
          <w:color w:val="auto"/>
          <w:sz w:val="28"/>
          <w:highlight w:val="none"/>
          <w:lang w:eastAsia="zh-CN"/>
        </w:rPr>
        <w:t>（一）磋商函</w:t>
      </w:r>
    </w:p>
    <w:p w14:paraId="6BB134C0">
      <w:pPr>
        <w:pStyle w:val="3"/>
        <w:ind w:left="0"/>
        <w:rPr>
          <w:color w:val="auto"/>
          <w:highlight w:val="none"/>
          <w:lang w:eastAsia="zh-CN"/>
        </w:rPr>
      </w:pPr>
    </w:p>
    <w:p w14:paraId="2340ED3A">
      <w:pPr>
        <w:pStyle w:val="3"/>
        <w:ind w:left="0"/>
        <w:rPr>
          <w:color w:val="auto"/>
          <w:highlight w:val="none"/>
          <w:lang w:eastAsia="zh-CN"/>
        </w:rPr>
      </w:pPr>
      <w:r>
        <w:rPr>
          <w:color w:val="auto"/>
          <w:highlight w:val="none"/>
          <w:lang w:eastAsia="zh-CN"/>
        </w:rPr>
        <w:t>致：</w:t>
      </w:r>
      <w:r>
        <w:rPr>
          <w:rFonts w:hint="eastAsia"/>
          <w:color w:val="auto"/>
          <w:highlight w:val="none"/>
          <w:u w:val="single"/>
          <w:lang w:val="en-US" w:eastAsia="zh-CN"/>
        </w:rPr>
        <w:t xml:space="preserve">            </w:t>
      </w:r>
      <w:r>
        <w:rPr>
          <w:color w:val="auto"/>
          <w:highlight w:val="none"/>
          <w:u w:val="none"/>
          <w:lang w:eastAsia="zh-CN"/>
        </w:rPr>
        <w:t>（采购单位名称）</w:t>
      </w:r>
    </w:p>
    <w:p w14:paraId="67A8BD48">
      <w:pPr>
        <w:pStyle w:val="3"/>
        <w:ind w:left="0"/>
        <w:rPr>
          <w:color w:val="auto"/>
          <w:sz w:val="18"/>
          <w:highlight w:val="none"/>
          <w:lang w:eastAsia="zh-CN"/>
        </w:rPr>
      </w:pPr>
    </w:p>
    <w:p w14:paraId="2B842EAD">
      <w:pPr>
        <w:pStyle w:val="3"/>
        <w:tabs>
          <w:tab w:val="left" w:pos="5160"/>
          <w:tab w:val="left" w:pos="8304"/>
        </w:tabs>
        <w:spacing w:line="436" w:lineRule="auto"/>
        <w:ind w:left="0" w:firstLine="559"/>
        <w:jc w:val="both"/>
        <w:rPr>
          <w:color w:val="auto"/>
          <w:highlight w:val="none"/>
          <w:lang w:eastAsia="zh-CN"/>
        </w:rPr>
      </w:pPr>
      <w:r>
        <w:rPr>
          <w:color w:val="auto"/>
          <w:highlight w:val="none"/>
          <w:lang w:eastAsia="zh-CN"/>
        </w:rPr>
        <w:t>1</w:t>
      </w:r>
      <w:r>
        <w:rPr>
          <w:color w:val="auto"/>
          <w:spacing w:val="-99"/>
          <w:highlight w:val="none"/>
          <w:lang w:eastAsia="zh-CN"/>
        </w:rPr>
        <w:t>、</w:t>
      </w:r>
      <w:r>
        <w:rPr>
          <w:color w:val="auto"/>
          <w:highlight w:val="none"/>
          <w:lang w:eastAsia="zh-CN"/>
        </w:rPr>
        <w:t>根据已收到的项目编号为</w:t>
      </w:r>
      <w:r>
        <w:rPr>
          <w:color w:val="auto"/>
          <w:highlight w:val="none"/>
          <w:u w:val="single"/>
          <w:lang w:eastAsia="zh-CN"/>
        </w:rPr>
        <w:t xml:space="preserve"> </w:t>
      </w:r>
      <w:r>
        <w:rPr>
          <w:rFonts w:hint="eastAsia"/>
          <w:color w:val="auto"/>
          <w:highlight w:val="none"/>
          <w:u w:val="single"/>
          <w:lang w:val="en-US" w:eastAsia="zh-CN"/>
        </w:rPr>
        <w:t xml:space="preserve">       </w:t>
      </w:r>
      <w:r>
        <w:rPr>
          <w:color w:val="auto"/>
          <w:highlight w:val="none"/>
          <w:lang w:eastAsia="zh-CN"/>
        </w:rPr>
        <w:t>的</w:t>
      </w:r>
      <w:r>
        <w:rPr>
          <w:color w:val="auto"/>
          <w:spacing w:val="-1"/>
          <w:highlight w:val="none"/>
          <w:u w:val="single"/>
          <w:lang w:eastAsia="zh-CN"/>
        </w:rPr>
        <w:t xml:space="preserve">       </w:t>
      </w:r>
      <w:r>
        <w:rPr>
          <w:rFonts w:hint="eastAsia"/>
          <w:color w:val="auto"/>
          <w:spacing w:val="-1"/>
          <w:highlight w:val="none"/>
          <w:u w:val="single"/>
          <w:lang w:val="en-US" w:eastAsia="zh-CN"/>
        </w:rPr>
        <w:t xml:space="preserve">      </w:t>
      </w:r>
      <w:r>
        <w:rPr>
          <w:color w:val="auto"/>
          <w:spacing w:val="-1"/>
          <w:highlight w:val="none"/>
          <w:u w:val="none"/>
          <w:lang w:eastAsia="zh-CN"/>
        </w:rPr>
        <w:t xml:space="preserve"> </w:t>
      </w:r>
      <w:r>
        <w:rPr>
          <w:rFonts w:hint="eastAsia"/>
          <w:color w:val="auto"/>
          <w:spacing w:val="-1"/>
          <w:highlight w:val="none"/>
          <w:u w:val="none"/>
          <w:lang w:eastAsia="zh-CN"/>
        </w:rPr>
        <w:t>（</w:t>
      </w:r>
      <w:r>
        <w:rPr>
          <w:color w:val="auto"/>
          <w:highlight w:val="none"/>
          <w:u w:val="none"/>
          <w:lang w:eastAsia="zh-CN"/>
        </w:rPr>
        <w:t>项目名称</w:t>
      </w:r>
      <w:r>
        <w:rPr>
          <w:rFonts w:hint="eastAsia"/>
          <w:color w:val="auto"/>
          <w:spacing w:val="-1"/>
          <w:highlight w:val="none"/>
          <w:u w:val="none"/>
          <w:lang w:eastAsia="zh-CN"/>
        </w:rPr>
        <w:t>）</w:t>
      </w:r>
      <w:r>
        <w:rPr>
          <w:color w:val="auto"/>
          <w:highlight w:val="none"/>
          <w:lang w:eastAsia="zh-CN"/>
        </w:rPr>
        <w:t>的磋商文件</w:t>
      </w:r>
      <w:r>
        <w:rPr>
          <w:color w:val="auto"/>
          <w:spacing w:val="-101"/>
          <w:highlight w:val="none"/>
          <w:lang w:eastAsia="zh-CN"/>
        </w:rPr>
        <w:t>，</w:t>
      </w:r>
      <w:r>
        <w:rPr>
          <w:color w:val="auto"/>
          <w:highlight w:val="none"/>
          <w:lang w:eastAsia="zh-CN"/>
        </w:rPr>
        <w:t>遵</w:t>
      </w:r>
      <w:r>
        <w:rPr>
          <w:color w:val="auto"/>
          <w:spacing w:val="-94"/>
          <w:highlight w:val="none"/>
          <w:lang w:eastAsia="zh-CN"/>
        </w:rPr>
        <w:t>守</w:t>
      </w:r>
      <w:r>
        <w:rPr>
          <w:color w:val="auto"/>
          <w:highlight w:val="none"/>
          <w:lang w:eastAsia="zh-CN"/>
        </w:rPr>
        <w:t>《</w:t>
      </w:r>
      <w:r>
        <w:rPr>
          <w:color w:val="auto"/>
          <w:spacing w:val="-14"/>
          <w:highlight w:val="none"/>
          <w:lang w:eastAsia="zh-CN"/>
        </w:rPr>
        <w:t>中</w:t>
      </w:r>
      <w:r>
        <w:rPr>
          <w:color w:val="auto"/>
          <w:highlight w:val="none"/>
          <w:lang w:eastAsia="zh-CN"/>
        </w:rPr>
        <w:t>华人民共和国政府采购法</w:t>
      </w:r>
      <w:r>
        <w:rPr>
          <w:color w:val="auto"/>
          <w:spacing w:val="-63"/>
          <w:highlight w:val="none"/>
          <w:lang w:eastAsia="zh-CN"/>
        </w:rPr>
        <w:t>》</w:t>
      </w:r>
      <w:r>
        <w:rPr>
          <w:color w:val="auto"/>
          <w:highlight w:val="none"/>
          <w:lang w:eastAsia="zh-CN"/>
        </w:rPr>
        <w:t>《政府采购竞争性磋商采购方式管理暂行办法</w:t>
      </w:r>
      <w:r>
        <w:rPr>
          <w:color w:val="auto"/>
          <w:spacing w:val="-32"/>
          <w:highlight w:val="none"/>
          <w:lang w:eastAsia="zh-CN"/>
        </w:rPr>
        <w:t>》</w:t>
      </w:r>
      <w:r>
        <w:rPr>
          <w:color w:val="auto"/>
          <w:highlight w:val="none"/>
          <w:lang w:eastAsia="zh-CN"/>
        </w:rPr>
        <w:t>及</w:t>
      </w:r>
      <w:r>
        <w:rPr>
          <w:color w:val="auto"/>
          <w:spacing w:val="-16"/>
          <w:highlight w:val="none"/>
          <w:lang w:eastAsia="zh-CN"/>
        </w:rPr>
        <w:t>财</w:t>
      </w:r>
      <w:r>
        <w:rPr>
          <w:color w:val="auto"/>
          <w:spacing w:val="-12"/>
          <w:highlight w:val="none"/>
          <w:lang w:eastAsia="zh-CN"/>
        </w:rPr>
        <w:t>库</w:t>
      </w:r>
      <w:r>
        <w:rPr>
          <w:color w:val="auto"/>
          <w:highlight w:val="none"/>
          <w:lang w:eastAsia="zh-CN"/>
        </w:rPr>
        <w:t>〔2015</w:t>
      </w:r>
      <w:r>
        <w:rPr>
          <w:color w:val="auto"/>
          <w:spacing w:val="-12"/>
          <w:highlight w:val="none"/>
          <w:lang w:eastAsia="zh-CN"/>
        </w:rPr>
        <w:t>〕</w:t>
      </w:r>
      <w:r>
        <w:rPr>
          <w:color w:val="auto"/>
          <w:highlight w:val="none"/>
          <w:lang w:eastAsia="zh-CN"/>
        </w:rPr>
        <w:t>124</w:t>
      </w:r>
      <w:r>
        <w:rPr>
          <w:color w:val="auto"/>
          <w:spacing w:val="-60"/>
          <w:highlight w:val="none"/>
          <w:lang w:eastAsia="zh-CN"/>
        </w:rPr>
        <w:t xml:space="preserve"> </w:t>
      </w:r>
      <w:r>
        <w:rPr>
          <w:color w:val="auto"/>
          <w:highlight w:val="none"/>
          <w:lang w:eastAsia="zh-CN"/>
        </w:rPr>
        <w:t>号文和有关文件的规定</w:t>
      </w:r>
      <w:r>
        <w:rPr>
          <w:color w:val="auto"/>
          <w:spacing w:val="-10"/>
          <w:highlight w:val="none"/>
          <w:lang w:eastAsia="zh-CN"/>
        </w:rPr>
        <w:t>，</w:t>
      </w:r>
      <w:r>
        <w:rPr>
          <w:color w:val="auto"/>
          <w:highlight w:val="none"/>
          <w:lang w:eastAsia="zh-CN"/>
        </w:rPr>
        <w:t>我单位经考察现场并研究上述项目磋</w:t>
      </w:r>
      <w:r>
        <w:rPr>
          <w:color w:val="auto"/>
          <w:spacing w:val="-17"/>
          <w:highlight w:val="none"/>
          <w:lang w:eastAsia="zh-CN"/>
        </w:rPr>
        <w:t>商</w:t>
      </w:r>
      <w:r>
        <w:rPr>
          <w:color w:val="auto"/>
          <w:spacing w:val="7"/>
          <w:highlight w:val="none"/>
          <w:lang w:eastAsia="zh-CN"/>
        </w:rPr>
        <w:t>文件的供应商须知和其他有关文件后，我公司愿以(大写</w:t>
      </w:r>
      <w:r>
        <w:rPr>
          <w:color w:val="auto"/>
          <w:highlight w:val="none"/>
          <w:lang w:eastAsia="zh-CN"/>
        </w:rPr>
        <w:t>)</w:t>
      </w:r>
      <w:r>
        <w:rPr>
          <w:color w:val="auto"/>
          <w:highlight w:val="none"/>
          <w:u w:val="single"/>
          <w:lang w:eastAsia="zh-CN"/>
        </w:rPr>
        <w:t xml:space="preserve"> </w:t>
      </w:r>
      <w:r>
        <w:rPr>
          <w:rFonts w:hint="eastAsia"/>
          <w:color w:val="auto"/>
          <w:highlight w:val="none"/>
          <w:u w:val="single"/>
          <w:lang w:val="en-US" w:eastAsia="zh-CN"/>
        </w:rPr>
        <w:t xml:space="preserve">  </w:t>
      </w:r>
      <w:r>
        <w:rPr>
          <w:color w:val="auto"/>
          <w:spacing w:val="7"/>
          <w:highlight w:val="none"/>
          <w:lang w:eastAsia="zh-CN"/>
        </w:rPr>
        <w:t>（小写</w:t>
      </w:r>
      <w:r>
        <w:rPr>
          <w:color w:val="auto"/>
          <w:spacing w:val="-16"/>
          <w:highlight w:val="none"/>
          <w:lang w:eastAsia="zh-CN"/>
        </w:rPr>
        <w:t>）</w:t>
      </w:r>
      <w:r>
        <w:rPr>
          <w:rFonts w:hint="eastAsia"/>
          <w:color w:val="auto"/>
          <w:spacing w:val="-16"/>
          <w:highlight w:val="none"/>
          <w:u w:val="single"/>
          <w:lang w:val="en-US" w:eastAsia="zh-CN"/>
        </w:rPr>
        <w:t xml:space="preserve">    </w:t>
      </w:r>
      <w:r>
        <w:rPr>
          <w:color w:val="auto"/>
          <w:highlight w:val="none"/>
          <w:u w:val="single"/>
          <w:lang w:eastAsia="zh-CN"/>
        </w:rPr>
        <w:tab/>
      </w:r>
      <w:r>
        <w:rPr>
          <w:rFonts w:hint="eastAsia"/>
          <w:color w:val="auto"/>
          <w:spacing w:val="-16"/>
          <w:highlight w:val="none"/>
          <w:lang w:eastAsia="zh-CN"/>
        </w:rPr>
        <w:t xml:space="preserve"> </w:t>
      </w:r>
      <w:r>
        <w:rPr>
          <w:color w:val="auto"/>
          <w:highlight w:val="none"/>
          <w:lang w:eastAsia="zh-CN"/>
        </w:rPr>
        <w:t>元的报价参加该项目的投标，并按上述文件中的条款承包该项目。</w:t>
      </w:r>
    </w:p>
    <w:p w14:paraId="6BBFFEBE">
      <w:pPr>
        <w:pStyle w:val="3"/>
        <w:spacing w:line="436" w:lineRule="auto"/>
        <w:ind w:left="0" w:firstLine="400" w:firstLineChars="200"/>
        <w:rPr>
          <w:color w:val="auto"/>
          <w:highlight w:val="none"/>
          <w:lang w:eastAsia="zh-CN"/>
        </w:rPr>
      </w:pPr>
      <w:r>
        <w:rPr>
          <w:color w:val="auto"/>
          <w:highlight w:val="none"/>
          <w:lang w:eastAsia="zh-CN"/>
        </w:rPr>
        <w:t>2、我公司完全响应磋商文件中提出的所有实质性要求。</w:t>
      </w:r>
    </w:p>
    <w:p w14:paraId="394B9840">
      <w:pPr>
        <w:pStyle w:val="3"/>
        <w:spacing w:line="436" w:lineRule="auto"/>
        <w:ind w:left="0" w:firstLine="480"/>
        <w:rPr>
          <w:color w:val="auto"/>
          <w:highlight w:val="none"/>
          <w:lang w:eastAsia="zh-CN"/>
        </w:rPr>
      </w:pPr>
      <w:r>
        <w:rPr>
          <w:color w:val="auto"/>
          <w:highlight w:val="none"/>
          <w:lang w:eastAsia="zh-CN"/>
        </w:rPr>
        <w:t>3、我公司同意在磋商文件规定的投标期限内，本响应文件始终对我公司具有约束力，且随时可以按此文件成交。</w:t>
      </w:r>
    </w:p>
    <w:p w14:paraId="602B623A">
      <w:pPr>
        <w:pStyle w:val="3"/>
        <w:tabs>
          <w:tab w:val="left" w:pos="2655"/>
          <w:tab w:val="left" w:pos="7219"/>
        </w:tabs>
        <w:spacing w:line="439" w:lineRule="auto"/>
        <w:ind w:left="0" w:firstLine="480"/>
        <w:rPr>
          <w:color w:val="auto"/>
          <w:highlight w:val="none"/>
          <w:lang w:eastAsia="zh-CN"/>
        </w:rPr>
      </w:pPr>
      <w:r>
        <w:rPr>
          <w:color w:val="auto"/>
          <w:highlight w:val="none"/>
          <w:lang w:eastAsia="zh-CN"/>
        </w:rPr>
        <w:t>4、一旦我公司成交，我公司保证在成交后的规定期限内签订项目合同，</w:t>
      </w:r>
      <w:r>
        <w:rPr>
          <w:color w:val="auto"/>
          <w:spacing w:val="-13"/>
          <w:highlight w:val="none"/>
          <w:lang w:eastAsia="zh-CN"/>
        </w:rPr>
        <w:t>保</w:t>
      </w:r>
      <w:r>
        <w:rPr>
          <w:color w:val="auto"/>
          <w:highlight w:val="none"/>
          <w:lang w:eastAsia="zh-CN"/>
        </w:rPr>
        <w:t>证服务周期</w:t>
      </w:r>
      <w:r>
        <w:rPr>
          <w:color w:val="auto"/>
          <w:highlight w:val="none"/>
          <w:u w:val="single"/>
          <w:lang w:eastAsia="zh-CN"/>
        </w:rPr>
        <w:t xml:space="preserve"> </w:t>
      </w:r>
      <w:r>
        <w:rPr>
          <w:rFonts w:hint="eastAsia"/>
          <w:color w:val="auto"/>
          <w:highlight w:val="none"/>
          <w:u w:val="single"/>
          <w:lang w:val="en-US" w:eastAsia="zh-CN"/>
        </w:rPr>
        <w:t xml:space="preserve">    </w:t>
      </w:r>
      <w:r>
        <w:rPr>
          <w:color w:val="auto"/>
          <w:highlight w:val="none"/>
          <w:u w:val="single"/>
          <w:lang w:eastAsia="zh-CN"/>
        </w:rPr>
        <w:tab/>
      </w:r>
      <w:r>
        <w:rPr>
          <w:color w:val="auto"/>
          <w:highlight w:val="none"/>
          <w:lang w:eastAsia="zh-CN"/>
        </w:rPr>
        <w:t>，确保质量要求达到</w:t>
      </w:r>
      <w:r>
        <w:rPr>
          <w:rFonts w:hint="eastAsia"/>
          <w:color w:val="auto"/>
          <w:highlight w:val="none"/>
          <w:u w:val="single"/>
          <w:lang w:val="en-US" w:eastAsia="zh-CN"/>
        </w:rPr>
        <w:t xml:space="preserve">        </w:t>
      </w:r>
      <w:r>
        <w:rPr>
          <w:color w:val="auto"/>
          <w:highlight w:val="none"/>
          <w:lang w:eastAsia="zh-CN"/>
        </w:rPr>
        <w:t>。</w:t>
      </w:r>
    </w:p>
    <w:p w14:paraId="2F1F2C3B">
      <w:pPr>
        <w:pStyle w:val="3"/>
        <w:spacing w:line="436" w:lineRule="auto"/>
        <w:ind w:left="0" w:firstLine="480"/>
        <w:rPr>
          <w:color w:val="auto"/>
          <w:highlight w:val="none"/>
          <w:lang w:eastAsia="zh-CN"/>
        </w:rPr>
      </w:pPr>
      <w:r>
        <w:rPr>
          <w:color w:val="auto"/>
          <w:highlight w:val="none"/>
          <w:lang w:eastAsia="zh-CN"/>
        </w:rPr>
        <w:t>5、成交后，我公司将提交规定数额的履约保证金（如有），并对此承担责任。</w:t>
      </w:r>
    </w:p>
    <w:p w14:paraId="6AAF7084">
      <w:pPr>
        <w:pStyle w:val="3"/>
        <w:ind w:left="0" w:firstLine="400" w:firstLineChars="200"/>
        <w:rPr>
          <w:color w:val="auto"/>
          <w:highlight w:val="none"/>
          <w:lang w:eastAsia="zh-CN"/>
        </w:rPr>
      </w:pPr>
      <w:r>
        <w:rPr>
          <w:color w:val="auto"/>
          <w:highlight w:val="none"/>
          <w:lang w:eastAsia="zh-CN"/>
        </w:rPr>
        <w:t>6、我们承诺最低报价是成交的重要选择，但不是唯一选择。</w:t>
      </w:r>
    </w:p>
    <w:p w14:paraId="15BB1450">
      <w:pPr>
        <w:pStyle w:val="3"/>
        <w:spacing w:line="560" w:lineRule="atLeast"/>
        <w:ind w:left="0" w:firstLine="480"/>
        <w:rPr>
          <w:color w:val="auto"/>
          <w:highlight w:val="none"/>
          <w:lang w:eastAsia="zh-CN"/>
        </w:rPr>
      </w:pPr>
      <w:r>
        <w:rPr>
          <w:color w:val="auto"/>
          <w:highlight w:val="none"/>
          <w:lang w:eastAsia="zh-CN"/>
        </w:rPr>
        <w:t>7、除非与贵方另外达成协议并生效，贵方的成交通知书、本响应文件将与双方签订的合同具有同等的约束力。</w:t>
      </w:r>
    </w:p>
    <w:p w14:paraId="6933594E">
      <w:pPr>
        <w:pStyle w:val="3"/>
        <w:tabs>
          <w:tab w:val="left" w:pos="4819"/>
        </w:tabs>
        <w:ind w:left="0"/>
        <w:rPr>
          <w:color w:val="auto"/>
          <w:highlight w:val="none"/>
          <w:lang w:eastAsia="zh-CN"/>
        </w:rPr>
      </w:pPr>
    </w:p>
    <w:p w14:paraId="0C82003F">
      <w:pPr>
        <w:pStyle w:val="3"/>
        <w:tabs>
          <w:tab w:val="left" w:pos="4819"/>
        </w:tabs>
        <w:ind w:left="0"/>
        <w:rPr>
          <w:color w:val="auto"/>
          <w:highlight w:val="none"/>
          <w:lang w:eastAsia="zh-CN"/>
        </w:rPr>
      </w:pPr>
    </w:p>
    <w:p w14:paraId="1E4E8504">
      <w:pPr>
        <w:pStyle w:val="3"/>
        <w:tabs>
          <w:tab w:val="left" w:pos="4819"/>
        </w:tabs>
        <w:ind w:left="0"/>
        <w:rPr>
          <w:color w:val="auto"/>
          <w:highlight w:val="none"/>
          <w:lang w:eastAsia="zh-CN"/>
        </w:rPr>
      </w:pPr>
    </w:p>
    <w:p w14:paraId="5EB10002">
      <w:pPr>
        <w:pStyle w:val="3"/>
        <w:tabs>
          <w:tab w:val="left" w:pos="4819"/>
        </w:tabs>
        <w:ind w:left="0"/>
        <w:rPr>
          <w:color w:val="auto"/>
          <w:highlight w:val="none"/>
          <w:lang w:eastAsia="zh-CN"/>
        </w:rPr>
      </w:pPr>
    </w:p>
    <w:p w14:paraId="61B9E493">
      <w:pPr>
        <w:pStyle w:val="3"/>
        <w:tabs>
          <w:tab w:val="left" w:pos="4819"/>
        </w:tabs>
        <w:ind w:left="0"/>
        <w:jc w:val="right"/>
        <w:rPr>
          <w:color w:val="auto"/>
          <w:highlight w:val="none"/>
          <w:lang w:eastAsia="zh-CN"/>
        </w:rPr>
      </w:pPr>
      <w:r>
        <w:rPr>
          <w:color w:val="auto"/>
          <w:highlight w:val="none"/>
          <w:lang w:eastAsia="zh-CN"/>
        </w:rPr>
        <w:t>供应商：</w:t>
      </w:r>
      <w:r>
        <w:rPr>
          <w:color w:val="auto"/>
          <w:highlight w:val="none"/>
          <w:u w:val="single"/>
          <w:lang w:eastAsia="zh-CN"/>
        </w:rPr>
        <w:t xml:space="preserve"> </w:t>
      </w:r>
      <w:r>
        <w:rPr>
          <w:rFonts w:hint="eastAsia"/>
          <w:color w:val="auto"/>
          <w:highlight w:val="none"/>
          <w:u w:val="single"/>
          <w:lang w:val="en-US" w:eastAsia="zh-CN"/>
        </w:rPr>
        <w:t xml:space="preserve">                     </w:t>
      </w:r>
      <w:r>
        <w:rPr>
          <w:color w:val="auto"/>
          <w:highlight w:val="none"/>
          <w:lang w:eastAsia="zh-CN"/>
        </w:rPr>
        <w:t>（</w:t>
      </w:r>
      <w:r>
        <w:rPr>
          <w:rFonts w:hint="eastAsia"/>
          <w:color w:val="auto"/>
          <w:highlight w:val="none"/>
          <w:lang w:val="en-US" w:eastAsia="zh-CN"/>
        </w:rPr>
        <w:t>电子</w:t>
      </w:r>
      <w:r>
        <w:rPr>
          <w:color w:val="auto"/>
          <w:highlight w:val="none"/>
          <w:lang w:eastAsia="zh-CN"/>
        </w:rPr>
        <w:t>签章）</w:t>
      </w:r>
    </w:p>
    <w:p w14:paraId="6A7B4F4D">
      <w:pPr>
        <w:pStyle w:val="3"/>
        <w:ind w:left="0"/>
        <w:jc w:val="right"/>
        <w:rPr>
          <w:color w:val="auto"/>
          <w:highlight w:val="none"/>
          <w:lang w:eastAsia="zh-CN"/>
        </w:rPr>
      </w:pPr>
    </w:p>
    <w:p w14:paraId="3153CFF4">
      <w:pPr>
        <w:pStyle w:val="3"/>
        <w:tabs>
          <w:tab w:val="left" w:pos="4935"/>
        </w:tabs>
        <w:ind w:left="0"/>
        <w:jc w:val="right"/>
        <w:rPr>
          <w:color w:val="auto"/>
          <w:highlight w:val="none"/>
          <w:lang w:eastAsia="zh-CN"/>
        </w:rPr>
      </w:pPr>
      <w:r>
        <w:rPr>
          <w:color w:val="auto"/>
          <w:highlight w:val="none"/>
          <w:lang w:eastAsia="zh-CN"/>
        </w:rPr>
        <w:t>法定代表人：</w:t>
      </w:r>
      <w:r>
        <w:rPr>
          <w:color w:val="auto"/>
          <w:highlight w:val="none"/>
          <w:u w:val="single"/>
          <w:lang w:eastAsia="zh-CN"/>
        </w:rPr>
        <w:t xml:space="preserve"> </w:t>
      </w:r>
      <w:r>
        <w:rPr>
          <w:rFonts w:hint="eastAsia"/>
          <w:color w:val="auto"/>
          <w:highlight w:val="none"/>
          <w:u w:val="single"/>
          <w:lang w:val="en-US" w:eastAsia="zh-CN"/>
        </w:rPr>
        <w:t xml:space="preserve">                 </w:t>
      </w:r>
      <w:r>
        <w:rPr>
          <w:color w:val="auto"/>
          <w:highlight w:val="none"/>
          <w:lang w:eastAsia="zh-CN"/>
        </w:rPr>
        <w:t>（电子签章）</w:t>
      </w:r>
    </w:p>
    <w:p w14:paraId="56785578">
      <w:pPr>
        <w:pStyle w:val="3"/>
        <w:ind w:left="0"/>
        <w:jc w:val="right"/>
        <w:rPr>
          <w:color w:val="auto"/>
          <w:sz w:val="19"/>
          <w:highlight w:val="none"/>
          <w:lang w:eastAsia="zh-CN"/>
        </w:rPr>
      </w:pPr>
    </w:p>
    <w:p w14:paraId="4EDFB0DE">
      <w:pPr>
        <w:pStyle w:val="3"/>
        <w:tabs>
          <w:tab w:val="left" w:pos="1077"/>
          <w:tab w:val="left" w:pos="1797"/>
          <w:tab w:val="left" w:pos="2757"/>
        </w:tabs>
        <w:ind w:left="0" w:firstLine="1800" w:firstLineChars="900"/>
        <w:jc w:val="right"/>
        <w:rPr>
          <w:rFonts w:hint="eastAsia"/>
          <w:color w:val="auto"/>
          <w:highlight w:val="none"/>
          <w:u w:val="single"/>
          <w:lang w:val="en-US" w:eastAsia="zh-CN"/>
        </w:rPr>
      </w:pPr>
    </w:p>
    <w:p w14:paraId="09F26653">
      <w:pPr>
        <w:jc w:val="right"/>
        <w:rPr>
          <w:color w:val="auto"/>
          <w:highlight w:val="none"/>
          <w:lang w:eastAsia="zh-CN"/>
        </w:rPr>
      </w:pPr>
      <w:r>
        <w:rPr>
          <w:rFonts w:hint="eastAsia"/>
          <w:color w:val="auto"/>
          <w:highlight w:val="none"/>
          <w:u w:val="single"/>
          <w:lang w:val="en-US" w:eastAsia="zh-CN"/>
        </w:rPr>
        <w:t xml:space="preserve">       </w:t>
      </w:r>
      <w:r>
        <w:rPr>
          <w:color w:val="auto"/>
          <w:highlight w:val="none"/>
          <w:lang w:eastAsia="zh-CN"/>
        </w:rPr>
        <w:t>年</w:t>
      </w:r>
      <w:r>
        <w:rPr>
          <w:color w:val="auto"/>
          <w:highlight w:val="none"/>
          <w:u w:val="single"/>
          <w:lang w:eastAsia="zh-CN"/>
        </w:rPr>
        <w:t xml:space="preserve"> </w:t>
      </w:r>
      <w:r>
        <w:rPr>
          <w:rFonts w:hint="eastAsia"/>
          <w:color w:val="auto"/>
          <w:highlight w:val="none"/>
          <w:u w:val="single"/>
          <w:lang w:val="en-US" w:eastAsia="zh-CN"/>
        </w:rPr>
        <w:t xml:space="preserve">   </w:t>
      </w:r>
      <w:r>
        <w:rPr>
          <w:color w:val="auto"/>
          <w:highlight w:val="none"/>
          <w:u w:val="single"/>
          <w:lang w:eastAsia="zh-CN"/>
        </w:rPr>
        <w:tab/>
      </w:r>
      <w:r>
        <w:rPr>
          <w:color w:val="auto"/>
          <w:highlight w:val="none"/>
          <w:lang w:eastAsia="zh-CN"/>
        </w:rPr>
        <w:t>月</w:t>
      </w:r>
      <w:r>
        <w:rPr>
          <w:color w:val="auto"/>
          <w:highlight w:val="none"/>
          <w:u w:val="single"/>
          <w:lang w:eastAsia="zh-CN"/>
        </w:rPr>
        <w:t xml:space="preserve"> </w:t>
      </w:r>
      <w:r>
        <w:rPr>
          <w:rFonts w:hint="eastAsia"/>
          <w:color w:val="auto"/>
          <w:highlight w:val="none"/>
          <w:u w:val="single"/>
          <w:lang w:val="en-US" w:eastAsia="zh-CN"/>
        </w:rPr>
        <w:t xml:space="preserve">   </w:t>
      </w:r>
      <w:r>
        <w:rPr>
          <w:color w:val="auto"/>
          <w:highlight w:val="none"/>
          <w:u w:val="single"/>
          <w:lang w:eastAsia="zh-CN"/>
        </w:rPr>
        <w:tab/>
      </w:r>
      <w:r>
        <w:rPr>
          <w:color w:val="auto"/>
          <w:highlight w:val="none"/>
          <w:lang w:eastAsia="zh-CN"/>
        </w:rPr>
        <w:t>日</w:t>
      </w:r>
    </w:p>
    <w:p w14:paraId="4110FA99">
      <w:pPr>
        <w:rPr>
          <w:color w:val="auto"/>
          <w:highlight w:val="none"/>
          <w:lang w:eastAsia="zh-CN"/>
        </w:rPr>
      </w:pPr>
      <w:r>
        <w:rPr>
          <w:color w:val="auto"/>
          <w:highlight w:val="none"/>
          <w:lang w:eastAsia="zh-CN"/>
        </w:rPr>
        <w:br w:type="page"/>
      </w:r>
    </w:p>
    <w:p w14:paraId="15D90843">
      <w:pPr>
        <w:pStyle w:val="2"/>
        <w:rPr>
          <w:color w:val="auto"/>
          <w:highlight w:val="none"/>
          <w:lang w:eastAsia="zh-CN"/>
        </w:rPr>
      </w:pPr>
    </w:p>
    <w:p w14:paraId="656AE9F6">
      <w:pPr>
        <w:spacing w:before="35"/>
        <w:ind w:left="530" w:right="530"/>
        <w:jc w:val="center"/>
        <w:rPr>
          <w:b/>
          <w:color w:val="auto"/>
          <w:sz w:val="32"/>
          <w:highlight w:val="none"/>
          <w:lang w:eastAsia="zh-CN"/>
        </w:rPr>
      </w:pPr>
      <w:r>
        <w:rPr>
          <w:b/>
          <w:color w:val="auto"/>
          <w:sz w:val="32"/>
          <w:highlight w:val="none"/>
          <w:lang w:eastAsia="zh-CN"/>
        </w:rPr>
        <w:t>（二）磋商函附录</w:t>
      </w:r>
    </w:p>
    <w:p w14:paraId="6706F13F">
      <w:pPr>
        <w:pStyle w:val="3"/>
        <w:spacing w:before="1"/>
        <w:ind w:left="0"/>
        <w:rPr>
          <w:b/>
          <w:color w:val="auto"/>
          <w:highlight w:val="none"/>
          <w:lang w:eastAsia="zh-CN"/>
        </w:rPr>
      </w:pP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7"/>
        <w:gridCol w:w="1476"/>
        <w:gridCol w:w="5573"/>
      </w:tblGrid>
      <w:tr w14:paraId="66C0A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877" w:type="dxa"/>
          </w:tcPr>
          <w:p w14:paraId="7379F582">
            <w:pPr>
              <w:pStyle w:val="38"/>
              <w:spacing w:before="10"/>
              <w:rPr>
                <w:b/>
                <w:color w:val="auto"/>
                <w:sz w:val="19"/>
                <w:highlight w:val="none"/>
                <w:lang w:eastAsia="zh-CN"/>
              </w:rPr>
            </w:pPr>
          </w:p>
          <w:p w14:paraId="32347504">
            <w:pPr>
              <w:pStyle w:val="38"/>
              <w:spacing w:before="1"/>
              <w:ind w:left="317" w:right="309"/>
              <w:jc w:val="center"/>
              <w:rPr>
                <w:color w:val="auto"/>
                <w:sz w:val="24"/>
                <w:highlight w:val="none"/>
              </w:rPr>
            </w:pPr>
            <w:r>
              <w:rPr>
                <w:color w:val="auto"/>
                <w:sz w:val="24"/>
                <w:highlight w:val="none"/>
              </w:rPr>
              <w:t>项目名称</w:t>
            </w:r>
          </w:p>
        </w:tc>
        <w:tc>
          <w:tcPr>
            <w:tcW w:w="7049" w:type="dxa"/>
            <w:gridSpan w:val="2"/>
          </w:tcPr>
          <w:p w14:paraId="71E6CC3F">
            <w:pPr>
              <w:pStyle w:val="38"/>
              <w:rPr>
                <w:rFonts w:ascii="Times New Roman"/>
                <w:color w:val="auto"/>
                <w:sz w:val="24"/>
                <w:highlight w:val="none"/>
              </w:rPr>
            </w:pPr>
          </w:p>
        </w:tc>
      </w:tr>
      <w:tr w14:paraId="54DBE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877" w:type="dxa"/>
          </w:tcPr>
          <w:p w14:paraId="1689FC27">
            <w:pPr>
              <w:pStyle w:val="38"/>
              <w:spacing w:before="8"/>
              <w:rPr>
                <w:b/>
                <w:color w:val="auto"/>
                <w:sz w:val="24"/>
                <w:highlight w:val="none"/>
              </w:rPr>
            </w:pPr>
          </w:p>
          <w:p w14:paraId="352B4B99">
            <w:pPr>
              <w:pStyle w:val="38"/>
              <w:spacing w:before="1"/>
              <w:ind w:left="317" w:right="309"/>
              <w:jc w:val="center"/>
              <w:rPr>
                <w:color w:val="auto"/>
                <w:sz w:val="24"/>
                <w:highlight w:val="none"/>
              </w:rPr>
            </w:pPr>
            <w:r>
              <w:rPr>
                <w:color w:val="auto"/>
                <w:sz w:val="24"/>
                <w:highlight w:val="none"/>
              </w:rPr>
              <w:t>供应商名称</w:t>
            </w:r>
          </w:p>
        </w:tc>
        <w:tc>
          <w:tcPr>
            <w:tcW w:w="7049" w:type="dxa"/>
            <w:gridSpan w:val="2"/>
          </w:tcPr>
          <w:p w14:paraId="51674C56">
            <w:pPr>
              <w:pStyle w:val="38"/>
              <w:rPr>
                <w:rFonts w:ascii="Times New Roman"/>
                <w:color w:val="auto"/>
                <w:sz w:val="24"/>
                <w:highlight w:val="none"/>
              </w:rPr>
            </w:pPr>
          </w:p>
        </w:tc>
      </w:tr>
      <w:tr w14:paraId="26A21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1" w:hRule="atLeast"/>
        </w:trPr>
        <w:tc>
          <w:tcPr>
            <w:tcW w:w="3353" w:type="dxa"/>
            <w:gridSpan w:val="2"/>
          </w:tcPr>
          <w:p w14:paraId="545D68E3">
            <w:pPr>
              <w:pStyle w:val="38"/>
              <w:rPr>
                <w:b/>
                <w:color w:val="auto"/>
                <w:sz w:val="24"/>
                <w:highlight w:val="none"/>
              </w:rPr>
            </w:pPr>
          </w:p>
          <w:p w14:paraId="720A42C8">
            <w:pPr>
              <w:pStyle w:val="38"/>
              <w:spacing w:before="1"/>
              <w:rPr>
                <w:b/>
                <w:color w:val="auto"/>
                <w:sz w:val="35"/>
                <w:highlight w:val="none"/>
              </w:rPr>
            </w:pPr>
          </w:p>
          <w:p w14:paraId="4D2E03DD">
            <w:pPr>
              <w:pStyle w:val="38"/>
              <w:ind w:left="1174" w:right="1168"/>
              <w:jc w:val="center"/>
              <w:rPr>
                <w:color w:val="auto"/>
                <w:sz w:val="24"/>
                <w:highlight w:val="none"/>
              </w:rPr>
            </w:pPr>
            <w:r>
              <w:rPr>
                <w:color w:val="auto"/>
                <w:sz w:val="24"/>
                <w:highlight w:val="none"/>
              </w:rPr>
              <w:t>磋商报价</w:t>
            </w:r>
          </w:p>
        </w:tc>
        <w:tc>
          <w:tcPr>
            <w:tcW w:w="5573" w:type="dxa"/>
            <w:tcBorders>
              <w:right w:val="single" w:color="000000" w:sz="8" w:space="0"/>
            </w:tcBorders>
          </w:tcPr>
          <w:p w14:paraId="4AEA6ABB">
            <w:pPr>
              <w:pStyle w:val="38"/>
              <w:rPr>
                <w:b/>
                <w:color w:val="auto"/>
                <w:sz w:val="24"/>
                <w:highlight w:val="none"/>
              </w:rPr>
            </w:pPr>
          </w:p>
          <w:p w14:paraId="5359F77B">
            <w:pPr>
              <w:pStyle w:val="38"/>
              <w:spacing w:before="1"/>
              <w:rPr>
                <w:b/>
                <w:color w:val="auto"/>
                <w:sz w:val="35"/>
                <w:highlight w:val="none"/>
              </w:rPr>
            </w:pPr>
          </w:p>
          <w:p w14:paraId="1FA7685C">
            <w:pPr>
              <w:pStyle w:val="38"/>
              <w:tabs>
                <w:tab w:val="left" w:pos="2044"/>
              </w:tabs>
              <w:ind w:left="4"/>
              <w:rPr>
                <w:color w:val="auto"/>
                <w:sz w:val="24"/>
                <w:highlight w:val="none"/>
              </w:rPr>
            </w:pPr>
            <w:r>
              <w:rPr>
                <w:color w:val="auto"/>
                <w:sz w:val="24"/>
                <w:highlight w:val="none"/>
              </w:rPr>
              <w:t>大写：</w:t>
            </w:r>
            <w:r>
              <w:rPr>
                <w:color w:val="auto"/>
                <w:sz w:val="24"/>
                <w:highlight w:val="none"/>
              </w:rPr>
              <w:tab/>
            </w:r>
            <w:r>
              <w:rPr>
                <w:color w:val="auto"/>
                <w:sz w:val="24"/>
                <w:highlight w:val="none"/>
              </w:rPr>
              <w:t>小写：元</w:t>
            </w:r>
          </w:p>
        </w:tc>
      </w:tr>
      <w:tr w14:paraId="72F02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3353" w:type="dxa"/>
            <w:gridSpan w:val="2"/>
          </w:tcPr>
          <w:p w14:paraId="2396C0DD">
            <w:pPr>
              <w:pStyle w:val="38"/>
              <w:spacing w:before="3"/>
              <w:rPr>
                <w:b/>
                <w:color w:val="auto"/>
                <w:sz w:val="26"/>
                <w:highlight w:val="none"/>
              </w:rPr>
            </w:pPr>
          </w:p>
          <w:p w14:paraId="023EAEF3">
            <w:pPr>
              <w:pStyle w:val="38"/>
              <w:ind w:left="1174" w:right="1168"/>
              <w:jc w:val="center"/>
              <w:rPr>
                <w:color w:val="auto"/>
                <w:sz w:val="24"/>
                <w:highlight w:val="none"/>
              </w:rPr>
            </w:pPr>
            <w:r>
              <w:rPr>
                <w:color w:val="auto"/>
                <w:sz w:val="24"/>
                <w:highlight w:val="none"/>
              </w:rPr>
              <w:t>质量要求</w:t>
            </w:r>
          </w:p>
        </w:tc>
        <w:tc>
          <w:tcPr>
            <w:tcW w:w="5573" w:type="dxa"/>
          </w:tcPr>
          <w:p w14:paraId="1D236672">
            <w:pPr>
              <w:pStyle w:val="38"/>
              <w:rPr>
                <w:rFonts w:ascii="Times New Roman"/>
                <w:color w:val="auto"/>
                <w:sz w:val="24"/>
                <w:highlight w:val="none"/>
              </w:rPr>
            </w:pPr>
          </w:p>
        </w:tc>
      </w:tr>
      <w:tr w14:paraId="46F37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3353" w:type="dxa"/>
            <w:gridSpan w:val="2"/>
          </w:tcPr>
          <w:p w14:paraId="10551A87">
            <w:pPr>
              <w:pStyle w:val="38"/>
              <w:spacing w:before="2"/>
              <w:rPr>
                <w:b/>
                <w:color w:val="auto"/>
                <w:sz w:val="26"/>
                <w:highlight w:val="none"/>
              </w:rPr>
            </w:pPr>
          </w:p>
          <w:p w14:paraId="51DA5857">
            <w:pPr>
              <w:pStyle w:val="38"/>
              <w:ind w:left="1174" w:right="1168"/>
              <w:jc w:val="center"/>
              <w:rPr>
                <w:color w:val="auto"/>
                <w:sz w:val="24"/>
                <w:highlight w:val="none"/>
              </w:rPr>
            </w:pPr>
            <w:r>
              <w:rPr>
                <w:color w:val="auto"/>
                <w:sz w:val="24"/>
                <w:highlight w:val="none"/>
              </w:rPr>
              <w:t>服务周期</w:t>
            </w:r>
          </w:p>
        </w:tc>
        <w:tc>
          <w:tcPr>
            <w:tcW w:w="5573" w:type="dxa"/>
          </w:tcPr>
          <w:p w14:paraId="38F79D82">
            <w:pPr>
              <w:pStyle w:val="38"/>
              <w:rPr>
                <w:rFonts w:ascii="Times New Roman"/>
                <w:color w:val="auto"/>
                <w:sz w:val="24"/>
                <w:highlight w:val="none"/>
              </w:rPr>
            </w:pPr>
          </w:p>
        </w:tc>
      </w:tr>
      <w:tr w14:paraId="0C046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3353" w:type="dxa"/>
            <w:gridSpan w:val="2"/>
          </w:tcPr>
          <w:p w14:paraId="257C0436">
            <w:pPr>
              <w:pStyle w:val="38"/>
              <w:spacing w:before="10"/>
              <w:rPr>
                <w:b/>
                <w:color w:val="auto"/>
                <w:sz w:val="21"/>
                <w:highlight w:val="none"/>
              </w:rPr>
            </w:pPr>
          </w:p>
          <w:p w14:paraId="59F64882">
            <w:pPr>
              <w:pStyle w:val="38"/>
              <w:ind w:left="1074"/>
              <w:rPr>
                <w:color w:val="auto"/>
                <w:sz w:val="24"/>
                <w:highlight w:val="none"/>
              </w:rPr>
            </w:pPr>
            <w:r>
              <w:rPr>
                <w:color w:val="auto"/>
                <w:sz w:val="24"/>
                <w:highlight w:val="none"/>
              </w:rPr>
              <w:t>磋商有效期</w:t>
            </w:r>
          </w:p>
        </w:tc>
        <w:tc>
          <w:tcPr>
            <w:tcW w:w="5573" w:type="dxa"/>
          </w:tcPr>
          <w:p w14:paraId="23C77B90">
            <w:pPr>
              <w:pStyle w:val="38"/>
              <w:rPr>
                <w:rFonts w:ascii="Times New Roman"/>
                <w:color w:val="auto"/>
                <w:sz w:val="24"/>
                <w:highlight w:val="none"/>
              </w:rPr>
            </w:pPr>
          </w:p>
        </w:tc>
      </w:tr>
      <w:tr w14:paraId="44CBD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3353" w:type="dxa"/>
            <w:gridSpan w:val="2"/>
          </w:tcPr>
          <w:p w14:paraId="1C23094A">
            <w:pPr>
              <w:pStyle w:val="38"/>
              <w:spacing w:before="10"/>
              <w:rPr>
                <w:b/>
                <w:color w:val="auto"/>
                <w:sz w:val="21"/>
                <w:highlight w:val="none"/>
              </w:rPr>
            </w:pPr>
          </w:p>
          <w:p w14:paraId="6BCE88CF">
            <w:pPr>
              <w:pStyle w:val="38"/>
              <w:ind w:left="1174" w:right="1168"/>
              <w:jc w:val="center"/>
              <w:rPr>
                <w:color w:val="auto"/>
                <w:sz w:val="24"/>
                <w:highlight w:val="none"/>
              </w:rPr>
            </w:pPr>
            <w:r>
              <w:rPr>
                <w:color w:val="auto"/>
                <w:sz w:val="24"/>
                <w:highlight w:val="none"/>
              </w:rPr>
              <w:t>磋商范围</w:t>
            </w:r>
          </w:p>
        </w:tc>
        <w:tc>
          <w:tcPr>
            <w:tcW w:w="5573" w:type="dxa"/>
          </w:tcPr>
          <w:p w14:paraId="0942E6B9">
            <w:pPr>
              <w:pStyle w:val="38"/>
              <w:rPr>
                <w:rFonts w:ascii="Times New Roman"/>
                <w:color w:val="auto"/>
                <w:sz w:val="24"/>
                <w:highlight w:val="none"/>
              </w:rPr>
            </w:pPr>
          </w:p>
        </w:tc>
      </w:tr>
      <w:tr w14:paraId="40FB3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3353" w:type="dxa"/>
            <w:gridSpan w:val="2"/>
          </w:tcPr>
          <w:p w14:paraId="5DA88C76">
            <w:pPr>
              <w:pStyle w:val="38"/>
              <w:spacing w:before="12"/>
              <w:rPr>
                <w:b/>
                <w:color w:val="auto"/>
                <w:sz w:val="25"/>
                <w:highlight w:val="none"/>
              </w:rPr>
            </w:pPr>
          </w:p>
          <w:p w14:paraId="1202A394">
            <w:pPr>
              <w:pStyle w:val="38"/>
              <w:ind w:left="1174" w:right="1168"/>
              <w:jc w:val="center"/>
              <w:rPr>
                <w:color w:val="auto"/>
                <w:sz w:val="24"/>
                <w:highlight w:val="none"/>
              </w:rPr>
            </w:pPr>
            <w:r>
              <w:rPr>
                <w:color w:val="auto"/>
                <w:sz w:val="24"/>
                <w:highlight w:val="none"/>
              </w:rPr>
              <w:t>备注</w:t>
            </w:r>
          </w:p>
        </w:tc>
        <w:tc>
          <w:tcPr>
            <w:tcW w:w="5573" w:type="dxa"/>
          </w:tcPr>
          <w:p w14:paraId="5CDDC768">
            <w:pPr>
              <w:pStyle w:val="38"/>
              <w:rPr>
                <w:rFonts w:ascii="Times New Roman"/>
                <w:color w:val="auto"/>
                <w:sz w:val="24"/>
                <w:highlight w:val="none"/>
              </w:rPr>
            </w:pPr>
          </w:p>
        </w:tc>
      </w:tr>
    </w:tbl>
    <w:p w14:paraId="477C9677">
      <w:pPr>
        <w:spacing w:before="141"/>
        <w:ind w:left="980"/>
        <w:rPr>
          <w:b/>
          <w:color w:val="auto"/>
          <w:sz w:val="21"/>
          <w:highlight w:val="none"/>
          <w:lang w:eastAsia="zh-CN"/>
        </w:rPr>
      </w:pPr>
      <w:r>
        <w:rPr>
          <w:b/>
          <w:color w:val="auto"/>
          <w:sz w:val="21"/>
          <w:highlight w:val="none"/>
          <w:lang w:eastAsia="zh-CN"/>
        </w:rPr>
        <w:t>注：该表中所有空白项均为必填项。</w:t>
      </w:r>
    </w:p>
    <w:p w14:paraId="7F9D16C0">
      <w:pPr>
        <w:pStyle w:val="3"/>
        <w:ind w:left="0"/>
        <w:rPr>
          <w:b/>
          <w:color w:val="auto"/>
          <w:sz w:val="20"/>
          <w:highlight w:val="none"/>
          <w:lang w:eastAsia="zh-CN"/>
        </w:rPr>
      </w:pPr>
    </w:p>
    <w:p w14:paraId="290DDA38">
      <w:pPr>
        <w:pStyle w:val="3"/>
        <w:spacing w:before="11"/>
        <w:ind w:left="0"/>
        <w:rPr>
          <w:b/>
          <w:color w:val="auto"/>
          <w:sz w:val="27"/>
          <w:highlight w:val="none"/>
          <w:lang w:eastAsia="zh-CN"/>
        </w:rPr>
      </w:pPr>
    </w:p>
    <w:p w14:paraId="2828A68D">
      <w:pPr>
        <w:pStyle w:val="3"/>
        <w:tabs>
          <w:tab w:val="left" w:pos="4819"/>
        </w:tabs>
        <w:ind w:left="0"/>
        <w:jc w:val="right"/>
        <w:rPr>
          <w:color w:val="auto"/>
          <w:highlight w:val="none"/>
          <w:lang w:eastAsia="zh-CN"/>
        </w:rPr>
      </w:pPr>
      <w:bookmarkStart w:id="166" w:name="三、授权委托书"/>
      <w:bookmarkEnd w:id="166"/>
      <w:bookmarkStart w:id="167" w:name="二、法定代表人身份证明书"/>
      <w:bookmarkEnd w:id="167"/>
      <w:r>
        <w:rPr>
          <w:color w:val="auto"/>
          <w:highlight w:val="none"/>
          <w:lang w:eastAsia="zh-CN"/>
        </w:rPr>
        <w:t>供应商：</w:t>
      </w:r>
      <w:r>
        <w:rPr>
          <w:color w:val="auto"/>
          <w:highlight w:val="none"/>
          <w:u w:val="single"/>
          <w:lang w:eastAsia="zh-CN"/>
        </w:rPr>
        <w:t xml:space="preserve"> </w:t>
      </w:r>
      <w:r>
        <w:rPr>
          <w:rFonts w:hint="eastAsia"/>
          <w:color w:val="auto"/>
          <w:highlight w:val="none"/>
          <w:u w:val="single"/>
          <w:lang w:val="en-US" w:eastAsia="zh-CN"/>
        </w:rPr>
        <w:t xml:space="preserve">                     </w:t>
      </w:r>
      <w:r>
        <w:rPr>
          <w:color w:val="auto"/>
          <w:highlight w:val="none"/>
          <w:lang w:eastAsia="zh-CN"/>
        </w:rPr>
        <w:t>（</w:t>
      </w:r>
      <w:r>
        <w:rPr>
          <w:rFonts w:hint="eastAsia"/>
          <w:color w:val="auto"/>
          <w:highlight w:val="none"/>
          <w:lang w:val="en-US" w:eastAsia="zh-CN"/>
        </w:rPr>
        <w:t>电子</w:t>
      </w:r>
      <w:r>
        <w:rPr>
          <w:color w:val="auto"/>
          <w:highlight w:val="none"/>
          <w:lang w:eastAsia="zh-CN"/>
        </w:rPr>
        <w:t>签章）</w:t>
      </w:r>
    </w:p>
    <w:p w14:paraId="64E37E16">
      <w:pPr>
        <w:pStyle w:val="3"/>
        <w:ind w:left="0"/>
        <w:jc w:val="right"/>
        <w:rPr>
          <w:color w:val="auto"/>
          <w:highlight w:val="none"/>
          <w:lang w:eastAsia="zh-CN"/>
        </w:rPr>
      </w:pPr>
    </w:p>
    <w:p w14:paraId="1BB1E49D">
      <w:pPr>
        <w:pStyle w:val="3"/>
        <w:tabs>
          <w:tab w:val="left" w:pos="4935"/>
        </w:tabs>
        <w:ind w:left="0"/>
        <w:jc w:val="right"/>
        <w:rPr>
          <w:color w:val="auto"/>
          <w:highlight w:val="none"/>
          <w:lang w:eastAsia="zh-CN"/>
        </w:rPr>
      </w:pPr>
      <w:r>
        <w:rPr>
          <w:color w:val="auto"/>
          <w:highlight w:val="none"/>
          <w:lang w:eastAsia="zh-CN"/>
        </w:rPr>
        <w:t>法定代表人：</w:t>
      </w:r>
      <w:r>
        <w:rPr>
          <w:color w:val="auto"/>
          <w:highlight w:val="none"/>
          <w:u w:val="single"/>
          <w:lang w:eastAsia="zh-CN"/>
        </w:rPr>
        <w:t xml:space="preserve"> </w:t>
      </w:r>
      <w:r>
        <w:rPr>
          <w:rFonts w:hint="eastAsia"/>
          <w:color w:val="auto"/>
          <w:highlight w:val="none"/>
          <w:u w:val="single"/>
          <w:lang w:val="en-US" w:eastAsia="zh-CN"/>
        </w:rPr>
        <w:t xml:space="preserve">                 </w:t>
      </w:r>
      <w:r>
        <w:rPr>
          <w:color w:val="auto"/>
          <w:highlight w:val="none"/>
          <w:lang w:eastAsia="zh-CN"/>
        </w:rPr>
        <w:t>（电子签章）</w:t>
      </w:r>
    </w:p>
    <w:p w14:paraId="23DFD85E">
      <w:pPr>
        <w:pStyle w:val="3"/>
        <w:ind w:left="0"/>
        <w:jc w:val="right"/>
        <w:rPr>
          <w:color w:val="auto"/>
          <w:sz w:val="19"/>
          <w:highlight w:val="none"/>
          <w:lang w:eastAsia="zh-CN"/>
        </w:rPr>
      </w:pPr>
    </w:p>
    <w:p w14:paraId="5ED2E81E">
      <w:pPr>
        <w:pStyle w:val="3"/>
        <w:tabs>
          <w:tab w:val="left" w:pos="1077"/>
          <w:tab w:val="left" w:pos="1797"/>
          <w:tab w:val="left" w:pos="2757"/>
        </w:tabs>
        <w:ind w:left="0" w:firstLine="1800" w:firstLineChars="900"/>
        <w:jc w:val="right"/>
        <w:rPr>
          <w:rFonts w:hint="eastAsia"/>
          <w:color w:val="auto"/>
          <w:highlight w:val="none"/>
          <w:u w:val="single"/>
          <w:lang w:val="en-US" w:eastAsia="zh-CN"/>
        </w:rPr>
      </w:pPr>
    </w:p>
    <w:p w14:paraId="6A7F87BA">
      <w:pPr>
        <w:jc w:val="right"/>
        <w:rPr>
          <w:color w:val="auto"/>
          <w:highlight w:val="none"/>
          <w:lang w:eastAsia="zh-CN"/>
        </w:rPr>
      </w:pPr>
      <w:r>
        <w:rPr>
          <w:rFonts w:hint="eastAsia"/>
          <w:color w:val="auto"/>
          <w:highlight w:val="none"/>
          <w:u w:val="single"/>
          <w:lang w:val="en-US" w:eastAsia="zh-CN"/>
        </w:rPr>
        <w:t xml:space="preserve">       </w:t>
      </w:r>
      <w:r>
        <w:rPr>
          <w:color w:val="auto"/>
          <w:highlight w:val="none"/>
          <w:lang w:eastAsia="zh-CN"/>
        </w:rPr>
        <w:t>年</w:t>
      </w:r>
      <w:r>
        <w:rPr>
          <w:color w:val="auto"/>
          <w:highlight w:val="none"/>
          <w:u w:val="single"/>
          <w:lang w:eastAsia="zh-CN"/>
        </w:rPr>
        <w:t xml:space="preserve"> </w:t>
      </w:r>
      <w:r>
        <w:rPr>
          <w:rFonts w:hint="eastAsia"/>
          <w:color w:val="auto"/>
          <w:highlight w:val="none"/>
          <w:u w:val="single"/>
          <w:lang w:val="en-US" w:eastAsia="zh-CN"/>
        </w:rPr>
        <w:t xml:space="preserve">   </w:t>
      </w:r>
      <w:r>
        <w:rPr>
          <w:color w:val="auto"/>
          <w:highlight w:val="none"/>
          <w:u w:val="single"/>
          <w:lang w:eastAsia="zh-CN"/>
        </w:rPr>
        <w:tab/>
      </w:r>
      <w:r>
        <w:rPr>
          <w:color w:val="auto"/>
          <w:highlight w:val="none"/>
          <w:lang w:eastAsia="zh-CN"/>
        </w:rPr>
        <w:t>月</w:t>
      </w:r>
      <w:r>
        <w:rPr>
          <w:color w:val="auto"/>
          <w:highlight w:val="none"/>
          <w:u w:val="single"/>
          <w:lang w:eastAsia="zh-CN"/>
        </w:rPr>
        <w:t xml:space="preserve"> </w:t>
      </w:r>
      <w:r>
        <w:rPr>
          <w:rFonts w:hint="eastAsia"/>
          <w:color w:val="auto"/>
          <w:highlight w:val="none"/>
          <w:u w:val="single"/>
          <w:lang w:val="en-US" w:eastAsia="zh-CN"/>
        </w:rPr>
        <w:t xml:space="preserve">   </w:t>
      </w:r>
      <w:r>
        <w:rPr>
          <w:color w:val="auto"/>
          <w:highlight w:val="none"/>
          <w:u w:val="single"/>
          <w:lang w:eastAsia="zh-CN"/>
        </w:rPr>
        <w:tab/>
      </w:r>
      <w:r>
        <w:rPr>
          <w:color w:val="auto"/>
          <w:highlight w:val="none"/>
          <w:lang w:eastAsia="zh-CN"/>
        </w:rPr>
        <w:t>日</w:t>
      </w:r>
    </w:p>
    <w:p w14:paraId="3CCCBD45">
      <w:pPr>
        <w:rPr>
          <w:b/>
          <w:color w:val="auto"/>
          <w:sz w:val="28"/>
          <w:highlight w:val="none"/>
          <w:lang w:eastAsia="zh-CN"/>
        </w:rPr>
      </w:pPr>
      <w:r>
        <w:rPr>
          <w:b/>
          <w:color w:val="auto"/>
          <w:sz w:val="28"/>
          <w:highlight w:val="none"/>
          <w:lang w:eastAsia="zh-CN"/>
        </w:rPr>
        <w:br w:type="page"/>
      </w:r>
    </w:p>
    <w:p w14:paraId="2C5A5E3B">
      <w:pPr>
        <w:spacing w:before="35"/>
        <w:ind w:left="530" w:right="532"/>
        <w:jc w:val="center"/>
        <w:rPr>
          <w:b/>
          <w:color w:val="auto"/>
          <w:sz w:val="28"/>
          <w:highlight w:val="none"/>
          <w:lang w:eastAsia="zh-CN"/>
        </w:rPr>
      </w:pPr>
      <w:r>
        <w:rPr>
          <w:b/>
          <w:color w:val="auto"/>
          <w:sz w:val="28"/>
          <w:highlight w:val="none"/>
          <w:lang w:eastAsia="zh-CN"/>
        </w:rPr>
        <w:t>二、法定代表人身份证明书</w:t>
      </w:r>
    </w:p>
    <w:p w14:paraId="5F2B6B15">
      <w:pPr>
        <w:pStyle w:val="3"/>
        <w:ind w:left="0"/>
        <w:rPr>
          <w:rFonts w:hint="eastAsia"/>
          <w:b/>
          <w:color w:val="auto"/>
          <w:sz w:val="28"/>
          <w:highlight w:val="none"/>
          <w:lang w:eastAsia="zh-CN"/>
        </w:rPr>
      </w:pPr>
    </w:p>
    <w:p w14:paraId="6EC958C5">
      <w:pPr>
        <w:pStyle w:val="3"/>
        <w:spacing w:before="3"/>
        <w:ind w:left="0"/>
        <w:rPr>
          <w:b/>
          <w:color w:val="auto"/>
          <w:sz w:val="27"/>
          <w:highlight w:val="none"/>
          <w:lang w:eastAsia="zh-CN"/>
        </w:rPr>
      </w:pPr>
    </w:p>
    <w:p w14:paraId="66B5DC0F">
      <w:pPr>
        <w:pStyle w:val="3"/>
        <w:tabs>
          <w:tab w:val="left" w:pos="3319"/>
          <w:tab w:val="left" w:pos="3679"/>
          <w:tab w:val="left" w:pos="3919"/>
        </w:tabs>
        <w:spacing w:line="360" w:lineRule="auto"/>
        <w:ind w:left="0" w:firstLine="400" w:firstLineChars="200"/>
        <w:jc w:val="both"/>
        <w:rPr>
          <w:rFonts w:ascii="Times New Roman" w:eastAsia="Times New Roman"/>
          <w:color w:val="auto"/>
          <w:highlight w:val="none"/>
          <w:u w:val="single"/>
          <w:lang w:eastAsia="zh-CN"/>
        </w:rPr>
      </w:pPr>
      <w:r>
        <w:rPr>
          <w:color w:val="auto"/>
          <w:highlight w:val="none"/>
          <w:lang w:eastAsia="zh-CN"/>
        </w:rPr>
        <w:t>供应商名称：</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 xml:space="preserve"> </w:t>
      </w:r>
    </w:p>
    <w:p w14:paraId="75F7C6C2">
      <w:pPr>
        <w:pStyle w:val="3"/>
        <w:tabs>
          <w:tab w:val="left" w:pos="3319"/>
          <w:tab w:val="left" w:pos="3679"/>
          <w:tab w:val="left" w:pos="3919"/>
        </w:tabs>
        <w:spacing w:line="360" w:lineRule="auto"/>
        <w:ind w:left="0" w:firstLine="400" w:firstLineChars="200"/>
        <w:jc w:val="both"/>
        <w:rPr>
          <w:color w:val="auto"/>
          <w:highlight w:val="none"/>
          <w:lang w:eastAsia="zh-CN"/>
        </w:rPr>
      </w:pPr>
      <w:r>
        <w:rPr>
          <w:color w:val="auto"/>
          <w:highlight w:val="none"/>
          <w:lang w:eastAsia="zh-CN"/>
        </w:rPr>
        <w:t>单位性质：</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ab/>
      </w:r>
      <w:r>
        <w:rPr>
          <w:color w:val="auto"/>
          <w:highlight w:val="none"/>
          <w:lang w:eastAsia="zh-CN"/>
        </w:rPr>
        <w:t xml:space="preserve"> </w:t>
      </w:r>
    </w:p>
    <w:p w14:paraId="47C324AA">
      <w:pPr>
        <w:pStyle w:val="3"/>
        <w:tabs>
          <w:tab w:val="left" w:pos="3319"/>
          <w:tab w:val="left" w:pos="3679"/>
          <w:tab w:val="left" w:pos="3919"/>
        </w:tabs>
        <w:spacing w:line="360" w:lineRule="auto"/>
        <w:ind w:left="0" w:firstLine="400" w:firstLineChars="200"/>
        <w:jc w:val="both"/>
        <w:rPr>
          <w:rFonts w:ascii="Times New Roman" w:eastAsia="Times New Roman"/>
          <w:color w:val="auto"/>
          <w:highlight w:val="none"/>
          <w:lang w:eastAsia="zh-CN"/>
        </w:rPr>
      </w:pPr>
      <w:r>
        <w:rPr>
          <w:color w:val="auto"/>
          <w:highlight w:val="none"/>
          <w:lang w:eastAsia="zh-CN"/>
        </w:rPr>
        <w:t xml:space="preserve">地址： </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p>
    <w:p w14:paraId="32A95CEF">
      <w:pPr>
        <w:pStyle w:val="3"/>
        <w:tabs>
          <w:tab w:val="left" w:pos="3619"/>
          <w:tab w:val="left" w:pos="5299"/>
          <w:tab w:val="left" w:pos="5899"/>
          <w:tab w:val="left" w:pos="6979"/>
        </w:tabs>
        <w:spacing w:line="360" w:lineRule="auto"/>
        <w:ind w:left="0" w:firstLine="400" w:firstLineChars="200"/>
        <w:jc w:val="both"/>
        <w:rPr>
          <w:color w:val="auto"/>
          <w:spacing w:val="-18"/>
          <w:highlight w:val="none"/>
          <w:lang w:eastAsia="zh-CN"/>
        </w:rPr>
      </w:pPr>
      <w:r>
        <w:rPr>
          <w:color w:val="auto"/>
          <w:highlight w:val="none"/>
          <w:lang w:eastAsia="zh-CN"/>
        </w:rPr>
        <w:t>成立时间：</w:t>
      </w:r>
      <w:r>
        <w:rPr>
          <w:color w:val="auto"/>
          <w:highlight w:val="none"/>
          <w:u w:val="single"/>
          <w:lang w:eastAsia="zh-CN"/>
        </w:rPr>
        <w:t xml:space="preserve"> </w:t>
      </w:r>
      <w:r>
        <w:rPr>
          <w:rFonts w:hint="eastAsia"/>
          <w:color w:val="auto"/>
          <w:highlight w:val="none"/>
          <w:u w:val="single"/>
          <w:lang w:val="en-US" w:eastAsia="zh-CN"/>
        </w:rPr>
        <w:t xml:space="preserve">          </w:t>
      </w:r>
      <w:r>
        <w:rPr>
          <w:color w:val="auto"/>
          <w:highlight w:val="none"/>
          <w:lang w:eastAsia="zh-CN"/>
        </w:rPr>
        <w:t>年</w:t>
      </w:r>
      <w:r>
        <w:rPr>
          <w:color w:val="auto"/>
          <w:highlight w:val="none"/>
          <w:u w:val="single"/>
          <w:lang w:eastAsia="zh-CN"/>
        </w:rPr>
        <w:t xml:space="preserve"> </w:t>
      </w:r>
      <w:r>
        <w:rPr>
          <w:color w:val="auto"/>
          <w:highlight w:val="none"/>
          <w:u w:val="single"/>
          <w:lang w:eastAsia="zh-CN"/>
        </w:rPr>
        <w:tab/>
      </w:r>
      <w:r>
        <w:rPr>
          <w:color w:val="auto"/>
          <w:highlight w:val="none"/>
          <w:lang w:eastAsia="zh-CN"/>
        </w:rPr>
        <w:t>月</w:t>
      </w:r>
      <w:r>
        <w:rPr>
          <w:rFonts w:hint="eastAsia"/>
          <w:color w:val="auto"/>
          <w:highlight w:val="none"/>
          <w:u w:val="single"/>
          <w:lang w:val="en-US" w:eastAsia="zh-CN"/>
        </w:rPr>
        <w:t xml:space="preserve">          </w:t>
      </w:r>
      <w:r>
        <w:rPr>
          <w:color w:val="auto"/>
          <w:spacing w:val="-18"/>
          <w:highlight w:val="none"/>
          <w:lang w:eastAsia="zh-CN"/>
        </w:rPr>
        <w:t>日</w:t>
      </w:r>
    </w:p>
    <w:p w14:paraId="632A4967">
      <w:pPr>
        <w:pStyle w:val="3"/>
        <w:tabs>
          <w:tab w:val="left" w:pos="3619"/>
          <w:tab w:val="left" w:pos="5299"/>
          <w:tab w:val="left" w:pos="5899"/>
          <w:tab w:val="left" w:pos="6979"/>
        </w:tabs>
        <w:spacing w:line="360" w:lineRule="auto"/>
        <w:ind w:left="0" w:firstLine="400" w:firstLineChars="200"/>
        <w:jc w:val="both"/>
        <w:rPr>
          <w:rFonts w:hint="default"/>
          <w:color w:val="auto"/>
          <w:highlight w:val="none"/>
          <w:lang w:val="en-US" w:eastAsia="zh-CN"/>
        </w:rPr>
      </w:pPr>
      <w:r>
        <w:rPr>
          <w:color w:val="auto"/>
          <w:highlight w:val="none"/>
          <w:lang w:eastAsia="zh-CN"/>
        </w:rPr>
        <w:t>经营期限</w:t>
      </w:r>
      <w:r>
        <w:rPr>
          <w:color w:val="auto"/>
          <w:highlight w:val="none"/>
          <w:u w:val="single"/>
          <w:lang w:eastAsia="zh-CN"/>
        </w:rPr>
        <w:t>：</w:t>
      </w:r>
      <w:r>
        <w:rPr>
          <w:rFonts w:hint="eastAsia"/>
          <w:color w:val="auto"/>
          <w:highlight w:val="none"/>
          <w:u w:val="single"/>
          <w:lang w:val="en-US" w:eastAsia="zh-CN"/>
        </w:rPr>
        <w:t xml:space="preserve">                      </w:t>
      </w:r>
    </w:p>
    <w:p w14:paraId="3CA5F58A">
      <w:pPr>
        <w:pStyle w:val="3"/>
        <w:tabs>
          <w:tab w:val="left" w:pos="2659"/>
          <w:tab w:val="left" w:pos="3139"/>
          <w:tab w:val="left" w:pos="5299"/>
          <w:tab w:val="left" w:pos="7459"/>
          <w:tab w:val="left" w:pos="9345"/>
        </w:tabs>
        <w:spacing w:line="360" w:lineRule="auto"/>
        <w:ind w:left="0" w:firstLine="400" w:firstLineChars="200"/>
        <w:jc w:val="both"/>
        <w:rPr>
          <w:color w:val="auto"/>
          <w:highlight w:val="none"/>
          <w:lang w:eastAsia="zh-CN"/>
        </w:rPr>
      </w:pPr>
      <w:r>
        <w:rPr>
          <w:color w:val="auto"/>
          <w:highlight w:val="none"/>
          <w:lang w:eastAsia="zh-CN"/>
        </w:rPr>
        <w:t>姓名：</w:t>
      </w:r>
      <w:r>
        <w:rPr>
          <w:color w:val="auto"/>
          <w:highlight w:val="none"/>
          <w:u w:val="single"/>
          <w:lang w:eastAsia="zh-CN"/>
        </w:rPr>
        <w:t xml:space="preserve"> </w:t>
      </w:r>
      <w:r>
        <w:rPr>
          <w:rFonts w:hint="eastAsia"/>
          <w:color w:val="auto"/>
          <w:highlight w:val="none"/>
          <w:u w:val="single"/>
          <w:lang w:val="en-US" w:eastAsia="zh-CN"/>
        </w:rPr>
        <w:t xml:space="preserve">           </w:t>
      </w:r>
      <w:r>
        <w:rPr>
          <w:color w:val="auto"/>
          <w:highlight w:val="none"/>
          <w:lang w:eastAsia="zh-CN"/>
        </w:rPr>
        <w:t>性别：</w:t>
      </w:r>
      <w:r>
        <w:rPr>
          <w:color w:val="auto"/>
          <w:highlight w:val="none"/>
          <w:u w:val="single"/>
          <w:lang w:eastAsia="zh-CN"/>
        </w:rPr>
        <w:t xml:space="preserve"> </w:t>
      </w:r>
      <w:r>
        <w:rPr>
          <w:color w:val="auto"/>
          <w:highlight w:val="none"/>
          <w:u w:val="single"/>
          <w:lang w:eastAsia="zh-CN"/>
        </w:rPr>
        <w:tab/>
      </w:r>
      <w:r>
        <w:rPr>
          <w:rFonts w:hint="eastAsia"/>
          <w:color w:val="auto"/>
          <w:highlight w:val="none"/>
          <w:u w:val="single"/>
          <w:lang w:val="en-US" w:eastAsia="zh-CN"/>
        </w:rPr>
        <w:t xml:space="preserve">        </w:t>
      </w:r>
      <w:r>
        <w:rPr>
          <w:color w:val="auto"/>
          <w:highlight w:val="none"/>
          <w:lang w:eastAsia="zh-CN"/>
        </w:rPr>
        <w:t>年龄：</w:t>
      </w:r>
      <w:r>
        <w:rPr>
          <w:color w:val="auto"/>
          <w:highlight w:val="none"/>
          <w:u w:val="single"/>
          <w:lang w:eastAsia="zh-CN"/>
        </w:rPr>
        <w:t xml:space="preserve"> </w:t>
      </w:r>
      <w:r>
        <w:rPr>
          <w:color w:val="auto"/>
          <w:highlight w:val="none"/>
          <w:u w:val="single"/>
          <w:lang w:eastAsia="zh-CN"/>
        </w:rPr>
        <w:tab/>
      </w:r>
      <w:r>
        <w:rPr>
          <w:rFonts w:hint="eastAsia"/>
          <w:color w:val="auto"/>
          <w:highlight w:val="none"/>
          <w:u w:val="single"/>
          <w:lang w:val="en-US" w:eastAsia="zh-CN"/>
        </w:rPr>
        <w:t xml:space="preserve">   </w:t>
      </w:r>
      <w:r>
        <w:rPr>
          <w:color w:val="auto"/>
          <w:highlight w:val="none"/>
          <w:lang w:eastAsia="zh-CN"/>
        </w:rPr>
        <w:t>职务：</w:t>
      </w:r>
      <w:r>
        <w:rPr>
          <w:rFonts w:ascii="Times New Roman" w:eastAsia="Times New Roman"/>
          <w:color w:val="auto"/>
          <w:highlight w:val="none"/>
          <w:u w:val="single"/>
          <w:lang w:eastAsia="zh-CN"/>
        </w:rPr>
        <w:t xml:space="preserve"> </w:t>
      </w:r>
      <w:r>
        <w:rPr>
          <w:rFonts w:hint="eastAsia" w:ascii="Times New Roman" w:eastAsia="Times New Roman"/>
          <w:color w:val="auto"/>
          <w:highlight w:val="none"/>
          <w:u w:val="single"/>
          <w:lang w:val="en-US" w:eastAsia="zh-CN"/>
        </w:rPr>
        <w:t xml:space="preserve">       </w:t>
      </w:r>
      <w:r>
        <w:rPr>
          <w:color w:val="auto"/>
          <w:highlight w:val="none"/>
          <w:lang w:eastAsia="zh-CN"/>
        </w:rPr>
        <w:t>系</w:t>
      </w:r>
      <w:r>
        <w:rPr>
          <w:color w:val="auto"/>
          <w:highlight w:val="none"/>
          <w:u w:val="single"/>
          <w:lang w:eastAsia="zh-CN"/>
        </w:rPr>
        <w:t xml:space="preserve"> </w:t>
      </w:r>
      <w:r>
        <w:rPr>
          <w:color w:val="auto"/>
          <w:highlight w:val="none"/>
          <w:u w:val="single"/>
          <w:lang w:eastAsia="zh-CN"/>
        </w:rPr>
        <w:tab/>
      </w:r>
      <w:r>
        <w:rPr>
          <w:rFonts w:hint="eastAsia"/>
          <w:color w:val="auto"/>
          <w:highlight w:val="none"/>
          <w:u w:val="single"/>
          <w:lang w:val="en-US" w:eastAsia="zh-CN"/>
        </w:rPr>
        <w:t xml:space="preserve">       </w:t>
      </w:r>
      <w:r>
        <w:rPr>
          <w:color w:val="auto"/>
          <w:highlight w:val="none"/>
          <w:lang w:eastAsia="zh-CN"/>
        </w:rPr>
        <w:t>（供应商名称）的法定代表人。</w:t>
      </w:r>
    </w:p>
    <w:p w14:paraId="6A5CF6EF">
      <w:pPr>
        <w:pStyle w:val="3"/>
        <w:spacing w:line="360" w:lineRule="auto"/>
        <w:ind w:left="0" w:firstLine="400" w:firstLineChars="200"/>
        <w:jc w:val="both"/>
        <w:rPr>
          <w:color w:val="auto"/>
          <w:highlight w:val="none"/>
          <w:lang w:eastAsia="zh-CN"/>
        </w:rPr>
      </w:pPr>
      <w:r>
        <w:rPr>
          <w:color w:val="auto"/>
          <w:highlight w:val="none"/>
          <w:lang w:eastAsia="zh-CN"/>
        </w:rPr>
        <w:t>特此证明。</w:t>
      </w:r>
    </w:p>
    <w:p w14:paraId="2FF0EF50">
      <w:pPr>
        <w:pStyle w:val="3"/>
        <w:spacing w:line="360" w:lineRule="auto"/>
        <w:ind w:left="0" w:firstLine="620" w:firstLineChars="200"/>
        <w:jc w:val="both"/>
        <w:rPr>
          <w:color w:val="auto"/>
          <w:sz w:val="31"/>
          <w:highlight w:val="none"/>
          <w:lang w:eastAsia="zh-CN"/>
        </w:rPr>
      </w:pPr>
    </w:p>
    <w:p w14:paraId="5AA414CB">
      <w:pPr>
        <w:tabs>
          <w:tab w:val="left" w:pos="3859"/>
        </w:tabs>
        <w:spacing w:line="360" w:lineRule="auto"/>
        <w:ind w:firstLine="482" w:firstLineChars="200"/>
        <w:jc w:val="both"/>
        <w:rPr>
          <w:b/>
          <w:color w:val="auto"/>
          <w:spacing w:val="-15"/>
          <w:sz w:val="24"/>
          <w:highlight w:val="none"/>
          <w:lang w:eastAsia="zh-CN"/>
        </w:rPr>
      </w:pPr>
      <w:r>
        <w:rPr>
          <w:b/>
          <w:color w:val="auto"/>
          <w:sz w:val="24"/>
          <w:highlight w:val="none"/>
          <w:lang w:eastAsia="zh-CN"/>
        </w:rPr>
        <w:t>（后附法定代表人身份证正反面扫描件</w:t>
      </w:r>
      <w:r>
        <w:rPr>
          <w:b/>
          <w:color w:val="auto"/>
          <w:spacing w:val="-15"/>
          <w:sz w:val="24"/>
          <w:highlight w:val="none"/>
          <w:lang w:eastAsia="zh-CN"/>
        </w:rPr>
        <w:t>）</w:t>
      </w:r>
    </w:p>
    <w:p w14:paraId="674D0D4E">
      <w:pPr>
        <w:tabs>
          <w:tab w:val="left" w:pos="3859"/>
        </w:tabs>
        <w:spacing w:line="480" w:lineRule="auto"/>
        <w:ind w:firstLine="422" w:firstLineChars="200"/>
        <w:jc w:val="both"/>
        <w:rPr>
          <w:b/>
          <w:color w:val="auto"/>
          <w:spacing w:val="-15"/>
          <w:sz w:val="24"/>
          <w:highlight w:val="none"/>
          <w:lang w:eastAsia="zh-CN"/>
        </w:rPr>
      </w:pPr>
    </w:p>
    <w:p w14:paraId="6B3DBD81">
      <w:pPr>
        <w:tabs>
          <w:tab w:val="left" w:pos="3859"/>
        </w:tabs>
        <w:spacing w:line="480" w:lineRule="auto"/>
        <w:ind w:firstLine="422" w:firstLineChars="200"/>
        <w:jc w:val="both"/>
        <w:rPr>
          <w:b/>
          <w:color w:val="auto"/>
          <w:spacing w:val="-15"/>
          <w:sz w:val="24"/>
          <w:highlight w:val="none"/>
          <w:lang w:eastAsia="zh-CN"/>
        </w:rPr>
      </w:pPr>
    </w:p>
    <w:p w14:paraId="4B2AB628">
      <w:pPr>
        <w:pStyle w:val="3"/>
        <w:tabs>
          <w:tab w:val="left" w:pos="4819"/>
        </w:tabs>
        <w:spacing w:line="480" w:lineRule="auto"/>
        <w:ind w:left="0"/>
        <w:rPr>
          <w:color w:val="auto"/>
          <w:highlight w:val="none"/>
          <w:lang w:eastAsia="zh-CN"/>
        </w:rPr>
      </w:pPr>
      <w:r>
        <w:rPr>
          <w:b/>
          <w:color w:val="auto"/>
          <w:spacing w:val="-15"/>
          <w:sz w:val="24"/>
          <w:highlight w:val="none"/>
          <w:lang w:eastAsia="zh-CN"/>
        </w:rPr>
        <w:t xml:space="preserve"> </w:t>
      </w:r>
      <w:bookmarkStart w:id="168" w:name="四、项目实施方案"/>
      <w:bookmarkEnd w:id="168"/>
      <w:r>
        <w:rPr>
          <w:color w:val="auto"/>
          <w:highlight w:val="none"/>
          <w:lang w:eastAsia="zh-CN"/>
        </w:rPr>
        <w:t>供应商：</w:t>
      </w:r>
      <w:r>
        <w:rPr>
          <w:color w:val="auto"/>
          <w:highlight w:val="none"/>
          <w:u w:val="single"/>
          <w:lang w:eastAsia="zh-CN"/>
        </w:rPr>
        <w:t xml:space="preserve"> </w:t>
      </w:r>
      <w:r>
        <w:rPr>
          <w:color w:val="auto"/>
          <w:highlight w:val="none"/>
          <w:u w:val="single"/>
          <w:lang w:eastAsia="zh-CN"/>
        </w:rPr>
        <w:tab/>
      </w:r>
      <w:r>
        <w:rPr>
          <w:color w:val="auto"/>
          <w:highlight w:val="none"/>
          <w:lang w:eastAsia="zh-CN"/>
        </w:rPr>
        <w:t>（单位签章）</w:t>
      </w:r>
    </w:p>
    <w:p w14:paraId="184356D4">
      <w:pPr>
        <w:pStyle w:val="3"/>
        <w:tabs>
          <w:tab w:val="left" w:pos="1557"/>
          <w:tab w:val="left" w:pos="2877"/>
          <w:tab w:val="left" w:pos="4197"/>
        </w:tabs>
        <w:spacing w:line="480" w:lineRule="auto"/>
        <w:ind w:left="0"/>
        <w:rPr>
          <w:color w:val="auto"/>
          <w:highlight w:val="none"/>
          <w:lang w:eastAsia="zh-CN"/>
        </w:rPr>
      </w:pP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r>
        <w:rPr>
          <w:color w:val="auto"/>
          <w:highlight w:val="none"/>
          <w:lang w:eastAsia="zh-CN"/>
        </w:rPr>
        <w:t>年</w:t>
      </w:r>
      <w:r>
        <w:rPr>
          <w:color w:val="auto"/>
          <w:highlight w:val="none"/>
          <w:u w:val="single"/>
          <w:lang w:eastAsia="zh-CN"/>
        </w:rPr>
        <w:t xml:space="preserve"> </w:t>
      </w:r>
      <w:r>
        <w:rPr>
          <w:color w:val="auto"/>
          <w:highlight w:val="none"/>
          <w:u w:val="single"/>
          <w:lang w:eastAsia="zh-CN"/>
        </w:rPr>
        <w:tab/>
      </w:r>
      <w:r>
        <w:rPr>
          <w:color w:val="auto"/>
          <w:highlight w:val="none"/>
          <w:lang w:eastAsia="zh-CN"/>
        </w:rPr>
        <w:t>月</w:t>
      </w:r>
      <w:r>
        <w:rPr>
          <w:color w:val="auto"/>
          <w:highlight w:val="none"/>
          <w:u w:val="single"/>
          <w:lang w:eastAsia="zh-CN"/>
        </w:rPr>
        <w:t xml:space="preserve"> </w:t>
      </w:r>
      <w:r>
        <w:rPr>
          <w:color w:val="auto"/>
          <w:highlight w:val="none"/>
          <w:u w:val="single"/>
          <w:lang w:eastAsia="zh-CN"/>
        </w:rPr>
        <w:tab/>
      </w:r>
      <w:r>
        <w:rPr>
          <w:color w:val="auto"/>
          <w:highlight w:val="none"/>
          <w:lang w:eastAsia="zh-CN"/>
        </w:rPr>
        <w:t>日</w:t>
      </w:r>
    </w:p>
    <w:p w14:paraId="72A26AAD">
      <w:pPr>
        <w:rPr>
          <w:b/>
          <w:color w:val="auto"/>
          <w:spacing w:val="-1"/>
          <w:w w:val="95"/>
          <w:sz w:val="24"/>
          <w:szCs w:val="24"/>
          <w:highlight w:val="none"/>
          <w:lang w:eastAsia="zh-CN"/>
        </w:rPr>
      </w:pPr>
      <w:r>
        <w:rPr>
          <w:b/>
          <w:color w:val="auto"/>
          <w:spacing w:val="-1"/>
          <w:w w:val="95"/>
          <w:sz w:val="24"/>
          <w:szCs w:val="24"/>
          <w:highlight w:val="none"/>
          <w:lang w:eastAsia="zh-CN"/>
        </w:rPr>
        <w:br w:type="page"/>
      </w:r>
    </w:p>
    <w:p w14:paraId="7636D926">
      <w:pPr>
        <w:spacing w:line="360" w:lineRule="auto"/>
        <w:ind w:firstLine="454" w:firstLineChars="200"/>
        <w:jc w:val="center"/>
        <w:rPr>
          <w:b/>
          <w:color w:val="auto"/>
          <w:sz w:val="24"/>
          <w:szCs w:val="24"/>
          <w:highlight w:val="none"/>
          <w:lang w:eastAsia="zh-CN"/>
        </w:rPr>
      </w:pPr>
      <w:r>
        <w:rPr>
          <w:b/>
          <w:color w:val="auto"/>
          <w:spacing w:val="-1"/>
          <w:w w:val="95"/>
          <w:sz w:val="24"/>
          <w:szCs w:val="24"/>
          <w:highlight w:val="none"/>
          <w:lang w:eastAsia="zh-CN"/>
        </w:rPr>
        <w:t>三、授权委托书</w:t>
      </w:r>
    </w:p>
    <w:p w14:paraId="400D13C2">
      <w:pPr>
        <w:pStyle w:val="3"/>
        <w:spacing w:line="360" w:lineRule="auto"/>
        <w:ind w:left="0" w:firstLine="402" w:firstLineChars="200"/>
        <w:rPr>
          <w:b/>
          <w:color w:val="auto"/>
          <w:highlight w:val="none"/>
          <w:lang w:eastAsia="zh-CN"/>
        </w:rPr>
      </w:pPr>
    </w:p>
    <w:p w14:paraId="5E24392B">
      <w:pPr>
        <w:pStyle w:val="3"/>
        <w:tabs>
          <w:tab w:val="left" w:pos="2640"/>
          <w:tab w:val="left" w:pos="2880"/>
          <w:tab w:val="left" w:pos="5484"/>
          <w:tab w:val="left" w:pos="6335"/>
        </w:tabs>
        <w:spacing w:line="360" w:lineRule="auto"/>
        <w:ind w:left="0" w:firstLine="400" w:firstLineChars="200"/>
        <w:jc w:val="both"/>
        <w:rPr>
          <w:color w:val="auto"/>
          <w:highlight w:val="none"/>
          <w:lang w:eastAsia="zh-CN"/>
        </w:rPr>
      </w:pPr>
      <w:r>
        <w:rPr>
          <w:color w:val="auto"/>
          <w:highlight w:val="none"/>
          <w:lang w:eastAsia="zh-CN"/>
        </w:rPr>
        <w:t>本人</w:t>
      </w:r>
      <w:r>
        <w:rPr>
          <w:color w:val="auto"/>
          <w:highlight w:val="none"/>
          <w:u w:val="single"/>
          <w:lang w:eastAsia="zh-CN"/>
        </w:rPr>
        <w:t xml:space="preserve"> </w:t>
      </w:r>
      <w:r>
        <w:rPr>
          <w:rFonts w:hint="eastAsia"/>
          <w:color w:val="auto"/>
          <w:highlight w:val="none"/>
          <w:u w:val="single"/>
          <w:lang w:val="en-US" w:eastAsia="zh-CN"/>
        </w:rPr>
        <w:t xml:space="preserve">        </w:t>
      </w:r>
      <w:r>
        <w:rPr>
          <w:color w:val="auto"/>
          <w:highlight w:val="none"/>
          <w:lang w:eastAsia="zh-CN"/>
        </w:rPr>
        <w:t>（姓名</w:t>
      </w:r>
      <w:r>
        <w:rPr>
          <w:color w:val="auto"/>
          <w:spacing w:val="-20"/>
          <w:highlight w:val="none"/>
          <w:lang w:eastAsia="zh-CN"/>
        </w:rPr>
        <w:t>）</w:t>
      </w:r>
      <w:r>
        <w:rPr>
          <w:color w:val="auto"/>
          <w:highlight w:val="none"/>
          <w:lang w:eastAsia="zh-CN"/>
        </w:rPr>
        <w:t>系</w:t>
      </w:r>
      <w:r>
        <w:rPr>
          <w:color w:val="auto"/>
          <w:highlight w:val="none"/>
          <w:u w:val="single"/>
          <w:lang w:eastAsia="zh-CN"/>
        </w:rPr>
        <w:t xml:space="preserve"> </w:t>
      </w:r>
      <w:r>
        <w:rPr>
          <w:rFonts w:hint="eastAsia"/>
          <w:color w:val="auto"/>
          <w:highlight w:val="none"/>
          <w:u w:val="single"/>
          <w:lang w:val="en-US" w:eastAsia="zh-CN"/>
        </w:rPr>
        <w:t xml:space="preserve">        </w:t>
      </w:r>
      <w:r>
        <w:rPr>
          <w:color w:val="auto"/>
          <w:spacing w:val="-3"/>
          <w:highlight w:val="none"/>
          <w:lang w:eastAsia="zh-CN"/>
        </w:rPr>
        <w:t>（</w:t>
      </w:r>
      <w:r>
        <w:rPr>
          <w:color w:val="auto"/>
          <w:highlight w:val="none"/>
          <w:lang w:eastAsia="zh-CN"/>
        </w:rPr>
        <w:t>供应商名称</w:t>
      </w:r>
      <w:r>
        <w:rPr>
          <w:color w:val="auto"/>
          <w:spacing w:val="-20"/>
          <w:highlight w:val="none"/>
          <w:lang w:eastAsia="zh-CN"/>
        </w:rPr>
        <w:t>）</w:t>
      </w:r>
      <w:r>
        <w:rPr>
          <w:color w:val="auto"/>
          <w:highlight w:val="none"/>
          <w:lang w:eastAsia="zh-CN"/>
        </w:rPr>
        <w:t>的法定代表人</w:t>
      </w:r>
      <w:r>
        <w:rPr>
          <w:color w:val="auto"/>
          <w:spacing w:val="-17"/>
          <w:highlight w:val="none"/>
          <w:lang w:eastAsia="zh-CN"/>
        </w:rPr>
        <w:t>，</w:t>
      </w:r>
      <w:r>
        <w:rPr>
          <w:color w:val="auto"/>
          <w:highlight w:val="none"/>
          <w:lang w:eastAsia="zh-CN"/>
        </w:rPr>
        <w:t>现</w:t>
      </w:r>
      <w:r>
        <w:rPr>
          <w:color w:val="auto"/>
          <w:spacing w:val="-15"/>
          <w:highlight w:val="none"/>
          <w:lang w:eastAsia="zh-CN"/>
        </w:rPr>
        <w:t>委</w:t>
      </w:r>
      <w:r>
        <w:rPr>
          <w:color w:val="auto"/>
          <w:highlight w:val="none"/>
          <w:lang w:eastAsia="zh-CN"/>
        </w:rPr>
        <w:t>托</w:t>
      </w:r>
      <w:r>
        <w:rPr>
          <w:color w:val="auto"/>
          <w:highlight w:val="none"/>
          <w:u w:val="single"/>
          <w:lang w:eastAsia="zh-CN"/>
        </w:rPr>
        <w:t xml:space="preserve"> </w:t>
      </w:r>
      <w:r>
        <w:rPr>
          <w:color w:val="auto"/>
          <w:highlight w:val="none"/>
          <w:u w:val="single"/>
          <w:lang w:eastAsia="zh-CN"/>
        </w:rPr>
        <w:tab/>
      </w:r>
      <w:r>
        <w:rPr>
          <w:rFonts w:hint="eastAsia"/>
          <w:color w:val="auto"/>
          <w:highlight w:val="none"/>
          <w:u w:val="single"/>
          <w:lang w:val="en-US" w:eastAsia="zh-CN"/>
        </w:rPr>
        <w:t xml:space="preserve">    </w:t>
      </w:r>
      <w:r>
        <w:rPr>
          <w:color w:val="auto"/>
          <w:highlight w:val="none"/>
          <w:lang w:eastAsia="zh-CN"/>
        </w:rPr>
        <w:t>（姓名</w:t>
      </w:r>
      <w:r>
        <w:rPr>
          <w:color w:val="auto"/>
          <w:spacing w:val="-20"/>
          <w:highlight w:val="none"/>
          <w:lang w:eastAsia="zh-CN"/>
        </w:rPr>
        <w:t>）</w:t>
      </w:r>
      <w:r>
        <w:rPr>
          <w:color w:val="auto"/>
          <w:highlight w:val="none"/>
          <w:lang w:eastAsia="zh-CN"/>
        </w:rPr>
        <w:t>为我方代理人</w:t>
      </w:r>
      <w:r>
        <w:rPr>
          <w:color w:val="auto"/>
          <w:spacing w:val="-20"/>
          <w:highlight w:val="none"/>
          <w:lang w:eastAsia="zh-CN"/>
        </w:rPr>
        <w:t>。</w:t>
      </w:r>
      <w:r>
        <w:rPr>
          <w:color w:val="auto"/>
          <w:highlight w:val="none"/>
          <w:lang w:eastAsia="zh-CN"/>
        </w:rPr>
        <w:t>代理人根据授权</w:t>
      </w:r>
      <w:r>
        <w:rPr>
          <w:color w:val="auto"/>
          <w:spacing w:val="-20"/>
          <w:highlight w:val="none"/>
          <w:lang w:eastAsia="zh-CN"/>
        </w:rPr>
        <w:t>，</w:t>
      </w:r>
      <w:r>
        <w:rPr>
          <w:color w:val="auto"/>
          <w:highlight w:val="none"/>
          <w:lang w:eastAsia="zh-CN"/>
        </w:rPr>
        <w:t>以我方名义签署</w:t>
      </w:r>
      <w:r>
        <w:rPr>
          <w:color w:val="auto"/>
          <w:spacing w:val="-17"/>
          <w:highlight w:val="none"/>
          <w:lang w:eastAsia="zh-CN"/>
        </w:rPr>
        <w:t>、</w:t>
      </w:r>
      <w:r>
        <w:rPr>
          <w:color w:val="auto"/>
          <w:spacing w:val="-14"/>
          <w:highlight w:val="none"/>
          <w:lang w:eastAsia="zh-CN"/>
        </w:rPr>
        <w:t>澄</w:t>
      </w:r>
      <w:r>
        <w:rPr>
          <w:color w:val="auto"/>
          <w:highlight w:val="none"/>
          <w:lang w:eastAsia="zh-CN"/>
        </w:rPr>
        <w:t>清、说明、补正、递交、撤回、修改</w:t>
      </w:r>
      <w:r>
        <w:rPr>
          <w:color w:val="auto"/>
          <w:highlight w:val="none"/>
          <w:u w:val="single"/>
          <w:lang w:eastAsia="zh-CN"/>
        </w:rPr>
        <w:t xml:space="preserve"> </w:t>
      </w:r>
      <w:r>
        <w:rPr>
          <w:color w:val="auto"/>
          <w:highlight w:val="none"/>
          <w:u w:val="single"/>
          <w:lang w:eastAsia="zh-CN"/>
        </w:rPr>
        <w:tab/>
      </w:r>
      <w:r>
        <w:rPr>
          <w:color w:val="auto"/>
          <w:highlight w:val="none"/>
          <w:u w:val="single"/>
          <w:lang w:eastAsia="zh-CN"/>
        </w:rPr>
        <w:tab/>
      </w:r>
      <w:r>
        <w:rPr>
          <w:rFonts w:hint="eastAsia"/>
          <w:color w:val="auto"/>
          <w:highlight w:val="none"/>
          <w:u w:val="single"/>
          <w:lang w:val="en-US" w:eastAsia="zh-CN"/>
        </w:rPr>
        <w:t xml:space="preserve">    </w:t>
      </w:r>
      <w:r>
        <w:rPr>
          <w:color w:val="auto"/>
          <w:highlight w:val="none"/>
          <w:lang w:eastAsia="zh-CN"/>
        </w:rPr>
        <w:t>（项目名称）响应文件、</w:t>
      </w:r>
      <w:r>
        <w:rPr>
          <w:color w:val="auto"/>
          <w:spacing w:val="-13"/>
          <w:highlight w:val="none"/>
          <w:lang w:eastAsia="zh-CN"/>
        </w:rPr>
        <w:t>签</w:t>
      </w:r>
      <w:r>
        <w:rPr>
          <w:color w:val="auto"/>
          <w:highlight w:val="none"/>
          <w:lang w:eastAsia="zh-CN"/>
        </w:rPr>
        <w:t>订合同和处理有关事宜，其法律后果由我方承担。</w:t>
      </w:r>
    </w:p>
    <w:p w14:paraId="56D2FFBC">
      <w:pPr>
        <w:pStyle w:val="3"/>
        <w:spacing w:line="360" w:lineRule="auto"/>
        <w:ind w:left="0" w:firstLine="400" w:firstLineChars="200"/>
        <w:rPr>
          <w:color w:val="auto"/>
          <w:highlight w:val="none"/>
          <w:lang w:eastAsia="zh-CN"/>
        </w:rPr>
      </w:pPr>
    </w:p>
    <w:p w14:paraId="15BEAAAA">
      <w:pPr>
        <w:pStyle w:val="3"/>
        <w:tabs>
          <w:tab w:val="left" w:pos="4459"/>
        </w:tabs>
        <w:spacing w:line="360" w:lineRule="auto"/>
        <w:ind w:left="0" w:firstLine="400" w:firstLineChars="200"/>
        <w:rPr>
          <w:color w:val="auto"/>
          <w:spacing w:val="-18"/>
          <w:highlight w:val="none"/>
          <w:lang w:eastAsia="zh-CN"/>
        </w:rPr>
      </w:pPr>
      <w:r>
        <w:rPr>
          <w:color w:val="auto"/>
          <w:highlight w:val="none"/>
          <w:lang w:eastAsia="zh-CN"/>
        </w:rPr>
        <w:t>委托期限</w:t>
      </w:r>
      <w:r>
        <w:rPr>
          <w:color w:val="auto"/>
          <w:highlight w:val="none"/>
          <w:u w:val="single"/>
          <w:lang w:eastAsia="zh-CN"/>
        </w:rPr>
        <w:t>：</w:t>
      </w:r>
      <w:r>
        <w:rPr>
          <w:color w:val="auto"/>
          <w:highlight w:val="none"/>
          <w:u w:val="single"/>
          <w:lang w:eastAsia="zh-CN"/>
        </w:rPr>
        <w:tab/>
      </w:r>
      <w:r>
        <w:rPr>
          <w:color w:val="auto"/>
          <w:spacing w:val="-18"/>
          <w:highlight w:val="none"/>
          <w:lang w:eastAsia="zh-CN"/>
        </w:rPr>
        <w:t>。</w:t>
      </w:r>
    </w:p>
    <w:p w14:paraId="5AF1A372">
      <w:pPr>
        <w:pStyle w:val="3"/>
        <w:tabs>
          <w:tab w:val="left" w:pos="4459"/>
        </w:tabs>
        <w:spacing w:line="360" w:lineRule="auto"/>
        <w:ind w:left="0" w:firstLine="400" w:firstLineChars="200"/>
        <w:rPr>
          <w:color w:val="auto"/>
          <w:highlight w:val="none"/>
          <w:lang w:eastAsia="zh-CN"/>
        </w:rPr>
      </w:pPr>
      <w:r>
        <w:rPr>
          <w:color w:val="auto"/>
          <w:highlight w:val="none"/>
          <w:lang w:eastAsia="zh-CN"/>
        </w:rPr>
        <w:t>代理人无转委托权。</w:t>
      </w:r>
    </w:p>
    <w:p w14:paraId="4CF9F125">
      <w:pPr>
        <w:pStyle w:val="3"/>
        <w:spacing w:line="360" w:lineRule="auto"/>
        <w:ind w:left="0" w:firstLine="400" w:firstLineChars="200"/>
        <w:rPr>
          <w:color w:val="auto"/>
          <w:highlight w:val="none"/>
          <w:lang w:eastAsia="zh-CN"/>
        </w:rPr>
      </w:pPr>
    </w:p>
    <w:p w14:paraId="4BCAE6FA">
      <w:pPr>
        <w:pStyle w:val="12"/>
        <w:spacing w:line="360" w:lineRule="auto"/>
        <w:ind w:left="0" w:firstLine="482" w:firstLineChars="200"/>
        <w:jc w:val="center"/>
        <w:rPr>
          <w:color w:val="auto"/>
          <w:highlight w:val="none"/>
          <w:lang w:eastAsia="zh-CN"/>
        </w:rPr>
      </w:pPr>
      <w:r>
        <w:rPr>
          <w:color w:val="auto"/>
          <w:highlight w:val="none"/>
          <w:lang w:eastAsia="zh-CN"/>
        </w:rPr>
        <w:t>（后附委托代理人身份证正反面扫描件）</w:t>
      </w:r>
    </w:p>
    <w:p w14:paraId="32EB9205">
      <w:pPr>
        <w:pStyle w:val="3"/>
        <w:ind w:left="0"/>
        <w:rPr>
          <w:b/>
          <w:color w:val="auto"/>
          <w:highlight w:val="none"/>
          <w:lang w:eastAsia="zh-CN"/>
        </w:rPr>
      </w:pPr>
    </w:p>
    <w:p w14:paraId="001A3AE4">
      <w:pPr>
        <w:pStyle w:val="3"/>
        <w:ind w:left="0"/>
        <w:rPr>
          <w:b/>
          <w:color w:val="auto"/>
          <w:highlight w:val="none"/>
          <w:lang w:eastAsia="zh-CN"/>
        </w:rPr>
      </w:pPr>
    </w:p>
    <w:p w14:paraId="39BC6C62">
      <w:pPr>
        <w:pStyle w:val="3"/>
        <w:tabs>
          <w:tab w:val="left" w:pos="3859"/>
        </w:tabs>
        <w:spacing w:line="360" w:lineRule="auto"/>
        <w:ind w:left="0" w:firstLine="400" w:firstLineChars="200"/>
        <w:rPr>
          <w:color w:val="auto"/>
          <w:highlight w:val="none"/>
          <w:lang w:eastAsia="zh-CN"/>
        </w:rPr>
      </w:pPr>
      <w:r>
        <w:rPr>
          <w:color w:val="auto"/>
          <w:highlight w:val="none"/>
          <w:lang w:eastAsia="zh-CN"/>
        </w:rPr>
        <w:t>供应商：</w:t>
      </w:r>
      <w:r>
        <w:rPr>
          <w:color w:val="auto"/>
          <w:highlight w:val="none"/>
          <w:u w:val="single"/>
          <w:lang w:eastAsia="zh-CN"/>
        </w:rPr>
        <w:t xml:space="preserve"> </w:t>
      </w:r>
      <w:r>
        <w:rPr>
          <w:color w:val="auto"/>
          <w:highlight w:val="none"/>
          <w:u w:val="single"/>
          <w:lang w:eastAsia="zh-CN"/>
        </w:rPr>
        <w:tab/>
      </w:r>
      <w:r>
        <w:rPr>
          <w:color w:val="auto"/>
          <w:highlight w:val="none"/>
          <w:lang w:eastAsia="zh-CN"/>
        </w:rPr>
        <w:t>（单位签章）</w:t>
      </w:r>
    </w:p>
    <w:p w14:paraId="13D2532F">
      <w:pPr>
        <w:pStyle w:val="3"/>
        <w:tabs>
          <w:tab w:val="left" w:pos="4339"/>
          <w:tab w:val="left" w:pos="4399"/>
        </w:tabs>
        <w:spacing w:line="360" w:lineRule="auto"/>
        <w:ind w:left="0" w:firstLine="400" w:firstLineChars="200"/>
        <w:rPr>
          <w:color w:val="auto"/>
          <w:spacing w:val="-18"/>
          <w:highlight w:val="none"/>
          <w:lang w:eastAsia="zh-CN"/>
        </w:rPr>
      </w:pPr>
      <w:r>
        <w:rPr>
          <w:color w:val="auto"/>
          <w:highlight w:val="none"/>
          <w:lang w:eastAsia="zh-CN"/>
        </w:rPr>
        <w:t>法定代表人：</w:t>
      </w:r>
      <w:r>
        <w:rPr>
          <w:color w:val="auto"/>
          <w:highlight w:val="none"/>
          <w:u w:val="single"/>
          <w:lang w:eastAsia="zh-CN"/>
        </w:rPr>
        <w:t xml:space="preserve"> </w:t>
      </w:r>
      <w:r>
        <w:rPr>
          <w:color w:val="auto"/>
          <w:highlight w:val="none"/>
          <w:u w:val="single"/>
          <w:lang w:eastAsia="zh-CN"/>
        </w:rPr>
        <w:tab/>
      </w:r>
      <w:r>
        <w:rPr>
          <w:color w:val="auto"/>
          <w:highlight w:val="none"/>
          <w:lang w:eastAsia="zh-CN"/>
        </w:rPr>
        <w:t>（电子签章</w:t>
      </w:r>
      <w:r>
        <w:rPr>
          <w:color w:val="auto"/>
          <w:spacing w:val="-18"/>
          <w:highlight w:val="none"/>
          <w:lang w:eastAsia="zh-CN"/>
        </w:rPr>
        <w:t>）</w:t>
      </w:r>
    </w:p>
    <w:p w14:paraId="6BFB9975">
      <w:pPr>
        <w:pStyle w:val="3"/>
        <w:tabs>
          <w:tab w:val="left" w:pos="4339"/>
          <w:tab w:val="left" w:pos="4399"/>
        </w:tabs>
        <w:spacing w:line="360" w:lineRule="auto"/>
        <w:ind w:left="0" w:firstLine="400" w:firstLineChars="200"/>
        <w:rPr>
          <w:rFonts w:ascii="Times New Roman" w:eastAsia="Times New Roman"/>
          <w:color w:val="auto"/>
          <w:highlight w:val="none"/>
          <w:lang w:eastAsia="zh-CN"/>
        </w:rPr>
      </w:pPr>
      <w:r>
        <w:rPr>
          <w:color w:val="auto"/>
          <w:highlight w:val="none"/>
          <w:lang w:eastAsia="zh-CN"/>
        </w:rPr>
        <w:t>身份证号码：</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ab/>
      </w:r>
    </w:p>
    <w:p w14:paraId="662623F6">
      <w:pPr>
        <w:pStyle w:val="3"/>
        <w:tabs>
          <w:tab w:val="left" w:pos="4339"/>
          <w:tab w:val="left" w:pos="4399"/>
        </w:tabs>
        <w:spacing w:line="360" w:lineRule="auto"/>
        <w:ind w:left="0" w:firstLine="400" w:firstLineChars="200"/>
        <w:rPr>
          <w:color w:val="auto"/>
          <w:spacing w:val="-18"/>
          <w:highlight w:val="none"/>
          <w:lang w:eastAsia="zh-CN"/>
        </w:rPr>
      </w:pPr>
      <w:r>
        <w:rPr>
          <w:color w:val="auto"/>
          <w:highlight w:val="none"/>
          <w:lang w:eastAsia="zh-CN"/>
        </w:rPr>
        <w:t>委托代理人：</w:t>
      </w:r>
      <w:r>
        <w:rPr>
          <w:color w:val="auto"/>
          <w:highlight w:val="none"/>
          <w:u w:val="single"/>
          <w:lang w:eastAsia="zh-CN"/>
        </w:rPr>
        <w:t xml:space="preserve"> </w:t>
      </w:r>
      <w:r>
        <w:rPr>
          <w:color w:val="auto"/>
          <w:highlight w:val="none"/>
          <w:u w:val="single"/>
          <w:lang w:eastAsia="zh-CN"/>
        </w:rPr>
        <w:tab/>
      </w:r>
      <w:r>
        <w:rPr>
          <w:color w:val="auto"/>
          <w:highlight w:val="none"/>
          <w:lang w:eastAsia="zh-CN"/>
        </w:rPr>
        <w:t>（法人电子签章</w:t>
      </w:r>
      <w:r>
        <w:rPr>
          <w:color w:val="auto"/>
          <w:spacing w:val="-18"/>
          <w:highlight w:val="none"/>
          <w:lang w:eastAsia="zh-CN"/>
        </w:rPr>
        <w:t>）</w:t>
      </w:r>
    </w:p>
    <w:p w14:paraId="48C75820">
      <w:pPr>
        <w:pStyle w:val="3"/>
        <w:tabs>
          <w:tab w:val="left" w:pos="4339"/>
          <w:tab w:val="left" w:pos="4399"/>
        </w:tabs>
        <w:spacing w:line="360" w:lineRule="auto"/>
        <w:ind w:left="0" w:firstLine="328" w:firstLineChars="200"/>
        <w:rPr>
          <w:rFonts w:ascii="Times New Roman" w:eastAsia="Times New Roman"/>
          <w:color w:val="auto"/>
          <w:highlight w:val="none"/>
          <w:lang w:eastAsia="zh-CN"/>
        </w:rPr>
      </w:pPr>
      <w:r>
        <w:rPr>
          <w:color w:val="auto"/>
          <w:spacing w:val="-18"/>
          <w:highlight w:val="none"/>
          <w:lang w:eastAsia="zh-CN"/>
        </w:rPr>
        <w:t xml:space="preserve"> </w:t>
      </w:r>
      <w:r>
        <w:rPr>
          <w:color w:val="auto"/>
          <w:highlight w:val="none"/>
          <w:lang w:eastAsia="zh-CN"/>
        </w:rPr>
        <w:t>身份证号码：</w:t>
      </w:r>
      <w:r>
        <w:rPr>
          <w:rFonts w:ascii="Times New Roman" w:eastAsia="Times New Roman"/>
          <w:color w:val="auto"/>
          <w:highlight w:val="none"/>
          <w:u w:val="single"/>
          <w:lang w:eastAsia="zh-CN"/>
        </w:rPr>
        <w:t xml:space="preserve"> </w:t>
      </w:r>
      <w:r>
        <w:rPr>
          <w:rFonts w:ascii="Times New Roman" w:eastAsia="Times New Roman"/>
          <w:color w:val="auto"/>
          <w:highlight w:val="none"/>
          <w:u w:val="single"/>
          <w:lang w:eastAsia="zh-CN"/>
        </w:rPr>
        <w:tab/>
      </w:r>
      <w:r>
        <w:rPr>
          <w:rFonts w:ascii="Times New Roman" w:eastAsia="Times New Roman"/>
          <w:color w:val="auto"/>
          <w:highlight w:val="none"/>
          <w:u w:val="single"/>
          <w:lang w:eastAsia="zh-CN"/>
        </w:rPr>
        <w:tab/>
      </w:r>
    </w:p>
    <w:p w14:paraId="0CF4BBC4">
      <w:pPr>
        <w:pStyle w:val="3"/>
        <w:tabs>
          <w:tab w:val="left" w:pos="3619"/>
          <w:tab w:val="left" w:pos="5299"/>
          <w:tab w:val="left" w:pos="6979"/>
        </w:tabs>
        <w:spacing w:line="360" w:lineRule="auto"/>
        <w:ind w:left="0" w:firstLine="400" w:firstLineChars="200"/>
        <w:rPr>
          <w:color w:val="auto"/>
          <w:highlight w:val="none"/>
          <w:lang w:eastAsia="zh-CN"/>
        </w:rPr>
      </w:pPr>
      <w:r>
        <w:rPr>
          <w:color w:val="auto"/>
          <w:highlight w:val="none"/>
          <w:lang w:eastAsia="zh-CN"/>
        </w:rPr>
        <w:t>日期：</w:t>
      </w:r>
      <w:r>
        <w:rPr>
          <w:color w:val="auto"/>
          <w:highlight w:val="none"/>
          <w:u w:val="single"/>
          <w:lang w:eastAsia="zh-CN"/>
        </w:rPr>
        <w:t xml:space="preserve">       </w:t>
      </w:r>
      <w:r>
        <w:rPr>
          <w:color w:val="auto"/>
          <w:highlight w:val="none"/>
          <w:lang w:eastAsia="zh-CN"/>
        </w:rPr>
        <w:t>年</w:t>
      </w:r>
      <w:r>
        <w:rPr>
          <w:color w:val="auto"/>
          <w:highlight w:val="none"/>
          <w:u w:val="single"/>
          <w:lang w:eastAsia="zh-CN"/>
        </w:rPr>
        <w:t xml:space="preserve">       </w:t>
      </w:r>
      <w:r>
        <w:rPr>
          <w:color w:val="auto"/>
          <w:highlight w:val="none"/>
          <w:lang w:eastAsia="zh-CN"/>
        </w:rPr>
        <w:t>月</w:t>
      </w:r>
      <w:r>
        <w:rPr>
          <w:color w:val="auto"/>
          <w:highlight w:val="none"/>
          <w:u w:val="single"/>
          <w:lang w:eastAsia="zh-CN"/>
        </w:rPr>
        <w:t xml:space="preserve">       </w:t>
      </w:r>
      <w:r>
        <w:rPr>
          <w:color w:val="auto"/>
          <w:highlight w:val="none"/>
          <w:lang w:eastAsia="zh-CN"/>
        </w:rPr>
        <w:t>日</w:t>
      </w:r>
    </w:p>
    <w:p w14:paraId="53C5204F">
      <w:pPr>
        <w:spacing w:line="306" w:lineRule="exact"/>
        <w:rPr>
          <w:color w:val="auto"/>
          <w:highlight w:val="none"/>
          <w:lang w:eastAsia="zh-CN"/>
        </w:rPr>
        <w:sectPr>
          <w:pgSz w:w="11910" w:h="16840"/>
          <w:pgMar w:top="1440" w:right="1080" w:bottom="1440" w:left="1080" w:header="0" w:footer="909" w:gutter="0"/>
          <w:cols w:space="720" w:num="1"/>
          <w:docGrid w:linePitch="299" w:charSpace="0"/>
        </w:sectPr>
      </w:pPr>
    </w:p>
    <w:p w14:paraId="72F80508">
      <w:pPr>
        <w:spacing w:before="35"/>
        <w:ind w:left="530" w:right="530"/>
        <w:jc w:val="center"/>
        <w:rPr>
          <w:b/>
          <w:color w:val="auto"/>
          <w:sz w:val="28"/>
          <w:highlight w:val="none"/>
          <w:lang w:eastAsia="zh-CN"/>
        </w:rPr>
      </w:pPr>
      <w:bookmarkStart w:id="169" w:name="（二）资格审查资料"/>
      <w:bookmarkEnd w:id="169"/>
      <w:bookmarkStart w:id="170" w:name="六、资格审查资料"/>
      <w:bookmarkEnd w:id="170"/>
      <w:bookmarkStart w:id="171" w:name="五、优惠及服务承诺"/>
      <w:bookmarkEnd w:id="171"/>
      <w:r>
        <w:rPr>
          <w:rFonts w:hint="eastAsia"/>
          <w:b/>
          <w:color w:val="auto"/>
          <w:sz w:val="28"/>
          <w:highlight w:val="none"/>
          <w:lang w:val="en-US" w:eastAsia="zh-CN"/>
        </w:rPr>
        <w:t>四</w:t>
      </w:r>
      <w:r>
        <w:rPr>
          <w:b/>
          <w:color w:val="auto"/>
          <w:sz w:val="28"/>
          <w:highlight w:val="none"/>
          <w:lang w:eastAsia="zh-CN"/>
        </w:rPr>
        <w:t>、资格审查资料</w:t>
      </w:r>
    </w:p>
    <w:p w14:paraId="2296CB85">
      <w:pPr>
        <w:pStyle w:val="3"/>
        <w:spacing w:before="9"/>
        <w:ind w:left="0"/>
        <w:rPr>
          <w:b/>
          <w:color w:val="auto"/>
          <w:sz w:val="20"/>
          <w:highlight w:val="none"/>
          <w:lang w:eastAsia="zh-CN"/>
        </w:rPr>
      </w:pPr>
    </w:p>
    <w:p w14:paraId="5E0C4E22">
      <w:pPr>
        <w:ind w:left="530" w:right="531"/>
        <w:jc w:val="center"/>
        <w:rPr>
          <w:b/>
          <w:color w:val="auto"/>
          <w:sz w:val="28"/>
          <w:highlight w:val="none"/>
          <w:lang w:eastAsia="zh-CN"/>
        </w:rPr>
      </w:pPr>
      <w:bookmarkStart w:id="172" w:name="（一）供应商基本情况表"/>
      <w:bookmarkEnd w:id="172"/>
      <w:r>
        <w:rPr>
          <w:b/>
          <w:color w:val="auto"/>
          <w:sz w:val="28"/>
          <w:highlight w:val="none"/>
          <w:lang w:eastAsia="zh-CN"/>
        </w:rPr>
        <w:t>（一）供应商基本情况表</w:t>
      </w:r>
    </w:p>
    <w:p w14:paraId="0F36C6AC">
      <w:pPr>
        <w:pStyle w:val="3"/>
        <w:spacing w:before="4"/>
        <w:ind w:left="0"/>
        <w:rPr>
          <w:b/>
          <w:color w:val="auto"/>
          <w:sz w:val="10"/>
          <w:highlight w:val="none"/>
          <w:lang w:eastAsia="zh-CN"/>
        </w:rPr>
      </w:pPr>
    </w:p>
    <w:tbl>
      <w:tblPr>
        <w:tblStyle w:val="20"/>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3083"/>
        <w:gridCol w:w="1540"/>
        <w:gridCol w:w="2878"/>
      </w:tblGrid>
      <w:tr w14:paraId="32BA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14:paraId="67D0D147">
            <w:pPr>
              <w:jc w:val="center"/>
              <w:rPr>
                <w:rFonts w:ascii="宋体" w:hAnsi="宋体" w:cs="宋体"/>
                <w:color w:val="auto"/>
                <w:sz w:val="24"/>
                <w:szCs w:val="24"/>
                <w:highlight w:val="none"/>
              </w:rPr>
            </w:pPr>
            <w:r>
              <w:rPr>
                <w:rFonts w:hint="eastAsia" w:ascii="宋体" w:hAnsi="宋体" w:cs="宋体"/>
                <w:color w:val="auto"/>
                <w:sz w:val="24"/>
                <w:szCs w:val="24"/>
                <w:highlight w:val="none"/>
              </w:rPr>
              <w:t>公司名称</w:t>
            </w:r>
          </w:p>
        </w:tc>
        <w:tc>
          <w:tcPr>
            <w:tcW w:w="3083" w:type="dxa"/>
            <w:tcBorders>
              <w:top w:val="single" w:color="auto" w:sz="4" w:space="0"/>
              <w:left w:val="single" w:color="auto" w:sz="4" w:space="0"/>
              <w:bottom w:val="single" w:color="auto" w:sz="4" w:space="0"/>
              <w:right w:val="single" w:color="auto" w:sz="4" w:space="0"/>
            </w:tcBorders>
            <w:vAlign w:val="center"/>
          </w:tcPr>
          <w:p w14:paraId="0149DBB8">
            <w:pPr>
              <w:spacing w:line="460" w:lineRule="exact"/>
              <w:jc w:val="center"/>
              <w:rPr>
                <w:rFonts w:ascii="宋体" w:hAnsi="宋体" w:cs="宋体"/>
                <w:color w:val="auto"/>
                <w:sz w:val="24"/>
                <w:szCs w:val="24"/>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62AAAAC2">
            <w:pPr>
              <w:spacing w:line="4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2878" w:type="dxa"/>
            <w:tcBorders>
              <w:top w:val="single" w:color="auto" w:sz="4" w:space="0"/>
              <w:left w:val="single" w:color="auto" w:sz="4" w:space="0"/>
              <w:bottom w:val="single" w:color="auto" w:sz="4" w:space="0"/>
              <w:right w:val="single" w:color="auto" w:sz="4" w:space="0"/>
            </w:tcBorders>
            <w:vAlign w:val="center"/>
          </w:tcPr>
          <w:p w14:paraId="5F547E3E">
            <w:pPr>
              <w:spacing w:line="460" w:lineRule="exact"/>
              <w:jc w:val="center"/>
              <w:rPr>
                <w:rFonts w:ascii="宋体" w:hAnsi="宋体" w:cs="宋体"/>
                <w:color w:val="auto"/>
                <w:sz w:val="24"/>
                <w:szCs w:val="24"/>
                <w:highlight w:val="none"/>
              </w:rPr>
            </w:pPr>
          </w:p>
        </w:tc>
      </w:tr>
      <w:tr w14:paraId="351C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14:paraId="0471D2F7">
            <w:pPr>
              <w:jc w:val="center"/>
              <w:rPr>
                <w:rFonts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7501" w:type="dxa"/>
            <w:gridSpan w:val="3"/>
            <w:tcBorders>
              <w:top w:val="single" w:color="auto" w:sz="4" w:space="0"/>
              <w:left w:val="single" w:color="auto" w:sz="4" w:space="0"/>
              <w:bottom w:val="single" w:color="auto" w:sz="4" w:space="0"/>
              <w:right w:val="single" w:color="auto" w:sz="4" w:space="0"/>
            </w:tcBorders>
            <w:vAlign w:val="center"/>
          </w:tcPr>
          <w:p w14:paraId="4C91C578">
            <w:pPr>
              <w:spacing w:line="460" w:lineRule="exact"/>
              <w:jc w:val="center"/>
              <w:rPr>
                <w:rFonts w:ascii="宋体" w:hAnsi="宋体" w:cs="宋体"/>
                <w:color w:val="auto"/>
                <w:sz w:val="24"/>
                <w:szCs w:val="24"/>
                <w:highlight w:val="none"/>
              </w:rPr>
            </w:pPr>
          </w:p>
        </w:tc>
      </w:tr>
      <w:tr w14:paraId="4F51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14:paraId="50A015CE">
            <w:pPr>
              <w:jc w:val="center"/>
              <w:rPr>
                <w:rFonts w:ascii="宋体" w:hAnsi="宋体" w:eastAsia="宋体" w:cs="宋体"/>
                <w:color w:val="auto"/>
                <w:sz w:val="24"/>
                <w:szCs w:val="24"/>
                <w:highlight w:val="none"/>
              </w:rPr>
            </w:pPr>
            <w:r>
              <w:rPr>
                <w:rFonts w:hint="eastAsia" w:ascii="宋体" w:hAnsi="宋体" w:cs="宋体"/>
                <w:color w:val="auto"/>
                <w:sz w:val="24"/>
                <w:szCs w:val="24"/>
                <w:highlight w:val="none"/>
              </w:rPr>
              <w:t>统一社会信用代码</w:t>
            </w:r>
          </w:p>
        </w:tc>
        <w:tc>
          <w:tcPr>
            <w:tcW w:w="7501" w:type="dxa"/>
            <w:gridSpan w:val="3"/>
            <w:tcBorders>
              <w:top w:val="single" w:color="auto" w:sz="4" w:space="0"/>
              <w:left w:val="single" w:color="auto" w:sz="4" w:space="0"/>
              <w:bottom w:val="single" w:color="auto" w:sz="4" w:space="0"/>
              <w:right w:val="single" w:color="auto" w:sz="4" w:space="0"/>
            </w:tcBorders>
            <w:vAlign w:val="center"/>
          </w:tcPr>
          <w:p w14:paraId="65579582">
            <w:pPr>
              <w:spacing w:line="460" w:lineRule="exact"/>
              <w:jc w:val="center"/>
              <w:rPr>
                <w:rFonts w:ascii="宋体" w:hAnsi="宋体" w:cs="宋体"/>
                <w:color w:val="auto"/>
                <w:sz w:val="24"/>
                <w:szCs w:val="24"/>
                <w:highlight w:val="none"/>
              </w:rPr>
            </w:pPr>
          </w:p>
        </w:tc>
      </w:tr>
      <w:tr w14:paraId="4829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14:paraId="7D1AA12A">
            <w:pPr>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3083" w:type="dxa"/>
            <w:tcBorders>
              <w:top w:val="single" w:color="auto" w:sz="4" w:space="0"/>
              <w:left w:val="single" w:color="auto" w:sz="4" w:space="0"/>
              <w:bottom w:val="single" w:color="auto" w:sz="4" w:space="0"/>
              <w:right w:val="single" w:color="auto" w:sz="4" w:space="0"/>
            </w:tcBorders>
            <w:vAlign w:val="center"/>
          </w:tcPr>
          <w:p w14:paraId="68A35E31">
            <w:pPr>
              <w:spacing w:line="460" w:lineRule="exact"/>
              <w:jc w:val="center"/>
              <w:rPr>
                <w:rFonts w:ascii="宋体" w:hAnsi="宋体" w:cs="宋体"/>
                <w:color w:val="auto"/>
                <w:sz w:val="24"/>
                <w:szCs w:val="24"/>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17674FBA">
            <w:pPr>
              <w:jc w:val="center"/>
              <w:rPr>
                <w:rFonts w:ascii="宋体" w:hAnsi="宋体" w:cs="宋体"/>
                <w:color w:val="auto"/>
                <w:sz w:val="24"/>
                <w:szCs w:val="24"/>
                <w:highlight w:val="none"/>
              </w:rPr>
            </w:pPr>
            <w:r>
              <w:rPr>
                <w:rFonts w:hint="eastAsia" w:ascii="宋体" w:hAnsi="宋体" w:cs="宋体"/>
                <w:color w:val="auto"/>
                <w:sz w:val="24"/>
                <w:szCs w:val="24"/>
                <w:highlight w:val="none"/>
              </w:rPr>
              <w:t>电话号码</w:t>
            </w:r>
          </w:p>
        </w:tc>
        <w:tc>
          <w:tcPr>
            <w:tcW w:w="2878" w:type="dxa"/>
            <w:tcBorders>
              <w:top w:val="single" w:color="auto" w:sz="4" w:space="0"/>
              <w:left w:val="single" w:color="auto" w:sz="4" w:space="0"/>
              <w:bottom w:val="single" w:color="auto" w:sz="4" w:space="0"/>
              <w:right w:val="single" w:color="auto" w:sz="4" w:space="0"/>
            </w:tcBorders>
            <w:vAlign w:val="center"/>
          </w:tcPr>
          <w:p w14:paraId="26B571C6">
            <w:pPr>
              <w:spacing w:line="460" w:lineRule="exact"/>
              <w:jc w:val="center"/>
              <w:rPr>
                <w:rFonts w:ascii="宋体" w:hAnsi="宋体" w:cs="宋体"/>
                <w:color w:val="auto"/>
                <w:sz w:val="24"/>
                <w:szCs w:val="24"/>
                <w:highlight w:val="none"/>
              </w:rPr>
            </w:pPr>
          </w:p>
        </w:tc>
      </w:tr>
      <w:tr w14:paraId="7089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14:paraId="73E98249">
            <w:pPr>
              <w:rPr>
                <w:rFonts w:ascii="宋体" w:hAnsi="宋体" w:cs="宋体"/>
                <w:color w:val="auto"/>
                <w:sz w:val="24"/>
                <w:szCs w:val="24"/>
                <w:highlight w:val="none"/>
              </w:rPr>
            </w:pPr>
            <w:r>
              <w:rPr>
                <w:rFonts w:hint="eastAsia" w:ascii="宋体" w:hAnsi="宋体" w:cs="宋体"/>
                <w:color w:val="auto"/>
                <w:sz w:val="24"/>
                <w:szCs w:val="24"/>
                <w:highlight w:val="none"/>
              </w:rPr>
              <w:t>成立时间</w:t>
            </w:r>
          </w:p>
        </w:tc>
        <w:tc>
          <w:tcPr>
            <w:tcW w:w="3083" w:type="dxa"/>
            <w:tcBorders>
              <w:top w:val="single" w:color="auto" w:sz="4" w:space="0"/>
              <w:left w:val="single" w:color="auto" w:sz="4" w:space="0"/>
              <w:bottom w:val="single" w:color="auto" w:sz="4" w:space="0"/>
              <w:right w:val="single" w:color="auto" w:sz="4" w:space="0"/>
            </w:tcBorders>
            <w:vAlign w:val="center"/>
          </w:tcPr>
          <w:p w14:paraId="1AEC4A6E">
            <w:pPr>
              <w:jc w:val="center"/>
              <w:rPr>
                <w:rFonts w:ascii="宋体" w:hAnsi="宋体" w:cs="宋体"/>
                <w:color w:val="auto"/>
                <w:sz w:val="24"/>
                <w:szCs w:val="24"/>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795D8F18">
            <w:pPr>
              <w:rPr>
                <w:rFonts w:ascii="宋体" w:hAnsi="宋体" w:cs="宋体"/>
                <w:color w:val="auto"/>
                <w:sz w:val="24"/>
                <w:szCs w:val="24"/>
                <w:highlight w:val="none"/>
              </w:rPr>
            </w:pPr>
            <w:r>
              <w:rPr>
                <w:rFonts w:hint="eastAsia" w:ascii="宋体" w:hAnsi="宋体" w:cs="宋体"/>
                <w:color w:val="auto"/>
                <w:sz w:val="24"/>
                <w:szCs w:val="24"/>
                <w:highlight w:val="none"/>
              </w:rPr>
              <w:t>注册资金</w:t>
            </w:r>
          </w:p>
        </w:tc>
        <w:tc>
          <w:tcPr>
            <w:tcW w:w="2878" w:type="dxa"/>
            <w:tcBorders>
              <w:top w:val="single" w:color="auto" w:sz="4" w:space="0"/>
              <w:left w:val="single" w:color="auto" w:sz="4" w:space="0"/>
              <w:bottom w:val="single" w:color="auto" w:sz="4" w:space="0"/>
              <w:right w:val="single" w:color="auto" w:sz="4" w:space="0"/>
            </w:tcBorders>
            <w:vAlign w:val="center"/>
          </w:tcPr>
          <w:p w14:paraId="6AE2CA32">
            <w:pPr>
              <w:spacing w:line="460" w:lineRule="exact"/>
              <w:jc w:val="center"/>
              <w:rPr>
                <w:rFonts w:ascii="宋体" w:hAnsi="宋体" w:cs="宋体"/>
                <w:color w:val="auto"/>
                <w:sz w:val="24"/>
                <w:szCs w:val="24"/>
                <w:highlight w:val="none"/>
              </w:rPr>
            </w:pPr>
          </w:p>
        </w:tc>
      </w:tr>
      <w:tr w14:paraId="0FBB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301" w:type="dxa"/>
            <w:tcBorders>
              <w:top w:val="single" w:color="auto" w:sz="4" w:space="0"/>
              <w:left w:val="single" w:color="auto" w:sz="4" w:space="0"/>
              <w:bottom w:val="single" w:color="auto" w:sz="4" w:space="0"/>
              <w:right w:val="single" w:color="auto" w:sz="4" w:space="0"/>
            </w:tcBorders>
            <w:vAlign w:val="center"/>
          </w:tcPr>
          <w:p w14:paraId="2333BC27">
            <w:pPr>
              <w:jc w:val="center"/>
              <w:rPr>
                <w:rFonts w:ascii="宋体" w:hAnsi="宋体" w:cs="宋体"/>
                <w:color w:val="auto"/>
                <w:sz w:val="24"/>
                <w:szCs w:val="24"/>
                <w:highlight w:val="none"/>
              </w:rPr>
            </w:pPr>
            <w:r>
              <w:rPr>
                <w:rFonts w:hint="eastAsia" w:ascii="宋体" w:hAnsi="宋体" w:cs="宋体"/>
                <w:color w:val="auto"/>
                <w:sz w:val="24"/>
                <w:szCs w:val="24"/>
                <w:highlight w:val="none"/>
              </w:rPr>
              <w:t>开户行</w:t>
            </w:r>
          </w:p>
        </w:tc>
        <w:tc>
          <w:tcPr>
            <w:tcW w:w="3083" w:type="dxa"/>
            <w:tcBorders>
              <w:top w:val="single" w:color="auto" w:sz="4" w:space="0"/>
              <w:left w:val="single" w:color="auto" w:sz="4" w:space="0"/>
              <w:bottom w:val="single" w:color="auto" w:sz="4" w:space="0"/>
              <w:right w:val="single" w:color="auto" w:sz="4" w:space="0"/>
            </w:tcBorders>
            <w:vAlign w:val="center"/>
          </w:tcPr>
          <w:p w14:paraId="6E6A8F6C">
            <w:pPr>
              <w:jc w:val="center"/>
              <w:rPr>
                <w:rFonts w:ascii="宋体" w:hAnsi="宋体" w:cs="宋体"/>
                <w:color w:val="auto"/>
                <w:sz w:val="24"/>
                <w:szCs w:val="24"/>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14:paraId="1E7407CD">
            <w:pPr>
              <w:jc w:val="center"/>
              <w:rPr>
                <w:rFonts w:ascii="宋体" w:hAnsi="宋体" w:cs="宋体"/>
                <w:color w:val="auto"/>
                <w:sz w:val="24"/>
                <w:szCs w:val="24"/>
                <w:highlight w:val="none"/>
              </w:rPr>
            </w:pPr>
            <w:r>
              <w:rPr>
                <w:rFonts w:hint="eastAsia" w:ascii="宋体" w:hAnsi="宋体" w:cs="宋体"/>
                <w:color w:val="auto"/>
                <w:sz w:val="24"/>
                <w:szCs w:val="24"/>
                <w:highlight w:val="none"/>
              </w:rPr>
              <w:t>账号</w:t>
            </w:r>
          </w:p>
        </w:tc>
        <w:tc>
          <w:tcPr>
            <w:tcW w:w="2878" w:type="dxa"/>
            <w:tcBorders>
              <w:top w:val="single" w:color="auto" w:sz="4" w:space="0"/>
              <w:left w:val="single" w:color="auto" w:sz="4" w:space="0"/>
              <w:bottom w:val="single" w:color="auto" w:sz="4" w:space="0"/>
              <w:right w:val="single" w:color="auto" w:sz="4" w:space="0"/>
            </w:tcBorders>
            <w:vAlign w:val="center"/>
          </w:tcPr>
          <w:p w14:paraId="4B6071CE">
            <w:pPr>
              <w:spacing w:line="460" w:lineRule="exact"/>
              <w:jc w:val="center"/>
              <w:rPr>
                <w:rFonts w:ascii="宋体" w:hAnsi="宋体" w:cs="宋体"/>
                <w:color w:val="auto"/>
                <w:sz w:val="24"/>
                <w:szCs w:val="24"/>
                <w:highlight w:val="none"/>
              </w:rPr>
            </w:pPr>
          </w:p>
        </w:tc>
      </w:tr>
      <w:tr w14:paraId="0CF9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8802" w:type="dxa"/>
            <w:gridSpan w:val="4"/>
            <w:tcBorders>
              <w:top w:val="single" w:color="auto" w:sz="4" w:space="0"/>
              <w:left w:val="single" w:color="auto" w:sz="4" w:space="0"/>
              <w:bottom w:val="single" w:color="auto" w:sz="4" w:space="0"/>
              <w:right w:val="single" w:color="auto" w:sz="4" w:space="0"/>
            </w:tcBorders>
            <w:vAlign w:val="center"/>
          </w:tcPr>
          <w:p w14:paraId="5934E1A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经营范围：</w:t>
            </w:r>
          </w:p>
        </w:tc>
      </w:tr>
    </w:tbl>
    <w:p w14:paraId="1BCD48E1">
      <w:pPr>
        <w:rPr>
          <w:rFonts w:ascii="Times New Roman"/>
          <w:color w:val="auto"/>
          <w:sz w:val="24"/>
          <w:highlight w:val="none"/>
        </w:rPr>
        <w:sectPr>
          <w:pgSz w:w="11910" w:h="16840"/>
          <w:pgMar w:top="1440" w:right="1080" w:bottom="1440" w:left="1080" w:header="0" w:footer="909" w:gutter="0"/>
          <w:cols w:space="720" w:num="1"/>
          <w:docGrid w:linePitch="299" w:charSpace="0"/>
        </w:sectPr>
      </w:pPr>
    </w:p>
    <w:p w14:paraId="7BE836A1">
      <w:pPr>
        <w:spacing w:before="35"/>
        <w:ind w:left="1668" w:right="1109"/>
        <w:jc w:val="center"/>
        <w:rPr>
          <w:b/>
          <w:color w:val="auto"/>
          <w:sz w:val="28"/>
          <w:highlight w:val="none"/>
        </w:rPr>
      </w:pPr>
      <w:r>
        <w:rPr>
          <w:b/>
          <w:color w:val="auto"/>
          <w:sz w:val="28"/>
          <w:highlight w:val="none"/>
        </w:rPr>
        <w:t>（二）资格审查资料</w:t>
      </w:r>
    </w:p>
    <w:p w14:paraId="1C4AEABE">
      <w:pPr>
        <w:jc w:val="center"/>
        <w:rPr>
          <w:color w:val="auto"/>
          <w:sz w:val="28"/>
          <w:highlight w:val="none"/>
        </w:rPr>
        <w:sectPr>
          <w:pgSz w:w="11910" w:h="16840"/>
          <w:pgMar w:top="1440" w:right="1080" w:bottom="1440" w:left="1080" w:header="0" w:footer="909" w:gutter="0"/>
          <w:cols w:space="720" w:num="1"/>
          <w:docGrid w:linePitch="299" w:charSpace="0"/>
        </w:sectPr>
      </w:pPr>
    </w:p>
    <w:p w14:paraId="1747DF7F">
      <w:pPr>
        <w:pStyle w:val="3"/>
        <w:spacing w:before="4"/>
        <w:ind w:left="0"/>
        <w:jc w:val="center"/>
        <w:rPr>
          <w:b/>
          <w:color w:val="auto"/>
          <w:sz w:val="10"/>
          <w:highlight w:val="none"/>
          <w:lang w:eastAsia="zh-CN"/>
        </w:rPr>
      </w:pPr>
      <w:bookmarkStart w:id="173" w:name="（三）近年完成的类似项目情况表"/>
      <w:bookmarkEnd w:id="173"/>
      <w:r>
        <w:rPr>
          <w:b/>
          <w:color w:val="auto"/>
          <w:sz w:val="28"/>
          <w:highlight w:val="none"/>
          <w:lang w:eastAsia="zh-CN"/>
        </w:rPr>
        <w:t>（三）</w:t>
      </w:r>
      <w:r>
        <w:rPr>
          <w:rFonts w:hint="eastAsia"/>
          <w:b/>
          <w:color w:val="auto"/>
          <w:sz w:val="28"/>
          <w:highlight w:val="none"/>
          <w:lang w:val="en-US" w:eastAsia="zh-CN"/>
        </w:rPr>
        <w:t>企业</w:t>
      </w:r>
      <w:r>
        <w:rPr>
          <w:rFonts w:hint="eastAsia"/>
          <w:b/>
          <w:color w:val="auto"/>
          <w:sz w:val="28"/>
          <w:highlight w:val="none"/>
          <w:lang w:eastAsia="zh-CN"/>
        </w:rPr>
        <w:t>近三年完成的类似项目情况表</w:t>
      </w:r>
    </w:p>
    <w:tbl>
      <w:tblPr>
        <w:tblStyle w:val="39"/>
        <w:tblW w:w="0" w:type="auto"/>
        <w:tblInd w:w="8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6"/>
        <w:gridCol w:w="6451"/>
      </w:tblGrid>
      <w:tr w14:paraId="36DB9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2276" w:type="dxa"/>
          </w:tcPr>
          <w:p w14:paraId="6B332DF6">
            <w:pPr>
              <w:pStyle w:val="38"/>
              <w:spacing w:before="185"/>
              <w:ind w:left="548" w:right="541"/>
              <w:jc w:val="center"/>
              <w:rPr>
                <w:color w:val="auto"/>
                <w:sz w:val="24"/>
                <w:highlight w:val="none"/>
              </w:rPr>
            </w:pPr>
            <w:r>
              <w:rPr>
                <w:color w:val="auto"/>
                <w:sz w:val="24"/>
                <w:highlight w:val="none"/>
              </w:rPr>
              <w:t>项目名称</w:t>
            </w:r>
          </w:p>
        </w:tc>
        <w:tc>
          <w:tcPr>
            <w:tcW w:w="6451" w:type="dxa"/>
          </w:tcPr>
          <w:p w14:paraId="3CAD6763">
            <w:pPr>
              <w:pStyle w:val="38"/>
              <w:rPr>
                <w:rFonts w:ascii="Times New Roman"/>
                <w:color w:val="auto"/>
                <w:sz w:val="24"/>
                <w:highlight w:val="none"/>
              </w:rPr>
            </w:pPr>
          </w:p>
        </w:tc>
      </w:tr>
      <w:tr w14:paraId="64D15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76" w:type="dxa"/>
          </w:tcPr>
          <w:p w14:paraId="1AAB916D">
            <w:pPr>
              <w:pStyle w:val="38"/>
              <w:spacing w:before="172"/>
              <w:ind w:right="541"/>
              <w:jc w:val="center"/>
              <w:rPr>
                <w:color w:val="auto"/>
                <w:sz w:val="24"/>
                <w:highlight w:val="none"/>
              </w:rPr>
            </w:pPr>
            <w:r>
              <w:rPr>
                <w:rFonts w:hint="eastAsia"/>
                <w:color w:val="auto"/>
                <w:sz w:val="24"/>
                <w:highlight w:val="none"/>
                <w:lang w:eastAsia="zh-CN"/>
              </w:rPr>
              <w:t xml:space="preserve"> </w:t>
            </w:r>
            <w:r>
              <w:rPr>
                <w:color w:val="auto"/>
                <w:sz w:val="24"/>
                <w:highlight w:val="none"/>
                <w:lang w:eastAsia="zh-CN"/>
              </w:rPr>
              <w:t xml:space="preserve"> </w:t>
            </w:r>
            <w:r>
              <w:rPr>
                <w:color w:val="auto"/>
                <w:sz w:val="24"/>
                <w:highlight w:val="none"/>
              </w:rPr>
              <w:t>项目所在地</w:t>
            </w:r>
          </w:p>
        </w:tc>
        <w:tc>
          <w:tcPr>
            <w:tcW w:w="6451" w:type="dxa"/>
          </w:tcPr>
          <w:p w14:paraId="6D2B9086">
            <w:pPr>
              <w:pStyle w:val="38"/>
              <w:rPr>
                <w:rFonts w:ascii="Times New Roman"/>
                <w:color w:val="auto"/>
                <w:sz w:val="24"/>
                <w:highlight w:val="none"/>
              </w:rPr>
            </w:pPr>
          </w:p>
        </w:tc>
      </w:tr>
      <w:tr w14:paraId="3DC07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2276" w:type="dxa"/>
          </w:tcPr>
          <w:p w14:paraId="32320EB8">
            <w:pPr>
              <w:pStyle w:val="38"/>
              <w:spacing w:before="184"/>
              <w:ind w:right="541"/>
              <w:jc w:val="center"/>
              <w:rPr>
                <w:color w:val="auto"/>
                <w:sz w:val="24"/>
                <w:highlight w:val="none"/>
              </w:rPr>
            </w:pPr>
            <w:r>
              <w:rPr>
                <w:rFonts w:hint="eastAsia"/>
                <w:color w:val="auto"/>
                <w:sz w:val="24"/>
                <w:highlight w:val="none"/>
                <w:lang w:eastAsia="zh-CN"/>
              </w:rPr>
              <w:t xml:space="preserve"> </w:t>
            </w:r>
            <w:r>
              <w:rPr>
                <w:color w:val="auto"/>
                <w:sz w:val="24"/>
                <w:highlight w:val="none"/>
                <w:lang w:eastAsia="zh-CN"/>
              </w:rPr>
              <w:t xml:space="preserve"> </w:t>
            </w:r>
            <w:r>
              <w:rPr>
                <w:color w:val="auto"/>
                <w:sz w:val="24"/>
                <w:highlight w:val="none"/>
              </w:rPr>
              <w:t>发包人名称</w:t>
            </w:r>
          </w:p>
        </w:tc>
        <w:tc>
          <w:tcPr>
            <w:tcW w:w="6451" w:type="dxa"/>
          </w:tcPr>
          <w:p w14:paraId="27FC404A">
            <w:pPr>
              <w:pStyle w:val="38"/>
              <w:rPr>
                <w:rFonts w:ascii="Times New Roman"/>
                <w:color w:val="auto"/>
                <w:sz w:val="24"/>
                <w:highlight w:val="none"/>
              </w:rPr>
            </w:pPr>
          </w:p>
        </w:tc>
      </w:tr>
      <w:tr w14:paraId="4BF4C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76" w:type="dxa"/>
          </w:tcPr>
          <w:p w14:paraId="2BD09D69">
            <w:pPr>
              <w:pStyle w:val="38"/>
              <w:spacing w:before="171"/>
              <w:ind w:right="541"/>
              <w:jc w:val="center"/>
              <w:rPr>
                <w:color w:val="auto"/>
                <w:sz w:val="24"/>
                <w:highlight w:val="none"/>
              </w:rPr>
            </w:pPr>
            <w:r>
              <w:rPr>
                <w:rFonts w:hint="eastAsia"/>
                <w:color w:val="auto"/>
                <w:sz w:val="24"/>
                <w:highlight w:val="none"/>
                <w:lang w:eastAsia="zh-CN"/>
              </w:rPr>
              <w:t xml:space="preserve"> </w:t>
            </w:r>
            <w:r>
              <w:rPr>
                <w:color w:val="auto"/>
                <w:sz w:val="24"/>
                <w:highlight w:val="none"/>
                <w:lang w:eastAsia="zh-CN"/>
              </w:rPr>
              <w:t xml:space="preserve"> </w:t>
            </w:r>
            <w:r>
              <w:rPr>
                <w:color w:val="auto"/>
                <w:sz w:val="24"/>
                <w:highlight w:val="none"/>
              </w:rPr>
              <w:t>发包人地址</w:t>
            </w:r>
          </w:p>
        </w:tc>
        <w:tc>
          <w:tcPr>
            <w:tcW w:w="6451" w:type="dxa"/>
          </w:tcPr>
          <w:p w14:paraId="10EA6150">
            <w:pPr>
              <w:pStyle w:val="38"/>
              <w:rPr>
                <w:rFonts w:ascii="Times New Roman"/>
                <w:color w:val="auto"/>
                <w:sz w:val="24"/>
                <w:highlight w:val="none"/>
              </w:rPr>
            </w:pPr>
          </w:p>
        </w:tc>
      </w:tr>
      <w:tr w14:paraId="25357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trPr>
        <w:tc>
          <w:tcPr>
            <w:tcW w:w="2276" w:type="dxa"/>
          </w:tcPr>
          <w:p w14:paraId="6669AD3A">
            <w:pPr>
              <w:pStyle w:val="38"/>
              <w:spacing w:before="185"/>
              <w:ind w:right="541"/>
              <w:jc w:val="center"/>
              <w:rPr>
                <w:color w:val="auto"/>
                <w:sz w:val="24"/>
                <w:highlight w:val="none"/>
              </w:rPr>
            </w:pPr>
            <w:r>
              <w:rPr>
                <w:rFonts w:hint="eastAsia"/>
                <w:color w:val="auto"/>
                <w:sz w:val="24"/>
                <w:highlight w:val="none"/>
                <w:lang w:eastAsia="zh-CN"/>
              </w:rPr>
              <w:t xml:space="preserve"> </w:t>
            </w:r>
            <w:r>
              <w:rPr>
                <w:color w:val="auto"/>
                <w:sz w:val="24"/>
                <w:highlight w:val="none"/>
                <w:lang w:eastAsia="zh-CN"/>
              </w:rPr>
              <w:t xml:space="preserve"> </w:t>
            </w:r>
            <w:r>
              <w:rPr>
                <w:color w:val="auto"/>
                <w:sz w:val="24"/>
                <w:highlight w:val="none"/>
              </w:rPr>
              <w:t>发包人电话</w:t>
            </w:r>
          </w:p>
        </w:tc>
        <w:tc>
          <w:tcPr>
            <w:tcW w:w="6451" w:type="dxa"/>
          </w:tcPr>
          <w:p w14:paraId="7D89EFFB">
            <w:pPr>
              <w:pStyle w:val="38"/>
              <w:rPr>
                <w:rFonts w:ascii="Times New Roman"/>
                <w:color w:val="auto"/>
                <w:sz w:val="24"/>
                <w:highlight w:val="none"/>
              </w:rPr>
            </w:pPr>
          </w:p>
        </w:tc>
      </w:tr>
      <w:tr w14:paraId="0CBDB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2276" w:type="dxa"/>
          </w:tcPr>
          <w:p w14:paraId="527FC4F7">
            <w:pPr>
              <w:pStyle w:val="38"/>
              <w:spacing w:before="172"/>
              <w:ind w:left="548" w:right="541"/>
              <w:jc w:val="center"/>
              <w:rPr>
                <w:color w:val="auto"/>
                <w:sz w:val="24"/>
                <w:highlight w:val="none"/>
              </w:rPr>
            </w:pPr>
            <w:r>
              <w:rPr>
                <w:color w:val="auto"/>
                <w:sz w:val="24"/>
                <w:highlight w:val="none"/>
              </w:rPr>
              <w:t>合同价格</w:t>
            </w:r>
          </w:p>
        </w:tc>
        <w:tc>
          <w:tcPr>
            <w:tcW w:w="6451" w:type="dxa"/>
          </w:tcPr>
          <w:p w14:paraId="26F9787C">
            <w:pPr>
              <w:pStyle w:val="38"/>
              <w:rPr>
                <w:rFonts w:ascii="Times New Roman"/>
                <w:color w:val="auto"/>
                <w:sz w:val="24"/>
                <w:highlight w:val="none"/>
              </w:rPr>
            </w:pPr>
          </w:p>
        </w:tc>
      </w:tr>
      <w:tr w14:paraId="0C22B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2276" w:type="dxa"/>
          </w:tcPr>
          <w:p w14:paraId="69F060B4">
            <w:pPr>
              <w:pStyle w:val="38"/>
              <w:spacing w:before="171"/>
              <w:ind w:left="548" w:right="541"/>
              <w:jc w:val="center"/>
              <w:rPr>
                <w:color w:val="auto"/>
                <w:sz w:val="24"/>
                <w:highlight w:val="none"/>
              </w:rPr>
            </w:pPr>
            <w:r>
              <w:rPr>
                <w:color w:val="auto"/>
                <w:sz w:val="24"/>
                <w:highlight w:val="none"/>
              </w:rPr>
              <w:t>质量要求</w:t>
            </w:r>
          </w:p>
        </w:tc>
        <w:tc>
          <w:tcPr>
            <w:tcW w:w="6451" w:type="dxa"/>
          </w:tcPr>
          <w:p w14:paraId="5BD48949">
            <w:pPr>
              <w:pStyle w:val="38"/>
              <w:rPr>
                <w:rFonts w:ascii="Times New Roman"/>
                <w:color w:val="auto"/>
                <w:sz w:val="24"/>
                <w:highlight w:val="none"/>
              </w:rPr>
            </w:pPr>
          </w:p>
        </w:tc>
      </w:tr>
      <w:tr w14:paraId="5BA0A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trPr>
        <w:tc>
          <w:tcPr>
            <w:tcW w:w="2276" w:type="dxa"/>
          </w:tcPr>
          <w:p w14:paraId="6880A2EC">
            <w:pPr>
              <w:pStyle w:val="38"/>
              <w:spacing w:before="186"/>
              <w:ind w:left="548" w:right="541"/>
              <w:jc w:val="center"/>
              <w:rPr>
                <w:color w:val="auto"/>
                <w:sz w:val="24"/>
                <w:highlight w:val="none"/>
              </w:rPr>
            </w:pPr>
            <w:r>
              <w:rPr>
                <w:color w:val="auto"/>
                <w:sz w:val="24"/>
                <w:highlight w:val="none"/>
              </w:rPr>
              <w:t>备注</w:t>
            </w:r>
          </w:p>
        </w:tc>
        <w:tc>
          <w:tcPr>
            <w:tcW w:w="6451" w:type="dxa"/>
          </w:tcPr>
          <w:p w14:paraId="42CEC197">
            <w:pPr>
              <w:pStyle w:val="38"/>
              <w:rPr>
                <w:rFonts w:ascii="Times New Roman"/>
                <w:color w:val="auto"/>
                <w:sz w:val="24"/>
                <w:highlight w:val="none"/>
              </w:rPr>
            </w:pPr>
          </w:p>
        </w:tc>
      </w:tr>
    </w:tbl>
    <w:p w14:paraId="618AE61C">
      <w:pPr>
        <w:pStyle w:val="3"/>
        <w:spacing w:before="191"/>
        <w:rPr>
          <w:color w:val="auto"/>
          <w:highlight w:val="none"/>
          <w:lang w:eastAsia="zh-CN"/>
        </w:rPr>
      </w:pPr>
    </w:p>
    <w:p w14:paraId="6D0964B1">
      <w:pPr>
        <w:pStyle w:val="3"/>
        <w:spacing w:before="191"/>
        <w:ind w:left="1460"/>
        <w:rPr>
          <w:color w:val="auto"/>
          <w:highlight w:val="none"/>
          <w:lang w:eastAsia="zh-CN"/>
        </w:rPr>
      </w:pPr>
      <w:r>
        <w:rPr>
          <w:color w:val="auto"/>
          <w:highlight w:val="none"/>
          <w:lang w:eastAsia="zh-CN"/>
        </w:rPr>
        <w:t>备注：每张表格只填写一个项目，可标明序号及业绩类型</w:t>
      </w:r>
    </w:p>
    <w:p w14:paraId="651CD1DE">
      <w:pPr>
        <w:rPr>
          <w:b/>
          <w:color w:val="auto"/>
          <w:sz w:val="28"/>
          <w:highlight w:val="none"/>
          <w:lang w:eastAsia="zh-CN"/>
        </w:rPr>
      </w:pPr>
      <w:r>
        <w:rPr>
          <w:b/>
          <w:color w:val="auto"/>
          <w:sz w:val="28"/>
          <w:highlight w:val="none"/>
          <w:lang w:eastAsia="zh-CN"/>
        </w:rPr>
        <w:br w:type="page"/>
      </w:r>
    </w:p>
    <w:p w14:paraId="76E898F4">
      <w:pPr>
        <w:pStyle w:val="3"/>
        <w:spacing w:before="4"/>
        <w:ind w:left="0"/>
        <w:jc w:val="center"/>
        <w:rPr>
          <w:b/>
          <w:color w:val="auto"/>
          <w:sz w:val="10"/>
          <w:highlight w:val="none"/>
          <w:lang w:eastAsia="zh-CN"/>
        </w:rPr>
      </w:pPr>
      <w:r>
        <w:rPr>
          <w:b/>
          <w:color w:val="auto"/>
          <w:sz w:val="28"/>
          <w:highlight w:val="none"/>
          <w:lang w:eastAsia="zh-CN"/>
        </w:rPr>
        <w:t>（</w:t>
      </w:r>
      <w:r>
        <w:rPr>
          <w:rFonts w:hint="eastAsia"/>
          <w:b/>
          <w:color w:val="auto"/>
          <w:sz w:val="28"/>
          <w:highlight w:val="none"/>
          <w:lang w:val="en-US" w:eastAsia="zh-CN"/>
        </w:rPr>
        <w:t>四</w:t>
      </w:r>
      <w:r>
        <w:rPr>
          <w:b/>
          <w:color w:val="auto"/>
          <w:sz w:val="28"/>
          <w:highlight w:val="none"/>
          <w:lang w:eastAsia="zh-CN"/>
        </w:rPr>
        <w:t>）</w:t>
      </w:r>
      <w:r>
        <w:rPr>
          <w:rFonts w:hint="eastAsia"/>
          <w:b/>
          <w:color w:val="auto"/>
          <w:sz w:val="28"/>
          <w:highlight w:val="none"/>
          <w:lang w:val="en-US" w:eastAsia="zh-CN"/>
        </w:rPr>
        <w:t>项目负责人近</w:t>
      </w:r>
      <w:r>
        <w:rPr>
          <w:rFonts w:hint="eastAsia"/>
          <w:b/>
          <w:color w:val="auto"/>
          <w:sz w:val="28"/>
          <w:highlight w:val="none"/>
          <w:lang w:eastAsia="zh-CN"/>
        </w:rPr>
        <w:t>三年完成的类似项目情况表</w:t>
      </w:r>
    </w:p>
    <w:tbl>
      <w:tblPr>
        <w:tblStyle w:val="39"/>
        <w:tblW w:w="0" w:type="auto"/>
        <w:tblInd w:w="8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6"/>
        <w:gridCol w:w="6451"/>
      </w:tblGrid>
      <w:tr w14:paraId="7E17E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2276" w:type="dxa"/>
          </w:tcPr>
          <w:p w14:paraId="7E087C05">
            <w:pPr>
              <w:pStyle w:val="38"/>
              <w:spacing w:before="185"/>
              <w:ind w:left="548" w:right="541"/>
              <w:jc w:val="center"/>
              <w:rPr>
                <w:color w:val="auto"/>
                <w:sz w:val="24"/>
                <w:highlight w:val="none"/>
              </w:rPr>
            </w:pPr>
            <w:r>
              <w:rPr>
                <w:color w:val="auto"/>
                <w:sz w:val="24"/>
                <w:highlight w:val="none"/>
              </w:rPr>
              <w:t>项目名称</w:t>
            </w:r>
          </w:p>
        </w:tc>
        <w:tc>
          <w:tcPr>
            <w:tcW w:w="6451" w:type="dxa"/>
          </w:tcPr>
          <w:p w14:paraId="41707533">
            <w:pPr>
              <w:pStyle w:val="38"/>
              <w:rPr>
                <w:rFonts w:ascii="Times New Roman"/>
                <w:color w:val="auto"/>
                <w:sz w:val="24"/>
                <w:highlight w:val="none"/>
              </w:rPr>
            </w:pPr>
          </w:p>
        </w:tc>
      </w:tr>
      <w:tr w14:paraId="62D4D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76" w:type="dxa"/>
          </w:tcPr>
          <w:p w14:paraId="20E1ED01">
            <w:pPr>
              <w:pStyle w:val="38"/>
              <w:spacing w:before="172"/>
              <w:ind w:right="541"/>
              <w:jc w:val="center"/>
              <w:rPr>
                <w:color w:val="auto"/>
                <w:sz w:val="24"/>
                <w:highlight w:val="none"/>
              </w:rPr>
            </w:pPr>
            <w:r>
              <w:rPr>
                <w:rFonts w:hint="eastAsia"/>
                <w:color w:val="auto"/>
                <w:sz w:val="24"/>
                <w:highlight w:val="none"/>
                <w:lang w:eastAsia="zh-CN"/>
              </w:rPr>
              <w:t xml:space="preserve"> </w:t>
            </w:r>
            <w:r>
              <w:rPr>
                <w:color w:val="auto"/>
                <w:sz w:val="24"/>
                <w:highlight w:val="none"/>
                <w:lang w:eastAsia="zh-CN"/>
              </w:rPr>
              <w:t xml:space="preserve"> </w:t>
            </w:r>
            <w:r>
              <w:rPr>
                <w:color w:val="auto"/>
                <w:sz w:val="24"/>
                <w:highlight w:val="none"/>
              </w:rPr>
              <w:t>项目所在地</w:t>
            </w:r>
          </w:p>
        </w:tc>
        <w:tc>
          <w:tcPr>
            <w:tcW w:w="6451" w:type="dxa"/>
          </w:tcPr>
          <w:p w14:paraId="6C14F383">
            <w:pPr>
              <w:pStyle w:val="38"/>
              <w:rPr>
                <w:rFonts w:ascii="Times New Roman"/>
                <w:color w:val="auto"/>
                <w:sz w:val="24"/>
                <w:highlight w:val="none"/>
              </w:rPr>
            </w:pPr>
          </w:p>
        </w:tc>
      </w:tr>
      <w:tr w14:paraId="177F5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2276" w:type="dxa"/>
          </w:tcPr>
          <w:p w14:paraId="2BF9EF94">
            <w:pPr>
              <w:pStyle w:val="38"/>
              <w:spacing w:before="184"/>
              <w:ind w:right="541"/>
              <w:jc w:val="center"/>
              <w:rPr>
                <w:color w:val="auto"/>
                <w:sz w:val="24"/>
                <w:highlight w:val="none"/>
              </w:rPr>
            </w:pPr>
            <w:r>
              <w:rPr>
                <w:rFonts w:hint="eastAsia"/>
                <w:color w:val="auto"/>
                <w:sz w:val="24"/>
                <w:highlight w:val="none"/>
                <w:lang w:eastAsia="zh-CN"/>
              </w:rPr>
              <w:t xml:space="preserve"> </w:t>
            </w:r>
            <w:r>
              <w:rPr>
                <w:color w:val="auto"/>
                <w:sz w:val="24"/>
                <w:highlight w:val="none"/>
                <w:lang w:eastAsia="zh-CN"/>
              </w:rPr>
              <w:t xml:space="preserve"> </w:t>
            </w:r>
            <w:r>
              <w:rPr>
                <w:color w:val="auto"/>
                <w:sz w:val="24"/>
                <w:highlight w:val="none"/>
              </w:rPr>
              <w:t>发包人名称</w:t>
            </w:r>
          </w:p>
        </w:tc>
        <w:tc>
          <w:tcPr>
            <w:tcW w:w="6451" w:type="dxa"/>
          </w:tcPr>
          <w:p w14:paraId="1C57193B">
            <w:pPr>
              <w:pStyle w:val="38"/>
              <w:rPr>
                <w:rFonts w:ascii="Times New Roman"/>
                <w:color w:val="auto"/>
                <w:sz w:val="24"/>
                <w:highlight w:val="none"/>
              </w:rPr>
            </w:pPr>
          </w:p>
        </w:tc>
      </w:tr>
      <w:tr w14:paraId="44F54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76" w:type="dxa"/>
          </w:tcPr>
          <w:p w14:paraId="2B560CD3">
            <w:pPr>
              <w:pStyle w:val="38"/>
              <w:spacing w:before="171"/>
              <w:ind w:right="541"/>
              <w:jc w:val="center"/>
              <w:rPr>
                <w:color w:val="auto"/>
                <w:sz w:val="24"/>
                <w:highlight w:val="none"/>
              </w:rPr>
            </w:pPr>
            <w:r>
              <w:rPr>
                <w:rFonts w:hint="eastAsia"/>
                <w:color w:val="auto"/>
                <w:sz w:val="24"/>
                <w:highlight w:val="none"/>
                <w:lang w:eastAsia="zh-CN"/>
              </w:rPr>
              <w:t xml:space="preserve"> </w:t>
            </w:r>
            <w:r>
              <w:rPr>
                <w:color w:val="auto"/>
                <w:sz w:val="24"/>
                <w:highlight w:val="none"/>
                <w:lang w:eastAsia="zh-CN"/>
              </w:rPr>
              <w:t xml:space="preserve"> </w:t>
            </w:r>
            <w:r>
              <w:rPr>
                <w:color w:val="auto"/>
                <w:sz w:val="24"/>
                <w:highlight w:val="none"/>
              </w:rPr>
              <w:t>发包人地址</w:t>
            </w:r>
          </w:p>
        </w:tc>
        <w:tc>
          <w:tcPr>
            <w:tcW w:w="6451" w:type="dxa"/>
          </w:tcPr>
          <w:p w14:paraId="303A0E40">
            <w:pPr>
              <w:pStyle w:val="38"/>
              <w:rPr>
                <w:rFonts w:ascii="Times New Roman"/>
                <w:color w:val="auto"/>
                <w:sz w:val="24"/>
                <w:highlight w:val="none"/>
              </w:rPr>
            </w:pPr>
          </w:p>
        </w:tc>
      </w:tr>
      <w:tr w14:paraId="125ED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trPr>
        <w:tc>
          <w:tcPr>
            <w:tcW w:w="2276" w:type="dxa"/>
          </w:tcPr>
          <w:p w14:paraId="492A3063">
            <w:pPr>
              <w:pStyle w:val="38"/>
              <w:spacing w:before="185"/>
              <w:ind w:right="541"/>
              <w:jc w:val="center"/>
              <w:rPr>
                <w:color w:val="auto"/>
                <w:sz w:val="24"/>
                <w:highlight w:val="none"/>
              </w:rPr>
            </w:pPr>
            <w:r>
              <w:rPr>
                <w:rFonts w:hint="eastAsia"/>
                <w:color w:val="auto"/>
                <w:sz w:val="24"/>
                <w:highlight w:val="none"/>
                <w:lang w:eastAsia="zh-CN"/>
              </w:rPr>
              <w:t xml:space="preserve"> </w:t>
            </w:r>
            <w:r>
              <w:rPr>
                <w:color w:val="auto"/>
                <w:sz w:val="24"/>
                <w:highlight w:val="none"/>
                <w:lang w:eastAsia="zh-CN"/>
              </w:rPr>
              <w:t xml:space="preserve"> </w:t>
            </w:r>
            <w:r>
              <w:rPr>
                <w:color w:val="auto"/>
                <w:sz w:val="24"/>
                <w:highlight w:val="none"/>
              </w:rPr>
              <w:t>发包人电话</w:t>
            </w:r>
          </w:p>
        </w:tc>
        <w:tc>
          <w:tcPr>
            <w:tcW w:w="6451" w:type="dxa"/>
          </w:tcPr>
          <w:p w14:paraId="63E06FF7">
            <w:pPr>
              <w:pStyle w:val="38"/>
              <w:rPr>
                <w:rFonts w:ascii="Times New Roman"/>
                <w:color w:val="auto"/>
                <w:sz w:val="24"/>
                <w:highlight w:val="none"/>
              </w:rPr>
            </w:pPr>
          </w:p>
        </w:tc>
      </w:tr>
      <w:tr w14:paraId="6E91E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2276" w:type="dxa"/>
          </w:tcPr>
          <w:p w14:paraId="28ADEE06">
            <w:pPr>
              <w:pStyle w:val="38"/>
              <w:spacing w:before="172"/>
              <w:ind w:left="548" w:right="541"/>
              <w:jc w:val="center"/>
              <w:rPr>
                <w:color w:val="auto"/>
                <w:sz w:val="24"/>
                <w:highlight w:val="none"/>
              </w:rPr>
            </w:pPr>
            <w:r>
              <w:rPr>
                <w:color w:val="auto"/>
                <w:sz w:val="24"/>
                <w:highlight w:val="none"/>
              </w:rPr>
              <w:t>合同价格</w:t>
            </w:r>
          </w:p>
        </w:tc>
        <w:tc>
          <w:tcPr>
            <w:tcW w:w="6451" w:type="dxa"/>
          </w:tcPr>
          <w:p w14:paraId="2320B8B6">
            <w:pPr>
              <w:pStyle w:val="38"/>
              <w:rPr>
                <w:rFonts w:ascii="Times New Roman"/>
                <w:color w:val="auto"/>
                <w:sz w:val="24"/>
                <w:highlight w:val="none"/>
              </w:rPr>
            </w:pPr>
          </w:p>
        </w:tc>
      </w:tr>
      <w:tr w14:paraId="31E68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2276" w:type="dxa"/>
          </w:tcPr>
          <w:p w14:paraId="47E5CC38">
            <w:pPr>
              <w:pStyle w:val="38"/>
              <w:spacing w:before="171"/>
              <w:ind w:left="548" w:right="541"/>
              <w:jc w:val="center"/>
              <w:rPr>
                <w:color w:val="auto"/>
                <w:sz w:val="24"/>
                <w:highlight w:val="none"/>
              </w:rPr>
            </w:pPr>
            <w:r>
              <w:rPr>
                <w:color w:val="auto"/>
                <w:sz w:val="24"/>
                <w:highlight w:val="none"/>
              </w:rPr>
              <w:t>质量要求</w:t>
            </w:r>
          </w:p>
        </w:tc>
        <w:tc>
          <w:tcPr>
            <w:tcW w:w="6451" w:type="dxa"/>
          </w:tcPr>
          <w:p w14:paraId="6F028A7F">
            <w:pPr>
              <w:pStyle w:val="38"/>
              <w:rPr>
                <w:rFonts w:ascii="Times New Roman"/>
                <w:color w:val="auto"/>
                <w:sz w:val="24"/>
                <w:highlight w:val="none"/>
              </w:rPr>
            </w:pPr>
          </w:p>
        </w:tc>
      </w:tr>
      <w:tr w14:paraId="35DF8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trPr>
        <w:tc>
          <w:tcPr>
            <w:tcW w:w="2276" w:type="dxa"/>
          </w:tcPr>
          <w:p w14:paraId="636D0A8D">
            <w:pPr>
              <w:pStyle w:val="38"/>
              <w:spacing w:before="186"/>
              <w:ind w:left="548" w:right="541"/>
              <w:jc w:val="center"/>
              <w:rPr>
                <w:color w:val="auto"/>
                <w:sz w:val="24"/>
                <w:highlight w:val="none"/>
              </w:rPr>
            </w:pPr>
            <w:r>
              <w:rPr>
                <w:color w:val="auto"/>
                <w:sz w:val="24"/>
                <w:highlight w:val="none"/>
              </w:rPr>
              <w:t>备注</w:t>
            </w:r>
          </w:p>
        </w:tc>
        <w:tc>
          <w:tcPr>
            <w:tcW w:w="6451" w:type="dxa"/>
          </w:tcPr>
          <w:p w14:paraId="7160648F">
            <w:pPr>
              <w:pStyle w:val="38"/>
              <w:rPr>
                <w:rFonts w:ascii="Times New Roman"/>
                <w:color w:val="auto"/>
                <w:sz w:val="24"/>
                <w:highlight w:val="none"/>
              </w:rPr>
            </w:pPr>
          </w:p>
        </w:tc>
      </w:tr>
    </w:tbl>
    <w:p w14:paraId="73637B80">
      <w:pPr>
        <w:pStyle w:val="3"/>
        <w:spacing w:before="191"/>
        <w:rPr>
          <w:color w:val="auto"/>
          <w:highlight w:val="none"/>
          <w:lang w:eastAsia="zh-CN"/>
        </w:rPr>
      </w:pPr>
    </w:p>
    <w:p w14:paraId="54328856">
      <w:pPr>
        <w:pStyle w:val="3"/>
        <w:spacing w:before="191"/>
        <w:ind w:left="1460"/>
        <w:rPr>
          <w:color w:val="auto"/>
          <w:highlight w:val="none"/>
          <w:lang w:eastAsia="zh-CN"/>
        </w:rPr>
      </w:pPr>
      <w:r>
        <w:rPr>
          <w:color w:val="auto"/>
          <w:highlight w:val="none"/>
          <w:lang w:eastAsia="zh-CN"/>
        </w:rPr>
        <w:t>备注：每张表格只填写一个项目，可标明序号及业绩类型</w:t>
      </w:r>
    </w:p>
    <w:p w14:paraId="1261F039">
      <w:pPr>
        <w:rPr>
          <w:color w:val="auto"/>
          <w:highlight w:val="none"/>
          <w:lang w:eastAsia="zh-CN"/>
        </w:rPr>
        <w:sectPr>
          <w:pgSz w:w="11910" w:h="16840"/>
          <w:pgMar w:top="1440" w:right="1080" w:bottom="1440" w:left="1080" w:header="0" w:footer="909" w:gutter="0"/>
          <w:cols w:space="720" w:num="1"/>
          <w:docGrid w:linePitch="299" w:charSpace="0"/>
        </w:sectPr>
      </w:pPr>
    </w:p>
    <w:p w14:paraId="5017DDD4">
      <w:pPr>
        <w:spacing w:before="30"/>
        <w:ind w:left="530" w:right="194"/>
        <w:jc w:val="center"/>
        <w:rPr>
          <w:b/>
          <w:color w:val="auto"/>
          <w:sz w:val="32"/>
          <w:highlight w:val="none"/>
          <w:lang w:eastAsia="zh-CN"/>
        </w:rPr>
      </w:pPr>
      <w:bookmarkStart w:id="174" w:name="七、项目组成人员"/>
      <w:bookmarkEnd w:id="174"/>
      <w:r>
        <w:rPr>
          <w:rFonts w:hint="eastAsia"/>
          <w:b/>
          <w:color w:val="auto"/>
          <w:sz w:val="32"/>
          <w:highlight w:val="none"/>
          <w:lang w:val="en-US" w:eastAsia="zh-CN"/>
        </w:rPr>
        <w:t>五</w:t>
      </w:r>
      <w:r>
        <w:rPr>
          <w:b/>
          <w:color w:val="auto"/>
          <w:sz w:val="32"/>
          <w:highlight w:val="none"/>
          <w:lang w:eastAsia="zh-CN"/>
        </w:rPr>
        <w:t>、项目组成人员</w:t>
      </w:r>
    </w:p>
    <w:p w14:paraId="23AF14CB">
      <w:pPr>
        <w:spacing w:before="109"/>
        <w:ind w:left="530" w:right="422"/>
        <w:jc w:val="both"/>
        <w:rPr>
          <w:b/>
          <w:color w:val="auto"/>
          <w:sz w:val="30"/>
          <w:highlight w:val="none"/>
          <w:lang w:eastAsia="zh-CN"/>
        </w:rPr>
      </w:pPr>
    </w:p>
    <w:p w14:paraId="5E6F6ACE">
      <w:pPr>
        <w:pStyle w:val="3"/>
        <w:spacing w:before="4"/>
        <w:ind w:left="0"/>
        <w:rPr>
          <w:b/>
          <w:color w:val="auto"/>
          <w:sz w:val="15"/>
          <w:highlight w:val="none"/>
          <w:lang w:eastAsia="zh-CN"/>
        </w:rPr>
      </w:pPr>
    </w:p>
    <w:tbl>
      <w:tblPr>
        <w:tblStyle w:val="39"/>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1348"/>
        <w:gridCol w:w="1075"/>
        <w:gridCol w:w="1015"/>
        <w:gridCol w:w="1417"/>
        <w:gridCol w:w="1432"/>
        <w:gridCol w:w="2189"/>
      </w:tblGrid>
      <w:tr w14:paraId="1B44A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782" w:type="dxa"/>
            <w:tcBorders>
              <w:bottom w:val="single" w:color="000000" w:sz="4" w:space="0"/>
              <w:right w:val="single" w:color="000000" w:sz="4" w:space="0"/>
            </w:tcBorders>
          </w:tcPr>
          <w:p w14:paraId="45611AC8">
            <w:pPr>
              <w:pStyle w:val="38"/>
              <w:rPr>
                <w:b/>
                <w:color w:val="auto"/>
                <w:sz w:val="24"/>
                <w:szCs w:val="24"/>
                <w:highlight w:val="none"/>
                <w:lang w:eastAsia="zh-CN"/>
              </w:rPr>
            </w:pPr>
          </w:p>
          <w:p w14:paraId="1EAFCA33">
            <w:pPr>
              <w:pStyle w:val="38"/>
              <w:spacing w:before="141"/>
              <w:ind w:firstLine="240" w:firstLineChars="100"/>
              <w:rPr>
                <w:color w:val="auto"/>
                <w:sz w:val="24"/>
                <w:szCs w:val="24"/>
                <w:highlight w:val="none"/>
              </w:rPr>
            </w:pPr>
            <w:r>
              <w:rPr>
                <w:color w:val="auto"/>
                <w:sz w:val="24"/>
                <w:szCs w:val="24"/>
                <w:highlight w:val="none"/>
              </w:rPr>
              <w:t>序号</w:t>
            </w:r>
          </w:p>
        </w:tc>
        <w:tc>
          <w:tcPr>
            <w:tcW w:w="1348" w:type="dxa"/>
            <w:tcBorders>
              <w:left w:val="single" w:color="000000" w:sz="4" w:space="0"/>
              <w:bottom w:val="single" w:color="000000" w:sz="4" w:space="0"/>
              <w:right w:val="single" w:color="000000" w:sz="4" w:space="0"/>
            </w:tcBorders>
          </w:tcPr>
          <w:p w14:paraId="6DB1D07F">
            <w:pPr>
              <w:pStyle w:val="38"/>
              <w:rPr>
                <w:b/>
                <w:color w:val="auto"/>
                <w:sz w:val="24"/>
                <w:szCs w:val="24"/>
                <w:highlight w:val="none"/>
              </w:rPr>
            </w:pPr>
          </w:p>
          <w:p w14:paraId="569414C9">
            <w:pPr>
              <w:pStyle w:val="38"/>
              <w:spacing w:before="141"/>
              <w:ind w:left="423"/>
              <w:rPr>
                <w:color w:val="auto"/>
                <w:sz w:val="24"/>
                <w:szCs w:val="24"/>
                <w:highlight w:val="none"/>
              </w:rPr>
            </w:pPr>
            <w:r>
              <w:rPr>
                <w:color w:val="auto"/>
                <w:sz w:val="24"/>
                <w:szCs w:val="24"/>
                <w:highlight w:val="none"/>
              </w:rPr>
              <w:t>姓名</w:t>
            </w:r>
          </w:p>
        </w:tc>
        <w:tc>
          <w:tcPr>
            <w:tcW w:w="1075" w:type="dxa"/>
            <w:tcBorders>
              <w:left w:val="single" w:color="000000" w:sz="4" w:space="0"/>
              <w:bottom w:val="single" w:color="000000" w:sz="4" w:space="0"/>
              <w:right w:val="single" w:color="000000" w:sz="4" w:space="0"/>
            </w:tcBorders>
          </w:tcPr>
          <w:p w14:paraId="2D40B2CD">
            <w:pPr>
              <w:pStyle w:val="38"/>
              <w:rPr>
                <w:b/>
                <w:color w:val="auto"/>
                <w:sz w:val="24"/>
                <w:szCs w:val="24"/>
                <w:highlight w:val="none"/>
              </w:rPr>
            </w:pPr>
          </w:p>
          <w:p w14:paraId="66918A8F">
            <w:pPr>
              <w:pStyle w:val="38"/>
              <w:spacing w:before="141"/>
              <w:ind w:left="1" w:firstLine="240" w:firstLineChars="100"/>
              <w:rPr>
                <w:color w:val="auto"/>
                <w:sz w:val="24"/>
                <w:szCs w:val="24"/>
                <w:highlight w:val="none"/>
              </w:rPr>
            </w:pPr>
            <w:r>
              <w:rPr>
                <w:color w:val="auto"/>
                <w:sz w:val="24"/>
                <w:szCs w:val="24"/>
                <w:highlight w:val="none"/>
              </w:rPr>
              <w:t>性别</w:t>
            </w:r>
          </w:p>
        </w:tc>
        <w:tc>
          <w:tcPr>
            <w:tcW w:w="1015" w:type="dxa"/>
            <w:tcBorders>
              <w:left w:val="single" w:color="000000" w:sz="4" w:space="0"/>
              <w:bottom w:val="single" w:color="000000" w:sz="4" w:space="0"/>
              <w:right w:val="single" w:color="000000" w:sz="4" w:space="0"/>
            </w:tcBorders>
          </w:tcPr>
          <w:p w14:paraId="52F11BE0">
            <w:pPr>
              <w:pStyle w:val="38"/>
              <w:rPr>
                <w:b/>
                <w:color w:val="auto"/>
                <w:sz w:val="24"/>
                <w:szCs w:val="24"/>
                <w:highlight w:val="none"/>
              </w:rPr>
            </w:pPr>
          </w:p>
          <w:p w14:paraId="436AC209">
            <w:pPr>
              <w:pStyle w:val="38"/>
              <w:spacing w:before="141"/>
              <w:ind w:left="1" w:firstLine="240" w:firstLineChars="100"/>
              <w:rPr>
                <w:color w:val="auto"/>
                <w:sz w:val="24"/>
                <w:szCs w:val="24"/>
                <w:highlight w:val="none"/>
              </w:rPr>
            </w:pPr>
            <w:r>
              <w:rPr>
                <w:color w:val="auto"/>
                <w:sz w:val="24"/>
                <w:szCs w:val="24"/>
                <w:highlight w:val="none"/>
              </w:rPr>
              <w:t>年龄</w:t>
            </w:r>
          </w:p>
        </w:tc>
        <w:tc>
          <w:tcPr>
            <w:tcW w:w="1417" w:type="dxa"/>
            <w:tcBorders>
              <w:left w:val="single" w:color="000000" w:sz="4" w:space="0"/>
              <w:bottom w:val="single" w:color="000000" w:sz="4" w:space="0"/>
              <w:right w:val="single" w:color="000000" w:sz="4" w:space="0"/>
            </w:tcBorders>
          </w:tcPr>
          <w:p w14:paraId="73DB0E59">
            <w:pPr>
              <w:pStyle w:val="38"/>
              <w:rPr>
                <w:b/>
                <w:color w:val="auto"/>
                <w:sz w:val="24"/>
                <w:szCs w:val="24"/>
                <w:highlight w:val="none"/>
              </w:rPr>
            </w:pPr>
          </w:p>
          <w:p w14:paraId="778DC51D">
            <w:pPr>
              <w:pStyle w:val="38"/>
              <w:spacing w:before="141"/>
              <w:ind w:left="422"/>
              <w:rPr>
                <w:color w:val="auto"/>
                <w:sz w:val="24"/>
                <w:szCs w:val="24"/>
                <w:highlight w:val="none"/>
              </w:rPr>
            </w:pPr>
            <w:r>
              <w:rPr>
                <w:color w:val="auto"/>
                <w:sz w:val="24"/>
                <w:szCs w:val="24"/>
                <w:highlight w:val="none"/>
              </w:rPr>
              <w:t>职务</w:t>
            </w:r>
          </w:p>
        </w:tc>
        <w:tc>
          <w:tcPr>
            <w:tcW w:w="1432" w:type="dxa"/>
            <w:tcBorders>
              <w:left w:val="single" w:color="000000" w:sz="4" w:space="0"/>
              <w:bottom w:val="single" w:color="000000" w:sz="4" w:space="0"/>
              <w:right w:val="single" w:color="000000" w:sz="4" w:space="0"/>
            </w:tcBorders>
          </w:tcPr>
          <w:p w14:paraId="3B304E4F">
            <w:pPr>
              <w:pStyle w:val="38"/>
              <w:rPr>
                <w:b/>
                <w:color w:val="auto"/>
                <w:sz w:val="24"/>
                <w:szCs w:val="24"/>
                <w:highlight w:val="none"/>
              </w:rPr>
            </w:pPr>
          </w:p>
          <w:p w14:paraId="54DF3F3A">
            <w:pPr>
              <w:pStyle w:val="38"/>
              <w:spacing w:before="141"/>
              <w:ind w:left="422"/>
              <w:rPr>
                <w:color w:val="auto"/>
                <w:sz w:val="24"/>
                <w:szCs w:val="24"/>
                <w:highlight w:val="none"/>
              </w:rPr>
            </w:pPr>
            <w:r>
              <w:rPr>
                <w:color w:val="auto"/>
                <w:sz w:val="24"/>
                <w:szCs w:val="24"/>
                <w:highlight w:val="none"/>
              </w:rPr>
              <w:t>职称</w:t>
            </w:r>
          </w:p>
        </w:tc>
        <w:tc>
          <w:tcPr>
            <w:tcW w:w="2189" w:type="dxa"/>
            <w:tcBorders>
              <w:left w:val="single" w:color="000000" w:sz="4" w:space="0"/>
              <w:bottom w:val="single" w:color="000000" w:sz="4" w:space="0"/>
            </w:tcBorders>
          </w:tcPr>
          <w:p w14:paraId="263BEE1D">
            <w:pPr>
              <w:pStyle w:val="38"/>
              <w:spacing w:before="162"/>
              <w:ind w:left="1"/>
              <w:jc w:val="center"/>
              <w:rPr>
                <w:rFonts w:hint="eastAsia"/>
                <w:color w:val="auto"/>
                <w:sz w:val="24"/>
                <w:szCs w:val="24"/>
                <w:highlight w:val="none"/>
                <w:lang w:val="en-US" w:eastAsia="zh-CN"/>
              </w:rPr>
            </w:pPr>
          </w:p>
          <w:p w14:paraId="69A3B561">
            <w:pPr>
              <w:pStyle w:val="38"/>
              <w:spacing w:before="162"/>
              <w:ind w:left="1"/>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社保</w:t>
            </w:r>
          </w:p>
        </w:tc>
      </w:tr>
      <w:tr w14:paraId="34E58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782" w:type="dxa"/>
            <w:tcBorders>
              <w:top w:val="single" w:color="000000" w:sz="4" w:space="0"/>
              <w:bottom w:val="single" w:color="000000" w:sz="4" w:space="0"/>
              <w:right w:val="single" w:color="000000" w:sz="4" w:space="0"/>
            </w:tcBorders>
          </w:tcPr>
          <w:p w14:paraId="1C5E75CF">
            <w:pPr>
              <w:pStyle w:val="38"/>
              <w:spacing w:before="11"/>
              <w:jc w:val="center"/>
              <w:rPr>
                <w:b/>
                <w:color w:val="auto"/>
                <w:sz w:val="24"/>
                <w:szCs w:val="24"/>
                <w:highlight w:val="none"/>
              </w:rPr>
            </w:pPr>
          </w:p>
          <w:p w14:paraId="69AE2D40">
            <w:pPr>
              <w:pStyle w:val="38"/>
              <w:ind w:right="72"/>
              <w:jc w:val="center"/>
              <w:rPr>
                <w:color w:val="auto"/>
                <w:sz w:val="24"/>
                <w:szCs w:val="24"/>
                <w:highlight w:val="none"/>
              </w:rPr>
            </w:pPr>
            <w:r>
              <w:rPr>
                <w:color w:val="auto"/>
                <w:w w:val="99"/>
                <w:sz w:val="24"/>
                <w:szCs w:val="24"/>
                <w:highlight w:val="none"/>
              </w:rPr>
              <w:t>1</w:t>
            </w:r>
          </w:p>
        </w:tc>
        <w:tc>
          <w:tcPr>
            <w:tcW w:w="1348" w:type="dxa"/>
            <w:tcBorders>
              <w:top w:val="single" w:color="000000" w:sz="4" w:space="0"/>
              <w:left w:val="single" w:color="000000" w:sz="4" w:space="0"/>
              <w:bottom w:val="single" w:color="000000" w:sz="4" w:space="0"/>
              <w:right w:val="single" w:color="000000" w:sz="4" w:space="0"/>
            </w:tcBorders>
          </w:tcPr>
          <w:p w14:paraId="597CD056">
            <w:pPr>
              <w:pStyle w:val="38"/>
              <w:rPr>
                <w:color w:val="auto"/>
                <w:sz w:val="24"/>
                <w:szCs w:val="24"/>
                <w:highlight w:val="none"/>
              </w:rPr>
            </w:pPr>
          </w:p>
        </w:tc>
        <w:tc>
          <w:tcPr>
            <w:tcW w:w="1075" w:type="dxa"/>
            <w:tcBorders>
              <w:top w:val="single" w:color="000000" w:sz="4" w:space="0"/>
              <w:left w:val="single" w:color="000000" w:sz="4" w:space="0"/>
              <w:bottom w:val="single" w:color="000000" w:sz="4" w:space="0"/>
              <w:right w:val="single" w:color="000000" w:sz="4" w:space="0"/>
            </w:tcBorders>
          </w:tcPr>
          <w:p w14:paraId="23DE0BCA">
            <w:pPr>
              <w:pStyle w:val="38"/>
              <w:rPr>
                <w:color w:val="auto"/>
                <w:sz w:val="24"/>
                <w:szCs w:val="24"/>
                <w:highlight w:val="none"/>
              </w:rPr>
            </w:pPr>
          </w:p>
        </w:tc>
        <w:tc>
          <w:tcPr>
            <w:tcW w:w="1015" w:type="dxa"/>
            <w:tcBorders>
              <w:top w:val="single" w:color="000000" w:sz="4" w:space="0"/>
              <w:left w:val="single" w:color="000000" w:sz="4" w:space="0"/>
              <w:bottom w:val="single" w:color="000000" w:sz="4" w:space="0"/>
              <w:right w:val="single" w:color="000000" w:sz="4" w:space="0"/>
            </w:tcBorders>
          </w:tcPr>
          <w:p w14:paraId="0A12A41D">
            <w:pPr>
              <w:pStyle w:val="38"/>
              <w:rPr>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27A59033">
            <w:pPr>
              <w:pStyle w:val="38"/>
              <w:rPr>
                <w:color w:val="auto"/>
                <w:sz w:val="24"/>
                <w:szCs w:val="24"/>
                <w:highlight w:val="none"/>
              </w:rPr>
            </w:pPr>
          </w:p>
        </w:tc>
        <w:tc>
          <w:tcPr>
            <w:tcW w:w="1432" w:type="dxa"/>
            <w:tcBorders>
              <w:top w:val="single" w:color="000000" w:sz="4" w:space="0"/>
              <w:left w:val="single" w:color="000000" w:sz="4" w:space="0"/>
              <w:bottom w:val="single" w:color="000000" w:sz="4" w:space="0"/>
              <w:right w:val="single" w:color="000000" w:sz="4" w:space="0"/>
            </w:tcBorders>
          </w:tcPr>
          <w:p w14:paraId="4B036EAB">
            <w:pPr>
              <w:pStyle w:val="38"/>
              <w:rPr>
                <w:color w:val="auto"/>
                <w:sz w:val="24"/>
                <w:szCs w:val="24"/>
                <w:highlight w:val="none"/>
              </w:rPr>
            </w:pPr>
          </w:p>
        </w:tc>
        <w:tc>
          <w:tcPr>
            <w:tcW w:w="2189" w:type="dxa"/>
            <w:tcBorders>
              <w:top w:val="single" w:color="000000" w:sz="4" w:space="0"/>
              <w:left w:val="single" w:color="000000" w:sz="4" w:space="0"/>
              <w:bottom w:val="single" w:color="000000" w:sz="4" w:space="0"/>
            </w:tcBorders>
          </w:tcPr>
          <w:p w14:paraId="51934066">
            <w:pPr>
              <w:pStyle w:val="38"/>
              <w:rPr>
                <w:color w:val="auto"/>
                <w:sz w:val="24"/>
                <w:szCs w:val="24"/>
                <w:highlight w:val="none"/>
              </w:rPr>
            </w:pPr>
          </w:p>
        </w:tc>
      </w:tr>
      <w:tr w14:paraId="2CA07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782" w:type="dxa"/>
            <w:tcBorders>
              <w:top w:val="single" w:color="000000" w:sz="4" w:space="0"/>
              <w:bottom w:val="single" w:color="000000" w:sz="4" w:space="0"/>
              <w:right w:val="single" w:color="000000" w:sz="4" w:space="0"/>
            </w:tcBorders>
          </w:tcPr>
          <w:p w14:paraId="65928AAA">
            <w:pPr>
              <w:pStyle w:val="38"/>
              <w:spacing w:before="9"/>
              <w:jc w:val="center"/>
              <w:rPr>
                <w:b/>
                <w:color w:val="auto"/>
                <w:sz w:val="24"/>
                <w:szCs w:val="24"/>
                <w:highlight w:val="none"/>
              </w:rPr>
            </w:pPr>
          </w:p>
          <w:p w14:paraId="56EFFA79">
            <w:pPr>
              <w:pStyle w:val="38"/>
              <w:ind w:right="72"/>
              <w:jc w:val="center"/>
              <w:rPr>
                <w:color w:val="auto"/>
                <w:sz w:val="24"/>
                <w:szCs w:val="24"/>
                <w:highlight w:val="none"/>
              </w:rPr>
            </w:pPr>
            <w:r>
              <w:rPr>
                <w:color w:val="auto"/>
                <w:w w:val="99"/>
                <w:sz w:val="24"/>
                <w:szCs w:val="24"/>
                <w:highlight w:val="none"/>
              </w:rPr>
              <w:t>2</w:t>
            </w:r>
          </w:p>
        </w:tc>
        <w:tc>
          <w:tcPr>
            <w:tcW w:w="1348" w:type="dxa"/>
            <w:tcBorders>
              <w:top w:val="single" w:color="000000" w:sz="4" w:space="0"/>
              <w:left w:val="single" w:color="000000" w:sz="4" w:space="0"/>
              <w:bottom w:val="single" w:color="000000" w:sz="4" w:space="0"/>
              <w:right w:val="single" w:color="000000" w:sz="4" w:space="0"/>
            </w:tcBorders>
          </w:tcPr>
          <w:p w14:paraId="09AF23DF">
            <w:pPr>
              <w:pStyle w:val="38"/>
              <w:rPr>
                <w:color w:val="auto"/>
                <w:sz w:val="24"/>
                <w:szCs w:val="24"/>
                <w:highlight w:val="none"/>
              </w:rPr>
            </w:pPr>
          </w:p>
        </w:tc>
        <w:tc>
          <w:tcPr>
            <w:tcW w:w="1075" w:type="dxa"/>
            <w:tcBorders>
              <w:top w:val="single" w:color="000000" w:sz="4" w:space="0"/>
              <w:left w:val="single" w:color="000000" w:sz="4" w:space="0"/>
              <w:bottom w:val="single" w:color="000000" w:sz="4" w:space="0"/>
              <w:right w:val="single" w:color="000000" w:sz="4" w:space="0"/>
            </w:tcBorders>
          </w:tcPr>
          <w:p w14:paraId="119586A2">
            <w:pPr>
              <w:pStyle w:val="38"/>
              <w:rPr>
                <w:color w:val="auto"/>
                <w:sz w:val="24"/>
                <w:szCs w:val="24"/>
                <w:highlight w:val="none"/>
              </w:rPr>
            </w:pPr>
          </w:p>
        </w:tc>
        <w:tc>
          <w:tcPr>
            <w:tcW w:w="1015" w:type="dxa"/>
            <w:tcBorders>
              <w:top w:val="single" w:color="000000" w:sz="4" w:space="0"/>
              <w:left w:val="single" w:color="000000" w:sz="4" w:space="0"/>
              <w:bottom w:val="single" w:color="000000" w:sz="4" w:space="0"/>
              <w:right w:val="single" w:color="000000" w:sz="4" w:space="0"/>
            </w:tcBorders>
          </w:tcPr>
          <w:p w14:paraId="6D58C041">
            <w:pPr>
              <w:pStyle w:val="38"/>
              <w:rPr>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0EB45996">
            <w:pPr>
              <w:pStyle w:val="38"/>
              <w:rPr>
                <w:color w:val="auto"/>
                <w:sz w:val="24"/>
                <w:szCs w:val="24"/>
                <w:highlight w:val="none"/>
              </w:rPr>
            </w:pPr>
          </w:p>
        </w:tc>
        <w:tc>
          <w:tcPr>
            <w:tcW w:w="1432" w:type="dxa"/>
            <w:tcBorders>
              <w:top w:val="single" w:color="000000" w:sz="4" w:space="0"/>
              <w:left w:val="single" w:color="000000" w:sz="4" w:space="0"/>
              <w:bottom w:val="single" w:color="000000" w:sz="4" w:space="0"/>
              <w:right w:val="single" w:color="000000" w:sz="4" w:space="0"/>
            </w:tcBorders>
          </w:tcPr>
          <w:p w14:paraId="30D5E110">
            <w:pPr>
              <w:pStyle w:val="38"/>
              <w:rPr>
                <w:color w:val="auto"/>
                <w:sz w:val="24"/>
                <w:szCs w:val="24"/>
                <w:highlight w:val="none"/>
              </w:rPr>
            </w:pPr>
          </w:p>
        </w:tc>
        <w:tc>
          <w:tcPr>
            <w:tcW w:w="2189" w:type="dxa"/>
            <w:tcBorders>
              <w:top w:val="single" w:color="000000" w:sz="4" w:space="0"/>
              <w:left w:val="single" w:color="000000" w:sz="4" w:space="0"/>
              <w:bottom w:val="single" w:color="000000" w:sz="4" w:space="0"/>
            </w:tcBorders>
          </w:tcPr>
          <w:p w14:paraId="63FCFB41">
            <w:pPr>
              <w:pStyle w:val="38"/>
              <w:rPr>
                <w:color w:val="auto"/>
                <w:sz w:val="24"/>
                <w:szCs w:val="24"/>
                <w:highlight w:val="none"/>
              </w:rPr>
            </w:pPr>
          </w:p>
        </w:tc>
      </w:tr>
      <w:tr w14:paraId="52954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782" w:type="dxa"/>
            <w:tcBorders>
              <w:top w:val="single" w:color="000000" w:sz="4" w:space="0"/>
              <w:bottom w:val="single" w:color="000000" w:sz="4" w:space="0"/>
              <w:right w:val="single" w:color="000000" w:sz="4" w:space="0"/>
            </w:tcBorders>
          </w:tcPr>
          <w:p w14:paraId="15CD5806">
            <w:pPr>
              <w:pStyle w:val="38"/>
              <w:spacing w:before="10"/>
              <w:jc w:val="center"/>
              <w:rPr>
                <w:b/>
                <w:color w:val="auto"/>
                <w:sz w:val="24"/>
                <w:szCs w:val="24"/>
                <w:highlight w:val="none"/>
              </w:rPr>
            </w:pPr>
          </w:p>
          <w:p w14:paraId="52CEDB38">
            <w:pPr>
              <w:pStyle w:val="38"/>
              <w:ind w:right="72"/>
              <w:jc w:val="center"/>
              <w:rPr>
                <w:color w:val="auto"/>
                <w:sz w:val="24"/>
                <w:szCs w:val="24"/>
                <w:highlight w:val="none"/>
              </w:rPr>
            </w:pPr>
            <w:r>
              <w:rPr>
                <w:color w:val="auto"/>
                <w:w w:val="99"/>
                <w:sz w:val="24"/>
                <w:szCs w:val="24"/>
                <w:highlight w:val="none"/>
              </w:rPr>
              <w:t>3</w:t>
            </w:r>
          </w:p>
        </w:tc>
        <w:tc>
          <w:tcPr>
            <w:tcW w:w="1348" w:type="dxa"/>
            <w:tcBorders>
              <w:top w:val="single" w:color="000000" w:sz="4" w:space="0"/>
              <w:left w:val="single" w:color="000000" w:sz="4" w:space="0"/>
              <w:bottom w:val="single" w:color="000000" w:sz="4" w:space="0"/>
              <w:right w:val="single" w:color="000000" w:sz="4" w:space="0"/>
            </w:tcBorders>
          </w:tcPr>
          <w:p w14:paraId="5FAEDB42">
            <w:pPr>
              <w:pStyle w:val="38"/>
              <w:rPr>
                <w:color w:val="auto"/>
                <w:sz w:val="24"/>
                <w:szCs w:val="24"/>
                <w:highlight w:val="none"/>
              </w:rPr>
            </w:pPr>
          </w:p>
        </w:tc>
        <w:tc>
          <w:tcPr>
            <w:tcW w:w="1075" w:type="dxa"/>
            <w:tcBorders>
              <w:top w:val="single" w:color="000000" w:sz="4" w:space="0"/>
              <w:left w:val="single" w:color="000000" w:sz="4" w:space="0"/>
              <w:bottom w:val="single" w:color="000000" w:sz="4" w:space="0"/>
              <w:right w:val="single" w:color="000000" w:sz="4" w:space="0"/>
            </w:tcBorders>
          </w:tcPr>
          <w:p w14:paraId="2EB94C47">
            <w:pPr>
              <w:pStyle w:val="38"/>
              <w:rPr>
                <w:color w:val="auto"/>
                <w:sz w:val="24"/>
                <w:szCs w:val="24"/>
                <w:highlight w:val="none"/>
              </w:rPr>
            </w:pPr>
          </w:p>
        </w:tc>
        <w:tc>
          <w:tcPr>
            <w:tcW w:w="1015" w:type="dxa"/>
            <w:tcBorders>
              <w:top w:val="single" w:color="000000" w:sz="4" w:space="0"/>
              <w:left w:val="single" w:color="000000" w:sz="4" w:space="0"/>
              <w:bottom w:val="single" w:color="000000" w:sz="4" w:space="0"/>
              <w:right w:val="single" w:color="000000" w:sz="4" w:space="0"/>
            </w:tcBorders>
          </w:tcPr>
          <w:p w14:paraId="426BD6C0">
            <w:pPr>
              <w:pStyle w:val="38"/>
              <w:rPr>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5912EED9">
            <w:pPr>
              <w:pStyle w:val="38"/>
              <w:rPr>
                <w:color w:val="auto"/>
                <w:sz w:val="24"/>
                <w:szCs w:val="24"/>
                <w:highlight w:val="none"/>
              </w:rPr>
            </w:pPr>
          </w:p>
        </w:tc>
        <w:tc>
          <w:tcPr>
            <w:tcW w:w="1432" w:type="dxa"/>
            <w:tcBorders>
              <w:top w:val="single" w:color="000000" w:sz="4" w:space="0"/>
              <w:left w:val="single" w:color="000000" w:sz="4" w:space="0"/>
              <w:bottom w:val="single" w:color="000000" w:sz="4" w:space="0"/>
              <w:right w:val="single" w:color="000000" w:sz="4" w:space="0"/>
            </w:tcBorders>
          </w:tcPr>
          <w:p w14:paraId="0CB2B9C2">
            <w:pPr>
              <w:pStyle w:val="38"/>
              <w:rPr>
                <w:color w:val="auto"/>
                <w:sz w:val="24"/>
                <w:szCs w:val="24"/>
                <w:highlight w:val="none"/>
              </w:rPr>
            </w:pPr>
          </w:p>
        </w:tc>
        <w:tc>
          <w:tcPr>
            <w:tcW w:w="2189" w:type="dxa"/>
            <w:tcBorders>
              <w:top w:val="single" w:color="000000" w:sz="4" w:space="0"/>
              <w:left w:val="single" w:color="000000" w:sz="4" w:space="0"/>
              <w:bottom w:val="single" w:color="000000" w:sz="4" w:space="0"/>
            </w:tcBorders>
          </w:tcPr>
          <w:p w14:paraId="5D9DF18A">
            <w:pPr>
              <w:pStyle w:val="38"/>
              <w:rPr>
                <w:color w:val="auto"/>
                <w:sz w:val="24"/>
                <w:szCs w:val="24"/>
                <w:highlight w:val="none"/>
              </w:rPr>
            </w:pPr>
          </w:p>
        </w:tc>
      </w:tr>
      <w:tr w14:paraId="17281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782" w:type="dxa"/>
            <w:tcBorders>
              <w:top w:val="single" w:color="000000" w:sz="4" w:space="0"/>
              <w:bottom w:val="single" w:color="000000" w:sz="4" w:space="0"/>
              <w:right w:val="single" w:color="000000" w:sz="4" w:space="0"/>
            </w:tcBorders>
          </w:tcPr>
          <w:p w14:paraId="7E91452C">
            <w:pPr>
              <w:pStyle w:val="38"/>
              <w:spacing w:before="10"/>
              <w:jc w:val="center"/>
              <w:rPr>
                <w:b/>
                <w:color w:val="auto"/>
                <w:sz w:val="24"/>
                <w:szCs w:val="24"/>
                <w:highlight w:val="none"/>
              </w:rPr>
            </w:pPr>
          </w:p>
          <w:p w14:paraId="4DBB5DF9">
            <w:pPr>
              <w:pStyle w:val="38"/>
              <w:ind w:right="72"/>
              <w:jc w:val="center"/>
              <w:rPr>
                <w:color w:val="auto"/>
                <w:sz w:val="24"/>
                <w:szCs w:val="24"/>
                <w:highlight w:val="none"/>
              </w:rPr>
            </w:pPr>
            <w:r>
              <w:rPr>
                <w:color w:val="auto"/>
                <w:w w:val="99"/>
                <w:sz w:val="24"/>
                <w:szCs w:val="24"/>
                <w:highlight w:val="none"/>
              </w:rPr>
              <w:t>4</w:t>
            </w:r>
          </w:p>
        </w:tc>
        <w:tc>
          <w:tcPr>
            <w:tcW w:w="1348" w:type="dxa"/>
            <w:tcBorders>
              <w:top w:val="single" w:color="000000" w:sz="4" w:space="0"/>
              <w:left w:val="single" w:color="000000" w:sz="4" w:space="0"/>
              <w:bottom w:val="single" w:color="000000" w:sz="4" w:space="0"/>
              <w:right w:val="single" w:color="000000" w:sz="4" w:space="0"/>
            </w:tcBorders>
          </w:tcPr>
          <w:p w14:paraId="2D4D8A19">
            <w:pPr>
              <w:pStyle w:val="38"/>
              <w:rPr>
                <w:color w:val="auto"/>
                <w:sz w:val="24"/>
                <w:szCs w:val="24"/>
                <w:highlight w:val="none"/>
              </w:rPr>
            </w:pPr>
          </w:p>
        </w:tc>
        <w:tc>
          <w:tcPr>
            <w:tcW w:w="1075" w:type="dxa"/>
            <w:tcBorders>
              <w:top w:val="single" w:color="000000" w:sz="4" w:space="0"/>
              <w:left w:val="single" w:color="000000" w:sz="4" w:space="0"/>
              <w:bottom w:val="single" w:color="000000" w:sz="4" w:space="0"/>
              <w:right w:val="single" w:color="000000" w:sz="4" w:space="0"/>
            </w:tcBorders>
          </w:tcPr>
          <w:p w14:paraId="5522956A">
            <w:pPr>
              <w:pStyle w:val="38"/>
              <w:rPr>
                <w:color w:val="auto"/>
                <w:sz w:val="24"/>
                <w:szCs w:val="24"/>
                <w:highlight w:val="none"/>
              </w:rPr>
            </w:pPr>
          </w:p>
        </w:tc>
        <w:tc>
          <w:tcPr>
            <w:tcW w:w="1015" w:type="dxa"/>
            <w:tcBorders>
              <w:top w:val="single" w:color="000000" w:sz="4" w:space="0"/>
              <w:left w:val="single" w:color="000000" w:sz="4" w:space="0"/>
              <w:bottom w:val="single" w:color="000000" w:sz="4" w:space="0"/>
              <w:right w:val="single" w:color="000000" w:sz="4" w:space="0"/>
            </w:tcBorders>
          </w:tcPr>
          <w:p w14:paraId="6A4CC705">
            <w:pPr>
              <w:pStyle w:val="38"/>
              <w:rPr>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5183C5A0">
            <w:pPr>
              <w:pStyle w:val="38"/>
              <w:rPr>
                <w:color w:val="auto"/>
                <w:sz w:val="24"/>
                <w:szCs w:val="24"/>
                <w:highlight w:val="none"/>
              </w:rPr>
            </w:pPr>
          </w:p>
        </w:tc>
        <w:tc>
          <w:tcPr>
            <w:tcW w:w="1432" w:type="dxa"/>
            <w:tcBorders>
              <w:top w:val="single" w:color="000000" w:sz="4" w:space="0"/>
              <w:left w:val="single" w:color="000000" w:sz="4" w:space="0"/>
              <w:bottom w:val="single" w:color="000000" w:sz="4" w:space="0"/>
              <w:right w:val="single" w:color="000000" w:sz="4" w:space="0"/>
            </w:tcBorders>
          </w:tcPr>
          <w:p w14:paraId="158CD060">
            <w:pPr>
              <w:pStyle w:val="38"/>
              <w:rPr>
                <w:color w:val="auto"/>
                <w:sz w:val="24"/>
                <w:szCs w:val="24"/>
                <w:highlight w:val="none"/>
              </w:rPr>
            </w:pPr>
          </w:p>
        </w:tc>
        <w:tc>
          <w:tcPr>
            <w:tcW w:w="2189" w:type="dxa"/>
            <w:tcBorders>
              <w:top w:val="single" w:color="000000" w:sz="4" w:space="0"/>
              <w:left w:val="single" w:color="000000" w:sz="4" w:space="0"/>
              <w:bottom w:val="single" w:color="000000" w:sz="4" w:space="0"/>
            </w:tcBorders>
          </w:tcPr>
          <w:p w14:paraId="4AD25234">
            <w:pPr>
              <w:pStyle w:val="38"/>
              <w:rPr>
                <w:color w:val="auto"/>
                <w:sz w:val="24"/>
                <w:szCs w:val="24"/>
                <w:highlight w:val="none"/>
              </w:rPr>
            </w:pPr>
          </w:p>
        </w:tc>
      </w:tr>
      <w:tr w14:paraId="3986F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782" w:type="dxa"/>
            <w:tcBorders>
              <w:top w:val="single" w:color="000000" w:sz="4" w:space="0"/>
              <w:bottom w:val="single" w:color="000000" w:sz="4" w:space="0"/>
              <w:right w:val="single" w:color="000000" w:sz="4" w:space="0"/>
            </w:tcBorders>
          </w:tcPr>
          <w:p w14:paraId="2B5D1A50">
            <w:pPr>
              <w:pStyle w:val="38"/>
              <w:spacing w:before="11"/>
              <w:jc w:val="center"/>
              <w:rPr>
                <w:b/>
                <w:color w:val="auto"/>
                <w:sz w:val="24"/>
                <w:szCs w:val="24"/>
                <w:highlight w:val="none"/>
              </w:rPr>
            </w:pPr>
          </w:p>
          <w:p w14:paraId="4F1D85AE">
            <w:pPr>
              <w:pStyle w:val="38"/>
              <w:ind w:right="72"/>
              <w:jc w:val="center"/>
              <w:rPr>
                <w:color w:val="auto"/>
                <w:sz w:val="24"/>
                <w:szCs w:val="24"/>
                <w:highlight w:val="none"/>
              </w:rPr>
            </w:pPr>
            <w:r>
              <w:rPr>
                <w:color w:val="auto"/>
                <w:w w:val="99"/>
                <w:sz w:val="24"/>
                <w:szCs w:val="24"/>
                <w:highlight w:val="none"/>
              </w:rPr>
              <w:t>5</w:t>
            </w:r>
          </w:p>
        </w:tc>
        <w:tc>
          <w:tcPr>
            <w:tcW w:w="1348" w:type="dxa"/>
            <w:tcBorders>
              <w:top w:val="single" w:color="000000" w:sz="4" w:space="0"/>
              <w:left w:val="single" w:color="000000" w:sz="4" w:space="0"/>
              <w:bottom w:val="single" w:color="000000" w:sz="4" w:space="0"/>
              <w:right w:val="single" w:color="000000" w:sz="4" w:space="0"/>
            </w:tcBorders>
          </w:tcPr>
          <w:p w14:paraId="78F17709">
            <w:pPr>
              <w:pStyle w:val="38"/>
              <w:rPr>
                <w:color w:val="auto"/>
                <w:sz w:val="24"/>
                <w:szCs w:val="24"/>
                <w:highlight w:val="none"/>
              </w:rPr>
            </w:pPr>
          </w:p>
        </w:tc>
        <w:tc>
          <w:tcPr>
            <w:tcW w:w="1075" w:type="dxa"/>
            <w:tcBorders>
              <w:top w:val="single" w:color="000000" w:sz="4" w:space="0"/>
              <w:left w:val="single" w:color="000000" w:sz="4" w:space="0"/>
              <w:bottom w:val="single" w:color="000000" w:sz="4" w:space="0"/>
              <w:right w:val="single" w:color="000000" w:sz="4" w:space="0"/>
            </w:tcBorders>
          </w:tcPr>
          <w:p w14:paraId="69703E9D">
            <w:pPr>
              <w:pStyle w:val="38"/>
              <w:rPr>
                <w:color w:val="auto"/>
                <w:sz w:val="24"/>
                <w:szCs w:val="24"/>
                <w:highlight w:val="none"/>
              </w:rPr>
            </w:pPr>
          </w:p>
        </w:tc>
        <w:tc>
          <w:tcPr>
            <w:tcW w:w="1015" w:type="dxa"/>
            <w:tcBorders>
              <w:top w:val="single" w:color="000000" w:sz="4" w:space="0"/>
              <w:left w:val="single" w:color="000000" w:sz="4" w:space="0"/>
              <w:bottom w:val="single" w:color="000000" w:sz="4" w:space="0"/>
              <w:right w:val="single" w:color="000000" w:sz="4" w:space="0"/>
            </w:tcBorders>
          </w:tcPr>
          <w:p w14:paraId="70105C60">
            <w:pPr>
              <w:pStyle w:val="38"/>
              <w:rPr>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4F9F040C">
            <w:pPr>
              <w:pStyle w:val="38"/>
              <w:rPr>
                <w:color w:val="auto"/>
                <w:sz w:val="24"/>
                <w:szCs w:val="24"/>
                <w:highlight w:val="none"/>
              </w:rPr>
            </w:pPr>
          </w:p>
        </w:tc>
        <w:tc>
          <w:tcPr>
            <w:tcW w:w="1432" w:type="dxa"/>
            <w:tcBorders>
              <w:top w:val="single" w:color="000000" w:sz="4" w:space="0"/>
              <w:left w:val="single" w:color="000000" w:sz="4" w:space="0"/>
              <w:bottom w:val="single" w:color="000000" w:sz="4" w:space="0"/>
              <w:right w:val="single" w:color="000000" w:sz="4" w:space="0"/>
            </w:tcBorders>
          </w:tcPr>
          <w:p w14:paraId="10076A0D">
            <w:pPr>
              <w:pStyle w:val="38"/>
              <w:rPr>
                <w:color w:val="auto"/>
                <w:sz w:val="24"/>
                <w:szCs w:val="24"/>
                <w:highlight w:val="none"/>
              </w:rPr>
            </w:pPr>
          </w:p>
        </w:tc>
        <w:tc>
          <w:tcPr>
            <w:tcW w:w="2189" w:type="dxa"/>
            <w:tcBorders>
              <w:top w:val="single" w:color="000000" w:sz="4" w:space="0"/>
              <w:left w:val="single" w:color="000000" w:sz="4" w:space="0"/>
              <w:bottom w:val="single" w:color="000000" w:sz="4" w:space="0"/>
            </w:tcBorders>
          </w:tcPr>
          <w:p w14:paraId="5081CBE8">
            <w:pPr>
              <w:pStyle w:val="38"/>
              <w:rPr>
                <w:color w:val="auto"/>
                <w:sz w:val="24"/>
                <w:szCs w:val="24"/>
                <w:highlight w:val="none"/>
              </w:rPr>
            </w:pPr>
          </w:p>
        </w:tc>
      </w:tr>
      <w:tr w14:paraId="693AF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782" w:type="dxa"/>
            <w:tcBorders>
              <w:top w:val="single" w:color="000000" w:sz="4" w:space="0"/>
              <w:bottom w:val="single" w:color="000000" w:sz="4" w:space="0"/>
              <w:right w:val="single" w:color="000000" w:sz="4" w:space="0"/>
            </w:tcBorders>
          </w:tcPr>
          <w:p w14:paraId="08A66914">
            <w:pPr>
              <w:pStyle w:val="38"/>
              <w:spacing w:before="9"/>
              <w:jc w:val="center"/>
              <w:rPr>
                <w:b/>
                <w:color w:val="auto"/>
                <w:sz w:val="24"/>
                <w:szCs w:val="24"/>
                <w:highlight w:val="none"/>
              </w:rPr>
            </w:pPr>
          </w:p>
          <w:p w14:paraId="41D1C667">
            <w:pPr>
              <w:pStyle w:val="38"/>
              <w:ind w:right="72"/>
              <w:jc w:val="center"/>
              <w:rPr>
                <w:color w:val="auto"/>
                <w:sz w:val="24"/>
                <w:szCs w:val="24"/>
                <w:highlight w:val="none"/>
              </w:rPr>
            </w:pPr>
            <w:r>
              <w:rPr>
                <w:color w:val="auto"/>
                <w:w w:val="99"/>
                <w:sz w:val="24"/>
                <w:szCs w:val="24"/>
                <w:highlight w:val="none"/>
              </w:rPr>
              <w:t>6</w:t>
            </w:r>
          </w:p>
        </w:tc>
        <w:tc>
          <w:tcPr>
            <w:tcW w:w="1348" w:type="dxa"/>
            <w:tcBorders>
              <w:top w:val="single" w:color="000000" w:sz="4" w:space="0"/>
              <w:left w:val="single" w:color="000000" w:sz="4" w:space="0"/>
              <w:bottom w:val="single" w:color="000000" w:sz="4" w:space="0"/>
              <w:right w:val="single" w:color="000000" w:sz="4" w:space="0"/>
            </w:tcBorders>
          </w:tcPr>
          <w:p w14:paraId="7DB1BF2A">
            <w:pPr>
              <w:pStyle w:val="38"/>
              <w:rPr>
                <w:color w:val="auto"/>
                <w:sz w:val="24"/>
                <w:szCs w:val="24"/>
                <w:highlight w:val="none"/>
              </w:rPr>
            </w:pPr>
          </w:p>
        </w:tc>
        <w:tc>
          <w:tcPr>
            <w:tcW w:w="1075" w:type="dxa"/>
            <w:tcBorders>
              <w:top w:val="single" w:color="000000" w:sz="4" w:space="0"/>
              <w:left w:val="single" w:color="000000" w:sz="4" w:space="0"/>
              <w:bottom w:val="single" w:color="000000" w:sz="4" w:space="0"/>
              <w:right w:val="single" w:color="000000" w:sz="4" w:space="0"/>
            </w:tcBorders>
          </w:tcPr>
          <w:p w14:paraId="4316F2FC">
            <w:pPr>
              <w:pStyle w:val="38"/>
              <w:rPr>
                <w:color w:val="auto"/>
                <w:sz w:val="24"/>
                <w:szCs w:val="24"/>
                <w:highlight w:val="none"/>
              </w:rPr>
            </w:pPr>
          </w:p>
        </w:tc>
        <w:tc>
          <w:tcPr>
            <w:tcW w:w="1015" w:type="dxa"/>
            <w:tcBorders>
              <w:top w:val="single" w:color="000000" w:sz="4" w:space="0"/>
              <w:left w:val="single" w:color="000000" w:sz="4" w:space="0"/>
              <w:bottom w:val="single" w:color="000000" w:sz="4" w:space="0"/>
              <w:right w:val="single" w:color="000000" w:sz="4" w:space="0"/>
            </w:tcBorders>
          </w:tcPr>
          <w:p w14:paraId="51407F38">
            <w:pPr>
              <w:pStyle w:val="38"/>
              <w:rPr>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02DB03F7">
            <w:pPr>
              <w:pStyle w:val="38"/>
              <w:rPr>
                <w:color w:val="auto"/>
                <w:sz w:val="24"/>
                <w:szCs w:val="24"/>
                <w:highlight w:val="none"/>
              </w:rPr>
            </w:pPr>
          </w:p>
        </w:tc>
        <w:tc>
          <w:tcPr>
            <w:tcW w:w="1432" w:type="dxa"/>
            <w:tcBorders>
              <w:top w:val="single" w:color="000000" w:sz="4" w:space="0"/>
              <w:left w:val="single" w:color="000000" w:sz="4" w:space="0"/>
              <w:bottom w:val="single" w:color="000000" w:sz="4" w:space="0"/>
              <w:right w:val="single" w:color="000000" w:sz="4" w:space="0"/>
            </w:tcBorders>
          </w:tcPr>
          <w:p w14:paraId="12560D65">
            <w:pPr>
              <w:pStyle w:val="38"/>
              <w:rPr>
                <w:color w:val="auto"/>
                <w:sz w:val="24"/>
                <w:szCs w:val="24"/>
                <w:highlight w:val="none"/>
              </w:rPr>
            </w:pPr>
          </w:p>
        </w:tc>
        <w:tc>
          <w:tcPr>
            <w:tcW w:w="2189" w:type="dxa"/>
            <w:tcBorders>
              <w:top w:val="single" w:color="000000" w:sz="4" w:space="0"/>
              <w:left w:val="single" w:color="000000" w:sz="4" w:space="0"/>
              <w:bottom w:val="single" w:color="000000" w:sz="4" w:space="0"/>
            </w:tcBorders>
          </w:tcPr>
          <w:p w14:paraId="7FB8F1C4">
            <w:pPr>
              <w:pStyle w:val="38"/>
              <w:rPr>
                <w:color w:val="auto"/>
                <w:sz w:val="24"/>
                <w:szCs w:val="24"/>
                <w:highlight w:val="none"/>
              </w:rPr>
            </w:pPr>
          </w:p>
        </w:tc>
      </w:tr>
      <w:tr w14:paraId="37BCA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782" w:type="dxa"/>
            <w:tcBorders>
              <w:top w:val="single" w:color="000000" w:sz="4" w:space="0"/>
              <w:bottom w:val="single" w:color="000000" w:sz="4" w:space="0"/>
              <w:right w:val="single" w:color="000000" w:sz="4" w:space="0"/>
            </w:tcBorders>
          </w:tcPr>
          <w:p w14:paraId="5896DEB2">
            <w:pPr>
              <w:pStyle w:val="38"/>
              <w:spacing w:before="10"/>
              <w:jc w:val="center"/>
              <w:rPr>
                <w:b/>
                <w:color w:val="auto"/>
                <w:sz w:val="24"/>
                <w:szCs w:val="24"/>
                <w:highlight w:val="none"/>
              </w:rPr>
            </w:pPr>
          </w:p>
          <w:p w14:paraId="7DA3C4C2">
            <w:pPr>
              <w:pStyle w:val="38"/>
              <w:ind w:right="72"/>
              <w:jc w:val="center"/>
              <w:rPr>
                <w:color w:val="auto"/>
                <w:sz w:val="24"/>
                <w:szCs w:val="24"/>
                <w:highlight w:val="none"/>
              </w:rPr>
            </w:pPr>
            <w:r>
              <w:rPr>
                <w:color w:val="auto"/>
                <w:w w:val="99"/>
                <w:sz w:val="24"/>
                <w:szCs w:val="24"/>
                <w:highlight w:val="none"/>
              </w:rPr>
              <w:t>7</w:t>
            </w:r>
          </w:p>
        </w:tc>
        <w:tc>
          <w:tcPr>
            <w:tcW w:w="1348" w:type="dxa"/>
            <w:tcBorders>
              <w:top w:val="single" w:color="000000" w:sz="4" w:space="0"/>
              <w:left w:val="single" w:color="000000" w:sz="4" w:space="0"/>
              <w:bottom w:val="single" w:color="000000" w:sz="4" w:space="0"/>
              <w:right w:val="single" w:color="000000" w:sz="4" w:space="0"/>
            </w:tcBorders>
          </w:tcPr>
          <w:p w14:paraId="65164FA3">
            <w:pPr>
              <w:pStyle w:val="38"/>
              <w:rPr>
                <w:color w:val="auto"/>
                <w:sz w:val="24"/>
                <w:szCs w:val="24"/>
                <w:highlight w:val="none"/>
              </w:rPr>
            </w:pPr>
          </w:p>
        </w:tc>
        <w:tc>
          <w:tcPr>
            <w:tcW w:w="1075" w:type="dxa"/>
            <w:tcBorders>
              <w:top w:val="single" w:color="000000" w:sz="4" w:space="0"/>
              <w:left w:val="single" w:color="000000" w:sz="4" w:space="0"/>
              <w:bottom w:val="single" w:color="000000" w:sz="4" w:space="0"/>
              <w:right w:val="single" w:color="000000" w:sz="4" w:space="0"/>
            </w:tcBorders>
          </w:tcPr>
          <w:p w14:paraId="46F5954E">
            <w:pPr>
              <w:pStyle w:val="38"/>
              <w:rPr>
                <w:color w:val="auto"/>
                <w:sz w:val="24"/>
                <w:szCs w:val="24"/>
                <w:highlight w:val="none"/>
              </w:rPr>
            </w:pPr>
          </w:p>
        </w:tc>
        <w:tc>
          <w:tcPr>
            <w:tcW w:w="1015" w:type="dxa"/>
            <w:tcBorders>
              <w:top w:val="single" w:color="000000" w:sz="4" w:space="0"/>
              <w:left w:val="single" w:color="000000" w:sz="4" w:space="0"/>
              <w:bottom w:val="single" w:color="000000" w:sz="4" w:space="0"/>
              <w:right w:val="single" w:color="000000" w:sz="4" w:space="0"/>
            </w:tcBorders>
          </w:tcPr>
          <w:p w14:paraId="05579CCE">
            <w:pPr>
              <w:pStyle w:val="38"/>
              <w:rPr>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67930582">
            <w:pPr>
              <w:pStyle w:val="38"/>
              <w:rPr>
                <w:color w:val="auto"/>
                <w:sz w:val="24"/>
                <w:szCs w:val="24"/>
                <w:highlight w:val="none"/>
              </w:rPr>
            </w:pPr>
          </w:p>
        </w:tc>
        <w:tc>
          <w:tcPr>
            <w:tcW w:w="1432" w:type="dxa"/>
            <w:tcBorders>
              <w:top w:val="single" w:color="000000" w:sz="4" w:space="0"/>
              <w:left w:val="single" w:color="000000" w:sz="4" w:space="0"/>
              <w:bottom w:val="single" w:color="000000" w:sz="4" w:space="0"/>
              <w:right w:val="single" w:color="000000" w:sz="4" w:space="0"/>
            </w:tcBorders>
          </w:tcPr>
          <w:p w14:paraId="385680AC">
            <w:pPr>
              <w:pStyle w:val="38"/>
              <w:rPr>
                <w:color w:val="auto"/>
                <w:sz w:val="24"/>
                <w:szCs w:val="24"/>
                <w:highlight w:val="none"/>
              </w:rPr>
            </w:pPr>
          </w:p>
        </w:tc>
        <w:tc>
          <w:tcPr>
            <w:tcW w:w="2189" w:type="dxa"/>
            <w:tcBorders>
              <w:top w:val="single" w:color="000000" w:sz="4" w:space="0"/>
              <w:left w:val="single" w:color="000000" w:sz="4" w:space="0"/>
              <w:bottom w:val="single" w:color="000000" w:sz="4" w:space="0"/>
            </w:tcBorders>
          </w:tcPr>
          <w:p w14:paraId="14F32879">
            <w:pPr>
              <w:pStyle w:val="38"/>
              <w:rPr>
                <w:color w:val="auto"/>
                <w:sz w:val="24"/>
                <w:szCs w:val="24"/>
                <w:highlight w:val="none"/>
              </w:rPr>
            </w:pPr>
          </w:p>
        </w:tc>
      </w:tr>
      <w:tr w14:paraId="61A71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782" w:type="dxa"/>
            <w:tcBorders>
              <w:top w:val="single" w:color="000000" w:sz="4" w:space="0"/>
              <w:bottom w:val="single" w:color="000000" w:sz="4" w:space="0"/>
              <w:right w:val="single" w:color="000000" w:sz="4" w:space="0"/>
            </w:tcBorders>
          </w:tcPr>
          <w:p w14:paraId="59597E9C">
            <w:pPr>
              <w:pStyle w:val="38"/>
              <w:spacing w:before="10"/>
              <w:jc w:val="center"/>
              <w:rPr>
                <w:b/>
                <w:color w:val="auto"/>
                <w:sz w:val="24"/>
                <w:szCs w:val="24"/>
                <w:highlight w:val="none"/>
              </w:rPr>
            </w:pPr>
          </w:p>
          <w:p w14:paraId="6D099BD7">
            <w:pPr>
              <w:pStyle w:val="38"/>
              <w:ind w:right="72"/>
              <w:jc w:val="center"/>
              <w:rPr>
                <w:color w:val="auto"/>
                <w:sz w:val="24"/>
                <w:szCs w:val="24"/>
                <w:highlight w:val="none"/>
              </w:rPr>
            </w:pPr>
            <w:r>
              <w:rPr>
                <w:color w:val="auto"/>
                <w:w w:val="99"/>
                <w:sz w:val="24"/>
                <w:szCs w:val="24"/>
                <w:highlight w:val="none"/>
              </w:rPr>
              <w:t>8</w:t>
            </w:r>
          </w:p>
        </w:tc>
        <w:tc>
          <w:tcPr>
            <w:tcW w:w="1348" w:type="dxa"/>
            <w:tcBorders>
              <w:top w:val="single" w:color="000000" w:sz="4" w:space="0"/>
              <w:left w:val="single" w:color="000000" w:sz="4" w:space="0"/>
              <w:bottom w:val="single" w:color="000000" w:sz="4" w:space="0"/>
              <w:right w:val="single" w:color="000000" w:sz="4" w:space="0"/>
            </w:tcBorders>
          </w:tcPr>
          <w:p w14:paraId="62526CCA">
            <w:pPr>
              <w:pStyle w:val="38"/>
              <w:rPr>
                <w:color w:val="auto"/>
                <w:sz w:val="24"/>
                <w:szCs w:val="24"/>
                <w:highlight w:val="none"/>
              </w:rPr>
            </w:pPr>
          </w:p>
        </w:tc>
        <w:tc>
          <w:tcPr>
            <w:tcW w:w="1075" w:type="dxa"/>
            <w:tcBorders>
              <w:top w:val="single" w:color="000000" w:sz="4" w:space="0"/>
              <w:left w:val="single" w:color="000000" w:sz="4" w:space="0"/>
              <w:bottom w:val="single" w:color="000000" w:sz="4" w:space="0"/>
              <w:right w:val="single" w:color="000000" w:sz="4" w:space="0"/>
            </w:tcBorders>
          </w:tcPr>
          <w:p w14:paraId="2D00FFF9">
            <w:pPr>
              <w:pStyle w:val="38"/>
              <w:rPr>
                <w:color w:val="auto"/>
                <w:sz w:val="24"/>
                <w:szCs w:val="24"/>
                <w:highlight w:val="none"/>
              </w:rPr>
            </w:pPr>
          </w:p>
        </w:tc>
        <w:tc>
          <w:tcPr>
            <w:tcW w:w="1015" w:type="dxa"/>
            <w:tcBorders>
              <w:top w:val="single" w:color="000000" w:sz="4" w:space="0"/>
              <w:left w:val="single" w:color="000000" w:sz="4" w:space="0"/>
              <w:bottom w:val="single" w:color="000000" w:sz="4" w:space="0"/>
              <w:right w:val="single" w:color="000000" w:sz="4" w:space="0"/>
            </w:tcBorders>
          </w:tcPr>
          <w:p w14:paraId="60315998">
            <w:pPr>
              <w:pStyle w:val="38"/>
              <w:rPr>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7A8E2488">
            <w:pPr>
              <w:pStyle w:val="38"/>
              <w:rPr>
                <w:color w:val="auto"/>
                <w:sz w:val="24"/>
                <w:szCs w:val="24"/>
                <w:highlight w:val="none"/>
              </w:rPr>
            </w:pPr>
          </w:p>
        </w:tc>
        <w:tc>
          <w:tcPr>
            <w:tcW w:w="1432" w:type="dxa"/>
            <w:tcBorders>
              <w:top w:val="single" w:color="000000" w:sz="4" w:space="0"/>
              <w:left w:val="single" w:color="000000" w:sz="4" w:space="0"/>
              <w:bottom w:val="single" w:color="000000" w:sz="4" w:space="0"/>
              <w:right w:val="single" w:color="000000" w:sz="4" w:space="0"/>
            </w:tcBorders>
          </w:tcPr>
          <w:p w14:paraId="5611345B">
            <w:pPr>
              <w:pStyle w:val="38"/>
              <w:rPr>
                <w:color w:val="auto"/>
                <w:sz w:val="24"/>
                <w:szCs w:val="24"/>
                <w:highlight w:val="none"/>
              </w:rPr>
            </w:pPr>
          </w:p>
        </w:tc>
        <w:tc>
          <w:tcPr>
            <w:tcW w:w="2189" w:type="dxa"/>
            <w:tcBorders>
              <w:top w:val="single" w:color="000000" w:sz="4" w:space="0"/>
              <w:left w:val="single" w:color="000000" w:sz="4" w:space="0"/>
              <w:bottom w:val="single" w:color="000000" w:sz="4" w:space="0"/>
            </w:tcBorders>
          </w:tcPr>
          <w:p w14:paraId="72920191">
            <w:pPr>
              <w:pStyle w:val="38"/>
              <w:rPr>
                <w:color w:val="auto"/>
                <w:sz w:val="24"/>
                <w:szCs w:val="24"/>
                <w:highlight w:val="none"/>
              </w:rPr>
            </w:pPr>
          </w:p>
        </w:tc>
      </w:tr>
      <w:tr w14:paraId="47764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782" w:type="dxa"/>
            <w:tcBorders>
              <w:top w:val="single" w:color="000000" w:sz="4" w:space="0"/>
              <w:right w:val="single" w:color="000000" w:sz="4" w:space="0"/>
            </w:tcBorders>
          </w:tcPr>
          <w:p w14:paraId="7D9452A2">
            <w:pPr>
              <w:pStyle w:val="38"/>
              <w:ind w:left="1"/>
              <w:jc w:val="center"/>
              <w:rPr>
                <w:color w:val="auto"/>
                <w:sz w:val="24"/>
                <w:szCs w:val="24"/>
                <w:highlight w:val="none"/>
              </w:rPr>
            </w:pPr>
          </w:p>
        </w:tc>
        <w:tc>
          <w:tcPr>
            <w:tcW w:w="1348" w:type="dxa"/>
            <w:tcBorders>
              <w:top w:val="single" w:color="000000" w:sz="4" w:space="0"/>
              <w:left w:val="single" w:color="000000" w:sz="4" w:space="0"/>
              <w:right w:val="single" w:color="000000" w:sz="4" w:space="0"/>
            </w:tcBorders>
          </w:tcPr>
          <w:p w14:paraId="09C21802">
            <w:pPr>
              <w:pStyle w:val="38"/>
              <w:rPr>
                <w:color w:val="auto"/>
                <w:sz w:val="24"/>
                <w:szCs w:val="24"/>
                <w:highlight w:val="none"/>
              </w:rPr>
            </w:pPr>
          </w:p>
        </w:tc>
        <w:tc>
          <w:tcPr>
            <w:tcW w:w="1075" w:type="dxa"/>
            <w:tcBorders>
              <w:top w:val="single" w:color="000000" w:sz="4" w:space="0"/>
              <w:left w:val="single" w:color="000000" w:sz="4" w:space="0"/>
              <w:right w:val="single" w:color="000000" w:sz="4" w:space="0"/>
            </w:tcBorders>
          </w:tcPr>
          <w:p w14:paraId="040AA729">
            <w:pPr>
              <w:pStyle w:val="38"/>
              <w:rPr>
                <w:color w:val="auto"/>
                <w:sz w:val="24"/>
                <w:szCs w:val="24"/>
                <w:highlight w:val="none"/>
              </w:rPr>
            </w:pPr>
          </w:p>
        </w:tc>
        <w:tc>
          <w:tcPr>
            <w:tcW w:w="1015" w:type="dxa"/>
            <w:tcBorders>
              <w:top w:val="single" w:color="000000" w:sz="4" w:space="0"/>
              <w:left w:val="single" w:color="000000" w:sz="4" w:space="0"/>
              <w:right w:val="single" w:color="000000" w:sz="4" w:space="0"/>
            </w:tcBorders>
          </w:tcPr>
          <w:p w14:paraId="7B618037">
            <w:pPr>
              <w:pStyle w:val="38"/>
              <w:rPr>
                <w:color w:val="auto"/>
                <w:sz w:val="24"/>
                <w:szCs w:val="24"/>
                <w:highlight w:val="none"/>
              </w:rPr>
            </w:pPr>
          </w:p>
        </w:tc>
        <w:tc>
          <w:tcPr>
            <w:tcW w:w="1417" w:type="dxa"/>
            <w:tcBorders>
              <w:top w:val="single" w:color="000000" w:sz="4" w:space="0"/>
              <w:left w:val="single" w:color="000000" w:sz="4" w:space="0"/>
              <w:right w:val="single" w:color="000000" w:sz="4" w:space="0"/>
            </w:tcBorders>
          </w:tcPr>
          <w:p w14:paraId="56827649">
            <w:pPr>
              <w:pStyle w:val="38"/>
              <w:rPr>
                <w:color w:val="auto"/>
                <w:sz w:val="24"/>
                <w:szCs w:val="24"/>
                <w:highlight w:val="none"/>
              </w:rPr>
            </w:pPr>
          </w:p>
        </w:tc>
        <w:tc>
          <w:tcPr>
            <w:tcW w:w="1432" w:type="dxa"/>
            <w:tcBorders>
              <w:top w:val="single" w:color="000000" w:sz="4" w:space="0"/>
              <w:left w:val="single" w:color="000000" w:sz="4" w:space="0"/>
              <w:right w:val="single" w:color="000000" w:sz="4" w:space="0"/>
            </w:tcBorders>
          </w:tcPr>
          <w:p w14:paraId="54FC2123">
            <w:pPr>
              <w:pStyle w:val="38"/>
              <w:rPr>
                <w:color w:val="auto"/>
                <w:sz w:val="24"/>
                <w:szCs w:val="24"/>
                <w:highlight w:val="none"/>
              </w:rPr>
            </w:pPr>
          </w:p>
        </w:tc>
        <w:tc>
          <w:tcPr>
            <w:tcW w:w="2189" w:type="dxa"/>
            <w:tcBorders>
              <w:top w:val="single" w:color="000000" w:sz="4" w:space="0"/>
              <w:left w:val="single" w:color="000000" w:sz="4" w:space="0"/>
            </w:tcBorders>
          </w:tcPr>
          <w:p w14:paraId="5DDBCBE8">
            <w:pPr>
              <w:pStyle w:val="38"/>
              <w:rPr>
                <w:color w:val="auto"/>
                <w:sz w:val="24"/>
                <w:szCs w:val="24"/>
                <w:highlight w:val="none"/>
              </w:rPr>
            </w:pPr>
          </w:p>
        </w:tc>
      </w:tr>
    </w:tbl>
    <w:p w14:paraId="68FE24DC">
      <w:pPr>
        <w:rPr>
          <w:rFonts w:ascii="Times New Roman"/>
          <w:color w:val="auto"/>
          <w:sz w:val="24"/>
          <w:highlight w:val="none"/>
        </w:rPr>
        <w:sectPr>
          <w:pgSz w:w="11910" w:h="16840"/>
          <w:pgMar w:top="1440" w:right="1080" w:bottom="1440" w:left="1080" w:header="0" w:footer="909" w:gutter="0"/>
          <w:cols w:space="720" w:num="1"/>
          <w:docGrid w:linePitch="299" w:charSpace="0"/>
        </w:sectPr>
      </w:pPr>
    </w:p>
    <w:p w14:paraId="65CE4DE2">
      <w:pPr>
        <w:pStyle w:val="11"/>
        <w:numPr>
          <w:ilvl w:val="1"/>
          <w:numId w:val="0"/>
        </w:numPr>
        <w:ind w:left="419" w:leftChars="0"/>
        <w:jc w:val="center"/>
        <w:rPr>
          <w:rFonts w:hint="eastAsia" w:ascii="宋体" w:hAnsi="宋体" w:cs="Times New Roman"/>
          <w:color w:val="auto"/>
          <w:sz w:val="30"/>
          <w:szCs w:val="30"/>
          <w:highlight w:val="none"/>
        </w:rPr>
      </w:pPr>
      <w:r>
        <w:rPr>
          <w:rFonts w:hint="eastAsia" w:ascii="宋体" w:hAnsi="宋体" w:cs="Times New Roman"/>
          <w:color w:val="auto"/>
          <w:sz w:val="30"/>
          <w:szCs w:val="30"/>
          <w:highlight w:val="none"/>
        </w:rPr>
        <w:t>六</w:t>
      </w:r>
      <w:r>
        <w:rPr>
          <w:rFonts w:hint="eastAsia" w:ascii="宋体" w:hAnsi="宋体" w:cs="Times New Roman"/>
          <w:color w:val="auto"/>
          <w:sz w:val="30"/>
          <w:szCs w:val="30"/>
          <w:highlight w:val="none"/>
          <w:lang w:val="zh-CN"/>
        </w:rPr>
        <w:t>、</w:t>
      </w:r>
      <w:r>
        <w:rPr>
          <w:rFonts w:hint="eastAsia" w:ascii="宋体" w:hAnsi="宋体" w:cs="Times New Roman"/>
          <w:color w:val="auto"/>
          <w:sz w:val="30"/>
          <w:szCs w:val="30"/>
          <w:highlight w:val="none"/>
        </w:rPr>
        <w:t>技术</w:t>
      </w:r>
      <w:r>
        <w:rPr>
          <w:rFonts w:hint="eastAsia" w:ascii="宋体" w:hAnsi="宋体" w:cs="Times New Roman"/>
          <w:color w:val="auto"/>
          <w:sz w:val="30"/>
          <w:szCs w:val="30"/>
          <w:highlight w:val="none"/>
          <w:lang w:val="en-US" w:eastAsia="zh-CN"/>
        </w:rPr>
        <w:t>方案</w:t>
      </w:r>
    </w:p>
    <w:p w14:paraId="44C5E7FC">
      <w:pPr>
        <w:pStyle w:val="3"/>
        <w:spacing w:before="12"/>
        <w:ind w:left="0"/>
        <w:rPr>
          <w:b/>
          <w:color w:val="auto"/>
          <w:sz w:val="16"/>
          <w:highlight w:val="none"/>
        </w:rPr>
      </w:pPr>
    </w:p>
    <w:p w14:paraId="7A77BACA">
      <w:pPr>
        <w:rPr>
          <w:b/>
          <w:color w:val="auto"/>
          <w:sz w:val="30"/>
          <w:highlight w:val="none"/>
          <w:lang w:eastAsia="zh-CN"/>
        </w:rPr>
      </w:pPr>
      <w:bookmarkStart w:id="175" w:name="八、供应商应附的其它资料"/>
      <w:bookmarkEnd w:id="175"/>
      <w:r>
        <w:rPr>
          <w:b/>
          <w:color w:val="auto"/>
          <w:sz w:val="30"/>
          <w:highlight w:val="none"/>
          <w:lang w:eastAsia="zh-CN"/>
        </w:rPr>
        <w:br w:type="page"/>
      </w:r>
    </w:p>
    <w:p w14:paraId="6258E2C1">
      <w:pPr>
        <w:spacing w:before="58"/>
        <w:ind w:left="530" w:right="532"/>
        <w:jc w:val="center"/>
        <w:rPr>
          <w:b/>
          <w:color w:val="auto"/>
          <w:sz w:val="30"/>
          <w:highlight w:val="none"/>
          <w:lang w:eastAsia="zh-CN"/>
        </w:rPr>
      </w:pPr>
      <w:r>
        <w:rPr>
          <w:rFonts w:hint="eastAsia"/>
          <w:b/>
          <w:color w:val="auto"/>
          <w:sz w:val="30"/>
          <w:highlight w:val="none"/>
          <w:lang w:val="en-US" w:eastAsia="zh-CN"/>
        </w:rPr>
        <w:t>七</w:t>
      </w:r>
      <w:r>
        <w:rPr>
          <w:b/>
          <w:color w:val="auto"/>
          <w:sz w:val="30"/>
          <w:highlight w:val="none"/>
          <w:lang w:eastAsia="zh-CN"/>
        </w:rPr>
        <w:t>、</w:t>
      </w:r>
      <w:r>
        <w:rPr>
          <w:rFonts w:hint="eastAsia"/>
          <w:b/>
          <w:color w:val="auto"/>
          <w:sz w:val="30"/>
          <w:highlight w:val="none"/>
          <w:lang w:eastAsia="zh-CN"/>
        </w:rPr>
        <w:t>供应商认为需要提交的其他资料</w:t>
      </w:r>
    </w:p>
    <w:p w14:paraId="6A615535">
      <w:pPr>
        <w:rPr>
          <w:rFonts w:hint="eastAsia"/>
          <w:b/>
          <w:color w:val="auto"/>
          <w:sz w:val="28"/>
          <w:highlight w:val="none"/>
          <w:lang w:val="en-US" w:eastAsia="zh-CN"/>
        </w:rPr>
      </w:pPr>
      <w:bookmarkStart w:id="176" w:name="九、中小微企业声明函_"/>
      <w:bookmarkEnd w:id="176"/>
      <w:bookmarkStart w:id="177" w:name="十、残疾人福利性单位声明函"/>
      <w:bookmarkEnd w:id="177"/>
      <w:bookmarkStart w:id="178" w:name="（属于残疾人福利性单位的填写，不属于的无需填写此项内容）"/>
      <w:bookmarkEnd w:id="178"/>
      <w:r>
        <w:rPr>
          <w:rFonts w:hint="eastAsia"/>
          <w:b/>
          <w:color w:val="auto"/>
          <w:sz w:val="28"/>
          <w:highlight w:val="none"/>
          <w:lang w:val="en-US" w:eastAsia="zh-CN"/>
        </w:rPr>
        <w:br w:type="page"/>
      </w:r>
    </w:p>
    <w:p w14:paraId="0ECF69FE">
      <w:pPr>
        <w:spacing w:line="417" w:lineRule="auto"/>
        <w:ind w:firstLine="562" w:firstLineChars="200"/>
        <w:jc w:val="center"/>
        <w:rPr>
          <w:b/>
          <w:color w:val="auto"/>
          <w:sz w:val="28"/>
          <w:highlight w:val="none"/>
          <w:lang w:eastAsia="zh-CN"/>
        </w:rPr>
      </w:pPr>
      <w:r>
        <w:rPr>
          <w:rFonts w:hint="eastAsia"/>
          <w:b/>
          <w:color w:val="auto"/>
          <w:sz w:val="28"/>
          <w:highlight w:val="none"/>
          <w:lang w:val="en-US" w:eastAsia="zh-CN"/>
        </w:rPr>
        <w:t>八、</w:t>
      </w:r>
      <w:r>
        <w:rPr>
          <w:b/>
          <w:color w:val="auto"/>
          <w:sz w:val="28"/>
          <w:highlight w:val="none"/>
          <w:lang w:eastAsia="zh-CN"/>
        </w:rPr>
        <w:t>残疾人福利性单位声明函</w:t>
      </w:r>
    </w:p>
    <w:p w14:paraId="1D852CFF">
      <w:pPr>
        <w:pStyle w:val="3"/>
        <w:spacing w:before="212"/>
        <w:ind w:left="530" w:right="475"/>
        <w:jc w:val="center"/>
        <w:rPr>
          <w:color w:val="auto"/>
          <w:highlight w:val="none"/>
          <w:lang w:eastAsia="zh-CN"/>
        </w:rPr>
      </w:pPr>
      <w:r>
        <w:rPr>
          <w:color w:val="auto"/>
          <w:highlight w:val="none"/>
          <w:lang w:eastAsia="zh-CN"/>
        </w:rPr>
        <w:t>（属于残疾人福利性单位的填写，不属于的无需填写此项内容）</w:t>
      </w:r>
    </w:p>
    <w:p w14:paraId="491E45F8">
      <w:pPr>
        <w:pStyle w:val="3"/>
        <w:ind w:left="0"/>
        <w:rPr>
          <w:color w:val="auto"/>
          <w:highlight w:val="none"/>
          <w:lang w:eastAsia="zh-CN"/>
        </w:rPr>
      </w:pPr>
    </w:p>
    <w:p w14:paraId="50E1B14D">
      <w:pPr>
        <w:pStyle w:val="3"/>
        <w:spacing w:before="1"/>
        <w:ind w:left="0"/>
        <w:rPr>
          <w:color w:val="auto"/>
          <w:sz w:val="25"/>
          <w:highlight w:val="none"/>
          <w:lang w:eastAsia="zh-CN"/>
        </w:rPr>
      </w:pPr>
    </w:p>
    <w:p w14:paraId="358CBD88">
      <w:pPr>
        <w:pStyle w:val="3"/>
        <w:tabs>
          <w:tab w:val="left" w:pos="6970"/>
          <w:tab w:val="left" w:pos="8527"/>
        </w:tabs>
        <w:spacing w:line="360" w:lineRule="auto"/>
        <w:ind w:left="0" w:firstLine="448" w:firstLineChars="200"/>
        <w:jc w:val="both"/>
        <w:rPr>
          <w:color w:val="auto"/>
          <w:highlight w:val="none"/>
          <w:lang w:eastAsia="zh-CN"/>
        </w:rPr>
      </w:pPr>
      <w:r>
        <w:rPr>
          <w:color w:val="auto"/>
          <w:spacing w:val="12"/>
          <w:highlight w:val="none"/>
          <w:lang w:eastAsia="zh-CN"/>
        </w:rPr>
        <w:t>本单位郑重声明</w:t>
      </w:r>
      <w:r>
        <w:rPr>
          <w:color w:val="auto"/>
          <w:highlight w:val="none"/>
          <w:lang w:eastAsia="zh-CN"/>
        </w:rPr>
        <w:t>，</w:t>
      </w:r>
      <w:r>
        <w:rPr>
          <w:color w:val="auto"/>
          <w:spacing w:val="12"/>
          <w:highlight w:val="none"/>
          <w:lang w:eastAsia="zh-CN"/>
        </w:rPr>
        <w:t>根</w:t>
      </w:r>
      <w:r>
        <w:rPr>
          <w:color w:val="auto"/>
          <w:highlight w:val="none"/>
          <w:lang w:eastAsia="zh-CN"/>
        </w:rPr>
        <w:t>据</w:t>
      </w:r>
      <w:r>
        <w:rPr>
          <w:color w:val="auto"/>
          <w:spacing w:val="12"/>
          <w:highlight w:val="none"/>
          <w:lang w:eastAsia="zh-CN"/>
        </w:rPr>
        <w:t>《财政</w:t>
      </w:r>
      <w:r>
        <w:rPr>
          <w:color w:val="auto"/>
          <w:highlight w:val="none"/>
          <w:lang w:eastAsia="zh-CN"/>
        </w:rPr>
        <w:t>部</w:t>
      </w:r>
      <w:r>
        <w:rPr>
          <w:color w:val="auto"/>
          <w:spacing w:val="24"/>
          <w:highlight w:val="none"/>
          <w:lang w:eastAsia="zh-CN"/>
        </w:rPr>
        <w:t xml:space="preserve"> </w:t>
      </w:r>
      <w:r>
        <w:rPr>
          <w:color w:val="auto"/>
          <w:spacing w:val="12"/>
          <w:highlight w:val="none"/>
          <w:lang w:eastAsia="zh-CN"/>
        </w:rPr>
        <w:t>民政</w:t>
      </w:r>
      <w:r>
        <w:rPr>
          <w:color w:val="auto"/>
          <w:highlight w:val="none"/>
          <w:lang w:eastAsia="zh-CN"/>
        </w:rPr>
        <w:t>部</w:t>
      </w:r>
      <w:r>
        <w:rPr>
          <w:color w:val="auto"/>
          <w:spacing w:val="25"/>
          <w:highlight w:val="none"/>
          <w:lang w:eastAsia="zh-CN"/>
        </w:rPr>
        <w:t xml:space="preserve"> </w:t>
      </w:r>
      <w:r>
        <w:rPr>
          <w:color w:val="auto"/>
          <w:spacing w:val="12"/>
          <w:highlight w:val="none"/>
          <w:lang w:eastAsia="zh-CN"/>
        </w:rPr>
        <w:t>中国残疾人联合会关于促进</w:t>
      </w:r>
      <w:r>
        <w:rPr>
          <w:color w:val="auto"/>
          <w:spacing w:val="-17"/>
          <w:highlight w:val="none"/>
          <w:lang w:eastAsia="zh-CN"/>
        </w:rPr>
        <w:t>残</w:t>
      </w:r>
      <w:r>
        <w:rPr>
          <w:color w:val="auto"/>
          <w:spacing w:val="16"/>
          <w:highlight w:val="none"/>
          <w:lang w:eastAsia="zh-CN"/>
        </w:rPr>
        <w:t>疾</w:t>
      </w:r>
      <w:r>
        <w:rPr>
          <w:color w:val="auto"/>
          <w:spacing w:val="14"/>
          <w:highlight w:val="none"/>
          <w:lang w:eastAsia="zh-CN"/>
        </w:rPr>
        <w:t>人</w:t>
      </w:r>
      <w:r>
        <w:rPr>
          <w:color w:val="auto"/>
          <w:spacing w:val="16"/>
          <w:highlight w:val="none"/>
          <w:lang w:eastAsia="zh-CN"/>
        </w:rPr>
        <w:t>就业</w:t>
      </w:r>
      <w:r>
        <w:rPr>
          <w:color w:val="auto"/>
          <w:spacing w:val="14"/>
          <w:highlight w:val="none"/>
          <w:lang w:eastAsia="zh-CN"/>
        </w:rPr>
        <w:t>政</w:t>
      </w:r>
      <w:r>
        <w:rPr>
          <w:color w:val="auto"/>
          <w:spacing w:val="16"/>
          <w:highlight w:val="none"/>
          <w:lang w:eastAsia="zh-CN"/>
        </w:rPr>
        <w:t>府采购</w:t>
      </w:r>
      <w:r>
        <w:rPr>
          <w:color w:val="auto"/>
          <w:spacing w:val="14"/>
          <w:highlight w:val="none"/>
          <w:lang w:eastAsia="zh-CN"/>
        </w:rPr>
        <w:t>政</w:t>
      </w:r>
      <w:r>
        <w:rPr>
          <w:color w:val="auto"/>
          <w:spacing w:val="16"/>
          <w:highlight w:val="none"/>
          <w:lang w:eastAsia="zh-CN"/>
        </w:rPr>
        <w:t>策的</w:t>
      </w:r>
      <w:r>
        <w:rPr>
          <w:color w:val="auto"/>
          <w:spacing w:val="14"/>
          <w:highlight w:val="none"/>
          <w:lang w:eastAsia="zh-CN"/>
        </w:rPr>
        <w:t>通</w:t>
      </w:r>
      <w:r>
        <w:rPr>
          <w:color w:val="auto"/>
          <w:spacing w:val="16"/>
          <w:highlight w:val="none"/>
          <w:lang w:eastAsia="zh-CN"/>
        </w:rPr>
        <w:t>知》</w:t>
      </w:r>
      <w:r>
        <w:rPr>
          <w:color w:val="auto"/>
          <w:spacing w:val="14"/>
          <w:highlight w:val="none"/>
          <w:lang w:eastAsia="zh-CN"/>
        </w:rPr>
        <w:t>（</w:t>
      </w:r>
      <w:r>
        <w:rPr>
          <w:color w:val="auto"/>
          <w:spacing w:val="16"/>
          <w:highlight w:val="none"/>
          <w:lang w:eastAsia="zh-CN"/>
        </w:rPr>
        <w:t>财库</w:t>
      </w:r>
      <w:r>
        <w:rPr>
          <w:color w:val="auto"/>
          <w:highlight w:val="none"/>
          <w:lang w:eastAsia="zh-CN"/>
        </w:rPr>
        <w:t>〔2017</w:t>
      </w:r>
      <w:r>
        <w:rPr>
          <w:color w:val="auto"/>
          <w:spacing w:val="4"/>
          <w:highlight w:val="none"/>
          <w:lang w:eastAsia="zh-CN"/>
        </w:rPr>
        <w:t>〕</w:t>
      </w:r>
      <w:r>
        <w:rPr>
          <w:color w:val="auto"/>
          <w:highlight w:val="none"/>
          <w:lang w:eastAsia="zh-CN"/>
        </w:rPr>
        <w:t>141</w:t>
      </w:r>
      <w:r>
        <w:rPr>
          <w:color w:val="auto"/>
          <w:spacing w:val="-54"/>
          <w:highlight w:val="none"/>
          <w:lang w:eastAsia="zh-CN"/>
        </w:rPr>
        <w:t xml:space="preserve"> </w:t>
      </w:r>
      <w:r>
        <w:rPr>
          <w:color w:val="auto"/>
          <w:spacing w:val="16"/>
          <w:highlight w:val="none"/>
          <w:lang w:eastAsia="zh-CN"/>
        </w:rPr>
        <w:t>号</w:t>
      </w:r>
      <w:r>
        <w:rPr>
          <w:color w:val="auto"/>
          <w:spacing w:val="14"/>
          <w:highlight w:val="none"/>
          <w:lang w:eastAsia="zh-CN"/>
        </w:rPr>
        <w:t>）</w:t>
      </w:r>
      <w:r>
        <w:rPr>
          <w:color w:val="auto"/>
          <w:spacing w:val="16"/>
          <w:highlight w:val="none"/>
          <w:lang w:eastAsia="zh-CN"/>
        </w:rPr>
        <w:t>的规</w:t>
      </w:r>
      <w:r>
        <w:rPr>
          <w:color w:val="auto"/>
          <w:spacing w:val="14"/>
          <w:highlight w:val="none"/>
          <w:lang w:eastAsia="zh-CN"/>
        </w:rPr>
        <w:t>定</w:t>
      </w:r>
      <w:r>
        <w:rPr>
          <w:color w:val="auto"/>
          <w:spacing w:val="16"/>
          <w:highlight w:val="none"/>
          <w:lang w:eastAsia="zh-CN"/>
        </w:rPr>
        <w:t>，本单</w:t>
      </w:r>
      <w:r>
        <w:rPr>
          <w:color w:val="auto"/>
          <w:spacing w:val="14"/>
          <w:highlight w:val="none"/>
          <w:lang w:eastAsia="zh-CN"/>
        </w:rPr>
        <w:t>位</w:t>
      </w:r>
      <w:r>
        <w:rPr>
          <w:color w:val="auto"/>
          <w:highlight w:val="none"/>
          <w:lang w:eastAsia="zh-CN"/>
        </w:rPr>
        <w:t>为</w:t>
      </w:r>
      <w:r>
        <w:rPr>
          <w:color w:val="auto"/>
          <w:spacing w:val="12"/>
          <w:highlight w:val="none"/>
          <w:lang w:eastAsia="zh-CN"/>
        </w:rPr>
        <w:t>符</w:t>
      </w:r>
      <w:r>
        <w:rPr>
          <w:color w:val="auto"/>
          <w:spacing w:val="14"/>
          <w:highlight w:val="none"/>
          <w:lang w:eastAsia="zh-CN"/>
        </w:rPr>
        <w:t>合</w:t>
      </w:r>
      <w:r>
        <w:rPr>
          <w:color w:val="auto"/>
          <w:spacing w:val="12"/>
          <w:highlight w:val="none"/>
          <w:lang w:eastAsia="zh-CN"/>
        </w:rPr>
        <w:t>条</w:t>
      </w:r>
      <w:r>
        <w:rPr>
          <w:color w:val="auto"/>
          <w:spacing w:val="14"/>
          <w:highlight w:val="none"/>
          <w:lang w:eastAsia="zh-CN"/>
        </w:rPr>
        <w:t>件</w:t>
      </w:r>
      <w:r>
        <w:rPr>
          <w:color w:val="auto"/>
          <w:spacing w:val="12"/>
          <w:highlight w:val="none"/>
          <w:lang w:eastAsia="zh-CN"/>
        </w:rPr>
        <w:t>的残</w:t>
      </w:r>
      <w:r>
        <w:rPr>
          <w:color w:val="auto"/>
          <w:spacing w:val="14"/>
          <w:highlight w:val="none"/>
          <w:lang w:eastAsia="zh-CN"/>
        </w:rPr>
        <w:t>疾</w:t>
      </w:r>
      <w:r>
        <w:rPr>
          <w:color w:val="auto"/>
          <w:spacing w:val="12"/>
          <w:highlight w:val="none"/>
          <w:lang w:eastAsia="zh-CN"/>
        </w:rPr>
        <w:t>人</w:t>
      </w:r>
      <w:r>
        <w:rPr>
          <w:color w:val="auto"/>
          <w:spacing w:val="14"/>
          <w:highlight w:val="none"/>
          <w:lang w:eastAsia="zh-CN"/>
        </w:rPr>
        <w:t>福</w:t>
      </w:r>
      <w:r>
        <w:rPr>
          <w:color w:val="auto"/>
          <w:spacing w:val="12"/>
          <w:highlight w:val="none"/>
          <w:lang w:eastAsia="zh-CN"/>
        </w:rPr>
        <w:t>利</w:t>
      </w:r>
      <w:r>
        <w:rPr>
          <w:color w:val="auto"/>
          <w:spacing w:val="14"/>
          <w:highlight w:val="none"/>
          <w:lang w:eastAsia="zh-CN"/>
        </w:rPr>
        <w:t>性</w:t>
      </w:r>
      <w:r>
        <w:rPr>
          <w:color w:val="auto"/>
          <w:spacing w:val="12"/>
          <w:highlight w:val="none"/>
          <w:lang w:eastAsia="zh-CN"/>
        </w:rPr>
        <w:t>单位</w:t>
      </w:r>
      <w:r>
        <w:rPr>
          <w:color w:val="auto"/>
          <w:spacing w:val="14"/>
          <w:highlight w:val="none"/>
          <w:lang w:eastAsia="zh-CN"/>
        </w:rPr>
        <w:t>，</w:t>
      </w:r>
      <w:r>
        <w:rPr>
          <w:color w:val="auto"/>
          <w:spacing w:val="12"/>
          <w:highlight w:val="none"/>
          <w:lang w:eastAsia="zh-CN"/>
        </w:rPr>
        <w:t>且</w:t>
      </w:r>
      <w:r>
        <w:rPr>
          <w:color w:val="auto"/>
          <w:spacing w:val="14"/>
          <w:highlight w:val="none"/>
          <w:lang w:eastAsia="zh-CN"/>
        </w:rPr>
        <w:t>本</w:t>
      </w:r>
      <w:r>
        <w:rPr>
          <w:color w:val="auto"/>
          <w:spacing w:val="12"/>
          <w:highlight w:val="none"/>
          <w:lang w:eastAsia="zh-CN"/>
        </w:rPr>
        <w:t>单位</w:t>
      </w:r>
      <w:r>
        <w:rPr>
          <w:color w:val="auto"/>
          <w:spacing w:val="14"/>
          <w:highlight w:val="none"/>
          <w:lang w:eastAsia="zh-CN"/>
        </w:rPr>
        <w:t>参</w:t>
      </w:r>
      <w:r>
        <w:rPr>
          <w:color w:val="auto"/>
          <w:spacing w:val="11"/>
          <w:highlight w:val="none"/>
          <w:lang w:eastAsia="zh-CN"/>
        </w:rPr>
        <w:t>加</w:t>
      </w:r>
      <w:r>
        <w:rPr>
          <w:color w:val="auto"/>
          <w:spacing w:val="11"/>
          <w:highlight w:val="none"/>
          <w:u w:val="single"/>
          <w:lang w:eastAsia="zh-CN"/>
        </w:rPr>
        <w:t xml:space="preserve">                  </w:t>
      </w:r>
      <w:r>
        <w:rPr>
          <w:color w:val="auto"/>
          <w:spacing w:val="12"/>
          <w:highlight w:val="none"/>
          <w:lang w:eastAsia="zh-CN"/>
        </w:rPr>
        <w:t>单</w:t>
      </w:r>
      <w:r>
        <w:rPr>
          <w:color w:val="auto"/>
          <w:spacing w:val="14"/>
          <w:highlight w:val="none"/>
          <w:lang w:eastAsia="zh-CN"/>
        </w:rPr>
        <w:t>位</w:t>
      </w:r>
      <w:r>
        <w:rPr>
          <w:color w:val="auto"/>
          <w:spacing w:val="11"/>
          <w:highlight w:val="none"/>
          <w:lang w:eastAsia="zh-CN"/>
        </w:rPr>
        <w:t>的</w:t>
      </w:r>
      <w:r>
        <w:rPr>
          <w:color w:val="auto"/>
          <w:spacing w:val="11"/>
          <w:highlight w:val="none"/>
          <w:u w:val="single"/>
          <w:lang w:eastAsia="zh-CN"/>
        </w:rPr>
        <w:t xml:space="preserve"> </w:t>
      </w:r>
      <w:r>
        <w:rPr>
          <w:color w:val="auto"/>
          <w:spacing w:val="11"/>
          <w:highlight w:val="none"/>
          <w:u w:val="single"/>
          <w:lang w:eastAsia="zh-CN"/>
        </w:rPr>
        <w:tab/>
      </w:r>
      <w:r>
        <w:rPr>
          <w:color w:val="auto"/>
          <w:spacing w:val="12"/>
          <w:highlight w:val="none"/>
          <w:lang w:eastAsia="zh-CN"/>
        </w:rPr>
        <w:t>项</w:t>
      </w:r>
      <w:r>
        <w:rPr>
          <w:color w:val="auto"/>
          <w:spacing w:val="14"/>
          <w:highlight w:val="none"/>
          <w:lang w:eastAsia="zh-CN"/>
        </w:rPr>
        <w:t>目</w:t>
      </w:r>
      <w:r>
        <w:rPr>
          <w:color w:val="auto"/>
          <w:spacing w:val="-16"/>
          <w:highlight w:val="none"/>
          <w:lang w:eastAsia="zh-CN"/>
        </w:rPr>
        <w:t>采</w:t>
      </w:r>
      <w:r>
        <w:rPr>
          <w:color w:val="auto"/>
          <w:spacing w:val="16"/>
          <w:highlight w:val="none"/>
          <w:lang w:eastAsia="zh-CN"/>
        </w:rPr>
        <w:t>购</w:t>
      </w:r>
      <w:r>
        <w:rPr>
          <w:color w:val="auto"/>
          <w:spacing w:val="14"/>
          <w:highlight w:val="none"/>
          <w:lang w:eastAsia="zh-CN"/>
        </w:rPr>
        <w:t>活</w:t>
      </w:r>
      <w:r>
        <w:rPr>
          <w:color w:val="auto"/>
          <w:spacing w:val="16"/>
          <w:highlight w:val="none"/>
          <w:lang w:eastAsia="zh-CN"/>
        </w:rPr>
        <w:t>动</w:t>
      </w:r>
      <w:r>
        <w:rPr>
          <w:color w:val="auto"/>
          <w:spacing w:val="14"/>
          <w:highlight w:val="none"/>
          <w:lang w:eastAsia="zh-CN"/>
        </w:rPr>
        <w:t>提</w:t>
      </w:r>
      <w:r>
        <w:rPr>
          <w:color w:val="auto"/>
          <w:spacing w:val="16"/>
          <w:highlight w:val="none"/>
          <w:lang w:eastAsia="zh-CN"/>
        </w:rPr>
        <w:t>供</w:t>
      </w:r>
      <w:r>
        <w:rPr>
          <w:color w:val="auto"/>
          <w:spacing w:val="14"/>
          <w:highlight w:val="none"/>
          <w:lang w:eastAsia="zh-CN"/>
        </w:rPr>
        <w:t>本</w:t>
      </w:r>
      <w:r>
        <w:rPr>
          <w:color w:val="auto"/>
          <w:spacing w:val="16"/>
          <w:highlight w:val="none"/>
          <w:lang w:eastAsia="zh-CN"/>
        </w:rPr>
        <w:t>单</w:t>
      </w:r>
      <w:r>
        <w:rPr>
          <w:color w:val="auto"/>
          <w:spacing w:val="14"/>
          <w:highlight w:val="none"/>
          <w:lang w:eastAsia="zh-CN"/>
        </w:rPr>
        <w:t>位</w:t>
      </w:r>
      <w:r>
        <w:rPr>
          <w:color w:val="auto"/>
          <w:spacing w:val="16"/>
          <w:highlight w:val="none"/>
          <w:lang w:eastAsia="zh-CN"/>
        </w:rPr>
        <w:t>制</w:t>
      </w:r>
      <w:r>
        <w:rPr>
          <w:color w:val="auto"/>
          <w:spacing w:val="14"/>
          <w:highlight w:val="none"/>
          <w:lang w:eastAsia="zh-CN"/>
        </w:rPr>
        <w:t>造</w:t>
      </w:r>
      <w:r>
        <w:rPr>
          <w:color w:val="auto"/>
          <w:spacing w:val="16"/>
          <w:highlight w:val="none"/>
          <w:lang w:eastAsia="zh-CN"/>
        </w:rPr>
        <w:t>的</w:t>
      </w:r>
      <w:r>
        <w:rPr>
          <w:color w:val="auto"/>
          <w:spacing w:val="14"/>
          <w:highlight w:val="none"/>
          <w:lang w:eastAsia="zh-CN"/>
        </w:rPr>
        <w:t>货</w:t>
      </w:r>
      <w:r>
        <w:rPr>
          <w:color w:val="auto"/>
          <w:spacing w:val="16"/>
          <w:highlight w:val="none"/>
          <w:lang w:eastAsia="zh-CN"/>
        </w:rPr>
        <w:t>物</w:t>
      </w:r>
      <w:r>
        <w:rPr>
          <w:color w:val="auto"/>
          <w:spacing w:val="14"/>
          <w:highlight w:val="none"/>
          <w:lang w:eastAsia="zh-CN"/>
        </w:rPr>
        <w:t>（</w:t>
      </w:r>
      <w:r>
        <w:rPr>
          <w:color w:val="auto"/>
          <w:spacing w:val="16"/>
          <w:highlight w:val="none"/>
          <w:lang w:eastAsia="zh-CN"/>
        </w:rPr>
        <w:t>由</w:t>
      </w:r>
      <w:r>
        <w:rPr>
          <w:color w:val="auto"/>
          <w:spacing w:val="14"/>
          <w:highlight w:val="none"/>
          <w:lang w:eastAsia="zh-CN"/>
        </w:rPr>
        <w:t>本</w:t>
      </w:r>
      <w:r>
        <w:rPr>
          <w:color w:val="auto"/>
          <w:spacing w:val="16"/>
          <w:highlight w:val="none"/>
          <w:lang w:eastAsia="zh-CN"/>
        </w:rPr>
        <w:t>单</w:t>
      </w:r>
      <w:r>
        <w:rPr>
          <w:color w:val="auto"/>
          <w:spacing w:val="14"/>
          <w:highlight w:val="none"/>
          <w:lang w:eastAsia="zh-CN"/>
        </w:rPr>
        <w:t>位</w:t>
      </w:r>
      <w:r>
        <w:rPr>
          <w:color w:val="auto"/>
          <w:spacing w:val="16"/>
          <w:highlight w:val="none"/>
          <w:lang w:eastAsia="zh-CN"/>
        </w:rPr>
        <w:t>承</w:t>
      </w:r>
      <w:r>
        <w:rPr>
          <w:color w:val="auto"/>
          <w:spacing w:val="14"/>
          <w:highlight w:val="none"/>
          <w:lang w:eastAsia="zh-CN"/>
        </w:rPr>
        <w:t>担</w:t>
      </w:r>
      <w:r>
        <w:rPr>
          <w:color w:val="auto"/>
          <w:spacing w:val="16"/>
          <w:highlight w:val="none"/>
          <w:lang w:eastAsia="zh-CN"/>
        </w:rPr>
        <w:t>工</w:t>
      </w:r>
      <w:r>
        <w:rPr>
          <w:color w:val="auto"/>
          <w:spacing w:val="14"/>
          <w:highlight w:val="none"/>
          <w:lang w:eastAsia="zh-CN"/>
        </w:rPr>
        <w:t>程</w:t>
      </w:r>
      <w:r>
        <w:rPr>
          <w:color w:val="auto"/>
          <w:spacing w:val="9"/>
          <w:highlight w:val="none"/>
          <w:lang w:eastAsia="zh-CN"/>
        </w:rPr>
        <w:t>/</w:t>
      </w:r>
      <w:r>
        <w:rPr>
          <w:color w:val="auto"/>
          <w:spacing w:val="16"/>
          <w:highlight w:val="none"/>
          <w:lang w:eastAsia="zh-CN"/>
        </w:rPr>
        <w:t>提</w:t>
      </w:r>
      <w:r>
        <w:rPr>
          <w:color w:val="auto"/>
          <w:spacing w:val="14"/>
          <w:highlight w:val="none"/>
          <w:lang w:eastAsia="zh-CN"/>
        </w:rPr>
        <w:t>供</w:t>
      </w:r>
      <w:r>
        <w:rPr>
          <w:color w:val="auto"/>
          <w:spacing w:val="16"/>
          <w:highlight w:val="none"/>
          <w:lang w:eastAsia="zh-CN"/>
        </w:rPr>
        <w:t>服</w:t>
      </w:r>
      <w:r>
        <w:rPr>
          <w:color w:val="auto"/>
          <w:spacing w:val="14"/>
          <w:highlight w:val="none"/>
          <w:lang w:eastAsia="zh-CN"/>
        </w:rPr>
        <w:t>务</w:t>
      </w:r>
      <w:r>
        <w:rPr>
          <w:color w:val="auto"/>
          <w:spacing w:val="15"/>
          <w:highlight w:val="none"/>
          <w:lang w:eastAsia="zh-CN"/>
        </w:rPr>
        <w:t>），</w:t>
      </w:r>
      <w:r>
        <w:rPr>
          <w:color w:val="auto"/>
          <w:spacing w:val="16"/>
          <w:highlight w:val="none"/>
          <w:lang w:eastAsia="zh-CN"/>
        </w:rPr>
        <w:t>或</w:t>
      </w:r>
      <w:r>
        <w:rPr>
          <w:color w:val="auto"/>
          <w:spacing w:val="14"/>
          <w:highlight w:val="none"/>
          <w:lang w:eastAsia="zh-CN"/>
        </w:rPr>
        <w:t>者</w:t>
      </w:r>
      <w:r>
        <w:rPr>
          <w:color w:val="auto"/>
          <w:spacing w:val="16"/>
          <w:highlight w:val="none"/>
          <w:lang w:eastAsia="zh-CN"/>
        </w:rPr>
        <w:t>提</w:t>
      </w:r>
      <w:r>
        <w:rPr>
          <w:color w:val="auto"/>
          <w:highlight w:val="none"/>
          <w:lang w:eastAsia="zh-CN"/>
        </w:rPr>
        <w:t>供</w:t>
      </w:r>
      <w:r>
        <w:rPr>
          <w:color w:val="auto"/>
          <w:spacing w:val="12"/>
          <w:highlight w:val="none"/>
          <w:lang w:eastAsia="zh-CN"/>
        </w:rPr>
        <w:t>其他残疾人福利性单位制造的货</w:t>
      </w:r>
      <w:r>
        <w:rPr>
          <w:color w:val="auto"/>
          <w:highlight w:val="none"/>
          <w:lang w:eastAsia="zh-CN"/>
        </w:rPr>
        <w:t>物</w:t>
      </w:r>
      <w:r>
        <w:rPr>
          <w:color w:val="auto"/>
          <w:spacing w:val="12"/>
          <w:highlight w:val="none"/>
          <w:lang w:eastAsia="zh-CN"/>
        </w:rPr>
        <w:t>（不包括使用非残疾人福利性单位注册</w:t>
      </w:r>
      <w:r>
        <w:rPr>
          <w:color w:val="auto"/>
          <w:spacing w:val="-17"/>
          <w:highlight w:val="none"/>
          <w:lang w:eastAsia="zh-CN"/>
        </w:rPr>
        <w:t>商</w:t>
      </w:r>
      <w:r>
        <w:rPr>
          <w:color w:val="auto"/>
          <w:spacing w:val="12"/>
          <w:highlight w:val="none"/>
          <w:lang w:eastAsia="zh-CN"/>
        </w:rPr>
        <w:t>标的货物）</w:t>
      </w:r>
      <w:r>
        <w:rPr>
          <w:color w:val="auto"/>
          <w:highlight w:val="none"/>
          <w:lang w:eastAsia="zh-CN"/>
        </w:rPr>
        <w:t>。</w:t>
      </w:r>
    </w:p>
    <w:p w14:paraId="6FBA18DC">
      <w:pPr>
        <w:pStyle w:val="3"/>
        <w:spacing w:line="360" w:lineRule="auto"/>
        <w:ind w:left="0" w:firstLine="444" w:firstLineChars="200"/>
        <w:rPr>
          <w:color w:val="auto"/>
          <w:highlight w:val="none"/>
          <w:lang w:eastAsia="zh-CN"/>
        </w:rPr>
      </w:pPr>
      <w:r>
        <w:rPr>
          <w:color w:val="auto"/>
          <w:spacing w:val="11"/>
          <w:highlight w:val="none"/>
          <w:lang w:eastAsia="zh-CN"/>
        </w:rPr>
        <w:t>本单位对上述声明的真实性负责。如有虚假，将依法承担相应责任。</w:t>
      </w:r>
    </w:p>
    <w:p w14:paraId="300DBBD2">
      <w:pPr>
        <w:pStyle w:val="3"/>
        <w:spacing w:line="360" w:lineRule="auto"/>
        <w:ind w:left="0" w:firstLine="400" w:firstLineChars="200"/>
        <w:rPr>
          <w:color w:val="auto"/>
          <w:highlight w:val="none"/>
          <w:lang w:eastAsia="zh-CN"/>
        </w:rPr>
      </w:pPr>
    </w:p>
    <w:p w14:paraId="6658D043">
      <w:pPr>
        <w:pStyle w:val="3"/>
        <w:tabs>
          <w:tab w:val="left" w:pos="7951"/>
          <w:tab w:val="left" w:pos="8010"/>
          <w:tab w:val="left" w:pos="8791"/>
        </w:tabs>
        <w:spacing w:line="480" w:lineRule="auto"/>
        <w:ind w:left="0" w:firstLine="4600" w:firstLineChars="2300"/>
        <w:rPr>
          <w:color w:val="auto"/>
          <w:spacing w:val="-16"/>
          <w:highlight w:val="none"/>
          <w:lang w:eastAsia="zh-CN"/>
        </w:rPr>
      </w:pPr>
      <w:r>
        <w:rPr>
          <w:color w:val="auto"/>
          <w:highlight w:val="none"/>
          <w:lang w:eastAsia="zh-CN"/>
        </w:rPr>
        <w:t>企业：</w:t>
      </w:r>
      <w:r>
        <w:rPr>
          <w:color w:val="auto"/>
          <w:highlight w:val="none"/>
          <w:u w:val="single"/>
          <w:lang w:eastAsia="zh-CN"/>
        </w:rPr>
        <w:t xml:space="preserve"> </w:t>
      </w:r>
      <w:r>
        <w:rPr>
          <w:color w:val="auto"/>
          <w:highlight w:val="none"/>
          <w:u w:val="single"/>
          <w:lang w:eastAsia="zh-CN"/>
        </w:rPr>
        <w:tab/>
      </w:r>
      <w:r>
        <w:rPr>
          <w:color w:val="auto"/>
          <w:highlight w:val="none"/>
          <w:lang w:eastAsia="zh-CN"/>
        </w:rPr>
        <w:t>(</w:t>
      </w:r>
      <w:r>
        <w:rPr>
          <w:rFonts w:hint="eastAsia"/>
          <w:color w:val="auto"/>
          <w:highlight w:val="none"/>
          <w:lang w:val="en-US" w:eastAsia="zh-CN"/>
        </w:rPr>
        <w:t>电子签</w:t>
      </w:r>
      <w:r>
        <w:rPr>
          <w:color w:val="auto"/>
          <w:highlight w:val="none"/>
          <w:lang w:eastAsia="zh-CN"/>
        </w:rPr>
        <w:t>章</w:t>
      </w:r>
      <w:r>
        <w:rPr>
          <w:color w:val="auto"/>
          <w:spacing w:val="-16"/>
          <w:highlight w:val="none"/>
          <w:lang w:eastAsia="zh-CN"/>
        </w:rPr>
        <w:t xml:space="preserve">) </w:t>
      </w:r>
    </w:p>
    <w:p w14:paraId="15D6DC5F">
      <w:pPr>
        <w:pStyle w:val="3"/>
        <w:tabs>
          <w:tab w:val="left" w:pos="7051"/>
          <w:tab w:val="left" w:pos="7744"/>
          <w:tab w:val="left" w:pos="7951"/>
          <w:tab w:val="left" w:pos="8791"/>
        </w:tabs>
        <w:spacing w:line="480" w:lineRule="auto"/>
        <w:ind w:left="0" w:firstLine="4600" w:firstLineChars="2300"/>
        <w:rPr>
          <w:color w:val="auto"/>
          <w:highlight w:val="none"/>
          <w:lang w:eastAsia="zh-CN"/>
        </w:rPr>
      </w:pPr>
      <w:r>
        <w:rPr>
          <w:color w:val="auto"/>
          <w:highlight w:val="none"/>
          <w:lang w:eastAsia="zh-CN"/>
        </w:rPr>
        <w:t>日期：</w:t>
      </w:r>
      <w:r>
        <w:rPr>
          <w:color w:val="auto"/>
          <w:highlight w:val="none"/>
          <w:u w:val="single"/>
          <w:lang w:eastAsia="zh-CN"/>
        </w:rPr>
        <w:t xml:space="preserve"> </w:t>
      </w:r>
      <w:r>
        <w:rPr>
          <w:color w:val="auto"/>
          <w:highlight w:val="none"/>
          <w:u w:val="single"/>
          <w:lang w:eastAsia="zh-CN"/>
        </w:rPr>
        <w:tab/>
      </w:r>
      <w:r>
        <w:rPr>
          <w:color w:val="auto"/>
          <w:highlight w:val="none"/>
          <w:lang w:eastAsia="zh-CN"/>
        </w:rPr>
        <w:t>年</w:t>
      </w:r>
      <w:r>
        <w:rPr>
          <w:color w:val="auto"/>
          <w:highlight w:val="none"/>
          <w:u w:val="single"/>
          <w:lang w:eastAsia="zh-CN"/>
        </w:rPr>
        <w:t xml:space="preserve"> </w:t>
      </w:r>
      <w:r>
        <w:rPr>
          <w:color w:val="auto"/>
          <w:highlight w:val="none"/>
          <w:u w:val="single"/>
          <w:lang w:eastAsia="zh-CN"/>
        </w:rPr>
        <w:tab/>
      </w:r>
      <w:r>
        <w:rPr>
          <w:color w:val="auto"/>
          <w:highlight w:val="none"/>
          <w:u w:val="single"/>
          <w:lang w:eastAsia="zh-CN"/>
        </w:rPr>
        <w:tab/>
      </w:r>
      <w:r>
        <w:rPr>
          <w:color w:val="auto"/>
          <w:highlight w:val="none"/>
          <w:lang w:eastAsia="zh-CN"/>
        </w:rPr>
        <w:t>月</w:t>
      </w:r>
      <w:r>
        <w:rPr>
          <w:color w:val="auto"/>
          <w:highlight w:val="none"/>
          <w:u w:val="single"/>
          <w:lang w:eastAsia="zh-CN"/>
        </w:rPr>
        <w:t xml:space="preserve"> </w:t>
      </w:r>
      <w:r>
        <w:rPr>
          <w:color w:val="auto"/>
          <w:highlight w:val="none"/>
          <w:u w:val="single"/>
          <w:lang w:eastAsia="zh-CN"/>
        </w:rPr>
        <w:tab/>
      </w:r>
      <w:r>
        <w:rPr>
          <w:color w:val="auto"/>
          <w:highlight w:val="none"/>
          <w:lang w:eastAsia="zh-CN"/>
        </w:rPr>
        <w:t>日</w:t>
      </w:r>
    </w:p>
    <w:p w14:paraId="7BF10D07">
      <w:pPr>
        <w:pStyle w:val="3"/>
        <w:spacing w:line="360" w:lineRule="auto"/>
        <w:ind w:left="0" w:firstLine="720" w:firstLineChars="200"/>
        <w:rPr>
          <w:color w:val="auto"/>
          <w:sz w:val="36"/>
          <w:highlight w:val="none"/>
          <w:lang w:eastAsia="zh-CN"/>
        </w:rPr>
      </w:pPr>
    </w:p>
    <w:p w14:paraId="4C0413F5">
      <w:pPr>
        <w:pStyle w:val="12"/>
        <w:spacing w:line="360" w:lineRule="auto"/>
        <w:ind w:left="0" w:firstLine="458" w:firstLineChars="200"/>
        <w:rPr>
          <w:color w:val="auto"/>
          <w:highlight w:val="none"/>
          <w:lang w:eastAsia="zh-CN"/>
        </w:rPr>
      </w:pPr>
      <w:r>
        <w:rPr>
          <w:color w:val="auto"/>
          <w:w w:val="95"/>
          <w:highlight w:val="none"/>
          <w:lang w:eastAsia="zh-CN"/>
        </w:rPr>
        <w:t xml:space="preserve">（提醒：如果供应商不是残疾人福利性单位，则不需要提供《残疾人福利  </w:t>
      </w:r>
      <w:r>
        <w:rPr>
          <w:color w:val="auto"/>
          <w:highlight w:val="none"/>
          <w:lang w:eastAsia="zh-CN"/>
        </w:rPr>
        <w:t>性单位声明函》。否则，因此导致虚假投标的后果由供应商自行承担。）</w:t>
      </w:r>
    </w:p>
    <w:p w14:paraId="228D2E7F">
      <w:pPr>
        <w:pStyle w:val="3"/>
        <w:spacing w:line="360" w:lineRule="auto"/>
        <w:ind w:left="0" w:firstLine="402" w:firstLineChars="200"/>
        <w:rPr>
          <w:b/>
          <w:color w:val="auto"/>
          <w:highlight w:val="none"/>
          <w:lang w:eastAsia="zh-CN"/>
        </w:rPr>
      </w:pPr>
    </w:p>
    <w:p w14:paraId="70760DE3">
      <w:pPr>
        <w:pStyle w:val="3"/>
        <w:spacing w:line="360" w:lineRule="auto"/>
        <w:ind w:left="0" w:firstLine="400" w:firstLineChars="200"/>
        <w:rPr>
          <w:color w:val="auto"/>
          <w:highlight w:val="none"/>
          <w:lang w:eastAsia="zh-CN"/>
        </w:rPr>
      </w:pPr>
      <w:r>
        <w:rPr>
          <w:color w:val="auto"/>
          <w:highlight w:val="none"/>
          <w:lang w:eastAsia="zh-CN"/>
        </w:rPr>
        <w:t>《财政部民政部中国残疾人联合会关于促进残疾人就业政府采购政策的通知》（财库 2017〔141〕号）的规定：</w:t>
      </w:r>
    </w:p>
    <w:p w14:paraId="288E7D81">
      <w:pPr>
        <w:pStyle w:val="40"/>
        <w:tabs>
          <w:tab w:val="left" w:pos="1820"/>
        </w:tabs>
        <w:spacing w:line="360" w:lineRule="auto"/>
        <w:ind w:left="0" w:firstLine="480" w:firstLineChars="200"/>
        <w:jc w:val="both"/>
        <w:rPr>
          <w:color w:val="auto"/>
          <w:sz w:val="24"/>
          <w:highlight w:val="none"/>
          <w:lang w:eastAsia="zh-CN"/>
        </w:rPr>
      </w:pPr>
      <w:r>
        <w:rPr>
          <w:rFonts w:hint="eastAsia"/>
          <w:color w:val="auto"/>
          <w:sz w:val="24"/>
          <w:highlight w:val="none"/>
          <w:lang w:eastAsia="zh-CN"/>
        </w:rPr>
        <w:t>1</w:t>
      </w:r>
      <w:r>
        <w:rPr>
          <w:color w:val="auto"/>
          <w:sz w:val="24"/>
          <w:highlight w:val="none"/>
          <w:lang w:eastAsia="zh-CN"/>
        </w:rPr>
        <w:t>.享受政府采购支持政策的残疾人福利性单位应当同时满足以下条件：</w:t>
      </w:r>
    </w:p>
    <w:p w14:paraId="2279EFE7">
      <w:pPr>
        <w:pStyle w:val="40"/>
        <w:tabs>
          <w:tab w:val="left" w:pos="1581"/>
        </w:tabs>
        <w:spacing w:line="360" w:lineRule="auto"/>
        <w:ind w:left="474" w:firstLine="0"/>
        <w:jc w:val="both"/>
        <w:rPr>
          <w:color w:val="auto"/>
          <w:spacing w:val="-9"/>
          <w:sz w:val="24"/>
          <w:highlight w:val="none"/>
          <w:lang w:eastAsia="zh-CN"/>
        </w:rPr>
      </w:pPr>
      <w:r>
        <w:rPr>
          <w:rFonts w:hint="eastAsia"/>
          <w:color w:val="auto"/>
          <w:sz w:val="24"/>
          <w:highlight w:val="none"/>
          <w:lang w:eastAsia="zh-CN"/>
        </w:rPr>
        <w:t>（1）</w:t>
      </w:r>
      <w:r>
        <w:rPr>
          <w:color w:val="auto"/>
          <w:spacing w:val="-3"/>
          <w:sz w:val="24"/>
          <w:highlight w:val="none"/>
          <w:lang w:eastAsia="zh-CN"/>
        </w:rPr>
        <w:t xml:space="preserve">安置的残疾人占本单位在职职工人数的比例不低于 </w:t>
      </w:r>
      <w:r>
        <w:rPr>
          <w:color w:val="auto"/>
          <w:spacing w:val="-6"/>
          <w:sz w:val="24"/>
          <w:highlight w:val="none"/>
          <w:lang w:eastAsia="zh-CN"/>
        </w:rPr>
        <w:t>25%（</w:t>
      </w:r>
      <w:r>
        <w:rPr>
          <w:color w:val="auto"/>
          <w:spacing w:val="-29"/>
          <w:sz w:val="24"/>
          <w:highlight w:val="none"/>
          <w:lang w:eastAsia="zh-CN"/>
        </w:rPr>
        <w:t xml:space="preserve">含 </w:t>
      </w:r>
      <w:r>
        <w:rPr>
          <w:color w:val="auto"/>
          <w:spacing w:val="-10"/>
          <w:sz w:val="24"/>
          <w:highlight w:val="none"/>
          <w:lang w:eastAsia="zh-CN"/>
        </w:rPr>
        <w:t>25%）</w:t>
      </w:r>
      <w:r>
        <w:rPr>
          <w:color w:val="auto"/>
          <w:spacing w:val="-4"/>
          <w:sz w:val="24"/>
          <w:highlight w:val="none"/>
          <w:lang w:eastAsia="zh-CN"/>
        </w:rPr>
        <w:t>，并且</w:t>
      </w:r>
      <w:r>
        <w:rPr>
          <w:color w:val="auto"/>
          <w:spacing w:val="-9"/>
          <w:sz w:val="24"/>
          <w:highlight w:val="none"/>
          <w:lang w:eastAsia="zh-CN"/>
        </w:rPr>
        <w:t>安置的残疾</w:t>
      </w:r>
    </w:p>
    <w:p w14:paraId="61DCF7A3">
      <w:pPr>
        <w:tabs>
          <w:tab w:val="left" w:pos="1581"/>
        </w:tabs>
        <w:spacing w:line="360" w:lineRule="auto"/>
        <w:jc w:val="both"/>
        <w:rPr>
          <w:color w:val="auto"/>
          <w:spacing w:val="-9"/>
          <w:sz w:val="24"/>
          <w:highlight w:val="none"/>
          <w:lang w:eastAsia="zh-CN"/>
        </w:rPr>
      </w:pPr>
      <w:r>
        <w:rPr>
          <w:color w:val="auto"/>
          <w:spacing w:val="-9"/>
          <w:sz w:val="24"/>
          <w:highlight w:val="none"/>
          <w:lang w:eastAsia="zh-CN"/>
        </w:rPr>
        <w:t xml:space="preserve">人人数不少于 </w:t>
      </w:r>
      <w:r>
        <w:rPr>
          <w:color w:val="auto"/>
          <w:sz w:val="24"/>
          <w:highlight w:val="none"/>
          <w:lang w:eastAsia="zh-CN"/>
        </w:rPr>
        <w:t>10</w:t>
      </w:r>
      <w:r>
        <w:rPr>
          <w:color w:val="auto"/>
          <w:spacing w:val="-30"/>
          <w:sz w:val="24"/>
          <w:highlight w:val="none"/>
          <w:lang w:eastAsia="zh-CN"/>
        </w:rPr>
        <w:t xml:space="preserve"> 人</w:t>
      </w:r>
      <w:r>
        <w:rPr>
          <w:color w:val="auto"/>
          <w:sz w:val="24"/>
          <w:highlight w:val="none"/>
          <w:lang w:eastAsia="zh-CN"/>
        </w:rPr>
        <w:t>（</w:t>
      </w:r>
      <w:r>
        <w:rPr>
          <w:color w:val="auto"/>
          <w:spacing w:val="-30"/>
          <w:sz w:val="24"/>
          <w:highlight w:val="none"/>
          <w:lang w:eastAsia="zh-CN"/>
        </w:rPr>
        <w:t xml:space="preserve">含 </w:t>
      </w:r>
      <w:r>
        <w:rPr>
          <w:color w:val="auto"/>
          <w:sz w:val="24"/>
          <w:highlight w:val="none"/>
          <w:lang w:eastAsia="zh-CN"/>
        </w:rPr>
        <w:t>10</w:t>
      </w:r>
      <w:r>
        <w:rPr>
          <w:color w:val="auto"/>
          <w:spacing w:val="-30"/>
          <w:sz w:val="24"/>
          <w:highlight w:val="none"/>
          <w:lang w:eastAsia="zh-CN"/>
        </w:rPr>
        <w:t xml:space="preserve"> 人</w:t>
      </w:r>
      <w:r>
        <w:rPr>
          <w:color w:val="auto"/>
          <w:sz w:val="24"/>
          <w:highlight w:val="none"/>
          <w:lang w:eastAsia="zh-CN"/>
        </w:rPr>
        <w:t>）；</w:t>
      </w:r>
    </w:p>
    <w:p w14:paraId="1C41673F">
      <w:pPr>
        <w:pStyle w:val="40"/>
        <w:tabs>
          <w:tab w:val="left" w:pos="1581"/>
        </w:tabs>
        <w:spacing w:line="360" w:lineRule="auto"/>
        <w:ind w:left="480" w:firstLine="0"/>
        <w:jc w:val="both"/>
        <w:rPr>
          <w:color w:val="auto"/>
          <w:sz w:val="24"/>
          <w:highlight w:val="none"/>
          <w:lang w:eastAsia="zh-CN"/>
        </w:rPr>
      </w:pPr>
      <w:r>
        <w:rPr>
          <w:rFonts w:hint="eastAsia"/>
          <w:color w:val="auto"/>
          <w:sz w:val="24"/>
          <w:highlight w:val="none"/>
          <w:lang w:eastAsia="zh-CN"/>
        </w:rPr>
        <w:t>（</w:t>
      </w:r>
      <w:r>
        <w:rPr>
          <w:color w:val="auto"/>
          <w:sz w:val="24"/>
          <w:highlight w:val="none"/>
          <w:lang w:eastAsia="zh-CN"/>
        </w:rPr>
        <w:t>2</w:t>
      </w:r>
      <w:r>
        <w:rPr>
          <w:rFonts w:hint="eastAsia"/>
          <w:color w:val="auto"/>
          <w:sz w:val="24"/>
          <w:highlight w:val="none"/>
          <w:lang w:eastAsia="zh-CN"/>
        </w:rPr>
        <w:t>）</w:t>
      </w:r>
      <w:r>
        <w:rPr>
          <w:color w:val="auto"/>
          <w:sz w:val="24"/>
          <w:highlight w:val="none"/>
          <w:lang w:eastAsia="zh-CN"/>
        </w:rPr>
        <w:t>依法与安置的每位残疾人签订了一年以上（含一年）</w:t>
      </w:r>
      <w:r>
        <w:rPr>
          <w:color w:val="auto"/>
          <w:spacing w:val="-2"/>
          <w:sz w:val="24"/>
          <w:highlight w:val="none"/>
          <w:lang w:eastAsia="zh-CN"/>
        </w:rPr>
        <w:t>的劳动合同或服务协</w:t>
      </w:r>
      <w:r>
        <w:rPr>
          <w:color w:val="auto"/>
          <w:sz w:val="24"/>
          <w:highlight w:val="none"/>
          <w:lang w:eastAsia="zh-CN"/>
        </w:rPr>
        <w:t>议；</w:t>
      </w:r>
    </w:p>
    <w:p w14:paraId="7565DE8B">
      <w:pPr>
        <w:pStyle w:val="40"/>
        <w:tabs>
          <w:tab w:val="left" w:pos="1581"/>
        </w:tabs>
        <w:spacing w:line="360" w:lineRule="auto"/>
        <w:ind w:left="478" w:firstLine="0"/>
        <w:jc w:val="both"/>
        <w:rPr>
          <w:color w:val="auto"/>
          <w:sz w:val="24"/>
          <w:highlight w:val="none"/>
          <w:lang w:eastAsia="zh-CN"/>
        </w:rPr>
      </w:pPr>
      <w:r>
        <w:rPr>
          <w:rFonts w:hint="eastAsia"/>
          <w:color w:val="auto"/>
          <w:spacing w:val="-1"/>
          <w:sz w:val="24"/>
          <w:highlight w:val="none"/>
          <w:lang w:eastAsia="zh-CN"/>
        </w:rPr>
        <w:t>（</w:t>
      </w:r>
      <w:r>
        <w:rPr>
          <w:color w:val="auto"/>
          <w:spacing w:val="-1"/>
          <w:sz w:val="24"/>
          <w:highlight w:val="none"/>
          <w:lang w:eastAsia="zh-CN"/>
        </w:rPr>
        <w:t>3</w:t>
      </w:r>
      <w:r>
        <w:rPr>
          <w:rFonts w:hint="eastAsia"/>
          <w:color w:val="auto"/>
          <w:spacing w:val="-1"/>
          <w:sz w:val="24"/>
          <w:highlight w:val="none"/>
          <w:lang w:eastAsia="zh-CN"/>
        </w:rPr>
        <w:t>）</w:t>
      </w:r>
      <w:r>
        <w:rPr>
          <w:color w:val="auto"/>
          <w:spacing w:val="-1"/>
          <w:sz w:val="24"/>
          <w:highlight w:val="none"/>
          <w:lang w:eastAsia="zh-CN"/>
        </w:rPr>
        <w:t>为安置的每位残疾人按月足额缴纳了基本养老保险、基本医疗保险、失业</w:t>
      </w:r>
      <w:r>
        <w:rPr>
          <w:color w:val="auto"/>
          <w:sz w:val="24"/>
          <w:highlight w:val="none"/>
          <w:lang w:eastAsia="zh-CN"/>
        </w:rPr>
        <w:t>保险、工</w:t>
      </w:r>
    </w:p>
    <w:p w14:paraId="1A3676F9">
      <w:pPr>
        <w:tabs>
          <w:tab w:val="left" w:pos="1581"/>
        </w:tabs>
        <w:spacing w:line="360" w:lineRule="auto"/>
        <w:jc w:val="both"/>
        <w:rPr>
          <w:color w:val="auto"/>
          <w:sz w:val="24"/>
          <w:highlight w:val="none"/>
          <w:lang w:eastAsia="zh-CN"/>
        </w:rPr>
      </w:pPr>
      <w:r>
        <w:rPr>
          <w:color w:val="auto"/>
          <w:sz w:val="24"/>
          <w:highlight w:val="none"/>
          <w:lang w:eastAsia="zh-CN"/>
        </w:rPr>
        <w:t>伤保险和生育保险等社会保险费；</w:t>
      </w:r>
    </w:p>
    <w:p w14:paraId="18A880A4">
      <w:pPr>
        <w:pStyle w:val="40"/>
        <w:tabs>
          <w:tab w:val="left" w:pos="1581"/>
        </w:tabs>
        <w:spacing w:line="364" w:lineRule="auto"/>
        <w:ind w:left="0" w:firstLine="480" w:firstLineChars="200"/>
        <w:jc w:val="both"/>
        <w:rPr>
          <w:color w:val="auto"/>
          <w:highlight w:val="none"/>
          <w:lang w:eastAsia="zh-CN"/>
        </w:rPr>
      </w:pPr>
      <w:r>
        <w:rPr>
          <w:rFonts w:hint="eastAsia"/>
          <w:color w:val="auto"/>
          <w:sz w:val="24"/>
          <w:highlight w:val="none"/>
          <w:lang w:eastAsia="zh-CN"/>
        </w:rPr>
        <w:t>（</w:t>
      </w:r>
      <w:r>
        <w:rPr>
          <w:color w:val="auto"/>
          <w:sz w:val="24"/>
          <w:highlight w:val="none"/>
          <w:lang w:eastAsia="zh-CN"/>
        </w:rPr>
        <w:t>4</w:t>
      </w:r>
      <w:r>
        <w:rPr>
          <w:rFonts w:hint="eastAsia"/>
          <w:color w:val="auto"/>
          <w:sz w:val="24"/>
          <w:highlight w:val="none"/>
          <w:lang w:eastAsia="zh-CN"/>
        </w:rPr>
        <w:t>）</w:t>
      </w:r>
      <w:r>
        <w:rPr>
          <w:color w:val="auto"/>
          <w:sz w:val="24"/>
          <w:highlight w:val="none"/>
          <w:lang w:eastAsia="zh-CN"/>
        </w:rPr>
        <w:t>通过银行等金融机构向安置的每位残疾人，按月支付了不低于单位所在区</w:t>
      </w:r>
      <w:r>
        <w:rPr>
          <w:color w:val="auto"/>
          <w:highlight w:val="none"/>
          <w:lang w:eastAsia="zh-CN"/>
        </w:rPr>
        <w:t>县适用的经省级人民政府批准的月最低工资标准的工资；</w:t>
      </w:r>
    </w:p>
    <w:p w14:paraId="4D770079">
      <w:pPr>
        <w:pStyle w:val="40"/>
        <w:tabs>
          <w:tab w:val="left" w:pos="1581"/>
        </w:tabs>
        <w:spacing w:line="364" w:lineRule="auto"/>
        <w:ind w:left="0" w:firstLine="420" w:firstLineChars="200"/>
        <w:jc w:val="both"/>
        <w:rPr>
          <w:color w:val="auto"/>
          <w:sz w:val="24"/>
          <w:highlight w:val="none"/>
          <w:lang w:eastAsia="zh-CN"/>
        </w:rPr>
      </w:pPr>
      <w:r>
        <w:rPr>
          <w:rFonts w:hint="eastAsia"/>
          <w:color w:val="auto"/>
          <w:highlight w:val="none"/>
          <w:lang w:eastAsia="zh-CN"/>
        </w:rPr>
        <w:t>（5）</w:t>
      </w:r>
      <w:r>
        <w:rPr>
          <w:color w:val="auto"/>
          <w:sz w:val="24"/>
          <w:highlight w:val="none"/>
          <w:lang w:eastAsia="zh-CN"/>
        </w:rPr>
        <w:t>提供本单位制造的货物、承担的工程或者服务（以下简称产品）</w:t>
      </w:r>
      <w:r>
        <w:rPr>
          <w:color w:val="auto"/>
          <w:spacing w:val="-3"/>
          <w:sz w:val="24"/>
          <w:highlight w:val="none"/>
          <w:lang w:eastAsia="zh-CN"/>
        </w:rPr>
        <w:t>，或者提</w:t>
      </w:r>
      <w:r>
        <w:rPr>
          <w:color w:val="auto"/>
          <w:spacing w:val="-6"/>
          <w:sz w:val="24"/>
          <w:highlight w:val="none"/>
          <w:lang w:eastAsia="zh-CN"/>
        </w:rPr>
        <w:t>供其他残疾人福利性单位制造的货物</w:t>
      </w:r>
      <w:r>
        <w:rPr>
          <w:color w:val="auto"/>
          <w:sz w:val="24"/>
          <w:highlight w:val="none"/>
          <w:lang w:eastAsia="zh-CN"/>
        </w:rPr>
        <w:t>（</w:t>
      </w:r>
      <w:r>
        <w:rPr>
          <w:color w:val="auto"/>
          <w:spacing w:val="-1"/>
          <w:sz w:val="24"/>
          <w:highlight w:val="none"/>
          <w:lang w:eastAsia="zh-CN"/>
        </w:rPr>
        <w:t>不包括使用非残疾人福利性单位注册商标</w:t>
      </w:r>
      <w:r>
        <w:rPr>
          <w:color w:val="auto"/>
          <w:sz w:val="24"/>
          <w:highlight w:val="none"/>
          <w:lang w:eastAsia="zh-CN"/>
        </w:rPr>
        <w:t>的货物）。</w:t>
      </w:r>
    </w:p>
    <w:p w14:paraId="4ABD25F6">
      <w:pPr>
        <w:pStyle w:val="3"/>
        <w:spacing w:line="360" w:lineRule="auto"/>
        <w:ind w:left="0" w:firstLine="400" w:firstLineChars="200"/>
        <w:jc w:val="both"/>
        <w:rPr>
          <w:color w:val="auto"/>
          <w:highlight w:val="none"/>
          <w:lang w:eastAsia="zh-CN"/>
        </w:rPr>
      </w:pPr>
      <w:r>
        <w:rPr>
          <w:color w:val="auto"/>
          <w:highlight w:val="none"/>
          <w:lang w:eastAsia="zh-CN"/>
        </w:rPr>
        <w:t>2.成交人为残疾人福利性单位的，采购人或者其委托的采购代理机构应当随成交、成交结果同时公告其《残疾人福利性单位声明函》，接受社会监督。</w:t>
      </w:r>
    </w:p>
    <w:p w14:paraId="7FE6C337">
      <w:pPr>
        <w:rPr>
          <w:color w:val="auto"/>
          <w:sz w:val="24"/>
          <w:highlight w:val="none"/>
          <w:lang w:eastAsia="zh-CN"/>
        </w:rPr>
      </w:pPr>
      <w:r>
        <w:rPr>
          <w:color w:val="auto"/>
          <w:sz w:val="24"/>
          <w:highlight w:val="none"/>
          <w:lang w:eastAsia="zh-CN"/>
        </w:rPr>
        <w:br w:type="page"/>
      </w:r>
    </w:p>
    <w:p w14:paraId="51191F93">
      <w:pPr>
        <w:widowControl/>
        <w:numPr>
          <w:ilvl w:val="0"/>
          <w:numId w:val="0"/>
        </w:numPr>
        <w:jc w:val="both"/>
        <w:rPr>
          <w:rFonts w:hint="eastAsia" w:ascii="宋体" w:hAnsi="宋体" w:eastAsia="宋体" w:cs="宋体"/>
          <w:b/>
          <w:color w:val="auto"/>
          <w:sz w:val="24"/>
          <w:highlight w:val="none"/>
        </w:rPr>
      </w:pPr>
    </w:p>
    <w:p w14:paraId="20252E0B">
      <w:pPr>
        <w:pStyle w:val="2"/>
        <w:ind w:firstLine="240"/>
        <w:jc w:val="center"/>
        <w:rPr>
          <w:rFonts w:ascii="Times New Roman" w:hAnsi="Times New Roman" w:eastAsia="宋体" w:cs="Times New Roman"/>
          <w:b/>
          <w:color w:val="auto"/>
          <w:kern w:val="2"/>
          <w:sz w:val="28"/>
          <w:szCs w:val="24"/>
          <w:highlight w:val="none"/>
          <w:lang w:val="en-US" w:eastAsia="zh-CN" w:bidi="ar-SA"/>
        </w:rPr>
      </w:pPr>
      <w:r>
        <w:rPr>
          <w:rFonts w:hint="eastAsia" w:ascii="Times New Roman" w:hAnsi="Times New Roman" w:eastAsia="宋体" w:cs="Times New Roman"/>
          <w:b/>
          <w:color w:val="auto"/>
          <w:kern w:val="2"/>
          <w:sz w:val="28"/>
          <w:szCs w:val="24"/>
          <w:highlight w:val="none"/>
          <w:lang w:val="en-US" w:eastAsia="zh-CN" w:bidi="ar-SA"/>
        </w:rPr>
        <w:t>九、中小微企业声明函（工程、服务）</w:t>
      </w:r>
    </w:p>
    <w:p w14:paraId="20D363A0">
      <w:pPr>
        <w:pStyle w:val="2"/>
        <w:spacing w:line="5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rPr>
        <w:t>（单位名称）</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u w:val="single"/>
        </w:rPr>
        <w:t>（项目名称）</w:t>
      </w:r>
      <w:r>
        <w:rPr>
          <w:rFonts w:hint="eastAsia" w:ascii="宋体" w:hAnsi="宋体" w:eastAsia="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ECC63A7">
      <w:pPr>
        <w:pStyle w:val="2"/>
        <w:spacing w:line="5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u w:val="single"/>
        </w:rPr>
        <w:t>（标的名称）</w:t>
      </w:r>
      <w:r>
        <w:rPr>
          <w:rFonts w:hint="eastAsia" w:ascii="宋体" w:hAnsi="宋体" w:eastAsia="宋体"/>
          <w:color w:val="auto"/>
          <w:sz w:val="24"/>
          <w:szCs w:val="24"/>
          <w:highlight w:val="none"/>
        </w:rPr>
        <w:t>，属于</w:t>
      </w:r>
      <w:r>
        <w:rPr>
          <w:rFonts w:hint="eastAsia" w:ascii="宋体" w:hAnsi="宋体" w:eastAsia="宋体"/>
          <w:color w:val="auto"/>
          <w:sz w:val="24"/>
          <w:szCs w:val="24"/>
          <w:highlight w:val="none"/>
          <w:u w:val="single"/>
        </w:rPr>
        <w:t>（采购文件中明确的所属行业）</w:t>
      </w:r>
      <w:r>
        <w:rPr>
          <w:rFonts w:hint="eastAsia" w:ascii="宋体" w:hAnsi="宋体" w:eastAsia="宋体"/>
          <w:color w:val="auto"/>
          <w:sz w:val="24"/>
          <w:szCs w:val="24"/>
          <w:highlight w:val="none"/>
        </w:rPr>
        <w:t>；承建（承接）企业为</w:t>
      </w:r>
      <w:r>
        <w:rPr>
          <w:rFonts w:hint="eastAsia" w:ascii="宋体" w:hAnsi="宋体" w:eastAsia="宋体"/>
          <w:color w:val="auto"/>
          <w:sz w:val="24"/>
          <w:szCs w:val="24"/>
          <w:highlight w:val="none"/>
          <w:u w:val="single"/>
        </w:rPr>
        <w:t>（企业名称）</w:t>
      </w:r>
      <w:r>
        <w:rPr>
          <w:rFonts w:hint="eastAsia" w:ascii="宋体" w:hAnsi="宋体" w:eastAsia="宋体"/>
          <w:color w:val="auto"/>
          <w:sz w:val="24"/>
          <w:szCs w:val="24"/>
          <w:highlight w:val="none"/>
        </w:rPr>
        <w:t>，从业人员</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人，营业收入为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万元，资产总额为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万元，属于</w:t>
      </w:r>
      <w:r>
        <w:rPr>
          <w:rFonts w:hint="eastAsia" w:ascii="宋体" w:hAnsi="宋体" w:eastAsia="宋体"/>
          <w:color w:val="auto"/>
          <w:sz w:val="24"/>
          <w:szCs w:val="24"/>
          <w:highlight w:val="none"/>
          <w:u w:val="single"/>
        </w:rPr>
        <w:t>（中型企业、小型企业、微型企业）</w:t>
      </w:r>
      <w:r>
        <w:rPr>
          <w:rFonts w:hint="eastAsia" w:ascii="宋体" w:hAnsi="宋体" w:eastAsia="宋体"/>
          <w:color w:val="auto"/>
          <w:sz w:val="24"/>
          <w:szCs w:val="24"/>
          <w:highlight w:val="none"/>
        </w:rPr>
        <w:t>；</w:t>
      </w:r>
    </w:p>
    <w:p w14:paraId="45F35C3A">
      <w:pPr>
        <w:pStyle w:val="2"/>
        <w:spacing w:line="50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u w:val="single"/>
        </w:rPr>
        <w:t>（标的名称）</w:t>
      </w:r>
      <w:r>
        <w:rPr>
          <w:rFonts w:hint="eastAsia" w:ascii="宋体" w:hAnsi="宋体" w:eastAsia="宋体"/>
          <w:color w:val="auto"/>
          <w:sz w:val="24"/>
          <w:szCs w:val="24"/>
          <w:highlight w:val="none"/>
        </w:rPr>
        <w:t>，属于</w:t>
      </w:r>
      <w:r>
        <w:rPr>
          <w:rFonts w:hint="eastAsia" w:ascii="宋体" w:hAnsi="宋体" w:eastAsia="宋体"/>
          <w:color w:val="auto"/>
          <w:sz w:val="24"/>
          <w:szCs w:val="24"/>
          <w:highlight w:val="none"/>
          <w:u w:val="single"/>
        </w:rPr>
        <w:t>（采购文件中明确的所属行业）</w:t>
      </w:r>
      <w:r>
        <w:rPr>
          <w:rFonts w:hint="eastAsia" w:ascii="宋体" w:hAnsi="宋体" w:eastAsia="宋体"/>
          <w:color w:val="auto"/>
          <w:sz w:val="24"/>
          <w:szCs w:val="24"/>
          <w:highlight w:val="none"/>
        </w:rPr>
        <w:t>；承建（承接）企业为</w:t>
      </w:r>
      <w:r>
        <w:rPr>
          <w:rFonts w:hint="eastAsia" w:ascii="宋体" w:hAnsi="宋体" w:eastAsia="宋体"/>
          <w:color w:val="auto"/>
          <w:sz w:val="24"/>
          <w:szCs w:val="24"/>
          <w:highlight w:val="none"/>
          <w:u w:val="single"/>
        </w:rPr>
        <w:t>（企业名称）</w:t>
      </w:r>
      <w:r>
        <w:rPr>
          <w:rFonts w:hint="eastAsia" w:ascii="宋体" w:hAnsi="宋体" w:eastAsia="宋体"/>
          <w:color w:val="auto"/>
          <w:sz w:val="24"/>
          <w:szCs w:val="24"/>
          <w:highlight w:val="none"/>
        </w:rPr>
        <w:t>，从业人员</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人，营业收入为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万元，资产总额为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万元，属于</w:t>
      </w:r>
      <w:r>
        <w:rPr>
          <w:rFonts w:hint="eastAsia" w:ascii="宋体" w:hAnsi="宋体" w:eastAsia="宋体"/>
          <w:color w:val="auto"/>
          <w:sz w:val="24"/>
          <w:szCs w:val="24"/>
          <w:highlight w:val="none"/>
          <w:u w:val="single"/>
        </w:rPr>
        <w:t>（中型企业、小型企业、微型企业）</w:t>
      </w:r>
      <w:r>
        <w:rPr>
          <w:rFonts w:hint="eastAsia" w:ascii="宋体" w:hAnsi="宋体" w:eastAsia="宋体"/>
          <w:color w:val="auto"/>
          <w:sz w:val="24"/>
          <w:szCs w:val="24"/>
          <w:highlight w:val="none"/>
        </w:rPr>
        <w:t>；</w:t>
      </w:r>
    </w:p>
    <w:p w14:paraId="35BC8C0D">
      <w:pPr>
        <w:pStyle w:val="2"/>
        <w:ind w:firstLine="84" w:firstLineChars="35"/>
        <w:rPr>
          <w:rFonts w:ascii="宋体" w:hAnsi="宋体" w:eastAsia="宋体"/>
          <w:color w:val="auto"/>
          <w:sz w:val="24"/>
          <w:szCs w:val="24"/>
          <w:highlight w:val="none"/>
        </w:rPr>
      </w:pPr>
      <w:r>
        <w:rPr>
          <w:rFonts w:hint="eastAsia" w:ascii="宋体" w:hAnsi="宋体" w:eastAsia="宋体"/>
          <w:color w:val="auto"/>
          <w:sz w:val="24"/>
          <w:szCs w:val="24"/>
          <w:highlight w:val="none"/>
        </w:rPr>
        <w:t>.....................</w:t>
      </w:r>
    </w:p>
    <w:p w14:paraId="7BAA0672">
      <w:pPr>
        <w:pStyle w:val="2"/>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以上企业，不属于大企业的分支机构，不存在控股股东为大企业的情形，也不存在与大企业的负责人为同一人的情形。</w:t>
      </w:r>
    </w:p>
    <w:p w14:paraId="1C7DE4B4">
      <w:pPr>
        <w:pStyle w:val="2"/>
        <w:ind w:firstLine="240"/>
        <w:rPr>
          <w:rFonts w:ascii="宋体" w:hAnsi="宋体" w:eastAsia="宋体"/>
          <w:color w:val="auto"/>
          <w:sz w:val="24"/>
          <w:szCs w:val="24"/>
          <w:highlight w:val="none"/>
        </w:rPr>
      </w:pPr>
      <w:r>
        <w:rPr>
          <w:rFonts w:hint="eastAsia" w:ascii="宋体" w:hAnsi="宋体" w:eastAsia="宋体"/>
          <w:color w:val="auto"/>
          <w:sz w:val="24"/>
          <w:szCs w:val="24"/>
          <w:highlight w:val="none"/>
        </w:rPr>
        <w:t>本企业对上述声明内容的真实性负责。如有虚假，将依法承担相应责任。</w:t>
      </w:r>
    </w:p>
    <w:p w14:paraId="09499865">
      <w:pPr>
        <w:pStyle w:val="3"/>
        <w:tabs>
          <w:tab w:val="left" w:pos="4819"/>
        </w:tabs>
        <w:ind w:left="0"/>
        <w:jc w:val="right"/>
        <w:rPr>
          <w:color w:val="auto"/>
          <w:highlight w:val="none"/>
          <w:lang w:eastAsia="zh-CN"/>
        </w:rPr>
      </w:pPr>
      <w:r>
        <w:rPr>
          <w:color w:val="auto"/>
          <w:highlight w:val="none"/>
          <w:lang w:eastAsia="zh-CN"/>
        </w:rPr>
        <w:t>供应商：</w:t>
      </w:r>
      <w:r>
        <w:rPr>
          <w:color w:val="auto"/>
          <w:highlight w:val="none"/>
          <w:u w:val="single"/>
          <w:lang w:eastAsia="zh-CN"/>
        </w:rPr>
        <w:t xml:space="preserve"> </w:t>
      </w:r>
      <w:r>
        <w:rPr>
          <w:rFonts w:hint="eastAsia"/>
          <w:color w:val="auto"/>
          <w:highlight w:val="none"/>
          <w:u w:val="single"/>
          <w:lang w:val="en-US" w:eastAsia="zh-CN"/>
        </w:rPr>
        <w:t xml:space="preserve">                     </w:t>
      </w:r>
      <w:r>
        <w:rPr>
          <w:color w:val="auto"/>
          <w:highlight w:val="none"/>
          <w:lang w:eastAsia="zh-CN"/>
        </w:rPr>
        <w:t>（</w:t>
      </w:r>
      <w:r>
        <w:rPr>
          <w:rFonts w:hint="eastAsia"/>
          <w:color w:val="auto"/>
          <w:highlight w:val="none"/>
          <w:lang w:val="en-US" w:eastAsia="zh-CN"/>
        </w:rPr>
        <w:t>电子</w:t>
      </w:r>
      <w:r>
        <w:rPr>
          <w:color w:val="auto"/>
          <w:highlight w:val="none"/>
          <w:lang w:eastAsia="zh-CN"/>
        </w:rPr>
        <w:t>签章）</w:t>
      </w:r>
    </w:p>
    <w:p w14:paraId="1E19B28E">
      <w:pPr>
        <w:pStyle w:val="3"/>
        <w:ind w:left="0"/>
        <w:jc w:val="right"/>
        <w:rPr>
          <w:color w:val="auto"/>
          <w:highlight w:val="none"/>
          <w:lang w:eastAsia="zh-CN"/>
        </w:rPr>
      </w:pPr>
    </w:p>
    <w:p w14:paraId="36EE178E">
      <w:pPr>
        <w:pStyle w:val="3"/>
        <w:tabs>
          <w:tab w:val="left" w:pos="4935"/>
        </w:tabs>
        <w:ind w:left="0"/>
        <w:jc w:val="right"/>
        <w:rPr>
          <w:color w:val="auto"/>
          <w:highlight w:val="none"/>
          <w:lang w:eastAsia="zh-CN"/>
        </w:rPr>
      </w:pPr>
      <w:r>
        <w:rPr>
          <w:color w:val="auto"/>
          <w:highlight w:val="none"/>
          <w:lang w:eastAsia="zh-CN"/>
        </w:rPr>
        <w:t>法定代表人：</w:t>
      </w:r>
      <w:r>
        <w:rPr>
          <w:color w:val="auto"/>
          <w:highlight w:val="none"/>
          <w:u w:val="single"/>
          <w:lang w:eastAsia="zh-CN"/>
        </w:rPr>
        <w:t xml:space="preserve"> </w:t>
      </w:r>
      <w:r>
        <w:rPr>
          <w:rFonts w:hint="eastAsia"/>
          <w:color w:val="auto"/>
          <w:highlight w:val="none"/>
          <w:u w:val="single"/>
          <w:lang w:val="en-US" w:eastAsia="zh-CN"/>
        </w:rPr>
        <w:t xml:space="preserve">                 </w:t>
      </w:r>
      <w:r>
        <w:rPr>
          <w:color w:val="auto"/>
          <w:highlight w:val="none"/>
          <w:lang w:eastAsia="zh-CN"/>
        </w:rPr>
        <w:t>（电子签章）</w:t>
      </w:r>
    </w:p>
    <w:p w14:paraId="1088431D">
      <w:pPr>
        <w:pStyle w:val="3"/>
        <w:tabs>
          <w:tab w:val="left" w:pos="1077"/>
          <w:tab w:val="left" w:pos="1797"/>
          <w:tab w:val="left" w:pos="2757"/>
        </w:tabs>
        <w:jc w:val="both"/>
        <w:rPr>
          <w:rFonts w:hint="eastAsia"/>
          <w:color w:val="auto"/>
          <w:highlight w:val="none"/>
          <w:u w:val="single"/>
          <w:lang w:val="en-US" w:eastAsia="zh-CN"/>
        </w:rPr>
      </w:pPr>
    </w:p>
    <w:p w14:paraId="5D56F1C9">
      <w:pPr>
        <w:jc w:val="right"/>
        <w:rPr>
          <w:color w:val="auto"/>
          <w:highlight w:val="none"/>
          <w:lang w:eastAsia="zh-CN"/>
        </w:rPr>
      </w:pPr>
      <w:r>
        <w:rPr>
          <w:rFonts w:hint="eastAsia"/>
          <w:color w:val="auto"/>
          <w:highlight w:val="none"/>
          <w:u w:val="single"/>
          <w:lang w:val="en-US" w:eastAsia="zh-CN"/>
        </w:rPr>
        <w:t xml:space="preserve">       </w:t>
      </w:r>
      <w:r>
        <w:rPr>
          <w:color w:val="auto"/>
          <w:highlight w:val="none"/>
          <w:lang w:eastAsia="zh-CN"/>
        </w:rPr>
        <w:t>年</w:t>
      </w:r>
      <w:r>
        <w:rPr>
          <w:color w:val="auto"/>
          <w:highlight w:val="none"/>
          <w:u w:val="single"/>
          <w:lang w:eastAsia="zh-CN"/>
        </w:rPr>
        <w:t xml:space="preserve"> </w:t>
      </w:r>
      <w:r>
        <w:rPr>
          <w:rFonts w:hint="eastAsia"/>
          <w:color w:val="auto"/>
          <w:highlight w:val="none"/>
          <w:u w:val="single"/>
          <w:lang w:val="en-US" w:eastAsia="zh-CN"/>
        </w:rPr>
        <w:t xml:space="preserve">   </w:t>
      </w:r>
      <w:r>
        <w:rPr>
          <w:color w:val="auto"/>
          <w:highlight w:val="none"/>
          <w:u w:val="single"/>
          <w:lang w:eastAsia="zh-CN"/>
        </w:rPr>
        <w:tab/>
      </w:r>
      <w:r>
        <w:rPr>
          <w:color w:val="auto"/>
          <w:highlight w:val="none"/>
          <w:lang w:eastAsia="zh-CN"/>
        </w:rPr>
        <w:t>月</w:t>
      </w:r>
      <w:r>
        <w:rPr>
          <w:color w:val="auto"/>
          <w:highlight w:val="none"/>
          <w:u w:val="single"/>
          <w:lang w:eastAsia="zh-CN"/>
        </w:rPr>
        <w:t xml:space="preserve"> </w:t>
      </w:r>
      <w:r>
        <w:rPr>
          <w:rFonts w:hint="eastAsia"/>
          <w:color w:val="auto"/>
          <w:highlight w:val="none"/>
          <w:u w:val="single"/>
          <w:lang w:val="en-US" w:eastAsia="zh-CN"/>
        </w:rPr>
        <w:t xml:space="preserve">   </w:t>
      </w:r>
      <w:r>
        <w:rPr>
          <w:color w:val="auto"/>
          <w:highlight w:val="none"/>
          <w:u w:val="single"/>
          <w:lang w:eastAsia="zh-CN"/>
        </w:rPr>
        <w:tab/>
      </w:r>
      <w:r>
        <w:rPr>
          <w:color w:val="auto"/>
          <w:highlight w:val="none"/>
          <w:lang w:eastAsia="zh-CN"/>
        </w:rPr>
        <w:t>日</w:t>
      </w:r>
    </w:p>
    <w:p w14:paraId="791D2E69">
      <w:pPr>
        <w:pStyle w:val="2"/>
        <w:ind w:firstLine="240"/>
        <w:rPr>
          <w:rFonts w:ascii="宋体" w:hAnsi="宋体" w:eastAsia="宋体"/>
          <w:color w:val="auto"/>
          <w:sz w:val="24"/>
          <w:szCs w:val="24"/>
          <w:highlight w:val="none"/>
        </w:rPr>
      </w:pPr>
    </w:p>
    <w:p w14:paraId="3962E243">
      <w:pPr>
        <w:pStyle w:val="2"/>
        <w:ind w:firstLine="240"/>
        <w:rPr>
          <w:rFonts w:ascii="宋体" w:hAnsi="宋体" w:eastAsia="宋体"/>
          <w:color w:val="auto"/>
          <w:sz w:val="24"/>
          <w:szCs w:val="24"/>
          <w:highlight w:val="none"/>
        </w:rPr>
      </w:pPr>
      <w:r>
        <w:rPr>
          <w:rFonts w:hint="eastAsia" w:ascii="宋体" w:hAnsi="宋体" w:eastAsia="宋体"/>
          <w:color w:val="auto"/>
          <w:sz w:val="24"/>
          <w:szCs w:val="24"/>
          <w:highlight w:val="none"/>
        </w:rPr>
        <w:t>注：从业人员、营业收入、资产总额填报上一年度数据，无上一年度数据的新成立企业可不填报。</w:t>
      </w:r>
    </w:p>
    <w:p w14:paraId="63DD1012">
      <w:pPr>
        <w:widowControl/>
        <w:jc w:val="center"/>
        <w:rPr>
          <w:rFonts w:ascii="宋体" w:hAnsi="宋体" w:eastAsia="宋体" w:cs="宋体"/>
          <w:b/>
          <w:color w:val="auto"/>
          <w:sz w:val="24"/>
          <w:highlight w:val="none"/>
          <w:lang w:val="en-US" w:eastAsia="zh-CN"/>
        </w:rPr>
      </w:pPr>
    </w:p>
    <w:sectPr>
      <w:headerReference r:id="rId9" w:type="default"/>
      <w:footerReference r:id="rId10" w:type="default"/>
      <w:pgSz w:w="11906" w:h="16838"/>
      <w:pgMar w:top="1531" w:right="1304" w:bottom="1531" w:left="1531" w:header="1134"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7E8B8">
    <w:pPr>
      <w:pStyle w:val="1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85BF9">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5161A">
                          <w:pPr>
                            <w:pStyle w:val="16"/>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05161A">
                    <w:pPr>
                      <w:pStyle w:val="16"/>
                    </w:pPr>
                    <w:r>
                      <w:fldChar w:fldCharType="begin"/>
                    </w:r>
                    <w:r>
                      <w:instrText xml:space="preserve"> PAGE  \* MERGEFORMAT </w:instrText>
                    </w:r>
                    <w:r>
                      <w:fldChar w:fldCharType="separate"/>
                    </w:r>
                    <w:r>
                      <w:t>- 0 -</w:t>
                    </w:r>
                    <w:r>
                      <w:fldChar w:fldCharType="end"/>
                    </w:r>
                  </w:p>
                </w:txbxContent>
              </v:textbox>
            </v:shape>
          </w:pict>
        </mc:Fallback>
      </mc:AlternateContent>
    </w:r>
  </w:p>
  <w:p w14:paraId="7683FE52">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B6C">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57E41">
                          <w:pPr>
                            <w:pStyle w:val="1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757E41">
                    <w:pPr>
                      <w:pStyle w:val="1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FEB8A">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D1E96D">
                          <w:pPr>
                            <w:pStyle w:val="16"/>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BD1E96D">
                    <w:pPr>
                      <w:pStyle w:val="1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DF12">
    <w:pPr>
      <w:pStyle w:val="17"/>
      <w:pBdr>
        <w:bottom w:val="none" w:color="auto" w:sz="0" w:space="1"/>
      </w:pBdr>
      <w:jc w:val="both"/>
    </w:pPr>
  </w:p>
  <w:p w14:paraId="5973097D">
    <w:pPr>
      <w:pStyle w:val="17"/>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C270B">
    <w:pPr>
      <w:pStyle w:val="17"/>
      <w:jc w:val="right"/>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30C07">
    <w:pPr>
      <w:pBdr>
        <w:bottom w:val="none" w:color="auto" w:sz="0" w:space="1"/>
      </w:pBdr>
      <w:snapToGrid w:val="0"/>
      <w:jc w:val="center"/>
      <w:rPr>
        <w:kern w:val="0"/>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E6DA3">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8311F"/>
    <w:multiLevelType w:val="singleLevel"/>
    <w:tmpl w:val="96F8311F"/>
    <w:lvl w:ilvl="0" w:tentative="0">
      <w:start w:val="3"/>
      <w:numFmt w:val="chineseCounting"/>
      <w:suff w:val="space"/>
      <w:lvlText w:val="第%1章"/>
      <w:lvlJc w:val="left"/>
      <w:rPr>
        <w:rFonts w:hint="eastAsia"/>
      </w:rPr>
    </w:lvl>
  </w:abstractNum>
  <w:abstractNum w:abstractNumId="1">
    <w:nsid w:val="B671A952"/>
    <w:multiLevelType w:val="singleLevel"/>
    <w:tmpl w:val="B671A952"/>
    <w:lvl w:ilvl="0" w:tentative="0">
      <w:start w:val="1"/>
      <w:numFmt w:val="decimal"/>
      <w:suff w:val="nothing"/>
      <w:lvlText w:val="%1、"/>
      <w:lvlJc w:val="left"/>
    </w:lvl>
  </w:abstractNum>
  <w:abstractNum w:abstractNumId="2">
    <w:nsid w:val="DFD78145"/>
    <w:multiLevelType w:val="singleLevel"/>
    <w:tmpl w:val="DFD78145"/>
    <w:lvl w:ilvl="0" w:tentative="0">
      <w:start w:val="1"/>
      <w:numFmt w:val="chineseCounting"/>
      <w:suff w:val="nothing"/>
      <w:lvlText w:val="（%1）"/>
      <w:lvlJc w:val="left"/>
      <w:rPr>
        <w:rFonts w:hint="eastAsia"/>
      </w:rPr>
    </w:lvl>
  </w:abstractNum>
  <w:abstractNum w:abstractNumId="3">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3"/>
    <w:lvlOverride w:ilvl="0">
      <w:startOverride w:val="4"/>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YmEwOWQyZWE2ZmY2Njk5MjUyZDMyZmQzNGE0OWEifQ=="/>
  </w:docVars>
  <w:rsids>
    <w:rsidRoot w:val="00000000"/>
    <w:rsid w:val="01D32DCE"/>
    <w:rsid w:val="02BB2F2A"/>
    <w:rsid w:val="04095A31"/>
    <w:rsid w:val="04F82B4C"/>
    <w:rsid w:val="05094D59"/>
    <w:rsid w:val="08496AC4"/>
    <w:rsid w:val="0902043D"/>
    <w:rsid w:val="094D790A"/>
    <w:rsid w:val="0ABE2142"/>
    <w:rsid w:val="0B15326E"/>
    <w:rsid w:val="0D465C0A"/>
    <w:rsid w:val="0D5B011C"/>
    <w:rsid w:val="0E3651BE"/>
    <w:rsid w:val="0E714075"/>
    <w:rsid w:val="0EA24254"/>
    <w:rsid w:val="0F130B49"/>
    <w:rsid w:val="0F381F8A"/>
    <w:rsid w:val="105611F3"/>
    <w:rsid w:val="105F7F23"/>
    <w:rsid w:val="116560E4"/>
    <w:rsid w:val="11733C86"/>
    <w:rsid w:val="118063A3"/>
    <w:rsid w:val="11EC30EF"/>
    <w:rsid w:val="12A94EF5"/>
    <w:rsid w:val="13440831"/>
    <w:rsid w:val="14406A28"/>
    <w:rsid w:val="15D64C6D"/>
    <w:rsid w:val="16D73035"/>
    <w:rsid w:val="175060C3"/>
    <w:rsid w:val="19B80DD0"/>
    <w:rsid w:val="1C100890"/>
    <w:rsid w:val="1CD557F5"/>
    <w:rsid w:val="1D61352C"/>
    <w:rsid w:val="1DB5614B"/>
    <w:rsid w:val="1E964F3E"/>
    <w:rsid w:val="1F5C5347"/>
    <w:rsid w:val="1F672950"/>
    <w:rsid w:val="1F9A2FA0"/>
    <w:rsid w:val="1FD66C0C"/>
    <w:rsid w:val="201F2D13"/>
    <w:rsid w:val="21725D08"/>
    <w:rsid w:val="21D52E63"/>
    <w:rsid w:val="21F23796"/>
    <w:rsid w:val="22123047"/>
    <w:rsid w:val="22653305"/>
    <w:rsid w:val="227710FC"/>
    <w:rsid w:val="228F6446"/>
    <w:rsid w:val="23843AD1"/>
    <w:rsid w:val="258A1146"/>
    <w:rsid w:val="25FF38E2"/>
    <w:rsid w:val="26577EF5"/>
    <w:rsid w:val="268321C0"/>
    <w:rsid w:val="26F92A28"/>
    <w:rsid w:val="270F3FF9"/>
    <w:rsid w:val="272D447F"/>
    <w:rsid w:val="273A72C8"/>
    <w:rsid w:val="283261BB"/>
    <w:rsid w:val="29D84B76"/>
    <w:rsid w:val="2A9032C5"/>
    <w:rsid w:val="2B4052F7"/>
    <w:rsid w:val="2B4104F9"/>
    <w:rsid w:val="2B667F60"/>
    <w:rsid w:val="2B733DCE"/>
    <w:rsid w:val="2C3979F2"/>
    <w:rsid w:val="2C871A3A"/>
    <w:rsid w:val="2D62201A"/>
    <w:rsid w:val="2E2965D2"/>
    <w:rsid w:val="2E402CEA"/>
    <w:rsid w:val="2E7E481A"/>
    <w:rsid w:val="2FAA2B11"/>
    <w:rsid w:val="303D48F4"/>
    <w:rsid w:val="3162592A"/>
    <w:rsid w:val="31C406C8"/>
    <w:rsid w:val="31E74F8D"/>
    <w:rsid w:val="32091BE7"/>
    <w:rsid w:val="324A7FB1"/>
    <w:rsid w:val="33714F05"/>
    <w:rsid w:val="33CE4E12"/>
    <w:rsid w:val="33DC5263"/>
    <w:rsid w:val="341D288D"/>
    <w:rsid w:val="34346E4D"/>
    <w:rsid w:val="36796661"/>
    <w:rsid w:val="38227225"/>
    <w:rsid w:val="39574BC0"/>
    <w:rsid w:val="395C3323"/>
    <w:rsid w:val="397E4AB2"/>
    <w:rsid w:val="3A21582B"/>
    <w:rsid w:val="3A7E0E22"/>
    <w:rsid w:val="3A9E7428"/>
    <w:rsid w:val="3C095C47"/>
    <w:rsid w:val="3D363C36"/>
    <w:rsid w:val="3DD94689"/>
    <w:rsid w:val="409F5F96"/>
    <w:rsid w:val="42246753"/>
    <w:rsid w:val="42B9333F"/>
    <w:rsid w:val="43947908"/>
    <w:rsid w:val="43FB44CC"/>
    <w:rsid w:val="440525B4"/>
    <w:rsid w:val="441A0D0D"/>
    <w:rsid w:val="458A6327"/>
    <w:rsid w:val="46F61DD9"/>
    <w:rsid w:val="47182D3F"/>
    <w:rsid w:val="478A52AA"/>
    <w:rsid w:val="482961E9"/>
    <w:rsid w:val="4A173C3A"/>
    <w:rsid w:val="4A6E0229"/>
    <w:rsid w:val="4AD13809"/>
    <w:rsid w:val="4C2061DD"/>
    <w:rsid w:val="4C5E263A"/>
    <w:rsid w:val="4C646910"/>
    <w:rsid w:val="4C9D5A7F"/>
    <w:rsid w:val="4D2B2784"/>
    <w:rsid w:val="4D5454B2"/>
    <w:rsid w:val="4DF137F1"/>
    <w:rsid w:val="4E345F70"/>
    <w:rsid w:val="51530AAC"/>
    <w:rsid w:val="51801550"/>
    <w:rsid w:val="52015C01"/>
    <w:rsid w:val="53511372"/>
    <w:rsid w:val="5367649F"/>
    <w:rsid w:val="53746E0E"/>
    <w:rsid w:val="540E723C"/>
    <w:rsid w:val="55A51501"/>
    <w:rsid w:val="56801C80"/>
    <w:rsid w:val="578911A4"/>
    <w:rsid w:val="585B1F68"/>
    <w:rsid w:val="58751EDB"/>
    <w:rsid w:val="589E7A7F"/>
    <w:rsid w:val="5902425C"/>
    <w:rsid w:val="59F72911"/>
    <w:rsid w:val="5B402424"/>
    <w:rsid w:val="5BED1AB3"/>
    <w:rsid w:val="5D0A234F"/>
    <w:rsid w:val="5E5B30A5"/>
    <w:rsid w:val="5E5D0BCB"/>
    <w:rsid w:val="5F8C56F7"/>
    <w:rsid w:val="5FF92B75"/>
    <w:rsid w:val="60286160"/>
    <w:rsid w:val="60CF310A"/>
    <w:rsid w:val="60EB4BB4"/>
    <w:rsid w:val="612337A6"/>
    <w:rsid w:val="6146353C"/>
    <w:rsid w:val="62540537"/>
    <w:rsid w:val="629F51D9"/>
    <w:rsid w:val="63764189"/>
    <w:rsid w:val="644D348F"/>
    <w:rsid w:val="65062AE7"/>
    <w:rsid w:val="659D124C"/>
    <w:rsid w:val="659D3FA3"/>
    <w:rsid w:val="65B732B6"/>
    <w:rsid w:val="65EE2A50"/>
    <w:rsid w:val="666A6694"/>
    <w:rsid w:val="68BC1060"/>
    <w:rsid w:val="69004F74"/>
    <w:rsid w:val="6939281C"/>
    <w:rsid w:val="6A113B89"/>
    <w:rsid w:val="6A220F1A"/>
    <w:rsid w:val="6B1C5D1F"/>
    <w:rsid w:val="6C4038DA"/>
    <w:rsid w:val="6CF321AC"/>
    <w:rsid w:val="6D155AA0"/>
    <w:rsid w:val="6D3B6ED4"/>
    <w:rsid w:val="6EC802E2"/>
    <w:rsid w:val="6FBD6DFA"/>
    <w:rsid w:val="6FF10322"/>
    <w:rsid w:val="70352925"/>
    <w:rsid w:val="703D41C8"/>
    <w:rsid w:val="70600210"/>
    <w:rsid w:val="7250388B"/>
    <w:rsid w:val="73DA2669"/>
    <w:rsid w:val="744228E5"/>
    <w:rsid w:val="745813FD"/>
    <w:rsid w:val="74F811F5"/>
    <w:rsid w:val="75267B11"/>
    <w:rsid w:val="752C0E9F"/>
    <w:rsid w:val="7644508C"/>
    <w:rsid w:val="76553013"/>
    <w:rsid w:val="769534B1"/>
    <w:rsid w:val="769907B6"/>
    <w:rsid w:val="77A6318B"/>
    <w:rsid w:val="7A9667B8"/>
    <w:rsid w:val="7AE364A4"/>
    <w:rsid w:val="7C211032"/>
    <w:rsid w:val="7CC6480A"/>
    <w:rsid w:val="7DB163E5"/>
    <w:rsid w:val="7DD4587F"/>
    <w:rsid w:val="7E174DE1"/>
    <w:rsid w:val="7F9A1827"/>
    <w:rsid w:val="7FC87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1">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12">
    <w:name w:val="heading 3"/>
    <w:basedOn w:val="1"/>
    <w:next w:val="1"/>
    <w:qFormat/>
    <w:uiPriority w:val="1"/>
    <w:pPr>
      <w:ind w:left="1462" w:hanging="483"/>
      <w:outlineLvl w:val="2"/>
    </w:pPr>
    <w:rPr>
      <w:b/>
      <w:bCs/>
      <w:sz w:val="24"/>
      <w:szCs w:val="24"/>
    </w:rPr>
  </w:style>
  <w:style w:type="paragraph" w:styleId="13">
    <w:name w:val="heading 4"/>
    <w:basedOn w:val="1"/>
    <w:next w:val="1"/>
    <w:qFormat/>
    <w:uiPriority w:val="99"/>
    <w:pPr>
      <w:keepNext/>
      <w:keepLines/>
      <w:spacing w:line="360" w:lineRule="auto"/>
      <w:outlineLvl w:val="3"/>
    </w:pPr>
    <w:rPr>
      <w:rFonts w:ascii="Arial" w:hAnsi="Arial"/>
      <w:b/>
      <w:bCs/>
      <w:kern w:val="0"/>
      <w:sz w:val="20"/>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8"/>
    <w:qFormat/>
    <w:uiPriority w:val="0"/>
    <w:pPr>
      <w:spacing w:line="544" w:lineRule="exact"/>
      <w:ind w:firstLine="100" w:firstLineChars="100"/>
    </w:pPr>
    <w:rPr>
      <w:rFonts w:ascii="Calibri" w:hAnsi="Calibri" w:eastAsia="仿宋_GB2312"/>
      <w:sz w:val="28"/>
      <w:szCs w:val="22"/>
    </w:rPr>
  </w:style>
  <w:style w:type="paragraph" w:styleId="3">
    <w:name w:val="Body Text"/>
    <w:basedOn w:val="1"/>
    <w:next w:val="4"/>
    <w:qFormat/>
    <w:uiPriority w:val="0"/>
    <w:pPr>
      <w:spacing w:after="120"/>
    </w:pPr>
    <w:rPr>
      <w:kern w:val="0"/>
      <w:sz w:val="20"/>
    </w:rPr>
  </w:style>
  <w:style w:type="paragraph" w:customStyle="1" w:styleId="4">
    <w:name w:val="Default"/>
    <w:basedOn w:val="5"/>
    <w:next w:val="7"/>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Title"/>
    <w:basedOn w:val="6"/>
    <w:next w:val="1"/>
    <w:qFormat/>
    <w:uiPriority w:val="0"/>
    <w:pPr>
      <w:spacing w:before="240" w:after="60"/>
      <w:jc w:val="center"/>
      <w:outlineLvl w:val="0"/>
    </w:pPr>
    <w:rPr>
      <w:rFonts w:ascii="Cambria" w:hAnsi="Cambria" w:eastAsia="宋体" w:cs="Times New Roman"/>
      <w:b/>
      <w:bCs/>
      <w:kern w:val="2"/>
      <w:sz w:val="32"/>
      <w:szCs w:val="32"/>
    </w:rPr>
  </w:style>
  <w:style w:type="paragraph" w:styleId="6">
    <w:name w:val="toc 2"/>
    <w:basedOn w:val="1"/>
    <w:next w:val="1"/>
    <w:qFormat/>
    <w:uiPriority w:val="0"/>
    <w:pPr>
      <w:spacing w:line="440" w:lineRule="exact"/>
      <w:ind w:firstLine="300"/>
    </w:pPr>
    <w:rPr>
      <w:rFonts w:ascii="Calibri" w:hAnsi="Calibri" w:eastAsia="宋体" w:cs="Calibri"/>
      <w:smallCaps/>
      <w:sz w:val="20"/>
      <w:szCs w:val="20"/>
    </w:rPr>
  </w:style>
  <w:style w:type="paragraph" w:customStyle="1" w:styleId="7">
    <w:name w:val="大标题"/>
    <w:basedOn w:val="1"/>
    <w:next w:val="8"/>
    <w:qFormat/>
    <w:uiPriority w:val="0"/>
    <w:pPr>
      <w:pageBreakBefore/>
      <w:spacing w:after="200" w:line="720" w:lineRule="auto"/>
      <w:jc w:val="center"/>
      <w:outlineLvl w:val="0"/>
    </w:pPr>
    <w:rPr>
      <w:rFonts w:ascii="黑体" w:hAnsi="Calibri" w:eastAsia="黑体"/>
      <w:sz w:val="32"/>
      <w:szCs w:val="30"/>
      <w:lang w:eastAsia="en-US" w:bidi="en-US"/>
    </w:rPr>
  </w:style>
  <w:style w:type="paragraph" w:styleId="8">
    <w:name w:val="Body Text First Indent 2"/>
    <w:basedOn w:val="9"/>
    <w:next w:val="1"/>
    <w:qFormat/>
    <w:uiPriority w:val="0"/>
    <w:pPr>
      <w:ind w:firstLine="420" w:firstLineChars="200"/>
    </w:pPr>
  </w:style>
  <w:style w:type="paragraph" w:styleId="9">
    <w:name w:val="Body Text Indent"/>
    <w:basedOn w:val="1"/>
    <w:next w:val="10"/>
    <w:qFormat/>
    <w:uiPriority w:val="0"/>
    <w:pPr>
      <w:spacing w:after="120"/>
      <w:ind w:left="200" w:leftChars="200"/>
    </w:pPr>
    <w:rPr>
      <w:kern w:val="0"/>
      <w:sz w:val="30"/>
      <w:szCs w:val="20"/>
    </w:rPr>
  </w:style>
  <w:style w:type="paragraph" w:styleId="10">
    <w:name w:val="envelope return"/>
    <w:basedOn w:val="1"/>
    <w:unhideWhenUsed/>
    <w:qFormat/>
    <w:uiPriority w:val="99"/>
    <w:pPr>
      <w:snapToGrid w:val="0"/>
    </w:pPr>
    <w:rPr>
      <w:rFonts w:ascii="Arial" w:hAnsi="Arial" w:cs="Arial"/>
    </w:rPr>
  </w:style>
  <w:style w:type="paragraph" w:styleId="14">
    <w:name w:val="Plain Text"/>
    <w:basedOn w:val="1"/>
    <w:next w:val="15"/>
    <w:unhideWhenUsed/>
    <w:qFormat/>
    <w:uiPriority w:val="0"/>
    <w:rPr>
      <w:rFonts w:hint="eastAsia" w:ascii="宋体" w:hAnsi="Courier New"/>
      <w:sz w:val="21"/>
      <w:szCs w:val="21"/>
    </w:rPr>
  </w:style>
  <w:style w:type="paragraph" w:styleId="15">
    <w:name w:val="index 7"/>
    <w:basedOn w:val="1"/>
    <w:next w:val="1"/>
    <w:unhideWhenUsed/>
    <w:qFormat/>
    <w:uiPriority w:val="99"/>
    <w:pPr>
      <w:ind w:left="1200" w:leftChars="1200"/>
    </w:p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Body Text 2"/>
    <w:basedOn w:val="1"/>
    <w:next w:val="14"/>
    <w:qFormat/>
    <w:uiPriority w:val="0"/>
    <w:pPr>
      <w:spacing w:after="120" w:line="480" w:lineRule="auto"/>
    </w:pPr>
  </w:style>
  <w:style w:type="paragraph" w:styleId="1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21">
    <w:name w:val="Table Grid"/>
    <w:basedOn w:val="2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qFormat/>
    <w:uiPriority w:val="0"/>
    <w:rPr>
      <w:color w:val="800080"/>
      <w:u w:val="none"/>
    </w:rPr>
  </w:style>
  <w:style w:type="character" w:styleId="24">
    <w:name w:val="HTML Definition"/>
    <w:basedOn w:val="22"/>
    <w:qFormat/>
    <w:uiPriority w:val="0"/>
  </w:style>
  <w:style w:type="character" w:styleId="25">
    <w:name w:val="HTML Typewriter"/>
    <w:basedOn w:val="22"/>
    <w:qFormat/>
    <w:uiPriority w:val="0"/>
    <w:rPr>
      <w:rFonts w:hint="default" w:ascii="monospace" w:hAnsi="monospace" w:eastAsia="monospace" w:cs="monospace"/>
      <w:sz w:val="20"/>
    </w:rPr>
  </w:style>
  <w:style w:type="character" w:styleId="26">
    <w:name w:val="HTML Acronym"/>
    <w:basedOn w:val="22"/>
    <w:qFormat/>
    <w:uiPriority w:val="0"/>
  </w:style>
  <w:style w:type="character" w:styleId="27">
    <w:name w:val="HTML Variable"/>
    <w:basedOn w:val="22"/>
    <w:qFormat/>
    <w:uiPriority w:val="0"/>
  </w:style>
  <w:style w:type="character" w:styleId="28">
    <w:name w:val="Hyperlink"/>
    <w:basedOn w:val="22"/>
    <w:qFormat/>
    <w:uiPriority w:val="0"/>
    <w:rPr>
      <w:color w:val="0000FF"/>
      <w:u w:val="none"/>
    </w:rPr>
  </w:style>
  <w:style w:type="character" w:styleId="29">
    <w:name w:val="HTML Code"/>
    <w:basedOn w:val="22"/>
    <w:qFormat/>
    <w:uiPriority w:val="0"/>
    <w:rPr>
      <w:rFonts w:hint="default" w:ascii="monospace" w:hAnsi="monospace" w:eastAsia="monospace" w:cs="monospace"/>
      <w:sz w:val="20"/>
    </w:rPr>
  </w:style>
  <w:style w:type="character" w:styleId="30">
    <w:name w:val="HTML Cite"/>
    <w:basedOn w:val="22"/>
    <w:qFormat/>
    <w:uiPriority w:val="0"/>
  </w:style>
  <w:style w:type="character" w:styleId="31">
    <w:name w:val="HTML Keyboard"/>
    <w:basedOn w:val="22"/>
    <w:qFormat/>
    <w:uiPriority w:val="0"/>
    <w:rPr>
      <w:rFonts w:hint="default" w:ascii="monospace" w:hAnsi="monospace" w:eastAsia="monospace" w:cs="monospace"/>
      <w:sz w:val="20"/>
    </w:rPr>
  </w:style>
  <w:style w:type="character" w:styleId="32">
    <w:name w:val="HTML Sample"/>
    <w:basedOn w:val="22"/>
    <w:qFormat/>
    <w:uiPriority w:val="0"/>
    <w:rPr>
      <w:rFonts w:ascii="monospace" w:hAnsi="monospace" w:eastAsia="monospace" w:cs="monospace"/>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Table Text"/>
    <w:basedOn w:val="1"/>
    <w:semiHidden/>
    <w:qFormat/>
    <w:uiPriority w:val="0"/>
    <w:rPr>
      <w:rFonts w:ascii="宋体" w:hAnsi="宋体" w:eastAsia="宋体" w:cs="宋体"/>
      <w:sz w:val="28"/>
      <w:szCs w:val="28"/>
      <w:lang w:val="en-US" w:eastAsia="en-US" w:bidi="ar-SA"/>
    </w:rPr>
  </w:style>
  <w:style w:type="character" w:customStyle="1" w:styleId="35">
    <w:name w:val="layui-layer-tabnow"/>
    <w:basedOn w:val="22"/>
    <w:qFormat/>
    <w:uiPriority w:val="0"/>
    <w:rPr>
      <w:bdr w:val="single" w:color="CCCCCC" w:sz="6" w:space="0"/>
      <w:shd w:val="clear" w:fill="FFFFFF"/>
    </w:rPr>
  </w:style>
  <w:style w:type="character" w:customStyle="1" w:styleId="36">
    <w:name w:val="first-child"/>
    <w:basedOn w:val="22"/>
    <w:qFormat/>
    <w:uiPriority w:val="0"/>
  </w:style>
  <w:style w:type="paragraph" w:customStyle="1" w:styleId="37">
    <w:name w:val="样式 标题 2 + Times New Roman 四号 非加粗 段前: 5 磅 段后: 0 磅 行距: 固定值 20..."/>
    <w:basedOn w:val="11"/>
    <w:qFormat/>
    <w:uiPriority w:val="0"/>
    <w:pPr>
      <w:spacing w:before="100" w:line="400" w:lineRule="exact"/>
    </w:pPr>
    <w:rPr>
      <w:rFonts w:ascii="Times New Roman" w:hAnsi="Times New Roman"/>
      <w:bCs/>
      <w:sz w:val="28"/>
      <w:szCs w:val="20"/>
    </w:rPr>
  </w:style>
  <w:style w:type="paragraph" w:customStyle="1" w:styleId="38">
    <w:name w:val="Table Paragraph"/>
    <w:basedOn w:val="1"/>
    <w:qFormat/>
    <w:uiPriority w:val="1"/>
  </w:style>
  <w:style w:type="table" w:customStyle="1" w:styleId="39">
    <w:name w:val="Table Normal"/>
    <w:semiHidden/>
    <w:unhideWhenUsed/>
    <w:qFormat/>
    <w:uiPriority w:val="2"/>
    <w:tblPr>
      <w:tblCellMar>
        <w:top w:w="0" w:type="dxa"/>
        <w:left w:w="0" w:type="dxa"/>
        <w:bottom w:w="0" w:type="dxa"/>
        <w:right w:w="0" w:type="dxa"/>
      </w:tblCellMar>
    </w:tblPr>
  </w:style>
  <w:style w:type="paragraph" w:styleId="40">
    <w:name w:val="List Paragraph"/>
    <w:basedOn w:val="1"/>
    <w:qFormat/>
    <w:uiPriority w:val="1"/>
    <w:pPr>
      <w:ind w:left="980" w:hanging="483"/>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22634</Words>
  <Characters>24313</Characters>
  <Lines>0</Lines>
  <Paragraphs>0</Paragraphs>
  <TotalTime>15</TotalTime>
  <ScaleCrop>false</ScaleCrop>
  <LinksUpToDate>false</LinksUpToDate>
  <CharactersWithSpaces>25689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2025-04-02T03:50:00Z</dcterms:created>
  <dc:creator>Administrator</dc:creator>
  <cp:lastModifiedBy>XXXX</cp:lastModifiedBy>
  <cp:lastPrinted>2025-08-14T02:45:00Z</cp:lastPrinted>
  <dcterms:modified xsi:type="dcterms:W3CDTF">2025-10-09T01:30:20Z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eyJoZGlkIjoiYzM2MjViMjJhZmZiYWU4ZjM0NmIxMGJlYzRmYTAzNzgiLCJ1c2VySWQiOiIxNDg1NDYxMjczIn0=</vt:lpwstr>
  </property>
  <property fmtid="{D5CDD505-2E9C-101B-9397-08002B2CF9AE}" pid="4" name="ICV">
    <vt:lpwstr>140E77452BB94527AEC44FF08EA67661_13</vt:lpwstr>
  </property>
</Properties>
</file>