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31B" w:rsidRDefault="0092131B" w:rsidP="0092131B">
      <w:pPr>
        <w:spacing w:line="440" w:lineRule="exact"/>
        <w:ind w:firstLineChars="200" w:firstLine="640"/>
        <w:outlineLvl w:val="0"/>
        <w:rPr>
          <w:rFonts w:ascii="仿宋" w:eastAsia="仿宋" w:hAnsi="仿宋" w:cs="仿宋"/>
          <w:sz w:val="28"/>
          <w:szCs w:val="28"/>
        </w:rPr>
      </w:pPr>
      <w:r>
        <w:rPr>
          <w:rFonts w:ascii="仿宋" w:eastAsia="仿宋" w:hAnsi="仿宋" w:cs="仿宋" w:hint="eastAsia"/>
          <w:kern w:val="0"/>
          <w:sz w:val="32"/>
          <w:szCs w:val="32"/>
        </w:rPr>
        <w:t>商丘市财政局财政投资评审、资产评估、财务审计第三方服务框架协议项目A包最终得分结果如下：</w:t>
      </w:r>
    </w:p>
    <w:tbl>
      <w:tblPr>
        <w:tblStyle w:val="a5"/>
        <w:tblW w:w="7421" w:type="dxa"/>
        <w:tblLayout w:type="fixed"/>
        <w:tblLook w:val="04A0" w:firstRow="1" w:lastRow="0" w:firstColumn="1" w:lastColumn="0" w:noHBand="0" w:noVBand="1"/>
      </w:tblPr>
      <w:tblGrid>
        <w:gridCol w:w="5920"/>
        <w:gridCol w:w="1501"/>
      </w:tblGrid>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投标供应商</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最终得分</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广轩项目管理有限公司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sz w:val="30"/>
                <w:szCs w:val="30"/>
              </w:rPr>
              <w:t>77</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28"/>
                <w:szCs w:val="28"/>
              </w:rPr>
            </w:pPr>
            <w:r>
              <w:rPr>
                <w:rFonts w:ascii="仿宋" w:eastAsia="仿宋" w:hAnsi="仿宋" w:cs="仿宋" w:hint="eastAsia"/>
                <w:sz w:val="30"/>
                <w:szCs w:val="30"/>
              </w:rPr>
              <w:t>东信工程项目管理有限公司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75.43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28"/>
                <w:szCs w:val="28"/>
              </w:rPr>
            </w:pPr>
            <w:r>
              <w:rPr>
                <w:rFonts w:ascii="仿宋" w:eastAsia="仿宋" w:hAnsi="仿宋" w:cs="仿宋" w:hint="eastAsia"/>
                <w:sz w:val="30"/>
                <w:szCs w:val="30"/>
              </w:rPr>
              <w:t>中轩项目管理有限公司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74.43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北京中兴恒工程咨询有限公司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73.57</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智博国际工程咨询有限公司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73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中诚联创工程管理有限公司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72.71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中韵天隆工程集团有限公司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72.71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河南洪天工程造价咨询有限公司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72.43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河南中瓴工程管理有限公司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72.14</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省鑫项目管理有限公司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72.14</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河南海纳建设管理有限公司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72</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中恒工程咨询有限公司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71.71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阶梯项目咨询有限公司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高达建设管理发展有限责任公司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黄河勘测规划设计研究院有限公司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70.57</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智远工程管理有限公司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70.14</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中科天一工程管理有限公司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69.86</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华夏经纬工程咨询有限公司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69.57</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河南九洲工程造价咨询有限公司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69.43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至诚工程咨询有限公司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69.14</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中诚景信工程咨询有限公司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68.71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lastRenderedPageBreak/>
              <w:t>河南兴华工程管理有限公司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68.71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中诺天中工程管理有限公司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68.71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中咨宏业工程顾问有限公司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68.29</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仁信工程咨询有限公司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68.14</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华春建设工程项目管理有限责任公司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68.14</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中佳鼎运建设管理有限公司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67.86</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河南裕达永信工程造价咨询事务所有限公司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67.86</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卓胤工程项目管理有限公司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67.57</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方大国际工程咨询股份有限公司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67.57</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卓信工程咨询有限公司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67.43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中大嘉信项目管理有限公司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67.29</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河南华明工程造价咨询有限公司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67.14</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中大宇辰项目管理有限公司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67</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金策工程管理有限公司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67</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河南领秀工程造价咨询有限公司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66.86</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海天工程咨询有限公司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66.86</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中亿正恒工程管理有限公司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66.71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河南求实工程造价咨询有限公司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66.71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诚辉工程管理有限公司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66.71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银源工程咨询有限公司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66.43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河南诚信工程管理有限公司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66.29</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河南金山工程造价咨询有限公司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65.86</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中咨华源（北京）咨询有限公司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65.86</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北京华审金建国际工程项目管理有限公司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65.71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lastRenderedPageBreak/>
              <w:t>汇龙工程咨询有限公司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65.57</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河南豫信工程造价咨询有限公司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65.57</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广东确正工程咨询有限公司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65.57</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中益工程管理有限公司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65.43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鸿图造价咨询有限责任公司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65.29</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中发祥和工程管理有限公司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65.29</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华正大地项目管理有限公司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65.14</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河南耘合工程咨询有限公司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65</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永华（河南）工程咨询有限公司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64.86</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湘能卓信项目管理有限公司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64.86</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信人建设管理有限公司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64.57</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河南瑞祥工程造价咨询有限公司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64.43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中誉恒信工程咨询有限公司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64.43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河南城印工程咨询有限公司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64.14</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河南正信工程咨询有限公司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64</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华冠工程管理有限公司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63.86</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中弘天合工程咨询有限公司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63.71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建维咨询（苏州）有限公司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63.71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河南惠德工程咨询有限公司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63.57</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中兴豫建设管理有限公司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63.43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驰远工程管理有限公司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63.43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元晟工程咨询有限公司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63.29</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河南华审工程造价咨询事务所有限责任公司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63.14</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恒信咨询管理有限公司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63.14</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lastRenderedPageBreak/>
              <w:t>丰汇国际项目管理有限公司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河南天衡工程管理有限公司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中鹏工程咨询有限公司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晨越建设项目管理集团股份有限公司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62.71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荣泰工程管理咨询有限公司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62.43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浩蒲工程项目管理有限公司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62.29</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河南省亿达工程管理咨询有限公司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61.71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河南平业建设工程技术咨询有限公司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61.71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鑫诚国际工程咨询有限公司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61.29</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鼎正工程咨询股份有限公司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61.14</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山东世纪华都工程咨询有限公司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61.14</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北京中诚正信工程咨询有限公司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60.86</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中盈永诚咨询集团有限公司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60.29</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河南省致诚工程技术有限公司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59.71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河南立信工程造价咨询有限公司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59.71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河南英华咨询有限公司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59.57</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华威永晟工程管理集团有限公司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59.43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中环建（北京）工程管理有限公司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59</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郑州大学综合设计研究院有限公司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58.86</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河南泉境工程管理咨询有限公司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58.86</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河南德远工程管理有限公司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58.14</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达信建设发展有限公司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57.86</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河南嘉泰工程管理有限公司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57.71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河南世纪工程管理有限公司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57.57</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lastRenderedPageBreak/>
              <w:t>鑫东辰工程咨询有限公司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56.29</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圣基工程咨询有限公司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55.43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河南天同源工程造价咨询有限公司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55.43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宏泰项目管理有限公司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55.29</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河南蓬业工程咨询有限公司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54.71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河南正源工程管理有限公司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54.43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陕西方得项目管理有限公司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机械工业第六设计研究院有限公司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中审（河南）工程造价咨询事务所有限公司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50.14</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洛阳众腾工程管理咨询有限公司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48.71</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北京泽贤工程咨询有限责任公司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47.29</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北京宝辰工程管理股份有限公司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47</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河南丰诺建设工程管理有限公司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47</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国咨项目管理有限公司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45.29</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北京圣华安咨询有限公司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43</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河南中智工程咨询有限公司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42</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元森建设管理有限公司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41.57</w:t>
            </w:r>
          </w:p>
        </w:tc>
      </w:tr>
      <w:tr w:rsidR="0092131B" w:rsidTr="0092131B">
        <w:tc>
          <w:tcPr>
            <w:tcW w:w="5920"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河南省博古工程造价咨询有限公司</w:t>
            </w:r>
          </w:p>
        </w:tc>
        <w:tc>
          <w:tcPr>
            <w:tcW w:w="1501" w:type="dxa"/>
            <w:vAlign w:val="center"/>
          </w:tcPr>
          <w:p w:rsidR="0092131B" w:rsidRDefault="0092131B" w:rsidP="00464F7D">
            <w:pPr>
              <w:spacing w:line="560" w:lineRule="exact"/>
              <w:jc w:val="center"/>
              <w:rPr>
                <w:rFonts w:ascii="仿宋" w:eastAsia="仿宋" w:hAnsi="仿宋" w:cs="仿宋"/>
                <w:sz w:val="30"/>
                <w:szCs w:val="30"/>
              </w:rPr>
            </w:pPr>
            <w:r>
              <w:rPr>
                <w:rFonts w:ascii="仿宋" w:eastAsia="仿宋" w:hAnsi="仿宋" w:cs="仿宋" w:hint="eastAsia"/>
                <w:sz w:val="30"/>
                <w:szCs w:val="30"/>
              </w:rPr>
              <w:t>34.86</w:t>
            </w:r>
          </w:p>
        </w:tc>
      </w:tr>
    </w:tbl>
    <w:p w:rsidR="00D970CE" w:rsidRDefault="00D970CE">
      <w:pPr>
        <w:rPr>
          <w:rFonts w:hint="eastAsia"/>
        </w:rPr>
      </w:pPr>
    </w:p>
    <w:p w:rsidR="0092131B" w:rsidRDefault="0092131B">
      <w:pPr>
        <w:rPr>
          <w:rFonts w:hint="eastAsia"/>
        </w:rPr>
      </w:pPr>
    </w:p>
    <w:p w:rsidR="0092131B" w:rsidRDefault="0092131B">
      <w:pPr>
        <w:rPr>
          <w:rFonts w:hint="eastAsia"/>
        </w:rPr>
      </w:pPr>
    </w:p>
    <w:p w:rsidR="0092131B" w:rsidRDefault="0092131B">
      <w:pPr>
        <w:rPr>
          <w:rFonts w:hint="eastAsia"/>
        </w:rPr>
      </w:pPr>
    </w:p>
    <w:p w:rsidR="0092131B" w:rsidRDefault="0092131B">
      <w:pPr>
        <w:rPr>
          <w:rFonts w:hint="eastAsia"/>
        </w:rPr>
      </w:pPr>
    </w:p>
    <w:p w:rsidR="0092131B" w:rsidRDefault="0092131B">
      <w:pPr>
        <w:rPr>
          <w:rFonts w:hint="eastAsia"/>
        </w:rPr>
      </w:pPr>
    </w:p>
    <w:p w:rsidR="0092131B" w:rsidRDefault="0092131B">
      <w:pPr>
        <w:rPr>
          <w:rFonts w:hint="eastAsia"/>
        </w:rPr>
      </w:pPr>
    </w:p>
    <w:p w:rsidR="0092131B" w:rsidRDefault="0092131B">
      <w:pPr>
        <w:rPr>
          <w:rFonts w:hint="eastAsia"/>
        </w:rPr>
      </w:pPr>
    </w:p>
    <w:p w:rsidR="0092131B" w:rsidRDefault="0092131B">
      <w:pPr>
        <w:rPr>
          <w:rFonts w:hint="eastAsia"/>
        </w:rPr>
      </w:pPr>
    </w:p>
    <w:p w:rsidR="0092131B" w:rsidRDefault="0092131B">
      <w:pPr>
        <w:rPr>
          <w:rFonts w:hint="eastAsia"/>
        </w:rPr>
      </w:pPr>
    </w:p>
    <w:p w:rsidR="0092131B" w:rsidRDefault="0092131B">
      <w:pPr>
        <w:rPr>
          <w:rFonts w:hint="eastAsia"/>
        </w:rPr>
      </w:pPr>
    </w:p>
    <w:p w:rsidR="0092131B" w:rsidRDefault="0092131B" w:rsidP="0092131B">
      <w:pPr>
        <w:pStyle w:val="a6"/>
        <w:shd w:val="clear" w:color="auto" w:fill="FFFFFF"/>
        <w:spacing w:before="0" w:beforeAutospacing="0" w:after="0" w:afterAutospacing="0" w:line="435" w:lineRule="atLeast"/>
        <w:ind w:firstLine="555"/>
        <w:rPr>
          <w:rFonts w:ascii="微软雅黑" w:eastAsia="微软雅黑" w:hAnsi="微软雅黑"/>
          <w:color w:val="333333"/>
        </w:rPr>
      </w:pPr>
      <w:r>
        <w:rPr>
          <w:rFonts w:ascii="仿宋" w:eastAsia="仿宋" w:hAnsi="仿宋" w:hint="eastAsia"/>
          <w:color w:val="333333"/>
          <w:sz w:val="29"/>
          <w:szCs w:val="29"/>
        </w:rPr>
        <w:lastRenderedPageBreak/>
        <w:t>A包未通过及原因：</w:t>
      </w:r>
    </w:p>
    <w:p w:rsidR="0092131B" w:rsidRDefault="0092131B" w:rsidP="0092131B">
      <w:pPr>
        <w:pStyle w:val="a6"/>
        <w:shd w:val="clear" w:color="auto" w:fill="FFFFFF"/>
        <w:spacing w:before="0" w:beforeAutospacing="0" w:after="0" w:afterAutospacing="0" w:line="435" w:lineRule="atLeast"/>
        <w:ind w:firstLine="555"/>
        <w:rPr>
          <w:rFonts w:ascii="微软雅黑" w:eastAsia="微软雅黑" w:hAnsi="微软雅黑" w:hint="eastAsia"/>
          <w:color w:val="333333"/>
        </w:rPr>
      </w:pPr>
      <w:r>
        <w:rPr>
          <w:rFonts w:ascii="仿宋" w:eastAsia="仿宋" w:hAnsi="仿宋" w:hint="eastAsia"/>
          <w:color w:val="333333"/>
          <w:sz w:val="29"/>
          <w:szCs w:val="29"/>
        </w:rPr>
        <w:t>征集人代表组成资格审查小组按照征集文件的要求对供应商资格证明材料进行审查，其中南京新天路建设项目管理咨询有限公司、河南善信工程管理咨询有限公司因主体库未上传企业财务、纳税、社保信息;商丘市豫东公路勘察设计有限公司因未提供项目负责人国家一级注册造价工程师证明材料:国正聚源工程咨询集团有限公司、北京华源信工程咨询有限公司因主体库未上传企业财务、纳税、社保信息、人员信息等;北京中天运工程造价咨询有限公司、中佳信建设管理集团有限公司、河南星泽工程管理有限公司因主体库未上传项目负责人劳动合同;天寻国际工程咨询有限公司因主体库未上传 2023 年度审计报告未提供资格审查，响应无效。</w:t>
      </w:r>
    </w:p>
    <w:p w:rsidR="0092131B" w:rsidRDefault="0092131B" w:rsidP="0092131B">
      <w:pPr>
        <w:pStyle w:val="a6"/>
        <w:shd w:val="clear" w:color="auto" w:fill="FFFFFF"/>
        <w:spacing w:before="0" w:beforeAutospacing="0" w:after="0" w:afterAutospacing="0" w:line="435" w:lineRule="atLeast"/>
        <w:ind w:firstLine="555"/>
        <w:rPr>
          <w:rFonts w:ascii="微软雅黑" w:eastAsia="微软雅黑" w:hAnsi="微软雅黑" w:hint="eastAsia"/>
          <w:color w:val="333333"/>
        </w:rPr>
      </w:pPr>
      <w:r>
        <w:rPr>
          <w:rFonts w:ascii="仿宋" w:eastAsia="仿宋" w:hAnsi="仿宋" w:hint="eastAsia"/>
          <w:color w:val="333333"/>
          <w:sz w:val="29"/>
          <w:szCs w:val="29"/>
        </w:rPr>
        <w:t>河南远絮工程管理有限公司因响应文件签字不符合征集文件要求；苏世建设管理集团有限公司因响应文件服务说明一览表填写不符合征集文件要求；尧泰国际工程咨询有限公司因响应文件签字不符合征集文件要求未通过符合性审查，响应无效。</w:t>
      </w:r>
      <w:bookmarkStart w:id="0" w:name="_GoBack"/>
      <w:bookmarkEnd w:id="0"/>
    </w:p>
    <w:p w:rsidR="0092131B" w:rsidRDefault="0092131B" w:rsidP="0092131B">
      <w:pPr>
        <w:pStyle w:val="a6"/>
        <w:shd w:val="clear" w:color="auto" w:fill="FFFFFF"/>
        <w:spacing w:before="0" w:beforeAutospacing="0" w:after="0" w:afterAutospacing="0" w:line="435" w:lineRule="atLeast"/>
        <w:ind w:firstLine="555"/>
        <w:rPr>
          <w:rFonts w:ascii="微软雅黑" w:eastAsia="微软雅黑" w:hAnsi="微软雅黑" w:hint="eastAsia"/>
          <w:color w:val="333333"/>
        </w:rPr>
      </w:pPr>
      <w:r>
        <w:rPr>
          <w:rFonts w:ascii="仿宋" w:eastAsia="仿宋" w:hAnsi="仿宋" w:hint="eastAsia"/>
          <w:color w:val="333333"/>
          <w:sz w:val="29"/>
          <w:szCs w:val="29"/>
        </w:rPr>
        <w:t>北京国金汇德工程管理有限公司、昂扬建设管理有限公司未在规定时间内解密响应文件，响应无效。</w:t>
      </w:r>
      <w:r>
        <w:rPr>
          <w:rFonts w:hint="eastAsia"/>
          <w:color w:val="333333"/>
          <w:sz w:val="29"/>
          <w:szCs w:val="29"/>
        </w:rPr>
        <w:t> </w:t>
      </w:r>
    </w:p>
    <w:p w:rsidR="0092131B" w:rsidRDefault="0092131B" w:rsidP="0092131B">
      <w:pPr>
        <w:pStyle w:val="a6"/>
        <w:shd w:val="clear" w:color="auto" w:fill="FFFFFF"/>
        <w:spacing w:before="0" w:beforeAutospacing="0" w:after="0" w:afterAutospacing="0" w:line="435" w:lineRule="atLeast"/>
        <w:ind w:firstLine="555"/>
        <w:rPr>
          <w:rFonts w:ascii="微软雅黑" w:eastAsia="微软雅黑" w:hAnsi="微软雅黑" w:hint="eastAsia"/>
          <w:color w:val="333333"/>
        </w:rPr>
      </w:pPr>
      <w:r>
        <w:rPr>
          <w:rFonts w:ascii="仿宋" w:eastAsia="仿宋" w:hAnsi="仿宋" w:hint="eastAsia"/>
          <w:color w:val="333333"/>
          <w:sz w:val="29"/>
          <w:szCs w:val="29"/>
        </w:rPr>
        <w:t>B包未通过及原因：征集人代表组成资格审查小组，按照征集文件的要求对供应商的资格证明材料进行审查，其中河南恒泰资产评估事务所(普通合伙)因未提供项目负责人注册资产评估师证书;河南盛达资产评估有限公司因法定代表人变更后，未提供在财政部门的备案证明;河南诚焱房地产资产评估有限公司因标书上未提供</w:t>
      </w:r>
      <w:r>
        <w:rPr>
          <w:rFonts w:ascii="仿宋" w:eastAsia="仿宋" w:hAnsi="仿宋" w:hint="eastAsia"/>
          <w:color w:val="333333"/>
          <w:sz w:val="29"/>
          <w:szCs w:val="29"/>
        </w:rPr>
        <w:lastRenderedPageBreak/>
        <w:t>依法纳税的证明材料或者承诺函、劳务合同未通过资格审查，响应无效。</w:t>
      </w:r>
    </w:p>
    <w:p w:rsidR="0092131B" w:rsidRDefault="0092131B" w:rsidP="0092131B">
      <w:pPr>
        <w:pStyle w:val="a6"/>
        <w:shd w:val="clear" w:color="auto" w:fill="FFFFFF"/>
        <w:spacing w:before="0" w:beforeAutospacing="0" w:after="0" w:afterAutospacing="0" w:line="435" w:lineRule="atLeast"/>
        <w:ind w:firstLine="555"/>
        <w:rPr>
          <w:rFonts w:ascii="微软雅黑" w:eastAsia="微软雅黑" w:hAnsi="微软雅黑" w:hint="eastAsia"/>
          <w:color w:val="333333"/>
        </w:rPr>
      </w:pPr>
      <w:r>
        <w:rPr>
          <w:rFonts w:ascii="仿宋" w:eastAsia="仿宋" w:hAnsi="仿宋" w:hint="eastAsia"/>
          <w:color w:val="333333"/>
          <w:sz w:val="29"/>
          <w:szCs w:val="29"/>
        </w:rPr>
        <w:t>河南华建资产评估有限公司、河南兆信资产评估有限公司、河南中达信房地产资产评估有限公司、河南创泓房地产资产评估有限公司、天昊国际房地产土地资产评估集团有限公司、河南天元资产评估事务所有限公司因响应文件签字不符合征集文件要求未通过符合性审查，响应无效。</w:t>
      </w:r>
    </w:p>
    <w:p w:rsidR="0092131B" w:rsidRDefault="0092131B" w:rsidP="0092131B">
      <w:pPr>
        <w:pStyle w:val="a6"/>
        <w:shd w:val="clear" w:color="auto" w:fill="FFFFFF"/>
        <w:spacing w:before="0" w:beforeAutospacing="0" w:after="0" w:afterAutospacing="0" w:line="435" w:lineRule="atLeast"/>
        <w:ind w:firstLine="555"/>
        <w:rPr>
          <w:rFonts w:ascii="微软雅黑" w:eastAsia="微软雅黑" w:hAnsi="微软雅黑" w:hint="eastAsia"/>
          <w:color w:val="333333"/>
        </w:rPr>
      </w:pPr>
      <w:r>
        <w:rPr>
          <w:rFonts w:ascii="仿宋" w:eastAsia="仿宋" w:hAnsi="仿宋" w:hint="eastAsia"/>
          <w:color w:val="333333"/>
          <w:sz w:val="29"/>
          <w:szCs w:val="29"/>
        </w:rPr>
        <w:t>C包未通过及原因：</w:t>
      </w:r>
    </w:p>
    <w:p w:rsidR="0092131B" w:rsidRDefault="0092131B" w:rsidP="0092131B">
      <w:pPr>
        <w:pStyle w:val="a6"/>
        <w:shd w:val="clear" w:color="auto" w:fill="FFFFFF"/>
        <w:spacing w:before="0" w:beforeAutospacing="0" w:after="0" w:afterAutospacing="0" w:line="435" w:lineRule="atLeast"/>
        <w:ind w:firstLine="555"/>
        <w:rPr>
          <w:rFonts w:ascii="微软雅黑" w:eastAsia="微软雅黑" w:hAnsi="微软雅黑" w:hint="eastAsia"/>
          <w:color w:val="333333"/>
        </w:rPr>
      </w:pPr>
      <w:r>
        <w:rPr>
          <w:rFonts w:ascii="仿宋" w:eastAsia="仿宋" w:hAnsi="仿宋" w:hint="eastAsia"/>
          <w:color w:val="333333"/>
          <w:sz w:val="29"/>
          <w:szCs w:val="29"/>
        </w:rPr>
        <w:t>征集人代表组成资格审查小组按征集文件规定对响应人进行资格审查，其中河南永舜会计师事务所(普通合伙)因响应文件和主体库未提供财政部门颁发的会计师事务所执业证书:济宁圣大会计师事务所(普通合伙)、河南国隆会计师事务所(普通合伙)因响应文件和主体库未提供项目负责人近六个月内任意月份社保证明:深圳市泓毅会计师事务所(普通合伙)因响应文件和主体库未提供项目负责人注册会计师证书:河南锦汇会计师事务所(普通合伙)、河南壹玖会计师事务所(普通合伙)因主体库未上传财务、纳税及社保、资质信息、人员信息等信息:河南诚则会计师事务所(普通合伙)因响应文件和主体库未提供项目负责人中级及以上会计职称未通过资格审查，响应无效。</w:t>
      </w:r>
    </w:p>
    <w:p w:rsidR="0092131B" w:rsidRDefault="0092131B" w:rsidP="0092131B">
      <w:pPr>
        <w:pStyle w:val="a6"/>
        <w:shd w:val="clear" w:color="auto" w:fill="FFFFFF"/>
        <w:spacing w:before="0" w:beforeAutospacing="0" w:after="0" w:afterAutospacing="0" w:line="435" w:lineRule="atLeast"/>
        <w:ind w:firstLine="555"/>
        <w:rPr>
          <w:rFonts w:ascii="微软雅黑" w:eastAsia="微软雅黑" w:hAnsi="微软雅黑" w:hint="eastAsia"/>
          <w:color w:val="333333"/>
        </w:rPr>
      </w:pPr>
      <w:r>
        <w:rPr>
          <w:rFonts w:ascii="仿宋" w:eastAsia="仿宋" w:hAnsi="仿宋" w:hint="eastAsia"/>
          <w:color w:val="333333"/>
          <w:sz w:val="29"/>
          <w:szCs w:val="29"/>
        </w:rPr>
        <w:t>河南省合盈会计师事务所（普通合伙）、河南金毅联合会计师事务所（普通合伙）、河南万汇会计师事务所（普通合伙）、河南</w:t>
      </w:r>
      <w:r>
        <w:rPr>
          <w:rFonts w:ascii="仿宋" w:eastAsia="仿宋" w:hAnsi="仿宋" w:hint="eastAsia"/>
          <w:color w:val="333333"/>
          <w:sz w:val="29"/>
          <w:szCs w:val="29"/>
        </w:rPr>
        <w:lastRenderedPageBreak/>
        <w:t>中蓝会计师事务所（普通合伙）、河南瑞祥会计师事务所有限公司投标文件签字不符合招标文件要求未通过符合性审查，响应无效。</w:t>
      </w:r>
    </w:p>
    <w:p w:rsidR="0092131B" w:rsidRDefault="0092131B" w:rsidP="0092131B">
      <w:pPr>
        <w:pStyle w:val="a6"/>
        <w:shd w:val="clear" w:color="auto" w:fill="FFFFFF"/>
        <w:spacing w:before="0" w:beforeAutospacing="0" w:after="0" w:afterAutospacing="0" w:line="435" w:lineRule="atLeast"/>
        <w:ind w:firstLine="555"/>
        <w:rPr>
          <w:rFonts w:ascii="微软雅黑" w:eastAsia="微软雅黑" w:hAnsi="微软雅黑" w:hint="eastAsia"/>
          <w:color w:val="333333"/>
        </w:rPr>
      </w:pPr>
      <w:r>
        <w:rPr>
          <w:rFonts w:ascii="仿宋" w:eastAsia="仿宋" w:hAnsi="仿宋" w:hint="eastAsia"/>
          <w:color w:val="333333"/>
          <w:sz w:val="29"/>
          <w:szCs w:val="29"/>
        </w:rPr>
        <w:t>河南合鸣会计师事务所(普通合伙)、河南明泰会计师事务所（普通合伙）因出现大数据分析预警IP地址一致，响应无效。</w:t>
      </w:r>
    </w:p>
    <w:p w:rsidR="0092131B" w:rsidRPr="0092131B" w:rsidRDefault="0092131B"/>
    <w:sectPr w:rsidR="0092131B" w:rsidRPr="009213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ECC" w:rsidRDefault="001C0ECC" w:rsidP="0092131B">
      <w:r>
        <w:separator/>
      </w:r>
    </w:p>
  </w:endnote>
  <w:endnote w:type="continuationSeparator" w:id="0">
    <w:p w:rsidR="001C0ECC" w:rsidRDefault="001C0ECC" w:rsidP="0092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ECC" w:rsidRDefault="001C0ECC" w:rsidP="0092131B">
      <w:r>
        <w:separator/>
      </w:r>
    </w:p>
  </w:footnote>
  <w:footnote w:type="continuationSeparator" w:id="0">
    <w:p w:rsidR="001C0ECC" w:rsidRDefault="001C0ECC" w:rsidP="00921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80"/>
    <w:rsid w:val="001C0ECC"/>
    <w:rsid w:val="00893174"/>
    <w:rsid w:val="0092131B"/>
    <w:rsid w:val="009B3180"/>
    <w:rsid w:val="00D9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3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1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131B"/>
    <w:rPr>
      <w:sz w:val="18"/>
      <w:szCs w:val="18"/>
    </w:rPr>
  </w:style>
  <w:style w:type="paragraph" w:styleId="a4">
    <w:name w:val="footer"/>
    <w:basedOn w:val="a"/>
    <w:link w:val="Char0"/>
    <w:uiPriority w:val="99"/>
    <w:unhideWhenUsed/>
    <w:rsid w:val="0092131B"/>
    <w:pPr>
      <w:tabs>
        <w:tab w:val="center" w:pos="4153"/>
        <w:tab w:val="right" w:pos="8306"/>
      </w:tabs>
      <w:snapToGrid w:val="0"/>
      <w:jc w:val="left"/>
    </w:pPr>
    <w:rPr>
      <w:sz w:val="18"/>
      <w:szCs w:val="18"/>
    </w:rPr>
  </w:style>
  <w:style w:type="character" w:customStyle="1" w:styleId="Char0">
    <w:name w:val="页脚 Char"/>
    <w:basedOn w:val="a0"/>
    <w:link w:val="a4"/>
    <w:uiPriority w:val="99"/>
    <w:rsid w:val="0092131B"/>
    <w:rPr>
      <w:sz w:val="18"/>
      <w:szCs w:val="18"/>
    </w:rPr>
  </w:style>
  <w:style w:type="table" w:styleId="a5">
    <w:name w:val="Table Grid"/>
    <w:basedOn w:val="a1"/>
    <w:qFormat/>
    <w:rsid w:val="0092131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92131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3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1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131B"/>
    <w:rPr>
      <w:sz w:val="18"/>
      <w:szCs w:val="18"/>
    </w:rPr>
  </w:style>
  <w:style w:type="paragraph" w:styleId="a4">
    <w:name w:val="footer"/>
    <w:basedOn w:val="a"/>
    <w:link w:val="Char0"/>
    <w:uiPriority w:val="99"/>
    <w:unhideWhenUsed/>
    <w:rsid w:val="0092131B"/>
    <w:pPr>
      <w:tabs>
        <w:tab w:val="center" w:pos="4153"/>
        <w:tab w:val="right" w:pos="8306"/>
      </w:tabs>
      <w:snapToGrid w:val="0"/>
      <w:jc w:val="left"/>
    </w:pPr>
    <w:rPr>
      <w:sz w:val="18"/>
      <w:szCs w:val="18"/>
    </w:rPr>
  </w:style>
  <w:style w:type="character" w:customStyle="1" w:styleId="Char0">
    <w:name w:val="页脚 Char"/>
    <w:basedOn w:val="a0"/>
    <w:link w:val="a4"/>
    <w:uiPriority w:val="99"/>
    <w:rsid w:val="0092131B"/>
    <w:rPr>
      <w:sz w:val="18"/>
      <w:szCs w:val="18"/>
    </w:rPr>
  </w:style>
  <w:style w:type="table" w:styleId="a5">
    <w:name w:val="Table Grid"/>
    <w:basedOn w:val="a1"/>
    <w:qFormat/>
    <w:rsid w:val="0092131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92131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4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525</Words>
  <Characters>2993</Characters>
  <Application>Microsoft Office Word</Application>
  <DocSecurity>0</DocSecurity>
  <Lines>24</Lines>
  <Paragraphs>7</Paragraphs>
  <ScaleCrop>false</ScaleCrop>
  <Company>Microsoft</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2024-11-12T01:04:00Z</dcterms:created>
  <dcterms:modified xsi:type="dcterms:W3CDTF">2024-11-12T01:11:00Z</dcterms:modified>
</cp:coreProperties>
</file>