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CF29">
      <w:pPr>
        <w:jc w:val="center"/>
        <w:rPr>
          <w:rFonts w:hint="default" w:ascii="黑体" w:hAnsi="黑体" w:eastAsia="黑体" w:cs="黑体"/>
          <w:b/>
          <w:bCs/>
          <w:sz w:val="56"/>
          <w:szCs w:val="56"/>
          <w:lang w:val="en-US" w:eastAsia="zh-CN"/>
        </w:rPr>
      </w:pPr>
      <w:r>
        <w:rPr>
          <w:rFonts w:hint="eastAsia" w:ascii="黑体" w:hAnsi="黑体" w:eastAsia="黑体" w:cs="黑体"/>
          <w:b/>
          <w:bCs/>
          <w:sz w:val="56"/>
          <w:szCs w:val="56"/>
          <w:lang w:val="en-US" w:eastAsia="zh-CN"/>
        </w:rPr>
        <w:t>民权县北关镇人民政府2025年农村灌溉机井建设项目</w:t>
      </w:r>
    </w:p>
    <w:p w14:paraId="28CA6A64">
      <w:pPr>
        <w:jc w:val="center"/>
        <w:rPr>
          <w:rFonts w:hint="eastAsia" w:ascii="宋体" w:hAnsi="宋体" w:eastAsia="宋体" w:cs="宋体"/>
          <w:b/>
          <w:bCs/>
          <w:sz w:val="48"/>
          <w:szCs w:val="48"/>
          <w:lang w:val="en-US" w:eastAsia="zh-CN"/>
        </w:rPr>
      </w:pPr>
    </w:p>
    <w:p w14:paraId="7D64DEA2">
      <w:pPr>
        <w:jc w:val="both"/>
        <w:rPr>
          <w:rFonts w:hint="eastAsia" w:ascii="黑体" w:hAnsi="黑体" w:eastAsia="黑体" w:cs="黑体"/>
          <w:b/>
          <w:bCs/>
          <w:spacing w:val="60"/>
          <w:sz w:val="56"/>
          <w:szCs w:val="72"/>
          <w:lang w:val="en-US" w:eastAsia="zh-CN"/>
        </w:rPr>
      </w:pPr>
    </w:p>
    <w:p w14:paraId="716E64B4">
      <w:pPr>
        <w:pStyle w:val="2"/>
        <w:rPr>
          <w:rFonts w:hint="eastAsia"/>
          <w:lang w:val="en-US" w:eastAsia="zh-CN"/>
        </w:rPr>
      </w:pPr>
    </w:p>
    <w:p w14:paraId="7B4CB190">
      <w:pPr>
        <w:jc w:val="center"/>
        <w:rPr>
          <w:rFonts w:hint="eastAsia" w:ascii="黑体" w:hAnsi="黑体" w:eastAsia="黑体" w:cs="黑体"/>
          <w:b/>
          <w:bCs/>
          <w:spacing w:val="60"/>
          <w:sz w:val="72"/>
          <w:szCs w:val="96"/>
          <w:lang w:eastAsia="zh-CN"/>
        </w:rPr>
      </w:pPr>
      <w:r>
        <w:rPr>
          <w:rFonts w:hint="eastAsia" w:ascii="黑体" w:hAnsi="黑体" w:eastAsia="黑体" w:cs="黑体"/>
          <w:b/>
          <w:bCs/>
          <w:spacing w:val="60"/>
          <w:sz w:val="56"/>
          <w:szCs w:val="72"/>
          <w:lang w:val="en-US" w:eastAsia="zh-CN"/>
        </w:rPr>
        <w:t>招标</w:t>
      </w:r>
      <w:r>
        <w:rPr>
          <w:rFonts w:hint="eastAsia" w:ascii="黑体" w:hAnsi="黑体" w:eastAsia="黑体" w:cs="黑体"/>
          <w:b/>
          <w:bCs/>
          <w:spacing w:val="60"/>
          <w:sz w:val="56"/>
          <w:szCs w:val="72"/>
        </w:rPr>
        <w:t>文件</w:t>
      </w:r>
    </w:p>
    <w:p w14:paraId="4FE7C3BE">
      <w:pPr>
        <w:pStyle w:val="2"/>
        <w:rPr>
          <w:rFonts w:hint="eastAsia" w:ascii="黑体" w:hAnsi="黑体" w:eastAsia="黑体" w:cs="黑体"/>
          <w:b/>
          <w:bCs/>
          <w:spacing w:val="60"/>
          <w:sz w:val="72"/>
          <w:szCs w:val="96"/>
          <w:lang w:eastAsia="zh-CN"/>
        </w:rPr>
      </w:pPr>
    </w:p>
    <w:p w14:paraId="49369B29">
      <w:pPr>
        <w:rPr>
          <w:rFonts w:hint="eastAsia"/>
          <w:lang w:eastAsia="zh-CN"/>
        </w:rPr>
      </w:pPr>
    </w:p>
    <w:p w14:paraId="05D3D642">
      <w:pPr>
        <w:spacing w:line="360" w:lineRule="auto"/>
        <w:jc w:val="center"/>
        <w:rPr>
          <w:rFonts w:hint="eastAsia" w:ascii="宋体" w:hAnsi="宋体" w:eastAsia="宋体" w:cs="宋体"/>
          <w:b/>
          <w:kern w:val="0"/>
          <w:sz w:val="30"/>
          <w:szCs w:val="30"/>
          <w:lang w:eastAsia="zh-CN"/>
        </w:rPr>
      </w:pPr>
      <w:r>
        <w:rPr>
          <w:rFonts w:hint="eastAsia" w:ascii="宋体" w:hAnsi="宋体" w:eastAsia="宋体" w:cs="宋体"/>
          <w:b/>
          <w:kern w:val="0"/>
          <w:sz w:val="30"/>
          <w:szCs w:val="30"/>
          <w:lang w:eastAsia="zh-CN"/>
        </w:rPr>
        <w:drawing>
          <wp:inline distT="0" distB="0" distL="114300" distR="114300">
            <wp:extent cx="2711450" cy="1841500"/>
            <wp:effectExtent l="0" t="0" r="12700" b="6350"/>
            <wp:docPr id="1" name="图片 1" descr="中智咨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智咨询_00"/>
                    <pic:cNvPicPr>
                      <a:picLocks noChangeAspect="1"/>
                    </pic:cNvPicPr>
                  </pic:nvPicPr>
                  <pic:blipFill>
                    <a:blip r:embed="rId9"/>
                    <a:stretch>
                      <a:fillRect/>
                    </a:stretch>
                  </pic:blipFill>
                  <pic:spPr>
                    <a:xfrm>
                      <a:off x="0" y="0"/>
                      <a:ext cx="2711450" cy="1841500"/>
                    </a:xfrm>
                    <a:prstGeom prst="rect">
                      <a:avLst/>
                    </a:prstGeom>
                    <a:noFill/>
                    <a:ln>
                      <a:noFill/>
                    </a:ln>
                  </pic:spPr>
                </pic:pic>
              </a:graphicData>
            </a:graphic>
          </wp:inline>
        </w:drawing>
      </w:r>
    </w:p>
    <w:p w14:paraId="5BC10890">
      <w:pPr>
        <w:widowControl w:val="0"/>
        <w:spacing w:after="120"/>
        <w:jc w:val="both"/>
        <w:rPr>
          <w:rFonts w:hint="eastAsia" w:ascii="Times New Roman" w:hAnsi="Times New Roman" w:eastAsia="宋体" w:cs="Times New Roman"/>
          <w:kern w:val="2"/>
          <w:sz w:val="21"/>
          <w:szCs w:val="24"/>
          <w:lang w:val="en-US" w:eastAsia="zh-CN" w:bidi="ar-SA"/>
        </w:rPr>
      </w:pPr>
    </w:p>
    <w:p w14:paraId="7877FAB4">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14:paraId="03B995CD">
      <w:pPr>
        <w:spacing w:line="360" w:lineRule="auto"/>
        <w:jc w:val="both"/>
        <w:rPr>
          <w:rFonts w:hint="eastAsia" w:ascii="宋体" w:hAnsi="宋体" w:eastAsia="宋体" w:cs="宋体"/>
          <w:b/>
          <w:kern w:val="0"/>
          <w:sz w:val="30"/>
          <w:szCs w:val="30"/>
          <w:lang w:eastAsia="zh-CN"/>
        </w:rPr>
      </w:pPr>
    </w:p>
    <w:p w14:paraId="7B08202C">
      <w:pPr>
        <w:pStyle w:val="2"/>
        <w:rPr>
          <w:rFonts w:hint="eastAsia"/>
          <w:lang w:eastAsia="zh-CN"/>
        </w:rPr>
      </w:pPr>
    </w:p>
    <w:p w14:paraId="7EF1B04F">
      <w:pPr>
        <w:spacing w:line="360" w:lineRule="auto"/>
        <w:ind w:firstLine="1500" w:firstLineChars="500"/>
        <w:jc w:val="both"/>
        <w:rPr>
          <w:rFonts w:hint="default" w:ascii="宋体" w:hAnsi="宋体" w:eastAsia="宋体" w:cs="宋体"/>
          <w:b/>
          <w:spacing w:val="100"/>
          <w:kern w:val="0"/>
          <w:sz w:val="30"/>
          <w:szCs w:val="30"/>
          <w:lang w:val="en-US" w:eastAsia="zh-CN"/>
        </w:rPr>
      </w:pPr>
      <w:r>
        <w:rPr>
          <w:rFonts w:hint="eastAsia" w:ascii="宋体" w:hAnsi="宋体" w:eastAsia="宋体" w:cs="宋体"/>
          <w:b/>
          <w:kern w:val="0"/>
          <w:sz w:val="30"/>
          <w:szCs w:val="30"/>
          <w:lang w:eastAsia="zh-CN"/>
        </w:rPr>
        <w:t>招</w:t>
      </w:r>
      <w:r>
        <w:rPr>
          <w:rFonts w:hint="eastAsia" w:ascii="宋体" w:hAnsi="宋体" w:eastAsia="宋体" w:cs="宋体"/>
          <w:b/>
          <w:kern w:val="0"/>
          <w:sz w:val="30"/>
          <w:szCs w:val="30"/>
        </w:rPr>
        <w:t xml:space="preserve">   </w:t>
      </w:r>
      <w:r>
        <w:rPr>
          <w:rFonts w:hint="eastAsia" w:ascii="宋体" w:hAnsi="宋体" w:eastAsia="宋体" w:cs="宋体"/>
          <w:b/>
          <w:kern w:val="0"/>
          <w:sz w:val="30"/>
          <w:szCs w:val="30"/>
          <w:lang w:eastAsia="zh-CN"/>
        </w:rPr>
        <w:t>标</w:t>
      </w:r>
      <w:r>
        <w:rPr>
          <w:rFonts w:hint="eastAsia" w:ascii="宋体" w:hAnsi="宋体" w:eastAsia="宋体" w:cs="宋体"/>
          <w:b/>
          <w:kern w:val="0"/>
          <w:sz w:val="30"/>
          <w:szCs w:val="30"/>
        </w:rPr>
        <w:t xml:space="preserve">  人：</w:t>
      </w:r>
      <w:r>
        <w:rPr>
          <w:rFonts w:hint="eastAsia" w:ascii="宋体" w:hAnsi="宋体" w:eastAsia="宋体" w:cs="宋体"/>
          <w:b w:val="0"/>
          <w:bCs/>
          <w:kern w:val="0"/>
          <w:sz w:val="30"/>
          <w:szCs w:val="30"/>
          <w:lang w:eastAsia="zh-CN"/>
        </w:rPr>
        <w:t>民权县北关镇人民政府</w:t>
      </w:r>
    </w:p>
    <w:p w14:paraId="5E69D75E">
      <w:pPr>
        <w:spacing w:line="360" w:lineRule="auto"/>
        <w:ind w:firstLine="1500" w:firstLineChars="500"/>
        <w:jc w:val="both"/>
        <w:rPr>
          <w:rFonts w:hint="eastAsia" w:ascii="宋体" w:hAnsi="宋体" w:eastAsia="宋体" w:cs="宋体"/>
          <w:b w:val="0"/>
          <w:bCs/>
          <w:kern w:val="0"/>
          <w:sz w:val="30"/>
          <w:szCs w:val="30"/>
          <w:lang w:eastAsia="zh-CN"/>
        </w:rPr>
      </w:pPr>
      <w:r>
        <w:rPr>
          <w:rFonts w:hint="eastAsia" w:ascii="宋体" w:hAnsi="宋体" w:eastAsia="宋体" w:cs="宋体"/>
          <w:b/>
          <w:kern w:val="0"/>
          <w:sz w:val="30"/>
          <w:szCs w:val="30"/>
        </w:rPr>
        <w:t>代 理 机 构：</w:t>
      </w:r>
      <w:r>
        <w:rPr>
          <w:rFonts w:hint="eastAsia" w:ascii="宋体" w:hAnsi="宋体" w:eastAsia="宋体" w:cs="宋体"/>
          <w:b w:val="0"/>
          <w:bCs/>
          <w:kern w:val="0"/>
          <w:sz w:val="30"/>
          <w:szCs w:val="30"/>
          <w:lang w:eastAsia="zh-CN"/>
        </w:rPr>
        <w:t>河南中智工程咨询有限公司</w:t>
      </w:r>
    </w:p>
    <w:p w14:paraId="2548A0F0">
      <w:pPr>
        <w:spacing w:line="360" w:lineRule="auto"/>
        <w:ind w:firstLine="1500" w:firstLineChars="500"/>
        <w:jc w:val="both"/>
        <w:rPr>
          <w:rFonts w:hint="eastAsia" w:ascii="宋体" w:hAnsi="宋体" w:eastAsia="宋体" w:cs="宋体"/>
          <w:b/>
          <w:kern w:val="0"/>
          <w:sz w:val="30"/>
          <w:szCs w:val="30"/>
        </w:rPr>
      </w:pPr>
      <w:r>
        <w:rPr>
          <w:rFonts w:hint="eastAsia" w:ascii="宋体" w:hAnsi="宋体" w:eastAsia="宋体" w:cs="宋体"/>
          <w:b/>
          <w:kern w:val="0"/>
          <w:sz w:val="30"/>
          <w:szCs w:val="30"/>
          <w:lang w:eastAsia="zh-CN"/>
        </w:rPr>
        <w:t>日</w:t>
      </w:r>
      <w:r>
        <w:rPr>
          <w:rFonts w:hint="eastAsia" w:ascii="宋体" w:hAnsi="宋体" w:eastAsia="宋体" w:cs="宋体"/>
          <w:b/>
          <w:kern w:val="0"/>
          <w:sz w:val="30"/>
          <w:szCs w:val="30"/>
          <w:lang w:val="en-US" w:eastAsia="zh-CN"/>
        </w:rPr>
        <w:t xml:space="preserve">       </w:t>
      </w:r>
      <w:r>
        <w:rPr>
          <w:rFonts w:hint="eastAsia" w:ascii="宋体" w:hAnsi="宋体" w:eastAsia="宋体" w:cs="宋体"/>
          <w:b/>
          <w:kern w:val="0"/>
          <w:sz w:val="30"/>
          <w:szCs w:val="30"/>
          <w:lang w:eastAsia="zh-CN"/>
        </w:rPr>
        <w:t>期：</w:t>
      </w:r>
      <w:r>
        <w:rPr>
          <w:rFonts w:hint="eastAsia" w:ascii="宋体" w:hAnsi="宋体" w:eastAsia="宋体" w:cs="宋体"/>
          <w:b w:val="0"/>
          <w:bCs/>
          <w:kern w:val="0"/>
          <w:sz w:val="30"/>
          <w:szCs w:val="30"/>
        </w:rPr>
        <w:t>二○二</w:t>
      </w:r>
      <w:r>
        <w:rPr>
          <w:rFonts w:hint="eastAsia" w:ascii="宋体" w:hAnsi="宋体" w:eastAsia="宋体" w:cs="宋体"/>
          <w:b w:val="0"/>
          <w:bCs/>
          <w:kern w:val="0"/>
          <w:sz w:val="30"/>
          <w:szCs w:val="30"/>
          <w:lang w:val="en-US" w:eastAsia="zh-CN"/>
        </w:rPr>
        <w:t>五</w:t>
      </w:r>
      <w:r>
        <w:rPr>
          <w:rFonts w:hint="eastAsia" w:ascii="宋体" w:hAnsi="宋体" w:eastAsia="宋体" w:cs="宋体"/>
          <w:b w:val="0"/>
          <w:bCs/>
          <w:kern w:val="0"/>
          <w:sz w:val="30"/>
          <w:szCs w:val="30"/>
        </w:rPr>
        <w:t>年</w:t>
      </w:r>
      <w:r>
        <w:rPr>
          <w:rFonts w:hint="eastAsia" w:ascii="宋体" w:hAnsi="宋体" w:eastAsia="宋体" w:cs="宋体"/>
          <w:b w:val="0"/>
          <w:bCs/>
          <w:kern w:val="0"/>
          <w:sz w:val="30"/>
          <w:szCs w:val="30"/>
          <w:lang w:val="en-US" w:eastAsia="zh-CN"/>
        </w:rPr>
        <w:t>七</w:t>
      </w:r>
      <w:r>
        <w:rPr>
          <w:rFonts w:hint="eastAsia" w:ascii="宋体" w:hAnsi="宋体" w:eastAsia="宋体" w:cs="宋体"/>
          <w:b w:val="0"/>
          <w:bCs/>
          <w:kern w:val="0"/>
          <w:sz w:val="30"/>
          <w:szCs w:val="30"/>
        </w:rPr>
        <w:t>月</w:t>
      </w:r>
    </w:p>
    <w:p w14:paraId="6F7C8CB6">
      <w:pPr>
        <w:spacing w:before="312" w:beforeLines="100" w:after="312" w:afterLines="100" w:line="600" w:lineRule="exact"/>
        <w:jc w:val="both"/>
        <w:rPr>
          <w:rFonts w:hint="eastAsia"/>
          <w:b/>
          <w:bCs/>
          <w:sz w:val="52"/>
          <w:szCs w:val="52"/>
        </w:rPr>
        <w:sectPr>
          <w:footerReference r:id="rId3" w:type="first"/>
          <w:pgSz w:w="11907" w:h="16840"/>
          <w:pgMar w:top="1417" w:right="1417" w:bottom="1417" w:left="1417" w:header="624" w:footer="641" w:gutter="0"/>
          <w:pgNumType w:fmt="decimal" w:start="1"/>
          <w:cols w:space="720" w:num="1"/>
          <w:docGrid w:type="linesAndChars" w:linePitch="312" w:charSpace="0"/>
        </w:sectPr>
      </w:pPr>
    </w:p>
    <w:sdt>
      <w:sdtPr>
        <w:rPr>
          <w:rFonts w:hint="eastAsia" w:ascii="黑体" w:hAnsi="黑体" w:eastAsia="黑体" w:cs="黑体"/>
          <w:kern w:val="2"/>
          <w:sz w:val="48"/>
          <w:szCs w:val="48"/>
          <w:lang w:val="en-US" w:eastAsia="zh-CN" w:bidi="ar-SA"/>
        </w:rPr>
        <w:id w:val="147467645"/>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7A29E15C">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14:paraId="7A5D2C97">
          <w:pPr>
            <w:pStyle w:val="2"/>
            <w:tabs>
              <w:tab w:val="right" w:leader="dot" w:pos="9073"/>
            </w:tabs>
            <w:rPr>
              <w:rFonts w:hint="eastAsia"/>
              <w:lang w:val="en-US" w:eastAsia="zh-CN"/>
            </w:rPr>
          </w:pPr>
        </w:p>
        <w:p w14:paraId="706C0C72">
          <w:pPr>
            <w:pStyle w:val="2"/>
            <w:tabs>
              <w:tab w:val="right" w:leader="dot" w:pos="9073"/>
            </w:tabs>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6FD2EEDA">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_Toc368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第一章 竞争性磋商公告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_Toc368 \h </w:instrText>
          </w:r>
          <w:r>
            <w:rPr>
              <w:rFonts w:hint="eastAsia" w:ascii="仿宋" w:hAnsi="仿宋" w:eastAsia="仿宋" w:cs="仿宋"/>
              <w:sz w:val="30"/>
              <w:szCs w:val="30"/>
            </w:rPr>
            <w:fldChar w:fldCharType="separate"/>
          </w:r>
          <w:r>
            <w:rPr>
              <w:rFonts w:hint="eastAsia" w:ascii="仿宋" w:hAnsi="仿宋" w:eastAsia="仿宋" w:cs="仿宋"/>
              <w:sz w:val="30"/>
              <w:szCs w:val="30"/>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13D86448">
          <w:pPr>
            <w:rPr>
              <w:rFonts w:hint="eastAsia"/>
            </w:rPr>
          </w:pPr>
        </w:p>
        <w:p w14:paraId="31758A5A">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_Toc8466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 xml:space="preserve">第二章 </w:t>
          </w:r>
          <w:r>
            <w:rPr>
              <w:rFonts w:hint="eastAsia" w:ascii="仿宋" w:hAnsi="仿宋" w:eastAsia="仿宋" w:cs="仿宋"/>
              <w:bCs/>
              <w:sz w:val="30"/>
              <w:szCs w:val="30"/>
            </w:rPr>
            <w:t>供应商须知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_Toc8466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A7197DE">
          <w:pPr>
            <w:rPr>
              <w:rFonts w:hint="eastAsia"/>
            </w:rPr>
          </w:pPr>
        </w:p>
        <w:p w14:paraId="5E103E27">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_Toc15280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第三章 工程量清单、图纸（另附）</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_Toc15280 \h </w:instrText>
          </w:r>
          <w:r>
            <w:rPr>
              <w:rFonts w:hint="eastAsia" w:ascii="仿宋" w:hAnsi="仿宋" w:eastAsia="仿宋" w:cs="仿宋"/>
              <w:sz w:val="30"/>
              <w:szCs w:val="30"/>
            </w:rPr>
            <w:fldChar w:fldCharType="separate"/>
          </w:r>
          <w:r>
            <w:rPr>
              <w:rFonts w:hint="eastAsia" w:ascii="仿宋" w:hAnsi="仿宋" w:eastAsia="仿宋" w:cs="仿宋"/>
              <w:sz w:val="30"/>
              <w:szCs w:val="30"/>
            </w:rPr>
            <w:t>18</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18D7ADB">
          <w:pPr>
            <w:rPr>
              <w:rFonts w:hint="eastAsia"/>
            </w:rPr>
          </w:pPr>
        </w:p>
        <w:p w14:paraId="4F46BE99">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_Toc10615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第四章 合同条款及格式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_Toc10615 \h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02666FE2">
          <w:pPr>
            <w:rPr>
              <w:rFonts w:hint="eastAsia"/>
            </w:rPr>
          </w:pPr>
        </w:p>
        <w:p w14:paraId="23B23BF3">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_Toc26798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 xml:space="preserve">第五章 </w:t>
          </w:r>
          <w:r>
            <w:rPr>
              <w:rFonts w:hint="eastAsia" w:ascii="仿宋" w:hAnsi="仿宋" w:eastAsia="仿宋" w:cs="仿宋"/>
              <w:bCs/>
              <w:sz w:val="30"/>
              <w:szCs w:val="30"/>
            </w:rPr>
            <w:t>磋商响应文件格式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_Toc26798 \h </w:instrText>
          </w:r>
          <w:r>
            <w:rPr>
              <w:rFonts w:hint="eastAsia" w:ascii="仿宋" w:hAnsi="仿宋" w:eastAsia="仿宋" w:cs="仿宋"/>
              <w:sz w:val="30"/>
              <w:szCs w:val="30"/>
            </w:rPr>
            <w:fldChar w:fldCharType="separate"/>
          </w:r>
          <w:r>
            <w:rPr>
              <w:rFonts w:hint="eastAsia" w:ascii="仿宋" w:hAnsi="仿宋" w:eastAsia="仿宋" w:cs="仿宋"/>
              <w:sz w:val="30"/>
              <w:szCs w:val="30"/>
            </w:rPr>
            <w:t>20</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082CD2C6">
          <w:pPr>
            <w:rPr>
              <w:rFonts w:hint="eastAsia"/>
            </w:rPr>
          </w:pPr>
        </w:p>
        <w:p w14:paraId="351297D6">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_Toc3349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附评标办法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_Toc3349 \h </w:instrText>
          </w:r>
          <w:r>
            <w:rPr>
              <w:rFonts w:hint="eastAsia" w:ascii="仿宋" w:hAnsi="仿宋" w:eastAsia="仿宋" w:cs="仿宋"/>
              <w:sz w:val="30"/>
              <w:szCs w:val="30"/>
            </w:rPr>
            <w:fldChar w:fldCharType="separate"/>
          </w:r>
          <w:r>
            <w:rPr>
              <w:rFonts w:hint="eastAsia" w:ascii="仿宋" w:hAnsi="仿宋" w:eastAsia="仿宋" w:cs="仿宋"/>
              <w:sz w:val="30"/>
              <w:szCs w:val="30"/>
            </w:rPr>
            <w:t>37</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6C4F0334">
          <w:pPr>
            <w:rPr>
              <w:rFonts w:hint="eastAsia"/>
            </w:rPr>
          </w:pPr>
        </w:p>
        <w:p w14:paraId="1A88C3CE">
          <w:pPr>
            <w:pStyle w:val="2"/>
            <w:tabs>
              <w:tab w:val="right" w:leader="dot" w:pos="9073"/>
            </w:tabs>
            <w:spacing w:line="72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_Toc18085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rPr>
            <w:t>第二轮报价函（格式）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_Toc18085 \h </w:instrText>
          </w:r>
          <w:r>
            <w:rPr>
              <w:rFonts w:hint="eastAsia" w:ascii="仿宋" w:hAnsi="仿宋" w:eastAsia="仿宋" w:cs="仿宋"/>
              <w:sz w:val="30"/>
              <w:szCs w:val="30"/>
            </w:rPr>
            <w:fldChar w:fldCharType="separate"/>
          </w:r>
          <w:r>
            <w:rPr>
              <w:rFonts w:hint="eastAsia" w:ascii="仿宋" w:hAnsi="仿宋" w:eastAsia="仿宋" w:cs="仿宋"/>
              <w:sz w:val="30"/>
              <w:szCs w:val="30"/>
            </w:rPr>
            <w:t>42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380F7A4B">
          <w:pPr>
            <w:rPr>
              <w:rFonts w:hint="eastAsia"/>
            </w:rPr>
          </w:pPr>
        </w:p>
        <w:p w14:paraId="3364FD60">
          <w:pPr>
            <w:pStyle w:val="2"/>
            <w:tabs>
              <w:tab w:val="right" w:leader="dot" w:pos="9073"/>
            </w:tabs>
            <w:spacing w:line="720" w:lineRule="auto"/>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\l _Toc32472 </w:instrText>
          </w:r>
          <w:r>
            <w:rPr>
              <w:rFonts w:hint="eastAsia" w:ascii="仿宋" w:hAnsi="仿宋" w:eastAsia="仿宋" w:cs="仿宋"/>
              <w:sz w:val="30"/>
              <w:szCs w:val="30"/>
              <w:lang w:val="en-US" w:eastAsia="zh-CN"/>
            </w:rPr>
            <w:fldChar w:fldCharType="separate"/>
          </w:r>
          <w:r>
            <w:rPr>
              <w:rFonts w:hint="eastAsia" w:ascii="仿宋" w:hAnsi="仿宋" w:eastAsia="仿宋" w:cs="仿宋"/>
              <w:bCs/>
              <w:sz w:val="30"/>
              <w:szCs w:val="30"/>
              <w:lang w:val="en-US" w:eastAsia="zh-CN"/>
            </w:rPr>
            <w:t>河南省政府采购合同融资政策告知函</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_Toc32472 \h </w:instrText>
          </w:r>
          <w:r>
            <w:rPr>
              <w:rFonts w:hint="eastAsia" w:ascii="仿宋" w:hAnsi="仿宋" w:eastAsia="仿宋" w:cs="仿宋"/>
              <w:sz w:val="30"/>
              <w:szCs w:val="30"/>
            </w:rPr>
            <w:fldChar w:fldCharType="separate"/>
          </w:r>
          <w:r>
            <w:rPr>
              <w:rFonts w:hint="eastAsia" w:ascii="仿宋" w:hAnsi="仿宋" w:eastAsia="仿宋" w:cs="仿宋"/>
              <w:sz w:val="30"/>
              <w:szCs w:val="30"/>
            </w:rPr>
            <w:t>43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fldChar w:fldCharType="end"/>
          </w:r>
        </w:p>
        <w:p w14:paraId="2A46F46C">
          <w:pPr>
            <w:pStyle w:val="46"/>
            <w:rPr>
              <w:rFonts w:hint="eastAsia" w:ascii="Times New Roman" w:hAnsi="Times New Roman" w:eastAsia="宋体" w:cs="Times New Roman"/>
              <w:kern w:val="2"/>
              <w:sz w:val="21"/>
              <w:szCs w:val="24"/>
              <w:lang w:val="en-US" w:eastAsia="zh-CN" w:bidi="ar-SA"/>
            </w:rPr>
          </w:pPr>
          <w:r>
            <w:rPr>
              <w:rFonts w:hint="eastAsia"/>
              <w:lang w:val="en-US" w:eastAsia="zh-CN"/>
            </w:rPr>
            <w:fldChar w:fldCharType="end"/>
          </w:r>
        </w:p>
      </w:sdtContent>
    </w:sdt>
    <w:p w14:paraId="19D6FED3">
      <w:pPr>
        <w:rPr>
          <w:rFonts w:hint="eastAsia"/>
          <w:lang w:val="en-US" w:eastAsia="zh-CN"/>
        </w:rPr>
      </w:pPr>
    </w:p>
    <w:p w14:paraId="59E4DFB1">
      <w:pPr>
        <w:rPr>
          <w:rFonts w:hint="eastAsia"/>
          <w:b/>
          <w:bCs/>
          <w:sz w:val="32"/>
          <w:szCs w:val="32"/>
          <w:lang w:val="en-US" w:eastAsia="zh-CN"/>
        </w:rPr>
      </w:pPr>
      <w:r>
        <w:rPr>
          <w:rFonts w:hint="eastAsia"/>
          <w:b/>
          <w:bCs/>
          <w:sz w:val="32"/>
          <w:szCs w:val="32"/>
          <w:lang w:val="en-US" w:eastAsia="zh-CN"/>
        </w:rPr>
        <w:br w:type="page"/>
      </w:r>
    </w:p>
    <w:p w14:paraId="5B466246">
      <w:pPr>
        <w:pageBreakBefore w:val="0"/>
        <w:kinsoku/>
        <w:overflowPunct/>
        <w:topLinePunct w:val="0"/>
        <w:autoSpaceDE/>
        <w:autoSpaceDN/>
        <w:bidi w:val="0"/>
        <w:snapToGrid/>
        <w:spacing w:line="360" w:lineRule="auto"/>
        <w:jc w:val="center"/>
        <w:outlineLvl w:val="0"/>
        <w:rPr>
          <w:rFonts w:hint="default"/>
          <w:b/>
          <w:bCs/>
          <w:sz w:val="32"/>
          <w:szCs w:val="32"/>
          <w:lang w:val="en-US" w:eastAsia="zh-CN"/>
        </w:rPr>
      </w:pPr>
      <w:bookmarkStart w:id="0" w:name="_Toc368"/>
      <w:r>
        <w:rPr>
          <w:rFonts w:hint="eastAsia"/>
          <w:b/>
          <w:bCs/>
          <w:sz w:val="32"/>
          <w:szCs w:val="32"/>
          <w:lang w:val="en-US" w:eastAsia="zh-CN"/>
        </w:rPr>
        <w:t>第一章 竞争性磋商公告</w:t>
      </w:r>
      <w:bookmarkEnd w:id="0"/>
    </w:p>
    <w:p w14:paraId="61327CD3">
      <w:pPr>
        <w:pageBreakBefore w:val="0"/>
        <w:kinsoku/>
        <w:overflowPunct/>
        <w:topLinePunct w:val="0"/>
        <w:autoSpaceDE/>
        <w:autoSpaceDN/>
        <w:bidi w:val="0"/>
        <w:snapToGrid/>
        <w:spacing w:line="360" w:lineRule="auto"/>
        <w:jc w:val="center"/>
        <w:outlineLvl w:val="1"/>
        <w:rPr>
          <w:rFonts w:hint="eastAsia" w:ascii="宋体" w:hAnsi="宋体" w:cs="宋体"/>
          <w:b/>
          <w:sz w:val="28"/>
          <w:szCs w:val="28"/>
          <w:lang w:val="en-US" w:eastAsia="zh-CN"/>
        </w:rPr>
      </w:pPr>
      <w:r>
        <w:rPr>
          <w:rFonts w:hint="eastAsia" w:ascii="宋体" w:hAnsi="宋体" w:cs="宋体"/>
          <w:b/>
          <w:sz w:val="28"/>
          <w:szCs w:val="28"/>
          <w:lang w:val="en-US" w:eastAsia="zh-CN"/>
        </w:rPr>
        <w:t xml:space="preserve"> 民权县北关镇人民政府2025年农村灌溉机井建设项目</w:t>
      </w:r>
    </w:p>
    <w:p w14:paraId="1579B1FD">
      <w:pPr>
        <w:pageBreakBefore w:val="0"/>
        <w:kinsoku/>
        <w:overflowPunct/>
        <w:topLinePunct w:val="0"/>
        <w:autoSpaceDE/>
        <w:autoSpaceDN/>
        <w:bidi w:val="0"/>
        <w:snapToGrid/>
        <w:spacing w:line="360" w:lineRule="auto"/>
        <w:jc w:val="center"/>
        <w:rPr>
          <w:rFonts w:hint="eastAsia" w:ascii="宋体" w:hAnsi="宋体" w:cs="宋体"/>
          <w:b/>
          <w:sz w:val="28"/>
          <w:szCs w:val="28"/>
          <w:lang w:val="en-US" w:eastAsia="zh-CN"/>
        </w:rPr>
      </w:pPr>
      <w:r>
        <w:rPr>
          <w:rFonts w:hint="eastAsia" w:ascii="宋体" w:hAnsi="宋体" w:cs="宋体"/>
          <w:b/>
          <w:sz w:val="28"/>
          <w:szCs w:val="28"/>
        </w:rPr>
        <w:t>竞争性磋商公告</w:t>
      </w:r>
    </w:p>
    <w:p w14:paraId="100C53B8">
      <w:pPr>
        <w:pageBreakBefore w:val="0"/>
        <w:kinsoku/>
        <w:overflowPunct/>
        <w:topLinePunct w:val="0"/>
        <w:autoSpaceDE/>
        <w:autoSpaceDN/>
        <w:bidi w:val="0"/>
        <w:snapToGrid/>
        <w:spacing w:line="360" w:lineRule="auto"/>
        <w:outlineLvl w:val="1"/>
        <w:rPr>
          <w:rFonts w:hint="eastAsia" w:ascii="宋体" w:hAnsi="宋体" w:eastAsia="宋体" w:cs="宋体"/>
          <w:szCs w:val="21"/>
          <w:lang w:eastAsia="zh-CN"/>
        </w:rPr>
      </w:pPr>
      <w:r>
        <w:rPr>
          <w:rFonts w:hint="eastAsia" w:ascii="宋体" w:hAnsi="宋体" w:cs="宋体"/>
          <w:b/>
          <w:szCs w:val="21"/>
        </w:rPr>
        <w:t>一、</w:t>
      </w:r>
      <w:r>
        <w:rPr>
          <w:rFonts w:hint="eastAsia" w:ascii="宋体" w:hAnsi="宋体" w:cs="宋体"/>
          <w:b/>
          <w:szCs w:val="21"/>
          <w:lang w:val="en-US" w:eastAsia="zh-CN"/>
        </w:rPr>
        <w:t>采购</w:t>
      </w:r>
      <w:r>
        <w:rPr>
          <w:rFonts w:hint="eastAsia" w:ascii="宋体" w:hAnsi="宋体" w:cs="宋体"/>
          <w:b/>
          <w:szCs w:val="21"/>
        </w:rPr>
        <w:t>条件</w:t>
      </w:r>
      <w:r>
        <w:rPr>
          <w:rFonts w:hint="eastAsia" w:ascii="宋体" w:hAnsi="宋体" w:cs="宋体"/>
          <w:b/>
          <w:szCs w:val="21"/>
          <w:lang w:eastAsia="zh-CN"/>
        </w:rPr>
        <w:t>：</w:t>
      </w:r>
    </w:p>
    <w:p w14:paraId="4D43234F">
      <w:pPr>
        <w:pageBreakBefore w:val="0"/>
        <w:kinsoku/>
        <w:overflowPunct/>
        <w:topLinePunct w:val="0"/>
        <w:autoSpaceDE/>
        <w:autoSpaceDN/>
        <w:bidi w:val="0"/>
        <w:snapToGrid/>
        <w:spacing w:line="360" w:lineRule="auto"/>
        <w:ind w:firstLine="420" w:firstLineChars="200"/>
        <w:rPr>
          <w:rFonts w:hint="eastAsia" w:ascii="宋体" w:hAnsi="宋体" w:cs="宋体"/>
          <w:szCs w:val="21"/>
        </w:rPr>
      </w:pPr>
      <w:r>
        <w:rPr>
          <w:rFonts w:hint="eastAsia" w:ascii="宋体" w:hAnsi="宋体" w:cs="宋体"/>
          <w:szCs w:val="21"/>
          <w:lang w:val="en-US" w:eastAsia="zh-CN"/>
        </w:rPr>
        <w:t>河南中智工程咨询有限公司</w:t>
      </w:r>
      <w:r>
        <w:rPr>
          <w:rFonts w:hint="eastAsia" w:ascii="宋体" w:hAnsi="宋体" w:cs="宋体"/>
          <w:szCs w:val="21"/>
        </w:rPr>
        <w:t>受</w:t>
      </w:r>
      <w:r>
        <w:rPr>
          <w:rFonts w:hint="eastAsia" w:ascii="宋体" w:hAnsi="宋体" w:cs="宋体"/>
          <w:szCs w:val="21"/>
          <w:lang w:val="en-US" w:eastAsia="zh-CN"/>
        </w:rPr>
        <w:t>民权县北关镇人民政府</w:t>
      </w:r>
      <w:r>
        <w:rPr>
          <w:rFonts w:hint="eastAsia" w:ascii="宋体" w:hAnsi="宋体" w:cs="宋体"/>
          <w:szCs w:val="21"/>
        </w:rPr>
        <w:t>的委托，就</w:t>
      </w:r>
      <w:r>
        <w:rPr>
          <w:rFonts w:hint="eastAsia" w:ascii="宋体" w:hAnsi="宋体" w:cs="宋体"/>
          <w:szCs w:val="21"/>
          <w:lang w:val="en-US" w:eastAsia="zh-CN"/>
        </w:rPr>
        <w:t>民权县北关镇人民政府2025年农村灌溉机井建设项目</w:t>
      </w:r>
      <w:r>
        <w:rPr>
          <w:rFonts w:hint="eastAsia" w:ascii="宋体" w:hAnsi="宋体" w:cs="宋体"/>
          <w:szCs w:val="21"/>
        </w:rPr>
        <w:t>进行竞争性磋商采购，现欢迎符合相关条件的供应商参加竞争性磋商，现将磋商事宜公告如下：</w:t>
      </w:r>
    </w:p>
    <w:p w14:paraId="233968AC">
      <w:pPr>
        <w:pageBreakBefore w:val="0"/>
        <w:kinsoku/>
        <w:overflowPunct/>
        <w:topLinePunct w:val="0"/>
        <w:autoSpaceDE/>
        <w:autoSpaceDN/>
        <w:bidi w:val="0"/>
        <w:snapToGrid/>
        <w:spacing w:line="360" w:lineRule="auto"/>
        <w:outlineLvl w:val="1"/>
        <w:rPr>
          <w:rFonts w:hint="eastAsia" w:ascii="宋体" w:hAnsi="宋体" w:eastAsia="宋体" w:cs="宋体"/>
          <w:szCs w:val="21"/>
          <w:lang w:eastAsia="zh-CN"/>
        </w:rPr>
      </w:pPr>
      <w:bookmarkStart w:id="1" w:name="_Toc12793"/>
      <w:r>
        <w:rPr>
          <w:rFonts w:hint="eastAsia" w:ascii="宋体" w:hAnsi="宋体" w:cs="宋体"/>
          <w:b/>
          <w:szCs w:val="21"/>
        </w:rPr>
        <w:t>二 、项目概况与招标范围</w:t>
      </w:r>
      <w:r>
        <w:rPr>
          <w:rFonts w:hint="eastAsia" w:ascii="宋体" w:hAnsi="宋体" w:cs="宋体"/>
          <w:b/>
          <w:szCs w:val="21"/>
          <w:lang w:eastAsia="zh-CN"/>
        </w:rPr>
        <w:t>：</w:t>
      </w:r>
      <w:bookmarkEnd w:id="1"/>
    </w:p>
    <w:p w14:paraId="6E669DB9">
      <w:pPr>
        <w:pStyle w:val="89"/>
        <w:pageBreakBefore w:val="0"/>
        <w:kinsoku/>
        <w:overflowPunct/>
        <w:topLinePunct w:val="0"/>
        <w:autoSpaceDE/>
        <w:autoSpaceDN/>
        <w:bidi w:val="0"/>
        <w:snapToGrid/>
        <w:spacing w:line="360" w:lineRule="auto"/>
        <w:ind w:firstLine="420" w:firstLineChars="200"/>
        <w:rPr>
          <w:rFonts w:hint="eastAsia" w:ascii="宋体" w:hAnsi="宋体" w:cs="宋体"/>
          <w:bCs/>
          <w:lang w:eastAsia="zh-CN"/>
        </w:rPr>
      </w:pPr>
      <w:r>
        <w:rPr>
          <w:rFonts w:hint="eastAsia" w:ascii="宋体" w:hAnsi="宋体" w:cs="宋体"/>
          <w:bCs/>
        </w:rPr>
        <w:t>2.1项目名称：</w:t>
      </w:r>
      <w:r>
        <w:rPr>
          <w:rFonts w:hint="eastAsia" w:ascii="宋体" w:hAnsi="宋体" w:cs="宋体"/>
          <w:bCs/>
          <w:lang w:eastAsia="zh-CN"/>
        </w:rPr>
        <w:t>民权县北关镇人民政府2025年农村灌溉机井建设项目</w:t>
      </w:r>
    </w:p>
    <w:p w14:paraId="26BB6F28">
      <w:pPr>
        <w:pStyle w:val="89"/>
        <w:pageBreakBefore w:val="0"/>
        <w:kinsoku/>
        <w:overflowPunct/>
        <w:topLinePunct w:val="0"/>
        <w:autoSpaceDE/>
        <w:autoSpaceDN/>
        <w:bidi w:val="0"/>
        <w:snapToGrid/>
        <w:spacing w:line="360" w:lineRule="auto"/>
        <w:ind w:firstLine="420" w:firstLineChars="200"/>
        <w:rPr>
          <w:rFonts w:hint="eastAsia" w:ascii="宋体" w:hAnsi="宋体" w:cs="宋体"/>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2.2采购编号：</w:t>
      </w:r>
      <w:r>
        <w:rPr>
          <w:rFonts w:hint="eastAsia" w:ascii="宋体" w:hAnsi="宋体" w:cs="宋体"/>
          <w:bCs/>
          <w:color w:val="000000" w:themeColor="text1"/>
          <w:lang w:val="en-US" w:eastAsia="zh-CN"/>
          <w14:textFill>
            <w14:solidFill>
              <w14:schemeClr w14:val="tx1"/>
            </w14:solidFill>
          </w14:textFill>
        </w:rPr>
        <w:t xml:space="preserve">民财采磋-2025-27       </w:t>
      </w:r>
      <w:r>
        <w:rPr>
          <w:rFonts w:hint="eastAsia" w:ascii="宋体" w:hAnsi="宋体" w:cs="宋体"/>
          <w:bCs/>
          <w:color w:val="000000" w:themeColor="text1"/>
          <w14:textFill>
            <w14:solidFill>
              <w14:schemeClr w14:val="tx1"/>
            </w14:solidFill>
          </w14:textFill>
        </w:rPr>
        <w:t>招标编号：</w:t>
      </w:r>
      <w:r>
        <w:rPr>
          <w:rFonts w:hint="eastAsia" w:ascii="宋体" w:hAnsi="宋体" w:cs="宋体"/>
          <w:bCs/>
          <w:color w:val="000000" w:themeColor="text1"/>
          <w:lang w:val="en-US" w:eastAsia="zh-CN"/>
          <w14:textFill>
            <w14:solidFill>
              <w14:schemeClr w14:val="tx1"/>
            </w14:solidFill>
          </w14:textFill>
        </w:rPr>
        <w:t xml:space="preserve">商政采【2025】391号  </w:t>
      </w:r>
    </w:p>
    <w:p w14:paraId="737191F6">
      <w:pPr>
        <w:pStyle w:val="89"/>
        <w:pageBreakBefore w:val="0"/>
        <w:kinsoku/>
        <w:overflowPunct/>
        <w:topLinePunct w:val="0"/>
        <w:autoSpaceDE/>
        <w:autoSpaceDN/>
        <w:bidi w:val="0"/>
        <w:snapToGrid/>
        <w:spacing w:line="360" w:lineRule="auto"/>
        <w:ind w:firstLine="420" w:firstLineChars="200"/>
        <w:rPr>
          <w:rFonts w:hint="eastAsia" w:ascii="宋体" w:hAnsi="宋体" w:cs="宋体"/>
          <w:bCs/>
        </w:rPr>
      </w:pPr>
      <w:r>
        <w:rPr>
          <w:rFonts w:hint="eastAsia" w:ascii="宋体" w:hAnsi="宋体" w:cs="宋体"/>
          <w:bCs/>
        </w:rPr>
        <w:t>2.3建设地点：</w:t>
      </w:r>
      <w:r>
        <w:rPr>
          <w:rFonts w:hint="eastAsia" w:ascii="宋体" w:hAnsi="宋体" w:cs="宋体"/>
          <w:bCs/>
          <w:lang w:eastAsia="zh-CN"/>
        </w:rPr>
        <w:t>民权县</w:t>
      </w:r>
      <w:r>
        <w:rPr>
          <w:rFonts w:hint="eastAsia" w:ascii="宋体" w:hAnsi="宋体" w:cs="宋体"/>
          <w:bCs/>
          <w:lang w:val="en-US" w:eastAsia="zh-CN"/>
        </w:rPr>
        <w:t>境内</w:t>
      </w:r>
    </w:p>
    <w:p w14:paraId="6445C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Cs/>
          <w:highlight w:val="none"/>
          <w:lang w:val="en-US" w:eastAsia="zh-CN"/>
        </w:rPr>
      </w:pPr>
      <w:r>
        <w:rPr>
          <w:rFonts w:hint="eastAsia" w:ascii="宋体" w:hAnsi="宋体" w:cs="宋体"/>
          <w:bCs/>
          <w:highlight w:val="none"/>
          <w:lang w:val="en-US" w:eastAsia="zh-CN"/>
        </w:rPr>
        <w:t>2.4采购控制价：1123593.95元</w:t>
      </w:r>
    </w:p>
    <w:p w14:paraId="03F6F3BE">
      <w:pPr>
        <w:pStyle w:val="89"/>
        <w:pageBreakBefore w:val="0"/>
        <w:kinsoku/>
        <w:overflowPunct/>
        <w:topLinePunct w:val="0"/>
        <w:autoSpaceDE/>
        <w:autoSpaceDN/>
        <w:bidi w:val="0"/>
        <w:snapToGrid/>
        <w:spacing w:line="360" w:lineRule="auto"/>
        <w:ind w:firstLine="420" w:firstLineChars="200"/>
        <w:rPr>
          <w:rFonts w:hint="eastAsia" w:ascii="宋体" w:hAnsi="宋体" w:cs="宋体"/>
          <w:bCs/>
          <w:color w:val="000000"/>
          <w:lang w:eastAsia="zh-CN"/>
        </w:rPr>
      </w:pPr>
      <w:r>
        <w:rPr>
          <w:rFonts w:hint="eastAsia" w:ascii="宋体" w:hAnsi="宋体" w:cs="宋体"/>
          <w:bCs/>
        </w:rPr>
        <w:t>2.5招标</w:t>
      </w:r>
      <w:r>
        <w:rPr>
          <w:rFonts w:hint="eastAsia" w:ascii="宋体" w:hAnsi="宋体" w:cs="宋体"/>
          <w:bCs/>
          <w:color w:val="000000"/>
        </w:rPr>
        <w:t>范围：</w:t>
      </w:r>
      <w:r>
        <w:rPr>
          <w:rFonts w:hint="eastAsia" w:ascii="宋体" w:hAnsi="宋体" w:cs="宋体"/>
          <w:bCs/>
          <w:color w:val="000000"/>
          <w:lang w:eastAsia="zh-CN"/>
        </w:rPr>
        <w:t>招标文件、图纸、清单全部内容</w:t>
      </w:r>
    </w:p>
    <w:p w14:paraId="4AB05682">
      <w:pPr>
        <w:pStyle w:val="89"/>
        <w:pageBreakBefore w:val="0"/>
        <w:kinsoku/>
        <w:overflowPunct/>
        <w:topLinePunct w:val="0"/>
        <w:autoSpaceDE/>
        <w:autoSpaceDN/>
        <w:bidi w:val="0"/>
        <w:snapToGrid/>
        <w:spacing w:line="360" w:lineRule="auto"/>
        <w:ind w:firstLine="420" w:firstLineChars="200"/>
        <w:rPr>
          <w:rFonts w:hint="eastAsia" w:ascii="宋体" w:hAnsi="宋体" w:eastAsia="宋体" w:cs="宋体"/>
          <w:bCs/>
          <w:color w:val="000000"/>
          <w:lang w:eastAsia="zh-CN"/>
        </w:rPr>
      </w:pPr>
      <w:r>
        <w:rPr>
          <w:rFonts w:hint="eastAsia" w:ascii="宋体" w:hAnsi="宋体" w:cs="宋体"/>
          <w:bCs/>
          <w:color w:val="000000"/>
        </w:rPr>
        <w:t>2.6标段划分：</w:t>
      </w:r>
      <w:r>
        <w:rPr>
          <w:rFonts w:hint="eastAsia" w:ascii="宋体" w:hAnsi="宋体" w:cs="宋体"/>
          <w:bCs/>
          <w:color w:val="000000"/>
          <w:lang w:eastAsia="zh-CN"/>
        </w:rPr>
        <w:t>一个标段</w:t>
      </w:r>
    </w:p>
    <w:p w14:paraId="7FE9D455">
      <w:pPr>
        <w:pStyle w:val="89"/>
        <w:pageBreakBefore w:val="0"/>
        <w:kinsoku/>
        <w:overflowPunct/>
        <w:topLinePunct w:val="0"/>
        <w:autoSpaceDE/>
        <w:autoSpaceDN/>
        <w:bidi w:val="0"/>
        <w:snapToGrid/>
        <w:spacing w:line="360" w:lineRule="auto"/>
        <w:ind w:firstLine="420" w:firstLineChars="200"/>
        <w:rPr>
          <w:rFonts w:hint="eastAsia" w:ascii="宋体" w:hAnsi="宋体" w:eastAsia="宋体" w:cs="宋体"/>
          <w:bCs/>
          <w:color w:val="auto"/>
          <w:lang w:eastAsia="zh-CN"/>
        </w:rPr>
      </w:pPr>
      <w:r>
        <w:rPr>
          <w:rFonts w:hint="eastAsia" w:ascii="宋体" w:hAnsi="宋体" w:cs="宋体"/>
          <w:bCs/>
          <w:color w:val="auto"/>
        </w:rPr>
        <w:t>2.7</w:t>
      </w:r>
      <w:r>
        <w:rPr>
          <w:rFonts w:hint="eastAsia" w:ascii="宋体" w:hAnsi="宋体" w:cs="宋体"/>
          <w:bCs/>
          <w:color w:val="auto"/>
          <w:lang w:eastAsia="zh-CN"/>
        </w:rPr>
        <w:t>工期：自合同签订后20日历天内</w:t>
      </w:r>
    </w:p>
    <w:p w14:paraId="2ACE7C33">
      <w:pPr>
        <w:pStyle w:val="89"/>
        <w:pageBreakBefore w:val="0"/>
        <w:kinsoku/>
        <w:overflowPunct/>
        <w:topLinePunct w:val="0"/>
        <w:autoSpaceDE/>
        <w:autoSpaceDN/>
        <w:bidi w:val="0"/>
        <w:snapToGrid/>
        <w:spacing w:line="360" w:lineRule="auto"/>
        <w:ind w:firstLine="420" w:firstLineChars="200"/>
        <w:rPr>
          <w:rFonts w:hint="eastAsia" w:ascii="宋体" w:hAnsi="宋体" w:cs="宋体"/>
          <w:bCs/>
          <w:color w:val="000000"/>
        </w:rPr>
      </w:pPr>
      <w:r>
        <w:rPr>
          <w:rFonts w:hint="eastAsia" w:ascii="宋体" w:hAnsi="宋体" w:cs="宋体"/>
          <w:bCs/>
          <w:color w:val="000000"/>
        </w:rPr>
        <w:t>2.8质量要求：合格</w:t>
      </w:r>
    </w:p>
    <w:p w14:paraId="5CDCAF15">
      <w:pPr>
        <w:pStyle w:val="89"/>
        <w:pageBreakBefore w:val="0"/>
        <w:kinsoku/>
        <w:overflowPunct/>
        <w:topLinePunct w:val="0"/>
        <w:autoSpaceDE/>
        <w:autoSpaceDN/>
        <w:bidi w:val="0"/>
        <w:snapToGrid/>
        <w:spacing w:line="360" w:lineRule="auto"/>
        <w:ind w:firstLine="420" w:firstLineChars="200"/>
        <w:rPr>
          <w:rFonts w:ascii="宋体" w:hAnsi="宋体" w:cs="宋体"/>
          <w:bCs/>
        </w:rPr>
      </w:pPr>
      <w:r>
        <w:rPr>
          <w:rFonts w:hint="eastAsia" w:ascii="宋体" w:hAnsi="宋体" w:cs="宋体"/>
          <w:bCs/>
        </w:rPr>
        <w:t>2.9资金来源：</w:t>
      </w:r>
      <w:r>
        <w:rPr>
          <w:rFonts w:hint="eastAsia" w:ascii="宋体" w:hAnsi="宋体" w:cs="宋体"/>
          <w:bCs/>
          <w:lang w:val="en-US" w:eastAsia="zh-CN"/>
        </w:rPr>
        <w:t>自筹资金</w:t>
      </w:r>
    </w:p>
    <w:p w14:paraId="187AEB12">
      <w:pPr>
        <w:pageBreakBefore w:val="0"/>
        <w:kinsoku/>
        <w:overflowPunct/>
        <w:topLinePunct w:val="0"/>
        <w:autoSpaceDE/>
        <w:autoSpaceDN/>
        <w:bidi w:val="0"/>
        <w:snapToGrid/>
        <w:spacing w:line="360" w:lineRule="auto"/>
        <w:ind w:firstLine="420" w:firstLineChars="200"/>
        <w:outlineLvl w:val="9"/>
        <w:rPr>
          <w:rFonts w:hint="eastAsia" w:ascii="宋体" w:hAnsi="宋体" w:cs="宋体"/>
          <w:b/>
          <w:sz w:val="21"/>
          <w:szCs w:val="21"/>
        </w:rPr>
      </w:pPr>
      <w:bookmarkStart w:id="2" w:name="_Toc31032"/>
      <w:r>
        <w:rPr>
          <w:rFonts w:hint="eastAsia" w:ascii="宋体" w:hAnsi="宋体" w:cs="宋体"/>
          <w:b w:val="0"/>
          <w:bCs/>
          <w:sz w:val="21"/>
          <w:szCs w:val="21"/>
          <w:lang w:val="en-US" w:eastAsia="zh-CN"/>
        </w:rPr>
        <w:t>2.10</w:t>
      </w:r>
      <w:r>
        <w:rPr>
          <w:rFonts w:hint="eastAsia" w:ascii="宋体" w:hAnsi="宋体" w:eastAsia="宋体" w:cs="宋体"/>
          <w:color w:val="auto"/>
          <w:sz w:val="21"/>
          <w:szCs w:val="21"/>
          <w:highlight w:val="none"/>
          <w:lang w:val="en-US" w:eastAsia="zh-CN"/>
        </w:rPr>
        <w:t>本项目落实的政府采购政策：支持中小企业发展、强制采购节能产品、优先采购环境标志产品（如有）。</w:t>
      </w:r>
      <w:bookmarkEnd w:id="2"/>
    </w:p>
    <w:p w14:paraId="4ABEC469">
      <w:pPr>
        <w:pageBreakBefore w:val="0"/>
        <w:kinsoku/>
        <w:overflowPunct/>
        <w:topLinePunct w:val="0"/>
        <w:autoSpaceDE/>
        <w:autoSpaceDN/>
        <w:bidi w:val="0"/>
        <w:snapToGrid/>
        <w:spacing w:line="360" w:lineRule="auto"/>
        <w:outlineLvl w:val="1"/>
        <w:rPr>
          <w:rFonts w:ascii="宋体" w:hAnsi="宋体" w:cs="宋体"/>
          <w:b/>
          <w:szCs w:val="21"/>
        </w:rPr>
      </w:pPr>
      <w:bookmarkStart w:id="3" w:name="_Toc4140"/>
      <w:r>
        <w:rPr>
          <w:rFonts w:hint="eastAsia" w:ascii="宋体" w:hAnsi="宋体" w:cs="宋体"/>
          <w:b/>
          <w:szCs w:val="21"/>
        </w:rPr>
        <w:t>三、供应商资格要求：</w:t>
      </w:r>
      <w:bookmarkEnd w:id="3"/>
    </w:p>
    <w:p w14:paraId="77930359">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3.1.供应商须符合《中华人民共和国政府采购法》第二十二条规定的条件，提供下列材料：</w:t>
      </w:r>
    </w:p>
    <w:p w14:paraId="6AEB4A83">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（一）具有独立承担民事责任的能力；（提供有效的营业执照或事业单位法人证书）；</w:t>
      </w:r>
    </w:p>
    <w:p w14:paraId="3BD12027">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（二）具有良好的商业信誉和健全的财务会计制度；（提供2024年度经审计且注册会计师签字并盖章的完整的财务报告或财务报表（新成立企业从成立之日起算））。</w:t>
      </w:r>
    </w:p>
    <w:p w14:paraId="189861EF">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（三）具有履行合同所必需的设备和专业技术能力；（提供承诺书，格式自拟）；</w:t>
      </w:r>
    </w:p>
    <w:p w14:paraId="3C562D8A">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四）有依法缴纳税收和社会保障资金的良好记录；（提供2025年1月份以来任意一个月的纳税和社保缴纳凭证，依法免税或不需要缴纳社会保障资金的供应商，应提供相应文件证明其依法免税或不需要缴纳社会保障资金）；</w:t>
      </w:r>
    </w:p>
    <w:p w14:paraId="5231CD42">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（五）参加政府采购活动前三年内，在经营活动中没有重大违法记录；（提供承诺书，格式自拟）</w:t>
      </w:r>
    </w:p>
    <w:p w14:paraId="18ABD354">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30" w:firstLineChars="300"/>
        <w:jc w:val="left"/>
        <w:textAlignment w:val="auto"/>
        <w:outlineLvl w:val="2"/>
        <w:rPr>
          <w:rStyle w:val="51"/>
          <w:rFonts w:hint="eastAsia" w:ascii="宋体" w:hAnsi="宋体" w:eastAsia="宋体" w:cs="宋体"/>
          <w:b w:val="0"/>
          <w:bCs w:val="0"/>
          <w:color w:val="000000"/>
          <w:sz w:val="21"/>
          <w:szCs w:val="21"/>
          <w:shd w:val="clear" w:color="auto" w:fill="FFFFFF"/>
          <w:lang w:val="en-US" w:eastAsia="zh-CN"/>
        </w:rPr>
      </w:pPr>
      <w:r>
        <w:rPr>
          <w:rStyle w:val="51"/>
          <w:rFonts w:hint="eastAsia" w:ascii="宋体" w:hAnsi="宋体" w:eastAsia="宋体" w:cs="宋体"/>
          <w:b w:val="0"/>
          <w:bCs w:val="0"/>
          <w:color w:val="000000"/>
          <w:sz w:val="21"/>
          <w:szCs w:val="21"/>
          <w:shd w:val="clear" w:color="auto" w:fill="FFFFFF"/>
          <w:lang w:val="en-US" w:eastAsia="zh-CN"/>
        </w:rPr>
        <w:t>（六）法律、行政法规规定的其他条件（提供承诺书，格式自拟）。</w:t>
      </w:r>
    </w:p>
    <w:p w14:paraId="29F097E2">
      <w:pPr>
        <w:pStyle w:val="4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000000"/>
          <w:sz w:val="21"/>
          <w:szCs w:val="21"/>
          <w:shd w:val="clear" w:color="auto" w:fill="FFFFFF"/>
          <w:lang w:val="zh-CN"/>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000000"/>
          <w:sz w:val="21"/>
          <w:szCs w:val="21"/>
          <w:lang w:val="en-US" w:eastAsia="zh-CN"/>
        </w:rPr>
        <w:t>供应商须具备</w:t>
      </w:r>
      <w:r>
        <w:rPr>
          <w:rFonts w:hint="eastAsia" w:cs="宋体"/>
          <w:kern w:val="0"/>
          <w:sz w:val="21"/>
          <w:szCs w:val="21"/>
          <w:lang w:val="en-US" w:eastAsia="zh-CN" w:bidi="ar"/>
        </w:rPr>
        <w:t>水利水电工程施工总承包</w:t>
      </w:r>
      <w:r>
        <w:rPr>
          <w:rFonts w:hint="eastAsia" w:ascii="宋体" w:hAnsi="宋体" w:eastAsia="宋体" w:cs="宋体"/>
          <w:kern w:val="0"/>
          <w:sz w:val="21"/>
          <w:szCs w:val="21"/>
          <w:lang w:val="en-US" w:eastAsia="zh-CN" w:bidi="ar"/>
        </w:rPr>
        <w:t>叁级及以上资质，</w:t>
      </w:r>
      <w:r>
        <w:rPr>
          <w:rFonts w:hint="eastAsia" w:ascii="宋体" w:hAnsi="宋体" w:eastAsia="宋体" w:cs="宋体"/>
          <w:color w:val="000000"/>
          <w:sz w:val="21"/>
          <w:szCs w:val="21"/>
          <w:shd w:val="clear" w:color="auto" w:fill="FFFFFF"/>
        </w:rPr>
        <w:t>具备</w:t>
      </w:r>
      <w:r>
        <w:rPr>
          <w:rFonts w:hint="eastAsia" w:ascii="宋体" w:hAnsi="宋体" w:eastAsia="宋体" w:cs="宋体"/>
          <w:color w:val="000000"/>
          <w:sz w:val="21"/>
          <w:szCs w:val="21"/>
          <w:shd w:val="clear" w:color="auto" w:fill="FFFFFF"/>
          <w:lang w:eastAsia="zh-CN"/>
        </w:rPr>
        <w:t>有效的</w:t>
      </w:r>
      <w:r>
        <w:rPr>
          <w:rFonts w:hint="eastAsia" w:ascii="宋体" w:hAnsi="宋体" w:eastAsia="宋体" w:cs="宋体"/>
          <w:color w:val="000000"/>
          <w:sz w:val="21"/>
          <w:szCs w:val="21"/>
          <w:shd w:val="clear" w:color="auto" w:fill="FFFFFF"/>
        </w:rPr>
        <w:t>安全生产许可证</w:t>
      </w:r>
      <w:r>
        <w:rPr>
          <w:rFonts w:hint="eastAsia" w:ascii="宋体" w:hAnsi="宋体" w:eastAsia="宋体" w:cs="宋体"/>
          <w:color w:val="000000"/>
          <w:sz w:val="21"/>
          <w:szCs w:val="21"/>
        </w:rPr>
        <w:t>；</w:t>
      </w:r>
      <w:r>
        <w:rPr>
          <w:rFonts w:hint="eastAsia" w:ascii="宋体" w:hAnsi="宋体" w:eastAsia="宋体" w:cs="宋体"/>
          <w:color w:val="auto"/>
          <w:sz w:val="21"/>
          <w:szCs w:val="21"/>
          <w:lang w:eastAsia="zh-CN"/>
        </w:rPr>
        <w:t>拟派</w:t>
      </w:r>
      <w:r>
        <w:rPr>
          <w:rFonts w:hint="eastAsia" w:ascii="宋体" w:hAnsi="宋体" w:eastAsia="宋体" w:cs="宋体"/>
          <w:i w:val="0"/>
          <w:caps w:val="0"/>
          <w:color w:val="auto"/>
          <w:spacing w:val="0"/>
          <w:kern w:val="0"/>
          <w:sz w:val="21"/>
          <w:szCs w:val="21"/>
          <w:shd w:val="clear" w:color="auto" w:fill="FFFFFF"/>
          <w:lang w:val="en-US" w:eastAsia="zh-CN" w:bidi="ar"/>
        </w:rPr>
        <w:t>项目经理须具有</w:t>
      </w:r>
      <w:r>
        <w:rPr>
          <w:rFonts w:hint="eastAsia" w:cs="宋体"/>
          <w:i w:val="0"/>
          <w:caps w:val="0"/>
          <w:color w:val="auto"/>
          <w:spacing w:val="0"/>
          <w:kern w:val="0"/>
          <w:sz w:val="21"/>
          <w:szCs w:val="21"/>
          <w:shd w:val="clear" w:color="auto" w:fill="FFFFFF"/>
          <w:lang w:val="en-US" w:eastAsia="zh-CN" w:bidi="ar"/>
        </w:rPr>
        <w:t>水利水电工程专业贰级</w:t>
      </w:r>
      <w:r>
        <w:rPr>
          <w:rFonts w:hint="eastAsia" w:ascii="宋体" w:hAnsi="宋体" w:eastAsia="宋体" w:cs="宋体"/>
          <w:i w:val="0"/>
          <w:caps w:val="0"/>
          <w:color w:val="auto"/>
          <w:spacing w:val="0"/>
          <w:kern w:val="0"/>
          <w:sz w:val="21"/>
          <w:szCs w:val="21"/>
          <w:shd w:val="clear" w:color="auto" w:fill="FFFFFF"/>
          <w:lang w:val="en-US" w:eastAsia="zh-CN" w:bidi="ar"/>
        </w:rPr>
        <w:t>及以上注册建造师证书，</w:t>
      </w:r>
      <w:r>
        <w:rPr>
          <w:rFonts w:hint="eastAsia" w:ascii="宋体" w:hAnsi="宋体" w:eastAsia="宋体" w:cs="宋体"/>
          <w:b w:val="0"/>
          <w:i w:val="0"/>
          <w:caps w:val="0"/>
          <w:color w:val="auto"/>
          <w:spacing w:val="0"/>
          <w:kern w:val="0"/>
          <w:sz w:val="21"/>
          <w:szCs w:val="21"/>
          <w:shd w:val="clear" w:color="auto" w:fill="FFFFFF"/>
          <w:lang w:val="en-US" w:eastAsia="zh-CN" w:bidi="ar-SA"/>
        </w:rPr>
        <w:t>并取得安全生产考核合格</w:t>
      </w:r>
      <w:r>
        <w:rPr>
          <w:rFonts w:hint="eastAsia" w:ascii="宋体" w:hAnsi="宋体" w:eastAsia="宋体" w:cs="宋体"/>
          <w:b w:val="0"/>
          <w:i w:val="0"/>
          <w:caps w:val="0"/>
          <w:color w:val="000000"/>
          <w:spacing w:val="0"/>
          <w:kern w:val="0"/>
          <w:sz w:val="21"/>
          <w:szCs w:val="21"/>
          <w:shd w:val="clear" w:color="auto" w:fill="FFFFFF"/>
          <w:lang w:val="en-US" w:eastAsia="zh-CN" w:bidi="ar-SA"/>
        </w:rPr>
        <w:t>证B证</w:t>
      </w:r>
      <w:r>
        <w:rPr>
          <w:rFonts w:hint="eastAsia" w:ascii="宋体" w:hAnsi="宋体" w:eastAsia="宋体" w:cs="宋体"/>
          <w:color w:val="000000"/>
          <w:sz w:val="21"/>
          <w:szCs w:val="21"/>
        </w:rPr>
        <w:t>，</w:t>
      </w:r>
      <w:r>
        <w:rPr>
          <w:rFonts w:hint="eastAsia" w:cs="宋体"/>
          <w:color w:val="000000"/>
          <w:sz w:val="21"/>
          <w:szCs w:val="21"/>
          <w:lang w:eastAsia="zh-CN"/>
        </w:rPr>
        <w:t>并提供项目经理2025年1月份以来任意一个月的社保缴纳凭证</w:t>
      </w:r>
      <w:r>
        <w:rPr>
          <w:rFonts w:hint="eastAsia" w:ascii="宋体" w:hAnsi="宋体" w:eastAsia="宋体" w:cs="宋体"/>
          <w:color w:val="000000"/>
          <w:sz w:val="21"/>
          <w:szCs w:val="21"/>
          <w:lang w:eastAsia="zh-CN"/>
        </w:rPr>
        <w:t>（以劳动和社会保障部门出具的书面证明或查询清单为准），</w:t>
      </w:r>
      <w:r>
        <w:rPr>
          <w:rFonts w:hint="eastAsia" w:ascii="宋体" w:hAnsi="宋体" w:eastAsia="宋体" w:cs="宋体"/>
          <w:color w:val="000000"/>
          <w:sz w:val="21"/>
          <w:szCs w:val="21"/>
          <w:shd w:val="clear" w:color="auto" w:fill="FFFFFF"/>
          <w:lang w:eastAsia="zh-CN"/>
        </w:rPr>
        <w:t>项目经理</w:t>
      </w:r>
      <w:r>
        <w:rPr>
          <w:rFonts w:hint="eastAsia" w:ascii="宋体" w:hAnsi="宋体" w:eastAsia="宋体" w:cs="宋体"/>
          <w:color w:val="000000"/>
          <w:sz w:val="21"/>
          <w:szCs w:val="21"/>
          <w:shd w:val="clear" w:color="auto" w:fill="FFFFFF"/>
        </w:rPr>
        <w:t>不得有在建工程</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所承揽的施工项目未交工或正在施工的项目经理不允许参与投标，若项目经理不符合该条要求而参加投标，一经查实，随时取消申请人的资格</w:t>
      </w:r>
      <w:r>
        <w:rPr>
          <w:rFonts w:hint="eastAsia" w:ascii="宋体" w:hAnsi="宋体" w:eastAsia="宋体" w:cs="宋体"/>
          <w:color w:val="000000"/>
          <w:sz w:val="21"/>
          <w:szCs w:val="21"/>
          <w:shd w:val="clear" w:color="auto" w:fill="FFFFFF"/>
          <w:lang w:val="zh-CN"/>
        </w:rPr>
        <w:t>。</w:t>
      </w:r>
    </w:p>
    <w:p w14:paraId="6E7E7EC4">
      <w:pPr>
        <w:pStyle w:val="4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3.3供应商应通过“</w:t>
      </w:r>
      <w:r>
        <w:rPr>
          <w:rFonts w:hint="eastAsia" w:cs="宋体"/>
          <w:bCs/>
          <w:sz w:val="21"/>
          <w:szCs w:val="21"/>
          <w:lang w:val="en-US" w:eastAsia="zh-CN"/>
        </w:rPr>
        <w:t>中国执行信息公开网（http://zxgk.court.gov.cn/shixin/）”查询“失信被执行人、</w:t>
      </w:r>
      <w:r>
        <w:rPr>
          <w:rFonts w:hint="eastAsia" w:ascii="宋体" w:hAnsi="宋体" w:eastAsia="宋体" w:cs="宋体"/>
          <w:bCs/>
          <w:sz w:val="21"/>
          <w:szCs w:val="21"/>
          <w:lang w:val="en-US" w:eastAsia="zh-CN"/>
        </w:rPr>
        <w:t>“信用中国（www.creditchina.gov.cn）”查询“重大税收违法案件当事人名单”和“中国政府采购网（www.ccgp.gov.cn）”查询“政府采购严重违法失信行为记录”进行信用查询，列入上述名单的供应商将被拒绝参加投标活动。（供应商应在招标公告发布后对本单位信用信息进行查询并将查询结果附在响应文件中）。</w:t>
      </w:r>
    </w:p>
    <w:p w14:paraId="4E384D11">
      <w:pPr>
        <w:pStyle w:val="89"/>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outlineLvl w:val="3"/>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本项目不接受联合体磋商。</w:t>
      </w:r>
    </w:p>
    <w:p w14:paraId="64CAF77A">
      <w:pPr>
        <w:pStyle w:val="89"/>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s="宋体"/>
          <w:bCs/>
          <w:sz w:val="21"/>
          <w:szCs w:val="21"/>
        </w:rPr>
      </w:pPr>
      <w:r>
        <w:rPr>
          <w:rFonts w:hint="eastAsia" w:ascii="宋体" w:hAnsi="宋体" w:eastAsia="宋体" w:cs="宋体"/>
          <w:b/>
          <w:bCs w:val="0"/>
          <w:sz w:val="21"/>
          <w:szCs w:val="21"/>
        </w:rPr>
        <w:t>注：本项目落实的政府采购政策：支持中小企业发展、强制采购节能产品、优先采购环境标志产品（如有）。</w:t>
      </w:r>
    </w:p>
    <w:p w14:paraId="0DDBBD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四、报名及文件领取须知：</w:t>
      </w:r>
    </w:p>
    <w:p w14:paraId="073E1B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1.凡有意参加者，请使用企业数字证书（key）登录商丘市公共资源交易中心网站（</w:t>
      </w:r>
      <w:r>
        <w:rPr>
          <w:rFonts w:hint="eastAsia" w:ascii="宋体" w:hAnsi="宋体" w:cs="宋体"/>
          <w:b w:val="0"/>
          <w:bCs w:val="0"/>
          <w:color w:val="auto"/>
          <w:kern w:val="0"/>
          <w:sz w:val="21"/>
          <w:szCs w:val="21"/>
          <w:highlight w:val="none"/>
          <w:lang w:val="en-US" w:eastAsia="zh-CN"/>
        </w:rPr>
        <w:t>ggzyjy.shangqiu.gov.cn</w:t>
      </w:r>
      <w:r>
        <w:rPr>
          <w:rFonts w:hint="eastAsia" w:ascii="宋体" w:hAnsi="宋体" w:eastAsia="宋体" w:cs="宋体"/>
          <w:b w:val="0"/>
          <w:bCs w:val="0"/>
          <w:color w:val="auto"/>
          <w:kern w:val="0"/>
          <w:sz w:val="21"/>
          <w:szCs w:val="21"/>
          <w:highlight w:val="none"/>
          <w:lang w:val="en-US" w:eastAsia="zh-CN"/>
        </w:rPr>
        <w:t>）点击公告中的我要报名或者登陆后选择项目按照页面提示进行网上报名并下载</w:t>
      </w:r>
      <w:r>
        <w:rPr>
          <w:rFonts w:hint="eastAsia" w:ascii="宋体" w:hAnsi="宋体"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lang w:val="en-US" w:eastAsia="zh-CN"/>
        </w:rPr>
        <w:t>文件、工程量清单。</w:t>
      </w:r>
    </w:p>
    <w:p w14:paraId="5A36D8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2"/>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2.请在规定时间内报名，超过时间将停止报名。</w:t>
      </w:r>
    </w:p>
    <w:p w14:paraId="434E4E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3.网上报名时间:开始时间默认为公告发布时间，截止时间是开标时间。</w:t>
      </w:r>
    </w:p>
    <w:p w14:paraId="596415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注：如确定要参与项目投标，因在电子投标文件制作和投标过程中需要用到CA数字证书的加密、解密、电子签章等功能，请在制作投标文件前办理CA数字证书，以免影响自身投标。</w:t>
      </w:r>
    </w:p>
    <w:p w14:paraId="7589EF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五、磋商响应文件的递交及磋商信息：</w:t>
      </w:r>
    </w:p>
    <w:p w14:paraId="4FF68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1响应文件递交的截止时间及开标时间：</w:t>
      </w:r>
      <w:r>
        <w:rPr>
          <w:rFonts w:hint="eastAsia" w:ascii="宋体" w:hAnsi="宋体" w:cs="宋体"/>
          <w:b w:val="0"/>
          <w:bCs w:val="0"/>
          <w:color w:val="auto"/>
          <w:kern w:val="0"/>
          <w:sz w:val="21"/>
          <w:szCs w:val="21"/>
          <w:highlight w:val="none"/>
          <w:lang w:val="en-US" w:eastAsia="zh-CN"/>
        </w:rPr>
        <w:t>2025年7月24日</w:t>
      </w:r>
      <w:r>
        <w:rPr>
          <w:rFonts w:hint="eastAsia" w:ascii="宋体" w:hAnsi="宋体" w:eastAsia="宋体" w:cs="宋体"/>
          <w:b w:val="0"/>
          <w:bCs w:val="0"/>
          <w:color w:val="auto"/>
          <w:kern w:val="0"/>
          <w:sz w:val="21"/>
          <w:szCs w:val="21"/>
          <w:highlight w:val="none"/>
          <w:lang w:val="en-US" w:eastAsia="zh-CN"/>
        </w:rPr>
        <w:t>上午09:00北京时间（将电子响应文件在投标专区上传到商丘市公共资源交易中心平台）</w:t>
      </w:r>
    </w:p>
    <w:p w14:paraId="0D5B4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响应文件递交地点及开标地点：商丘市公共资源交易中</w:t>
      </w:r>
      <w:r>
        <w:rPr>
          <w:rFonts w:hint="eastAsia" w:ascii="宋体" w:hAnsi="宋体" w:cs="宋体"/>
          <w:b w:val="0"/>
          <w:bCs w:val="0"/>
          <w:color w:val="auto"/>
          <w:kern w:val="0"/>
          <w:sz w:val="21"/>
          <w:szCs w:val="21"/>
          <w:highlight w:val="none"/>
          <w:lang w:val="en-US" w:eastAsia="zh-CN"/>
        </w:rPr>
        <w:t>心</w:t>
      </w:r>
      <w:r>
        <w:rPr>
          <w:rFonts w:hint="eastAsia" w:ascii="宋体" w:hAnsi="宋体" w:eastAsia="宋体" w:cs="宋体"/>
          <w:b w:val="0"/>
          <w:bCs w:val="0"/>
          <w:color w:val="auto"/>
          <w:kern w:val="0"/>
          <w:sz w:val="21"/>
          <w:szCs w:val="21"/>
          <w:highlight w:val="none"/>
          <w:lang w:val="en-US" w:eastAsia="zh-CN"/>
        </w:rPr>
        <w:t>二楼</w:t>
      </w:r>
      <w:r>
        <w:rPr>
          <w:rFonts w:hint="eastAsia" w:ascii="宋体" w:hAnsi="宋体" w:cs="宋体"/>
          <w:b w:val="0"/>
          <w:bCs w:val="0"/>
          <w:color w:val="auto"/>
          <w:kern w:val="0"/>
          <w:sz w:val="21"/>
          <w:szCs w:val="21"/>
          <w:highlight w:val="none"/>
          <w:lang w:val="en-US" w:eastAsia="zh-CN"/>
        </w:rPr>
        <w:t xml:space="preserve">开标席位五  </w:t>
      </w:r>
    </w:p>
    <w:p w14:paraId="0E1B0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2.响应文件解密开始时间：</w:t>
      </w:r>
      <w:r>
        <w:rPr>
          <w:rFonts w:hint="eastAsia" w:ascii="宋体" w:hAnsi="宋体" w:cs="宋体"/>
          <w:b w:val="0"/>
          <w:bCs w:val="0"/>
          <w:color w:val="auto"/>
          <w:kern w:val="0"/>
          <w:sz w:val="21"/>
          <w:szCs w:val="21"/>
          <w:highlight w:val="none"/>
          <w:lang w:val="en-US" w:eastAsia="zh-CN"/>
        </w:rPr>
        <w:t>2025年7月24日</w:t>
      </w:r>
      <w:r>
        <w:rPr>
          <w:rFonts w:hint="eastAsia" w:ascii="宋体" w:hAnsi="宋体" w:eastAsia="宋体" w:cs="宋体"/>
          <w:b w:val="0"/>
          <w:bCs w:val="0"/>
          <w:color w:val="auto"/>
          <w:kern w:val="0"/>
          <w:sz w:val="21"/>
          <w:szCs w:val="21"/>
          <w:highlight w:val="none"/>
          <w:lang w:val="en-US" w:eastAsia="zh-CN"/>
        </w:rPr>
        <w:t>上午09:00（北京时间）</w:t>
      </w:r>
    </w:p>
    <w:p w14:paraId="67CAF5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3.响应文件解密截止时间：</w:t>
      </w:r>
      <w:r>
        <w:rPr>
          <w:rFonts w:hint="eastAsia" w:ascii="宋体" w:hAnsi="宋体" w:cs="宋体"/>
          <w:b w:val="0"/>
          <w:bCs w:val="0"/>
          <w:color w:val="auto"/>
          <w:kern w:val="0"/>
          <w:sz w:val="21"/>
          <w:szCs w:val="21"/>
          <w:highlight w:val="none"/>
          <w:lang w:val="en-US" w:eastAsia="zh-CN"/>
        </w:rPr>
        <w:t>2025年7月24</w:t>
      </w:r>
      <w:r>
        <w:rPr>
          <w:rFonts w:hint="eastAsia" w:ascii="宋体" w:hAnsi="宋体" w:eastAsia="宋体" w:cs="宋体"/>
          <w:b w:val="0"/>
          <w:bCs w:val="0"/>
          <w:color w:val="auto"/>
          <w:kern w:val="0"/>
          <w:sz w:val="21"/>
          <w:szCs w:val="21"/>
          <w:highlight w:val="none"/>
          <w:lang w:val="en-US" w:eastAsia="zh-CN"/>
        </w:rPr>
        <w:t>上午11:00（北京时间）</w:t>
      </w:r>
    </w:p>
    <w:p w14:paraId="31A53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注：电子响应文件的递交，投标单位应在递交响应文件的截止时间之前，将电子响应文件在投标专区上传到商丘市公共资源交易中心平台。电子响应文件逾期上传或没有上传的，招标单位将拒绝接收。</w:t>
      </w:r>
    </w:p>
    <w:p w14:paraId="42E401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本次招标实行不见面开评标，</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不需要再到现场（需要现场演示或样品展示的除外）。内容详见商丘公共资源交易中心发布的《关于实行全过程不见面交易的公告》</w:t>
      </w:r>
      <w:r>
        <w:rPr>
          <w:rFonts w:hint="eastAsia" w:ascii="宋体" w:hAnsi="宋体" w:cs="宋体"/>
          <w:b/>
          <w:bCs/>
          <w:color w:val="auto"/>
          <w:kern w:val="0"/>
          <w:sz w:val="21"/>
          <w:szCs w:val="21"/>
          <w:highlight w:val="none"/>
          <w:lang w:val="en-US" w:eastAsia="zh-CN"/>
        </w:rPr>
        <w:t>。</w:t>
      </w:r>
    </w:p>
    <w:p w14:paraId="73A7E6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各潜在供应商对本项目有异议的，应当在法定期间内以书面形式有法定代表人或其授权委托代表签字并加盖单位公章向采购人或采购代理机构提出。线上异议操作流程请参考商丘市公共资源交易中心2021-6.16日发布的通知公告-《关于开通项目在线质疑/异议和处理功能的通知》。</w:t>
      </w:r>
    </w:p>
    <w:p w14:paraId="52F8BF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六、发布公告的媒介：</w:t>
      </w:r>
    </w:p>
    <w:p w14:paraId="309A3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napToGrid/>
        <w:spacing w:before="0" w:beforeAutospacing="0" w:after="0" w:afterAutospacing="0" w:line="360" w:lineRule="auto"/>
        <w:ind w:left="0" w:leftChars="0" w:right="0"/>
        <w:jc w:val="left"/>
        <w:textAlignment w:val="baseline"/>
        <w:rPr>
          <w:rFonts w:hint="eastAsia" w:ascii="宋体" w:hAnsi="宋体" w:eastAsia="宋体" w:cs="宋体"/>
          <w:b w:val="0"/>
          <w:i w:val="0"/>
          <w:caps w:val="0"/>
          <w:color w:val="auto"/>
          <w:spacing w:val="0"/>
          <w:sz w:val="21"/>
          <w:szCs w:val="21"/>
          <w:highlight w:val="none"/>
        </w:rPr>
      </w:pPr>
      <w:r>
        <w:rPr>
          <w:rFonts w:hint="eastAsia" w:ascii="宋体" w:hAnsi="宋体" w:eastAsia="宋体" w:cs="宋体"/>
          <w:color w:val="auto"/>
          <w:kern w:val="0"/>
          <w:sz w:val="21"/>
          <w:szCs w:val="21"/>
          <w:highlight w:val="none"/>
          <w:lang w:val="en-US" w:eastAsia="zh-CN"/>
        </w:rPr>
        <w:t xml:space="preserve">    本公告在《河南省政府采购网》、《商丘市政府采购网》及《商丘市公共资源交易平台》上发布，其他网站转载不负法律责任。</w:t>
      </w:r>
    </w:p>
    <w:p w14:paraId="18309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七、联系方式：</w:t>
      </w:r>
    </w:p>
    <w:p w14:paraId="24FA4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 购 人：</w:t>
      </w:r>
      <w:r>
        <w:rPr>
          <w:rFonts w:hint="eastAsia" w:ascii="宋体" w:hAnsi="宋体" w:cs="宋体"/>
          <w:color w:val="auto"/>
          <w:kern w:val="0"/>
          <w:sz w:val="21"/>
          <w:szCs w:val="21"/>
          <w:highlight w:val="none"/>
          <w:lang w:val="en-US" w:eastAsia="zh-CN"/>
        </w:rPr>
        <w:t>民权县北关镇人民政府</w:t>
      </w:r>
    </w:p>
    <w:p w14:paraId="57EDB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    址：</w:t>
      </w:r>
      <w:r>
        <w:rPr>
          <w:rFonts w:hint="eastAsia" w:ascii="宋体" w:hAnsi="宋体" w:cs="宋体"/>
          <w:color w:val="auto"/>
          <w:kern w:val="0"/>
          <w:sz w:val="21"/>
          <w:szCs w:val="21"/>
          <w:highlight w:val="none"/>
          <w:lang w:val="en-US" w:eastAsia="zh-CN"/>
        </w:rPr>
        <w:t>民权县北关镇</w:t>
      </w:r>
    </w:p>
    <w:p w14:paraId="54ED9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 系 人：</w:t>
      </w:r>
      <w:r>
        <w:rPr>
          <w:rFonts w:hint="eastAsia" w:ascii="宋体" w:hAnsi="宋体" w:cs="宋体"/>
          <w:color w:val="auto"/>
          <w:kern w:val="0"/>
          <w:sz w:val="21"/>
          <w:szCs w:val="21"/>
          <w:highlight w:val="none"/>
          <w:lang w:val="en-US" w:eastAsia="zh-CN"/>
        </w:rPr>
        <w:t>赵先生</w:t>
      </w:r>
    </w:p>
    <w:p w14:paraId="50EFD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电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话：</w:t>
      </w:r>
      <w:r>
        <w:rPr>
          <w:rFonts w:hint="eastAsia" w:ascii="宋体" w:hAnsi="宋体" w:cs="宋体"/>
          <w:color w:val="auto"/>
          <w:kern w:val="0"/>
          <w:sz w:val="21"/>
          <w:szCs w:val="21"/>
          <w:highlight w:val="none"/>
          <w:lang w:val="en-US" w:eastAsia="zh-CN"/>
        </w:rPr>
        <w:t>15225235759</w:t>
      </w:r>
    </w:p>
    <w:p w14:paraId="65E45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代理机构：</w:t>
      </w:r>
      <w:r>
        <w:rPr>
          <w:rFonts w:hint="eastAsia" w:ascii="宋体" w:hAnsi="宋体" w:cs="宋体"/>
          <w:color w:val="auto"/>
          <w:kern w:val="0"/>
          <w:sz w:val="21"/>
          <w:szCs w:val="21"/>
          <w:highlight w:val="none"/>
          <w:lang w:val="en-US" w:eastAsia="zh-CN"/>
        </w:rPr>
        <w:t>河南中智工程咨询有限公司</w:t>
      </w:r>
    </w:p>
    <w:p w14:paraId="0DA31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联系地址：</w:t>
      </w:r>
      <w:r>
        <w:rPr>
          <w:rFonts w:hint="eastAsia" w:ascii="宋体" w:hAnsi="宋体" w:cs="宋体"/>
          <w:color w:val="auto"/>
          <w:kern w:val="0"/>
          <w:sz w:val="21"/>
          <w:szCs w:val="21"/>
          <w:highlight w:val="none"/>
          <w:lang w:val="en-US" w:eastAsia="zh-CN"/>
        </w:rPr>
        <w:t>郑州市冬青街46号</w:t>
      </w:r>
    </w:p>
    <w:p w14:paraId="7C49F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 系 人：</w:t>
      </w:r>
      <w:r>
        <w:rPr>
          <w:rFonts w:hint="eastAsia" w:ascii="宋体" w:hAnsi="宋体" w:cs="宋体"/>
          <w:color w:val="auto"/>
          <w:kern w:val="0"/>
          <w:sz w:val="21"/>
          <w:szCs w:val="21"/>
          <w:highlight w:val="none"/>
          <w:lang w:val="en-US" w:eastAsia="zh-CN"/>
        </w:rPr>
        <w:t>李先生</w:t>
      </w:r>
    </w:p>
    <w:p w14:paraId="2B2FF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联系电话：</w:t>
      </w:r>
      <w:r>
        <w:rPr>
          <w:rFonts w:hint="eastAsia" w:ascii="宋体" w:hAnsi="宋体" w:cs="宋体"/>
          <w:color w:val="auto"/>
          <w:kern w:val="0"/>
          <w:sz w:val="21"/>
          <w:szCs w:val="21"/>
          <w:highlight w:val="none"/>
          <w:lang w:val="en-US" w:eastAsia="zh-CN"/>
        </w:rPr>
        <w:t>18037108020</w:t>
      </w:r>
    </w:p>
    <w:p w14:paraId="7F23E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250" w:firstLineChars="2500"/>
        <w:jc w:val="both"/>
        <w:textAlignment w:val="auto"/>
        <w:outlineLvl w:val="9"/>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1BDA9D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460" w:firstLineChars="2600"/>
        <w:jc w:val="righ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2025</w:t>
      </w:r>
      <w:r>
        <w:rPr>
          <w:rFonts w:hint="eastAsia" w:ascii="宋体" w:hAnsi="宋体" w:eastAsia="宋体" w:cs="宋体"/>
          <w:b/>
          <w:bCs/>
          <w:color w:val="auto"/>
          <w:kern w:val="0"/>
          <w:sz w:val="21"/>
          <w:szCs w:val="21"/>
          <w:highlight w:val="none"/>
          <w:lang w:val="en-US" w:eastAsia="zh-CN"/>
        </w:rPr>
        <w:t>年</w:t>
      </w: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rPr>
        <w:t>月</w:t>
      </w:r>
      <w:r>
        <w:rPr>
          <w:rFonts w:hint="eastAsia" w:ascii="宋体" w:hAnsi="宋体" w:cs="宋体"/>
          <w:b/>
          <w:bCs/>
          <w:color w:val="auto"/>
          <w:kern w:val="0"/>
          <w:sz w:val="21"/>
          <w:szCs w:val="21"/>
          <w:highlight w:val="none"/>
          <w:lang w:val="en-US" w:eastAsia="zh-CN"/>
        </w:rPr>
        <w:t>11</w:t>
      </w:r>
      <w:r>
        <w:rPr>
          <w:rFonts w:hint="eastAsia" w:ascii="宋体" w:hAnsi="宋体" w:eastAsia="宋体" w:cs="宋体"/>
          <w:b/>
          <w:bCs/>
          <w:color w:val="auto"/>
          <w:kern w:val="0"/>
          <w:sz w:val="21"/>
          <w:szCs w:val="21"/>
          <w:highlight w:val="none"/>
          <w:lang w:val="en-US" w:eastAsia="zh-CN"/>
        </w:rPr>
        <w:t>日</w:t>
      </w:r>
    </w:p>
    <w:p w14:paraId="189CA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5250" w:firstLineChars="25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bookmarkStart w:id="4" w:name="_bookmark1"/>
      <w:bookmarkEnd w:id="4"/>
      <w:bookmarkStart w:id="5" w:name="_Toc22183"/>
      <w:bookmarkStart w:id="6" w:name="_Toc23479"/>
    </w:p>
    <w:p w14:paraId="7F36E4C5">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br w:type="page"/>
      </w:r>
    </w:p>
    <w:p w14:paraId="1589A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rPr>
      </w:pPr>
      <w:bookmarkStart w:id="7" w:name="_Toc8466"/>
      <w:r>
        <w:rPr>
          <w:rFonts w:hint="eastAsia"/>
          <w:b/>
          <w:bCs/>
          <w:sz w:val="32"/>
          <w:szCs w:val="32"/>
          <w:lang w:val="en-US" w:eastAsia="zh-CN"/>
        </w:rPr>
        <w:t xml:space="preserve">第二章 </w:t>
      </w:r>
      <w:r>
        <w:rPr>
          <w:rFonts w:hint="eastAsia"/>
          <w:b/>
          <w:bCs/>
          <w:sz w:val="32"/>
          <w:szCs w:val="32"/>
        </w:rPr>
        <w:t>供应商须知</w:t>
      </w:r>
      <w:bookmarkEnd w:id="5"/>
      <w:bookmarkEnd w:id="6"/>
      <w:bookmarkEnd w:id="7"/>
    </w:p>
    <w:p w14:paraId="1613E979">
      <w:pPr>
        <w:pStyle w:val="4"/>
        <w:spacing w:line="360" w:lineRule="auto"/>
        <w:jc w:val="center"/>
        <w:outlineLvl w:val="1"/>
        <w:rPr>
          <w:rFonts w:hint="eastAsia" w:ascii="宋体" w:hAnsi="宋体" w:eastAsia="宋体"/>
          <w:sz w:val="24"/>
          <w:szCs w:val="24"/>
        </w:rPr>
      </w:pPr>
      <w:bookmarkStart w:id="8" w:name="_Toc13329"/>
      <w:bookmarkStart w:id="9" w:name="_Toc30063"/>
      <w:bookmarkStart w:id="10" w:name="_Toc26739"/>
      <w:r>
        <w:rPr>
          <w:rFonts w:hint="eastAsia" w:ascii="宋体" w:hAnsi="宋体" w:eastAsia="宋体"/>
          <w:sz w:val="24"/>
          <w:szCs w:val="24"/>
        </w:rPr>
        <w:t>&lt;供应商须知前附表&gt;</w:t>
      </w:r>
      <w:bookmarkEnd w:id="8"/>
      <w:bookmarkEnd w:id="9"/>
      <w:bookmarkEnd w:id="10"/>
    </w:p>
    <w:tbl>
      <w:tblPr>
        <w:tblStyle w:val="4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96"/>
        <w:gridCol w:w="1683"/>
        <w:gridCol w:w="6667"/>
      </w:tblGrid>
      <w:tr w14:paraId="190A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487CFD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79" w:type="dxa"/>
            <w:gridSpan w:val="2"/>
            <w:noWrap w:val="0"/>
            <w:vAlign w:val="center"/>
          </w:tcPr>
          <w:p w14:paraId="779B4FE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条 款 名 称</w:t>
            </w:r>
          </w:p>
        </w:tc>
        <w:tc>
          <w:tcPr>
            <w:tcW w:w="6667" w:type="dxa"/>
            <w:noWrap w:val="0"/>
            <w:vAlign w:val="center"/>
          </w:tcPr>
          <w:p w14:paraId="067D244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编 列 内 容</w:t>
            </w:r>
          </w:p>
        </w:tc>
      </w:tr>
      <w:tr w14:paraId="62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92" w:type="dxa"/>
            <w:noWrap w:val="0"/>
            <w:vAlign w:val="center"/>
          </w:tcPr>
          <w:p w14:paraId="694A953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w:t>
            </w:r>
          </w:p>
        </w:tc>
        <w:tc>
          <w:tcPr>
            <w:tcW w:w="2879" w:type="dxa"/>
            <w:gridSpan w:val="2"/>
            <w:noWrap w:val="0"/>
            <w:vAlign w:val="center"/>
          </w:tcPr>
          <w:p w14:paraId="5601D386">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667" w:type="dxa"/>
            <w:noWrap w:val="0"/>
            <w:vAlign w:val="center"/>
          </w:tcPr>
          <w:p w14:paraId="2ACD3C7A">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 购 人：</w:t>
            </w:r>
            <w:r>
              <w:rPr>
                <w:rFonts w:hint="eastAsia" w:ascii="宋体" w:hAnsi="宋体" w:cs="宋体"/>
                <w:color w:val="auto"/>
                <w:sz w:val="21"/>
                <w:szCs w:val="21"/>
                <w:lang w:val="en-US" w:eastAsia="zh-CN"/>
              </w:rPr>
              <w:t>民权县北关镇人民政府</w:t>
            </w:r>
          </w:p>
          <w:p w14:paraId="006F7CD0">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民权县北关镇</w:t>
            </w:r>
          </w:p>
          <w:p w14:paraId="0059EA0F">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w:t>
            </w:r>
            <w:r>
              <w:rPr>
                <w:rFonts w:hint="eastAsia" w:ascii="宋体" w:hAnsi="宋体" w:cs="宋体"/>
                <w:color w:val="auto"/>
                <w:sz w:val="21"/>
                <w:szCs w:val="21"/>
                <w:lang w:val="en-US" w:eastAsia="zh-CN"/>
              </w:rPr>
              <w:t>赵先生</w:t>
            </w:r>
          </w:p>
          <w:p w14:paraId="483FEFA3">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电    话：</w:t>
            </w:r>
            <w:r>
              <w:rPr>
                <w:rFonts w:hint="eastAsia" w:ascii="宋体" w:hAnsi="宋体" w:cs="宋体"/>
                <w:color w:val="auto"/>
                <w:sz w:val="21"/>
                <w:szCs w:val="21"/>
                <w:lang w:val="en-US" w:eastAsia="zh-CN"/>
              </w:rPr>
              <w:t>15225235759</w:t>
            </w:r>
          </w:p>
        </w:tc>
      </w:tr>
      <w:tr w14:paraId="25D6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10404D5">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2879" w:type="dxa"/>
            <w:gridSpan w:val="2"/>
            <w:noWrap w:val="0"/>
            <w:vAlign w:val="center"/>
          </w:tcPr>
          <w:p w14:paraId="08F4958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采购代理机构</w:t>
            </w:r>
          </w:p>
        </w:tc>
        <w:tc>
          <w:tcPr>
            <w:tcW w:w="6667" w:type="dxa"/>
            <w:noWrap w:val="0"/>
            <w:vAlign w:val="center"/>
          </w:tcPr>
          <w:p w14:paraId="724A8CBA">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w:t>
            </w:r>
            <w:r>
              <w:rPr>
                <w:rFonts w:hint="eastAsia" w:ascii="宋体" w:hAnsi="宋体" w:cs="宋体"/>
                <w:color w:val="auto"/>
                <w:sz w:val="21"/>
                <w:szCs w:val="21"/>
                <w:lang w:val="en-US" w:eastAsia="zh-CN"/>
              </w:rPr>
              <w:t>河南中智工程咨询有限公司</w:t>
            </w:r>
          </w:p>
          <w:p w14:paraId="09BFBFCE">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联系地址：</w:t>
            </w:r>
            <w:r>
              <w:rPr>
                <w:rFonts w:hint="eastAsia" w:ascii="宋体" w:hAnsi="宋体" w:cs="宋体"/>
                <w:color w:val="auto"/>
                <w:sz w:val="21"/>
                <w:szCs w:val="21"/>
                <w:lang w:val="en-US" w:eastAsia="zh-CN"/>
              </w:rPr>
              <w:t>郑州市冬青街46号</w:t>
            </w:r>
          </w:p>
          <w:p w14:paraId="4608E741">
            <w:pPr>
              <w:autoSpaceDE w:val="0"/>
              <w:autoSpaceDN w:val="0"/>
              <w:adjustRightInd w:val="0"/>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w:t>
            </w:r>
            <w:r>
              <w:rPr>
                <w:rFonts w:hint="eastAsia" w:ascii="宋体" w:hAnsi="宋体" w:cs="宋体"/>
                <w:color w:val="auto"/>
                <w:sz w:val="21"/>
                <w:szCs w:val="21"/>
                <w:lang w:val="en-US" w:eastAsia="zh-CN"/>
              </w:rPr>
              <w:t>李先生</w:t>
            </w:r>
          </w:p>
          <w:p w14:paraId="29934AE5">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联系电话：</w:t>
            </w:r>
            <w:r>
              <w:rPr>
                <w:rFonts w:hint="eastAsia" w:ascii="宋体" w:hAnsi="宋体" w:cs="宋体"/>
                <w:color w:val="auto"/>
                <w:sz w:val="21"/>
                <w:szCs w:val="21"/>
                <w:lang w:val="en-US" w:eastAsia="zh-CN"/>
              </w:rPr>
              <w:t>18037108020</w:t>
            </w:r>
          </w:p>
        </w:tc>
      </w:tr>
      <w:tr w14:paraId="440A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F1E60AB">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2879" w:type="dxa"/>
            <w:gridSpan w:val="2"/>
            <w:noWrap w:val="0"/>
            <w:vAlign w:val="center"/>
          </w:tcPr>
          <w:p w14:paraId="692F5CCC">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w:t>
            </w:r>
          </w:p>
        </w:tc>
        <w:tc>
          <w:tcPr>
            <w:tcW w:w="6667" w:type="dxa"/>
            <w:noWrap w:val="0"/>
            <w:vAlign w:val="center"/>
          </w:tcPr>
          <w:p w14:paraId="2CA190DE">
            <w:pPr>
              <w:autoSpaceDE w:val="0"/>
              <w:autoSpaceDN w:val="0"/>
              <w:adjustRightIn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竞争性磋商</w:t>
            </w:r>
          </w:p>
        </w:tc>
      </w:tr>
      <w:tr w14:paraId="533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30DE96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2879" w:type="dxa"/>
            <w:gridSpan w:val="2"/>
            <w:noWrap w:val="0"/>
            <w:vAlign w:val="center"/>
          </w:tcPr>
          <w:p w14:paraId="680D288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667" w:type="dxa"/>
            <w:noWrap w:val="0"/>
            <w:vAlign w:val="center"/>
          </w:tcPr>
          <w:p w14:paraId="4BD1BD5A">
            <w:pPr>
              <w:autoSpaceDE w:val="0"/>
              <w:autoSpaceDN w:val="0"/>
              <w:adjustRightInd w:val="0"/>
              <w:spacing w:line="400" w:lineRule="exact"/>
              <w:rPr>
                <w:rFonts w:hint="eastAsia" w:ascii="宋体" w:hAnsi="宋体" w:eastAsia="宋体" w:cs="宋体"/>
                <w:b/>
                <w:bCs/>
                <w:color w:val="auto"/>
                <w:kern w:val="0"/>
                <w:sz w:val="21"/>
                <w:szCs w:val="21"/>
              </w:rPr>
            </w:pPr>
            <w:r>
              <w:rPr>
                <w:rFonts w:hint="eastAsia" w:ascii="宋体" w:hAnsi="宋体" w:cs="宋体"/>
                <w:color w:val="auto"/>
                <w:sz w:val="21"/>
                <w:szCs w:val="21"/>
                <w:lang w:eastAsia="zh-CN"/>
              </w:rPr>
              <w:t>民权县北关镇人民政府2025年农村灌溉机井建设项目</w:t>
            </w:r>
          </w:p>
        </w:tc>
      </w:tr>
      <w:tr w14:paraId="09B7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6709746">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2879" w:type="dxa"/>
            <w:gridSpan w:val="2"/>
            <w:noWrap w:val="0"/>
            <w:vAlign w:val="center"/>
          </w:tcPr>
          <w:p w14:paraId="7809C72F">
            <w:pPr>
              <w:autoSpaceDE w:val="0"/>
              <w:autoSpaceDN w:val="0"/>
              <w:adjustRightInd w:val="0"/>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项目地点</w:t>
            </w:r>
          </w:p>
        </w:tc>
        <w:tc>
          <w:tcPr>
            <w:tcW w:w="6667" w:type="dxa"/>
            <w:noWrap w:val="0"/>
            <w:vAlign w:val="center"/>
          </w:tcPr>
          <w:p w14:paraId="20E3289E">
            <w:pPr>
              <w:autoSpaceDE w:val="0"/>
              <w:autoSpaceDN w:val="0"/>
              <w:adjustRightInd w:val="0"/>
              <w:spacing w:line="400" w:lineRule="exact"/>
              <w:rPr>
                <w:rFonts w:hint="eastAsia" w:ascii="宋体" w:hAnsi="宋体" w:eastAsia="宋体" w:cs="宋体"/>
                <w:b w:val="0"/>
                <w:bCs w:val="0"/>
                <w:color w:val="auto"/>
                <w:kern w:val="0"/>
                <w:sz w:val="21"/>
                <w:szCs w:val="21"/>
              </w:rPr>
            </w:pPr>
            <w:r>
              <w:rPr>
                <w:rFonts w:hint="eastAsia" w:ascii="宋体" w:hAnsi="宋体" w:cs="宋体"/>
                <w:color w:val="auto"/>
                <w:sz w:val="21"/>
                <w:szCs w:val="21"/>
                <w:lang w:eastAsia="zh-CN"/>
              </w:rPr>
              <w:t>民权县</w:t>
            </w:r>
            <w:r>
              <w:rPr>
                <w:rFonts w:hint="eastAsia" w:ascii="宋体" w:hAnsi="宋体" w:cs="宋体"/>
                <w:color w:val="auto"/>
                <w:sz w:val="21"/>
                <w:szCs w:val="21"/>
                <w:lang w:val="en-US" w:eastAsia="zh-CN"/>
              </w:rPr>
              <w:t>境内</w:t>
            </w:r>
          </w:p>
        </w:tc>
      </w:tr>
      <w:tr w14:paraId="55E8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75BCEE13">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2879" w:type="dxa"/>
            <w:gridSpan w:val="2"/>
            <w:noWrap w:val="0"/>
            <w:vAlign w:val="center"/>
          </w:tcPr>
          <w:p w14:paraId="0FE0E434">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667" w:type="dxa"/>
            <w:noWrap w:val="0"/>
            <w:vAlign w:val="center"/>
          </w:tcPr>
          <w:p w14:paraId="01C5DE8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自筹资金</w:t>
            </w:r>
          </w:p>
        </w:tc>
      </w:tr>
      <w:tr w14:paraId="742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B82B3D2">
            <w:pPr>
              <w:autoSpaceDE w:val="0"/>
              <w:autoSpaceDN w:val="0"/>
              <w:adjustRightIn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2879" w:type="dxa"/>
            <w:gridSpan w:val="2"/>
            <w:noWrap w:val="0"/>
            <w:vAlign w:val="center"/>
          </w:tcPr>
          <w:p w14:paraId="17C08241">
            <w:pPr>
              <w:autoSpaceDE w:val="0"/>
              <w:autoSpaceDN w:val="0"/>
              <w:adjustRightInd w:val="0"/>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采购</w:t>
            </w:r>
            <w:r>
              <w:rPr>
                <w:rFonts w:hint="eastAsia" w:ascii="宋体" w:hAnsi="宋体" w:eastAsia="宋体" w:cs="宋体"/>
                <w:bCs/>
                <w:color w:val="auto"/>
                <w:kern w:val="0"/>
                <w:sz w:val="21"/>
                <w:szCs w:val="21"/>
              </w:rPr>
              <w:t>控制价</w:t>
            </w:r>
          </w:p>
        </w:tc>
        <w:tc>
          <w:tcPr>
            <w:tcW w:w="6667" w:type="dxa"/>
            <w:noWrap w:val="0"/>
            <w:vAlign w:val="center"/>
          </w:tcPr>
          <w:p w14:paraId="45C577CC">
            <w:pPr>
              <w:pStyle w:val="89"/>
              <w:pageBreakBefore w:val="0"/>
              <w:kinsoku/>
              <w:overflowPunct/>
              <w:topLinePunct w:val="0"/>
              <w:autoSpaceDE/>
              <w:autoSpaceDN/>
              <w:bidi w:val="0"/>
              <w:snapToGrid/>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1123593.95元</w:t>
            </w:r>
          </w:p>
        </w:tc>
      </w:tr>
      <w:tr w14:paraId="7E7F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FEA594C">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1.2.3</w:t>
            </w:r>
          </w:p>
        </w:tc>
        <w:tc>
          <w:tcPr>
            <w:tcW w:w="2879" w:type="dxa"/>
            <w:gridSpan w:val="2"/>
            <w:noWrap w:val="0"/>
            <w:vAlign w:val="center"/>
          </w:tcPr>
          <w:p w14:paraId="0CE49D9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采购项目性质</w:t>
            </w:r>
          </w:p>
        </w:tc>
        <w:tc>
          <w:tcPr>
            <w:tcW w:w="6667" w:type="dxa"/>
            <w:noWrap w:val="0"/>
            <w:vAlign w:val="center"/>
          </w:tcPr>
          <w:p w14:paraId="09297CF7">
            <w:pPr>
              <w:pStyle w:val="63"/>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工程</w:t>
            </w:r>
          </w:p>
        </w:tc>
      </w:tr>
      <w:tr w14:paraId="4DB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2" w:type="dxa"/>
            <w:noWrap w:val="0"/>
            <w:vAlign w:val="center"/>
          </w:tcPr>
          <w:p w14:paraId="0F441598">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1.2.4</w:t>
            </w:r>
          </w:p>
        </w:tc>
        <w:tc>
          <w:tcPr>
            <w:tcW w:w="2879" w:type="dxa"/>
            <w:gridSpan w:val="2"/>
            <w:noWrap w:val="0"/>
            <w:vAlign w:val="center"/>
          </w:tcPr>
          <w:p w14:paraId="125C1D7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资金落实情况</w:t>
            </w:r>
          </w:p>
        </w:tc>
        <w:tc>
          <w:tcPr>
            <w:tcW w:w="6667" w:type="dxa"/>
            <w:noWrap w:val="0"/>
            <w:vAlign w:val="center"/>
          </w:tcPr>
          <w:p w14:paraId="43B9659F">
            <w:pPr>
              <w:pStyle w:val="63"/>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14:paraId="394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5BC52EB2">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1.3.1</w:t>
            </w:r>
          </w:p>
        </w:tc>
        <w:tc>
          <w:tcPr>
            <w:tcW w:w="2879" w:type="dxa"/>
            <w:gridSpan w:val="2"/>
            <w:noWrap w:val="0"/>
            <w:vAlign w:val="center"/>
          </w:tcPr>
          <w:p w14:paraId="1CCC1E5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招标范围</w:t>
            </w:r>
          </w:p>
        </w:tc>
        <w:tc>
          <w:tcPr>
            <w:tcW w:w="6667" w:type="dxa"/>
            <w:noWrap w:val="0"/>
            <w:vAlign w:val="center"/>
          </w:tcPr>
          <w:p w14:paraId="67C42F3B">
            <w:pPr>
              <w:pStyle w:val="63"/>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招标文件、图纸、清单全部内容</w:t>
            </w:r>
          </w:p>
        </w:tc>
      </w:tr>
      <w:tr w14:paraId="260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B2BC06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1.3.2</w:t>
            </w:r>
          </w:p>
        </w:tc>
        <w:tc>
          <w:tcPr>
            <w:tcW w:w="2879" w:type="dxa"/>
            <w:gridSpan w:val="2"/>
            <w:noWrap w:val="0"/>
            <w:vAlign w:val="center"/>
          </w:tcPr>
          <w:p w14:paraId="7A287219">
            <w:pPr>
              <w:autoSpaceDE w:val="0"/>
              <w:autoSpaceDN w:val="0"/>
              <w:adjustRightInd w:val="0"/>
              <w:spacing w:line="40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工期</w:t>
            </w:r>
          </w:p>
        </w:tc>
        <w:tc>
          <w:tcPr>
            <w:tcW w:w="6667" w:type="dxa"/>
            <w:noWrap w:val="0"/>
            <w:vAlign w:val="center"/>
          </w:tcPr>
          <w:p w14:paraId="45B5D49E">
            <w:pPr>
              <w:pStyle w:val="63"/>
              <w:spacing w:line="400" w:lineRule="exact"/>
              <w:jc w:val="both"/>
              <w:rPr>
                <w:rFonts w:hint="eastAsia" w:ascii="宋体" w:hAnsi="宋体" w:eastAsia="宋体" w:cs="宋体"/>
                <w:color w:val="auto"/>
                <w:sz w:val="21"/>
                <w:szCs w:val="21"/>
              </w:rPr>
            </w:pPr>
            <w:r>
              <w:rPr>
                <w:rFonts w:hint="eastAsia" w:hAnsi="宋体" w:cs="宋体"/>
                <w:color w:val="auto"/>
                <w:sz w:val="21"/>
                <w:szCs w:val="21"/>
                <w:lang w:val="en-US" w:eastAsia="zh-CN"/>
              </w:rPr>
              <w:t>自合同签订后20日历天内</w:t>
            </w:r>
          </w:p>
        </w:tc>
      </w:tr>
      <w:tr w14:paraId="336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873B6CC">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1.3.3</w:t>
            </w:r>
          </w:p>
        </w:tc>
        <w:tc>
          <w:tcPr>
            <w:tcW w:w="2879" w:type="dxa"/>
            <w:gridSpan w:val="2"/>
            <w:noWrap w:val="0"/>
            <w:vAlign w:val="center"/>
          </w:tcPr>
          <w:p w14:paraId="3E7CA882">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质量要求</w:t>
            </w:r>
          </w:p>
        </w:tc>
        <w:tc>
          <w:tcPr>
            <w:tcW w:w="6667" w:type="dxa"/>
            <w:noWrap w:val="0"/>
            <w:vAlign w:val="center"/>
          </w:tcPr>
          <w:p w14:paraId="7EF6EF3B">
            <w:pPr>
              <w:pStyle w:val="63"/>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合格</w:t>
            </w:r>
          </w:p>
        </w:tc>
      </w:tr>
      <w:tr w14:paraId="4141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14:paraId="7E48BD2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2879" w:type="dxa"/>
            <w:gridSpan w:val="2"/>
            <w:noWrap w:val="0"/>
            <w:vAlign w:val="center"/>
          </w:tcPr>
          <w:p w14:paraId="40721F5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供应商资质条件</w:t>
            </w:r>
          </w:p>
        </w:tc>
        <w:tc>
          <w:tcPr>
            <w:tcW w:w="6667" w:type="dxa"/>
            <w:noWrap w:val="0"/>
            <w:vAlign w:val="center"/>
          </w:tcPr>
          <w:p w14:paraId="53CCE3D6">
            <w:pPr>
              <w:pStyle w:val="8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1"/>
                <w:szCs w:val="21"/>
                <w:lang w:eastAsia="zh-CN"/>
              </w:rPr>
            </w:pPr>
            <w:r>
              <w:rPr>
                <w:rFonts w:hint="eastAsia" w:ascii="宋体" w:hAnsi="宋体" w:cs="宋体"/>
                <w:b w:val="0"/>
                <w:bCs/>
                <w:sz w:val="21"/>
                <w:szCs w:val="21"/>
                <w:lang w:eastAsia="zh-CN"/>
              </w:rPr>
              <w:t>符合竞争性磋商公告中相关要求</w:t>
            </w:r>
          </w:p>
        </w:tc>
      </w:tr>
      <w:tr w14:paraId="3430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3988E6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1.9.1</w:t>
            </w:r>
          </w:p>
        </w:tc>
        <w:tc>
          <w:tcPr>
            <w:tcW w:w="2879" w:type="dxa"/>
            <w:gridSpan w:val="2"/>
            <w:noWrap w:val="0"/>
            <w:vAlign w:val="center"/>
          </w:tcPr>
          <w:p w14:paraId="0FA6AF5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6667" w:type="dxa"/>
            <w:noWrap w:val="0"/>
            <w:vAlign w:val="center"/>
          </w:tcPr>
          <w:p w14:paraId="2BB39AA1">
            <w:pPr>
              <w:spacing w:line="400" w:lineRule="exact"/>
              <w:rPr>
                <w:rFonts w:hint="eastAsia" w:ascii="宋体" w:hAnsi="宋体" w:eastAsia="宋体" w:cs="宋体"/>
                <w:sz w:val="21"/>
                <w:szCs w:val="21"/>
              </w:rPr>
            </w:pPr>
            <w:r>
              <w:rPr>
                <w:rFonts w:hint="eastAsia" w:ascii="宋体" w:hAnsi="宋体" w:eastAsia="宋体" w:cs="宋体"/>
                <w:sz w:val="21"/>
                <w:szCs w:val="21"/>
              </w:rPr>
              <w:t>不组织</w:t>
            </w:r>
          </w:p>
        </w:tc>
      </w:tr>
      <w:tr w14:paraId="1C0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4344659">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1.11</w:t>
            </w:r>
          </w:p>
        </w:tc>
        <w:tc>
          <w:tcPr>
            <w:tcW w:w="2879" w:type="dxa"/>
            <w:gridSpan w:val="2"/>
            <w:noWrap w:val="0"/>
            <w:vAlign w:val="center"/>
          </w:tcPr>
          <w:p w14:paraId="7DF127B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分  包</w:t>
            </w:r>
          </w:p>
        </w:tc>
        <w:tc>
          <w:tcPr>
            <w:tcW w:w="6667" w:type="dxa"/>
            <w:noWrap w:val="0"/>
            <w:vAlign w:val="center"/>
          </w:tcPr>
          <w:p w14:paraId="6E8FCD92">
            <w:pPr>
              <w:spacing w:line="400" w:lineRule="exact"/>
              <w:rPr>
                <w:rFonts w:hint="eastAsia" w:ascii="宋体" w:hAnsi="宋体" w:eastAsia="宋体" w:cs="宋体"/>
                <w:sz w:val="21"/>
                <w:szCs w:val="21"/>
              </w:rPr>
            </w:pPr>
            <w:r>
              <w:rPr>
                <w:rFonts w:hint="eastAsia" w:ascii="宋体" w:hAnsi="宋体" w:eastAsia="宋体" w:cs="宋体"/>
                <w:sz w:val="21"/>
                <w:szCs w:val="21"/>
              </w:rPr>
              <w:t>不允许</w:t>
            </w:r>
          </w:p>
        </w:tc>
      </w:tr>
      <w:tr w14:paraId="30BC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961C51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1.12</w:t>
            </w:r>
          </w:p>
        </w:tc>
        <w:tc>
          <w:tcPr>
            <w:tcW w:w="2879" w:type="dxa"/>
            <w:gridSpan w:val="2"/>
            <w:noWrap w:val="0"/>
            <w:vAlign w:val="center"/>
          </w:tcPr>
          <w:p w14:paraId="3A309F1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偏  离</w:t>
            </w:r>
          </w:p>
        </w:tc>
        <w:tc>
          <w:tcPr>
            <w:tcW w:w="6667" w:type="dxa"/>
            <w:noWrap w:val="0"/>
            <w:vAlign w:val="center"/>
          </w:tcPr>
          <w:p w14:paraId="7AAEFC38">
            <w:pPr>
              <w:spacing w:line="400" w:lineRule="exact"/>
              <w:rPr>
                <w:rFonts w:hint="eastAsia" w:ascii="宋体" w:hAnsi="宋体" w:eastAsia="宋体" w:cs="宋体"/>
                <w:sz w:val="21"/>
                <w:szCs w:val="21"/>
              </w:rPr>
            </w:pPr>
            <w:r>
              <w:rPr>
                <w:rFonts w:hint="eastAsia" w:ascii="宋体" w:hAnsi="宋体" w:eastAsia="宋体" w:cs="宋体"/>
                <w:sz w:val="21"/>
                <w:szCs w:val="21"/>
              </w:rPr>
              <w:t>不允许</w:t>
            </w:r>
          </w:p>
        </w:tc>
      </w:tr>
      <w:tr w14:paraId="2418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8794D67">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1.13</w:t>
            </w:r>
          </w:p>
        </w:tc>
        <w:tc>
          <w:tcPr>
            <w:tcW w:w="2879" w:type="dxa"/>
            <w:gridSpan w:val="2"/>
            <w:noWrap w:val="0"/>
            <w:vAlign w:val="center"/>
          </w:tcPr>
          <w:p w14:paraId="24D4F987">
            <w:pPr>
              <w:autoSpaceDE w:val="0"/>
              <w:autoSpaceDN w:val="0"/>
              <w:adjustRightIn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是否接受选择性报价方案</w:t>
            </w:r>
          </w:p>
        </w:tc>
        <w:tc>
          <w:tcPr>
            <w:tcW w:w="6667" w:type="dxa"/>
            <w:noWrap w:val="0"/>
            <w:vAlign w:val="center"/>
          </w:tcPr>
          <w:p w14:paraId="6D0916C9">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不接受：首次响应文件只允许一个报价方案</w:t>
            </w:r>
          </w:p>
        </w:tc>
      </w:tr>
      <w:tr w14:paraId="211A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66768F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879" w:type="dxa"/>
            <w:gridSpan w:val="2"/>
            <w:noWrap w:val="0"/>
            <w:vAlign w:val="center"/>
          </w:tcPr>
          <w:p w14:paraId="59F07F0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构成竞争性磋商文件的</w:t>
            </w:r>
          </w:p>
          <w:p w14:paraId="0F8E1E9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其他材料</w:t>
            </w:r>
          </w:p>
        </w:tc>
        <w:tc>
          <w:tcPr>
            <w:tcW w:w="6667" w:type="dxa"/>
            <w:noWrap w:val="0"/>
            <w:vAlign w:val="center"/>
          </w:tcPr>
          <w:p w14:paraId="6ED866AD">
            <w:pPr>
              <w:autoSpaceDE w:val="0"/>
              <w:autoSpaceDN w:val="0"/>
              <w:adjustRightInd w:val="0"/>
              <w:spacing w:line="400" w:lineRule="exact"/>
              <w:rPr>
                <w:rFonts w:hint="eastAsia" w:ascii="宋体" w:hAnsi="宋体" w:eastAsia="宋体" w:cs="宋体"/>
                <w:kern w:val="0"/>
                <w:sz w:val="21"/>
                <w:szCs w:val="21"/>
                <w:u w:val="single"/>
                <w:lang w:val="en-US"/>
              </w:rPr>
            </w:pPr>
            <w:r>
              <w:rPr>
                <w:rFonts w:hint="eastAsia" w:ascii="宋体" w:hAnsi="宋体" w:eastAsia="宋体" w:cs="宋体"/>
                <w:kern w:val="0"/>
                <w:sz w:val="21"/>
                <w:szCs w:val="21"/>
              </w:rPr>
              <w:t>本项目采购控制价为：</w:t>
            </w:r>
            <w:r>
              <w:rPr>
                <w:rFonts w:hint="eastAsia" w:ascii="宋体" w:hAnsi="宋体" w:cs="宋体"/>
                <w:kern w:val="0"/>
                <w:sz w:val="21"/>
                <w:szCs w:val="21"/>
                <w:lang w:val="en-US" w:eastAsia="zh-CN"/>
              </w:rPr>
              <w:t>见公告</w:t>
            </w:r>
            <w:r>
              <w:rPr>
                <w:rFonts w:hint="eastAsia" w:ascii="宋体" w:hAnsi="宋体" w:eastAsia="宋体" w:cs="宋体"/>
                <w:kern w:val="0"/>
                <w:sz w:val="21"/>
                <w:szCs w:val="21"/>
                <w:lang w:val="en-US" w:eastAsia="zh-CN"/>
              </w:rPr>
              <w:t xml:space="preserve"> </w:t>
            </w:r>
          </w:p>
          <w:p w14:paraId="5E9CEFBC">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人报价超过采购控制价的取消其磋商资格</w:t>
            </w:r>
          </w:p>
        </w:tc>
      </w:tr>
      <w:tr w14:paraId="7389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05B0C6CB">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2879" w:type="dxa"/>
            <w:gridSpan w:val="2"/>
            <w:noWrap w:val="0"/>
            <w:vAlign w:val="center"/>
          </w:tcPr>
          <w:p w14:paraId="00DA98A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6667" w:type="dxa"/>
            <w:noWrap w:val="0"/>
            <w:vAlign w:val="center"/>
          </w:tcPr>
          <w:p w14:paraId="0FEFF11F">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磋商截止之日起60日历天</w:t>
            </w:r>
          </w:p>
        </w:tc>
      </w:tr>
      <w:tr w14:paraId="2664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6945CD29">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3.5.3</w:t>
            </w:r>
          </w:p>
        </w:tc>
        <w:tc>
          <w:tcPr>
            <w:tcW w:w="2879" w:type="dxa"/>
            <w:gridSpan w:val="2"/>
            <w:noWrap w:val="0"/>
            <w:vAlign w:val="center"/>
          </w:tcPr>
          <w:p w14:paraId="1F43EEB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签字或盖章要求</w:t>
            </w:r>
          </w:p>
        </w:tc>
        <w:tc>
          <w:tcPr>
            <w:tcW w:w="6667" w:type="dxa"/>
            <w:noWrap w:val="0"/>
            <w:vAlign w:val="center"/>
          </w:tcPr>
          <w:p w14:paraId="6E849D0A">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见磋商响应文件格式要求</w:t>
            </w:r>
          </w:p>
        </w:tc>
      </w:tr>
      <w:tr w14:paraId="58D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4B887EF8">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3.5.4</w:t>
            </w:r>
          </w:p>
        </w:tc>
        <w:tc>
          <w:tcPr>
            <w:tcW w:w="2879" w:type="dxa"/>
            <w:gridSpan w:val="2"/>
            <w:noWrap w:val="0"/>
            <w:vAlign w:val="center"/>
          </w:tcPr>
          <w:p w14:paraId="202FD78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响应文件份数</w:t>
            </w:r>
          </w:p>
        </w:tc>
        <w:tc>
          <w:tcPr>
            <w:tcW w:w="6667" w:type="dxa"/>
            <w:noWrap w:val="0"/>
            <w:vAlign w:val="center"/>
          </w:tcPr>
          <w:p w14:paraId="076E5348">
            <w:pPr>
              <w:autoSpaceDE w:val="0"/>
              <w:autoSpaceDN w:val="0"/>
              <w:adjustRightInd w:val="0"/>
              <w:spacing w:line="400" w:lineRule="exact"/>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电子响应文件1份</w:t>
            </w:r>
          </w:p>
        </w:tc>
      </w:tr>
      <w:tr w14:paraId="3D10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1D2DCB71">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4.2.1</w:t>
            </w:r>
          </w:p>
        </w:tc>
        <w:tc>
          <w:tcPr>
            <w:tcW w:w="2879" w:type="dxa"/>
            <w:gridSpan w:val="2"/>
            <w:noWrap w:val="0"/>
            <w:vAlign w:val="center"/>
          </w:tcPr>
          <w:p w14:paraId="0D82F30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首次</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响应文件递交</w:t>
            </w:r>
          </w:p>
          <w:p w14:paraId="20A199B6">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截止时间</w:t>
            </w:r>
          </w:p>
        </w:tc>
        <w:tc>
          <w:tcPr>
            <w:tcW w:w="6667" w:type="dxa"/>
            <w:noWrap w:val="0"/>
            <w:vAlign w:val="center"/>
          </w:tcPr>
          <w:p w14:paraId="43F9C592">
            <w:pPr>
              <w:autoSpaceDE w:val="0"/>
              <w:autoSpaceDN w:val="0"/>
              <w:adjustRightInd w:val="0"/>
              <w:spacing w:line="400" w:lineRule="exact"/>
              <w:rPr>
                <w:rFonts w:hint="eastAsia" w:ascii="宋体" w:hAnsi="宋体" w:eastAsia="宋体" w:cs="宋体"/>
                <w:b/>
                <w:color w:val="auto"/>
                <w:sz w:val="21"/>
                <w:szCs w:val="21"/>
              </w:rPr>
            </w:pPr>
            <w:r>
              <w:rPr>
                <w:rFonts w:hint="eastAsia" w:ascii="宋体" w:hAnsi="宋体" w:cs="宋体"/>
                <w:b w:val="0"/>
                <w:bCs/>
                <w:color w:val="auto"/>
                <w:sz w:val="21"/>
                <w:szCs w:val="21"/>
                <w:lang w:val="en-US" w:eastAsia="zh-CN"/>
              </w:rPr>
              <w:t>详见磋商公告</w:t>
            </w:r>
          </w:p>
        </w:tc>
      </w:tr>
      <w:tr w14:paraId="6920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220204CE">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4.2.2</w:t>
            </w:r>
          </w:p>
        </w:tc>
        <w:tc>
          <w:tcPr>
            <w:tcW w:w="2879" w:type="dxa"/>
            <w:gridSpan w:val="2"/>
            <w:noWrap w:val="0"/>
            <w:vAlign w:val="center"/>
          </w:tcPr>
          <w:p w14:paraId="0EE0B6BD">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首次递交</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响应文件地点</w:t>
            </w:r>
          </w:p>
        </w:tc>
        <w:tc>
          <w:tcPr>
            <w:tcW w:w="6667" w:type="dxa"/>
            <w:noWrap w:val="0"/>
            <w:vAlign w:val="center"/>
          </w:tcPr>
          <w:p w14:paraId="3896E6CB">
            <w:pPr>
              <w:spacing w:line="400" w:lineRule="exact"/>
              <w:rPr>
                <w:rFonts w:hint="eastAsia" w:ascii="宋体" w:hAnsi="宋体" w:eastAsia="宋体" w:cs="宋体"/>
                <w:b/>
                <w:color w:val="auto"/>
                <w:sz w:val="21"/>
                <w:szCs w:val="21"/>
                <w:lang w:eastAsia="zh-CN"/>
              </w:rPr>
            </w:pPr>
            <w:r>
              <w:rPr>
                <w:rFonts w:hint="eastAsia" w:ascii="宋体" w:hAnsi="宋体" w:eastAsia="宋体" w:cs="宋体"/>
                <w:b w:val="0"/>
                <w:bCs/>
                <w:color w:val="auto"/>
                <w:sz w:val="21"/>
                <w:szCs w:val="21"/>
                <w:lang w:eastAsia="zh-CN"/>
              </w:rPr>
              <w:t>将电子</w:t>
            </w: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lang w:eastAsia="zh-CN"/>
              </w:rPr>
              <w:t>文件在投标专区上传到商丘市公共资源交易中心平台</w:t>
            </w:r>
          </w:p>
        </w:tc>
      </w:tr>
      <w:tr w14:paraId="78B9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14:paraId="3D120B54">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4.2.4</w:t>
            </w:r>
          </w:p>
        </w:tc>
        <w:tc>
          <w:tcPr>
            <w:tcW w:w="2879" w:type="dxa"/>
            <w:gridSpan w:val="2"/>
            <w:noWrap w:val="0"/>
            <w:vAlign w:val="center"/>
          </w:tcPr>
          <w:p w14:paraId="7D2BC537">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是否退还磋商响应文件</w:t>
            </w:r>
          </w:p>
        </w:tc>
        <w:tc>
          <w:tcPr>
            <w:tcW w:w="6667" w:type="dxa"/>
            <w:noWrap w:val="0"/>
            <w:vAlign w:val="center"/>
          </w:tcPr>
          <w:p w14:paraId="13C4EE9F">
            <w:pPr>
              <w:autoSpaceDE w:val="0"/>
              <w:autoSpaceDN w:val="0"/>
              <w:adjustRightIn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否</w:t>
            </w:r>
          </w:p>
        </w:tc>
      </w:tr>
      <w:tr w14:paraId="43CE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tcBorders>
              <w:bottom w:val="single" w:color="auto" w:sz="4" w:space="0"/>
            </w:tcBorders>
            <w:noWrap w:val="0"/>
            <w:vAlign w:val="center"/>
          </w:tcPr>
          <w:p w14:paraId="2C4BDBEA">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2879" w:type="dxa"/>
            <w:gridSpan w:val="2"/>
            <w:tcBorders>
              <w:bottom w:val="single" w:color="auto" w:sz="4" w:space="0"/>
            </w:tcBorders>
            <w:noWrap w:val="0"/>
            <w:vAlign w:val="center"/>
          </w:tcPr>
          <w:p w14:paraId="667C59E0">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竞争性磋商时间和地点</w:t>
            </w:r>
          </w:p>
        </w:tc>
        <w:tc>
          <w:tcPr>
            <w:tcW w:w="6667" w:type="dxa"/>
            <w:tcBorders>
              <w:bottom w:val="single" w:color="auto" w:sz="4" w:space="0"/>
            </w:tcBorders>
            <w:noWrap w:val="0"/>
            <w:vAlign w:val="center"/>
          </w:tcPr>
          <w:p w14:paraId="6F449E0B">
            <w:pPr>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磋商时间：同首次</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响应文件递交截止时间</w:t>
            </w:r>
          </w:p>
          <w:p w14:paraId="0166C54E">
            <w:pPr>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磋商地点：同首次递交</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响应文件地点</w:t>
            </w:r>
          </w:p>
        </w:tc>
      </w:tr>
      <w:tr w14:paraId="0D81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59D80E5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5.3.1</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14:paraId="1397EDE5">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磋商小组的组建</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6E59A3C0">
            <w:pPr>
              <w:spacing w:line="400" w:lineRule="exact"/>
              <w:rPr>
                <w:rFonts w:hint="eastAsia" w:ascii="宋体" w:hAnsi="宋体" w:eastAsia="宋体" w:cs="宋体"/>
                <w:spacing w:val="-11"/>
                <w:sz w:val="21"/>
                <w:szCs w:val="21"/>
              </w:rPr>
            </w:pPr>
            <w:r>
              <w:rPr>
                <w:rFonts w:hint="eastAsia" w:ascii="宋体" w:hAnsi="宋体" w:eastAsia="宋体" w:cs="宋体"/>
                <w:spacing w:val="-11"/>
                <w:kern w:val="0"/>
                <w:sz w:val="21"/>
                <w:szCs w:val="21"/>
              </w:rPr>
              <w:t>磋商小组由3人组成，相关经济专家</w:t>
            </w:r>
            <w:r>
              <w:rPr>
                <w:rFonts w:hint="eastAsia" w:ascii="宋体" w:hAnsi="宋体" w:eastAsia="宋体" w:cs="宋体"/>
                <w:spacing w:val="-11"/>
                <w:kern w:val="0"/>
                <w:sz w:val="21"/>
                <w:szCs w:val="21"/>
                <w:lang w:val="en-US" w:eastAsia="zh-CN"/>
              </w:rPr>
              <w:t>1人</w:t>
            </w:r>
            <w:r>
              <w:rPr>
                <w:rFonts w:hint="eastAsia" w:ascii="宋体" w:hAnsi="宋体" w:eastAsia="宋体" w:cs="宋体"/>
                <w:spacing w:val="-11"/>
                <w:kern w:val="0"/>
                <w:sz w:val="21"/>
                <w:szCs w:val="21"/>
              </w:rPr>
              <w:t>、技术专家</w:t>
            </w:r>
            <w:r>
              <w:rPr>
                <w:rFonts w:hint="eastAsia" w:ascii="宋体" w:hAnsi="宋体" w:eastAsia="宋体" w:cs="宋体"/>
                <w:spacing w:val="-11"/>
                <w:kern w:val="0"/>
                <w:sz w:val="21"/>
                <w:szCs w:val="21"/>
                <w:lang w:val="en-US" w:eastAsia="zh-CN"/>
              </w:rPr>
              <w:t>1</w:t>
            </w:r>
            <w:r>
              <w:rPr>
                <w:rFonts w:hint="eastAsia" w:ascii="宋体" w:hAnsi="宋体" w:eastAsia="宋体" w:cs="宋体"/>
                <w:spacing w:val="-11"/>
                <w:kern w:val="0"/>
                <w:sz w:val="21"/>
                <w:szCs w:val="21"/>
              </w:rPr>
              <w:t>人</w:t>
            </w:r>
            <w:r>
              <w:rPr>
                <w:rFonts w:hint="eastAsia" w:ascii="宋体" w:hAnsi="宋体" w:eastAsia="宋体" w:cs="宋体"/>
                <w:spacing w:val="-11"/>
                <w:kern w:val="0"/>
                <w:sz w:val="21"/>
                <w:szCs w:val="21"/>
                <w:lang w:eastAsia="zh-CN"/>
              </w:rPr>
              <w:t>、</w:t>
            </w:r>
            <w:r>
              <w:rPr>
                <w:rFonts w:hint="eastAsia" w:ascii="宋体" w:hAnsi="宋体" w:eastAsia="宋体" w:cs="宋体"/>
                <w:spacing w:val="-11"/>
                <w:kern w:val="0"/>
                <w:sz w:val="21"/>
                <w:szCs w:val="21"/>
                <w:lang w:val="en-US" w:eastAsia="zh-CN"/>
              </w:rPr>
              <w:t>采购人</w:t>
            </w:r>
            <w:r>
              <w:rPr>
                <w:rFonts w:hint="eastAsia" w:ascii="宋体" w:hAnsi="宋体" w:cs="宋体"/>
                <w:spacing w:val="-11"/>
                <w:kern w:val="0"/>
                <w:sz w:val="21"/>
                <w:szCs w:val="21"/>
                <w:lang w:val="en-US" w:eastAsia="zh-CN"/>
              </w:rPr>
              <w:t>代表</w:t>
            </w:r>
            <w:r>
              <w:rPr>
                <w:rFonts w:hint="eastAsia" w:ascii="宋体" w:hAnsi="宋体" w:eastAsia="宋体" w:cs="宋体"/>
                <w:spacing w:val="-11"/>
                <w:kern w:val="0"/>
                <w:sz w:val="21"/>
                <w:szCs w:val="21"/>
                <w:lang w:val="en-US" w:eastAsia="zh-CN"/>
              </w:rPr>
              <w:t>1人</w:t>
            </w:r>
            <w:r>
              <w:rPr>
                <w:rFonts w:hint="eastAsia" w:ascii="宋体" w:hAnsi="宋体" w:eastAsia="宋体" w:cs="宋体"/>
                <w:spacing w:val="-11"/>
                <w:kern w:val="0"/>
                <w:sz w:val="21"/>
                <w:szCs w:val="21"/>
              </w:rPr>
              <w:t>；</w:t>
            </w:r>
          </w:p>
          <w:p w14:paraId="0B28ADE4">
            <w:pPr>
              <w:spacing w:line="400" w:lineRule="exact"/>
              <w:rPr>
                <w:rFonts w:hint="eastAsia" w:ascii="宋体" w:hAnsi="宋体" w:eastAsia="宋体" w:cs="宋体"/>
                <w:sz w:val="21"/>
                <w:szCs w:val="21"/>
              </w:rPr>
            </w:pPr>
            <w:r>
              <w:rPr>
                <w:rFonts w:hint="eastAsia" w:ascii="宋体" w:hAnsi="宋体" w:eastAsia="宋体" w:cs="宋体"/>
                <w:sz w:val="21"/>
                <w:szCs w:val="21"/>
              </w:rPr>
              <w:t>磋商小组成员确定方式：从相关专家库中随机抽取。</w:t>
            </w:r>
          </w:p>
        </w:tc>
      </w:tr>
      <w:tr w14:paraId="19EB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3D4E4C8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5.3.9</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14:paraId="013D0490">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是否授权磋商小组确定</w:t>
            </w:r>
          </w:p>
          <w:p w14:paraId="10F9AE93">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成交人</w:t>
            </w:r>
          </w:p>
        </w:tc>
        <w:tc>
          <w:tcPr>
            <w:tcW w:w="6667" w:type="dxa"/>
            <w:tcBorders>
              <w:top w:val="single" w:color="auto" w:sz="4" w:space="0"/>
              <w:left w:val="single" w:color="auto" w:sz="4" w:space="0"/>
              <w:bottom w:val="single" w:color="auto" w:sz="4" w:space="0"/>
              <w:right w:val="single" w:color="auto" w:sz="4" w:space="0"/>
            </w:tcBorders>
            <w:noWrap w:val="0"/>
            <w:vAlign w:val="center"/>
          </w:tcPr>
          <w:p w14:paraId="75F2F652">
            <w:pPr>
              <w:autoSpaceDE w:val="0"/>
              <w:autoSpaceDN w:val="0"/>
              <w:adjustRightInd w:val="0"/>
              <w:spacing w:line="400" w:lineRule="exact"/>
              <w:rPr>
                <w:rFonts w:hint="eastAsia" w:ascii="宋体" w:hAnsi="宋体" w:eastAsia="宋体" w:cs="宋体"/>
                <w:b/>
                <w:kern w:val="0"/>
                <w:sz w:val="21"/>
                <w:szCs w:val="21"/>
              </w:rPr>
            </w:pPr>
            <w:r>
              <w:rPr>
                <w:rFonts w:hint="eastAsia" w:ascii="宋体" w:hAnsi="宋体" w:eastAsia="宋体" w:cs="宋体"/>
                <w:sz w:val="21"/>
                <w:szCs w:val="21"/>
              </w:rPr>
              <w:t>否，推荐的中标候选人数：</w:t>
            </w:r>
            <w:r>
              <w:rPr>
                <w:rFonts w:hint="eastAsia" w:ascii="宋体" w:hAnsi="宋体" w:eastAsia="宋体" w:cs="宋体"/>
                <w:sz w:val="21"/>
                <w:szCs w:val="21"/>
                <w:u w:val="single"/>
              </w:rPr>
              <w:t>1-3名</w:t>
            </w:r>
          </w:p>
        </w:tc>
      </w:tr>
      <w:tr w14:paraId="7F74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2" w:type="dxa"/>
            <w:tcBorders>
              <w:top w:val="single" w:color="auto" w:sz="4" w:space="0"/>
            </w:tcBorders>
            <w:noWrap w:val="0"/>
            <w:vAlign w:val="center"/>
          </w:tcPr>
          <w:p w14:paraId="20A6ED2A">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2879" w:type="dxa"/>
            <w:gridSpan w:val="2"/>
            <w:tcBorders>
              <w:top w:val="single" w:color="auto" w:sz="4" w:space="0"/>
            </w:tcBorders>
            <w:noWrap w:val="0"/>
            <w:vAlign w:val="center"/>
          </w:tcPr>
          <w:p w14:paraId="365929DF">
            <w:pPr>
              <w:autoSpaceDE w:val="0"/>
              <w:autoSpaceDN w:val="0"/>
              <w:adjustRightIn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采购代理服务费</w:t>
            </w:r>
          </w:p>
        </w:tc>
        <w:tc>
          <w:tcPr>
            <w:tcW w:w="6667" w:type="dxa"/>
            <w:tcBorders>
              <w:top w:val="single" w:color="auto" w:sz="4" w:space="0"/>
            </w:tcBorders>
            <w:noWrap w:val="0"/>
            <w:vAlign w:val="center"/>
          </w:tcPr>
          <w:p w14:paraId="0619EF5C">
            <w:pPr>
              <w:spacing w:line="400" w:lineRule="exact"/>
              <w:rPr>
                <w:rFonts w:hint="eastAsia" w:ascii="宋体" w:hAnsi="宋体" w:eastAsia="宋体" w:cs="宋体"/>
                <w:kern w:val="0"/>
                <w:sz w:val="21"/>
                <w:szCs w:val="21"/>
              </w:rPr>
            </w:pPr>
            <w:r>
              <w:rPr>
                <w:rFonts w:hint="eastAsia" w:ascii="宋体" w:hAnsi="宋体" w:eastAsia="宋体" w:cs="宋体"/>
                <w:sz w:val="21"/>
                <w:szCs w:val="21"/>
              </w:rPr>
              <w:t>采购代理服务费由成交供应商按中标价参考计价格【2002】1980号及发改办【2003】857号文件由成交供应商支付。</w:t>
            </w:r>
          </w:p>
        </w:tc>
      </w:tr>
      <w:tr w14:paraId="3C5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92" w:type="dxa"/>
            <w:noWrap w:val="0"/>
            <w:vAlign w:val="center"/>
          </w:tcPr>
          <w:p w14:paraId="72385C0B">
            <w:pPr>
              <w:autoSpaceDE w:val="0"/>
              <w:autoSpaceDN w:val="0"/>
              <w:adjustRightInd w:val="0"/>
              <w:spacing w:line="4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2</w:t>
            </w:r>
          </w:p>
        </w:tc>
        <w:tc>
          <w:tcPr>
            <w:tcW w:w="2879" w:type="dxa"/>
            <w:gridSpan w:val="2"/>
            <w:noWrap w:val="0"/>
            <w:vAlign w:val="center"/>
          </w:tcPr>
          <w:p w14:paraId="3BF526A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响应文件可能被拒绝的因素</w:t>
            </w:r>
          </w:p>
        </w:tc>
        <w:tc>
          <w:tcPr>
            <w:tcW w:w="6667" w:type="dxa"/>
            <w:noWrap w:val="0"/>
            <w:vAlign w:val="center"/>
          </w:tcPr>
          <w:p w14:paraId="4E299AD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详见供应商须知第5.3.5款及5.3.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款规定内容</w:t>
            </w:r>
          </w:p>
        </w:tc>
      </w:tr>
      <w:tr w14:paraId="20ED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92" w:type="dxa"/>
            <w:noWrap w:val="0"/>
            <w:vAlign w:val="center"/>
          </w:tcPr>
          <w:p w14:paraId="498FC6E9">
            <w:pPr>
              <w:spacing w:line="460" w:lineRule="exact"/>
              <w:jc w:val="center"/>
              <w:rPr>
                <w:rFonts w:hint="default" w:ascii="宋体" w:hAnsi="宋体" w:eastAsia="宋体" w:cs="宋体"/>
                <w:b w:val="0"/>
                <w:bCs w:val="0"/>
                <w:sz w:val="21"/>
                <w:szCs w:val="21"/>
                <w:lang w:val="en-US" w:eastAsia="zh-CN"/>
              </w:rPr>
            </w:pPr>
            <w:bookmarkStart w:id="11" w:name="_Toc30034"/>
            <w:bookmarkStart w:id="12" w:name="_Toc269470294"/>
            <w:bookmarkStart w:id="13" w:name="_Toc270604575"/>
            <w:r>
              <w:rPr>
                <w:rFonts w:hint="eastAsia" w:ascii="宋体" w:hAnsi="宋体" w:cs="宋体"/>
                <w:b w:val="0"/>
                <w:bCs w:val="0"/>
                <w:sz w:val="21"/>
                <w:szCs w:val="21"/>
                <w:lang w:val="en-US" w:eastAsia="zh-CN"/>
              </w:rPr>
              <w:t>10</w:t>
            </w:r>
          </w:p>
        </w:tc>
        <w:tc>
          <w:tcPr>
            <w:tcW w:w="1196" w:type="dxa"/>
            <w:noWrap w:val="0"/>
            <w:vAlign w:val="center"/>
          </w:tcPr>
          <w:p w14:paraId="380D2C55">
            <w:pPr>
              <w:spacing w:line="46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注意事项</w:t>
            </w:r>
            <w:r>
              <w:rPr>
                <w:rFonts w:hint="eastAsia" w:ascii="宋体" w:hAnsi="宋体" w:cs="宋体"/>
                <w:b w:val="0"/>
                <w:bCs w:val="0"/>
                <w:sz w:val="21"/>
                <w:szCs w:val="21"/>
                <w:lang w:val="en-US" w:eastAsia="zh-CN"/>
              </w:rPr>
              <w:t>1</w:t>
            </w:r>
          </w:p>
        </w:tc>
        <w:tc>
          <w:tcPr>
            <w:tcW w:w="8350" w:type="dxa"/>
            <w:gridSpan w:val="2"/>
            <w:noWrap w:val="0"/>
            <w:vAlign w:val="center"/>
          </w:tcPr>
          <w:p w14:paraId="4AAC8FA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1、本次项目采用不见面开评标，投标人不需要再到现场，投标人通过互联网登录交易平台自助完成投标签到、投标文件解密及澄清答疑等操作，具体流程详见附件“不见面开标系统投标人操作及说明”。 </w:t>
            </w:r>
          </w:p>
          <w:p w14:paraId="13D7270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2、投标人需根据招标文件要求，如有需提供企业资质、业绩、获奖等资料的，投标人应将相应涉及评审的所有客观资料上传至市场主体诚信库对应位置（涉密的除外），由评标评审</w:t>
            </w:r>
            <w:r>
              <w:rPr>
                <w:rFonts w:hint="eastAsia" w:ascii="宋体" w:hAnsi="宋体" w:eastAsia="宋体" w:cs="宋体"/>
                <w:b w:val="0"/>
                <w:bCs w:val="0"/>
                <w:spacing w:val="-6"/>
                <w:kern w:val="2"/>
                <w:sz w:val="21"/>
                <w:szCs w:val="21"/>
                <w:lang w:val="en-US" w:eastAsia="zh-CN" w:bidi="ar-SA"/>
              </w:rPr>
              <w:t xml:space="preserve">专家予以认定，没有上传的视同没有提供相应评审资料，不再要求投标人现场提交原件。 </w:t>
            </w:r>
          </w:p>
          <w:p w14:paraId="053A06D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投标人应根据《商丘市公共资源交易平台操作指南2019-12-31版本》，按照招标文件要求，将本单位相关资料上传至市场主体库相应位置，为确保材料上传成功并方便评标评审专家查找核对，投标人应在开标前完成资料上传并在投标文件中列明资料上传位置，市场主体诚信库中市场主体信息以评标评审专家核对时为准，核对后主体库信息发生的任何变更均不再作为评标依据。 </w:t>
            </w:r>
          </w:p>
          <w:p w14:paraId="4B4F1010">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4、当中标通知书发出后，中标人可以登陆交易平台点击对应项目操作—我要投标—操作—下载中标通知书完成自行下载。 </w:t>
            </w:r>
          </w:p>
          <w:p w14:paraId="1D806C1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5、投标人制作投标文件，请使用新版投标人工具箱，具体请查阅商丘市公共资源交易中心网站（http://ggzyjy.shangqiu.gov.cn）点击通知公告栏目。</w:t>
            </w:r>
          </w:p>
          <w:p w14:paraId="707360D1">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6、新增加开标过程在线询问功能，在开标结束之前，投标人可通过开标大厅在线询问按钮与代理机构在线交流。 </w:t>
            </w:r>
          </w:p>
          <w:p w14:paraId="5B5D8F7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7、开标大厅增加开标过程直播功能，投标人安装直播插件后，在代理机构开启直播后，投标人可以点击查看直播可实时查看代理机构开标过程。直播功能插件压缩包附件下载后直接解压，并将解压后的文件放入电脑 C 盘 Windows 文件夹中即可。 </w:t>
            </w:r>
          </w:p>
          <w:p w14:paraId="6720B19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8、新增加开标结束提示信息，代理机构点击开标结束后，投标人在开标大厅和交易平台会收到项目开标已结束的提醒。 </w:t>
            </w:r>
          </w:p>
          <w:p w14:paraId="212C4A9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9、新增加市场主体资信库锁定功能，市场主体参与项目评审期间，市场主体资信库无法更新上传内容的设定，锁定时间为开标签到至评审结束。锁定期间，市场主体资信库信息提交发布时会提示：参与的项目正在评审，主体诚信库已被锁定，不可编辑，评审结束后自动解锁。因此友情提示各市场主体，如有多天连续参与项目交易时，建议将主体库信息根据项目招标文件要求一次更新完成，以免造成不利后果。 </w:t>
            </w:r>
          </w:p>
          <w:p w14:paraId="26169E46">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10、交易平台菜单栏目更新，把澄清答疑等按钮统一集中在了快捷导航里面。各市场主体在使用过程中遇到自行无法解决技术问题时请及时咨询，技术服务电话 0370-2853693。</w:t>
            </w:r>
          </w:p>
          <w:p w14:paraId="2B5E3125">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各潜在供应商对本项目有异议的，应当在法定期间内以书面形式有法定代表人或其授权委托代表签字并加盖单位公章向采购人或采购代理机构提出。线上异议操作流程请参考商丘市公共资源交易中心2021-6.16日发布的通知公告-《关于开通项目在线质疑/异议和处理功能的通知》</w:t>
            </w:r>
          </w:p>
          <w:p w14:paraId="435A2169">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12.</w:t>
            </w:r>
            <w:r>
              <w:rPr>
                <w:rFonts w:hint="eastAsia" w:ascii="宋体" w:hAnsi="宋体" w:eastAsia="宋体" w:cs="宋体"/>
                <w:b w:val="0"/>
                <w:bCs w:val="0"/>
                <w:kern w:val="2"/>
                <w:sz w:val="21"/>
                <w:szCs w:val="21"/>
                <w:lang w:val="en-US" w:eastAsia="zh-CN" w:bidi="ar-SA"/>
              </w:rPr>
              <w:t xml:space="preserve">为贯彻落实《河南省营商环境优化提升行动方案(2022 版)》(豫营商〔2022〕1 号)、 《2022 年全省公共资源交易管理工作要点》(豫公管委〔2022〕2 号)、《河南省财政厅关于防范供应商串通投标促进政府采购公平竞争的通知》、《河南省财政厅关于防范供应商串通投标促进政府采购公平竞争的通知》(豫财购〔2021〕6 号)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监测预警功能，有关事项通知如下： </w:t>
            </w:r>
          </w:p>
          <w:p w14:paraId="19B1A7B2">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一、分析监测预警情形： </w:t>
            </w:r>
          </w:p>
          <w:p w14:paraId="66D2722E">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对参与本项目同一标段的投标人存在下列情形的，大数据分析系统会将监测信息在电子评标系统中给予预警提示存在下列情形的，大数据分析系统会将监测信息在电子评标系统中给予预警提示： </w:t>
            </w:r>
          </w:p>
          <w:p w14:paraId="20047760">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1、不同投标人的电子投标文件上传计算机的网卡 MAC 地址、CPU 序列号和硬盘序列号等硬件信息相同；序列号和硬盘序列号等硬件信息相同； </w:t>
            </w:r>
          </w:p>
          <w:p w14:paraId="2C77C673">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2、不同投标人的电子投标文件由同一电子设备编制或者上传； </w:t>
            </w:r>
          </w:p>
          <w:p w14:paraId="452EFC8A">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3、不同投标人的电子投标文件由同一 IP 地址上传； </w:t>
            </w:r>
          </w:p>
          <w:p w14:paraId="0D011C4F">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4、不同投标人的电子投标文件工程预算由同一预算软件(同一把预算锁)编制</w:t>
            </w:r>
          </w:p>
          <w:p w14:paraId="5FE90A04">
            <w:pPr>
              <w:adjustRightInd w:val="0"/>
              <w:snapToGrid w:val="0"/>
              <w:spacing w:after="0" w:line="36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二、存在上述预警情形之一的，其投标文件无效。</w:t>
            </w:r>
          </w:p>
        </w:tc>
      </w:tr>
      <w:tr w14:paraId="49D0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92" w:type="dxa"/>
            <w:noWrap w:val="0"/>
            <w:vAlign w:val="center"/>
          </w:tcPr>
          <w:p w14:paraId="3A507A2D">
            <w:pPr>
              <w:spacing w:line="46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11</w:t>
            </w:r>
          </w:p>
        </w:tc>
        <w:tc>
          <w:tcPr>
            <w:tcW w:w="1196" w:type="dxa"/>
            <w:noWrap w:val="0"/>
            <w:vAlign w:val="center"/>
          </w:tcPr>
          <w:p w14:paraId="1E175264">
            <w:pPr>
              <w:spacing w:line="46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注意事项2</w:t>
            </w:r>
          </w:p>
        </w:tc>
        <w:tc>
          <w:tcPr>
            <w:tcW w:w="8350" w:type="dxa"/>
            <w:gridSpan w:val="2"/>
            <w:noWrap w:val="0"/>
            <w:vAlign w:val="center"/>
          </w:tcPr>
          <w:p w14:paraId="5EDACBA1">
            <w:pPr>
              <w:adjustRightInd w:val="0"/>
              <w:snapToGrid w:val="0"/>
              <w:spacing w:after="0" w:line="360" w:lineRule="exact"/>
              <w:jc w:val="left"/>
              <w:rPr>
                <w:rFonts w:hint="default"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依据“关于印发中小企业划型标准规定的通知工信部联企业〔2011〕300 号”本项目属于建筑业。</w:t>
            </w:r>
          </w:p>
        </w:tc>
      </w:tr>
      <w:tr w14:paraId="30C0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2" w:type="dxa"/>
            <w:noWrap w:val="0"/>
            <w:vAlign w:val="center"/>
          </w:tcPr>
          <w:p w14:paraId="2C7D988E">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auto"/>
                <w:spacing w:val="0"/>
                <w:sz w:val="21"/>
                <w:szCs w:val="21"/>
              </w:rPr>
              <w:t>3</w:t>
            </w: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.1.1</w:t>
            </w:r>
          </w:p>
        </w:tc>
        <w:tc>
          <w:tcPr>
            <w:tcW w:w="9546" w:type="dxa"/>
            <w:gridSpan w:val="3"/>
            <w:noWrap w:val="0"/>
            <w:vAlign w:val="center"/>
          </w:tcPr>
          <w:p w14:paraId="621250F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auto"/>
                <w:spacing w:val="0"/>
                <w:sz w:val="21"/>
                <w:szCs w:val="21"/>
              </w:rPr>
              <w:t>是否收取履约保证金：（是</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、否</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w:t>
            </w:r>
          </w:p>
        </w:tc>
      </w:tr>
      <w:tr w14:paraId="740C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92" w:type="dxa"/>
            <w:noWrap w:val="0"/>
            <w:vAlign w:val="center"/>
          </w:tcPr>
          <w:p w14:paraId="1330BFD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auto"/>
                <w:spacing w:val="0"/>
                <w:sz w:val="21"/>
                <w:szCs w:val="21"/>
              </w:rPr>
              <w:t>3</w:t>
            </w:r>
            <w:r>
              <w:rPr>
                <w:rFonts w:hint="eastAsia" w:ascii="宋体" w:hAnsi="宋体" w:eastAsia="宋体" w:cs="宋体"/>
                <w:b w:val="0"/>
                <w:bCs w:val="0"/>
                <w:i w:val="0"/>
                <w:caps w:val="0"/>
                <w:color w:val="auto"/>
                <w:spacing w:val="0"/>
                <w:sz w:val="21"/>
                <w:szCs w:val="21"/>
                <w:lang w:val="en-US" w:eastAsia="zh-CN"/>
              </w:rPr>
              <w:t>1</w:t>
            </w:r>
            <w:r>
              <w:rPr>
                <w:rFonts w:hint="eastAsia" w:ascii="宋体" w:hAnsi="宋体" w:eastAsia="宋体" w:cs="宋体"/>
                <w:b w:val="0"/>
                <w:bCs w:val="0"/>
                <w:i w:val="0"/>
                <w:caps w:val="0"/>
                <w:color w:val="auto"/>
                <w:spacing w:val="0"/>
                <w:sz w:val="21"/>
                <w:szCs w:val="21"/>
              </w:rPr>
              <w:t>.2.1</w:t>
            </w:r>
          </w:p>
        </w:tc>
        <w:tc>
          <w:tcPr>
            <w:tcW w:w="9546" w:type="dxa"/>
            <w:gridSpan w:val="3"/>
            <w:noWrap w:val="0"/>
            <w:vAlign w:val="center"/>
          </w:tcPr>
          <w:p w14:paraId="3F1C01C5">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预付款金额：中标金额的</w:t>
            </w:r>
            <w:r>
              <w:rPr>
                <w:rFonts w:hint="eastAsia" w:cs="宋体"/>
                <w:b w:val="0"/>
                <w:bCs w:val="0"/>
                <w:i w:val="0"/>
                <w:caps w:val="0"/>
                <w:color w:val="auto"/>
                <w:spacing w:val="0"/>
                <w:sz w:val="21"/>
                <w:szCs w:val="21"/>
                <w:lang w:val="en-US" w:eastAsia="zh-CN"/>
              </w:rPr>
              <w:t>60</w:t>
            </w:r>
            <w:r>
              <w:rPr>
                <w:rFonts w:hint="eastAsia" w:ascii="宋体" w:hAnsi="宋体" w:eastAsia="宋体" w:cs="宋体"/>
                <w:b w:val="0"/>
                <w:bCs w:val="0"/>
                <w:i w:val="0"/>
                <w:caps w:val="0"/>
                <w:color w:val="auto"/>
                <w:spacing w:val="0"/>
                <w:sz w:val="21"/>
                <w:szCs w:val="21"/>
              </w:rPr>
              <w:t>％。</w:t>
            </w:r>
          </w:p>
          <w:p w14:paraId="3D069711">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是否要求中标单位提交电子预付款保函：（是</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、否</w:t>
            </w:r>
            <w:r>
              <w:rPr>
                <w:rFonts w:hint="eastAsia" w:cs="宋体"/>
                <w:b w:val="0"/>
                <w:bCs w:val="0"/>
                <w:i w:val="0"/>
                <w:caps w:val="0"/>
                <w:color w:val="auto"/>
                <w:spacing w:val="0"/>
                <w:sz w:val="21"/>
                <w:szCs w:val="21"/>
                <w:lang w:eastAsia="zh-CN"/>
              </w:rPr>
              <w:t>☑</w:t>
            </w:r>
            <w:r>
              <w:rPr>
                <w:rFonts w:hint="eastAsia" w:ascii="宋体" w:hAnsi="宋体" w:eastAsia="宋体" w:cs="宋体"/>
                <w:b w:val="0"/>
                <w:bCs w:val="0"/>
                <w:i w:val="0"/>
                <w:caps w:val="0"/>
                <w:color w:val="auto"/>
                <w:spacing w:val="0"/>
                <w:sz w:val="21"/>
                <w:szCs w:val="21"/>
              </w:rPr>
              <w:t>）</w:t>
            </w:r>
          </w:p>
          <w:p w14:paraId="2A2D6F0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电子预付款保函担保金额：等同预付款金额。</w:t>
            </w:r>
          </w:p>
          <w:p w14:paraId="70542D6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电子预付款保函开具：应通过商丘市公共资源交易中心电子保函平台全程网上办理，实现保函信息与项目关联绑定、自动验真。具体操作参照商丘市公共资源交易中心发布的《关于推行电子预付款保函和履约保函的公告》</w:t>
            </w:r>
          </w:p>
          <w:p w14:paraId="211077BE">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sz w:val="21"/>
                <w:szCs w:val="21"/>
              </w:rPr>
              <w:t>提交电子预付款保函时间：合同签订生效后</w:t>
            </w:r>
            <w:r>
              <w:rPr>
                <w:rFonts w:hint="eastAsia" w:ascii="宋体" w:hAnsi="宋体" w:eastAsia="宋体" w:cs="宋体"/>
                <w:b w:val="0"/>
                <w:bCs w:val="0"/>
                <w:i w:val="0"/>
                <w:caps w:val="0"/>
                <w:color w:val="auto"/>
                <w:spacing w:val="0"/>
                <w:sz w:val="21"/>
                <w:szCs w:val="21"/>
                <w:lang w:val="en-US" w:eastAsia="zh-CN"/>
              </w:rPr>
              <w:t>7</w:t>
            </w:r>
            <w:r>
              <w:rPr>
                <w:rFonts w:hint="eastAsia" w:ascii="宋体" w:hAnsi="宋体" w:eastAsia="宋体" w:cs="宋体"/>
                <w:b w:val="0"/>
                <w:bCs w:val="0"/>
                <w:i w:val="0"/>
                <w:caps w:val="0"/>
                <w:color w:val="auto"/>
                <w:spacing w:val="0"/>
                <w:sz w:val="21"/>
                <w:szCs w:val="21"/>
              </w:rPr>
              <w:t>日历</w:t>
            </w:r>
            <w:r>
              <w:rPr>
                <w:rFonts w:hint="eastAsia" w:ascii="宋体" w:hAnsi="宋体" w:eastAsia="宋体" w:cs="宋体"/>
                <w:b w:val="0"/>
                <w:bCs w:val="0"/>
                <w:i w:val="0"/>
                <w:caps w:val="0"/>
                <w:color w:val="auto"/>
                <w:spacing w:val="0"/>
                <w:sz w:val="21"/>
                <w:szCs w:val="21"/>
                <w:lang w:eastAsia="zh-CN"/>
              </w:rPr>
              <w:t>天</w:t>
            </w:r>
            <w:r>
              <w:rPr>
                <w:rFonts w:hint="eastAsia" w:ascii="宋体" w:hAnsi="宋体" w:eastAsia="宋体" w:cs="宋体"/>
                <w:b w:val="0"/>
                <w:bCs w:val="0"/>
                <w:i w:val="0"/>
                <w:caps w:val="0"/>
                <w:color w:val="auto"/>
                <w:spacing w:val="0"/>
                <w:sz w:val="21"/>
                <w:szCs w:val="21"/>
              </w:rPr>
              <w:t>。</w:t>
            </w:r>
          </w:p>
          <w:p w14:paraId="5F920BC2">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auto"/>
                <w:spacing w:val="0"/>
                <w:sz w:val="21"/>
                <w:szCs w:val="21"/>
              </w:rPr>
              <w:t>预付款支付时间：合同签订生效或提交电子预付款保函且具备实施条件后5个工作日内。</w:t>
            </w:r>
          </w:p>
        </w:tc>
      </w:tr>
    </w:tbl>
    <w:p w14:paraId="68F69BB5">
      <w:pPr>
        <w:rPr>
          <w:rFonts w:hint="eastAsia" w:hAnsi="宋体" w:cs="黑体"/>
          <w:b/>
          <w:color w:val="auto"/>
        </w:rPr>
      </w:pPr>
      <w:bookmarkStart w:id="14" w:name="_Toc14917"/>
      <w:bookmarkStart w:id="15" w:name="_Toc11727"/>
      <w:r>
        <w:rPr>
          <w:rFonts w:hint="eastAsia" w:hAnsi="宋体" w:cs="黑体"/>
          <w:b/>
          <w:color w:val="auto"/>
        </w:rPr>
        <w:br w:type="page"/>
      </w:r>
    </w:p>
    <w:p w14:paraId="7C76A3A2">
      <w:pPr>
        <w:pStyle w:val="63"/>
        <w:tabs>
          <w:tab w:val="left" w:pos="360"/>
        </w:tabs>
        <w:snapToGrid w:val="0"/>
        <w:spacing w:line="360" w:lineRule="auto"/>
        <w:contextualSpacing/>
        <w:jc w:val="both"/>
        <w:outlineLvl w:val="1"/>
        <w:rPr>
          <w:rFonts w:hAnsi="宋体" w:cs="黑体"/>
          <w:b/>
          <w:color w:val="auto"/>
        </w:rPr>
      </w:pPr>
      <w:r>
        <w:rPr>
          <w:rFonts w:hint="eastAsia" w:hAnsi="宋体" w:cs="黑体"/>
          <w:b/>
          <w:color w:val="auto"/>
        </w:rPr>
        <w:t>1  总则</w:t>
      </w:r>
      <w:bookmarkEnd w:id="11"/>
      <w:bookmarkEnd w:id="12"/>
      <w:bookmarkEnd w:id="13"/>
      <w:bookmarkEnd w:id="14"/>
      <w:bookmarkEnd w:id="15"/>
    </w:p>
    <w:p w14:paraId="5F9AE265">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16" w:name="_Toc428276569"/>
      <w:bookmarkStart w:id="17" w:name="_Toc428351629"/>
      <w:bookmarkStart w:id="18" w:name="_Toc454788009"/>
      <w:bookmarkStart w:id="19" w:name="_Toc13394"/>
      <w:bookmarkStart w:id="20" w:name="_Toc462934274"/>
      <w:bookmarkStart w:id="21" w:name="_Toc277149365"/>
      <w:bookmarkStart w:id="22" w:name="_Toc10099"/>
      <w:bookmarkStart w:id="23" w:name="_Toc463011253"/>
      <w:bookmarkStart w:id="24" w:name="_Toc27089"/>
      <w:bookmarkStart w:id="25" w:name="_Toc13005"/>
      <w:bookmarkStart w:id="26" w:name="_Toc455678100"/>
      <w:r>
        <w:rPr>
          <w:rFonts w:hint="eastAsia" w:hAnsi="宋体" w:cs="黑体"/>
          <w:b/>
          <w:color w:val="auto"/>
          <w:sz w:val="21"/>
          <w:szCs w:val="21"/>
        </w:rPr>
        <w:t>项目概况</w:t>
      </w:r>
      <w:bookmarkEnd w:id="16"/>
      <w:bookmarkEnd w:id="17"/>
      <w:bookmarkEnd w:id="18"/>
      <w:bookmarkEnd w:id="19"/>
      <w:bookmarkEnd w:id="20"/>
      <w:bookmarkEnd w:id="21"/>
      <w:bookmarkEnd w:id="22"/>
      <w:bookmarkEnd w:id="23"/>
      <w:bookmarkEnd w:id="24"/>
      <w:bookmarkEnd w:id="25"/>
      <w:bookmarkEnd w:id="26"/>
    </w:p>
    <w:p w14:paraId="1CA7DA19">
      <w:pPr>
        <w:pStyle w:val="63"/>
        <w:snapToGrid w:val="0"/>
        <w:spacing w:line="360" w:lineRule="auto"/>
        <w:ind w:firstLine="420" w:firstLineChars="200"/>
        <w:contextualSpacing/>
        <w:jc w:val="both"/>
        <w:rPr>
          <w:rFonts w:hint="eastAsia" w:hAnsi="宋体" w:cs="黑体"/>
          <w:color w:val="auto"/>
          <w:sz w:val="21"/>
          <w:szCs w:val="21"/>
        </w:rPr>
      </w:pPr>
      <w:r>
        <w:rPr>
          <w:rFonts w:hint="eastAsia" w:hAnsi="宋体" w:cs="黑体"/>
          <w:color w:val="auto"/>
          <w:sz w:val="21"/>
          <w:szCs w:val="21"/>
        </w:rPr>
        <w:t>根据《中华人民共和国政府采购法》等有关法律、法规和规章的规定，本采购项目已具备竞争性磋商条件，现对本项目进行采购。</w:t>
      </w:r>
    </w:p>
    <w:p w14:paraId="31D9086A">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本次磋商项目采购人：&lt;供应商须知前附表&gt;中所述的，依法进行政府采购的国家机关、事业单位、团体组织。</w:t>
      </w:r>
    </w:p>
    <w:p w14:paraId="2A584D23">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本次磋商项目采购代理机构：受采购人委托组织采购活动，在采购过程中负有相应责任的社会中介组织。</w:t>
      </w:r>
    </w:p>
    <w:p w14:paraId="10C00785">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本次采购方式：见&lt;供应商须知前附表&gt;。</w:t>
      </w:r>
    </w:p>
    <w:p w14:paraId="3D808405">
      <w:pPr>
        <w:pStyle w:val="63"/>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本次磋商项目名称：见&lt;供应商须知前附表&gt;。</w:t>
      </w:r>
    </w:p>
    <w:p w14:paraId="70DBB6D0">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本项目地点：见&lt;供应商须知前附表&gt;。</w:t>
      </w:r>
    </w:p>
    <w:p w14:paraId="4FD1644F">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7" w:name="_Toc12813"/>
      <w:bookmarkStart w:id="28" w:name="_Toc428276570"/>
      <w:bookmarkStart w:id="29" w:name="_Toc463011254"/>
      <w:bookmarkStart w:id="30" w:name="_Toc462934275"/>
      <w:bookmarkStart w:id="31" w:name="_Toc270604804"/>
      <w:bookmarkStart w:id="32" w:name="_Toc270604577"/>
      <w:bookmarkStart w:id="33" w:name="_Toc455678101"/>
      <w:bookmarkStart w:id="34" w:name="_Toc428351630"/>
      <w:bookmarkStart w:id="35" w:name="_Toc29176"/>
      <w:bookmarkStart w:id="36" w:name="_Toc454788010"/>
      <w:bookmarkStart w:id="37" w:name="_Toc8881"/>
      <w:bookmarkStart w:id="38" w:name="_Toc269470296"/>
      <w:bookmarkStart w:id="39" w:name="_Toc13259"/>
      <w:bookmarkStart w:id="40" w:name="_Toc277149366"/>
      <w:r>
        <w:rPr>
          <w:rFonts w:hint="eastAsia" w:hAnsi="宋体" w:cs="黑体"/>
          <w:b/>
          <w:color w:val="auto"/>
          <w:sz w:val="21"/>
          <w:szCs w:val="21"/>
        </w:rPr>
        <w:t>资金来源和落实情况</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080A099">
      <w:pPr>
        <w:pStyle w:val="63"/>
        <w:numPr>
          <w:ilvl w:val="2"/>
          <w:numId w:val="2"/>
        </w:numPr>
        <w:tabs>
          <w:tab w:val="left" w:pos="0"/>
        </w:tabs>
        <w:snapToGrid w:val="0"/>
        <w:spacing w:line="360" w:lineRule="auto"/>
        <w:ind w:left="420" w:leftChars="200" w:firstLine="0"/>
        <w:contextualSpacing/>
        <w:jc w:val="both"/>
        <w:outlineLvl w:val="3"/>
        <w:rPr>
          <w:rFonts w:hint="eastAsia" w:hAnsi="宋体" w:cs="黑体"/>
          <w:color w:val="auto"/>
          <w:sz w:val="21"/>
          <w:szCs w:val="21"/>
        </w:rPr>
      </w:pPr>
      <w:r>
        <w:rPr>
          <w:rFonts w:hint="eastAsia" w:hAnsi="宋体" w:cs="黑体"/>
          <w:color w:val="auto"/>
          <w:sz w:val="21"/>
          <w:szCs w:val="21"/>
        </w:rPr>
        <w:t>本磋商项目的资金来源：见&lt;供应商须知前附表&gt;。</w:t>
      </w:r>
    </w:p>
    <w:p w14:paraId="7181FC1A">
      <w:pPr>
        <w:pStyle w:val="63"/>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本磋商项目的采购采购控制价：见&lt;供应商须知前附表&gt;。</w:t>
      </w:r>
    </w:p>
    <w:p w14:paraId="3CDF66A0">
      <w:pPr>
        <w:pStyle w:val="63"/>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本磋商项目的采购项目性质：见&lt;供应商须知前附表&gt;。</w:t>
      </w:r>
    </w:p>
    <w:p w14:paraId="1E4932BE">
      <w:pPr>
        <w:pStyle w:val="63"/>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本磋商项目的资金落实情况：见&lt;供应商须知前附表&gt;。</w:t>
      </w:r>
    </w:p>
    <w:p w14:paraId="7B719C8A">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41" w:name="_Toc20155"/>
      <w:bookmarkStart w:id="42" w:name="_Toc270604805"/>
      <w:bookmarkStart w:id="43" w:name="_Toc270604578"/>
      <w:bookmarkStart w:id="44" w:name="_Toc74"/>
      <w:bookmarkStart w:id="45" w:name="_Toc455678102"/>
      <w:bookmarkStart w:id="46" w:name="_Toc463011255"/>
      <w:bookmarkStart w:id="47" w:name="_Toc454788011"/>
      <w:bookmarkStart w:id="48" w:name="_Toc428351631"/>
      <w:bookmarkStart w:id="49" w:name="_Toc8949"/>
      <w:bookmarkStart w:id="50" w:name="_Toc277149367"/>
      <w:bookmarkStart w:id="51" w:name="_Toc428276571"/>
      <w:bookmarkStart w:id="52" w:name="_Toc12327"/>
      <w:bookmarkStart w:id="53" w:name="_Toc462934276"/>
      <w:bookmarkStart w:id="54" w:name="_Toc269470297"/>
      <w:r>
        <w:rPr>
          <w:rFonts w:hint="eastAsia" w:hAnsi="宋体" w:cs="黑体"/>
          <w:b/>
          <w:color w:val="auto"/>
          <w:sz w:val="21"/>
          <w:szCs w:val="21"/>
        </w:rPr>
        <w:t>建设内容、交货期和质量要求</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4960736">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本次建设内容：见&lt;供应商须知前附表&gt;。</w:t>
      </w:r>
    </w:p>
    <w:p w14:paraId="18841AEA">
      <w:pPr>
        <w:pStyle w:val="63"/>
        <w:numPr>
          <w:ilvl w:val="2"/>
          <w:numId w:val="2"/>
        </w:numPr>
        <w:tabs>
          <w:tab w:val="left" w:pos="0"/>
        </w:tabs>
        <w:snapToGrid w:val="0"/>
        <w:spacing w:line="360" w:lineRule="auto"/>
        <w:ind w:left="420" w:leftChars="200" w:firstLine="0"/>
        <w:contextualSpacing/>
        <w:jc w:val="both"/>
        <w:rPr>
          <w:rFonts w:hAnsi="宋体" w:cs="黑体"/>
          <w:color w:val="auto"/>
          <w:sz w:val="21"/>
          <w:szCs w:val="21"/>
        </w:rPr>
      </w:pPr>
      <w:r>
        <w:rPr>
          <w:rFonts w:hint="eastAsia" w:hAnsi="宋体" w:cs="黑体"/>
          <w:color w:val="auto"/>
          <w:sz w:val="21"/>
          <w:szCs w:val="21"/>
        </w:rPr>
        <w:t>本项目的工期：见&lt;供应商须知前附表&gt;。</w:t>
      </w:r>
    </w:p>
    <w:p w14:paraId="0BF3D895">
      <w:pPr>
        <w:pStyle w:val="63"/>
        <w:numPr>
          <w:ilvl w:val="2"/>
          <w:numId w:val="2"/>
        </w:numPr>
        <w:tabs>
          <w:tab w:val="left" w:pos="0"/>
        </w:tabs>
        <w:snapToGrid w:val="0"/>
        <w:spacing w:line="360" w:lineRule="auto"/>
        <w:ind w:left="420" w:leftChars="200" w:firstLine="0"/>
        <w:contextualSpacing/>
        <w:jc w:val="both"/>
        <w:rPr>
          <w:rFonts w:hint="eastAsia" w:hAnsi="宋体" w:cs="黑体"/>
          <w:color w:val="auto"/>
          <w:sz w:val="21"/>
          <w:szCs w:val="21"/>
        </w:rPr>
      </w:pPr>
      <w:r>
        <w:rPr>
          <w:rFonts w:hint="eastAsia" w:hAnsi="宋体" w:cs="黑体"/>
          <w:color w:val="auto"/>
          <w:sz w:val="21"/>
          <w:szCs w:val="21"/>
        </w:rPr>
        <w:t>本项目的质量要求：见&lt;供应商须知前附表&gt;。</w:t>
      </w:r>
    </w:p>
    <w:p w14:paraId="1E208C8B">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55" w:name="_Toc269470298"/>
      <w:bookmarkStart w:id="56" w:name="_Toc462934277"/>
      <w:bookmarkStart w:id="57" w:name="_Toc16958"/>
      <w:bookmarkStart w:id="58" w:name="_Toc463011256"/>
      <w:bookmarkStart w:id="59" w:name="_Toc428351632"/>
      <w:bookmarkStart w:id="60" w:name="_Toc18617"/>
      <w:bookmarkStart w:id="61" w:name="_Toc277149368"/>
      <w:bookmarkStart w:id="62" w:name="_Toc454788012"/>
      <w:bookmarkStart w:id="63" w:name="_Toc6648"/>
      <w:bookmarkStart w:id="64" w:name="_Toc455678103"/>
      <w:bookmarkStart w:id="65" w:name="_Toc428276572"/>
      <w:bookmarkStart w:id="66" w:name="_Toc8995"/>
      <w:bookmarkStart w:id="67" w:name="_Toc270604806"/>
      <w:bookmarkStart w:id="68" w:name="_Toc270604579"/>
      <w:r>
        <w:rPr>
          <w:rFonts w:hint="eastAsia" w:hAnsi="宋体" w:cs="黑体"/>
          <w:b/>
          <w:color w:val="auto"/>
          <w:sz w:val="21"/>
          <w:szCs w:val="21"/>
        </w:rPr>
        <w:t>供应商资格要求</w:t>
      </w:r>
      <w:bookmarkEnd w:id="55"/>
      <w:r>
        <w:rPr>
          <w:rFonts w:hint="eastAsia" w:hAnsi="宋体" w:cs="黑体"/>
          <w:b/>
          <w:color w:val="auto"/>
          <w:sz w:val="21"/>
          <w:szCs w:val="21"/>
        </w:rPr>
        <w:t>：</w:t>
      </w:r>
      <w:r>
        <w:rPr>
          <w:rFonts w:hint="eastAsia" w:hAnsi="宋体"/>
          <w:b/>
          <w:color w:val="auto"/>
          <w:sz w:val="21"/>
          <w:szCs w:val="21"/>
        </w:rPr>
        <w:t>见&lt;供应商须知前附表&gt;。</w:t>
      </w:r>
      <w:bookmarkEnd w:id="56"/>
      <w:bookmarkEnd w:id="57"/>
      <w:bookmarkEnd w:id="58"/>
      <w:bookmarkEnd w:id="59"/>
      <w:bookmarkEnd w:id="60"/>
      <w:bookmarkEnd w:id="61"/>
      <w:bookmarkEnd w:id="62"/>
      <w:bookmarkEnd w:id="63"/>
      <w:bookmarkEnd w:id="64"/>
      <w:bookmarkEnd w:id="65"/>
      <w:bookmarkEnd w:id="66"/>
      <w:bookmarkEnd w:id="67"/>
      <w:bookmarkEnd w:id="68"/>
    </w:p>
    <w:p w14:paraId="5499335C">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69" w:name="_Toc24742"/>
      <w:bookmarkStart w:id="70" w:name="_Toc19948"/>
      <w:bookmarkStart w:id="71" w:name="_Toc270604580"/>
      <w:bookmarkStart w:id="72" w:name="_Toc269470299"/>
      <w:bookmarkStart w:id="73" w:name="_Toc428276573"/>
      <w:bookmarkStart w:id="74" w:name="_Toc454788013"/>
      <w:bookmarkStart w:id="75" w:name="_Toc462934278"/>
      <w:bookmarkStart w:id="76" w:name="_Toc455678104"/>
      <w:bookmarkStart w:id="77" w:name="_Toc27980"/>
      <w:bookmarkStart w:id="78" w:name="_Toc277149369"/>
      <w:bookmarkStart w:id="79" w:name="_Toc270604807"/>
      <w:bookmarkStart w:id="80" w:name="_Toc428351633"/>
      <w:bookmarkStart w:id="81" w:name="_Toc463011257"/>
      <w:bookmarkStart w:id="82" w:name="_Toc28593"/>
      <w:r>
        <w:rPr>
          <w:rFonts w:hint="eastAsia" w:hAnsi="宋体" w:cs="黑体"/>
          <w:b/>
          <w:color w:val="auto"/>
          <w:sz w:val="21"/>
          <w:szCs w:val="21"/>
        </w:rPr>
        <w:t>费用承担</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316A745">
      <w:pPr>
        <w:snapToGrid w:val="0"/>
        <w:spacing w:line="360" w:lineRule="auto"/>
        <w:ind w:firstLine="420" w:firstLineChars="200"/>
        <w:contextualSpacing/>
        <w:rPr>
          <w:rFonts w:hint="eastAsia" w:ascii="宋体" w:hAnsi="宋体"/>
        </w:rPr>
      </w:pPr>
      <w:r>
        <w:rPr>
          <w:rFonts w:hint="eastAsia" w:ascii="宋体" w:hAnsi="宋体"/>
        </w:rPr>
        <w:t>供应商必须自行承担所有与参加磋商有关的费用。不论磋商的结果如何，采购人在任何情况下均无义务和责任承担这些费用。</w:t>
      </w:r>
    </w:p>
    <w:p w14:paraId="07A4E5A3">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83" w:name="_Toc454788014"/>
      <w:bookmarkStart w:id="84" w:name="_Toc1512"/>
      <w:bookmarkStart w:id="85" w:name="_Toc463011258"/>
      <w:bookmarkStart w:id="86" w:name="_Toc269470300"/>
      <w:bookmarkStart w:id="87" w:name="_Toc270604808"/>
      <w:bookmarkStart w:id="88" w:name="_Toc25892"/>
      <w:bookmarkStart w:id="89" w:name="_Toc270604581"/>
      <w:bookmarkStart w:id="90" w:name="_Toc428276574"/>
      <w:bookmarkStart w:id="91" w:name="_Toc462934279"/>
      <w:bookmarkStart w:id="92" w:name="_Toc29742"/>
      <w:bookmarkStart w:id="93" w:name="_Toc7854"/>
      <w:bookmarkStart w:id="94" w:name="_Toc277149370"/>
      <w:bookmarkStart w:id="95" w:name="_Toc428351634"/>
      <w:bookmarkStart w:id="96" w:name="_Toc455678105"/>
      <w:r>
        <w:rPr>
          <w:rFonts w:hint="eastAsia" w:hAnsi="宋体" w:cs="黑体"/>
          <w:b/>
          <w:color w:val="auto"/>
          <w:sz w:val="21"/>
          <w:szCs w:val="21"/>
        </w:rPr>
        <w:t>保密</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F6B1E1E">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1.6.1  磋商开始前，任何人不得向他人泄露供应商名单等可能影响磋商结果，或形成获得信息不对、有差别等事实上形成的差别待遇的行为。</w:t>
      </w:r>
    </w:p>
    <w:p w14:paraId="20C00651">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1.6.2  磋商期间，直到授予成交供应商合同止，凡是与磋商响应文件审查、澄清、评价、比较以及推荐成交候选人等方面的情况，均不得向供应商或其他无关的人员透露。</w:t>
      </w:r>
    </w:p>
    <w:p w14:paraId="79F80BAC">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1.6.3  在采购过程中，供应商有试图向磋商小组成员施加影响的任何行为，都将会导致其响应文件被拒绝。</w:t>
      </w:r>
    </w:p>
    <w:p w14:paraId="6EE425B4">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1.6.4  为保证成交结果的公正性，磋商期间直至授予供应商合同时，磋商小组成员不得与供应商私下接触、交换意见。在磋商结束后，凡与磋商情况有接触的任何人不得也不应将磋商情况扩散出磋商小组成员之外。</w:t>
      </w:r>
    </w:p>
    <w:p w14:paraId="4CB55A0E">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1.6.5  采购人原则上不向落选方解释落选原因，参加本项目竞争性磋商的供应商如对本次评审推荐的拟成交供应商有异议或发现违规违纪行为，请向采购人提出质疑，并提供有关证明材料，超过法律规定时间将不再受理。</w:t>
      </w:r>
    </w:p>
    <w:p w14:paraId="363C4FE7">
      <w:pPr>
        <w:tabs>
          <w:tab w:val="left" w:pos="720"/>
          <w:tab w:val="left" w:pos="1320"/>
        </w:tabs>
        <w:snapToGrid w:val="0"/>
        <w:spacing w:line="360" w:lineRule="auto"/>
        <w:ind w:firstLine="420" w:firstLineChars="200"/>
        <w:contextualSpacing/>
        <w:outlineLvl w:val="3"/>
        <w:rPr>
          <w:rFonts w:ascii="宋体" w:hAnsi="宋体"/>
          <w:szCs w:val="21"/>
        </w:rPr>
      </w:pPr>
      <w:r>
        <w:rPr>
          <w:rFonts w:hint="eastAsia" w:ascii="宋体" w:hAnsi="宋体"/>
          <w:szCs w:val="21"/>
        </w:rPr>
        <w:t>1.6.6  磋商结束后，不退还磋商响应文件。</w:t>
      </w:r>
    </w:p>
    <w:p w14:paraId="258F08B8">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97" w:name="_Toc454788015"/>
      <w:bookmarkStart w:id="98" w:name="_Toc428276575"/>
      <w:bookmarkStart w:id="99" w:name="_Toc19438"/>
      <w:bookmarkStart w:id="100" w:name="_Toc463011259"/>
      <w:bookmarkStart w:id="101" w:name="_Toc30075"/>
      <w:bookmarkStart w:id="102" w:name="_Toc428351635"/>
      <w:bookmarkStart w:id="103" w:name="_Toc31501"/>
      <w:bookmarkStart w:id="104" w:name="_Toc455678106"/>
      <w:bookmarkStart w:id="105" w:name="_Toc270604809"/>
      <w:bookmarkStart w:id="106" w:name="_Toc462934280"/>
      <w:bookmarkStart w:id="107" w:name="_Toc277149371"/>
      <w:bookmarkStart w:id="108" w:name="_Toc270604582"/>
      <w:bookmarkStart w:id="109" w:name="_Toc269470301"/>
      <w:bookmarkStart w:id="110" w:name="_Toc7606"/>
      <w:r>
        <w:rPr>
          <w:rFonts w:hint="eastAsia" w:hAnsi="宋体" w:cs="黑体"/>
          <w:b/>
          <w:color w:val="auto"/>
          <w:sz w:val="21"/>
          <w:szCs w:val="21"/>
        </w:rPr>
        <w:t>语言文字</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81F74DB">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除国外第三方出具的证明文件、专用术语外，与磋商有关的响应文件语言文字均应使用中文。必须使用他国语言文字时，证明文件、专用术语应附有中文注释和翻译文件。响应文件中因使用他国语言文字发生歧义时，以中文为准。</w:t>
      </w:r>
    </w:p>
    <w:p w14:paraId="2BBF78D7">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11" w:name="_Toc269470302"/>
      <w:bookmarkStart w:id="112" w:name="_Toc30360"/>
      <w:bookmarkStart w:id="113" w:name="_Toc462934281"/>
      <w:bookmarkStart w:id="114" w:name="_Toc454788016"/>
      <w:bookmarkStart w:id="115" w:name="_Toc270604810"/>
      <w:bookmarkStart w:id="116" w:name="_Toc428351636"/>
      <w:bookmarkStart w:id="117" w:name="_Toc270604583"/>
      <w:bookmarkStart w:id="118" w:name="_Toc277149372"/>
      <w:bookmarkStart w:id="119" w:name="_Toc24185"/>
      <w:bookmarkStart w:id="120" w:name="_Toc455678107"/>
      <w:bookmarkStart w:id="121" w:name="_Toc29299"/>
      <w:bookmarkStart w:id="122" w:name="_Toc9894"/>
      <w:bookmarkStart w:id="123" w:name="_Toc428276576"/>
      <w:bookmarkStart w:id="124" w:name="_Toc463011260"/>
      <w:r>
        <w:rPr>
          <w:rFonts w:hint="eastAsia" w:hAnsi="宋体" w:cs="黑体"/>
          <w:b/>
          <w:color w:val="auto"/>
          <w:sz w:val="21"/>
          <w:szCs w:val="21"/>
        </w:rPr>
        <w:t>计量单位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9350945">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所有计量均采用中华人民共和国法定计量标准单位。</w:t>
      </w:r>
    </w:p>
    <w:p w14:paraId="068B13A8">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125" w:name="_Toc463011261"/>
      <w:bookmarkStart w:id="126" w:name="_Toc4233"/>
      <w:bookmarkStart w:id="127" w:name="_Toc7491"/>
      <w:bookmarkStart w:id="128" w:name="_Toc5588"/>
      <w:bookmarkStart w:id="129" w:name="_Toc462934282"/>
      <w:bookmarkStart w:id="130" w:name="_Toc270604811"/>
      <w:bookmarkStart w:id="131" w:name="_Toc270604584"/>
      <w:bookmarkStart w:id="132" w:name="_Toc269470303"/>
      <w:bookmarkStart w:id="133" w:name="_Toc428276577"/>
      <w:bookmarkStart w:id="134" w:name="_Toc277149373"/>
      <w:bookmarkStart w:id="135" w:name="_Toc455678108"/>
      <w:bookmarkStart w:id="136" w:name="_Toc11248"/>
      <w:bookmarkStart w:id="137" w:name="_Toc454788017"/>
      <w:bookmarkStart w:id="138" w:name="_Toc428351637"/>
      <w:r>
        <w:rPr>
          <w:rFonts w:hint="eastAsia" w:hAnsi="宋体" w:cs="黑体"/>
          <w:b/>
          <w:color w:val="auto"/>
          <w:sz w:val="21"/>
          <w:szCs w:val="21"/>
        </w:rPr>
        <w:t>踏勘现场</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3D8F010">
      <w:pPr>
        <w:snapToGrid w:val="0"/>
        <w:spacing w:line="360" w:lineRule="auto"/>
        <w:ind w:firstLine="420" w:firstLineChars="200"/>
        <w:contextualSpacing/>
        <w:rPr>
          <w:rFonts w:hint="eastAsia" w:ascii="宋体" w:hAnsi="宋体"/>
          <w:szCs w:val="21"/>
        </w:rPr>
      </w:pPr>
      <w:r>
        <w:rPr>
          <w:rFonts w:hint="eastAsia" w:ascii="宋体" w:hAnsi="宋体"/>
          <w:szCs w:val="21"/>
        </w:rPr>
        <w:t>1.9.1  供应商须知前附表规定组织踏勘现场的，采购人按供应商须知前附表规定的时间、地点组织供应商踏勘项目现场。</w:t>
      </w:r>
    </w:p>
    <w:p w14:paraId="29A2DEA0">
      <w:pPr>
        <w:snapToGrid w:val="0"/>
        <w:spacing w:line="360" w:lineRule="auto"/>
        <w:ind w:firstLine="420" w:firstLineChars="200"/>
        <w:contextualSpacing/>
        <w:outlineLvl w:val="3"/>
        <w:rPr>
          <w:rFonts w:hint="eastAsia" w:ascii="宋体" w:hAnsi="宋体"/>
          <w:szCs w:val="21"/>
        </w:rPr>
      </w:pPr>
      <w:r>
        <w:rPr>
          <w:rFonts w:hint="eastAsia" w:ascii="宋体" w:hAnsi="宋体"/>
          <w:szCs w:val="21"/>
        </w:rPr>
        <w:t>1.9.2  供应商如需踏勘现场，所发生的费用自理。</w:t>
      </w:r>
    </w:p>
    <w:p w14:paraId="75F9C007">
      <w:pPr>
        <w:snapToGrid w:val="0"/>
        <w:spacing w:line="360" w:lineRule="auto"/>
        <w:ind w:firstLine="420" w:firstLineChars="200"/>
        <w:contextualSpacing/>
        <w:rPr>
          <w:rFonts w:hint="eastAsia" w:ascii="宋体" w:hAnsi="宋体"/>
          <w:szCs w:val="21"/>
        </w:rPr>
      </w:pPr>
      <w:r>
        <w:rPr>
          <w:rFonts w:hint="eastAsia" w:ascii="宋体" w:hAnsi="宋体"/>
          <w:szCs w:val="21"/>
        </w:rPr>
        <w:t>1.9.3  除采购人的原因外，供应商自行负责在踏勘现场中所发生的人员伤亡和财产损失。</w:t>
      </w:r>
    </w:p>
    <w:p w14:paraId="1F189DF0">
      <w:pPr>
        <w:snapToGrid w:val="0"/>
        <w:spacing w:line="360" w:lineRule="auto"/>
        <w:ind w:firstLine="420" w:firstLineChars="200"/>
        <w:contextualSpacing/>
        <w:rPr>
          <w:rFonts w:ascii="宋体" w:hAnsi="宋体"/>
          <w:szCs w:val="21"/>
        </w:rPr>
      </w:pPr>
      <w:r>
        <w:rPr>
          <w:rFonts w:hint="eastAsia" w:ascii="宋体" w:hAnsi="宋体"/>
          <w:szCs w:val="21"/>
        </w:rPr>
        <w:t>1.9.4  采购人在踏勘现场中介绍的项目场地和相关的周边环境情况，供应商在编制响应文件时参考，采购人不对供应商据此作出的判断和决策负责。</w:t>
      </w:r>
    </w:p>
    <w:p w14:paraId="56EDDF69">
      <w:pPr>
        <w:pStyle w:val="63"/>
        <w:numPr>
          <w:ilvl w:val="1"/>
          <w:numId w:val="2"/>
        </w:numPr>
        <w:tabs>
          <w:tab w:val="left" w:pos="540"/>
          <w:tab w:val="clear" w:pos="992"/>
        </w:tabs>
        <w:snapToGrid w:val="0"/>
        <w:spacing w:line="360" w:lineRule="auto"/>
        <w:ind w:left="540" w:hanging="540"/>
        <w:contextualSpacing/>
        <w:jc w:val="both"/>
        <w:outlineLvl w:val="2"/>
        <w:rPr>
          <w:rFonts w:hint="eastAsia" w:ascii="宋体" w:hAnsi="宋体"/>
          <w:szCs w:val="21"/>
        </w:rPr>
      </w:pPr>
      <w:bookmarkStart w:id="139" w:name="_Toc462934283"/>
      <w:bookmarkStart w:id="140" w:name="_Toc25978"/>
      <w:bookmarkStart w:id="141" w:name="_Toc13996"/>
      <w:bookmarkStart w:id="142" w:name="_Toc455678109"/>
      <w:bookmarkStart w:id="143" w:name="_Toc25905"/>
      <w:bookmarkStart w:id="144" w:name="_Toc2731"/>
      <w:bookmarkStart w:id="145" w:name="_Toc428351638"/>
      <w:bookmarkStart w:id="146" w:name="_Toc454788018"/>
      <w:bookmarkStart w:id="147" w:name="_Toc463011262"/>
      <w:bookmarkStart w:id="148" w:name="_Toc428276578"/>
      <w:r>
        <w:rPr>
          <w:rFonts w:hint="eastAsia" w:hAnsi="宋体" w:cs="黑体"/>
          <w:b/>
          <w:color w:val="auto"/>
          <w:sz w:val="21"/>
          <w:szCs w:val="21"/>
        </w:rPr>
        <w:t>磋商文件提出问题和修改要求</w:t>
      </w:r>
      <w:bookmarkEnd w:id="139"/>
      <w:bookmarkEnd w:id="140"/>
      <w:bookmarkEnd w:id="141"/>
      <w:bookmarkEnd w:id="142"/>
      <w:bookmarkEnd w:id="143"/>
      <w:bookmarkEnd w:id="144"/>
      <w:bookmarkEnd w:id="145"/>
      <w:bookmarkEnd w:id="146"/>
      <w:bookmarkEnd w:id="147"/>
      <w:bookmarkEnd w:id="148"/>
    </w:p>
    <w:p w14:paraId="0E073764">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1.10.1  供应商对磋商文件中如有需要澄清的疑问的，应当在提交首次响应文件截止之日前5日通知到采购代理机构。在规定的时间内未提出疑问的，将被视为对磋商文件完全认可。</w:t>
      </w:r>
    </w:p>
    <w:p w14:paraId="1B242E3A">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1.10.2  采购代理机构将按规定对收到的要求澄清的问题予以答复，采购代理机构应在将澄清内容以公告形式在网上予以公布。</w:t>
      </w:r>
    </w:p>
    <w:p w14:paraId="7E7150A0">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49" w:name="_Toc269470305"/>
      <w:bookmarkStart w:id="150" w:name="_Toc454788019"/>
      <w:bookmarkStart w:id="151" w:name="_Toc455678110"/>
      <w:bookmarkStart w:id="152" w:name="_Toc17663"/>
      <w:bookmarkStart w:id="153" w:name="_Toc8646"/>
      <w:bookmarkStart w:id="154" w:name="_Toc270604813"/>
      <w:bookmarkStart w:id="155" w:name="_Toc24091"/>
      <w:bookmarkStart w:id="156" w:name="_Toc277149375"/>
      <w:bookmarkStart w:id="157" w:name="_Toc428351639"/>
      <w:bookmarkStart w:id="158" w:name="_Toc270604586"/>
      <w:bookmarkStart w:id="159" w:name="_Toc463011263"/>
      <w:bookmarkStart w:id="160" w:name="_Toc1444"/>
      <w:bookmarkStart w:id="161" w:name="_Toc428276579"/>
      <w:bookmarkStart w:id="162" w:name="_Toc462934284"/>
      <w:r>
        <w:rPr>
          <w:rFonts w:hint="eastAsia" w:hAnsi="宋体" w:cs="黑体"/>
          <w:b/>
          <w:color w:val="auto"/>
          <w:sz w:val="21"/>
          <w:szCs w:val="21"/>
        </w:rPr>
        <w:t>分包</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07551B8">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本项目未经采购人同意不允许分包。也不允许将同一包（标）下的项目内容坼分报价。</w:t>
      </w:r>
    </w:p>
    <w:p w14:paraId="45DF0DAC">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63" w:name="_Toc29251"/>
      <w:bookmarkStart w:id="164" w:name="_Toc428276580"/>
      <w:bookmarkStart w:id="165" w:name="_Toc270604814"/>
      <w:bookmarkStart w:id="166" w:name="_Toc455678111"/>
      <w:bookmarkStart w:id="167" w:name="_Toc14020"/>
      <w:bookmarkStart w:id="168" w:name="_Toc269470306"/>
      <w:bookmarkStart w:id="169" w:name="_Toc463011264"/>
      <w:bookmarkStart w:id="170" w:name="_Toc10220"/>
      <w:bookmarkStart w:id="171" w:name="_Toc428351640"/>
      <w:bookmarkStart w:id="172" w:name="_Toc270604587"/>
      <w:bookmarkStart w:id="173" w:name="_Toc277149376"/>
      <w:bookmarkStart w:id="174" w:name="_Toc454788020"/>
      <w:bookmarkStart w:id="175" w:name="_Toc8513"/>
      <w:bookmarkStart w:id="176" w:name="_Toc462934285"/>
      <w:r>
        <w:rPr>
          <w:rFonts w:hint="eastAsia" w:hAnsi="宋体" w:cs="黑体"/>
          <w:b/>
          <w:color w:val="auto"/>
          <w:sz w:val="21"/>
          <w:szCs w:val="21"/>
        </w:rPr>
        <w:t>偏离</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09F3B21">
      <w:pPr>
        <w:tabs>
          <w:tab w:val="left" w:pos="720"/>
          <w:tab w:val="left" w:pos="1320"/>
        </w:tabs>
        <w:snapToGrid w:val="0"/>
        <w:spacing w:line="360" w:lineRule="auto"/>
        <w:ind w:firstLine="420" w:firstLineChars="200"/>
        <w:contextualSpacing/>
        <w:rPr>
          <w:rFonts w:hAnsi="宋体" w:cs="黑体"/>
          <w:b/>
          <w:szCs w:val="21"/>
        </w:rPr>
      </w:pPr>
      <w:r>
        <w:rPr>
          <w:rFonts w:hint="eastAsia" w:hAnsi="宋体" w:cs="黑体"/>
          <w:szCs w:val="21"/>
        </w:rPr>
        <w:t>见&lt;供应商须知前附表&gt;。</w:t>
      </w:r>
    </w:p>
    <w:p w14:paraId="45B01B25">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177" w:name="_Toc28263"/>
      <w:bookmarkStart w:id="178" w:name="_Toc11809"/>
      <w:bookmarkStart w:id="179" w:name="_Toc17145"/>
      <w:bookmarkStart w:id="180" w:name="_Toc462934286"/>
      <w:bookmarkStart w:id="181" w:name="_Toc5569"/>
      <w:bookmarkStart w:id="182" w:name="_Toc463011265"/>
      <w:bookmarkStart w:id="183" w:name="_Toc455678112"/>
      <w:r>
        <w:rPr>
          <w:rFonts w:hint="eastAsia" w:hAnsi="宋体" w:cs="黑体"/>
          <w:b/>
          <w:color w:val="auto"/>
          <w:sz w:val="21"/>
          <w:szCs w:val="21"/>
        </w:rPr>
        <w:t>选择性报价方案</w:t>
      </w:r>
      <w:bookmarkEnd w:id="177"/>
      <w:bookmarkEnd w:id="178"/>
      <w:bookmarkEnd w:id="179"/>
      <w:bookmarkEnd w:id="180"/>
      <w:bookmarkEnd w:id="181"/>
      <w:bookmarkEnd w:id="182"/>
      <w:bookmarkEnd w:id="183"/>
    </w:p>
    <w:p w14:paraId="4C0C6B65">
      <w:pPr>
        <w:tabs>
          <w:tab w:val="left" w:pos="720"/>
          <w:tab w:val="left" w:pos="1320"/>
        </w:tabs>
        <w:snapToGrid w:val="0"/>
        <w:spacing w:line="360" w:lineRule="auto"/>
        <w:ind w:firstLine="420" w:firstLineChars="200"/>
        <w:contextualSpacing/>
        <w:rPr>
          <w:rFonts w:ascii="宋体" w:hAnsi="宋体"/>
          <w:szCs w:val="21"/>
        </w:rPr>
      </w:pPr>
      <w:r>
        <w:rPr>
          <w:rFonts w:hint="eastAsia" w:hAnsi="宋体" w:cs="黑体"/>
          <w:szCs w:val="21"/>
        </w:rPr>
        <w:t>见&lt;供应商须知前附表&gt;。</w:t>
      </w:r>
    </w:p>
    <w:p w14:paraId="6DE0A613">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184" w:name="_Toc270604588"/>
      <w:bookmarkStart w:id="185" w:name="_Toc14103"/>
      <w:bookmarkStart w:id="186" w:name="_Toc6260"/>
      <w:bookmarkStart w:id="187" w:name="_Toc15654"/>
      <w:r>
        <w:rPr>
          <w:rFonts w:hint="eastAsia" w:hAnsi="宋体" w:cs="黑体"/>
          <w:b/>
          <w:color w:val="auto"/>
        </w:rPr>
        <w:t>竞争性磋商文件</w:t>
      </w:r>
      <w:bookmarkEnd w:id="184"/>
      <w:bookmarkEnd w:id="185"/>
      <w:bookmarkEnd w:id="186"/>
      <w:bookmarkEnd w:id="187"/>
    </w:p>
    <w:p w14:paraId="31E013AB">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188" w:name="_Toc2799"/>
      <w:bookmarkStart w:id="189" w:name="_Toc270604589"/>
      <w:bookmarkStart w:id="190" w:name="_Toc428351642"/>
      <w:bookmarkStart w:id="191" w:name="_Toc463011267"/>
      <w:bookmarkStart w:id="192" w:name="_Toc455678114"/>
      <w:bookmarkStart w:id="193" w:name="_Toc277149378"/>
      <w:bookmarkStart w:id="194" w:name="_Toc269470308"/>
      <w:bookmarkStart w:id="195" w:name="_Toc462934288"/>
      <w:bookmarkStart w:id="196" w:name="_Toc428276582"/>
      <w:bookmarkStart w:id="197" w:name="_Toc454788022"/>
      <w:bookmarkStart w:id="198" w:name="_Toc26505"/>
      <w:bookmarkStart w:id="199" w:name="_Toc10962"/>
      <w:bookmarkStart w:id="200" w:name="_Toc270604816"/>
      <w:bookmarkStart w:id="201" w:name="_Toc27664"/>
      <w:r>
        <w:rPr>
          <w:rFonts w:hint="eastAsia" w:hAnsi="宋体" w:cs="黑体"/>
          <w:b/>
          <w:color w:val="auto"/>
          <w:sz w:val="21"/>
          <w:szCs w:val="21"/>
        </w:rPr>
        <w:t>竞争性磋商文件的组成</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43A0354">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本竞争性磋商文件包括：</w:t>
      </w:r>
    </w:p>
    <w:p w14:paraId="26735159">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）磋商公告</w:t>
      </w:r>
    </w:p>
    <w:p w14:paraId="79D3BEF0">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）供应商须知</w:t>
      </w:r>
    </w:p>
    <w:p w14:paraId="68AD37D4">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TimesNewRomanPSMT"/>
          <w:kern w:val="0"/>
          <w:szCs w:val="21"/>
        </w:rPr>
        <w:t>3</w:t>
      </w:r>
      <w:r>
        <w:rPr>
          <w:rFonts w:hint="eastAsia" w:ascii="宋体" w:hAnsi="宋体" w:cs="仿宋_GB2312"/>
          <w:kern w:val="0"/>
          <w:szCs w:val="21"/>
        </w:rPr>
        <w:t>）项目基本内容及要求</w:t>
      </w:r>
    </w:p>
    <w:p w14:paraId="2A19404D">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rPr>
        <w:t>（</w:t>
      </w:r>
      <w:r>
        <w:rPr>
          <w:rFonts w:hint="eastAsia" w:ascii="宋体" w:hAnsi="宋体" w:cs="TimesNewRomanPSMT"/>
          <w:kern w:val="0"/>
          <w:szCs w:val="21"/>
        </w:rPr>
        <w:t>4</w:t>
      </w:r>
      <w:r>
        <w:rPr>
          <w:rFonts w:hint="eastAsia" w:ascii="宋体" w:hAnsi="宋体" w:cs="仿宋_GB2312"/>
          <w:kern w:val="0"/>
          <w:szCs w:val="21"/>
        </w:rPr>
        <w:t>）合同条款及格式</w:t>
      </w:r>
      <w:r>
        <w:rPr>
          <w:rFonts w:hint="eastAsia" w:ascii="宋体" w:hAnsi="宋体" w:cs="仿宋_GB2312"/>
          <w:kern w:val="0"/>
          <w:szCs w:val="21"/>
          <w:lang w:val="en-US" w:eastAsia="zh-CN"/>
        </w:rPr>
        <w:t xml:space="preserve"> </w:t>
      </w:r>
    </w:p>
    <w:p w14:paraId="44D5E0FC">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TimesNewRomanPSMT"/>
          <w:kern w:val="0"/>
          <w:szCs w:val="21"/>
        </w:rPr>
        <w:t>5</w:t>
      </w:r>
      <w:r>
        <w:rPr>
          <w:rFonts w:hint="eastAsia" w:ascii="宋体" w:hAnsi="宋体" w:cs="仿宋_GB2312"/>
          <w:kern w:val="0"/>
          <w:szCs w:val="21"/>
        </w:rPr>
        <w:t>）磋商响应文件格式</w:t>
      </w:r>
    </w:p>
    <w:p w14:paraId="2646F7B6">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（6）附评标办法</w:t>
      </w:r>
    </w:p>
    <w:p w14:paraId="50A27CA0">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根据本章第</w:t>
      </w:r>
      <w:r>
        <w:rPr>
          <w:rFonts w:ascii="宋体" w:hAnsi="宋体" w:cs="TimesNewRomanPSMT"/>
          <w:kern w:val="0"/>
          <w:szCs w:val="21"/>
        </w:rPr>
        <w:t xml:space="preserve">1.10 </w:t>
      </w:r>
      <w:r>
        <w:rPr>
          <w:rFonts w:hint="eastAsia" w:ascii="宋体" w:hAnsi="宋体" w:cs="仿宋_GB2312"/>
          <w:kern w:val="0"/>
          <w:szCs w:val="21"/>
        </w:rPr>
        <w:t>款、第</w:t>
      </w:r>
      <w:r>
        <w:rPr>
          <w:rFonts w:ascii="宋体" w:hAnsi="宋体" w:cs="TimesNewRomanPSMT"/>
          <w:kern w:val="0"/>
          <w:szCs w:val="21"/>
        </w:rPr>
        <w:t xml:space="preserve">2.2 </w:t>
      </w:r>
      <w:r>
        <w:rPr>
          <w:rFonts w:hint="eastAsia" w:ascii="宋体" w:hAnsi="宋体" w:cs="仿宋_GB2312"/>
          <w:kern w:val="0"/>
          <w:szCs w:val="21"/>
        </w:rPr>
        <w:t>款和第</w:t>
      </w:r>
      <w:r>
        <w:rPr>
          <w:rFonts w:ascii="宋体" w:hAnsi="宋体" w:cs="TimesNewRomanPSMT"/>
          <w:kern w:val="0"/>
          <w:szCs w:val="21"/>
        </w:rPr>
        <w:t xml:space="preserve">2.3 </w:t>
      </w:r>
      <w:r>
        <w:rPr>
          <w:rFonts w:hint="eastAsia" w:ascii="宋体" w:hAnsi="宋体" w:cs="仿宋_GB2312"/>
          <w:kern w:val="0"/>
          <w:szCs w:val="21"/>
        </w:rPr>
        <w:t>款对竞争性磋商文件所作的澄清、修改，构成竞争性磋商文件的组成部分。</w:t>
      </w:r>
    </w:p>
    <w:p w14:paraId="2CA35322">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02" w:name="_Toc277149379"/>
      <w:bookmarkStart w:id="203" w:name="_Toc13094"/>
      <w:bookmarkStart w:id="204" w:name="_Toc462934289"/>
      <w:bookmarkStart w:id="205" w:name="_Toc455678115"/>
      <w:bookmarkStart w:id="206" w:name="_Toc11511"/>
      <w:bookmarkStart w:id="207" w:name="_Toc270604590"/>
      <w:bookmarkStart w:id="208" w:name="_Toc20378"/>
      <w:bookmarkStart w:id="209" w:name="_Toc454788023"/>
      <w:bookmarkStart w:id="210" w:name="_Toc428351643"/>
      <w:bookmarkStart w:id="211" w:name="_Toc270604817"/>
      <w:bookmarkStart w:id="212" w:name="_Toc269470309"/>
      <w:bookmarkStart w:id="213" w:name="_Toc463011268"/>
      <w:bookmarkStart w:id="214" w:name="_Toc17437"/>
      <w:bookmarkStart w:id="215" w:name="_Toc428276583"/>
      <w:r>
        <w:rPr>
          <w:rFonts w:hint="eastAsia" w:hAnsi="宋体" w:cs="黑体"/>
          <w:b/>
          <w:color w:val="auto"/>
          <w:sz w:val="21"/>
          <w:szCs w:val="21"/>
        </w:rPr>
        <w:t>竞争性磋商文件的澄清</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CE957E9">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rPr>
        <w:t>供应商应仔细阅读和检查竞争性磋商文件的全部内容。如发现缺页或附件不全，应及时向采购人提出，以便补齐。任何对竞争性磋商文件认为有需要澄清的供应商，均应在提交首次响应文件截止之日5日前要求采购人、采购代理机构对竞争性磋商文件予以澄清，采购代理机构将对收到要求澄清的问题进行答复，采购代理机构应在将答复内容以公告形式在网上予以公布。</w:t>
      </w:r>
    </w:p>
    <w:p w14:paraId="0600E243">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16" w:name="_Toc270604591"/>
      <w:bookmarkStart w:id="217" w:name="_Toc400"/>
      <w:bookmarkStart w:id="218" w:name="_Toc9009"/>
      <w:bookmarkStart w:id="219" w:name="_Toc463011269"/>
      <w:bookmarkStart w:id="220" w:name="_Toc8920"/>
      <w:bookmarkStart w:id="221" w:name="_Toc269470310"/>
      <w:bookmarkStart w:id="222" w:name="_Toc277149380"/>
      <w:bookmarkStart w:id="223" w:name="_Toc455678116"/>
      <w:bookmarkStart w:id="224" w:name="_Toc454788024"/>
      <w:bookmarkStart w:id="225" w:name="_Toc428276584"/>
      <w:bookmarkStart w:id="226" w:name="_Toc428351644"/>
      <w:bookmarkStart w:id="227" w:name="_Toc462934290"/>
      <w:bookmarkStart w:id="228" w:name="_Toc270604818"/>
      <w:bookmarkStart w:id="229" w:name="_Toc20316"/>
      <w:r>
        <w:rPr>
          <w:rFonts w:hint="eastAsia" w:hAnsi="宋体" w:cs="黑体"/>
          <w:b/>
          <w:color w:val="auto"/>
          <w:sz w:val="21"/>
          <w:szCs w:val="21"/>
        </w:rPr>
        <w:t>竞争性磋商文件的修改</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A1836AB">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2.3.1  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应当在提交首次响应文件截止之日5日前，将澄清或者修改内容以公告形式在网上予以公布。不足5日的，应当顺延提交首次响应文件截止之日。</w:t>
      </w:r>
    </w:p>
    <w:p w14:paraId="08E68F6F">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rPr>
        <w:t>2.3.2  澄清或者修改的内容与竞争性磋商文件不一致的地方，以澄清或者修改的内容为准。</w:t>
      </w:r>
    </w:p>
    <w:p w14:paraId="24356F69">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230" w:name="_Toc12045"/>
      <w:bookmarkStart w:id="231" w:name="_Toc270604592"/>
      <w:bookmarkStart w:id="232" w:name="_Toc23830"/>
      <w:bookmarkStart w:id="233" w:name="_Toc21045"/>
      <w:r>
        <w:rPr>
          <w:rFonts w:hint="eastAsia" w:hAnsi="宋体" w:cs="黑体"/>
          <w:b/>
          <w:color w:val="auto"/>
        </w:rPr>
        <w:t>磋商响应文件</w:t>
      </w:r>
      <w:bookmarkEnd w:id="230"/>
      <w:bookmarkEnd w:id="231"/>
      <w:bookmarkEnd w:id="232"/>
      <w:bookmarkEnd w:id="233"/>
    </w:p>
    <w:p w14:paraId="178F58E0">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34" w:name="_Toc463011271"/>
      <w:bookmarkStart w:id="235" w:name="_Toc462934292"/>
      <w:bookmarkStart w:id="236" w:name="_Toc270604820"/>
      <w:bookmarkStart w:id="237" w:name="_Toc454788026"/>
      <w:bookmarkStart w:id="238" w:name="_Toc20143"/>
      <w:bookmarkStart w:id="239" w:name="_Toc277149382"/>
      <w:bookmarkStart w:id="240" w:name="_Toc270604593"/>
      <w:bookmarkStart w:id="241" w:name="_Toc9888"/>
      <w:bookmarkStart w:id="242" w:name="_Toc12181"/>
      <w:bookmarkStart w:id="243" w:name="_Toc428351646"/>
      <w:bookmarkStart w:id="244" w:name="_Toc455678118"/>
      <w:bookmarkStart w:id="245" w:name="_Toc269470312"/>
      <w:bookmarkStart w:id="246" w:name="_Toc1308"/>
      <w:bookmarkStart w:id="247" w:name="_Toc428276586"/>
      <w:r>
        <w:rPr>
          <w:rFonts w:hint="eastAsia" w:hAnsi="宋体" w:cs="黑体"/>
          <w:b/>
          <w:color w:val="auto"/>
          <w:sz w:val="21"/>
          <w:szCs w:val="21"/>
        </w:rPr>
        <w:t>磋商响应文件的组成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1CD811F">
      <w:pPr>
        <w:pStyle w:val="63"/>
        <w:snapToGrid w:val="0"/>
        <w:spacing w:line="360" w:lineRule="auto"/>
        <w:ind w:left="540"/>
        <w:contextualSpacing/>
        <w:jc w:val="both"/>
        <w:rPr>
          <w:rFonts w:hint="eastAsia" w:ascii="宋体" w:hAnsi="宋体" w:cs="仿宋_GB2312"/>
          <w:kern w:val="0"/>
          <w:szCs w:val="21"/>
        </w:rPr>
      </w:pPr>
      <w:r>
        <w:rPr>
          <w:rFonts w:hint="eastAsia" w:hAnsi="宋体" w:cs="黑体"/>
          <w:color w:val="auto"/>
          <w:sz w:val="21"/>
          <w:szCs w:val="21"/>
        </w:rPr>
        <w:t>磋商响应文件应包括下列内容：</w:t>
      </w:r>
      <w:bookmarkStart w:id="248" w:name="_Toc463011272"/>
      <w:bookmarkStart w:id="249" w:name="_Toc455678119"/>
      <w:bookmarkStart w:id="250" w:name="_Toc4803"/>
      <w:bookmarkStart w:id="251" w:name="_Toc22898"/>
      <w:bookmarkStart w:id="252" w:name="_Toc462934293"/>
      <w:bookmarkStart w:id="253" w:name="_Toc28890"/>
      <w:bookmarkStart w:id="254" w:name="_Toc29258"/>
      <w:bookmarkStart w:id="255" w:name="_Toc269470314"/>
      <w:bookmarkStart w:id="256" w:name="_Toc270604822"/>
      <w:bookmarkStart w:id="257" w:name="_Toc277149384"/>
      <w:bookmarkStart w:id="258" w:name="_Toc270604595"/>
    </w:p>
    <w:p w14:paraId="0A55A4CA">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lang w:eastAsia="zh-CN"/>
        </w:rPr>
        <w:t>（</w:t>
      </w:r>
      <w:r>
        <w:rPr>
          <w:rFonts w:ascii="宋体" w:hAnsi="宋体" w:cs="仿宋_GB2312"/>
          <w:kern w:val="0"/>
          <w:szCs w:val="21"/>
        </w:rPr>
        <w:t>1</w:t>
      </w:r>
      <w:r>
        <w:rPr>
          <w:rFonts w:hint="eastAsia" w:ascii="宋体" w:hAnsi="宋体" w:cs="仿宋_GB2312"/>
          <w:kern w:val="0"/>
          <w:szCs w:val="21"/>
        </w:rPr>
        <w:t>）报价函</w:t>
      </w:r>
    </w:p>
    <w:p w14:paraId="32F6AFD7">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460636F2">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7DCAB36F">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w:t>
      </w:r>
      <w:r>
        <w:rPr>
          <w:rFonts w:hint="eastAsia" w:ascii="宋体" w:hAnsi="宋体"/>
          <w:szCs w:val="21"/>
        </w:rPr>
        <w:t>授权委托书</w:t>
      </w:r>
    </w:p>
    <w:p w14:paraId="65C9ABBF">
      <w:pPr>
        <w:autoSpaceDE w:val="0"/>
        <w:autoSpaceDN w:val="0"/>
        <w:adjustRightInd w:val="0"/>
        <w:snapToGrid w:val="0"/>
        <w:spacing w:line="360" w:lineRule="auto"/>
        <w:ind w:firstLine="472" w:firstLineChars="225"/>
        <w:contextualSpacing/>
        <w:jc w:val="left"/>
        <w:rPr>
          <w:rFonts w:hint="eastAsia" w:ascii="宋体" w:hAnsi="宋体" w:eastAsia="Times New Roman" w:cs="仿宋_GB2312"/>
          <w:kern w:val="0"/>
          <w:szCs w:val="21"/>
        </w:rPr>
      </w:pPr>
      <w:r>
        <w:rPr>
          <w:rFonts w:hint="eastAsia" w:ascii="宋体" w:hAnsi="宋体" w:cs="仿宋_GB2312"/>
          <w:kern w:val="0"/>
          <w:szCs w:val="21"/>
        </w:rPr>
        <w:t>（5）已标价工程量清单</w:t>
      </w:r>
    </w:p>
    <w:p w14:paraId="3FF8F927">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（6）</w:t>
      </w:r>
      <w:r>
        <w:rPr>
          <w:rFonts w:hint="eastAsia" w:ascii="宋体" w:hAnsi="宋体"/>
          <w:szCs w:val="21"/>
        </w:rPr>
        <w:t>供应商的资格及证明文件</w:t>
      </w:r>
    </w:p>
    <w:p w14:paraId="3F50E3EB">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7</w:t>
      </w:r>
      <w:r>
        <w:rPr>
          <w:rFonts w:hint="eastAsia" w:ascii="宋体" w:hAnsi="宋体" w:cs="仿宋_GB2312"/>
          <w:kern w:val="0"/>
          <w:szCs w:val="21"/>
        </w:rPr>
        <w:t>）供应商类似的项目业绩清单</w:t>
      </w:r>
      <w:r>
        <w:rPr>
          <w:rFonts w:ascii="宋体" w:hAnsi="宋体" w:cs="仿宋_GB2312"/>
          <w:kern w:val="0"/>
          <w:szCs w:val="21"/>
        </w:rPr>
        <w:tab/>
      </w:r>
    </w:p>
    <w:p w14:paraId="4D8B160B">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8</w:t>
      </w:r>
      <w:r>
        <w:rPr>
          <w:rFonts w:hint="eastAsia" w:ascii="宋体" w:hAnsi="宋体" w:cs="仿宋_GB2312"/>
          <w:kern w:val="0"/>
          <w:szCs w:val="21"/>
        </w:rPr>
        <w:t>）施工组织设计内容</w:t>
      </w:r>
    </w:p>
    <w:p w14:paraId="45C3E7BD">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（9）</w:t>
      </w:r>
      <w:r>
        <w:rPr>
          <w:rFonts w:hint="eastAsia"/>
        </w:rPr>
        <w:t>项目管理机构表</w:t>
      </w:r>
    </w:p>
    <w:p w14:paraId="514ED343">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（1</w:t>
      </w:r>
      <w:r>
        <w:rPr>
          <w:rFonts w:hint="eastAsia" w:ascii="宋体" w:hAnsi="宋体" w:cs="仿宋_GB2312"/>
          <w:kern w:val="0"/>
          <w:szCs w:val="21"/>
          <w:lang w:val="en-US" w:eastAsia="zh-CN"/>
        </w:rPr>
        <w:t>0</w:t>
      </w:r>
      <w:r>
        <w:rPr>
          <w:rFonts w:hint="eastAsia" w:ascii="宋体" w:hAnsi="宋体" w:cs="仿宋_GB2312"/>
          <w:kern w:val="0"/>
          <w:szCs w:val="21"/>
        </w:rPr>
        <w:t>）反商业贿赂承诺书</w:t>
      </w:r>
    </w:p>
    <w:p w14:paraId="24AC9075">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lang w:val="en-US" w:eastAsia="zh-CN"/>
        </w:rPr>
        <w:t>1</w:t>
      </w:r>
      <w:r>
        <w:rPr>
          <w:rFonts w:hint="eastAsia" w:ascii="宋体" w:hAnsi="宋体" w:cs="仿宋_GB2312"/>
          <w:kern w:val="0"/>
          <w:szCs w:val="21"/>
        </w:rPr>
        <w:t>）其它资料</w:t>
      </w:r>
    </w:p>
    <w:p w14:paraId="1CDE60DA">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lang w:eastAsia="zh-CN"/>
        </w:rPr>
        <w:t>（</w:t>
      </w:r>
      <w:r>
        <w:rPr>
          <w:rFonts w:hint="eastAsia" w:ascii="宋体" w:hAnsi="宋体" w:cs="仿宋_GB2312"/>
          <w:kern w:val="0"/>
          <w:szCs w:val="21"/>
          <w:lang w:val="en-US" w:eastAsia="zh-CN"/>
        </w:rPr>
        <w:t>12）中小企业声明函</w:t>
      </w:r>
    </w:p>
    <w:p w14:paraId="5DE18A2E">
      <w:pPr>
        <w:autoSpaceDE w:val="0"/>
        <w:autoSpaceDN w:val="0"/>
        <w:adjustRightInd w:val="0"/>
        <w:snapToGrid w:val="0"/>
        <w:spacing w:line="360" w:lineRule="auto"/>
        <w:ind w:firstLine="472" w:firstLineChars="225"/>
        <w:contextualSpacing/>
        <w:jc w:val="left"/>
        <w:rPr>
          <w:rFonts w:hint="eastAsia" w:ascii="宋体" w:hAnsi="宋体" w:eastAsia="宋体" w:cs="宋体"/>
        </w:rPr>
      </w:pPr>
      <w:r>
        <w:rPr>
          <w:rFonts w:hint="eastAsia" w:ascii="宋体" w:hAnsi="宋体" w:eastAsia="宋体" w:cs="宋体"/>
          <w:lang w:val="en-US" w:eastAsia="zh-CN"/>
        </w:rPr>
        <w:t>（13）残疾人福利性单位声明函</w:t>
      </w:r>
    </w:p>
    <w:p w14:paraId="560E24BD">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r>
        <w:rPr>
          <w:rFonts w:hint="eastAsia" w:hAnsi="宋体" w:cs="黑体"/>
          <w:b/>
          <w:color w:val="auto"/>
          <w:sz w:val="21"/>
          <w:szCs w:val="21"/>
        </w:rPr>
        <w:t>磋商价格构成及报价要求</w:t>
      </w:r>
      <w:bookmarkEnd w:id="248"/>
      <w:bookmarkEnd w:id="249"/>
      <w:bookmarkEnd w:id="250"/>
      <w:bookmarkEnd w:id="251"/>
      <w:bookmarkEnd w:id="252"/>
      <w:bookmarkEnd w:id="253"/>
      <w:bookmarkEnd w:id="254"/>
    </w:p>
    <w:p w14:paraId="3C6BEC7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1"/>
        <w:jc w:val="both"/>
        <w:textAlignment w:val="auto"/>
        <w:rPr>
          <w:rFonts w:hint="eastAsia" w:ascii="宋体" w:hAnsi="宋体" w:eastAsia="宋体" w:cs="宋体"/>
          <w:b/>
          <w:bCs w:val="0"/>
          <w:color w:val="auto"/>
          <w:sz w:val="21"/>
          <w:szCs w:val="21"/>
        </w:rPr>
      </w:pPr>
      <w:bookmarkStart w:id="259" w:name="_Toc12402"/>
      <w:r>
        <w:rPr>
          <w:rFonts w:hint="eastAsia"/>
          <w:b/>
          <w:sz w:val="21"/>
          <w:szCs w:val="21"/>
          <w:lang w:eastAsia="zh-CN"/>
        </w:rPr>
        <w:t>（</w:t>
      </w:r>
      <w:r>
        <w:rPr>
          <w:rFonts w:hint="eastAsia"/>
          <w:b/>
          <w:sz w:val="21"/>
          <w:szCs w:val="21"/>
          <w:lang w:val="en-US" w:eastAsia="zh-CN"/>
        </w:rPr>
        <w:t>1</w:t>
      </w:r>
      <w:r>
        <w:rPr>
          <w:rFonts w:hint="eastAsia"/>
          <w:b/>
          <w:sz w:val="21"/>
          <w:szCs w:val="21"/>
          <w:lang w:eastAsia="zh-CN"/>
        </w:rPr>
        <w:t>）</w:t>
      </w:r>
      <w:r>
        <w:rPr>
          <w:rFonts w:hint="eastAsia" w:hAnsi="宋体"/>
          <w:b/>
          <w:sz w:val="21"/>
          <w:szCs w:val="21"/>
        </w:rPr>
        <w:t>本工程的磋商报价应按照磋商文件、补充通知、答疑纪要、现场情况、承包范围，并充分考虑施工期间各类建材市场风险和国家政策性调整等风险系数，由各响应人根据自身情况，在合理范围内，自主考虑、优惠报价，但不得低于企业成本，</w:t>
      </w:r>
      <w:r>
        <w:rPr>
          <w:rFonts w:hint="eastAsia" w:ascii="宋体" w:hAnsi="宋体"/>
          <w:b/>
          <w:sz w:val="21"/>
          <w:szCs w:val="21"/>
        </w:rPr>
        <w:t>分二次报价：第一次报价必须按照磋商文件的报价格式填报，第二次报价在磋商中填报，第二次报价（不得高于一次报价）</w:t>
      </w:r>
      <w:r>
        <w:rPr>
          <w:rFonts w:hint="eastAsia" w:ascii="宋体" w:hAnsi="宋体" w:cs="宋体"/>
          <w:b/>
          <w:sz w:val="21"/>
          <w:szCs w:val="21"/>
        </w:rPr>
        <w:t>即</w:t>
      </w:r>
      <w:r>
        <w:rPr>
          <w:rFonts w:hint="eastAsia" w:ascii="宋体" w:hAnsi="宋体"/>
          <w:b/>
          <w:sz w:val="21"/>
          <w:szCs w:val="21"/>
        </w:rPr>
        <w:t>为最终报价；</w:t>
      </w:r>
      <w:bookmarkEnd w:id="259"/>
      <w:r>
        <w:rPr>
          <w:rFonts w:hint="eastAsia"/>
          <w:b/>
          <w:sz w:val="21"/>
          <w:szCs w:val="21"/>
          <w:lang w:val="en-US" w:eastAsia="zh-CN"/>
        </w:rPr>
        <w:t xml:space="preserve">    </w:t>
      </w:r>
      <w:r>
        <w:rPr>
          <w:rFonts w:hint="eastAsia"/>
          <w:b/>
          <w:color w:val="auto"/>
          <w:sz w:val="21"/>
          <w:szCs w:val="21"/>
          <w:lang w:eastAsia="zh-CN"/>
        </w:rPr>
        <w:t>（</w:t>
      </w:r>
      <w:r>
        <w:rPr>
          <w:rFonts w:hint="eastAsia"/>
          <w:b/>
          <w:color w:val="auto"/>
          <w:sz w:val="21"/>
          <w:szCs w:val="21"/>
          <w:lang w:val="en-US" w:eastAsia="zh-CN"/>
        </w:rPr>
        <w:t>2</w:t>
      </w:r>
      <w:r>
        <w:rPr>
          <w:rFonts w:hint="eastAsia"/>
          <w:b/>
          <w:color w:val="auto"/>
          <w:sz w:val="21"/>
          <w:szCs w:val="21"/>
          <w:lang w:eastAsia="zh-CN"/>
        </w:rPr>
        <w:t>）</w:t>
      </w:r>
      <w:r>
        <w:rPr>
          <w:rStyle w:val="51"/>
          <w:rFonts w:hint="eastAsia" w:ascii="宋体" w:hAnsi="宋体" w:eastAsia="宋体" w:cs="宋体"/>
          <w:b/>
          <w:bCs w:val="0"/>
          <w:i w:val="0"/>
          <w:caps w:val="0"/>
          <w:color w:val="auto"/>
          <w:spacing w:val="0"/>
          <w:sz w:val="21"/>
          <w:szCs w:val="21"/>
          <w:shd w:val="clear" w:color="auto" w:fill="FFFFFF"/>
        </w:rPr>
        <w:t>供应商应注意事项</w:t>
      </w:r>
    </w:p>
    <w:p w14:paraId="0A82CC42">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1、供应商在开标结束后，应实时保持交易系统处于登录状态，确保能及时收到评标评审专家的澄清、说明或者补正的要求。同时供应商应打开IE浏览器，新建窗口输入网址</w:t>
      </w:r>
      <w:r>
        <w:rPr>
          <w:rFonts w:hint="eastAsia" w:ascii="宋体" w:hAnsi="宋体" w:eastAsia="宋体" w:cs="宋体"/>
          <w:b/>
          <w:bCs w:val="0"/>
          <w:i w:val="0"/>
          <w:caps w:val="0"/>
          <w:color w:val="auto"/>
          <w:spacing w:val="0"/>
          <w:sz w:val="21"/>
          <w:szCs w:val="21"/>
          <w:u w:val="none"/>
          <w:shd w:val="clear" w:color="auto" w:fill="FFFFFF"/>
        </w:rPr>
        <w:fldChar w:fldCharType="begin"/>
      </w:r>
      <w:r>
        <w:rPr>
          <w:rFonts w:hint="eastAsia" w:ascii="宋体" w:hAnsi="宋体" w:eastAsia="宋体" w:cs="宋体"/>
          <w:b/>
          <w:bCs w:val="0"/>
          <w:i w:val="0"/>
          <w:caps w:val="0"/>
          <w:color w:val="auto"/>
          <w:spacing w:val="0"/>
          <w:sz w:val="21"/>
          <w:szCs w:val="21"/>
          <w:u w:val="none"/>
          <w:shd w:val="clear" w:color="auto" w:fill="FFFFFF"/>
        </w:rPr>
        <w:instrText xml:space="preserve"> HYPERLINK "http://222.138.172.2:5562/" </w:instrText>
      </w:r>
      <w:r>
        <w:rPr>
          <w:rFonts w:hint="eastAsia" w:ascii="宋体" w:hAnsi="宋体" w:eastAsia="宋体" w:cs="宋体"/>
          <w:b/>
          <w:bCs w:val="0"/>
          <w:i w:val="0"/>
          <w:caps w:val="0"/>
          <w:color w:val="auto"/>
          <w:spacing w:val="0"/>
          <w:sz w:val="21"/>
          <w:szCs w:val="21"/>
          <w:u w:val="none"/>
          <w:shd w:val="clear" w:color="auto" w:fill="FFFFFF"/>
        </w:rPr>
        <w:fldChar w:fldCharType="separate"/>
      </w:r>
      <w:r>
        <w:rPr>
          <w:rStyle w:val="57"/>
          <w:rFonts w:hint="eastAsia" w:ascii="宋体" w:hAnsi="宋体" w:eastAsia="宋体" w:cs="宋体"/>
          <w:b/>
          <w:bCs w:val="0"/>
          <w:i w:val="0"/>
          <w:caps w:val="0"/>
          <w:color w:val="auto"/>
          <w:spacing w:val="0"/>
          <w:sz w:val="21"/>
          <w:szCs w:val="21"/>
          <w:u w:val="none"/>
          <w:shd w:val="clear" w:color="auto" w:fill="FFFFFF"/>
        </w:rPr>
        <w:t>http://222.138.172.2:5562/</w:t>
      </w:r>
      <w:r>
        <w:rPr>
          <w:rFonts w:hint="eastAsia" w:ascii="宋体" w:hAnsi="宋体" w:eastAsia="宋体" w:cs="宋体"/>
          <w:b/>
          <w:bCs w:val="0"/>
          <w:i w:val="0"/>
          <w:caps w:val="0"/>
          <w:color w:val="auto"/>
          <w:spacing w:val="0"/>
          <w:sz w:val="21"/>
          <w:szCs w:val="21"/>
          <w:u w:val="none"/>
          <w:shd w:val="clear" w:color="auto" w:fill="FFFFFF"/>
        </w:rPr>
        <w:fldChar w:fldCharType="end"/>
      </w:r>
      <w:r>
        <w:rPr>
          <w:rFonts w:hint="eastAsia" w:ascii="宋体" w:hAnsi="宋体" w:eastAsia="宋体" w:cs="宋体"/>
          <w:b/>
          <w:bCs w:val="0"/>
          <w:i w:val="0"/>
          <w:caps w:val="0"/>
          <w:color w:val="auto"/>
          <w:spacing w:val="0"/>
          <w:sz w:val="21"/>
          <w:szCs w:val="21"/>
          <w:shd w:val="clear" w:color="auto" w:fill="FFFFFF"/>
        </w:rPr>
        <w:t>，通过账户口令或数字证书登录二次报价页面并保持实时登录状态，以确保能及时收到评审专家要求二次报价的信息。</w:t>
      </w:r>
      <w:r>
        <w:rPr>
          <w:rStyle w:val="51"/>
          <w:rFonts w:hint="eastAsia" w:ascii="宋体" w:hAnsi="宋体" w:eastAsia="宋体" w:cs="宋体"/>
          <w:b/>
          <w:bCs w:val="0"/>
          <w:i w:val="0"/>
          <w:caps w:val="0"/>
          <w:color w:val="auto"/>
          <w:spacing w:val="0"/>
          <w:sz w:val="21"/>
          <w:szCs w:val="21"/>
          <w:shd w:val="clear" w:color="auto" w:fill="FFFFFF"/>
        </w:rPr>
        <w:t>即供应商应保持两个页面都实时处于登录状态。</w:t>
      </w:r>
    </w:p>
    <w:p w14:paraId="1652D3E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Style w:val="51"/>
          <w:rFonts w:hint="eastAsia" w:ascii="宋体" w:hAnsi="宋体" w:eastAsia="宋体" w:cs="宋体"/>
          <w:b/>
          <w:bCs w:val="0"/>
          <w:i w:val="0"/>
          <w:caps w:val="0"/>
          <w:color w:val="auto"/>
          <w:spacing w:val="0"/>
          <w:sz w:val="21"/>
          <w:szCs w:val="21"/>
          <w:shd w:val="clear" w:color="auto" w:fill="FFFFFF"/>
        </w:rPr>
        <w:t>因网络安全的需要，登录后长时间不操作将自动退出登录状态，建议供应商5分钟刷新一次。</w:t>
      </w:r>
    </w:p>
    <w:p w14:paraId="2ABDF1E4">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2、无论是二次报价还是澄清、说明需要上传交易系统的文件，必须是PDF格式并且加盖有</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（供应商）电子签章。如果文件是用word编辑的，</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（供应商）可点击文件左上角文件选择“输出为PDF”，将word文件转变为PDF格式后加盖电子签章上传。如供应商二次报价已确定情况下，可提前准备好二次报价文件，在规定时间内填写完报价上传该文件即可。</w:t>
      </w:r>
    </w:p>
    <w:p w14:paraId="0051801B">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3、二次报价时，供应商应首先填写二次报价金额，然后上传二次报价PDF文件。需注意填写金额应与上传的报价文件一致。如不一致，报价以上传的加盖有电子签章的报价文件为准。</w:t>
      </w:r>
    </w:p>
    <w:p w14:paraId="02CA64BC">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color w:val="auto"/>
          <w:sz w:val="21"/>
          <w:szCs w:val="21"/>
        </w:rPr>
      </w:pPr>
      <w:r>
        <w:rPr>
          <w:rFonts w:hint="eastAsia" w:ascii="宋体" w:hAnsi="宋体" w:eastAsia="宋体" w:cs="宋体"/>
          <w:b/>
          <w:bCs w:val="0"/>
          <w:i w:val="0"/>
          <w:caps w:val="0"/>
          <w:color w:val="auto"/>
          <w:spacing w:val="0"/>
          <w:sz w:val="21"/>
          <w:szCs w:val="21"/>
          <w:shd w:val="clear" w:color="auto" w:fill="FFFFFF"/>
        </w:rPr>
        <w:t>4、二次报价输入页面一经保存，报价立即生效，无法再次修改。各供应商应对自己所输入的内容确认无误后再点击保存。所有供应商二次报价完成或评审专家规定的二次报价时间截止后，二次报价结束。如没有在规定时间内完成操作，即视为自动放弃二次报价权利。</w:t>
      </w:r>
    </w:p>
    <w:p w14:paraId="78AFA1E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30"/>
        <w:jc w:val="both"/>
        <w:textAlignment w:val="auto"/>
        <w:rPr>
          <w:rFonts w:hint="eastAsia" w:ascii="宋体" w:hAnsi="宋体" w:eastAsia="宋体" w:cs="宋体"/>
          <w:b/>
          <w:bCs w:val="0"/>
          <w:sz w:val="21"/>
          <w:szCs w:val="21"/>
        </w:rPr>
      </w:pPr>
      <w:r>
        <w:rPr>
          <w:rFonts w:hint="eastAsia" w:ascii="宋体" w:hAnsi="宋体" w:eastAsia="宋体" w:cs="宋体"/>
          <w:b/>
          <w:bCs w:val="0"/>
          <w:i w:val="0"/>
          <w:caps w:val="0"/>
          <w:color w:val="auto"/>
          <w:spacing w:val="0"/>
          <w:sz w:val="21"/>
          <w:szCs w:val="21"/>
          <w:shd w:val="clear" w:color="auto" w:fill="FFFFFF"/>
        </w:rPr>
        <w:t>5、评审专家对供应商进行二次报价或澄清的要求均有时间限制，并且在</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（供应商）二次报价或澄清页面有倒计时提示，</w:t>
      </w:r>
      <w:r>
        <w:rPr>
          <w:rFonts w:hint="eastAsia" w:cs="宋体"/>
          <w:b/>
          <w:bCs w:val="0"/>
          <w:i w:val="0"/>
          <w:caps w:val="0"/>
          <w:color w:val="auto"/>
          <w:spacing w:val="0"/>
          <w:sz w:val="21"/>
          <w:szCs w:val="21"/>
          <w:shd w:val="clear" w:color="auto" w:fill="FFFFFF"/>
          <w:lang w:eastAsia="zh-CN"/>
        </w:rPr>
        <w:t>供应商</w:t>
      </w:r>
      <w:r>
        <w:rPr>
          <w:rFonts w:hint="eastAsia" w:ascii="宋体" w:hAnsi="宋体" w:eastAsia="宋体" w:cs="宋体"/>
          <w:b/>
          <w:bCs w:val="0"/>
          <w:i w:val="0"/>
          <w:caps w:val="0"/>
          <w:color w:val="auto"/>
          <w:spacing w:val="0"/>
          <w:sz w:val="21"/>
          <w:szCs w:val="21"/>
          <w:shd w:val="clear" w:color="auto" w:fill="FFFFFF"/>
        </w:rPr>
        <w:t>（供应商）应在评标（评审）专家规定时间内完成所有操作。</w:t>
      </w:r>
    </w:p>
    <w:p w14:paraId="7016D847">
      <w:pPr>
        <w:pStyle w:val="17"/>
        <w:numPr>
          <w:ilvl w:val="0"/>
          <w:numId w:val="0"/>
        </w:numPr>
        <w:snapToGrid w:val="0"/>
        <w:spacing w:line="360" w:lineRule="auto"/>
        <w:ind w:left="525" w:leftChars="0"/>
        <w:contextualSpacing/>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3</w:t>
      </w:r>
      <w:r>
        <w:rPr>
          <w:rFonts w:hint="eastAsia" w:ascii="宋体" w:hAnsi="宋体"/>
          <w:b/>
          <w:szCs w:val="21"/>
          <w:lang w:eastAsia="zh-CN"/>
        </w:rPr>
        <w:t>）</w:t>
      </w:r>
      <w:r>
        <w:rPr>
          <w:rFonts w:hint="eastAsia" w:ascii="宋体" w:hAnsi="宋体"/>
          <w:b/>
          <w:szCs w:val="21"/>
        </w:rPr>
        <w:t>编制依据：</w:t>
      </w:r>
    </w:p>
    <w:p w14:paraId="2107CE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
          <w:color w:val="auto"/>
          <w:sz w:val="21"/>
          <w:szCs w:val="21"/>
          <w:highlight w:val="none"/>
        </w:rPr>
      </w:pPr>
      <w:bookmarkStart w:id="260" w:name="_Toc428351648"/>
      <w:bookmarkStart w:id="261" w:name="_Toc463011273"/>
      <w:bookmarkStart w:id="262" w:name="_Toc462934294"/>
      <w:bookmarkStart w:id="263" w:name="_Toc17969"/>
      <w:bookmarkStart w:id="264" w:name="_Toc4953"/>
      <w:bookmarkStart w:id="265" w:name="_Toc455678120"/>
      <w:bookmarkStart w:id="266" w:name="_Toc58"/>
      <w:bookmarkStart w:id="267" w:name="_Toc454788028"/>
      <w:bookmarkStart w:id="268" w:name="_Toc9018"/>
      <w:bookmarkStart w:id="269" w:name="_Toc428276588"/>
      <w:r>
        <w:rPr>
          <w:rFonts w:hint="eastAsia" w:ascii="宋体" w:hAnsi="宋体"/>
          <w:b/>
          <w:color w:val="auto"/>
          <w:sz w:val="21"/>
          <w:szCs w:val="21"/>
          <w:highlight w:val="none"/>
          <w:lang w:val="en-US" w:eastAsia="zh-CN"/>
        </w:rPr>
        <w:t>相关标准、规范、图集、文件、解释等；</w:t>
      </w:r>
    </w:p>
    <w:p w14:paraId="400209C8">
      <w:pPr>
        <w:keepNext w:val="0"/>
        <w:keepLines w:val="0"/>
        <w:pageBreakBefore w:val="0"/>
        <w:widowControl w:val="0"/>
        <w:kinsoku/>
        <w:wordWrap/>
        <w:overflowPunct/>
        <w:topLinePunct w:val="0"/>
        <w:bidi w:val="0"/>
        <w:snapToGrid/>
        <w:spacing w:line="360" w:lineRule="auto"/>
        <w:ind w:firstLine="420" w:firstLineChars="200"/>
        <w:textAlignment w:val="auto"/>
        <w:outlineLvl w:val="3"/>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）信息价格采用</w:t>
      </w:r>
      <w:r>
        <w:rPr>
          <w:rFonts w:hint="eastAsia" w:ascii="宋体" w:hAnsi="宋体" w:cs="宋体"/>
          <w:b/>
          <w:bCs/>
          <w:color w:val="auto"/>
          <w:sz w:val="21"/>
          <w:szCs w:val="21"/>
          <w:lang w:val="en-US" w:eastAsia="zh-CN"/>
        </w:rPr>
        <w:t>最新一期民权</w:t>
      </w:r>
      <w:r>
        <w:rPr>
          <w:rFonts w:hint="eastAsia" w:ascii="宋体" w:hAnsi="宋体" w:eastAsia="宋体" w:cs="宋体"/>
          <w:b/>
          <w:bCs/>
          <w:color w:val="auto"/>
          <w:sz w:val="21"/>
          <w:szCs w:val="21"/>
          <w:lang w:val="en-US" w:eastAsia="zh-CN"/>
        </w:rPr>
        <w:t>价</w:t>
      </w:r>
      <w:r>
        <w:rPr>
          <w:rFonts w:hint="eastAsia" w:ascii="宋体" w:hAnsi="宋体" w:cs="宋体"/>
          <w:b/>
          <w:bCs/>
          <w:color w:val="auto"/>
          <w:sz w:val="21"/>
          <w:szCs w:val="21"/>
          <w:lang w:val="en-US" w:eastAsia="zh-CN"/>
        </w:rPr>
        <w:t>。</w:t>
      </w:r>
    </w:p>
    <w:p w14:paraId="401F8152">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r>
        <w:rPr>
          <w:rFonts w:hint="eastAsia" w:hAnsi="宋体" w:cs="黑体"/>
          <w:b/>
          <w:color w:val="auto"/>
          <w:sz w:val="21"/>
          <w:szCs w:val="21"/>
        </w:rPr>
        <w:t>磋商有效期</w:t>
      </w:r>
      <w:bookmarkEnd w:id="255"/>
      <w:bookmarkEnd w:id="256"/>
      <w:bookmarkEnd w:id="257"/>
      <w:bookmarkEnd w:id="258"/>
      <w:bookmarkEnd w:id="260"/>
      <w:bookmarkEnd w:id="261"/>
      <w:bookmarkEnd w:id="262"/>
      <w:bookmarkEnd w:id="263"/>
      <w:bookmarkEnd w:id="264"/>
      <w:bookmarkEnd w:id="265"/>
      <w:bookmarkEnd w:id="266"/>
      <w:bookmarkEnd w:id="267"/>
      <w:bookmarkEnd w:id="268"/>
      <w:bookmarkEnd w:id="269"/>
    </w:p>
    <w:p w14:paraId="3768AD12">
      <w:pPr>
        <w:snapToGrid w:val="0"/>
        <w:spacing w:line="360" w:lineRule="auto"/>
        <w:ind w:firstLine="420" w:firstLineChars="200"/>
        <w:contextualSpacing/>
        <w:rPr>
          <w:rFonts w:ascii="宋体" w:hAnsi="宋体"/>
          <w:szCs w:val="21"/>
        </w:rPr>
      </w:pPr>
      <w:r>
        <w:rPr>
          <w:rFonts w:hint="eastAsia" w:ascii="宋体" w:hAnsi="宋体"/>
          <w:szCs w:val="21"/>
        </w:rPr>
        <w:t>3.3.1  在&lt;供应商须知前附表&gt;规定的磋商有效期内，供应商不得要求撤销或修改其磋商响应文件。</w:t>
      </w:r>
    </w:p>
    <w:p w14:paraId="3AB2B9A5">
      <w:pPr>
        <w:snapToGrid w:val="0"/>
        <w:spacing w:line="360" w:lineRule="auto"/>
        <w:ind w:firstLine="420" w:firstLineChars="200"/>
        <w:contextualSpacing/>
        <w:rPr>
          <w:rFonts w:hint="eastAsia" w:ascii="宋体" w:hAnsi="宋体"/>
          <w:szCs w:val="21"/>
        </w:rPr>
      </w:pPr>
      <w:r>
        <w:rPr>
          <w:rFonts w:hint="eastAsia" w:ascii="宋体" w:hAnsi="宋体"/>
          <w:szCs w:val="21"/>
        </w:rPr>
        <w:t>3.3.2  出现特殊情况需要延长磋商有效期的，采购人以</w:t>
      </w:r>
      <w:r>
        <w:rPr>
          <w:rFonts w:hint="eastAsia" w:ascii="宋体" w:hAnsi="宋体"/>
          <w:szCs w:val="21"/>
          <w:lang w:eastAsia="zh-CN"/>
        </w:rPr>
        <w:t>电子版</w:t>
      </w:r>
      <w:r>
        <w:rPr>
          <w:rFonts w:hint="eastAsia" w:ascii="宋体" w:hAnsi="宋体"/>
          <w:szCs w:val="21"/>
        </w:rPr>
        <w:t>形式通知所有供应商延长磋商有效期。供应商同意延长的，不得要求或被允许修改或撤销其磋商响应文件；供应商拒绝延长的，其磋商响应文件失效。</w:t>
      </w:r>
    </w:p>
    <w:p w14:paraId="2C026FF0">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70" w:name="_Toc428276590"/>
      <w:bookmarkStart w:id="271" w:name="_Toc7919"/>
      <w:bookmarkStart w:id="272" w:name="_Toc277149385"/>
      <w:bookmarkStart w:id="273" w:name="_Toc270604596"/>
      <w:bookmarkStart w:id="274" w:name="_Toc463011275"/>
      <w:bookmarkStart w:id="275" w:name="_Toc270604823"/>
      <w:bookmarkStart w:id="276" w:name="_Toc269470318"/>
      <w:bookmarkStart w:id="277" w:name="_Toc13469"/>
      <w:bookmarkStart w:id="278" w:name="_Toc454788030"/>
      <w:bookmarkStart w:id="279" w:name="_Toc428351650"/>
      <w:bookmarkStart w:id="280" w:name="_Toc5173"/>
      <w:bookmarkStart w:id="281" w:name="_Toc32308"/>
      <w:bookmarkStart w:id="282" w:name="_Toc462934296"/>
      <w:bookmarkStart w:id="283" w:name="_Toc455678122"/>
      <w:r>
        <w:rPr>
          <w:rFonts w:hint="eastAsia" w:hAnsi="宋体" w:cs="黑体"/>
          <w:b/>
          <w:color w:val="auto"/>
          <w:sz w:val="21"/>
          <w:szCs w:val="21"/>
        </w:rPr>
        <w:t>磋商响应文件的编制</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32EA874">
      <w:pPr>
        <w:snapToGrid w:val="0"/>
        <w:spacing w:line="360" w:lineRule="auto"/>
        <w:ind w:firstLine="420" w:firstLineChars="200"/>
        <w:contextualSpacing/>
        <w:rPr>
          <w:rFonts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.1  磋商响应文件应按 “磋商响应文件格式”进行编写，如有必要，可以增加附页，作为磋商响应文件的组成部分。其中</w:t>
      </w:r>
      <w:r>
        <w:rPr>
          <w:rFonts w:hint="eastAsia" w:ascii="宋体" w:hAnsi="宋体"/>
          <w:color w:val="auto"/>
          <w:szCs w:val="21"/>
        </w:rPr>
        <w:t>，报价函附录</w:t>
      </w:r>
      <w:r>
        <w:rPr>
          <w:rFonts w:hint="eastAsia" w:ascii="宋体" w:hAnsi="宋体"/>
          <w:szCs w:val="21"/>
        </w:rPr>
        <w:t>在满足竞争性磋商文件实质性要求的基础上，可以提出比竞争性磋商文件要求更有利于采购人的承诺。</w:t>
      </w:r>
    </w:p>
    <w:p w14:paraId="75FA2B6A">
      <w:pPr>
        <w:snapToGrid w:val="0"/>
        <w:spacing w:line="360" w:lineRule="auto"/>
        <w:ind w:firstLine="420" w:firstLineChars="200"/>
        <w:contextualSpacing/>
        <w:rPr>
          <w:rFonts w:ascii="宋体" w:hAnsi="宋体"/>
          <w:color w:val="auto"/>
          <w:szCs w:val="21"/>
          <w:highlight w:val="none"/>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.2  磋商响应文件应当对竞争性磋商文件</w:t>
      </w:r>
      <w:r>
        <w:rPr>
          <w:rFonts w:hint="eastAsia" w:ascii="宋体" w:hAnsi="宋体"/>
          <w:color w:val="auto"/>
          <w:szCs w:val="21"/>
          <w:highlight w:val="none"/>
        </w:rPr>
        <w:t>有关磋商报价、工期、磋商有效期、质量要求等实质性内容作出响应。</w:t>
      </w:r>
    </w:p>
    <w:p w14:paraId="4C62C680">
      <w:pPr>
        <w:snapToGrid w:val="0"/>
        <w:spacing w:line="360" w:lineRule="auto"/>
        <w:ind w:firstLine="420" w:firstLineChars="200"/>
        <w:contextualSpacing/>
        <w:rPr>
          <w:rFonts w:hint="eastAsia"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.3  磋商响应文件应由供应商的法定代表人或其委托代理人签</w:t>
      </w:r>
      <w:r>
        <w:rPr>
          <w:rFonts w:hint="eastAsia" w:ascii="宋体" w:hAnsi="宋体"/>
          <w:szCs w:val="21"/>
          <w:lang w:val="en-US" w:eastAsia="zh-CN"/>
        </w:rPr>
        <w:t>字或盖</w:t>
      </w:r>
      <w:r>
        <w:rPr>
          <w:rFonts w:hint="eastAsia" w:ascii="宋体" w:hAnsi="宋体"/>
          <w:szCs w:val="21"/>
        </w:rPr>
        <w:t>章。委托代理人签字的，磋商响应文件应附法定代表人签署的授权委托书。磋商响应文件应尽量避免涂改、行间插字或删除。如果出现上述情况，改动之处应加盖单位章或由供应商的法定代表人或其授权的代理人签字确认。</w:t>
      </w:r>
    </w:p>
    <w:p w14:paraId="60B95910">
      <w:pPr>
        <w:snapToGrid w:val="0"/>
        <w:spacing w:line="360" w:lineRule="auto"/>
        <w:ind w:firstLine="420" w:firstLineChars="200"/>
        <w:contextualSpacing/>
        <w:rPr>
          <w:rFonts w:ascii="宋体" w:hAnsi="宋体"/>
          <w:szCs w:val="21"/>
        </w:rPr>
      </w:pPr>
      <w:r>
        <w:rPr>
          <w:rFonts w:hint="eastAsia" w:ascii="宋体" w:hAnsi="宋体"/>
          <w:szCs w:val="21"/>
        </w:rPr>
        <w:t>签字或盖章的具体要求见&lt;供应商须知前附表&gt;。</w:t>
      </w:r>
    </w:p>
    <w:p w14:paraId="5D38E345">
      <w:pPr>
        <w:snapToGrid w:val="0"/>
        <w:spacing w:line="360" w:lineRule="auto"/>
        <w:ind w:firstLine="420" w:firstLineChars="200"/>
        <w:contextualSpacing/>
        <w:rPr>
          <w:rFonts w:hint="eastAsia" w:ascii="宋体" w:hAnsi="宋体"/>
          <w:color w:val="auto"/>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.4  磋商响应文件电子</w:t>
      </w:r>
      <w:r>
        <w:rPr>
          <w:rFonts w:hint="eastAsia" w:ascii="宋体" w:hAnsi="宋体"/>
          <w:szCs w:val="21"/>
          <w:lang w:eastAsia="zh-CN"/>
        </w:rPr>
        <w:t>版</w:t>
      </w:r>
      <w:r>
        <w:rPr>
          <w:rFonts w:hint="eastAsia" w:ascii="宋体" w:hAnsi="宋体"/>
          <w:szCs w:val="21"/>
        </w:rPr>
        <w:t>文档格式</w:t>
      </w:r>
      <w:r>
        <w:rPr>
          <w:rFonts w:hint="eastAsia" w:ascii="宋体" w:hAnsi="宋体"/>
          <w:color w:val="auto"/>
          <w:szCs w:val="21"/>
        </w:rPr>
        <w:t>见&lt;供应商须知前附表&gt;。</w:t>
      </w:r>
    </w:p>
    <w:p w14:paraId="72D4FE04">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284" w:name="_Toc4534"/>
      <w:bookmarkStart w:id="285" w:name="_Toc6530"/>
      <w:bookmarkStart w:id="286" w:name="_Toc402"/>
      <w:r>
        <w:rPr>
          <w:rFonts w:hint="eastAsia" w:hAnsi="宋体" w:cs="黑体"/>
          <w:b/>
          <w:color w:val="auto"/>
        </w:rPr>
        <w:t>响应文件的递交</w:t>
      </w:r>
      <w:bookmarkEnd w:id="284"/>
      <w:bookmarkEnd w:id="285"/>
      <w:bookmarkEnd w:id="286"/>
    </w:p>
    <w:p w14:paraId="3E74EA39">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287" w:name="_Toc462934299"/>
      <w:bookmarkStart w:id="288" w:name="_Toc29167"/>
      <w:bookmarkStart w:id="289" w:name="_Toc270604826"/>
      <w:bookmarkStart w:id="290" w:name="_Toc277149388"/>
      <w:bookmarkStart w:id="291" w:name="_Toc20197"/>
      <w:bookmarkStart w:id="292" w:name="_Toc3673"/>
      <w:bookmarkStart w:id="293" w:name="_Toc463011278"/>
      <w:bookmarkStart w:id="294" w:name="_Toc270604599"/>
      <w:bookmarkStart w:id="295" w:name="_Toc269470321"/>
      <w:bookmarkStart w:id="296" w:name="_Toc428351653"/>
      <w:bookmarkStart w:id="297" w:name="_Toc455678125"/>
      <w:bookmarkStart w:id="298" w:name="_Toc15152"/>
      <w:bookmarkStart w:id="299" w:name="_Toc454788033"/>
      <w:bookmarkStart w:id="300" w:name="_Toc428276593"/>
      <w:r>
        <w:rPr>
          <w:rFonts w:hint="eastAsia" w:hAnsi="宋体" w:cs="黑体"/>
          <w:b/>
          <w:color w:val="auto"/>
          <w:sz w:val="21"/>
          <w:szCs w:val="21"/>
        </w:rPr>
        <w:t>磋商响应文件的递交</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838EDCE">
      <w:pPr>
        <w:snapToGrid w:val="0"/>
        <w:spacing w:line="360" w:lineRule="auto"/>
        <w:ind w:firstLine="420" w:firstLineChars="200"/>
        <w:contextualSpacing/>
        <w:rPr>
          <w:rFonts w:ascii="宋体" w:hAnsi="宋体"/>
          <w:szCs w:val="21"/>
        </w:rPr>
      </w:pPr>
      <w:r>
        <w:rPr>
          <w:rFonts w:hint="eastAsia" w:ascii="宋体" w:hAnsi="宋体"/>
          <w:szCs w:val="21"/>
        </w:rPr>
        <w:t>4.2.1  供应商</w:t>
      </w:r>
      <w:r>
        <w:rPr>
          <w:rFonts w:hint="eastAsia" w:ascii="宋体" w:hAnsi="宋体" w:cs="仿宋_GB2312"/>
          <w:kern w:val="0"/>
          <w:szCs w:val="21"/>
        </w:rPr>
        <w:t>首次</w:t>
      </w:r>
      <w:r>
        <w:rPr>
          <w:rFonts w:hint="eastAsia" w:ascii="宋体" w:hAnsi="宋体"/>
          <w:szCs w:val="21"/>
        </w:rPr>
        <w:t>递交磋商响应文件截止时间：见&lt;供应商须知前附表&gt;。</w:t>
      </w:r>
    </w:p>
    <w:p w14:paraId="387A589A">
      <w:pPr>
        <w:snapToGrid w:val="0"/>
        <w:spacing w:line="360" w:lineRule="auto"/>
        <w:ind w:firstLine="420" w:firstLineChars="200"/>
        <w:contextualSpacing/>
        <w:rPr>
          <w:rFonts w:ascii="宋体" w:hAnsi="宋体"/>
          <w:szCs w:val="21"/>
        </w:rPr>
      </w:pPr>
      <w:r>
        <w:rPr>
          <w:rFonts w:hint="eastAsia" w:ascii="宋体" w:hAnsi="宋体"/>
          <w:szCs w:val="21"/>
        </w:rPr>
        <w:t>4.2.2  供应商</w:t>
      </w:r>
      <w:r>
        <w:rPr>
          <w:rFonts w:hint="eastAsia" w:ascii="宋体" w:hAnsi="宋体" w:cs="仿宋_GB2312"/>
          <w:kern w:val="0"/>
          <w:szCs w:val="21"/>
        </w:rPr>
        <w:t>首次</w:t>
      </w:r>
      <w:r>
        <w:rPr>
          <w:rFonts w:hint="eastAsia" w:ascii="宋体" w:hAnsi="宋体"/>
          <w:szCs w:val="21"/>
        </w:rPr>
        <w:t>递交磋商响应文件的地点：见&lt;供应商须知前附表&gt;。</w:t>
      </w:r>
    </w:p>
    <w:p w14:paraId="7504E546">
      <w:pPr>
        <w:snapToGrid w:val="0"/>
        <w:spacing w:line="360" w:lineRule="auto"/>
        <w:ind w:firstLine="420" w:firstLineChars="200"/>
        <w:contextualSpacing/>
        <w:rPr>
          <w:rFonts w:hint="eastAsia" w:ascii="宋体" w:hAnsi="宋体"/>
          <w:szCs w:val="21"/>
        </w:rPr>
      </w:pPr>
      <w:r>
        <w:rPr>
          <w:rFonts w:hint="eastAsia" w:ascii="宋体" w:hAnsi="宋体"/>
          <w:szCs w:val="21"/>
        </w:rPr>
        <w:t>4.2.3  供应商应在本章第4</w:t>
      </w:r>
      <w:r>
        <w:rPr>
          <w:rFonts w:ascii="宋体" w:hAnsi="宋体"/>
          <w:szCs w:val="21"/>
        </w:rPr>
        <w:t>.2.</w:t>
      </w:r>
      <w:r>
        <w:rPr>
          <w:rFonts w:hint="eastAsia" w:ascii="宋体" w:hAnsi="宋体"/>
          <w:szCs w:val="21"/>
        </w:rPr>
        <w:t>1项规定的磋商截止时间前递交</w:t>
      </w:r>
      <w:r>
        <w:rPr>
          <w:rFonts w:hint="eastAsia" w:ascii="宋体" w:hAnsi="宋体" w:cs="仿宋_GB2312"/>
          <w:kern w:val="0"/>
          <w:szCs w:val="21"/>
        </w:rPr>
        <w:t>首次</w:t>
      </w:r>
      <w:r>
        <w:rPr>
          <w:rFonts w:hint="eastAsia" w:ascii="宋体" w:hAnsi="宋体"/>
          <w:szCs w:val="21"/>
        </w:rPr>
        <w:t>响应文件。</w:t>
      </w:r>
    </w:p>
    <w:p w14:paraId="54A79D18">
      <w:pPr>
        <w:snapToGrid w:val="0"/>
        <w:spacing w:line="360" w:lineRule="auto"/>
        <w:ind w:firstLine="420" w:firstLineChars="200"/>
        <w:contextualSpacing/>
        <w:rPr>
          <w:rFonts w:ascii="宋体" w:hAnsi="宋体"/>
          <w:szCs w:val="21"/>
        </w:rPr>
      </w:pPr>
      <w:r>
        <w:rPr>
          <w:rFonts w:hint="eastAsia" w:ascii="宋体" w:hAnsi="宋体"/>
          <w:szCs w:val="21"/>
        </w:rPr>
        <w:t>4.2.4  除&lt;供应商须知前附表&gt;另有规定外，</w:t>
      </w:r>
      <w:r>
        <w:rPr>
          <w:rFonts w:hint="eastAsia" w:ascii="宋体" w:hAnsi="宋体" w:cs="仿宋_GB2312"/>
          <w:kern w:val="0"/>
          <w:szCs w:val="21"/>
        </w:rPr>
        <w:t>首次</w:t>
      </w:r>
      <w:r>
        <w:rPr>
          <w:rFonts w:hint="eastAsia" w:ascii="宋体" w:hAnsi="宋体"/>
          <w:szCs w:val="21"/>
        </w:rPr>
        <w:t>磋商截止时间后供应商所递交的磋商响应文件不予退还。</w:t>
      </w:r>
    </w:p>
    <w:p w14:paraId="3A6AB0BA">
      <w:pPr>
        <w:snapToGrid w:val="0"/>
        <w:spacing w:line="360" w:lineRule="auto"/>
        <w:ind w:firstLine="420" w:firstLineChars="200"/>
        <w:contextualSpacing/>
        <w:rPr>
          <w:rFonts w:ascii="宋体" w:hAnsi="宋体"/>
          <w:szCs w:val="21"/>
        </w:rPr>
      </w:pPr>
      <w:r>
        <w:rPr>
          <w:rFonts w:hint="eastAsia" w:ascii="宋体" w:hAnsi="宋体"/>
          <w:szCs w:val="21"/>
        </w:rPr>
        <w:t>4.2.5  逾期送达的或者未送达指定地点的磋商响应文件，采购人或磋商小组不予受理。</w:t>
      </w:r>
    </w:p>
    <w:p w14:paraId="5F1FE844">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01" w:name="_Toc428351654"/>
      <w:bookmarkStart w:id="302" w:name="_Toc454788034"/>
      <w:bookmarkStart w:id="303" w:name="_Toc277149389"/>
      <w:bookmarkStart w:id="304" w:name="_Toc12688"/>
      <w:bookmarkStart w:id="305" w:name="_Toc27108"/>
      <w:bookmarkStart w:id="306" w:name="_Toc462934300"/>
      <w:bookmarkStart w:id="307" w:name="_Toc455678126"/>
      <w:bookmarkStart w:id="308" w:name="_Toc6081"/>
      <w:bookmarkStart w:id="309" w:name="_Toc270604600"/>
      <w:bookmarkStart w:id="310" w:name="_Toc463011279"/>
      <w:bookmarkStart w:id="311" w:name="_Toc270604827"/>
      <w:bookmarkStart w:id="312" w:name="_Toc428276594"/>
      <w:bookmarkStart w:id="313" w:name="_Toc26556"/>
      <w:bookmarkStart w:id="314" w:name="_Toc269470322"/>
      <w:r>
        <w:rPr>
          <w:rFonts w:hint="eastAsia" w:hAnsi="宋体" w:cs="黑体"/>
          <w:b/>
          <w:color w:val="auto"/>
          <w:sz w:val="21"/>
          <w:szCs w:val="21"/>
        </w:rPr>
        <w:t>磋商响应文件的修改与撤回</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03B7383">
      <w:pPr>
        <w:snapToGrid w:val="0"/>
        <w:spacing w:line="360" w:lineRule="auto"/>
        <w:ind w:firstLine="420" w:firstLineChars="200"/>
        <w:contextualSpacing/>
        <w:rPr>
          <w:rFonts w:ascii="宋体" w:hAnsi="宋体"/>
          <w:szCs w:val="21"/>
        </w:rPr>
      </w:pPr>
      <w:r>
        <w:rPr>
          <w:rFonts w:hint="eastAsia" w:ascii="宋体" w:hAnsi="宋体"/>
          <w:szCs w:val="21"/>
        </w:rPr>
        <w:t>4.3.1  在本章第</w:t>
      </w:r>
      <w:r>
        <w:rPr>
          <w:rFonts w:ascii="宋体" w:hAnsi="宋体"/>
          <w:szCs w:val="21"/>
        </w:rPr>
        <w:t>4.2.1</w:t>
      </w:r>
      <w:r>
        <w:rPr>
          <w:rFonts w:hint="eastAsia" w:ascii="宋体" w:hAnsi="宋体"/>
          <w:szCs w:val="21"/>
        </w:rPr>
        <w:t>项规定的</w:t>
      </w:r>
      <w:r>
        <w:rPr>
          <w:rFonts w:hint="eastAsia" w:ascii="宋体" w:hAnsi="宋体" w:cs="仿宋_GB2312"/>
          <w:kern w:val="0"/>
          <w:szCs w:val="21"/>
        </w:rPr>
        <w:t>首次</w:t>
      </w:r>
      <w:r>
        <w:rPr>
          <w:rFonts w:hint="eastAsia" w:ascii="宋体" w:hAnsi="宋体"/>
          <w:szCs w:val="21"/>
        </w:rPr>
        <w:t>递交磋商截止时间前，供应商可以修改或撤回已递交的磋商响应文件。</w:t>
      </w:r>
    </w:p>
    <w:p w14:paraId="4C294C65">
      <w:pPr>
        <w:snapToGrid w:val="0"/>
        <w:spacing w:line="360" w:lineRule="auto"/>
        <w:ind w:firstLine="420" w:firstLineChars="200"/>
        <w:contextualSpacing/>
        <w:rPr>
          <w:rFonts w:ascii="宋体" w:hAnsi="宋体"/>
          <w:szCs w:val="21"/>
        </w:rPr>
      </w:pPr>
      <w:r>
        <w:rPr>
          <w:rFonts w:hint="eastAsia" w:ascii="宋体" w:hAnsi="宋体"/>
          <w:szCs w:val="21"/>
        </w:rPr>
        <w:t>4.3.</w:t>
      </w:r>
      <w:r>
        <w:rPr>
          <w:rFonts w:hint="eastAsia" w:ascii="宋体" w:hAnsi="宋体"/>
          <w:szCs w:val="21"/>
          <w:lang w:val="en-US" w:eastAsia="zh-CN"/>
        </w:rPr>
        <w:t>2</w:t>
      </w:r>
      <w:r>
        <w:rPr>
          <w:rFonts w:hint="eastAsia" w:ascii="宋体" w:hAnsi="宋体"/>
          <w:szCs w:val="21"/>
        </w:rPr>
        <w:t xml:space="preserve">  修改的内容为磋商响应文件的组成部分。修改的磋商响应文件应按照本章规定进行编制、标记和递交，并标明“修改”字样。</w:t>
      </w:r>
    </w:p>
    <w:p w14:paraId="583D19A2">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315" w:name="_Toc270604601"/>
      <w:bookmarkStart w:id="316" w:name="_Toc5513"/>
      <w:bookmarkStart w:id="317" w:name="_Toc26713"/>
      <w:bookmarkStart w:id="318" w:name="_Toc10784"/>
      <w:r>
        <w:rPr>
          <w:rFonts w:hint="eastAsia" w:hAnsi="宋体" w:cs="黑体"/>
          <w:b/>
          <w:color w:val="auto"/>
        </w:rPr>
        <w:t>竞争性</w:t>
      </w:r>
      <w:bookmarkEnd w:id="315"/>
      <w:r>
        <w:rPr>
          <w:rFonts w:hint="eastAsia" w:hAnsi="宋体" w:cs="黑体"/>
          <w:b/>
          <w:color w:val="auto"/>
        </w:rPr>
        <w:t>磋商</w:t>
      </w:r>
      <w:bookmarkEnd w:id="316"/>
      <w:bookmarkEnd w:id="317"/>
      <w:bookmarkEnd w:id="318"/>
    </w:p>
    <w:p w14:paraId="3134AE6C">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19" w:name="_Toc428351656"/>
      <w:bookmarkStart w:id="320" w:name="_Toc428276596"/>
      <w:bookmarkStart w:id="321" w:name="_Toc17132"/>
      <w:bookmarkStart w:id="322" w:name="_Toc270604829"/>
      <w:bookmarkStart w:id="323" w:name="_Toc455678128"/>
      <w:bookmarkStart w:id="324" w:name="_Toc29475"/>
      <w:bookmarkStart w:id="325" w:name="_Toc277149391"/>
      <w:bookmarkStart w:id="326" w:name="_Toc463011281"/>
      <w:bookmarkStart w:id="327" w:name="_Toc270604602"/>
      <w:bookmarkStart w:id="328" w:name="_Toc10079"/>
      <w:bookmarkStart w:id="329" w:name="_Toc454788036"/>
      <w:bookmarkStart w:id="330" w:name="_Toc26225"/>
      <w:bookmarkStart w:id="331" w:name="_Toc269470324"/>
      <w:bookmarkStart w:id="332" w:name="_Toc462934302"/>
      <w:r>
        <w:rPr>
          <w:rFonts w:hint="eastAsia" w:hAnsi="宋体" w:cs="黑体"/>
          <w:b/>
          <w:color w:val="auto"/>
          <w:sz w:val="21"/>
          <w:szCs w:val="21"/>
        </w:rPr>
        <w:t>磋商时间和地点</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B2588EB">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采购人在本章第</w:t>
      </w:r>
      <w:r>
        <w:rPr>
          <w:rFonts w:ascii="宋体" w:hAnsi="宋体" w:cs="TimesNewRomanPSMT"/>
          <w:kern w:val="0"/>
          <w:szCs w:val="21"/>
        </w:rPr>
        <w:t>4.2.1</w:t>
      </w:r>
      <w:r>
        <w:rPr>
          <w:rFonts w:hint="eastAsia" w:ascii="宋体" w:hAnsi="宋体" w:cs="仿宋_GB2312"/>
          <w:kern w:val="0"/>
          <w:szCs w:val="21"/>
        </w:rPr>
        <w:t>项规定的磋商响应文件首次递交截止时间（磋商时间）和&lt;供应商须知前附表&gt;规定的地点进行竞争性磋商，并邀请所有供应商的法定代表人或其委托代理人准时参加。</w:t>
      </w:r>
    </w:p>
    <w:p w14:paraId="636F5B97">
      <w:pPr>
        <w:pStyle w:val="63"/>
        <w:numPr>
          <w:ilvl w:val="1"/>
          <w:numId w:val="2"/>
        </w:numPr>
        <w:tabs>
          <w:tab w:val="left" w:pos="540"/>
          <w:tab w:val="clear" w:pos="992"/>
        </w:tabs>
        <w:snapToGrid w:val="0"/>
        <w:spacing w:line="360" w:lineRule="auto"/>
        <w:ind w:left="540" w:hanging="540"/>
        <w:contextualSpacing/>
        <w:jc w:val="both"/>
        <w:outlineLvl w:val="2"/>
        <w:rPr>
          <w:rFonts w:hAnsi="宋体" w:cs="黑体"/>
          <w:b/>
          <w:color w:val="auto"/>
          <w:sz w:val="21"/>
          <w:szCs w:val="21"/>
        </w:rPr>
      </w:pPr>
      <w:bookmarkStart w:id="333" w:name="_Toc277149392"/>
      <w:bookmarkStart w:id="334" w:name="_Toc12033"/>
      <w:bookmarkStart w:id="335" w:name="_Toc462934303"/>
      <w:bookmarkStart w:id="336" w:name="_Toc269470325"/>
      <w:bookmarkStart w:id="337" w:name="_Toc270604603"/>
      <w:bookmarkStart w:id="338" w:name="_Toc270604830"/>
      <w:bookmarkStart w:id="339" w:name="_Toc4187"/>
      <w:bookmarkStart w:id="340" w:name="_Toc454788037"/>
      <w:bookmarkStart w:id="341" w:name="_Toc6564"/>
      <w:bookmarkStart w:id="342" w:name="_Toc455678129"/>
      <w:bookmarkStart w:id="343" w:name="_Toc428351657"/>
      <w:bookmarkStart w:id="344" w:name="_Toc463011282"/>
      <w:bookmarkStart w:id="345" w:name="_Toc428276597"/>
      <w:bookmarkStart w:id="346" w:name="_Toc21367"/>
      <w:r>
        <w:rPr>
          <w:rFonts w:hint="eastAsia" w:hAnsi="宋体" w:cs="黑体"/>
          <w:b/>
          <w:color w:val="auto"/>
          <w:sz w:val="21"/>
          <w:szCs w:val="21"/>
        </w:rPr>
        <w:t>磋商程序</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A52CA58">
      <w:pPr>
        <w:snapToGrid w:val="0"/>
        <w:spacing w:line="360" w:lineRule="auto"/>
        <w:ind w:firstLine="420" w:firstLineChars="200"/>
        <w:contextualSpacing/>
        <w:rPr>
          <w:rFonts w:hint="eastAsia" w:ascii="宋体" w:hAnsi="宋体"/>
          <w:szCs w:val="21"/>
        </w:rPr>
      </w:pPr>
      <w:bookmarkStart w:id="347" w:name="_Toc269470330"/>
      <w:r>
        <w:rPr>
          <w:rFonts w:hint="eastAsia" w:ascii="宋体" w:hAnsi="宋体"/>
          <w:szCs w:val="21"/>
        </w:rPr>
        <w:t>5.2.1  递交首次响应文件截止，宣布磋商会议开始；</w:t>
      </w:r>
    </w:p>
    <w:p w14:paraId="350E78C3">
      <w:pPr>
        <w:snapToGrid w:val="0"/>
        <w:spacing w:line="360" w:lineRule="auto"/>
        <w:ind w:firstLine="420" w:firstLineChars="200"/>
        <w:contextualSpacing/>
        <w:rPr>
          <w:rFonts w:hint="eastAsia" w:ascii="宋体" w:hAnsi="宋体"/>
          <w:szCs w:val="21"/>
        </w:rPr>
      </w:pPr>
      <w:r>
        <w:rPr>
          <w:rFonts w:hint="eastAsia" w:ascii="宋体" w:hAnsi="宋体"/>
          <w:szCs w:val="21"/>
        </w:rPr>
        <w:t>5.2.2  宣布磋商会议纪律；</w:t>
      </w:r>
    </w:p>
    <w:p w14:paraId="3E36F8DF">
      <w:pPr>
        <w:snapToGrid w:val="0"/>
        <w:spacing w:line="360" w:lineRule="auto"/>
        <w:ind w:firstLine="420" w:firstLineChars="200"/>
        <w:contextualSpacing/>
        <w:rPr>
          <w:rFonts w:hint="eastAsia" w:ascii="宋体" w:hAnsi="宋体"/>
          <w:szCs w:val="21"/>
        </w:rPr>
      </w:pPr>
      <w:r>
        <w:rPr>
          <w:rFonts w:hint="eastAsia" w:ascii="宋体" w:hAnsi="宋体"/>
          <w:szCs w:val="21"/>
        </w:rPr>
        <w:t>5.2.</w:t>
      </w:r>
      <w:r>
        <w:rPr>
          <w:rFonts w:hint="eastAsia" w:ascii="宋体" w:hAnsi="宋体"/>
          <w:szCs w:val="21"/>
          <w:lang w:val="en-US" w:eastAsia="zh-CN"/>
        </w:rPr>
        <w:t>3</w:t>
      </w:r>
      <w:r>
        <w:rPr>
          <w:rFonts w:hint="eastAsia" w:ascii="宋体" w:hAnsi="宋体"/>
          <w:szCs w:val="21"/>
        </w:rPr>
        <w:t xml:space="preserve">  磋商（采购人将对磋商过程进行记录，以存档备查）。</w:t>
      </w:r>
    </w:p>
    <w:p w14:paraId="5B1FA711">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48" w:name="_Toc8282"/>
      <w:bookmarkStart w:id="349" w:name="_Toc455678130"/>
      <w:bookmarkStart w:id="350" w:name="_Toc2705"/>
      <w:bookmarkStart w:id="351" w:name="_Toc463011283"/>
      <w:bookmarkStart w:id="352" w:name="_Toc17098"/>
      <w:bookmarkStart w:id="353" w:name="_Toc462934304"/>
      <w:bookmarkStart w:id="354" w:name="_Toc16456"/>
      <w:r>
        <w:rPr>
          <w:rFonts w:hint="eastAsia" w:hAnsi="宋体" w:cs="黑体"/>
          <w:b/>
          <w:color w:val="auto"/>
          <w:sz w:val="21"/>
          <w:szCs w:val="21"/>
        </w:rPr>
        <w:t>磋商及评审成交标准</w:t>
      </w:r>
      <w:bookmarkEnd w:id="348"/>
      <w:bookmarkEnd w:id="349"/>
      <w:bookmarkEnd w:id="350"/>
      <w:bookmarkEnd w:id="351"/>
      <w:bookmarkEnd w:id="352"/>
      <w:bookmarkEnd w:id="353"/>
      <w:bookmarkEnd w:id="354"/>
    </w:p>
    <w:p w14:paraId="42E69CA1">
      <w:pPr>
        <w:snapToGrid w:val="0"/>
        <w:spacing w:line="360" w:lineRule="auto"/>
        <w:ind w:firstLine="420" w:firstLineChars="200"/>
        <w:contextualSpacing/>
        <w:rPr>
          <w:rFonts w:hint="eastAsia" w:ascii="宋体" w:hAnsi="宋体"/>
          <w:szCs w:val="21"/>
        </w:rPr>
      </w:pPr>
      <w:r>
        <w:rPr>
          <w:rFonts w:hint="eastAsia" w:ascii="宋体" w:hAnsi="宋体"/>
          <w:szCs w:val="21"/>
        </w:rPr>
        <w:t>5.3.1  磋商组织：磋商工作由磋商小组独立进行，磋商小组按照国家相关规定组建，由评审专家共3人以上单数组成，其中评审专家人数不得少于磋商小组成员总数的2/3。</w:t>
      </w:r>
    </w:p>
    <w:p w14:paraId="5BBBF4CD">
      <w:pPr>
        <w:snapToGrid w:val="0"/>
        <w:spacing w:line="360" w:lineRule="auto"/>
        <w:ind w:firstLine="420" w:firstLineChars="200"/>
        <w:contextualSpacing/>
        <w:rPr>
          <w:rFonts w:hint="eastAsia" w:ascii="宋体" w:hAnsi="宋体"/>
          <w:szCs w:val="21"/>
        </w:rPr>
      </w:pPr>
      <w:r>
        <w:rPr>
          <w:rFonts w:hint="eastAsia" w:ascii="宋体" w:hAnsi="宋体"/>
          <w:szCs w:val="21"/>
        </w:rPr>
        <w:t>5.3.2  磋商小组制定磋商文件或确认磋商文件符合政府采购政策规定，没有歧视性、排他性条款和其他违反法律法规的情况。</w:t>
      </w:r>
    </w:p>
    <w:p w14:paraId="273DDF75">
      <w:pPr>
        <w:snapToGrid w:val="0"/>
        <w:spacing w:line="360" w:lineRule="auto"/>
        <w:ind w:firstLine="420" w:firstLineChars="200"/>
        <w:contextualSpacing/>
        <w:outlineLvl w:val="3"/>
        <w:rPr>
          <w:rFonts w:hint="eastAsia" w:ascii="宋体" w:hAnsi="宋体"/>
          <w:szCs w:val="21"/>
        </w:rPr>
      </w:pPr>
      <w:r>
        <w:rPr>
          <w:rFonts w:hint="eastAsia" w:ascii="宋体" w:hAnsi="宋体"/>
          <w:szCs w:val="21"/>
        </w:rPr>
        <w:t>5.3.3  确定供应商名单。</w:t>
      </w:r>
    </w:p>
    <w:p w14:paraId="79D1C6CC">
      <w:pPr>
        <w:snapToGrid w:val="0"/>
        <w:spacing w:line="360" w:lineRule="auto"/>
        <w:ind w:firstLine="420" w:firstLineChars="200"/>
        <w:contextualSpacing/>
        <w:rPr>
          <w:rFonts w:hint="eastAsia" w:ascii="宋体" w:hAnsi="宋体"/>
          <w:szCs w:val="21"/>
        </w:rPr>
      </w:pPr>
      <w:r>
        <w:rPr>
          <w:rFonts w:hint="eastAsia" w:ascii="宋体" w:hAnsi="宋体"/>
          <w:szCs w:val="21"/>
        </w:rPr>
        <w:t>5.3.4  审查供应商的响应文件并作出评价。磋商小组按先初审、后磋商的程序对响应文件进行评审。</w:t>
      </w:r>
    </w:p>
    <w:p w14:paraId="266AA7C5">
      <w:pPr>
        <w:snapToGrid w:val="0"/>
        <w:spacing w:line="360" w:lineRule="auto"/>
        <w:ind w:firstLine="420" w:firstLineChars="200"/>
        <w:contextualSpacing/>
        <w:outlineLvl w:val="3"/>
        <w:rPr>
          <w:rFonts w:hint="eastAsia" w:ascii="宋体" w:hAnsi="宋体" w:eastAsia="宋体"/>
          <w:b w:val="0"/>
          <w:bCs w:val="0"/>
          <w:szCs w:val="21"/>
          <w:lang w:eastAsia="zh-CN"/>
        </w:rPr>
      </w:pPr>
      <w:r>
        <w:rPr>
          <w:rFonts w:hint="eastAsia" w:ascii="宋体" w:hAnsi="宋体"/>
          <w:b w:val="0"/>
          <w:bCs w:val="0"/>
          <w:szCs w:val="21"/>
        </w:rPr>
        <w:t>5.3.5</w:t>
      </w:r>
      <w:r>
        <w:rPr>
          <w:rFonts w:hint="eastAsia" w:ascii="宋体" w:hAnsi="宋体"/>
          <w:b w:val="0"/>
          <w:bCs w:val="0"/>
          <w:szCs w:val="21"/>
          <w:lang w:val="en-US" w:eastAsia="zh-CN"/>
        </w:rPr>
        <w:t xml:space="preserve"> </w:t>
      </w:r>
      <w:r>
        <w:rPr>
          <w:rFonts w:hint="eastAsia" w:ascii="宋体" w:hAnsi="宋体"/>
          <w:b w:val="0"/>
          <w:bCs w:val="0"/>
          <w:szCs w:val="21"/>
        </w:rPr>
        <w:t>磋商小组对响应性文件进行资格审查</w:t>
      </w:r>
      <w:r>
        <w:rPr>
          <w:rFonts w:hint="eastAsia" w:ascii="宋体" w:hAnsi="宋体"/>
          <w:b w:val="0"/>
          <w:bCs w:val="0"/>
          <w:szCs w:val="21"/>
          <w:lang w:eastAsia="zh-CN"/>
        </w:rPr>
        <w:t>：</w:t>
      </w:r>
    </w:p>
    <w:p w14:paraId="7EDC928A">
      <w:pPr>
        <w:snapToGrid w:val="0"/>
        <w:spacing w:line="360" w:lineRule="auto"/>
        <w:ind w:firstLine="420" w:firstLineChars="200"/>
        <w:contextualSpacing/>
        <w:rPr>
          <w:rFonts w:hint="eastAsia" w:ascii="宋体" w:hAnsi="宋体"/>
          <w:b w:val="0"/>
          <w:bCs w:val="0"/>
          <w:szCs w:val="21"/>
        </w:rPr>
      </w:pPr>
      <w:r>
        <w:rPr>
          <w:rFonts w:hint="eastAsia" w:ascii="宋体" w:hAnsi="宋体"/>
          <w:b w:val="0"/>
          <w:bCs w:val="0"/>
          <w:szCs w:val="21"/>
          <w:lang w:val="en-US" w:eastAsia="zh-CN"/>
        </w:rPr>
        <w:t>资格评审、形式评审、响应评审通过的响应人才能进入程序</w:t>
      </w:r>
      <w:r>
        <w:rPr>
          <w:rFonts w:hint="eastAsia" w:ascii="宋体" w:hAnsi="宋体"/>
          <w:b w:val="0"/>
          <w:bCs w:val="0"/>
          <w:szCs w:val="21"/>
        </w:rPr>
        <w:t>；</w:t>
      </w:r>
    </w:p>
    <w:p w14:paraId="02D4AB8C">
      <w:pPr>
        <w:snapToGrid w:val="0"/>
        <w:spacing w:line="360" w:lineRule="auto"/>
        <w:ind w:firstLine="420" w:firstLineChars="200"/>
        <w:contextualSpacing/>
        <w:rPr>
          <w:rFonts w:hint="eastAsia" w:ascii="宋体" w:hAnsi="宋体"/>
          <w:b/>
          <w:bCs/>
          <w:szCs w:val="21"/>
        </w:rPr>
      </w:pPr>
      <w:r>
        <w:rPr>
          <w:rFonts w:hint="eastAsia" w:ascii="宋体" w:hAnsi="宋体"/>
          <w:b/>
          <w:bCs/>
          <w:szCs w:val="21"/>
        </w:rPr>
        <w:t>5.3.6  在初审阶段，属于下列情况的响应文件将不得进入磋商阶段：作废标处理；</w:t>
      </w:r>
    </w:p>
    <w:p w14:paraId="03707501">
      <w:pPr>
        <w:pStyle w:val="13"/>
        <w:snapToGrid w:val="0"/>
        <w:spacing w:line="360" w:lineRule="auto"/>
        <w:ind w:firstLine="367" w:firstLineChars="175"/>
        <w:contextualSpacing/>
        <w:rPr>
          <w:rFonts w:hint="eastAsia" w:ascii="宋体" w:hAnsi="宋体"/>
          <w:b/>
          <w:bCs/>
          <w:szCs w:val="21"/>
        </w:rPr>
      </w:pPr>
      <w:r>
        <w:rPr>
          <w:rFonts w:hint="eastAsia" w:ascii="宋体" w:hAnsi="宋体"/>
          <w:b/>
          <w:bCs/>
          <w:szCs w:val="21"/>
        </w:rPr>
        <w:t>（1）磋商响应文件未按要求经法定代表人或其授权代表签字或盖章的；</w:t>
      </w:r>
    </w:p>
    <w:p w14:paraId="3F5C6F01">
      <w:pPr>
        <w:pStyle w:val="13"/>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）磋商响应文件中有采购人不能接受的其它条件；</w:t>
      </w:r>
    </w:p>
    <w:p w14:paraId="344FE979">
      <w:pPr>
        <w:pStyle w:val="13"/>
        <w:snapToGrid w:val="0"/>
        <w:spacing w:line="360" w:lineRule="auto"/>
        <w:ind w:firstLine="367" w:firstLineChars="175"/>
        <w:contextualSpacing/>
        <w:rPr>
          <w:rFonts w:hint="eastAsia" w:ascii="宋体" w:hAnsi="宋体" w:eastAsia="宋体"/>
          <w:b/>
          <w:bCs/>
          <w:szCs w:val="21"/>
          <w:lang w:eastAsia="zh-CN"/>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）磋商资格不合格的供应商</w:t>
      </w:r>
      <w:r>
        <w:rPr>
          <w:rFonts w:hint="eastAsia" w:ascii="宋体" w:hAnsi="宋体"/>
          <w:b/>
          <w:bCs/>
          <w:szCs w:val="21"/>
          <w:lang w:eastAsia="zh-CN"/>
        </w:rPr>
        <w:t>；</w:t>
      </w:r>
    </w:p>
    <w:p w14:paraId="086C7394">
      <w:pPr>
        <w:pStyle w:val="13"/>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4</w:t>
      </w:r>
      <w:r>
        <w:rPr>
          <w:rFonts w:hint="eastAsia" w:ascii="宋体" w:hAnsi="宋体"/>
          <w:b/>
          <w:bCs/>
          <w:szCs w:val="21"/>
        </w:rPr>
        <w:t>）磋商响应文件未按照磋商文件规定要求签</w:t>
      </w:r>
      <w:r>
        <w:rPr>
          <w:rFonts w:hint="eastAsia" w:ascii="宋体" w:hAnsi="宋体"/>
          <w:b/>
          <w:bCs/>
          <w:szCs w:val="21"/>
          <w:lang w:val="en-US" w:eastAsia="zh-CN"/>
        </w:rPr>
        <w:t>字</w:t>
      </w:r>
      <w:r>
        <w:rPr>
          <w:rFonts w:hint="eastAsia" w:ascii="宋体" w:hAnsi="宋体"/>
          <w:b/>
          <w:bCs/>
          <w:szCs w:val="21"/>
        </w:rPr>
        <w:t>、盖章的；</w:t>
      </w:r>
    </w:p>
    <w:p w14:paraId="3B891B80">
      <w:pPr>
        <w:pStyle w:val="13"/>
        <w:snapToGrid w:val="0"/>
        <w:spacing w:line="360" w:lineRule="auto"/>
        <w:ind w:firstLine="367" w:firstLineChars="175"/>
        <w:contextualSpacing/>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5</w:t>
      </w:r>
      <w:r>
        <w:rPr>
          <w:rFonts w:hint="eastAsia" w:ascii="宋体" w:hAnsi="宋体"/>
          <w:b/>
          <w:bCs/>
          <w:szCs w:val="21"/>
        </w:rPr>
        <w:t>）磋商响应文件未按规定的格式填写、内容不全或字迹模糊辨认不清；</w:t>
      </w:r>
    </w:p>
    <w:p w14:paraId="04B2B5D6">
      <w:pPr>
        <w:pStyle w:val="13"/>
        <w:snapToGrid w:val="0"/>
        <w:spacing w:line="360" w:lineRule="auto"/>
        <w:contextualSpacing/>
        <w:rPr>
          <w:rFonts w:hint="eastAsia" w:ascii="宋体" w:hAnsi="宋体"/>
          <w:szCs w:val="21"/>
        </w:rPr>
      </w:pPr>
      <w:r>
        <w:rPr>
          <w:rFonts w:hint="eastAsia" w:ascii="宋体" w:hAnsi="宋体"/>
          <w:szCs w:val="21"/>
        </w:rPr>
        <w:t>5.3.</w:t>
      </w:r>
      <w:r>
        <w:rPr>
          <w:rFonts w:hint="eastAsia" w:ascii="宋体" w:hAnsi="宋体"/>
          <w:szCs w:val="21"/>
          <w:lang w:val="en-US" w:eastAsia="zh-CN"/>
        </w:rPr>
        <w:t>7</w:t>
      </w:r>
      <w:r>
        <w:rPr>
          <w:rFonts w:hint="eastAsia" w:ascii="宋体" w:hAnsi="宋体"/>
          <w:szCs w:val="21"/>
        </w:rPr>
        <w:t xml:space="preserve">  在初审阶段,磋商小组还需对供应商的磋商报价进行审核，看其是否有计算或打印上的错误。修正错误的原则如下:</w:t>
      </w:r>
    </w:p>
    <w:p w14:paraId="60C5A847">
      <w:pPr>
        <w:snapToGrid w:val="0"/>
        <w:spacing w:line="360" w:lineRule="auto"/>
        <w:ind w:left="425"/>
        <w:contextualSpacing/>
        <w:rPr>
          <w:rFonts w:hint="eastAsia" w:ascii="宋体" w:hAnsi="宋体"/>
          <w:szCs w:val="21"/>
        </w:rPr>
      </w:pPr>
      <w:bookmarkStart w:id="355" w:name="_Toc109550798"/>
      <w:bookmarkStart w:id="356" w:name="_Toc90713357"/>
      <w:bookmarkStart w:id="357" w:name="_Toc90712538"/>
      <w:bookmarkStart w:id="358" w:name="_Toc109537522"/>
      <w:r>
        <w:rPr>
          <w:rFonts w:hint="eastAsia" w:ascii="宋体" w:hAnsi="宋体"/>
          <w:szCs w:val="21"/>
          <w:lang w:eastAsia="zh-CN"/>
        </w:rPr>
        <w:t>（</w:t>
      </w:r>
      <w:r>
        <w:rPr>
          <w:rFonts w:hint="eastAsia" w:ascii="宋体" w:hAnsi="宋体"/>
          <w:szCs w:val="21"/>
        </w:rPr>
        <w:t>1）响应文件中的大写金额与小写金额不一致的，以大写金额为准；</w:t>
      </w:r>
    </w:p>
    <w:p w14:paraId="0BE15319">
      <w:pPr>
        <w:snapToGrid w:val="0"/>
        <w:spacing w:line="360" w:lineRule="auto"/>
        <w:ind w:firstLine="420" w:firstLineChars="200"/>
        <w:contextualSpacing/>
        <w:outlineLvl w:val="3"/>
        <w:rPr>
          <w:rFonts w:hint="eastAsia" w:hAnsi="宋体" w:eastAsia="宋体" w:cs="黑体"/>
          <w:color w:val="auto"/>
          <w:sz w:val="21"/>
          <w:szCs w:val="21"/>
          <w:lang w:eastAsia="zh-CN"/>
        </w:rPr>
      </w:pPr>
      <w:r>
        <w:rPr>
          <w:rFonts w:hint="eastAsia" w:ascii="宋体" w:hAnsi="宋体"/>
          <w:kern w:val="2"/>
          <w:sz w:val="21"/>
          <w:szCs w:val="21"/>
          <w:lang w:val="en-US" w:eastAsia="zh-CN" w:bidi="ar-SA"/>
        </w:rPr>
        <w:t xml:space="preserve">5.3.8  </w:t>
      </w:r>
      <w:r>
        <w:rPr>
          <w:rFonts w:hint="eastAsia" w:hAnsi="宋体" w:cs="黑体"/>
          <w:color w:val="auto"/>
          <w:sz w:val="21"/>
          <w:szCs w:val="21"/>
        </w:rPr>
        <w:t>详细磋商</w:t>
      </w:r>
      <w:r>
        <w:rPr>
          <w:rFonts w:hint="eastAsia" w:hAnsi="宋体" w:cs="黑体"/>
          <w:color w:val="auto"/>
          <w:sz w:val="21"/>
          <w:szCs w:val="21"/>
          <w:lang w:val="en-US" w:eastAsia="zh-CN"/>
        </w:rPr>
        <w:t>:</w:t>
      </w:r>
    </w:p>
    <w:p w14:paraId="4AB8F001">
      <w:pPr>
        <w:pStyle w:val="13"/>
        <w:snapToGrid w:val="0"/>
        <w:spacing w:line="360" w:lineRule="auto"/>
        <w:contextualSpacing/>
        <w:rPr>
          <w:rFonts w:hint="eastAsia" w:ascii="宋体" w:hAnsi="宋体"/>
          <w:szCs w:val="21"/>
        </w:rPr>
      </w:pPr>
      <w:r>
        <w:rPr>
          <w:rFonts w:hint="eastAsia" w:ascii="宋体" w:hAnsi="宋体"/>
          <w:szCs w:val="21"/>
        </w:rPr>
        <w:t>（1）磋商小组集中与单一供应商分别进行磋商。磋商顺序为签到逆顺序，在磋商中，磋商双方可以就磋商项目所涉及的价格、技术、服务等进行实质性磋商，但磋商的任何一方不得透露与磋商有关的其他供应商的商业秘密、技术资料、价格和其他信息，不得变动磋商文件中的其他内容。</w:t>
      </w:r>
    </w:p>
    <w:p w14:paraId="0E8940E6">
      <w:pPr>
        <w:pStyle w:val="13"/>
        <w:snapToGrid w:val="0"/>
        <w:spacing w:line="360" w:lineRule="auto"/>
        <w:contextualSpacing/>
        <w:rPr>
          <w:rFonts w:hint="eastAsia" w:ascii="宋体" w:hAnsi="宋体"/>
          <w:szCs w:val="21"/>
        </w:rPr>
      </w:pPr>
      <w:r>
        <w:rPr>
          <w:rFonts w:hint="eastAsia" w:ascii="宋体" w:hAnsi="宋体"/>
          <w:szCs w:val="21"/>
        </w:rPr>
        <w:t>（2）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4CFFCE">
      <w:pPr>
        <w:pStyle w:val="13"/>
        <w:snapToGrid w:val="0"/>
        <w:spacing w:line="360" w:lineRule="auto"/>
        <w:contextualSpacing/>
        <w:rPr>
          <w:rFonts w:hint="eastAsia" w:ascii="宋体" w:hAnsi="宋体"/>
          <w:szCs w:val="21"/>
        </w:rPr>
      </w:pPr>
      <w:r>
        <w:rPr>
          <w:rFonts w:hint="eastAsia" w:ascii="宋体" w:hAnsi="宋体"/>
          <w:szCs w:val="21"/>
        </w:rPr>
        <w:t>（3）磋商小组要求供应商澄清、说明或者更正响应文件应当以</w:t>
      </w:r>
      <w:r>
        <w:rPr>
          <w:rFonts w:hint="eastAsia" w:ascii="宋体" w:hAnsi="宋体"/>
          <w:szCs w:val="21"/>
          <w:lang w:eastAsia="zh-CN"/>
        </w:rPr>
        <w:t>电子版</w:t>
      </w:r>
      <w:r>
        <w:rPr>
          <w:rFonts w:hint="eastAsia" w:ascii="宋体" w:hAnsi="宋体"/>
          <w:szCs w:val="21"/>
        </w:rPr>
        <w:t>形式作出。供应商的澄清、说明或者更正应当由法定代表人或其授权代表签字或者加盖公章。由授权代表签字的，应当附法定代表人授权书。</w:t>
      </w:r>
    </w:p>
    <w:p w14:paraId="20CCB9E2">
      <w:pPr>
        <w:pStyle w:val="13"/>
        <w:snapToGrid w:val="0"/>
        <w:spacing w:line="360" w:lineRule="auto"/>
        <w:contextualSpacing/>
        <w:rPr>
          <w:rFonts w:hint="eastAsia" w:ascii="宋体" w:hAnsi="宋体"/>
          <w:szCs w:val="21"/>
        </w:rPr>
      </w:pPr>
      <w:r>
        <w:rPr>
          <w:rFonts w:hint="eastAsia" w:ascii="宋体" w:hAnsi="宋体"/>
          <w:szCs w:val="21"/>
        </w:rPr>
        <w:t>（4）在磋商过程中，磋商小组可以根据磋商文件和磋商情况实质性变动采购需求中的技术、服务要求以及合同草案条款，但不得变动磋商文件中的其他内容。实质性变动的内容，须经采购人代表确认。</w:t>
      </w:r>
    </w:p>
    <w:p w14:paraId="15EB0B76">
      <w:pPr>
        <w:pStyle w:val="13"/>
        <w:snapToGrid w:val="0"/>
        <w:spacing w:line="360" w:lineRule="auto"/>
        <w:contextualSpacing/>
        <w:rPr>
          <w:rFonts w:hint="eastAsia" w:ascii="宋体" w:hAnsi="宋体"/>
          <w:szCs w:val="21"/>
        </w:rPr>
      </w:pPr>
      <w:r>
        <w:rPr>
          <w:rFonts w:hint="eastAsia" w:ascii="宋体" w:hAnsi="宋体"/>
          <w:szCs w:val="21"/>
        </w:rPr>
        <w:t>对磋商文件作出的实质性变动是磋商文件的有效组成部分，磋商小组应当以</w:t>
      </w:r>
      <w:r>
        <w:rPr>
          <w:rFonts w:hint="eastAsia" w:ascii="宋体" w:hAnsi="宋体"/>
          <w:szCs w:val="21"/>
          <w:lang w:eastAsia="zh-CN"/>
        </w:rPr>
        <w:t>电子版</w:t>
      </w:r>
      <w:r>
        <w:rPr>
          <w:rFonts w:hint="eastAsia" w:ascii="宋体" w:hAnsi="宋体"/>
          <w:szCs w:val="21"/>
        </w:rPr>
        <w:t>形式同时通知所有参加磋商的供应商。</w:t>
      </w:r>
    </w:p>
    <w:p w14:paraId="1A4C02BE">
      <w:pPr>
        <w:pStyle w:val="13"/>
        <w:snapToGrid w:val="0"/>
        <w:spacing w:line="360" w:lineRule="auto"/>
        <w:contextualSpacing/>
        <w:rPr>
          <w:rFonts w:hint="eastAsia" w:ascii="宋体" w:hAnsi="宋体"/>
          <w:szCs w:val="21"/>
        </w:rPr>
      </w:pP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254799E">
      <w:pPr>
        <w:pStyle w:val="13"/>
        <w:snapToGrid w:val="0"/>
        <w:spacing w:line="360" w:lineRule="auto"/>
        <w:contextualSpacing/>
        <w:rPr>
          <w:rFonts w:hint="eastAsia" w:ascii="宋体" w:hAnsi="宋体"/>
          <w:szCs w:val="21"/>
        </w:rPr>
      </w:pPr>
      <w:r>
        <w:rPr>
          <w:rFonts w:hint="eastAsia" w:ascii="宋体" w:hAnsi="宋体"/>
          <w:szCs w:val="21"/>
        </w:rPr>
        <w:t>（6）磋商文件能够详细列明采购标的的技术、服务要求的，磋商结束后，磋商小组应当要求所有实质性响应的供应商提交最后报价，提交最后报价的供应商可以为2家。</w:t>
      </w:r>
    </w:p>
    <w:p w14:paraId="57312128">
      <w:pPr>
        <w:pStyle w:val="13"/>
        <w:snapToGrid w:val="0"/>
        <w:spacing w:line="360" w:lineRule="auto"/>
        <w:contextualSpacing/>
        <w:rPr>
          <w:rFonts w:hint="eastAsia" w:ascii="宋体" w:hAnsi="宋体" w:eastAsia="宋体" w:cs="宋体"/>
          <w:sz w:val="21"/>
          <w:szCs w:val="21"/>
        </w:rPr>
      </w:pPr>
      <w:r>
        <w:rPr>
          <w:rFonts w:hint="eastAsia" w:ascii="宋体" w:hAnsi="宋体"/>
          <w:szCs w:val="21"/>
        </w:rPr>
        <w:t>（7）最后报价（二轮报价）【注：最后报价明显低于成本价的，供应商需做出合理说明，否则将承</w:t>
      </w:r>
      <w:r>
        <w:rPr>
          <w:rFonts w:hint="eastAsia" w:ascii="宋体" w:hAnsi="宋体" w:eastAsia="宋体" w:cs="宋体"/>
          <w:sz w:val="21"/>
          <w:szCs w:val="21"/>
        </w:rPr>
        <w:t>担不被接受的风险】。最后报价是供应商响应文件的有效组成部分。</w:t>
      </w:r>
    </w:p>
    <w:p w14:paraId="3CDA8125">
      <w:pPr>
        <w:pStyle w:val="13"/>
        <w:snapToGrid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情况特殊,经磋商小组根据磋商现场情况，可以要求供应商适当进行多轮报价。</w:t>
      </w:r>
    </w:p>
    <w:p w14:paraId="742505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6D22E63">
      <w:pPr>
        <w:snapToGrid w:val="0"/>
        <w:spacing w:line="360" w:lineRule="auto"/>
        <w:ind w:firstLine="411" w:firstLineChars="196"/>
        <w:contextualSpacing/>
        <w:rPr>
          <w:rFonts w:hint="eastAsia" w:ascii="宋体" w:hAnsi="宋体" w:eastAsia="宋体" w:cs="宋体"/>
          <w:b/>
          <w:color w:val="auto"/>
          <w:sz w:val="21"/>
          <w:szCs w:val="21"/>
        </w:rPr>
      </w:pPr>
      <w:r>
        <w:rPr>
          <w:rFonts w:hint="eastAsia" w:ascii="宋体" w:hAnsi="宋体" w:eastAsia="宋体" w:cs="宋体"/>
          <w:color w:val="auto"/>
          <w:sz w:val="21"/>
          <w:szCs w:val="21"/>
          <w:highlight w:val="none"/>
          <w:lang w:val="en-US" w:eastAsia="zh-CN"/>
        </w:rPr>
        <w:t>本项目属于专门面向中小企业采购的项目，不进行价格优惠扣除。</w:t>
      </w:r>
    </w:p>
    <w:p w14:paraId="2310D420">
      <w:pPr>
        <w:snapToGrid w:val="0"/>
        <w:spacing w:line="360" w:lineRule="auto"/>
        <w:ind w:firstLine="411" w:firstLineChars="196"/>
        <w:contextualSpacing/>
        <w:outlineLvl w:val="3"/>
        <w:rPr>
          <w:rFonts w:hint="eastAsia" w:ascii="宋体" w:hAnsi="宋体" w:eastAsia="宋体"/>
          <w:color w:val="auto"/>
          <w:szCs w:val="21"/>
          <w:lang w:eastAsia="zh-CN"/>
        </w:rPr>
      </w:pPr>
      <w:r>
        <w:rPr>
          <w:rFonts w:hint="eastAsia" w:ascii="宋体" w:hAnsi="宋体"/>
          <w:b/>
          <w:color w:val="auto"/>
          <w:szCs w:val="21"/>
        </w:rPr>
        <w:t>5.3.9  成交原则</w:t>
      </w:r>
      <w:r>
        <w:rPr>
          <w:rFonts w:hint="eastAsia" w:ascii="宋体" w:hAnsi="宋体"/>
          <w:color w:val="auto"/>
          <w:szCs w:val="21"/>
          <w:lang w:val="en-US" w:eastAsia="zh-CN"/>
        </w:rPr>
        <w:t xml:space="preserve"> </w:t>
      </w:r>
    </w:p>
    <w:p w14:paraId="3E782F42">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B2363A5">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综合评分法中的价格分统一采用低价优先法计算，即满足磋商文件要求且最后报价最低的供应商的价格为磋商基准价，其价格分为满分。其他供应商的价格分统一按照下列公式计算:</w:t>
      </w:r>
    </w:p>
    <w:p w14:paraId="5346C092">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磋商报价得分=(磋商基准价/最后磋商报价)×价格权值×100</w:t>
      </w:r>
    </w:p>
    <w:p w14:paraId="56007867">
      <w:pPr>
        <w:snapToGrid w:val="0"/>
        <w:spacing w:line="360" w:lineRule="auto"/>
        <w:ind w:firstLine="411" w:firstLineChars="196"/>
        <w:contextualSpacing/>
        <w:rPr>
          <w:rFonts w:hint="eastAsia" w:ascii="宋体" w:hAnsi="宋体"/>
          <w:bCs/>
          <w:color w:val="auto"/>
          <w:szCs w:val="21"/>
        </w:rPr>
      </w:pPr>
      <w:r>
        <w:rPr>
          <w:rFonts w:hint="eastAsia" w:ascii="宋体" w:hAnsi="宋体"/>
          <w:bCs/>
          <w:color w:val="auto"/>
          <w:szCs w:val="21"/>
        </w:rPr>
        <w:t>综合评分法附后。</w:t>
      </w:r>
    </w:p>
    <w:p w14:paraId="494383FD">
      <w:pPr>
        <w:snapToGrid w:val="0"/>
        <w:spacing w:line="360" w:lineRule="auto"/>
        <w:ind w:firstLine="411" w:firstLineChars="196"/>
        <w:contextualSpacing/>
        <w:outlineLvl w:val="3"/>
        <w:rPr>
          <w:rFonts w:hint="eastAsia" w:ascii="宋体" w:hAnsi="宋体"/>
          <w:b/>
          <w:szCs w:val="21"/>
        </w:rPr>
      </w:pPr>
      <w:r>
        <w:rPr>
          <w:rFonts w:hint="eastAsia" w:ascii="宋体" w:hAnsi="宋体"/>
          <w:b/>
          <w:szCs w:val="21"/>
        </w:rPr>
        <w:t>5.3.10  评审报告</w:t>
      </w:r>
    </w:p>
    <w:p w14:paraId="7DEA349E">
      <w:pPr>
        <w:snapToGrid w:val="0"/>
        <w:spacing w:line="360" w:lineRule="auto"/>
        <w:ind w:firstLine="420" w:firstLineChars="200"/>
        <w:contextualSpacing/>
        <w:rPr>
          <w:rFonts w:hint="eastAsia" w:ascii="宋体" w:hAnsi="宋体"/>
          <w:szCs w:val="21"/>
        </w:rPr>
      </w:pPr>
      <w:r>
        <w:rPr>
          <w:rFonts w:hint="eastAsia" w:ascii="宋体" w:hAnsi="宋体"/>
          <w:szCs w:val="21"/>
        </w:rPr>
        <w:t>磋商</w:t>
      </w:r>
      <w:r>
        <w:rPr>
          <w:rFonts w:ascii="宋体" w:hAnsi="宋体"/>
          <w:szCs w:val="21"/>
        </w:rPr>
        <w:t>小组组应当根据评审记录和评审结果编写评审报告，其主要内容包括：</w:t>
      </w:r>
    </w:p>
    <w:p w14:paraId="5522EEB5">
      <w:pPr>
        <w:snapToGrid w:val="0"/>
        <w:spacing w:line="360" w:lineRule="auto"/>
        <w:ind w:firstLine="420" w:firstLineChars="200"/>
        <w:contextualSpacing/>
        <w:rPr>
          <w:rFonts w:ascii="宋体" w:hAnsi="宋体"/>
          <w:szCs w:val="21"/>
        </w:rPr>
      </w:pPr>
      <w:r>
        <w:rPr>
          <w:rFonts w:ascii="宋体" w:hAnsi="宋体"/>
          <w:szCs w:val="21"/>
        </w:rPr>
        <w:t>(一)邀请供应商参加采购活动的具体方式和相关情况</w:t>
      </w:r>
      <w:r>
        <w:rPr>
          <w:rFonts w:hint="eastAsia" w:ascii="宋体" w:hAnsi="宋体"/>
          <w:szCs w:val="21"/>
        </w:rPr>
        <w:t>；</w:t>
      </w:r>
    </w:p>
    <w:p w14:paraId="75D6641F">
      <w:pPr>
        <w:snapToGrid w:val="0"/>
        <w:spacing w:line="360" w:lineRule="auto"/>
        <w:ind w:firstLine="420" w:firstLineChars="200"/>
        <w:contextualSpacing/>
        <w:rPr>
          <w:rFonts w:ascii="宋体" w:hAnsi="宋体"/>
          <w:szCs w:val="21"/>
        </w:rPr>
      </w:pPr>
      <w:r>
        <w:rPr>
          <w:rFonts w:ascii="宋体" w:hAnsi="宋体"/>
          <w:szCs w:val="21"/>
        </w:rPr>
        <w:t>(二)响应文件开启日期和地点</w:t>
      </w:r>
      <w:r>
        <w:rPr>
          <w:rFonts w:hint="eastAsia" w:ascii="宋体" w:hAnsi="宋体"/>
          <w:szCs w:val="21"/>
        </w:rPr>
        <w:t>；</w:t>
      </w:r>
    </w:p>
    <w:p w14:paraId="48AA07A9">
      <w:pPr>
        <w:snapToGrid w:val="0"/>
        <w:spacing w:line="360" w:lineRule="auto"/>
        <w:ind w:firstLine="420" w:firstLineChars="200"/>
        <w:contextualSpacing/>
        <w:rPr>
          <w:rFonts w:ascii="宋体" w:hAnsi="宋体"/>
          <w:szCs w:val="21"/>
        </w:rPr>
      </w:pPr>
      <w:r>
        <w:rPr>
          <w:rFonts w:ascii="宋体" w:hAnsi="宋体"/>
          <w:szCs w:val="21"/>
        </w:rPr>
        <w:t>(三)获取磋商文件的供应商名单和磋商小组成员名单</w:t>
      </w:r>
      <w:r>
        <w:rPr>
          <w:rFonts w:hint="eastAsia" w:ascii="宋体" w:hAnsi="宋体"/>
          <w:szCs w:val="21"/>
        </w:rPr>
        <w:t>；</w:t>
      </w:r>
    </w:p>
    <w:p w14:paraId="25D6E527">
      <w:pPr>
        <w:snapToGrid w:val="0"/>
        <w:spacing w:line="360" w:lineRule="auto"/>
        <w:ind w:firstLine="420" w:firstLineChars="200"/>
        <w:contextualSpacing/>
        <w:rPr>
          <w:rFonts w:ascii="宋体" w:hAnsi="宋体"/>
          <w:szCs w:val="21"/>
        </w:rPr>
      </w:pPr>
      <w:r>
        <w:rPr>
          <w:rFonts w:ascii="宋体" w:hAnsi="宋体"/>
          <w:szCs w:val="21"/>
        </w:rPr>
        <w:t>(四)评审情况记录和说明，包括对供应商的资格审查情况、供应商响应文件评审情况、磋商情况、报价情况等</w:t>
      </w:r>
      <w:r>
        <w:rPr>
          <w:rFonts w:hint="eastAsia" w:ascii="宋体" w:hAnsi="宋体"/>
          <w:szCs w:val="21"/>
        </w:rPr>
        <w:t>；</w:t>
      </w:r>
    </w:p>
    <w:p w14:paraId="6EE90507">
      <w:pPr>
        <w:snapToGrid w:val="0"/>
        <w:spacing w:line="360" w:lineRule="auto"/>
        <w:ind w:firstLine="420" w:firstLineChars="200"/>
        <w:contextualSpacing/>
        <w:outlineLvl w:val="4"/>
        <w:rPr>
          <w:rFonts w:ascii="宋体" w:hAnsi="宋体"/>
          <w:szCs w:val="21"/>
        </w:rPr>
      </w:pPr>
      <w:r>
        <w:rPr>
          <w:rFonts w:ascii="宋体" w:hAnsi="宋体"/>
          <w:szCs w:val="21"/>
        </w:rPr>
        <w:t>(五)提出的成交候选供应商的排序名单及理由。</w:t>
      </w:r>
    </w:p>
    <w:p w14:paraId="1755DF56">
      <w:pPr>
        <w:snapToGrid w:val="0"/>
        <w:spacing w:line="360" w:lineRule="auto"/>
        <w:ind w:firstLine="420" w:firstLineChars="200"/>
        <w:contextualSpacing/>
        <w:rPr>
          <w:rFonts w:hint="eastAsia" w:ascii="宋体" w:hAnsi="宋体"/>
          <w:szCs w:val="21"/>
        </w:rPr>
      </w:pPr>
      <w:r>
        <w:rPr>
          <w:rFonts w:ascii="宋体" w:hAnsi="宋体"/>
          <w:szCs w:val="21"/>
        </w:rPr>
        <w:t>评审报告应当由</w:t>
      </w:r>
      <w:r>
        <w:rPr>
          <w:rFonts w:hint="eastAsia" w:ascii="宋体" w:hAnsi="宋体"/>
          <w:szCs w:val="21"/>
        </w:rPr>
        <w:t>磋商</w:t>
      </w:r>
      <w:r>
        <w:rPr>
          <w:rFonts w:ascii="宋体" w:hAnsi="宋体"/>
          <w:szCs w:val="21"/>
        </w:rPr>
        <w:t>小组全体人员签字认可。</w:t>
      </w:r>
      <w:r>
        <w:rPr>
          <w:rFonts w:hint="eastAsia" w:ascii="宋体" w:hAnsi="宋体"/>
          <w:szCs w:val="21"/>
        </w:rPr>
        <w:t>磋商</w:t>
      </w:r>
      <w:r>
        <w:rPr>
          <w:rFonts w:ascii="宋体" w:hAnsi="宋体"/>
          <w:szCs w:val="21"/>
        </w:rPr>
        <w:t>小组成员对评审报告有异议的，</w:t>
      </w:r>
      <w:r>
        <w:rPr>
          <w:rFonts w:hint="eastAsia" w:ascii="宋体" w:hAnsi="宋体"/>
          <w:szCs w:val="21"/>
        </w:rPr>
        <w:t>磋商</w:t>
      </w:r>
      <w:r>
        <w:rPr>
          <w:rFonts w:ascii="宋体" w:hAnsi="宋体"/>
          <w:szCs w:val="21"/>
        </w:rPr>
        <w:t>小组按照少数服从多数的原则推荐成交候选人，采购程序继续进行。对评审报告有异议的</w:t>
      </w:r>
      <w:r>
        <w:rPr>
          <w:rFonts w:hint="eastAsia" w:ascii="宋体" w:hAnsi="宋体"/>
          <w:szCs w:val="21"/>
        </w:rPr>
        <w:t>磋商</w:t>
      </w:r>
      <w:r>
        <w:rPr>
          <w:rFonts w:ascii="宋体" w:hAnsi="宋体"/>
          <w:szCs w:val="21"/>
        </w:rPr>
        <w:t>小组成员，应当在报告上签署不同意见并说明理由，由</w:t>
      </w:r>
      <w:r>
        <w:rPr>
          <w:rFonts w:hint="eastAsia" w:ascii="宋体" w:hAnsi="宋体"/>
          <w:szCs w:val="21"/>
        </w:rPr>
        <w:t>磋商</w:t>
      </w:r>
      <w:r>
        <w:rPr>
          <w:rFonts w:ascii="宋体" w:hAnsi="宋体"/>
          <w:szCs w:val="21"/>
        </w:rPr>
        <w:t>小组</w:t>
      </w:r>
      <w:r>
        <w:rPr>
          <w:rFonts w:hint="eastAsia" w:ascii="宋体" w:hAnsi="宋体"/>
          <w:szCs w:val="21"/>
          <w:lang w:eastAsia="zh-CN"/>
        </w:rPr>
        <w:t>电子版</w:t>
      </w:r>
      <w:r>
        <w:rPr>
          <w:rFonts w:ascii="宋体" w:hAnsi="宋体"/>
          <w:szCs w:val="21"/>
        </w:rPr>
        <w:t>记录相关情况。</w:t>
      </w:r>
      <w:r>
        <w:rPr>
          <w:rFonts w:hint="eastAsia" w:ascii="宋体" w:hAnsi="宋体"/>
          <w:szCs w:val="21"/>
        </w:rPr>
        <w:t>磋商</w:t>
      </w:r>
      <w:r>
        <w:rPr>
          <w:rFonts w:ascii="宋体" w:hAnsi="宋体"/>
          <w:szCs w:val="21"/>
        </w:rPr>
        <w:t>小组成员拒绝在报告上签字又不书面说明其不同意见和理由的，视为同意评审报告。</w:t>
      </w:r>
    </w:p>
    <w:p w14:paraId="06B59FE4">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59" w:name="_Toc24983"/>
      <w:bookmarkStart w:id="360" w:name="_Toc21137"/>
      <w:bookmarkStart w:id="361" w:name="_Toc454788039"/>
      <w:bookmarkStart w:id="362" w:name="_Toc428351659"/>
      <w:bookmarkStart w:id="363" w:name="_Toc455678131"/>
      <w:bookmarkStart w:id="364" w:name="_Toc428276599"/>
      <w:bookmarkStart w:id="365" w:name="_Toc1210"/>
      <w:bookmarkStart w:id="366" w:name="_Toc462934305"/>
      <w:bookmarkStart w:id="367" w:name="_Toc26984"/>
      <w:bookmarkStart w:id="368" w:name="_Toc463011284"/>
      <w:bookmarkStart w:id="369" w:name="_Toc422126473"/>
      <w:r>
        <w:rPr>
          <w:rFonts w:hint="eastAsia" w:hAnsi="宋体" w:cs="黑体"/>
          <w:b/>
          <w:color w:val="auto"/>
          <w:sz w:val="21"/>
          <w:szCs w:val="21"/>
        </w:rPr>
        <w:t>磋商过程的保密性</w:t>
      </w:r>
      <w:bookmarkEnd w:id="359"/>
      <w:bookmarkEnd w:id="360"/>
      <w:bookmarkEnd w:id="361"/>
      <w:bookmarkEnd w:id="362"/>
      <w:bookmarkEnd w:id="363"/>
      <w:bookmarkEnd w:id="364"/>
      <w:bookmarkEnd w:id="365"/>
      <w:bookmarkEnd w:id="366"/>
      <w:bookmarkEnd w:id="367"/>
      <w:bookmarkEnd w:id="368"/>
      <w:bookmarkEnd w:id="369"/>
    </w:p>
    <w:p w14:paraId="273414E0">
      <w:pPr>
        <w:snapToGrid w:val="0"/>
        <w:spacing w:line="360" w:lineRule="auto"/>
        <w:ind w:firstLine="420" w:firstLineChars="200"/>
        <w:contextualSpacing/>
        <w:rPr>
          <w:rFonts w:hint="eastAsia" w:ascii="宋体" w:hAnsi="宋体"/>
          <w:szCs w:val="21"/>
        </w:rPr>
      </w:pPr>
      <w:r>
        <w:rPr>
          <w:rFonts w:hint="eastAsia" w:ascii="宋体" w:hAnsi="宋体"/>
          <w:szCs w:val="21"/>
        </w:rPr>
        <w:t>5.4.1  磋商期间，直到授予成交人合同止，凡是与磋商响应文件审查、澄清、评价、比较以及推荐成交人等方面的情况，均不得向供应商或其他无关的人员透露。</w:t>
      </w:r>
    </w:p>
    <w:p w14:paraId="432572D7">
      <w:pPr>
        <w:snapToGrid w:val="0"/>
        <w:spacing w:line="360" w:lineRule="auto"/>
        <w:ind w:firstLine="420" w:firstLineChars="200"/>
        <w:contextualSpacing/>
        <w:rPr>
          <w:rFonts w:hint="eastAsia" w:ascii="宋体" w:hAnsi="宋体"/>
          <w:szCs w:val="21"/>
        </w:rPr>
      </w:pPr>
      <w:r>
        <w:rPr>
          <w:rFonts w:hint="eastAsia" w:ascii="宋体" w:hAnsi="宋体"/>
          <w:szCs w:val="21"/>
        </w:rPr>
        <w:t>5.4.2  在磋商过程中，供应商如向磋商小组成员施加任何影响，都将会导致其磋商被拒绝，政府采购监管部门将记录其不良行为。</w:t>
      </w:r>
    </w:p>
    <w:p w14:paraId="17CE2A60">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sz w:val="21"/>
          <w:szCs w:val="21"/>
        </w:rPr>
      </w:pPr>
      <w:bookmarkStart w:id="370" w:name="_Toc5212"/>
      <w:bookmarkStart w:id="371" w:name="_Toc462934306"/>
      <w:bookmarkStart w:id="372" w:name="_Toc30434"/>
      <w:bookmarkStart w:id="373" w:name="_Toc463011285"/>
      <w:bookmarkStart w:id="374" w:name="_Toc455678132"/>
      <w:bookmarkStart w:id="375" w:name="_Toc21281"/>
      <w:bookmarkStart w:id="376" w:name="_Toc31788"/>
      <w:r>
        <w:rPr>
          <w:rFonts w:hint="eastAsia" w:ascii="Times New Roman" w:hAnsi="宋体" w:cs="黑体"/>
          <w:b/>
          <w:color w:val="auto"/>
          <w:kern w:val="2"/>
          <w:sz w:val="21"/>
          <w:szCs w:val="21"/>
        </w:rPr>
        <w:t>终止竞争性磋商采购活动</w:t>
      </w:r>
      <w:bookmarkEnd w:id="370"/>
      <w:bookmarkEnd w:id="371"/>
      <w:bookmarkEnd w:id="372"/>
      <w:bookmarkEnd w:id="373"/>
      <w:bookmarkEnd w:id="374"/>
      <w:bookmarkEnd w:id="375"/>
      <w:bookmarkEnd w:id="376"/>
    </w:p>
    <w:p w14:paraId="791CC71F">
      <w:pPr>
        <w:pStyle w:val="13"/>
        <w:snapToGrid w:val="0"/>
        <w:spacing w:line="360" w:lineRule="auto"/>
        <w:contextualSpacing/>
        <w:rPr>
          <w:rFonts w:hint="eastAsia" w:ascii="宋体" w:hAnsi="宋体" w:eastAsia="宋体" w:cs="黑体"/>
          <w:szCs w:val="21"/>
          <w:lang w:eastAsia="zh-CN"/>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6D7C01B7">
      <w:pPr>
        <w:pStyle w:val="13"/>
        <w:snapToGrid w:val="0"/>
        <w:spacing w:line="360" w:lineRule="auto"/>
        <w:contextualSpacing/>
        <w:rPr>
          <w:rFonts w:hint="eastAsia" w:ascii="宋体" w:hAnsi="宋体" w:eastAsia="宋体" w:cs="黑体"/>
          <w:szCs w:val="21"/>
          <w:lang w:eastAsia="zh-CN"/>
        </w:rPr>
      </w:pPr>
      <w:r>
        <w:rPr>
          <w:rFonts w:hint="eastAsia" w:ascii="宋体" w:hAnsi="宋体" w:cs="黑体"/>
          <w:szCs w:val="21"/>
        </w:rPr>
        <w:t>　　（1）因情况变化，不再符合规定的竞争性磋商采购方式适用情形的；</w:t>
      </w:r>
    </w:p>
    <w:p w14:paraId="5FF49F09">
      <w:pPr>
        <w:pStyle w:val="13"/>
        <w:snapToGrid w:val="0"/>
        <w:spacing w:line="360" w:lineRule="auto"/>
        <w:contextualSpacing/>
        <w:outlineLvl w:val="3"/>
        <w:rPr>
          <w:rFonts w:hint="eastAsia" w:ascii="宋体" w:hAnsi="宋体" w:cs="黑体"/>
          <w:szCs w:val="21"/>
        </w:rPr>
      </w:pPr>
      <w:r>
        <w:rPr>
          <w:rFonts w:hint="eastAsia" w:ascii="宋体" w:hAnsi="宋体" w:cs="黑体"/>
          <w:szCs w:val="21"/>
        </w:rPr>
        <w:t>　　（2）出现影响采购公正的违法、违规行为的；</w:t>
      </w:r>
    </w:p>
    <w:bookmarkEnd w:id="355"/>
    <w:bookmarkEnd w:id="356"/>
    <w:bookmarkEnd w:id="357"/>
    <w:bookmarkEnd w:id="358"/>
    <w:p w14:paraId="664A01AA">
      <w:pPr>
        <w:pStyle w:val="63"/>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377" w:name="_Toc13909"/>
      <w:bookmarkStart w:id="378" w:name="_Toc463011286"/>
      <w:bookmarkStart w:id="379" w:name="_Toc428276600"/>
      <w:bookmarkStart w:id="380" w:name="_Toc454788040"/>
      <w:bookmarkStart w:id="381" w:name="_Toc7308"/>
      <w:bookmarkStart w:id="382" w:name="_Toc455678133"/>
      <w:bookmarkStart w:id="383" w:name="_Toc428351660"/>
      <w:bookmarkStart w:id="384" w:name="_Toc28018"/>
      <w:bookmarkStart w:id="385" w:name="_Toc462934307"/>
      <w:bookmarkStart w:id="386" w:name="_Toc12985"/>
      <w:r>
        <w:rPr>
          <w:rFonts w:hint="eastAsia" w:ascii="Times New Roman" w:hAnsi="宋体" w:cs="黑体"/>
          <w:b/>
          <w:color w:val="auto"/>
          <w:kern w:val="2"/>
          <w:sz w:val="21"/>
          <w:szCs w:val="21"/>
        </w:rPr>
        <w:t>确定成交人</w:t>
      </w:r>
      <w:bookmarkEnd w:id="377"/>
      <w:bookmarkEnd w:id="378"/>
      <w:bookmarkEnd w:id="379"/>
      <w:bookmarkEnd w:id="380"/>
      <w:bookmarkEnd w:id="381"/>
      <w:bookmarkEnd w:id="382"/>
      <w:bookmarkEnd w:id="383"/>
      <w:bookmarkEnd w:id="384"/>
      <w:bookmarkEnd w:id="385"/>
      <w:bookmarkEnd w:id="386"/>
    </w:p>
    <w:p w14:paraId="280D2E5F">
      <w:pPr>
        <w:snapToGrid w:val="0"/>
        <w:spacing w:line="360" w:lineRule="auto"/>
        <w:ind w:firstLine="411" w:firstLineChars="196"/>
        <w:contextualSpacing/>
        <w:rPr>
          <w:rFonts w:hint="eastAsia" w:ascii="宋体" w:hAnsi="宋体"/>
          <w:szCs w:val="21"/>
        </w:rPr>
      </w:pPr>
      <w:r>
        <w:rPr>
          <w:rFonts w:hint="eastAsia" w:ascii="宋体" w:hAnsi="宋体"/>
          <w:szCs w:val="21"/>
        </w:rPr>
        <w:t>5.6.1  采购代理机构应当在磋商结束后2个工作日内将评审报告送采购人。采购人应当在收到评审报告后5个工作日内，按照磋商评审报告中推荐的成交候选人顺序确定成交人，并将结果通知未成交供应商。</w:t>
      </w:r>
    </w:p>
    <w:p w14:paraId="1D6D214A">
      <w:pPr>
        <w:snapToGrid w:val="0"/>
        <w:spacing w:line="360" w:lineRule="auto"/>
        <w:ind w:firstLine="420" w:firstLineChars="200"/>
        <w:contextualSpacing/>
        <w:rPr>
          <w:rFonts w:hint="eastAsia" w:ascii="宋体" w:hAnsi="宋体"/>
          <w:szCs w:val="21"/>
        </w:rPr>
      </w:pPr>
      <w:r>
        <w:rPr>
          <w:rFonts w:hint="eastAsia" w:ascii="宋体" w:hAnsi="宋体"/>
          <w:szCs w:val="21"/>
        </w:rPr>
        <w:t>5.6.2  采购人也可以书面授权磋商小组直接确定成交供应商。磋商小组直接确定成交供应商的应在磋商文件中写明。</w:t>
      </w:r>
    </w:p>
    <w:p w14:paraId="5A683F81">
      <w:pPr>
        <w:pStyle w:val="63"/>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387" w:name="_Toc455678134"/>
      <w:bookmarkStart w:id="388" w:name="_Toc428276601"/>
      <w:bookmarkStart w:id="389" w:name="_Toc422126474"/>
      <w:bookmarkStart w:id="390" w:name="_Toc454788041"/>
      <w:bookmarkStart w:id="391" w:name="_Toc428351661"/>
      <w:bookmarkStart w:id="392" w:name="_Toc462934308"/>
      <w:bookmarkStart w:id="393" w:name="_Toc463011287"/>
      <w:bookmarkStart w:id="394" w:name="_Toc991"/>
      <w:bookmarkStart w:id="395" w:name="_Toc6610"/>
      <w:bookmarkStart w:id="396" w:name="_Toc2677"/>
      <w:bookmarkStart w:id="397" w:name="_Toc15190"/>
      <w:r>
        <w:rPr>
          <w:rFonts w:hint="eastAsia" w:ascii="Times New Roman" w:hAnsi="宋体" w:cs="黑体"/>
          <w:b/>
          <w:color w:val="auto"/>
          <w:kern w:val="2"/>
          <w:sz w:val="21"/>
          <w:szCs w:val="21"/>
        </w:rPr>
        <w:t>成交结果</w:t>
      </w:r>
      <w:bookmarkEnd w:id="387"/>
      <w:bookmarkEnd w:id="388"/>
      <w:bookmarkEnd w:id="389"/>
      <w:bookmarkEnd w:id="390"/>
      <w:bookmarkEnd w:id="391"/>
      <w:r>
        <w:rPr>
          <w:rFonts w:hint="eastAsia" w:ascii="Times New Roman" w:hAnsi="宋体" w:cs="黑体"/>
          <w:b/>
          <w:color w:val="auto"/>
          <w:kern w:val="2"/>
          <w:sz w:val="21"/>
          <w:szCs w:val="21"/>
        </w:rPr>
        <w:t>公告</w:t>
      </w:r>
      <w:bookmarkEnd w:id="392"/>
      <w:bookmarkEnd w:id="393"/>
      <w:bookmarkEnd w:id="394"/>
      <w:bookmarkEnd w:id="395"/>
      <w:bookmarkEnd w:id="396"/>
      <w:bookmarkEnd w:id="397"/>
    </w:p>
    <w:p w14:paraId="0224D4A0">
      <w:pPr>
        <w:snapToGrid w:val="0"/>
        <w:spacing w:line="360" w:lineRule="auto"/>
        <w:ind w:firstLine="411" w:firstLineChars="196"/>
        <w:contextualSpacing/>
        <w:rPr>
          <w:rFonts w:hint="eastAsia" w:ascii="宋体" w:hAnsi="宋体"/>
          <w:szCs w:val="21"/>
        </w:rPr>
      </w:pPr>
      <w:r>
        <w:rPr>
          <w:rFonts w:hint="eastAsia" w:ascii="宋体" w:hAnsi="宋体"/>
          <w:szCs w:val="21"/>
        </w:rPr>
        <w:t>5.7.1  采购人应当在成交人确定后2个工作日内，在</w:t>
      </w:r>
      <w:r>
        <w:rPr>
          <w:rFonts w:hint="eastAsia" w:ascii="宋体" w:hAnsi="宋体"/>
        </w:rPr>
        <w:t>公告发布的同一媒介</w:t>
      </w:r>
      <w:r>
        <w:rPr>
          <w:rFonts w:hint="eastAsia" w:ascii="宋体" w:hAnsi="宋体"/>
          <w:szCs w:val="21"/>
        </w:rPr>
        <w:t>上公告成交结果，同时向成交供应商发出成交通知书，并将磋商文件随成交结果同时公告。</w:t>
      </w:r>
    </w:p>
    <w:p w14:paraId="29936EBC">
      <w:pPr>
        <w:snapToGrid w:val="0"/>
        <w:spacing w:line="360" w:lineRule="auto"/>
        <w:ind w:firstLine="420" w:firstLineChars="200"/>
        <w:contextualSpacing/>
        <w:rPr>
          <w:sz w:val="18"/>
          <w:szCs w:val="18"/>
        </w:rPr>
      </w:pPr>
      <w:bookmarkStart w:id="398" w:name="_Toc270604607"/>
      <w:r>
        <w:rPr>
          <w:rFonts w:hint="eastAsia" w:ascii="宋体" w:hAnsi="宋体"/>
          <w:szCs w:val="21"/>
        </w:rPr>
        <w:t>5.7.2  成交结果公告内容应当包括采购人和采购代理机构的名称、地址、联系方式，项目名称和项目编号，成交供应商名称、地址和成交金额，主要成交标的的名称、数量、单价、服务要求或标的的基本概况以及磋商小组名单</w:t>
      </w:r>
      <w:bookmarkEnd w:id="347"/>
      <w:bookmarkEnd w:id="398"/>
      <w:r>
        <w:rPr>
          <w:rFonts w:hint="eastAsia" w:hAnsi="宋体" w:cs="黑体"/>
          <w:szCs w:val="21"/>
        </w:rPr>
        <w:t>。</w:t>
      </w:r>
    </w:p>
    <w:p w14:paraId="1B6311D8">
      <w:pPr>
        <w:pStyle w:val="63"/>
        <w:numPr>
          <w:ilvl w:val="0"/>
          <w:numId w:val="2"/>
        </w:numPr>
        <w:tabs>
          <w:tab w:val="left" w:pos="360"/>
          <w:tab w:val="clear" w:pos="425"/>
        </w:tabs>
        <w:snapToGrid w:val="0"/>
        <w:spacing w:line="360" w:lineRule="auto"/>
        <w:contextualSpacing/>
        <w:jc w:val="both"/>
        <w:outlineLvl w:val="1"/>
        <w:rPr>
          <w:rFonts w:hint="eastAsia" w:hAnsi="宋体" w:cs="黑体"/>
          <w:b/>
          <w:color w:val="auto"/>
        </w:rPr>
      </w:pPr>
      <w:bookmarkStart w:id="399" w:name="_Toc454788044"/>
      <w:bookmarkStart w:id="400" w:name="_Toc270604609"/>
      <w:bookmarkStart w:id="401" w:name="_Toc428276604"/>
      <w:bookmarkStart w:id="402" w:name="_Toc27236"/>
      <w:bookmarkStart w:id="403" w:name="_Toc28338"/>
      <w:bookmarkStart w:id="404" w:name="_Toc269470334"/>
      <w:bookmarkStart w:id="405" w:name="_Toc277149397"/>
      <w:bookmarkStart w:id="406" w:name="_Toc428351664"/>
      <w:bookmarkStart w:id="407" w:name="_Toc270604836"/>
      <w:bookmarkStart w:id="408" w:name="_Toc8124"/>
      <w:r>
        <w:rPr>
          <w:rFonts w:hint="eastAsia" w:hAnsi="宋体" w:cs="黑体"/>
          <w:b/>
          <w:color w:val="auto"/>
        </w:rPr>
        <w:t>合同授予</w:t>
      </w:r>
      <w:bookmarkEnd w:id="399"/>
      <w:bookmarkEnd w:id="400"/>
      <w:bookmarkEnd w:id="401"/>
      <w:bookmarkEnd w:id="402"/>
      <w:bookmarkEnd w:id="403"/>
      <w:bookmarkEnd w:id="404"/>
      <w:bookmarkEnd w:id="405"/>
      <w:bookmarkEnd w:id="406"/>
      <w:bookmarkEnd w:id="407"/>
      <w:bookmarkEnd w:id="408"/>
    </w:p>
    <w:p w14:paraId="1E617B0E">
      <w:pPr>
        <w:pStyle w:val="63"/>
        <w:numPr>
          <w:ilvl w:val="1"/>
          <w:numId w:val="2"/>
        </w:numPr>
        <w:tabs>
          <w:tab w:val="left" w:pos="540"/>
          <w:tab w:val="clear" w:pos="992"/>
        </w:tabs>
        <w:snapToGrid w:val="0"/>
        <w:spacing w:line="360" w:lineRule="auto"/>
        <w:ind w:left="540" w:hanging="540"/>
        <w:contextualSpacing/>
        <w:jc w:val="both"/>
        <w:outlineLvl w:val="2"/>
        <w:rPr>
          <w:rFonts w:hint="eastAsia" w:hAnsi="宋体" w:cs="黑体"/>
          <w:b/>
          <w:color w:val="auto"/>
        </w:rPr>
      </w:pPr>
      <w:bookmarkStart w:id="409" w:name="_Toc463011289"/>
      <w:bookmarkStart w:id="410" w:name="_Toc462934310"/>
      <w:bookmarkStart w:id="411" w:name="_Toc13505"/>
      <w:bookmarkStart w:id="412" w:name="_Toc18026"/>
      <w:bookmarkStart w:id="413" w:name="_Toc3734"/>
      <w:bookmarkStart w:id="414" w:name="_Toc455678136"/>
      <w:bookmarkStart w:id="415" w:name="_Toc11152"/>
      <w:r>
        <w:rPr>
          <w:rFonts w:hint="eastAsia" w:ascii="Times New Roman" w:hAnsi="宋体" w:cs="黑体"/>
          <w:b/>
          <w:color w:val="auto"/>
          <w:kern w:val="2"/>
          <w:sz w:val="21"/>
          <w:szCs w:val="21"/>
        </w:rPr>
        <w:t>成交通知</w:t>
      </w:r>
      <w:bookmarkEnd w:id="409"/>
      <w:bookmarkEnd w:id="410"/>
      <w:bookmarkEnd w:id="411"/>
      <w:bookmarkEnd w:id="412"/>
      <w:bookmarkEnd w:id="413"/>
      <w:bookmarkEnd w:id="414"/>
      <w:bookmarkEnd w:id="415"/>
    </w:p>
    <w:p w14:paraId="0376EEC4">
      <w:pPr>
        <w:snapToGrid w:val="0"/>
        <w:spacing w:line="360" w:lineRule="auto"/>
        <w:ind w:firstLine="420" w:firstLineChars="200"/>
        <w:contextualSpacing/>
        <w:rPr>
          <w:rFonts w:ascii="宋体" w:hAnsi="宋体"/>
          <w:szCs w:val="21"/>
        </w:rPr>
      </w:pPr>
      <w:r>
        <w:rPr>
          <w:rFonts w:hint="eastAsia" w:ascii="宋体" w:hAnsi="宋体"/>
          <w:szCs w:val="21"/>
        </w:rPr>
        <w:t>成交结果公示的同时，采购人以</w:t>
      </w:r>
      <w:r>
        <w:rPr>
          <w:rFonts w:hint="eastAsia" w:ascii="宋体" w:hAnsi="宋体"/>
          <w:szCs w:val="21"/>
          <w:lang w:eastAsia="zh-CN"/>
        </w:rPr>
        <w:t>电子版</w:t>
      </w:r>
      <w:r>
        <w:rPr>
          <w:rFonts w:hint="eastAsia" w:ascii="宋体" w:hAnsi="宋体"/>
          <w:szCs w:val="21"/>
        </w:rPr>
        <w:t xml:space="preserve">形式向供应商发出成交通知书，同时将成交结果通知未成交的供应商。 </w:t>
      </w:r>
    </w:p>
    <w:p w14:paraId="6E44B7E8">
      <w:pPr>
        <w:pStyle w:val="63"/>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color w:val="auto"/>
          <w:kern w:val="2"/>
          <w:sz w:val="21"/>
          <w:szCs w:val="21"/>
        </w:rPr>
      </w:pPr>
      <w:bookmarkStart w:id="416" w:name="_Toc11018"/>
      <w:bookmarkStart w:id="417" w:name="_Toc463011290"/>
      <w:bookmarkStart w:id="418" w:name="_Toc3516"/>
      <w:bookmarkStart w:id="419" w:name="_Toc23963"/>
      <w:bookmarkStart w:id="420" w:name="_Toc455678137"/>
      <w:bookmarkStart w:id="421" w:name="_Toc23006"/>
      <w:bookmarkStart w:id="422" w:name="_Toc462934311"/>
      <w:bookmarkStart w:id="423" w:name="_Toc269470335"/>
      <w:r>
        <w:rPr>
          <w:rFonts w:hint="eastAsia" w:ascii="Times New Roman" w:hAnsi="宋体" w:cs="黑体"/>
          <w:color w:val="auto"/>
          <w:kern w:val="2"/>
          <w:sz w:val="21"/>
          <w:szCs w:val="21"/>
        </w:rPr>
        <w:t>供应商的最后一轮报价为成交价，成交价即为合同价。</w:t>
      </w:r>
      <w:bookmarkEnd w:id="416"/>
      <w:bookmarkEnd w:id="417"/>
      <w:bookmarkEnd w:id="418"/>
      <w:bookmarkEnd w:id="419"/>
      <w:bookmarkEnd w:id="420"/>
      <w:bookmarkEnd w:id="421"/>
      <w:bookmarkEnd w:id="422"/>
    </w:p>
    <w:p w14:paraId="799C6263">
      <w:pPr>
        <w:pStyle w:val="63"/>
        <w:numPr>
          <w:ilvl w:val="1"/>
          <w:numId w:val="2"/>
        </w:numPr>
        <w:tabs>
          <w:tab w:val="left" w:pos="540"/>
          <w:tab w:val="clear" w:pos="992"/>
        </w:tabs>
        <w:snapToGrid w:val="0"/>
        <w:spacing w:line="360" w:lineRule="auto"/>
        <w:ind w:left="540" w:hanging="540"/>
        <w:contextualSpacing/>
        <w:jc w:val="both"/>
        <w:outlineLvl w:val="1"/>
        <w:rPr>
          <w:rFonts w:hint="eastAsia" w:hAnsi="宋体"/>
          <w:color w:val="auto"/>
          <w:kern w:val="2"/>
          <w:sz w:val="21"/>
          <w:szCs w:val="21"/>
        </w:rPr>
      </w:pPr>
      <w:bookmarkStart w:id="424" w:name="_Toc29847"/>
      <w:bookmarkStart w:id="425" w:name="_Toc455678138"/>
      <w:bookmarkStart w:id="426" w:name="_Toc463011291"/>
      <w:bookmarkStart w:id="427" w:name="_Toc13315"/>
      <w:bookmarkStart w:id="428" w:name="_Toc8636"/>
      <w:bookmarkStart w:id="429" w:name="_Toc29162"/>
      <w:bookmarkStart w:id="430" w:name="_Toc462934312"/>
      <w:r>
        <w:rPr>
          <w:rFonts w:hint="eastAsia" w:hAnsi="宋体"/>
          <w:color w:val="auto"/>
          <w:kern w:val="2"/>
          <w:sz w:val="21"/>
          <w:szCs w:val="21"/>
        </w:rPr>
        <w:t>采购人和供应商应当自成交通知书发出之日起30天内，根据竞争性磋商文件、供应商的磋商响应文件及在磋商过程中对磋商响应文件作出的澄清、解释订立书面合同。供应商无正当理由拒签合同的，采购人取消其成交资格，并追究其违约责任。</w:t>
      </w:r>
      <w:bookmarkEnd w:id="424"/>
      <w:bookmarkEnd w:id="425"/>
      <w:bookmarkEnd w:id="426"/>
      <w:bookmarkEnd w:id="427"/>
      <w:bookmarkEnd w:id="428"/>
      <w:bookmarkEnd w:id="429"/>
      <w:bookmarkEnd w:id="430"/>
    </w:p>
    <w:p w14:paraId="06DB4F92">
      <w:pPr>
        <w:pStyle w:val="63"/>
        <w:numPr>
          <w:ilvl w:val="1"/>
          <w:numId w:val="2"/>
        </w:numPr>
        <w:tabs>
          <w:tab w:val="left" w:pos="540"/>
          <w:tab w:val="clear" w:pos="992"/>
        </w:tabs>
        <w:snapToGrid w:val="0"/>
        <w:spacing w:line="360" w:lineRule="auto"/>
        <w:ind w:left="540" w:hanging="540"/>
        <w:contextualSpacing/>
        <w:jc w:val="both"/>
        <w:outlineLvl w:val="2"/>
        <w:rPr>
          <w:rFonts w:hint="eastAsia" w:ascii="Times New Roman" w:hAnsi="宋体" w:cs="黑体"/>
          <w:b/>
          <w:color w:val="auto"/>
          <w:kern w:val="2"/>
          <w:sz w:val="21"/>
          <w:szCs w:val="21"/>
        </w:rPr>
      </w:pPr>
      <w:bookmarkStart w:id="431" w:name="_Toc720"/>
      <w:bookmarkStart w:id="432" w:name="_Toc462934313"/>
      <w:bookmarkStart w:id="433" w:name="_Toc10798"/>
      <w:bookmarkStart w:id="434" w:name="_Toc463011292"/>
      <w:bookmarkStart w:id="435" w:name="_Toc561"/>
      <w:bookmarkStart w:id="436" w:name="_Toc455678139"/>
      <w:bookmarkStart w:id="437" w:name="_Toc21875"/>
      <w:r>
        <w:rPr>
          <w:rFonts w:hint="eastAsia" w:ascii="Times New Roman" w:hAnsi="宋体" w:cs="黑体"/>
          <w:b/>
          <w:color w:val="auto"/>
          <w:kern w:val="2"/>
          <w:sz w:val="21"/>
          <w:szCs w:val="21"/>
        </w:rPr>
        <w:t>履约保证金</w:t>
      </w:r>
      <w:bookmarkEnd w:id="431"/>
      <w:bookmarkEnd w:id="432"/>
      <w:bookmarkEnd w:id="433"/>
      <w:bookmarkEnd w:id="434"/>
      <w:bookmarkEnd w:id="435"/>
      <w:bookmarkEnd w:id="436"/>
      <w:bookmarkEnd w:id="437"/>
      <w:r>
        <w:rPr>
          <w:rFonts w:hint="eastAsia" w:ascii="Times New Roman" w:hAnsi="宋体" w:cs="黑体"/>
          <w:b/>
          <w:color w:val="auto"/>
          <w:kern w:val="2"/>
          <w:sz w:val="21"/>
          <w:szCs w:val="21"/>
          <w:lang w:eastAsia="zh-CN"/>
        </w:rPr>
        <w:t>和预付款</w:t>
      </w:r>
    </w:p>
    <w:bookmarkEnd w:id="423"/>
    <w:p w14:paraId="09C3E9E0">
      <w:pPr>
        <w:pStyle w:val="63"/>
        <w:numPr>
          <w:ilvl w:val="0"/>
          <w:numId w:val="0"/>
        </w:numPr>
        <w:tabs>
          <w:tab w:val="left" w:pos="360"/>
        </w:tabs>
        <w:snapToGrid w:val="0"/>
        <w:spacing w:line="360" w:lineRule="auto"/>
        <w:ind w:leftChars="0"/>
        <w:contextualSpacing/>
        <w:jc w:val="both"/>
        <w:outlineLvl w:val="3"/>
        <w:rPr>
          <w:rFonts w:hint="eastAsia" w:hAnsi="宋体" w:cs="黑体"/>
          <w:b w:val="0"/>
          <w:bCs/>
          <w:color w:val="auto"/>
          <w:sz w:val="21"/>
          <w:szCs w:val="21"/>
          <w:lang w:val="en-US" w:eastAsia="zh-CN"/>
        </w:rPr>
      </w:pPr>
      <w:bookmarkStart w:id="438" w:name="_Toc5752"/>
      <w:bookmarkStart w:id="439" w:name="_Toc25425"/>
      <w:bookmarkStart w:id="440" w:name="_Toc29799"/>
      <w:bookmarkStart w:id="441" w:name="_Toc270604610"/>
      <w:bookmarkStart w:id="442" w:name="_Toc269470338"/>
      <w:r>
        <w:rPr>
          <w:rFonts w:hint="eastAsia" w:hAnsi="宋体" w:cs="黑体"/>
          <w:b w:val="0"/>
          <w:bCs/>
          <w:color w:val="auto"/>
          <w:sz w:val="21"/>
          <w:szCs w:val="21"/>
          <w:lang w:val="en-US" w:eastAsia="zh-CN"/>
        </w:rPr>
        <w:t>6.4.1履约保证金</w:t>
      </w:r>
    </w:p>
    <w:p w14:paraId="31413637">
      <w:pPr>
        <w:pStyle w:val="63"/>
        <w:numPr>
          <w:ilvl w:val="0"/>
          <w:numId w:val="0"/>
        </w:numPr>
        <w:tabs>
          <w:tab w:val="left" w:pos="360"/>
        </w:tabs>
        <w:snapToGrid w:val="0"/>
        <w:spacing w:line="360" w:lineRule="auto"/>
        <w:ind w:leftChars="0"/>
        <w:contextualSpacing/>
        <w:jc w:val="both"/>
        <w:outlineLvl w:val="4"/>
        <w:rPr>
          <w:rFonts w:hint="eastAsia" w:hAnsi="宋体" w:cs="黑体"/>
          <w:b w:val="0"/>
          <w:bCs/>
          <w:color w:val="auto"/>
          <w:sz w:val="21"/>
          <w:szCs w:val="21"/>
        </w:rPr>
      </w:pPr>
      <w:r>
        <w:rPr>
          <w:rFonts w:hint="eastAsia" w:hAnsi="宋体" w:cs="黑体"/>
          <w:b w:val="0"/>
          <w:bCs/>
          <w:color w:val="auto"/>
          <w:sz w:val="21"/>
          <w:szCs w:val="21"/>
          <w:lang w:val="en-US" w:eastAsia="zh-CN"/>
        </w:rPr>
        <w:t>6</w:t>
      </w:r>
      <w:r>
        <w:rPr>
          <w:rFonts w:hint="eastAsia" w:hAnsi="宋体" w:cs="黑体"/>
          <w:b w:val="0"/>
          <w:bCs/>
          <w:color w:val="auto"/>
          <w:sz w:val="21"/>
          <w:szCs w:val="21"/>
        </w:rPr>
        <w:t>.</w:t>
      </w:r>
      <w:r>
        <w:rPr>
          <w:rFonts w:hint="eastAsia" w:hAnsi="宋体" w:cs="黑体"/>
          <w:b w:val="0"/>
          <w:bCs/>
          <w:color w:val="auto"/>
          <w:sz w:val="21"/>
          <w:szCs w:val="21"/>
          <w:lang w:val="en-US" w:eastAsia="zh-CN"/>
        </w:rPr>
        <w:t>4</w:t>
      </w:r>
      <w:r>
        <w:rPr>
          <w:rFonts w:hint="eastAsia" w:hAnsi="宋体" w:cs="黑体"/>
          <w:b w:val="0"/>
          <w:bCs/>
          <w:color w:val="auto"/>
          <w:sz w:val="21"/>
          <w:szCs w:val="21"/>
        </w:rPr>
        <w:t>.1</w:t>
      </w:r>
      <w:r>
        <w:rPr>
          <w:rFonts w:hint="eastAsia" w:hAnsi="宋体" w:cs="黑体"/>
          <w:b w:val="0"/>
          <w:bCs/>
          <w:color w:val="auto"/>
          <w:sz w:val="21"/>
          <w:szCs w:val="21"/>
          <w:lang w:val="en-US" w:eastAsia="zh-CN"/>
        </w:rPr>
        <w:t>.1</w:t>
      </w:r>
      <w:r>
        <w:rPr>
          <w:rFonts w:hint="eastAsia" w:hAnsi="宋体" w:cs="黑体"/>
          <w:b w:val="0"/>
          <w:bCs/>
          <w:color w:val="auto"/>
          <w:sz w:val="21"/>
          <w:szCs w:val="21"/>
        </w:rPr>
        <w:t>中标人应按照供应商须知资料表规定向采购人缴纳履约保证金。</w:t>
      </w:r>
    </w:p>
    <w:p w14:paraId="26C97A56">
      <w:pPr>
        <w:pStyle w:val="63"/>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w:t>
      </w:r>
      <w:r>
        <w:rPr>
          <w:rFonts w:hint="eastAsia" w:hAnsi="宋体" w:cs="黑体"/>
          <w:b w:val="0"/>
          <w:bCs/>
          <w:color w:val="auto"/>
          <w:sz w:val="21"/>
          <w:szCs w:val="21"/>
          <w:lang w:val="en-US" w:eastAsia="zh-CN"/>
        </w:rPr>
        <w:t>1.2</w:t>
      </w:r>
      <w:r>
        <w:rPr>
          <w:rFonts w:hint="eastAsia" w:hAnsi="宋体" w:cs="黑体"/>
          <w:b w:val="0"/>
          <w:bCs/>
          <w:color w:val="auto"/>
          <w:sz w:val="21"/>
          <w:szCs w:val="21"/>
        </w:rPr>
        <w:t>政府采购利用担保试点范围内的项目，除</w:t>
      </w:r>
      <w:r>
        <w:rPr>
          <w:rFonts w:hint="eastAsia" w:hAnsi="宋体" w:cs="黑体"/>
          <w:b w:val="0"/>
          <w:bCs/>
          <w:color w:val="auto"/>
          <w:sz w:val="21"/>
          <w:szCs w:val="21"/>
          <w:lang w:val="en-US" w:eastAsia="zh-CN"/>
        </w:rPr>
        <w:t>6.4.1</w:t>
      </w:r>
      <w:r>
        <w:rPr>
          <w:rFonts w:hint="eastAsia" w:hAnsi="宋体" w:cs="黑体"/>
          <w:b w:val="0"/>
          <w:bCs/>
          <w:color w:val="auto"/>
          <w:sz w:val="21"/>
          <w:szCs w:val="21"/>
        </w:rPr>
        <w:t>规定的情形外，中标人也可以按照财政部门的规定，向采购人提供合格的履约担保函。</w:t>
      </w:r>
    </w:p>
    <w:p w14:paraId="18A8C669">
      <w:pPr>
        <w:pStyle w:val="63"/>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w:t>
      </w:r>
      <w:r>
        <w:rPr>
          <w:rFonts w:hint="eastAsia" w:hAnsi="宋体" w:cs="黑体"/>
          <w:b w:val="0"/>
          <w:bCs/>
          <w:color w:val="auto"/>
          <w:sz w:val="21"/>
          <w:szCs w:val="21"/>
          <w:lang w:val="en-US" w:eastAsia="zh-CN"/>
        </w:rPr>
        <w:t>1.</w:t>
      </w:r>
      <w:r>
        <w:rPr>
          <w:rFonts w:hint="eastAsia" w:hAnsi="宋体" w:cs="黑体"/>
          <w:b w:val="0"/>
          <w:bCs/>
          <w:color w:val="auto"/>
          <w:sz w:val="21"/>
          <w:szCs w:val="21"/>
        </w:rPr>
        <w:t>3如果中标人没有按照上述履约保证金的规定执行，将视为放弃中标资格，中标人的投标保证金将不予退还。在此情况下，采购人可确定下一候选人为中标人，也可以重新开展采购活动。</w:t>
      </w:r>
    </w:p>
    <w:p w14:paraId="4074C162">
      <w:pPr>
        <w:pStyle w:val="63"/>
        <w:numPr>
          <w:ilvl w:val="0"/>
          <w:numId w:val="0"/>
        </w:numPr>
        <w:tabs>
          <w:tab w:val="left" w:pos="360"/>
        </w:tabs>
        <w:snapToGrid w:val="0"/>
        <w:spacing w:line="360" w:lineRule="auto"/>
        <w:ind w:leftChars="0"/>
        <w:contextualSpacing/>
        <w:jc w:val="both"/>
        <w:outlineLvl w:val="3"/>
        <w:rPr>
          <w:rFonts w:hint="eastAsia" w:hAnsi="宋体" w:cs="黑体"/>
          <w:b w:val="0"/>
          <w:bCs/>
          <w:color w:val="auto"/>
          <w:sz w:val="21"/>
          <w:szCs w:val="21"/>
        </w:rPr>
      </w:pPr>
      <w:r>
        <w:rPr>
          <w:rFonts w:hint="eastAsia" w:hAnsi="宋体" w:cs="黑体"/>
          <w:b w:val="0"/>
          <w:bCs/>
          <w:color w:val="auto"/>
          <w:sz w:val="21"/>
          <w:szCs w:val="21"/>
          <w:lang w:val="en-US" w:eastAsia="zh-CN"/>
        </w:rPr>
        <w:t>6.4.</w:t>
      </w:r>
      <w:r>
        <w:rPr>
          <w:rFonts w:hint="eastAsia" w:hAnsi="宋体" w:cs="黑体"/>
          <w:b w:val="0"/>
          <w:bCs/>
          <w:color w:val="auto"/>
          <w:sz w:val="21"/>
          <w:szCs w:val="21"/>
        </w:rPr>
        <w:t>2预付款</w:t>
      </w:r>
    </w:p>
    <w:p w14:paraId="2FDACFC0">
      <w:pPr>
        <w:pStyle w:val="63"/>
        <w:numPr>
          <w:ilvl w:val="0"/>
          <w:numId w:val="0"/>
        </w:numPr>
        <w:tabs>
          <w:tab w:val="left" w:pos="360"/>
        </w:tabs>
        <w:snapToGrid w:val="0"/>
        <w:spacing w:line="360" w:lineRule="auto"/>
        <w:ind w:leftChars="0"/>
        <w:contextualSpacing/>
        <w:jc w:val="both"/>
        <w:outlineLvl w:val="4"/>
        <w:rPr>
          <w:rFonts w:hint="eastAsia" w:hAnsi="宋体" w:cs="黑体"/>
          <w:b w:val="0"/>
          <w:bCs/>
          <w:color w:val="auto"/>
          <w:sz w:val="21"/>
          <w:szCs w:val="21"/>
        </w:rPr>
      </w:pPr>
      <w:r>
        <w:rPr>
          <w:rFonts w:hint="eastAsia" w:hAnsi="宋体" w:cs="黑体"/>
          <w:b w:val="0"/>
          <w:bCs/>
          <w:color w:val="auto"/>
          <w:sz w:val="21"/>
          <w:szCs w:val="21"/>
          <w:lang w:val="en-US" w:eastAsia="zh-CN"/>
        </w:rPr>
        <w:t>6.4.2.1</w:t>
      </w:r>
      <w:r>
        <w:rPr>
          <w:rFonts w:hint="eastAsia" w:hAnsi="宋体" w:cs="黑体"/>
          <w:b w:val="0"/>
          <w:bCs/>
          <w:color w:val="auto"/>
          <w:sz w:val="21"/>
          <w:szCs w:val="21"/>
        </w:rPr>
        <w:t>各采购单位应按照供应商须知资料表规定向中标人支付预付款。</w:t>
      </w:r>
    </w:p>
    <w:p w14:paraId="606731C4">
      <w:pPr>
        <w:pStyle w:val="63"/>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6.4.2.2</w:t>
      </w:r>
      <w:r>
        <w:rPr>
          <w:rFonts w:hint="eastAsia" w:hAnsi="宋体" w:cs="黑体"/>
          <w:b w:val="0"/>
          <w:bCs/>
          <w:color w:val="auto"/>
          <w:sz w:val="21"/>
          <w:szCs w:val="21"/>
        </w:rPr>
        <w:t>预付款比例原则上不低于合同金额的30％，与疫情防控有关采购合同最高预付款比例可达100％。</w:t>
      </w:r>
    </w:p>
    <w:p w14:paraId="63AA7B1E">
      <w:pPr>
        <w:pStyle w:val="63"/>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6.4.2.3</w:t>
      </w:r>
      <w:r>
        <w:rPr>
          <w:rFonts w:hint="eastAsia" w:hAnsi="宋体" w:cs="黑体"/>
          <w:b w:val="0"/>
          <w:bCs/>
          <w:color w:val="auto"/>
          <w:sz w:val="21"/>
          <w:szCs w:val="21"/>
        </w:rPr>
        <w:t>各采购单位可根据项目特点、供应商信用等情况，决定是否要求供应商提交电子预付款保函。疫情期间，对受疫情疫情影响严重的中小微企业应当取消预付款担保。</w:t>
      </w:r>
    </w:p>
    <w:p w14:paraId="4B20EF7B">
      <w:pPr>
        <w:pStyle w:val="63"/>
        <w:numPr>
          <w:ilvl w:val="0"/>
          <w:numId w:val="0"/>
        </w:numPr>
        <w:tabs>
          <w:tab w:val="left" w:pos="360"/>
        </w:tabs>
        <w:snapToGrid w:val="0"/>
        <w:spacing w:line="360" w:lineRule="auto"/>
        <w:ind w:leftChars="0"/>
        <w:contextualSpacing/>
        <w:jc w:val="both"/>
        <w:outlineLvl w:val="1"/>
        <w:rPr>
          <w:rFonts w:hint="eastAsia" w:hAnsi="宋体" w:cs="黑体"/>
          <w:b w:val="0"/>
          <w:bCs/>
          <w:color w:val="auto"/>
          <w:sz w:val="21"/>
          <w:szCs w:val="21"/>
        </w:rPr>
      </w:pPr>
      <w:r>
        <w:rPr>
          <w:rFonts w:hint="eastAsia" w:hAnsi="宋体" w:cs="黑体"/>
          <w:b w:val="0"/>
          <w:bCs/>
          <w:color w:val="auto"/>
          <w:sz w:val="21"/>
          <w:szCs w:val="21"/>
          <w:lang w:val="en-US" w:eastAsia="zh-CN"/>
        </w:rPr>
        <w:t>6.4.2.4</w:t>
      </w:r>
      <w:r>
        <w:rPr>
          <w:rFonts w:hint="eastAsia" w:hAnsi="宋体" w:cs="黑体"/>
          <w:b w:val="0"/>
          <w:bCs/>
          <w:color w:val="auto"/>
          <w:sz w:val="21"/>
          <w:szCs w:val="21"/>
        </w:rPr>
        <w:t>如需提供电子预付款保函，中标单位应通过商丘市公共资源交易中心电子保函平台全程网上办理，实现项目信息与保函信息的关联绑定，自动验真。</w:t>
      </w:r>
    </w:p>
    <w:p w14:paraId="76FE21A5">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r>
        <w:rPr>
          <w:rFonts w:hint="eastAsia" w:hAnsi="宋体" w:cs="黑体"/>
          <w:b/>
          <w:color w:val="auto"/>
        </w:rPr>
        <w:t>纪律和监督</w:t>
      </w:r>
      <w:bookmarkEnd w:id="438"/>
      <w:bookmarkEnd w:id="439"/>
      <w:bookmarkEnd w:id="440"/>
      <w:bookmarkEnd w:id="441"/>
      <w:bookmarkEnd w:id="442"/>
    </w:p>
    <w:p w14:paraId="4B13B29C">
      <w:pPr>
        <w:pStyle w:val="63"/>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43" w:name="_Toc13152"/>
      <w:bookmarkStart w:id="444" w:name="_Toc455678149"/>
      <w:bookmarkStart w:id="445" w:name="_Toc270604838"/>
      <w:bookmarkStart w:id="446" w:name="_Toc2717"/>
      <w:bookmarkStart w:id="447" w:name="_Toc26444"/>
      <w:bookmarkStart w:id="448" w:name="_Toc463011302"/>
      <w:bookmarkStart w:id="449" w:name="_Toc5679"/>
      <w:bookmarkStart w:id="450" w:name="_Toc428351666"/>
      <w:bookmarkStart w:id="451" w:name="_Toc428276606"/>
      <w:bookmarkStart w:id="452" w:name="_Toc270604611"/>
      <w:bookmarkStart w:id="453" w:name="_Toc462934323"/>
      <w:bookmarkStart w:id="454" w:name="_Toc269470339"/>
      <w:bookmarkStart w:id="455" w:name="_Toc454788046"/>
      <w:bookmarkStart w:id="456" w:name="_Toc277149399"/>
      <w:r>
        <w:rPr>
          <w:rFonts w:hint="eastAsia" w:ascii="Times New Roman" w:hAnsi="宋体" w:cs="黑体"/>
          <w:b/>
          <w:color w:val="auto"/>
          <w:kern w:val="2"/>
          <w:sz w:val="21"/>
          <w:szCs w:val="21"/>
        </w:rPr>
        <w:t>对采购人的纪律要求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76197BC">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采购人不得泄漏竞争性磋商中应当保密的情况和资料，不得与供应商串通损害国家利益、社会公共利益或者他人合法权益。</w:t>
      </w:r>
    </w:p>
    <w:p w14:paraId="110AD48C">
      <w:pPr>
        <w:pStyle w:val="63"/>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57" w:name="_Toc270604612"/>
      <w:bookmarkStart w:id="458" w:name="_Toc462934324"/>
      <w:bookmarkStart w:id="459" w:name="_Toc463011303"/>
      <w:bookmarkStart w:id="460" w:name="_Toc428276607"/>
      <w:bookmarkStart w:id="461" w:name="_Toc270604839"/>
      <w:bookmarkStart w:id="462" w:name="_Toc269470340"/>
      <w:bookmarkStart w:id="463" w:name="_Toc31492"/>
      <w:bookmarkStart w:id="464" w:name="_Toc29716"/>
      <w:bookmarkStart w:id="465" w:name="_Toc428351667"/>
      <w:bookmarkStart w:id="466" w:name="_Toc277149400"/>
      <w:bookmarkStart w:id="467" w:name="_Toc1136"/>
      <w:bookmarkStart w:id="468" w:name="_Toc10123"/>
      <w:bookmarkStart w:id="469" w:name="_Toc454788047"/>
      <w:bookmarkStart w:id="470" w:name="_Toc455678150"/>
      <w:r>
        <w:rPr>
          <w:rFonts w:hint="eastAsia" w:ascii="Times New Roman" w:hAnsi="宋体" w:cs="黑体"/>
          <w:b/>
          <w:color w:val="auto"/>
          <w:kern w:val="2"/>
          <w:sz w:val="21"/>
          <w:szCs w:val="21"/>
        </w:rPr>
        <w:t>对供应商的纪律要求</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A9B9617">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供应商不得相互串通或者与采购人串通，不得向采购人或者磋商小组成员行贿谋取成交，不得以他人名义磋商或者以其他方式弄虚作假骗取成交；供应商不得以任何方式干扰、影响磋商工作。</w:t>
      </w:r>
    </w:p>
    <w:p w14:paraId="0FB624DD">
      <w:pPr>
        <w:pStyle w:val="63"/>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71" w:name="_Toc270604613"/>
      <w:bookmarkStart w:id="472" w:name="_Toc455678151"/>
      <w:bookmarkStart w:id="473" w:name="_Toc26052"/>
      <w:bookmarkStart w:id="474" w:name="_Toc23588"/>
      <w:bookmarkStart w:id="475" w:name="_Toc463011304"/>
      <w:bookmarkStart w:id="476" w:name="_Toc428351668"/>
      <w:bookmarkStart w:id="477" w:name="_Toc270604840"/>
      <w:bookmarkStart w:id="478" w:name="_Toc428276608"/>
      <w:bookmarkStart w:id="479" w:name="_Toc26184"/>
      <w:bookmarkStart w:id="480" w:name="_Toc269470341"/>
      <w:bookmarkStart w:id="481" w:name="_Toc454788048"/>
      <w:bookmarkStart w:id="482" w:name="_Toc462934325"/>
      <w:bookmarkStart w:id="483" w:name="_Toc277149401"/>
      <w:bookmarkStart w:id="484" w:name="_Toc7559"/>
      <w:r>
        <w:rPr>
          <w:rFonts w:hint="eastAsia" w:ascii="Times New Roman" w:hAnsi="宋体" w:cs="黑体"/>
          <w:b/>
          <w:color w:val="auto"/>
          <w:kern w:val="2"/>
          <w:sz w:val="21"/>
          <w:szCs w:val="21"/>
        </w:rPr>
        <w:t>对磋商小组成员的纪律要求</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DE302E2">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295EE20F">
      <w:pPr>
        <w:pStyle w:val="63"/>
        <w:numPr>
          <w:ilvl w:val="1"/>
          <w:numId w:val="2"/>
        </w:numPr>
        <w:tabs>
          <w:tab w:val="left" w:pos="540"/>
          <w:tab w:val="clear" w:pos="992"/>
        </w:tabs>
        <w:snapToGrid w:val="0"/>
        <w:spacing w:line="360" w:lineRule="auto"/>
        <w:ind w:left="540" w:hanging="540"/>
        <w:contextualSpacing/>
        <w:jc w:val="both"/>
        <w:outlineLvl w:val="2"/>
        <w:rPr>
          <w:rFonts w:ascii="Times New Roman" w:hAnsi="宋体" w:cs="黑体"/>
          <w:b/>
          <w:color w:val="auto"/>
          <w:kern w:val="2"/>
          <w:sz w:val="21"/>
          <w:szCs w:val="21"/>
        </w:rPr>
      </w:pPr>
      <w:bookmarkStart w:id="485" w:name="_Toc462934326"/>
      <w:bookmarkStart w:id="486" w:name="_Toc269470342"/>
      <w:bookmarkStart w:id="487" w:name="_Toc428276609"/>
      <w:bookmarkStart w:id="488" w:name="_Toc428351669"/>
      <w:bookmarkStart w:id="489" w:name="_Toc4673"/>
      <w:bookmarkStart w:id="490" w:name="_Toc454788049"/>
      <w:bookmarkStart w:id="491" w:name="_Toc270604614"/>
      <w:bookmarkStart w:id="492" w:name="_Toc455678152"/>
      <w:bookmarkStart w:id="493" w:name="_Toc3115"/>
      <w:bookmarkStart w:id="494" w:name="_Toc12103"/>
      <w:bookmarkStart w:id="495" w:name="_Toc270604841"/>
      <w:bookmarkStart w:id="496" w:name="_Toc14202"/>
      <w:bookmarkStart w:id="497" w:name="_Toc463011305"/>
      <w:bookmarkStart w:id="498" w:name="_Toc277149402"/>
      <w:r>
        <w:rPr>
          <w:rFonts w:hint="eastAsia" w:ascii="Times New Roman" w:hAnsi="宋体" w:cs="黑体"/>
          <w:b/>
          <w:color w:val="auto"/>
          <w:kern w:val="2"/>
          <w:sz w:val="21"/>
          <w:szCs w:val="21"/>
        </w:rPr>
        <w:t>对与磋商活动有关的工作人员的纪律要求</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FBE31FD">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21DD170E">
      <w:pPr>
        <w:pStyle w:val="63"/>
        <w:numPr>
          <w:ilvl w:val="0"/>
          <w:numId w:val="2"/>
        </w:numPr>
        <w:tabs>
          <w:tab w:val="left" w:pos="360"/>
          <w:tab w:val="clear" w:pos="425"/>
        </w:tabs>
        <w:snapToGrid w:val="0"/>
        <w:spacing w:line="360" w:lineRule="auto"/>
        <w:contextualSpacing/>
        <w:jc w:val="both"/>
        <w:outlineLvl w:val="1"/>
        <w:rPr>
          <w:rFonts w:hAnsi="宋体" w:cs="黑体"/>
          <w:b/>
          <w:color w:val="auto"/>
        </w:rPr>
      </w:pPr>
      <w:bookmarkStart w:id="499" w:name="_Toc269470343"/>
      <w:bookmarkStart w:id="500" w:name="_Toc277149403"/>
      <w:bookmarkStart w:id="501" w:name="_Toc428351670"/>
      <w:bookmarkStart w:id="502" w:name="_Toc29089"/>
      <w:bookmarkStart w:id="503" w:name="_Toc759"/>
      <w:bookmarkStart w:id="504" w:name="_Toc270604615"/>
      <w:bookmarkStart w:id="505" w:name="_Toc270604842"/>
      <w:bookmarkStart w:id="506" w:name="_Toc8741"/>
      <w:bookmarkStart w:id="507" w:name="_Toc428276610"/>
      <w:bookmarkStart w:id="508" w:name="_Toc454788050"/>
      <w:r>
        <w:rPr>
          <w:rFonts w:hint="eastAsia" w:hAnsi="宋体" w:cs="黑体"/>
          <w:b/>
          <w:color w:val="auto"/>
        </w:rPr>
        <w:t>询问、质疑和投诉</w:t>
      </w:r>
      <w:bookmarkEnd w:id="499"/>
      <w:bookmarkEnd w:id="500"/>
      <w:bookmarkEnd w:id="501"/>
      <w:bookmarkEnd w:id="502"/>
      <w:bookmarkEnd w:id="503"/>
      <w:bookmarkEnd w:id="504"/>
      <w:bookmarkEnd w:id="505"/>
      <w:bookmarkEnd w:id="506"/>
      <w:bookmarkEnd w:id="507"/>
      <w:bookmarkEnd w:id="508"/>
    </w:p>
    <w:p w14:paraId="10BA4C82">
      <w:pPr>
        <w:pStyle w:val="63"/>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09" w:name="_Toc11785"/>
      <w:bookmarkStart w:id="510" w:name="_Toc4972"/>
      <w:bookmarkStart w:id="511" w:name="_Toc462934328"/>
      <w:bookmarkStart w:id="512" w:name="_Toc17445"/>
      <w:bookmarkStart w:id="513" w:name="_Toc463011307"/>
      <w:bookmarkStart w:id="514" w:name="_Toc455678154"/>
      <w:bookmarkStart w:id="515" w:name="_Toc19767"/>
      <w:r>
        <w:rPr>
          <w:rFonts w:hint="eastAsia" w:ascii="Times New Roman" w:hAnsi="宋体" w:cs="黑体"/>
          <w:color w:val="auto"/>
          <w:kern w:val="2"/>
          <w:sz w:val="21"/>
          <w:szCs w:val="21"/>
        </w:rPr>
        <w:t>供应商或有关当事人对磋商过程、成交结果有异议的，可以向采购人或者采购代理机构提出询问。</w:t>
      </w:r>
      <w:bookmarkEnd w:id="509"/>
      <w:bookmarkEnd w:id="510"/>
      <w:bookmarkEnd w:id="511"/>
      <w:bookmarkEnd w:id="512"/>
      <w:bookmarkEnd w:id="513"/>
      <w:bookmarkEnd w:id="514"/>
      <w:bookmarkEnd w:id="515"/>
    </w:p>
    <w:p w14:paraId="341510CA">
      <w:pPr>
        <w:pStyle w:val="63"/>
        <w:numPr>
          <w:ilvl w:val="1"/>
          <w:numId w:val="2"/>
        </w:numPr>
        <w:tabs>
          <w:tab w:val="left" w:pos="540"/>
          <w:tab w:val="clear" w:pos="992"/>
        </w:tabs>
        <w:snapToGrid w:val="0"/>
        <w:spacing w:line="360" w:lineRule="auto"/>
        <w:ind w:left="0" w:firstLine="0"/>
        <w:contextualSpacing/>
        <w:jc w:val="both"/>
        <w:outlineLvl w:val="2"/>
        <w:rPr>
          <w:rFonts w:hint="eastAsia" w:ascii="Times New Roman" w:hAnsi="宋体" w:cs="黑体"/>
          <w:color w:val="auto"/>
          <w:kern w:val="2"/>
          <w:sz w:val="21"/>
          <w:szCs w:val="21"/>
        </w:rPr>
      </w:pPr>
      <w:bookmarkStart w:id="516" w:name="_Toc27421"/>
      <w:bookmarkStart w:id="517" w:name="_Toc462934329"/>
      <w:bookmarkStart w:id="518" w:name="_Toc10991"/>
      <w:bookmarkStart w:id="519" w:name="_Toc24621"/>
      <w:bookmarkStart w:id="520" w:name="_Toc463011308"/>
      <w:bookmarkStart w:id="521" w:name="_Toc455678155"/>
      <w:bookmarkStart w:id="522" w:name="_Toc3310"/>
      <w:r>
        <w:rPr>
          <w:rFonts w:hint="eastAsia" w:ascii="Times New Roman" w:hAnsi="宋体" w:cs="黑体"/>
          <w:color w:val="auto"/>
          <w:kern w:val="2"/>
          <w:sz w:val="21"/>
          <w:szCs w:val="21"/>
        </w:rPr>
        <w:t>采购人或者采购代理机构应当在三个工作日内对供应商依法提出的询问作出答复。</w:t>
      </w:r>
      <w:bookmarkEnd w:id="516"/>
      <w:bookmarkEnd w:id="517"/>
      <w:bookmarkEnd w:id="518"/>
      <w:bookmarkEnd w:id="519"/>
      <w:bookmarkEnd w:id="520"/>
      <w:bookmarkEnd w:id="521"/>
      <w:bookmarkEnd w:id="522"/>
    </w:p>
    <w:p w14:paraId="2270BB0A">
      <w:pPr>
        <w:pStyle w:val="63"/>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23" w:name="_Toc462934330"/>
      <w:bookmarkStart w:id="524" w:name="_Toc30298"/>
      <w:bookmarkStart w:id="525" w:name="_Toc1900"/>
      <w:bookmarkStart w:id="526" w:name="_Toc13109"/>
      <w:bookmarkStart w:id="527" w:name="_Toc28381"/>
      <w:bookmarkStart w:id="528" w:name="_Toc463011309"/>
      <w:bookmarkStart w:id="529" w:name="_Toc455678156"/>
      <w:r>
        <w:rPr>
          <w:rFonts w:ascii="Times New Roman" w:hAnsi="宋体" w:cs="黑体"/>
          <w:color w:val="auto"/>
          <w:kern w:val="2"/>
          <w:sz w:val="21"/>
          <w:szCs w:val="21"/>
        </w:rPr>
        <w:t>供应商认为</w:t>
      </w:r>
      <w:r>
        <w:rPr>
          <w:rFonts w:hint="eastAsia" w:ascii="Times New Roman" w:hAnsi="宋体" w:cs="黑体"/>
          <w:color w:val="auto"/>
          <w:kern w:val="2"/>
          <w:sz w:val="21"/>
          <w:szCs w:val="21"/>
        </w:rPr>
        <w:t>磋商</w:t>
      </w:r>
      <w:r>
        <w:rPr>
          <w:rFonts w:ascii="Times New Roman" w:hAnsi="宋体" w:cs="黑体"/>
          <w:color w:val="auto"/>
          <w:kern w:val="2"/>
          <w:sz w:val="21"/>
          <w:szCs w:val="21"/>
        </w:rPr>
        <w:t>文件、采购过程使自己的权益受到损害的，可以在知道或者应知其权益受到损害之日起七个工作日内，以书面形式向采购人提出质疑。</w:t>
      </w:r>
      <w:bookmarkEnd w:id="523"/>
      <w:bookmarkEnd w:id="524"/>
      <w:bookmarkEnd w:id="525"/>
      <w:bookmarkEnd w:id="526"/>
      <w:bookmarkEnd w:id="527"/>
      <w:bookmarkEnd w:id="528"/>
      <w:bookmarkEnd w:id="529"/>
    </w:p>
    <w:p w14:paraId="1E861F0B">
      <w:pPr>
        <w:pStyle w:val="63"/>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30" w:name="_Toc20438"/>
      <w:bookmarkStart w:id="531" w:name="_Toc22415"/>
      <w:bookmarkStart w:id="532" w:name="_Toc288"/>
      <w:bookmarkStart w:id="533" w:name="_Toc462934331"/>
      <w:bookmarkStart w:id="534" w:name="_Toc16614"/>
      <w:bookmarkStart w:id="535" w:name="_Toc463011310"/>
      <w:r>
        <w:rPr>
          <w:rFonts w:ascii="Times New Roman" w:hAnsi="宋体" w:cs="黑体"/>
          <w:color w:val="auto"/>
          <w:kern w:val="2"/>
          <w:sz w:val="21"/>
          <w:szCs w:val="21"/>
        </w:rPr>
        <w:t>供应商认为成交结果使自己的权益受到损害的，可以在成交结果</w:t>
      </w:r>
      <w:r>
        <w:rPr>
          <w:rFonts w:hint="eastAsia" w:ascii="Times New Roman" w:hAnsi="宋体" w:cs="黑体"/>
          <w:color w:val="auto"/>
          <w:kern w:val="2"/>
          <w:sz w:val="21"/>
          <w:szCs w:val="21"/>
        </w:rPr>
        <w:t>公告期限届满之日，</w:t>
      </w:r>
      <w:r>
        <w:rPr>
          <w:rFonts w:ascii="Times New Roman" w:hAnsi="宋体" w:cs="黑体"/>
          <w:color w:val="auto"/>
          <w:kern w:val="2"/>
          <w:sz w:val="21"/>
          <w:szCs w:val="21"/>
        </w:rPr>
        <w:t>七个工作日内，以书面形式向采购人提出质疑。</w:t>
      </w:r>
      <w:bookmarkEnd w:id="530"/>
      <w:bookmarkEnd w:id="531"/>
      <w:bookmarkEnd w:id="532"/>
      <w:bookmarkEnd w:id="533"/>
      <w:bookmarkEnd w:id="534"/>
      <w:bookmarkEnd w:id="535"/>
    </w:p>
    <w:p w14:paraId="0FEED9F4">
      <w:pPr>
        <w:pStyle w:val="63"/>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36" w:name="_Toc3748"/>
      <w:bookmarkStart w:id="537" w:name="_Toc463011311"/>
      <w:bookmarkStart w:id="538" w:name="_Toc5258"/>
      <w:bookmarkStart w:id="539" w:name="_Toc455678157"/>
      <w:bookmarkStart w:id="540" w:name="_Toc18469"/>
      <w:bookmarkStart w:id="541" w:name="_Toc462934332"/>
      <w:bookmarkStart w:id="542" w:name="_Toc18478"/>
      <w:r>
        <w:rPr>
          <w:rFonts w:ascii="Times New Roman" w:hAnsi="宋体" w:cs="黑体"/>
          <w:color w:val="auto"/>
          <w:kern w:val="2"/>
          <w:sz w:val="21"/>
          <w:szCs w:val="21"/>
        </w:rPr>
        <w:t>采购人</w:t>
      </w:r>
      <w:r>
        <w:rPr>
          <w:rFonts w:hint="eastAsia" w:ascii="Times New Roman" w:hAnsi="宋体" w:cs="黑体"/>
          <w:color w:val="auto"/>
          <w:kern w:val="2"/>
          <w:sz w:val="21"/>
          <w:szCs w:val="21"/>
        </w:rPr>
        <w:t>或者采购代理机构</w:t>
      </w:r>
      <w:r>
        <w:rPr>
          <w:rFonts w:ascii="Times New Roman" w:hAnsi="宋体" w:cs="黑体"/>
          <w:color w:val="auto"/>
          <w:kern w:val="2"/>
          <w:sz w:val="21"/>
          <w:szCs w:val="21"/>
        </w:rPr>
        <w:t>应当在收到供应商的书面质疑后七个工作日内作出答复，并以书面形式通知质疑供应商和其他有关供应商，但答复的内容不得涉及商业秘密。</w:t>
      </w:r>
      <w:bookmarkEnd w:id="536"/>
      <w:bookmarkEnd w:id="537"/>
      <w:bookmarkEnd w:id="538"/>
      <w:bookmarkEnd w:id="539"/>
      <w:bookmarkEnd w:id="540"/>
      <w:bookmarkEnd w:id="541"/>
      <w:bookmarkEnd w:id="542"/>
    </w:p>
    <w:p w14:paraId="60780040">
      <w:pPr>
        <w:pStyle w:val="63"/>
        <w:numPr>
          <w:ilvl w:val="1"/>
          <w:numId w:val="2"/>
        </w:numPr>
        <w:tabs>
          <w:tab w:val="left" w:pos="540"/>
          <w:tab w:val="clear" w:pos="992"/>
        </w:tabs>
        <w:snapToGrid w:val="0"/>
        <w:spacing w:line="360" w:lineRule="auto"/>
        <w:ind w:left="0" w:firstLine="0"/>
        <w:contextualSpacing/>
        <w:jc w:val="both"/>
        <w:outlineLvl w:val="1"/>
        <w:rPr>
          <w:rFonts w:hint="eastAsia" w:ascii="Times New Roman" w:hAnsi="宋体" w:cs="黑体"/>
          <w:color w:val="auto"/>
          <w:kern w:val="2"/>
          <w:sz w:val="21"/>
          <w:szCs w:val="21"/>
        </w:rPr>
      </w:pPr>
      <w:bookmarkStart w:id="543" w:name="_Toc32745"/>
      <w:bookmarkStart w:id="544" w:name="_Toc462934333"/>
      <w:bookmarkStart w:id="545" w:name="_Toc463011312"/>
      <w:bookmarkStart w:id="546" w:name="_Toc4898"/>
      <w:bookmarkStart w:id="547" w:name="_Toc455678158"/>
      <w:bookmarkStart w:id="548" w:name="_Toc26881"/>
      <w:bookmarkStart w:id="549" w:name="_Toc21390"/>
      <w:r>
        <w:rPr>
          <w:rFonts w:ascii="Times New Roman" w:hAnsi="宋体" w:cs="黑体"/>
          <w:color w:val="auto"/>
          <w:kern w:val="2"/>
          <w:sz w:val="21"/>
          <w:szCs w:val="21"/>
        </w:rPr>
        <w:t>质疑供应商对采购人、采购代理机构的答复不满意或者采购人、采购代理机构未在规定的时间内作出答复的，可以在答复期满后十五个工作日内向同级政府采购监督管理部门投诉。</w:t>
      </w:r>
      <w:bookmarkEnd w:id="543"/>
      <w:bookmarkEnd w:id="544"/>
      <w:bookmarkEnd w:id="545"/>
      <w:bookmarkEnd w:id="546"/>
      <w:bookmarkEnd w:id="547"/>
      <w:bookmarkEnd w:id="548"/>
      <w:bookmarkEnd w:id="549"/>
    </w:p>
    <w:p w14:paraId="5A29287D">
      <w:pPr>
        <w:pStyle w:val="63"/>
        <w:numPr>
          <w:ilvl w:val="1"/>
          <w:numId w:val="2"/>
        </w:numPr>
        <w:tabs>
          <w:tab w:val="left" w:pos="540"/>
          <w:tab w:val="clear" w:pos="992"/>
        </w:tabs>
        <w:snapToGrid w:val="0"/>
        <w:spacing w:line="360" w:lineRule="auto"/>
        <w:ind w:left="0" w:firstLine="0"/>
        <w:contextualSpacing/>
        <w:jc w:val="both"/>
        <w:outlineLvl w:val="1"/>
        <w:rPr>
          <w:rFonts w:ascii="Times New Roman" w:hAnsi="宋体" w:cs="黑体"/>
          <w:color w:val="auto"/>
          <w:kern w:val="2"/>
          <w:sz w:val="21"/>
          <w:szCs w:val="21"/>
        </w:rPr>
      </w:pPr>
      <w:bookmarkStart w:id="550" w:name="_Toc17682"/>
      <w:bookmarkStart w:id="551" w:name="_Toc455678159"/>
      <w:bookmarkStart w:id="552" w:name="_Toc11713"/>
      <w:bookmarkStart w:id="553" w:name="_Toc462934334"/>
      <w:bookmarkStart w:id="554" w:name="_Toc8125"/>
      <w:bookmarkStart w:id="555" w:name="_Toc463011313"/>
      <w:bookmarkStart w:id="556" w:name="_Toc11631"/>
      <w:r>
        <w:rPr>
          <w:rFonts w:hint="eastAsia" w:ascii="Times New Roman" w:hAnsi="宋体" w:cs="黑体"/>
          <w:color w:val="auto"/>
          <w:kern w:val="2"/>
          <w:sz w:val="21"/>
          <w:szCs w:val="21"/>
        </w:rPr>
        <w:t>供应商质疑、投诉应当有明确的请求和必要的证明材料。供应商投诉的事项不得超出已质疑事项的范围。</w:t>
      </w:r>
      <w:bookmarkEnd w:id="550"/>
      <w:bookmarkEnd w:id="551"/>
      <w:bookmarkEnd w:id="552"/>
      <w:bookmarkEnd w:id="553"/>
      <w:bookmarkEnd w:id="554"/>
      <w:bookmarkEnd w:id="555"/>
      <w:bookmarkEnd w:id="556"/>
    </w:p>
    <w:p w14:paraId="52C827FC">
      <w:pPr>
        <w:pStyle w:val="63"/>
        <w:tabs>
          <w:tab w:val="left" w:pos="360"/>
        </w:tabs>
        <w:snapToGrid w:val="0"/>
        <w:spacing w:line="420" w:lineRule="exact"/>
        <w:contextualSpacing/>
        <w:jc w:val="both"/>
        <w:outlineLvl w:val="1"/>
        <w:rPr>
          <w:rFonts w:hAnsi="宋体" w:cs="黑体"/>
          <w:b/>
          <w:color w:val="auto"/>
        </w:rPr>
      </w:pPr>
      <w:bookmarkStart w:id="557" w:name="_Toc23414"/>
      <w:bookmarkStart w:id="558" w:name="_Toc32711"/>
      <w:r>
        <w:rPr>
          <w:rFonts w:hint="eastAsia" w:hAnsi="宋体"/>
          <w:b/>
          <w:bCs/>
          <w:color w:val="auto"/>
        </w:rPr>
        <w:t xml:space="preserve">9 </w:t>
      </w:r>
      <w:r>
        <w:rPr>
          <w:rFonts w:hint="eastAsia" w:hAnsi="宋体" w:cs="黑体"/>
          <w:b/>
          <w:color w:val="auto"/>
        </w:rPr>
        <w:t>需要补充的其他内容</w:t>
      </w:r>
      <w:bookmarkEnd w:id="557"/>
      <w:bookmarkEnd w:id="558"/>
    </w:p>
    <w:p w14:paraId="610AECFE">
      <w:pPr>
        <w:autoSpaceDE w:val="0"/>
        <w:autoSpaceDN w:val="0"/>
        <w:adjustRightInd w:val="0"/>
        <w:snapToGrid w:val="0"/>
        <w:spacing w:line="420" w:lineRule="exact"/>
        <w:ind w:firstLine="420" w:firstLineChars="200"/>
        <w:contextualSpacing/>
        <w:jc w:val="left"/>
        <w:rPr>
          <w:rFonts w:hint="eastAsia" w:ascii="宋体" w:hAnsi="宋体" w:cs="仿宋_GB2312"/>
          <w:kern w:val="0"/>
          <w:szCs w:val="21"/>
        </w:rPr>
      </w:pPr>
      <w:r>
        <w:rPr>
          <w:rFonts w:hint="eastAsia" w:ascii="宋体" w:hAnsi="宋体" w:cs="仿宋_GB2312"/>
          <w:kern w:val="0"/>
          <w:szCs w:val="21"/>
        </w:rPr>
        <w:t>需要补充的其他内容：见&lt;供应商须知前附表&gt;。</w:t>
      </w:r>
      <w:bookmarkStart w:id="559" w:name="_Toc502334463"/>
      <w:bookmarkStart w:id="560" w:name="_Toc369077052"/>
      <w:bookmarkStart w:id="561" w:name="_Toc270604617"/>
    </w:p>
    <w:p w14:paraId="13C80F10">
      <w:pPr>
        <w:autoSpaceDE w:val="0"/>
        <w:autoSpaceDN w:val="0"/>
        <w:adjustRightInd w:val="0"/>
        <w:snapToGrid w:val="0"/>
        <w:spacing w:line="420" w:lineRule="exact"/>
        <w:contextualSpacing/>
        <w:jc w:val="left"/>
        <w:outlineLvl w:val="1"/>
        <w:rPr>
          <w:rFonts w:hint="eastAsia" w:ascii="宋体" w:hAnsi="宋体" w:cs="仿宋_GB2312"/>
          <w:b/>
          <w:bCs/>
          <w:kern w:val="0"/>
          <w:szCs w:val="21"/>
        </w:rPr>
      </w:pPr>
      <w:r>
        <w:rPr>
          <w:rFonts w:hint="eastAsia" w:ascii="宋体" w:hAnsi="宋体" w:cs="仿宋_GB2312"/>
          <w:b/>
          <w:bCs/>
          <w:kern w:val="0"/>
          <w:szCs w:val="21"/>
        </w:rPr>
        <w:t>31</w:t>
      </w:r>
      <w:r>
        <w:rPr>
          <w:rFonts w:hint="eastAsia" w:ascii="宋体" w:hAnsi="宋体" w:cs="仿宋_GB2312"/>
          <w:b/>
          <w:bCs/>
          <w:kern w:val="0"/>
          <w:szCs w:val="21"/>
          <w:lang w:val="en-US" w:eastAsia="zh-CN"/>
        </w:rPr>
        <w:t xml:space="preserve">  </w:t>
      </w:r>
      <w:r>
        <w:rPr>
          <w:rFonts w:hint="eastAsia" w:ascii="宋体" w:hAnsi="宋体" w:cs="仿宋_GB2312"/>
          <w:b/>
          <w:bCs/>
          <w:kern w:val="0"/>
          <w:szCs w:val="21"/>
        </w:rPr>
        <w:t>履约保证金和预付款</w:t>
      </w:r>
    </w:p>
    <w:p w14:paraId="38E5B8D4">
      <w:pPr>
        <w:autoSpaceDE w:val="0"/>
        <w:autoSpaceDN w:val="0"/>
        <w:adjustRightInd w:val="0"/>
        <w:snapToGrid w:val="0"/>
        <w:spacing w:line="420" w:lineRule="exact"/>
        <w:contextualSpacing/>
        <w:jc w:val="left"/>
        <w:outlineLvl w:val="2"/>
        <w:rPr>
          <w:rFonts w:hint="eastAsia" w:ascii="宋体" w:hAnsi="宋体" w:cs="仿宋_GB2312"/>
          <w:kern w:val="0"/>
          <w:szCs w:val="21"/>
        </w:rPr>
      </w:pPr>
      <w:r>
        <w:rPr>
          <w:rFonts w:hint="eastAsia" w:ascii="宋体" w:hAnsi="宋体" w:cs="仿宋_GB2312"/>
          <w:kern w:val="0"/>
          <w:szCs w:val="21"/>
        </w:rPr>
        <w:t>31.1履约保证金</w:t>
      </w:r>
    </w:p>
    <w:p w14:paraId="255710EA">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31.1.1中标人应按照供应商须知资料表规定向采购人缴纳履约保证金。</w:t>
      </w:r>
    </w:p>
    <w:p w14:paraId="45F50E26">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31.1.2政府采购利用担保试点范围内的项目，除31.1.1规定的情形外，中标人也可以按照财政部门的规定，向采购人提供合格的履约担保函。</w:t>
      </w:r>
    </w:p>
    <w:p w14:paraId="469E73E0">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31.1.3如果中标人没有按照上述履约保证金的规定执行，将视为放弃中标资格，中标人的投标保证金将不予退还。在此情况下，采购人可确定下一候选人为中标人，也可以重新开展采购活动。</w:t>
      </w:r>
    </w:p>
    <w:p w14:paraId="0D4E44A2">
      <w:pPr>
        <w:autoSpaceDE w:val="0"/>
        <w:autoSpaceDN w:val="0"/>
        <w:adjustRightInd w:val="0"/>
        <w:snapToGrid w:val="0"/>
        <w:spacing w:line="420" w:lineRule="exact"/>
        <w:contextualSpacing/>
        <w:jc w:val="left"/>
        <w:outlineLvl w:val="2"/>
        <w:rPr>
          <w:rFonts w:hint="eastAsia" w:ascii="宋体" w:hAnsi="宋体" w:cs="仿宋_GB2312"/>
          <w:kern w:val="0"/>
          <w:szCs w:val="21"/>
        </w:rPr>
      </w:pPr>
      <w:r>
        <w:rPr>
          <w:rFonts w:hint="eastAsia" w:ascii="宋体" w:hAnsi="宋体" w:cs="仿宋_GB2312"/>
          <w:kern w:val="0"/>
          <w:szCs w:val="21"/>
        </w:rPr>
        <w:t>31.2预付款</w:t>
      </w:r>
    </w:p>
    <w:p w14:paraId="7159BAAB">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31.2.1各采购单位应按照供应商须知资料表规定向中标人支付预付款。</w:t>
      </w:r>
    </w:p>
    <w:p w14:paraId="7BC8ED9D">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31.2.2预付款比例原则上不低于合同金额的</w:t>
      </w:r>
      <w:r>
        <w:rPr>
          <w:rFonts w:hint="eastAsia" w:ascii="宋体" w:hAnsi="宋体" w:cs="仿宋_GB2312"/>
          <w:kern w:val="0"/>
          <w:szCs w:val="21"/>
          <w:lang w:val="en-US" w:eastAsia="zh-CN"/>
        </w:rPr>
        <w:t>60</w:t>
      </w:r>
      <w:r>
        <w:rPr>
          <w:rFonts w:hint="eastAsia" w:ascii="宋体" w:hAnsi="宋体" w:cs="仿宋_GB2312"/>
          <w:kern w:val="0"/>
          <w:szCs w:val="21"/>
        </w:rPr>
        <w:t>％，与疫情防控有关采购合同最高预付款比例可达100％。</w:t>
      </w:r>
    </w:p>
    <w:p w14:paraId="1482EBAF">
      <w:pPr>
        <w:autoSpaceDE w:val="0"/>
        <w:autoSpaceDN w:val="0"/>
        <w:adjustRightInd w:val="0"/>
        <w:snapToGrid w:val="0"/>
        <w:spacing w:line="420" w:lineRule="exact"/>
        <w:contextualSpacing/>
        <w:jc w:val="left"/>
        <w:rPr>
          <w:rFonts w:hint="eastAsia" w:ascii="宋体" w:hAnsi="宋体" w:cs="仿宋_GB2312"/>
          <w:kern w:val="0"/>
          <w:szCs w:val="21"/>
        </w:rPr>
      </w:pPr>
      <w:r>
        <w:rPr>
          <w:rFonts w:hint="eastAsia" w:ascii="宋体" w:hAnsi="宋体" w:cs="仿宋_GB2312"/>
          <w:kern w:val="0"/>
          <w:szCs w:val="21"/>
        </w:rPr>
        <w:t>31.2.3各采购单位可根据项目特点、供应商信用等情况，决定是否要求供应商提交电子预付款保函。疫情期间，对受疫情疫情影响严重的中小微企业应当取消预付款担保。</w:t>
      </w:r>
    </w:p>
    <w:p w14:paraId="0B515F29">
      <w:pPr>
        <w:rPr>
          <w:rFonts w:hint="eastAsia" w:ascii="宋体" w:hAnsi="宋体" w:cs="仿宋_GB2312"/>
          <w:kern w:val="0"/>
          <w:szCs w:val="21"/>
        </w:rPr>
      </w:pPr>
      <w:r>
        <w:rPr>
          <w:rFonts w:hint="eastAsia" w:ascii="宋体" w:hAnsi="宋体" w:cs="仿宋_GB2312"/>
          <w:kern w:val="0"/>
          <w:szCs w:val="21"/>
        </w:rPr>
        <w:t>31.2.4如需提供电子预付款保函，中标单位请通过商丘市公共资源交易中心电子保函平台全程网上办理，实现项目信息与保函信息的关联绑定，自动验真。</w:t>
      </w:r>
    </w:p>
    <w:p w14:paraId="4B1AC487">
      <w:pPr>
        <w:rPr>
          <w:rFonts w:hint="eastAsia"/>
          <w:b/>
          <w:bCs/>
          <w:kern w:val="0"/>
          <w:sz w:val="32"/>
          <w:szCs w:val="32"/>
          <w:lang w:val="en-US" w:eastAsia="zh-CN"/>
        </w:rPr>
      </w:pPr>
      <w:r>
        <w:rPr>
          <w:rFonts w:hint="eastAsia"/>
          <w:b/>
          <w:bCs/>
          <w:kern w:val="0"/>
          <w:sz w:val="32"/>
          <w:szCs w:val="32"/>
          <w:lang w:val="en-US" w:eastAsia="zh-CN"/>
        </w:rPr>
        <w:br w:type="page"/>
      </w:r>
    </w:p>
    <w:p w14:paraId="4B012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b/>
          <w:bCs/>
          <w:sz w:val="32"/>
          <w:szCs w:val="32"/>
          <w:lang w:val="en-US" w:eastAsia="zh-CN"/>
        </w:rPr>
      </w:pPr>
      <w:bookmarkStart w:id="562" w:name="_Toc15280"/>
      <w:r>
        <w:rPr>
          <w:rFonts w:hint="eastAsia"/>
          <w:b/>
          <w:bCs/>
          <w:sz w:val="32"/>
          <w:szCs w:val="32"/>
          <w:lang w:val="en-US" w:eastAsia="zh-CN"/>
        </w:rPr>
        <w:t xml:space="preserve">第三章 </w:t>
      </w:r>
      <w:bookmarkEnd w:id="559"/>
      <w:bookmarkEnd w:id="560"/>
      <w:r>
        <w:rPr>
          <w:rFonts w:hint="eastAsia"/>
          <w:b/>
          <w:bCs/>
          <w:sz w:val="32"/>
          <w:szCs w:val="32"/>
          <w:lang w:val="en-US" w:eastAsia="zh-CN"/>
        </w:rPr>
        <w:t>工程量清单、图纸（另附）</w:t>
      </w:r>
      <w:bookmarkEnd w:id="562"/>
    </w:p>
    <w:p w14:paraId="5E75B630">
      <w:pPr>
        <w:rPr>
          <w:rFonts w:hint="eastAsia"/>
          <w:b/>
          <w:bCs/>
          <w:sz w:val="32"/>
          <w:szCs w:val="32"/>
          <w:lang w:val="en-US" w:eastAsia="zh-CN"/>
        </w:rPr>
      </w:pPr>
      <w:bookmarkStart w:id="563" w:name="_Toc13127"/>
      <w:bookmarkStart w:id="564" w:name="_Toc8075"/>
      <w:r>
        <w:rPr>
          <w:rFonts w:hint="eastAsia"/>
          <w:b/>
          <w:bCs/>
          <w:sz w:val="32"/>
          <w:szCs w:val="32"/>
          <w:lang w:val="en-US" w:eastAsia="zh-CN"/>
        </w:rPr>
        <w:br w:type="page"/>
      </w:r>
    </w:p>
    <w:p w14:paraId="5EBE9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rightChars="0"/>
        <w:jc w:val="center"/>
        <w:textAlignment w:val="auto"/>
        <w:outlineLvl w:val="0"/>
        <w:rPr>
          <w:rFonts w:hint="eastAsia"/>
          <w:b/>
          <w:bCs/>
          <w:sz w:val="32"/>
          <w:szCs w:val="32"/>
          <w:lang w:val="en-US" w:eastAsia="zh-CN"/>
        </w:rPr>
      </w:pPr>
      <w:bookmarkStart w:id="565" w:name="_Toc10615"/>
      <w:r>
        <w:rPr>
          <w:rFonts w:hint="eastAsia"/>
          <w:b/>
          <w:bCs/>
          <w:sz w:val="32"/>
          <w:szCs w:val="32"/>
          <w:lang w:val="en-US" w:eastAsia="zh-CN"/>
        </w:rPr>
        <w:t>第四章 合同条款及格式</w:t>
      </w:r>
      <w:bookmarkEnd w:id="563"/>
      <w:bookmarkEnd w:id="564"/>
      <w:bookmarkEnd w:id="565"/>
    </w:p>
    <w:p w14:paraId="67B3CAB9">
      <w:pPr>
        <w:pStyle w:val="27"/>
        <w:numPr>
          <w:ilvl w:val="0"/>
          <w:numId w:val="0"/>
        </w:numPr>
        <w:spacing w:before="312" w:beforeLines="100" w:after="312" w:afterLines="100" w:line="600" w:lineRule="exact"/>
        <w:ind w:leftChars="0"/>
        <w:jc w:val="center"/>
        <w:outlineLvl w:val="1"/>
        <w:rPr>
          <w:rFonts w:hint="eastAsia" w:ascii="宋体" w:hAnsi="宋体" w:eastAsia="宋体" w:cs="宋体"/>
          <w:b w:val="0"/>
          <w:sz w:val="24"/>
          <w:szCs w:val="24"/>
          <w:shd w:val="clear" w:color="auto" w:fill="FFFFFF"/>
          <w:lang w:eastAsia="zh-CN"/>
        </w:rPr>
      </w:pPr>
      <w:bookmarkStart w:id="566" w:name="_Toc1705"/>
      <w:r>
        <w:rPr>
          <w:rFonts w:hint="eastAsia" w:ascii="宋体" w:hAnsi="宋体" w:eastAsia="宋体" w:cs="宋体"/>
          <w:b w:val="0"/>
          <w:sz w:val="24"/>
          <w:szCs w:val="24"/>
          <w:shd w:val="clear" w:color="auto" w:fill="FFFFFF"/>
        </w:rPr>
        <w:t>按照《建设工程施工合同（示范文本）》（GF-2017-0201）执行</w:t>
      </w:r>
      <w:r>
        <w:rPr>
          <w:rFonts w:hint="eastAsia" w:ascii="宋体" w:hAnsi="宋体" w:eastAsia="宋体" w:cs="宋体"/>
          <w:b w:val="0"/>
          <w:sz w:val="24"/>
          <w:szCs w:val="24"/>
          <w:shd w:val="clear" w:color="auto" w:fill="FFFFFF"/>
          <w:lang w:eastAsia="zh-CN"/>
        </w:rPr>
        <w:t>。</w:t>
      </w:r>
      <w:bookmarkEnd w:id="566"/>
      <w:bookmarkStart w:id="567" w:name="_Toc15978"/>
      <w:bookmarkStart w:id="568" w:name="_Toc31524"/>
    </w:p>
    <w:p w14:paraId="32934038">
      <w:pPr>
        <w:rPr>
          <w:rFonts w:hint="eastAsia" w:ascii="宋体" w:hAnsi="宋体" w:eastAsia="宋体" w:cs="宋体"/>
          <w:b w:val="0"/>
          <w:sz w:val="24"/>
          <w:szCs w:val="24"/>
          <w:shd w:val="clear" w:color="auto" w:fill="FFFFFF"/>
          <w:lang w:eastAsia="zh-CN"/>
        </w:rPr>
      </w:pPr>
      <w:r>
        <w:rPr>
          <w:rFonts w:hint="eastAsia" w:ascii="宋体" w:hAnsi="宋体" w:eastAsia="宋体" w:cs="宋体"/>
          <w:b w:val="0"/>
          <w:sz w:val="24"/>
          <w:szCs w:val="24"/>
          <w:shd w:val="clear" w:color="auto" w:fill="FFFFFF"/>
          <w:lang w:eastAsia="zh-CN"/>
        </w:rPr>
        <w:br w:type="page"/>
      </w:r>
    </w:p>
    <w:p w14:paraId="5A3EF0C5">
      <w:pPr>
        <w:pStyle w:val="27"/>
        <w:numPr>
          <w:ilvl w:val="0"/>
          <w:numId w:val="0"/>
        </w:numPr>
        <w:spacing w:before="312" w:beforeLines="100" w:after="312" w:afterLines="100" w:line="600" w:lineRule="exact"/>
        <w:ind w:leftChars="0"/>
        <w:jc w:val="center"/>
        <w:outlineLvl w:val="0"/>
        <w:rPr>
          <w:b/>
          <w:bCs/>
          <w:sz w:val="32"/>
          <w:szCs w:val="32"/>
        </w:rPr>
      </w:pPr>
      <w:bookmarkStart w:id="569" w:name="_Toc11474"/>
      <w:bookmarkStart w:id="570" w:name="_Toc26798"/>
      <w:r>
        <w:rPr>
          <w:rFonts w:hint="eastAsia"/>
          <w:b/>
          <w:bCs/>
          <w:sz w:val="32"/>
          <w:szCs w:val="32"/>
          <w:lang w:val="en-US" w:eastAsia="zh-CN"/>
        </w:rPr>
        <w:t xml:space="preserve">第五章 </w:t>
      </w:r>
      <w:r>
        <w:rPr>
          <w:rFonts w:hint="eastAsia"/>
          <w:b/>
          <w:bCs/>
          <w:sz w:val="32"/>
          <w:szCs w:val="32"/>
        </w:rPr>
        <w:t>磋商响应文件格式</w:t>
      </w:r>
      <w:bookmarkEnd w:id="561"/>
      <w:bookmarkEnd w:id="567"/>
      <w:bookmarkEnd w:id="568"/>
      <w:bookmarkEnd w:id="569"/>
      <w:bookmarkEnd w:id="570"/>
    </w:p>
    <w:p w14:paraId="42A39108">
      <w:pPr>
        <w:pStyle w:val="27"/>
        <w:wordWrap w:val="0"/>
        <w:spacing w:before="312" w:beforeLines="100" w:after="312" w:afterLines="100" w:line="600" w:lineRule="exact"/>
        <w:jc w:val="right"/>
        <w:rPr>
          <w:rFonts w:hint="eastAsia"/>
          <w:b/>
          <w:sz w:val="52"/>
          <w:szCs w:val="52"/>
        </w:rPr>
        <w:sectPr>
          <w:footerReference r:id="rId4" w:type="default"/>
          <w:pgSz w:w="11907" w:h="16840"/>
          <w:pgMar w:top="1417" w:right="1417" w:bottom="1417" w:left="1417" w:header="624" w:footer="641" w:gutter="0"/>
          <w:pgNumType w:fmt="decimal" w:start="1"/>
          <w:cols w:space="720" w:num="1"/>
          <w:docGrid w:type="linesAndChars" w:linePitch="312" w:charSpace="0"/>
        </w:sectPr>
      </w:pPr>
      <w:r>
        <w:rPr>
          <w:rFonts w:hint="eastAsia"/>
          <w:b/>
          <w:sz w:val="52"/>
          <w:szCs w:val="52"/>
        </w:rPr>
        <w:t xml:space="preserve"> </w:t>
      </w:r>
    </w:p>
    <w:p w14:paraId="562B756D">
      <w:pPr>
        <w:pStyle w:val="27"/>
        <w:spacing w:before="312" w:beforeLines="100" w:after="312" w:afterLines="100" w:line="600" w:lineRule="exact"/>
        <w:jc w:val="center"/>
        <w:rPr>
          <w:rFonts w:hint="eastAsia"/>
          <w:b/>
          <w:sz w:val="52"/>
          <w:szCs w:val="52"/>
        </w:rPr>
      </w:pPr>
    </w:p>
    <w:p w14:paraId="1EAFF3DF">
      <w:pPr>
        <w:pStyle w:val="27"/>
        <w:spacing w:before="312" w:beforeLines="100" w:after="312" w:afterLines="100" w:line="600" w:lineRule="exact"/>
        <w:jc w:val="center"/>
        <w:outlineLvl w:val="1"/>
        <w:rPr>
          <w:rFonts w:hint="default" w:eastAsia="宋体"/>
          <w:b/>
          <w:sz w:val="44"/>
          <w:szCs w:val="44"/>
          <w:lang w:val="en-US" w:eastAsia="zh-CN"/>
        </w:rPr>
      </w:pPr>
      <w:r>
        <w:rPr>
          <w:rFonts w:hint="eastAsia"/>
          <w:b/>
          <w:sz w:val="44"/>
          <w:szCs w:val="44"/>
          <w:u w:val="single"/>
        </w:rPr>
        <w:t xml:space="preserve">             </w:t>
      </w:r>
      <w:r>
        <w:rPr>
          <w:rFonts w:hint="eastAsia"/>
          <w:b/>
          <w:sz w:val="44"/>
          <w:szCs w:val="44"/>
          <w:u w:val="single"/>
          <w:lang w:val="en-US" w:eastAsia="zh-CN"/>
        </w:rPr>
        <w:t xml:space="preserve">     </w:t>
      </w:r>
      <w:r>
        <w:rPr>
          <w:rFonts w:hint="eastAsia"/>
          <w:b/>
          <w:sz w:val="44"/>
          <w:szCs w:val="44"/>
          <w:u w:val="single"/>
        </w:rPr>
        <w:t xml:space="preserve">    </w:t>
      </w:r>
      <w:r>
        <w:rPr>
          <w:rFonts w:hint="eastAsia"/>
          <w:b/>
          <w:sz w:val="44"/>
          <w:szCs w:val="44"/>
          <w:lang w:eastAsia="zh-CN"/>
        </w:rPr>
        <w:t>（项目名称）</w:t>
      </w:r>
    </w:p>
    <w:p w14:paraId="035EE6C6">
      <w:pPr>
        <w:pStyle w:val="27"/>
        <w:spacing w:before="312" w:beforeLines="100" w:after="312" w:afterLines="100" w:line="600" w:lineRule="exact"/>
        <w:jc w:val="center"/>
        <w:rPr>
          <w:rFonts w:hint="eastAsia"/>
          <w:b/>
          <w:bCs/>
          <w:sz w:val="32"/>
          <w:u w:val="single"/>
        </w:rPr>
      </w:pPr>
    </w:p>
    <w:p w14:paraId="1C0D2CC2">
      <w:pPr>
        <w:pStyle w:val="27"/>
        <w:spacing w:before="312" w:beforeLines="100" w:after="312" w:afterLines="100"/>
        <w:jc w:val="center"/>
        <w:rPr>
          <w:rFonts w:hint="eastAsia"/>
          <w:b/>
          <w:bCs/>
          <w:sz w:val="72"/>
          <w:szCs w:val="72"/>
        </w:rPr>
      </w:pPr>
      <w:r>
        <w:rPr>
          <w:rFonts w:hint="eastAsia"/>
          <w:b/>
          <w:bCs/>
          <w:sz w:val="58"/>
          <w:szCs w:val="58"/>
        </w:rPr>
        <w:t>响应性文件</w:t>
      </w:r>
    </w:p>
    <w:p w14:paraId="557BB42E">
      <w:pPr>
        <w:widowControl/>
        <w:wordWrap w:val="0"/>
        <w:spacing w:line="600" w:lineRule="auto"/>
        <w:ind w:left="2940" w:leftChars="1400"/>
        <w:rPr>
          <w:rFonts w:hint="eastAsia" w:ascii="黑体" w:hAnsi="黑体" w:eastAsia="黑体" w:cs="黑体"/>
          <w:b/>
          <w:bCs/>
          <w:kern w:val="0"/>
          <w:sz w:val="24"/>
          <w:szCs w:val="24"/>
          <w:lang w:eastAsia="zh-CN"/>
        </w:rPr>
      </w:pPr>
      <w:r>
        <w:rPr>
          <w:rFonts w:hint="eastAsia" w:ascii="黑体" w:hAnsi="黑体" w:eastAsia="黑体" w:cs="黑体"/>
          <w:b/>
          <w:bCs/>
          <w:kern w:val="0"/>
          <w:sz w:val="24"/>
          <w:szCs w:val="24"/>
        </w:rPr>
        <w:t>采购编号：</w:t>
      </w:r>
      <w:r>
        <w:rPr>
          <w:rFonts w:hint="eastAsia" w:ascii="黑体" w:hAnsi="黑体" w:eastAsia="黑体" w:cs="黑体"/>
          <w:b/>
          <w:bCs/>
          <w:kern w:val="0"/>
          <w:sz w:val="24"/>
          <w:szCs w:val="24"/>
          <w:lang w:val="en-US" w:eastAsia="zh-CN"/>
        </w:rPr>
        <w:t xml:space="preserve"> </w:t>
      </w:r>
    </w:p>
    <w:p w14:paraId="1381990B">
      <w:pPr>
        <w:widowControl/>
        <w:wordWrap w:val="0"/>
        <w:spacing w:line="600" w:lineRule="auto"/>
        <w:ind w:left="2940" w:leftChars="1400"/>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 xml:space="preserve">招标编号： </w:t>
      </w:r>
    </w:p>
    <w:p w14:paraId="201B18BF">
      <w:pPr>
        <w:pStyle w:val="27"/>
        <w:spacing w:before="312" w:beforeLines="100" w:after="312" w:afterLines="100" w:line="360" w:lineRule="exact"/>
        <w:ind w:firstLine="2520" w:firstLineChars="900"/>
        <w:rPr>
          <w:rFonts w:hint="eastAsia" w:hAnsi="宋体" w:cs="宋体"/>
          <w:sz w:val="28"/>
          <w:szCs w:val="28"/>
        </w:rPr>
      </w:pPr>
    </w:p>
    <w:p w14:paraId="46AC3D45">
      <w:pPr>
        <w:pStyle w:val="27"/>
        <w:spacing w:before="312" w:beforeLines="100" w:after="312" w:afterLines="100" w:line="600" w:lineRule="exact"/>
        <w:jc w:val="center"/>
        <w:rPr>
          <w:rFonts w:hint="eastAsia"/>
          <w:b/>
          <w:bCs/>
          <w:sz w:val="32"/>
          <w:u w:val="single"/>
        </w:rPr>
      </w:pPr>
    </w:p>
    <w:p w14:paraId="1FAF05F5">
      <w:pPr>
        <w:pStyle w:val="27"/>
        <w:spacing w:before="312" w:beforeLines="100" w:after="312" w:afterLines="100" w:line="600" w:lineRule="exact"/>
        <w:jc w:val="center"/>
        <w:rPr>
          <w:rFonts w:hint="eastAsia"/>
          <w:b/>
          <w:bCs/>
          <w:sz w:val="32"/>
          <w:u w:val="single"/>
        </w:rPr>
      </w:pPr>
    </w:p>
    <w:p w14:paraId="79EA01C2">
      <w:pPr>
        <w:pStyle w:val="27"/>
        <w:spacing w:before="312" w:beforeLines="100" w:after="312" w:afterLines="100" w:line="600" w:lineRule="exact"/>
        <w:jc w:val="center"/>
        <w:rPr>
          <w:rFonts w:hint="eastAsia"/>
          <w:b/>
          <w:bCs/>
          <w:sz w:val="32"/>
          <w:u w:val="single"/>
        </w:rPr>
      </w:pPr>
    </w:p>
    <w:p w14:paraId="518DD10D">
      <w:pPr>
        <w:pStyle w:val="27"/>
        <w:spacing w:before="312" w:beforeLines="100" w:after="312" w:afterLines="100" w:line="600" w:lineRule="exact"/>
        <w:jc w:val="both"/>
        <w:rPr>
          <w:rFonts w:hint="eastAsia"/>
          <w:b/>
          <w:bCs/>
          <w:sz w:val="28"/>
          <w:szCs w:val="20"/>
          <w:u w:val="single"/>
        </w:rPr>
      </w:pPr>
    </w:p>
    <w:p w14:paraId="43AECC16">
      <w:pPr>
        <w:pStyle w:val="27"/>
        <w:spacing w:before="312" w:beforeLines="100" w:after="312" w:afterLines="100" w:line="600" w:lineRule="exact"/>
        <w:ind w:left="840" w:leftChars="400" w:firstLine="712" w:firstLineChars="297"/>
        <w:rPr>
          <w:rFonts w:hint="eastAsia"/>
          <w:b/>
          <w:bCs/>
          <w:sz w:val="24"/>
          <w:szCs w:val="18"/>
          <w:u w:val="single"/>
        </w:rPr>
      </w:pPr>
      <w:r>
        <w:rPr>
          <w:rFonts w:hint="eastAsia"/>
          <w:b/>
          <w:bCs/>
          <w:sz w:val="24"/>
          <w:szCs w:val="18"/>
        </w:rPr>
        <w:t>供  应  商：</w:t>
      </w:r>
      <w:r>
        <w:rPr>
          <w:rFonts w:hint="eastAsia"/>
          <w:b/>
          <w:bCs/>
          <w:sz w:val="24"/>
          <w:szCs w:val="18"/>
          <w:u w:val="single"/>
        </w:rPr>
        <w:t xml:space="preserve">                     </w:t>
      </w:r>
      <w:r>
        <w:rPr>
          <w:rFonts w:hint="eastAsia"/>
          <w:b/>
          <w:bCs/>
          <w:sz w:val="24"/>
          <w:szCs w:val="18"/>
        </w:rPr>
        <w:t>（盖单位章）</w:t>
      </w:r>
    </w:p>
    <w:p w14:paraId="3DB2C99F">
      <w:pPr>
        <w:pStyle w:val="27"/>
        <w:spacing w:before="312" w:beforeLines="100" w:after="312" w:afterLines="100" w:line="600" w:lineRule="exact"/>
        <w:ind w:left="840" w:leftChars="400" w:firstLine="712" w:firstLineChars="297"/>
        <w:rPr>
          <w:rFonts w:hint="eastAsia"/>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（签字或盖章）</w:t>
      </w:r>
    </w:p>
    <w:p w14:paraId="2FC27AEB">
      <w:pPr>
        <w:pStyle w:val="22"/>
        <w:spacing w:line="500" w:lineRule="exact"/>
        <w:ind w:left="1528" w:leftChars="728" w:firstLine="0" w:firstLineChars="0"/>
        <w:rPr>
          <w:rFonts w:hint="eastAsia"/>
          <w:b/>
          <w:bCs/>
          <w:sz w:val="24"/>
          <w:szCs w:val="24"/>
        </w:rPr>
      </w:pPr>
      <w:r>
        <w:rPr>
          <w:rFonts w:hint="eastAsia"/>
          <w:b/>
          <w:bCs/>
          <w:sz w:val="24"/>
          <w:szCs w:val="24"/>
        </w:rPr>
        <w:t>日       期：       年    月    日</w:t>
      </w:r>
    </w:p>
    <w:p w14:paraId="4AD21AFF">
      <w:pPr>
        <w:pStyle w:val="22"/>
        <w:spacing w:line="500" w:lineRule="exact"/>
        <w:ind w:left="840" w:leftChars="400" w:firstLine="1979" w:firstLineChars="707"/>
        <w:rPr>
          <w:rFonts w:hint="eastAsia"/>
          <w:b/>
          <w:bCs/>
          <w:sz w:val="28"/>
          <w:szCs w:val="28"/>
        </w:rPr>
      </w:pPr>
    </w:p>
    <w:p w14:paraId="0F499621">
      <w:pPr>
        <w:pStyle w:val="22"/>
        <w:spacing w:line="500" w:lineRule="exact"/>
        <w:ind w:left="0" w:leftChars="0" w:firstLine="2121" w:firstLineChars="707"/>
        <w:rPr>
          <w:rFonts w:hint="eastAsia"/>
          <w:b/>
          <w:bCs/>
          <w:sz w:val="30"/>
          <w:szCs w:val="30"/>
        </w:rPr>
      </w:pPr>
    </w:p>
    <w:p w14:paraId="6E7B2724">
      <w:pPr>
        <w:pStyle w:val="22"/>
        <w:spacing w:line="500" w:lineRule="exact"/>
        <w:ind w:left="0" w:leftChars="0" w:firstLine="2121" w:firstLineChars="707"/>
        <w:rPr>
          <w:rFonts w:hint="eastAsia"/>
          <w:b/>
          <w:bCs/>
          <w:sz w:val="30"/>
          <w:szCs w:val="30"/>
        </w:rPr>
      </w:pPr>
    </w:p>
    <w:p w14:paraId="4C4DE522">
      <w:pPr>
        <w:autoSpaceDE w:val="0"/>
        <w:autoSpaceDN w:val="0"/>
        <w:adjustRightInd w:val="0"/>
        <w:snapToGrid w:val="0"/>
        <w:spacing w:line="360" w:lineRule="auto"/>
        <w:ind w:firstLine="540" w:firstLineChars="225"/>
        <w:contextualSpacing/>
        <w:jc w:val="center"/>
        <w:rPr>
          <w:rFonts w:hint="eastAsia"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目  录</w:t>
      </w:r>
    </w:p>
    <w:p w14:paraId="203551D6">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p>
    <w:p w14:paraId="632E7C31">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lang w:eastAsia="zh-CN"/>
        </w:rPr>
        <w:t>（</w:t>
      </w:r>
      <w:r>
        <w:rPr>
          <w:rFonts w:ascii="宋体" w:hAnsi="宋体" w:cs="仿宋_GB2312"/>
          <w:kern w:val="0"/>
          <w:szCs w:val="21"/>
        </w:rPr>
        <w:t>1</w:t>
      </w:r>
      <w:r>
        <w:rPr>
          <w:rFonts w:hint="eastAsia" w:ascii="宋体" w:hAnsi="宋体" w:cs="仿宋_GB2312"/>
          <w:kern w:val="0"/>
          <w:szCs w:val="21"/>
        </w:rPr>
        <w:t>）报价函</w:t>
      </w:r>
    </w:p>
    <w:p w14:paraId="1BFBED4B">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462B2794">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2A6E369E">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w:t>
      </w:r>
      <w:r>
        <w:rPr>
          <w:rFonts w:hint="eastAsia" w:ascii="宋体" w:hAnsi="宋体"/>
          <w:szCs w:val="21"/>
        </w:rPr>
        <w:t>授权委托书</w:t>
      </w:r>
    </w:p>
    <w:p w14:paraId="20D3DAF9">
      <w:pPr>
        <w:autoSpaceDE w:val="0"/>
        <w:autoSpaceDN w:val="0"/>
        <w:adjustRightInd w:val="0"/>
        <w:snapToGrid w:val="0"/>
        <w:spacing w:line="360" w:lineRule="auto"/>
        <w:ind w:firstLine="472" w:firstLineChars="225"/>
        <w:contextualSpacing/>
        <w:jc w:val="left"/>
        <w:rPr>
          <w:rFonts w:hint="eastAsia" w:ascii="宋体" w:hAnsi="宋体" w:eastAsia="Times New Roman" w:cs="仿宋_GB2312"/>
          <w:kern w:val="0"/>
          <w:szCs w:val="21"/>
        </w:rPr>
      </w:pPr>
      <w:r>
        <w:rPr>
          <w:rFonts w:hint="eastAsia" w:ascii="宋体" w:hAnsi="宋体" w:cs="仿宋_GB2312"/>
          <w:kern w:val="0"/>
          <w:szCs w:val="21"/>
        </w:rPr>
        <w:t>（5）已标价工程量清单</w:t>
      </w:r>
    </w:p>
    <w:p w14:paraId="327E648E">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（6）</w:t>
      </w:r>
      <w:r>
        <w:rPr>
          <w:rFonts w:hint="eastAsia" w:ascii="宋体" w:hAnsi="宋体"/>
          <w:szCs w:val="21"/>
        </w:rPr>
        <w:t>供应商的资格及证明文件</w:t>
      </w:r>
    </w:p>
    <w:p w14:paraId="05FCE570">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7</w:t>
      </w:r>
      <w:r>
        <w:rPr>
          <w:rFonts w:hint="eastAsia" w:ascii="宋体" w:hAnsi="宋体" w:cs="仿宋_GB2312"/>
          <w:kern w:val="0"/>
          <w:szCs w:val="21"/>
        </w:rPr>
        <w:t>）供应商类似的项目业绩清单</w:t>
      </w:r>
      <w:r>
        <w:rPr>
          <w:rFonts w:ascii="宋体" w:hAnsi="宋体" w:cs="仿宋_GB2312"/>
          <w:kern w:val="0"/>
          <w:szCs w:val="21"/>
        </w:rPr>
        <w:tab/>
      </w:r>
    </w:p>
    <w:p w14:paraId="386E4C10">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仿宋_GB2312"/>
          <w:kern w:val="0"/>
          <w:szCs w:val="21"/>
          <w:lang w:val="en-US" w:eastAsia="zh-CN"/>
        </w:rPr>
        <w:t>8</w:t>
      </w:r>
      <w:r>
        <w:rPr>
          <w:rFonts w:hint="eastAsia" w:ascii="宋体" w:hAnsi="宋体" w:cs="仿宋_GB2312"/>
          <w:kern w:val="0"/>
          <w:szCs w:val="21"/>
        </w:rPr>
        <w:t>）施工组织设计内容</w:t>
      </w:r>
    </w:p>
    <w:p w14:paraId="6BAFF1E5">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（9）</w:t>
      </w:r>
      <w:r>
        <w:rPr>
          <w:rFonts w:hint="eastAsia"/>
        </w:rPr>
        <w:t>项目管理机构表</w:t>
      </w:r>
    </w:p>
    <w:p w14:paraId="3538322D">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（1</w:t>
      </w:r>
      <w:r>
        <w:rPr>
          <w:rFonts w:hint="eastAsia" w:ascii="宋体" w:hAnsi="宋体" w:cs="仿宋_GB2312"/>
          <w:kern w:val="0"/>
          <w:szCs w:val="21"/>
          <w:lang w:val="en-US" w:eastAsia="zh-CN"/>
        </w:rPr>
        <w:t>0</w:t>
      </w:r>
      <w:r>
        <w:rPr>
          <w:rFonts w:hint="eastAsia" w:ascii="宋体" w:hAnsi="宋体" w:cs="仿宋_GB2312"/>
          <w:kern w:val="0"/>
          <w:szCs w:val="21"/>
        </w:rPr>
        <w:t>）反商业贿赂承诺书</w:t>
      </w:r>
    </w:p>
    <w:p w14:paraId="10C6B3EC">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lang w:val="en-US" w:eastAsia="zh-CN"/>
        </w:rPr>
        <w:t>1</w:t>
      </w:r>
      <w:r>
        <w:rPr>
          <w:rFonts w:hint="eastAsia" w:ascii="宋体" w:hAnsi="宋体" w:cs="仿宋_GB2312"/>
          <w:kern w:val="0"/>
          <w:szCs w:val="21"/>
        </w:rPr>
        <w:t>）其它资料</w:t>
      </w:r>
    </w:p>
    <w:p w14:paraId="181ADCE2">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lang w:val="en-US" w:eastAsia="zh-CN"/>
        </w:rPr>
      </w:pPr>
      <w:r>
        <w:rPr>
          <w:rFonts w:hint="eastAsia" w:ascii="宋体" w:hAnsi="宋体" w:cs="仿宋_GB2312"/>
          <w:kern w:val="0"/>
          <w:szCs w:val="21"/>
          <w:lang w:eastAsia="zh-CN"/>
        </w:rPr>
        <w:t>（</w:t>
      </w:r>
      <w:r>
        <w:rPr>
          <w:rFonts w:hint="eastAsia" w:ascii="宋体" w:hAnsi="宋体" w:cs="仿宋_GB2312"/>
          <w:kern w:val="0"/>
          <w:szCs w:val="21"/>
          <w:lang w:val="en-US" w:eastAsia="zh-CN"/>
        </w:rPr>
        <w:t>12）中小企业声明函</w:t>
      </w:r>
    </w:p>
    <w:p w14:paraId="289F0DA5">
      <w:pPr>
        <w:autoSpaceDE w:val="0"/>
        <w:autoSpaceDN w:val="0"/>
        <w:adjustRightInd w:val="0"/>
        <w:snapToGrid w:val="0"/>
        <w:spacing w:line="360" w:lineRule="auto"/>
        <w:ind w:firstLine="472" w:firstLineChars="225"/>
        <w:contextualSpacing/>
        <w:jc w:val="left"/>
        <w:rPr>
          <w:rFonts w:hint="eastAsia"/>
        </w:rPr>
      </w:pPr>
      <w:r>
        <w:rPr>
          <w:rFonts w:hint="eastAsia"/>
          <w:lang w:val="en-US" w:eastAsia="zh-CN"/>
        </w:rPr>
        <w:t>（13）残疾人福利性单位声明函</w:t>
      </w:r>
    </w:p>
    <w:p w14:paraId="2678EA37">
      <w:pPr>
        <w:pStyle w:val="63"/>
        <w:numPr>
          <w:ilvl w:val="0"/>
          <w:numId w:val="4"/>
        </w:numPr>
        <w:spacing w:line="420" w:lineRule="exact"/>
        <w:jc w:val="center"/>
        <w:outlineLvl w:val="1"/>
        <w:rPr>
          <w:rFonts w:hint="eastAsia" w:hAnsi="宋体"/>
          <w:b/>
          <w:color w:val="auto"/>
          <w:sz w:val="28"/>
          <w:szCs w:val="28"/>
        </w:rPr>
      </w:pPr>
      <w:r>
        <w:rPr>
          <w:bCs/>
          <w:color w:val="auto"/>
          <w:sz w:val="28"/>
          <w:szCs w:val="28"/>
        </w:rPr>
        <w:br w:type="page"/>
      </w:r>
      <w:bookmarkStart w:id="571" w:name="_Toc21644"/>
      <w:bookmarkStart w:id="572" w:name="_Toc11175"/>
      <w:r>
        <w:rPr>
          <w:rFonts w:hint="eastAsia" w:hAnsi="宋体"/>
          <w:b/>
          <w:color w:val="auto"/>
          <w:sz w:val="28"/>
          <w:lang w:val="zh-CN"/>
        </w:rPr>
        <w:t>报价函</w:t>
      </w:r>
      <w:bookmarkEnd w:id="571"/>
      <w:bookmarkEnd w:id="572"/>
    </w:p>
    <w:p w14:paraId="28E742A1">
      <w:pPr>
        <w:pStyle w:val="22"/>
        <w:spacing w:line="420" w:lineRule="exact"/>
        <w:ind w:left="98" w:leftChars="0" w:hanging="98" w:hangingChars="47"/>
        <w:rPr>
          <w:rFonts w:hint="eastAsia" w:ascii="宋体" w:hAnsi="宋体"/>
          <w:szCs w:val="21"/>
        </w:rPr>
      </w:pPr>
      <w:r>
        <w:rPr>
          <w:rFonts w:hint="eastAsia" w:ascii="宋体" w:hAnsi="宋体"/>
          <w:szCs w:val="21"/>
        </w:rPr>
        <w:t>致：</w:t>
      </w:r>
      <w:r>
        <w:rPr>
          <w:rFonts w:hint="eastAsia" w:ascii="宋体" w:hAnsi="宋体"/>
          <w:szCs w:val="21"/>
          <w:u w:val="single"/>
        </w:rPr>
        <w:t>（采购人）</w:t>
      </w:r>
    </w:p>
    <w:p w14:paraId="52E4C6C6">
      <w:pPr>
        <w:pStyle w:val="22"/>
        <w:numPr>
          <w:ilvl w:val="0"/>
          <w:numId w:val="5"/>
        </w:numPr>
        <w:spacing w:line="420" w:lineRule="exact"/>
        <w:ind w:left="1" w:leftChars="0" w:firstLine="420" w:firstLineChars="200"/>
        <w:rPr>
          <w:rFonts w:hint="eastAsia" w:ascii="宋体" w:hAnsi="宋体"/>
          <w:szCs w:val="21"/>
        </w:rPr>
      </w:pPr>
      <w:r>
        <w:rPr>
          <w:rFonts w:hint="eastAsia" w:ascii="宋体" w:hAnsi="宋体"/>
          <w:szCs w:val="21"/>
        </w:rPr>
        <w:t>根据已收到的</w:t>
      </w:r>
      <w:r>
        <w:rPr>
          <w:rFonts w:hint="eastAsia" w:ascii="宋体" w:hAnsi="宋体"/>
          <w:szCs w:val="21"/>
          <w:u w:val="single"/>
        </w:rPr>
        <w:t xml:space="preserve">       （项目名称</w:t>
      </w:r>
      <w:r>
        <w:rPr>
          <w:rFonts w:ascii="宋体" w:hAnsi="宋体"/>
          <w:szCs w:val="21"/>
          <w:u w:val="single"/>
        </w:rPr>
        <w:t>）</w:t>
      </w:r>
      <w:r>
        <w:rPr>
          <w:rFonts w:hint="eastAsia" w:ascii="宋体" w:hAnsi="宋体"/>
          <w:szCs w:val="21"/>
          <w:u w:val="single"/>
        </w:rPr>
        <w:t xml:space="preserve">     </w:t>
      </w:r>
      <w:r>
        <w:rPr>
          <w:rFonts w:hint="eastAsia" w:ascii="宋体" w:hAnsi="宋体"/>
          <w:szCs w:val="21"/>
        </w:rPr>
        <w:t>的竞争性磋商文件，遵照《中华人民共和国政府采购法》等有关规定，经考察和认真研究本项目竞争性磋商文件及其它有关文件后，我方愿意遵守竞争性磋商文件中的各项规定，严格按照“技术标准和要求”实施本项</w:t>
      </w:r>
      <w:r>
        <w:rPr>
          <w:rFonts w:hint="eastAsia" w:ascii="宋体" w:hAnsi="宋体"/>
          <w:color w:val="auto"/>
          <w:szCs w:val="21"/>
        </w:rPr>
        <w:t>目，</w:t>
      </w:r>
      <w:r>
        <w:rPr>
          <w:rFonts w:hint="eastAsia" w:ascii="宋体" w:hAnsi="宋体" w:eastAsia="宋体" w:cs="宋体"/>
          <w:color w:val="auto"/>
          <w:sz w:val="21"/>
        </w:rPr>
        <w:t>首次总报价</w:t>
      </w:r>
      <w:r>
        <w:rPr>
          <w:rFonts w:hint="eastAsia" w:ascii="宋体" w:hAnsi="宋体"/>
          <w:color w:val="auto"/>
          <w:szCs w:val="21"/>
        </w:rPr>
        <w:t>为（</w:t>
      </w:r>
      <w:r>
        <w:rPr>
          <w:rFonts w:hint="eastAsia" w:ascii="宋体" w:hAnsi="宋体"/>
          <w:szCs w:val="21"/>
        </w:rPr>
        <w:t>大写）</w:t>
      </w:r>
    </w:p>
    <w:p w14:paraId="2B5A2E9D">
      <w:pPr>
        <w:pStyle w:val="22"/>
        <w:numPr>
          <w:ilvl w:val="0"/>
          <w:numId w:val="0"/>
        </w:num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），并承担其任何质量缺陷等问题所造成的任何损失。</w:t>
      </w:r>
    </w:p>
    <w:p w14:paraId="4A516300">
      <w:pPr>
        <w:pStyle w:val="22"/>
        <w:spacing w:line="420" w:lineRule="exact"/>
        <w:ind w:left="1" w:leftChars="0" w:firstLine="420" w:firstLineChars="200"/>
        <w:rPr>
          <w:rFonts w:hint="eastAsia" w:ascii="宋体" w:hAnsi="宋体"/>
          <w:szCs w:val="21"/>
        </w:rPr>
      </w:pPr>
      <w:r>
        <w:rPr>
          <w:rFonts w:ascii="宋体" w:hAnsi="宋体"/>
          <w:szCs w:val="21"/>
        </w:rPr>
        <w:t>2</w:t>
      </w:r>
      <w:r>
        <w:rPr>
          <w:rFonts w:hint="eastAsia" w:ascii="宋体" w:hAnsi="宋体"/>
          <w:szCs w:val="21"/>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2B9CF8DC">
      <w:pPr>
        <w:pStyle w:val="22"/>
        <w:spacing w:line="420" w:lineRule="exact"/>
        <w:ind w:left="1" w:leftChars="0" w:firstLine="420" w:firstLineChars="200"/>
        <w:rPr>
          <w:rFonts w:hint="eastAsia" w:ascii="宋体" w:hAnsi="宋体"/>
          <w:szCs w:val="21"/>
        </w:rPr>
      </w:pPr>
      <w:r>
        <w:rPr>
          <w:rFonts w:ascii="宋体" w:hAnsi="宋体"/>
          <w:szCs w:val="21"/>
        </w:rPr>
        <w:t>3</w:t>
      </w:r>
      <w:r>
        <w:rPr>
          <w:rFonts w:hint="eastAsia" w:ascii="宋体" w:hAnsi="宋体"/>
          <w:szCs w:val="21"/>
        </w:rPr>
        <w:t>．我方在此承诺，我方若能成交，</w:t>
      </w:r>
      <w:r>
        <w:rPr>
          <w:rFonts w:hint="eastAsia" w:ascii="宋体" w:hAnsi="宋体"/>
          <w:szCs w:val="21"/>
          <w:lang w:val="en-US" w:eastAsia="zh-CN"/>
        </w:rPr>
        <w:t>自合同签订后</w:t>
      </w:r>
      <w:r>
        <w:rPr>
          <w:rFonts w:hint="eastAsia" w:ascii="宋体" w:hAnsi="宋体"/>
          <w:szCs w:val="21"/>
          <w:u w:val="single"/>
          <w:lang w:val="en-US" w:eastAsia="zh-CN"/>
        </w:rPr>
        <w:t xml:space="preserve">      </w:t>
      </w:r>
      <w:r>
        <w:rPr>
          <w:rFonts w:hint="eastAsia" w:ascii="宋体" w:hAnsi="宋体"/>
          <w:szCs w:val="21"/>
          <w:lang w:val="en-US" w:eastAsia="zh-CN"/>
        </w:rPr>
        <w:t>日历天内</w:t>
      </w:r>
      <w:r>
        <w:rPr>
          <w:rFonts w:hint="eastAsia" w:ascii="宋体" w:hAnsi="宋体"/>
          <w:szCs w:val="21"/>
        </w:rPr>
        <w:t>（工期），全面履行竞争性磋商文件中规定的职责和义务。</w:t>
      </w:r>
    </w:p>
    <w:p w14:paraId="5ADE99E7">
      <w:pPr>
        <w:pStyle w:val="22"/>
        <w:spacing w:line="420" w:lineRule="exact"/>
        <w:ind w:left="1" w:leftChars="0" w:firstLine="420" w:firstLineChars="200"/>
        <w:rPr>
          <w:rFonts w:hint="eastAsia" w:ascii="宋体" w:hAnsi="宋体"/>
          <w:szCs w:val="21"/>
        </w:rPr>
      </w:pPr>
      <w:r>
        <w:rPr>
          <w:rFonts w:hint="eastAsia" w:ascii="宋体" w:hAnsi="宋体"/>
          <w:szCs w:val="21"/>
        </w:rPr>
        <w:t>4．如果我方成交，我方保证按合同条款中规定的内容执行；我方保证质量达到合格要求，并按竞争性磋商文件和有关规定提交一切资料。</w:t>
      </w:r>
    </w:p>
    <w:p w14:paraId="52D4CF00">
      <w:pPr>
        <w:pStyle w:val="22"/>
        <w:spacing w:line="420" w:lineRule="exact"/>
        <w:ind w:left="1" w:leftChars="0" w:firstLine="420" w:firstLineChars="200"/>
        <w:outlineLvl w:val="1"/>
        <w:rPr>
          <w:rFonts w:hint="eastAsia" w:ascii="宋体" w:hAnsi="宋体"/>
          <w:szCs w:val="21"/>
        </w:rPr>
      </w:pPr>
      <w:r>
        <w:rPr>
          <w:rFonts w:hint="eastAsia" w:ascii="宋体" w:hAnsi="宋体"/>
          <w:szCs w:val="21"/>
        </w:rPr>
        <w:t>5．如果我方成交，我方将按照采购人规定提交履约保证金。</w:t>
      </w:r>
    </w:p>
    <w:p w14:paraId="24333A53">
      <w:pPr>
        <w:pStyle w:val="22"/>
        <w:spacing w:line="420" w:lineRule="exact"/>
        <w:ind w:left="1" w:leftChars="0" w:firstLine="420" w:firstLineChars="200"/>
        <w:rPr>
          <w:rFonts w:hint="eastAsia" w:ascii="宋体" w:hAnsi="宋体"/>
          <w:szCs w:val="21"/>
        </w:rPr>
      </w:pPr>
      <w:r>
        <w:rPr>
          <w:rFonts w:hint="eastAsia" w:ascii="宋体" w:hAnsi="宋体"/>
          <w:szCs w:val="21"/>
        </w:rPr>
        <w:t>6．我方同意从响应文件递交截止日期起</w:t>
      </w:r>
      <w:r>
        <w:rPr>
          <w:rFonts w:hint="eastAsia" w:ascii="宋体" w:hAnsi="宋体"/>
          <w:szCs w:val="21"/>
          <w:u w:val="single"/>
        </w:rPr>
        <w:t xml:space="preserve">    </w:t>
      </w:r>
      <w:r>
        <w:rPr>
          <w:rFonts w:hint="eastAsia" w:ascii="宋体" w:hAnsi="宋体"/>
          <w:szCs w:val="21"/>
        </w:rPr>
        <w:t>天内保持磋商响应文件有效，在此有效期内，我方将严格遵守磋商响应文件的承诺，本磋商响应文件对我方具有约束力，并可随时被接受成交。</w:t>
      </w:r>
    </w:p>
    <w:p w14:paraId="36F7B268">
      <w:pPr>
        <w:pStyle w:val="22"/>
        <w:spacing w:line="420" w:lineRule="exact"/>
        <w:ind w:left="1" w:leftChars="0" w:firstLine="420" w:firstLineChars="200"/>
        <w:rPr>
          <w:rFonts w:hint="eastAsia" w:ascii="宋体" w:hAnsi="宋体"/>
          <w:szCs w:val="21"/>
        </w:rPr>
      </w:pPr>
      <w:r>
        <w:rPr>
          <w:rFonts w:hint="eastAsia" w:ascii="宋体" w:hAnsi="宋体"/>
          <w:szCs w:val="21"/>
        </w:rPr>
        <w:t>7．除磋商响应文件所提交的资料外，我方同意随时接受贵方的检查、询问，并根据磋商需要补充贵方要求提交的资料。</w:t>
      </w:r>
    </w:p>
    <w:p w14:paraId="7172DE04">
      <w:pPr>
        <w:pStyle w:val="22"/>
        <w:spacing w:line="420" w:lineRule="exact"/>
        <w:ind w:left="1" w:leftChars="0" w:firstLine="420" w:firstLineChars="200"/>
        <w:rPr>
          <w:rFonts w:hint="eastAsia" w:ascii="宋体" w:hAnsi="宋体"/>
          <w:szCs w:val="21"/>
        </w:rPr>
      </w:pPr>
      <w:r>
        <w:rPr>
          <w:rFonts w:hint="eastAsia" w:ascii="宋体" w:hAnsi="宋体"/>
          <w:szCs w:val="21"/>
        </w:rPr>
        <w:t>8．如果我方成交后，我方没有任何正当理由而拒签合同，同时我方愿意补偿该项工作因我方延误所造成的经济损失。</w:t>
      </w:r>
    </w:p>
    <w:p w14:paraId="27C629FA">
      <w:pPr>
        <w:pStyle w:val="22"/>
        <w:spacing w:line="420" w:lineRule="exact"/>
        <w:ind w:left="1" w:leftChars="0" w:firstLine="420" w:firstLineChars="200"/>
        <w:outlineLvl w:val="1"/>
        <w:rPr>
          <w:rFonts w:hint="eastAsia" w:ascii="宋体" w:hAnsi="宋体"/>
          <w:szCs w:val="21"/>
        </w:rPr>
      </w:pPr>
      <w:r>
        <w:rPr>
          <w:rFonts w:hint="eastAsia" w:ascii="宋体" w:hAnsi="宋体"/>
          <w:szCs w:val="21"/>
        </w:rPr>
        <w:t>9．我方愿接受合同条款中规定的合同价款计算和调整方式。</w:t>
      </w:r>
    </w:p>
    <w:p w14:paraId="436D8E1A">
      <w:pPr>
        <w:pStyle w:val="22"/>
        <w:spacing w:line="420" w:lineRule="exact"/>
        <w:ind w:left="1" w:leftChars="0" w:firstLine="420" w:firstLineChars="200"/>
        <w:rPr>
          <w:rFonts w:hint="eastAsia" w:ascii="宋体" w:hAnsi="宋体"/>
          <w:szCs w:val="21"/>
        </w:rPr>
      </w:pPr>
      <w:r>
        <w:rPr>
          <w:rFonts w:hint="eastAsia" w:ascii="宋体" w:hAnsi="宋体"/>
          <w:szCs w:val="21"/>
        </w:rPr>
        <w:t>10．除非另外达成协议并生效，贵方的成交通知书和本磋商响应文件将成为约束我方的合同文件组成部分。</w:t>
      </w:r>
    </w:p>
    <w:p w14:paraId="2E70C5A9">
      <w:pPr>
        <w:pStyle w:val="22"/>
        <w:spacing w:line="420" w:lineRule="exact"/>
        <w:ind w:left="1" w:leftChars="0" w:firstLine="420" w:firstLineChars="200"/>
        <w:rPr>
          <w:rFonts w:hint="eastAsia" w:ascii="宋体" w:hAnsi="宋体"/>
          <w:szCs w:val="21"/>
        </w:rPr>
      </w:pPr>
    </w:p>
    <w:p w14:paraId="0CC5084B">
      <w:pPr>
        <w:pStyle w:val="22"/>
        <w:spacing w:line="420" w:lineRule="exact"/>
        <w:ind w:left="1" w:leftChars="0" w:firstLine="420" w:firstLineChars="200"/>
        <w:rPr>
          <w:rFonts w:hint="eastAsia" w:ascii="宋体" w:hAnsi="宋体"/>
          <w:szCs w:val="21"/>
        </w:rPr>
      </w:pPr>
    </w:p>
    <w:p w14:paraId="36EFD340">
      <w:pPr>
        <w:pStyle w:val="22"/>
        <w:spacing w:line="420" w:lineRule="exact"/>
        <w:ind w:left="1" w:leftChars="0" w:firstLine="420" w:firstLineChars="200"/>
        <w:rPr>
          <w:rFonts w:hint="eastAsia" w:ascii="宋体" w:hAnsi="宋体"/>
          <w:szCs w:val="21"/>
        </w:rPr>
      </w:pPr>
    </w:p>
    <w:p w14:paraId="423099B1">
      <w:pPr>
        <w:pStyle w:val="22"/>
        <w:spacing w:line="420" w:lineRule="exact"/>
        <w:ind w:left="1" w:leftChars="0" w:firstLine="420" w:firstLineChars="200"/>
        <w:rPr>
          <w:rFonts w:hint="eastAsia" w:ascii="宋体" w:hAnsi="宋体"/>
          <w:szCs w:val="21"/>
        </w:rPr>
      </w:pPr>
      <w:r>
        <w:rPr>
          <w:rFonts w:hint="eastAsia" w:ascii="宋体" w:hAnsi="宋体"/>
          <w:szCs w:val="21"/>
        </w:rPr>
        <w:t>供应商：（盖章）</w:t>
      </w:r>
    </w:p>
    <w:p w14:paraId="7131D195">
      <w:pPr>
        <w:pStyle w:val="22"/>
        <w:spacing w:line="420" w:lineRule="exact"/>
        <w:ind w:left="1" w:leftChars="0" w:firstLine="420" w:firstLineChars="200"/>
        <w:rPr>
          <w:rFonts w:hint="eastAsia" w:ascii="宋体" w:hAnsi="宋体"/>
          <w:szCs w:val="21"/>
        </w:rPr>
      </w:pPr>
      <w:r>
        <w:rPr>
          <w:rFonts w:hint="eastAsia" w:ascii="宋体" w:hAnsi="宋体"/>
          <w:szCs w:val="21"/>
        </w:rPr>
        <w:t>法定代表人：（签字或盖章）</w:t>
      </w:r>
    </w:p>
    <w:p w14:paraId="41A65AF0">
      <w:pPr>
        <w:pStyle w:val="22"/>
        <w:spacing w:line="420" w:lineRule="exact"/>
        <w:ind w:left="1" w:leftChars="0" w:firstLine="420" w:firstLineChars="200"/>
        <w:rPr>
          <w:rFonts w:hint="eastAsia" w:ascii="宋体" w:hAnsi="宋体"/>
          <w:szCs w:val="21"/>
        </w:rPr>
      </w:pPr>
      <w:r>
        <w:rPr>
          <w:rFonts w:hint="eastAsia" w:ascii="宋体" w:hAnsi="宋体"/>
          <w:szCs w:val="21"/>
        </w:rPr>
        <w:t>委托代理人：（签字或盖章）</w:t>
      </w:r>
    </w:p>
    <w:p w14:paraId="04AEB746">
      <w:pPr>
        <w:pStyle w:val="22"/>
        <w:spacing w:line="420" w:lineRule="exact"/>
        <w:ind w:left="1" w:leftChars="0" w:firstLine="420" w:firstLineChars="200"/>
        <w:rPr>
          <w:rFonts w:hint="eastAsia" w:ascii="宋体" w:hAnsi="宋体"/>
          <w:szCs w:val="21"/>
        </w:rPr>
      </w:pPr>
      <w:r>
        <w:rPr>
          <w:rFonts w:hint="eastAsia" w:ascii="宋体" w:hAnsi="宋体"/>
          <w:szCs w:val="21"/>
        </w:rPr>
        <w:t>日期：     年    月    日</w:t>
      </w:r>
    </w:p>
    <w:p w14:paraId="235270AE">
      <w:pPr>
        <w:spacing w:line="240" w:lineRule="atLeast"/>
        <w:rPr>
          <w:rFonts w:hint="eastAsia"/>
          <w:szCs w:val="21"/>
        </w:rPr>
      </w:pPr>
    </w:p>
    <w:p w14:paraId="1045FC16">
      <w:pPr>
        <w:pStyle w:val="63"/>
        <w:numPr>
          <w:ilvl w:val="0"/>
          <w:numId w:val="4"/>
        </w:numPr>
        <w:spacing w:line="480" w:lineRule="exact"/>
        <w:jc w:val="center"/>
        <w:outlineLvl w:val="1"/>
        <w:rPr>
          <w:rFonts w:hint="eastAsia" w:hAnsi="宋体"/>
          <w:b/>
          <w:color w:val="auto"/>
          <w:sz w:val="28"/>
          <w:szCs w:val="28"/>
        </w:rPr>
      </w:pPr>
      <w:r>
        <w:rPr>
          <w:rFonts w:hAnsi="宋体"/>
          <w:b/>
          <w:bCs/>
          <w:color w:val="auto"/>
          <w:sz w:val="36"/>
          <w:szCs w:val="36"/>
        </w:rPr>
        <w:br w:type="page"/>
      </w:r>
      <w:bookmarkStart w:id="573" w:name="_Toc7399"/>
      <w:bookmarkStart w:id="574" w:name="_Toc24495"/>
      <w:r>
        <w:rPr>
          <w:rFonts w:hint="eastAsia" w:hAnsi="宋体"/>
          <w:b/>
          <w:color w:val="auto"/>
          <w:sz w:val="28"/>
        </w:rPr>
        <w:t>报价函附录（第一轮报价）</w:t>
      </w:r>
      <w:bookmarkEnd w:id="573"/>
      <w:bookmarkEnd w:id="574"/>
    </w:p>
    <w:p w14:paraId="40A74F58">
      <w:pPr>
        <w:pStyle w:val="22"/>
        <w:spacing w:line="500" w:lineRule="exact"/>
        <w:ind w:left="0" w:leftChars="0" w:firstLine="0" w:firstLineChars="0"/>
        <w:jc w:val="center"/>
        <w:rPr>
          <w:rFonts w:hint="eastAsia" w:ascii="宋体" w:hAnsi="宋体"/>
          <w:b/>
          <w:sz w:val="24"/>
        </w:rPr>
      </w:pPr>
    </w:p>
    <w:p w14:paraId="6FFE95FA">
      <w:pPr>
        <w:rPr>
          <w:rFonts w:hint="eastAsia"/>
        </w:rPr>
      </w:pPr>
    </w:p>
    <w:tbl>
      <w:tblPr>
        <w:tblStyle w:val="4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473"/>
        <w:gridCol w:w="704"/>
        <w:gridCol w:w="1529"/>
        <w:gridCol w:w="643"/>
        <w:gridCol w:w="1663"/>
      </w:tblGrid>
      <w:tr w14:paraId="653B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7A7E5160">
            <w:pPr>
              <w:widowControl/>
              <w:spacing w:line="360" w:lineRule="auto"/>
              <w:jc w:val="center"/>
              <w:rPr>
                <w:rFonts w:ascii="宋体" w:hAnsi="宋体" w:cs="宋体"/>
                <w:szCs w:val="21"/>
              </w:rPr>
            </w:pPr>
            <w:r>
              <w:rPr>
                <w:rFonts w:hint="eastAsia" w:ascii="宋体" w:hAnsi="宋体" w:cs="宋体"/>
                <w:szCs w:val="21"/>
              </w:rPr>
              <w:t>项目名称</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133E1554">
            <w:pPr>
              <w:widowControl/>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 xml:space="preserve"> </w:t>
            </w:r>
          </w:p>
        </w:tc>
      </w:tr>
      <w:tr w14:paraId="2381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423FC705">
            <w:pPr>
              <w:widowControl/>
              <w:spacing w:line="360" w:lineRule="auto"/>
              <w:jc w:val="center"/>
              <w:rPr>
                <w:rFonts w:ascii="宋体" w:hAnsi="宋体" w:cs="宋体"/>
                <w:szCs w:val="21"/>
              </w:rPr>
            </w:pPr>
            <w:r>
              <w:rPr>
                <w:rFonts w:hint="eastAsia" w:ascii="宋体" w:hAnsi="宋体" w:cs="宋体"/>
                <w:szCs w:val="21"/>
              </w:rPr>
              <w:t>供应商名称</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3D821D83">
            <w:pPr>
              <w:widowControl/>
              <w:spacing w:line="360" w:lineRule="auto"/>
              <w:jc w:val="center"/>
              <w:rPr>
                <w:rFonts w:ascii="宋体" w:hAnsi="宋体" w:cs="宋体"/>
                <w:szCs w:val="21"/>
              </w:rPr>
            </w:pPr>
          </w:p>
        </w:tc>
      </w:tr>
      <w:tr w14:paraId="1A6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5FC9EC12">
            <w:pPr>
              <w:widowControl/>
              <w:jc w:val="center"/>
              <w:rPr>
                <w:rFonts w:ascii="宋体" w:hAnsi="宋体" w:cs="宋体"/>
                <w:szCs w:val="21"/>
              </w:rPr>
            </w:pPr>
            <w:r>
              <w:rPr>
                <w:rFonts w:hint="eastAsia" w:ascii="宋体" w:hAnsi="宋体" w:cs="宋体"/>
                <w:szCs w:val="21"/>
                <w:lang w:val="en-US" w:eastAsia="zh-CN"/>
              </w:rPr>
              <w:t>投标范围</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6F3B9AFC">
            <w:pPr>
              <w:widowControl/>
              <w:jc w:val="center"/>
              <w:rPr>
                <w:rFonts w:ascii="宋体" w:hAnsi="宋体" w:cs="宋体"/>
                <w:szCs w:val="21"/>
              </w:rPr>
            </w:pPr>
            <w:r>
              <w:rPr>
                <w:rFonts w:hint="eastAsia" w:ascii="宋体" w:hAnsi="宋体" w:cs="宋体"/>
                <w:szCs w:val="21"/>
              </w:rPr>
              <w:t>招标文件、图纸、清单全部内容</w:t>
            </w:r>
          </w:p>
        </w:tc>
      </w:tr>
      <w:tr w14:paraId="7AE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388" w:type="dxa"/>
            <w:tcBorders>
              <w:top w:val="single" w:color="auto" w:sz="4" w:space="0"/>
              <w:left w:val="single" w:color="auto" w:sz="4" w:space="0"/>
              <w:right w:val="single" w:color="auto" w:sz="4" w:space="0"/>
            </w:tcBorders>
            <w:noWrap w:val="0"/>
            <w:vAlign w:val="center"/>
          </w:tcPr>
          <w:p w14:paraId="11FDCAD3">
            <w:pPr>
              <w:widowControl/>
              <w:jc w:val="center"/>
              <w:rPr>
                <w:rFonts w:ascii="宋体" w:hAnsi="宋体" w:cs="宋体"/>
                <w:szCs w:val="21"/>
              </w:rPr>
            </w:pPr>
            <w:r>
              <w:rPr>
                <w:rFonts w:hint="eastAsia" w:ascii="宋体" w:hAnsi="宋体" w:cs="宋体"/>
                <w:szCs w:val="21"/>
              </w:rPr>
              <w:t>磋商报价</w:t>
            </w:r>
          </w:p>
        </w:tc>
        <w:tc>
          <w:tcPr>
            <w:tcW w:w="6012" w:type="dxa"/>
            <w:gridSpan w:val="5"/>
            <w:tcBorders>
              <w:top w:val="single" w:color="auto" w:sz="4" w:space="0"/>
              <w:left w:val="single" w:color="auto" w:sz="4" w:space="0"/>
              <w:right w:val="single" w:color="auto" w:sz="4" w:space="0"/>
            </w:tcBorders>
            <w:noWrap w:val="0"/>
            <w:vAlign w:val="center"/>
          </w:tcPr>
          <w:p w14:paraId="2A3B87DC">
            <w:pPr>
              <w:rPr>
                <w:rFonts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14:paraId="1E3A479C">
            <w:pPr>
              <w:rPr>
                <w:rFonts w:ascii="宋体" w:hAnsi="宋体" w:cs="宋体"/>
                <w:szCs w:val="21"/>
                <w:u w:val="single"/>
              </w:rPr>
            </w:pPr>
            <w:r>
              <w:rPr>
                <w:rFonts w:hint="eastAsia" w:ascii="宋体" w:hAnsi="宋体" w:cs="宋体"/>
                <w:szCs w:val="21"/>
              </w:rPr>
              <w:t>小写：</w:t>
            </w:r>
            <w:r>
              <w:rPr>
                <w:rFonts w:hint="eastAsia" w:ascii="宋体" w:hAnsi="宋体" w:cs="宋体"/>
                <w:kern w:val="0"/>
                <w:szCs w:val="21"/>
                <w:u w:val="single"/>
              </w:rPr>
              <w:t xml:space="preserve">               </w:t>
            </w:r>
            <w:r>
              <w:rPr>
                <w:rFonts w:hint="eastAsia" w:ascii="宋体" w:hAnsi="宋体" w:cs="宋体"/>
                <w:szCs w:val="21"/>
                <w:u w:val="single"/>
              </w:rPr>
              <w:t xml:space="preserve">                </w:t>
            </w:r>
          </w:p>
          <w:p w14:paraId="4B151970">
            <w:pPr>
              <w:widowControl/>
              <w:jc w:val="left"/>
              <w:rPr>
                <w:rFonts w:ascii="宋体" w:hAnsi="宋体" w:cs="宋体"/>
                <w:b/>
                <w:bCs/>
                <w:szCs w:val="21"/>
              </w:rPr>
            </w:pPr>
            <w:r>
              <w:rPr>
                <w:rFonts w:hint="eastAsia" w:ascii="宋体" w:hAnsi="宋体" w:cs="宋体"/>
                <w:b/>
                <w:bCs/>
                <w:szCs w:val="21"/>
              </w:rPr>
              <w:t>（供应商应在此填列第一次报价，但以供应商最后一次的磋商报价为成交价）</w:t>
            </w:r>
          </w:p>
        </w:tc>
      </w:tr>
      <w:tr w14:paraId="1C3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388" w:type="dxa"/>
            <w:tcBorders>
              <w:top w:val="single" w:color="auto" w:sz="4" w:space="0"/>
              <w:left w:val="single" w:color="auto" w:sz="4" w:space="0"/>
              <w:right w:val="single" w:color="auto" w:sz="4" w:space="0"/>
            </w:tcBorders>
            <w:noWrap w:val="0"/>
            <w:vAlign w:val="center"/>
          </w:tcPr>
          <w:p w14:paraId="3A8D5109">
            <w:pPr>
              <w:jc w:val="center"/>
              <w:rPr>
                <w:rFonts w:ascii="宋体" w:hAnsi="宋体" w:cs="宋体"/>
                <w:szCs w:val="21"/>
              </w:rPr>
            </w:pPr>
            <w:r>
              <w:rPr>
                <w:rFonts w:hint="eastAsia" w:ascii="宋体" w:hAnsi="宋体" w:cs="宋体"/>
                <w:szCs w:val="21"/>
              </w:rPr>
              <w:t>项目经理</w:t>
            </w:r>
          </w:p>
        </w:tc>
        <w:tc>
          <w:tcPr>
            <w:tcW w:w="1473" w:type="dxa"/>
            <w:tcBorders>
              <w:top w:val="single" w:color="auto" w:sz="4" w:space="0"/>
              <w:left w:val="single" w:color="auto" w:sz="4" w:space="0"/>
              <w:right w:val="single" w:color="auto" w:sz="4" w:space="0"/>
            </w:tcBorders>
            <w:noWrap w:val="0"/>
            <w:vAlign w:val="center"/>
          </w:tcPr>
          <w:p w14:paraId="399FBE9E">
            <w:pPr>
              <w:ind w:firstLine="210" w:firstLineChars="100"/>
              <w:rPr>
                <w:rFonts w:ascii="宋体" w:hAnsi="宋体" w:cs="宋体"/>
                <w:b/>
                <w:bCs/>
                <w:szCs w:val="21"/>
              </w:rPr>
            </w:pPr>
          </w:p>
        </w:tc>
        <w:tc>
          <w:tcPr>
            <w:tcW w:w="704" w:type="dxa"/>
            <w:tcBorders>
              <w:top w:val="single" w:color="auto" w:sz="4" w:space="0"/>
              <w:left w:val="single" w:color="auto" w:sz="4" w:space="0"/>
              <w:right w:val="single" w:color="auto" w:sz="4" w:space="0"/>
            </w:tcBorders>
            <w:noWrap w:val="0"/>
            <w:vAlign w:val="center"/>
          </w:tcPr>
          <w:p w14:paraId="1170E38B">
            <w:pPr>
              <w:rPr>
                <w:rFonts w:ascii="宋体" w:hAnsi="宋体" w:cs="宋体"/>
                <w:b/>
                <w:bCs/>
                <w:szCs w:val="21"/>
              </w:rPr>
            </w:pPr>
            <w:r>
              <w:rPr>
                <w:rFonts w:hint="eastAsia" w:ascii="宋体" w:hAnsi="宋体" w:cs="宋体"/>
                <w:szCs w:val="21"/>
              </w:rPr>
              <w:t>级别</w:t>
            </w:r>
          </w:p>
        </w:tc>
        <w:tc>
          <w:tcPr>
            <w:tcW w:w="1529" w:type="dxa"/>
            <w:tcBorders>
              <w:top w:val="single" w:color="auto" w:sz="4" w:space="0"/>
              <w:left w:val="single" w:color="auto" w:sz="4" w:space="0"/>
              <w:right w:val="single" w:color="auto" w:sz="4" w:space="0"/>
            </w:tcBorders>
            <w:noWrap w:val="0"/>
            <w:vAlign w:val="center"/>
          </w:tcPr>
          <w:p w14:paraId="7107B574">
            <w:pPr>
              <w:ind w:firstLine="210" w:firstLineChars="100"/>
              <w:rPr>
                <w:rFonts w:ascii="宋体" w:hAnsi="宋体" w:cs="宋体"/>
                <w:b/>
                <w:bCs/>
                <w:szCs w:val="21"/>
              </w:rPr>
            </w:pPr>
          </w:p>
        </w:tc>
        <w:tc>
          <w:tcPr>
            <w:tcW w:w="643" w:type="dxa"/>
            <w:tcBorders>
              <w:top w:val="single" w:color="auto" w:sz="4" w:space="0"/>
              <w:left w:val="single" w:color="auto" w:sz="4" w:space="0"/>
              <w:right w:val="single" w:color="auto" w:sz="4" w:space="0"/>
            </w:tcBorders>
            <w:noWrap w:val="0"/>
            <w:vAlign w:val="center"/>
          </w:tcPr>
          <w:p w14:paraId="680B7001">
            <w:pPr>
              <w:rPr>
                <w:rFonts w:ascii="宋体" w:hAnsi="宋体" w:cs="宋体"/>
                <w:b/>
                <w:bCs/>
                <w:szCs w:val="21"/>
              </w:rPr>
            </w:pPr>
            <w:r>
              <w:rPr>
                <w:rFonts w:hint="eastAsia" w:ascii="宋体" w:hAnsi="宋体" w:cs="宋体"/>
                <w:szCs w:val="21"/>
              </w:rPr>
              <w:t>注册编号</w:t>
            </w:r>
          </w:p>
        </w:tc>
        <w:tc>
          <w:tcPr>
            <w:tcW w:w="1663" w:type="dxa"/>
            <w:tcBorders>
              <w:top w:val="single" w:color="auto" w:sz="4" w:space="0"/>
              <w:left w:val="single" w:color="auto" w:sz="4" w:space="0"/>
              <w:right w:val="single" w:color="auto" w:sz="4" w:space="0"/>
            </w:tcBorders>
            <w:noWrap w:val="0"/>
            <w:vAlign w:val="center"/>
          </w:tcPr>
          <w:p w14:paraId="64EA187B">
            <w:pPr>
              <w:ind w:firstLine="210" w:firstLineChars="100"/>
              <w:rPr>
                <w:rFonts w:ascii="宋体" w:hAnsi="宋体" w:cs="宋体"/>
                <w:b/>
                <w:bCs/>
                <w:szCs w:val="21"/>
              </w:rPr>
            </w:pPr>
          </w:p>
        </w:tc>
      </w:tr>
      <w:tr w14:paraId="4EC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88" w:type="dxa"/>
            <w:tcBorders>
              <w:top w:val="single" w:color="auto" w:sz="4" w:space="0"/>
              <w:left w:val="single" w:color="auto" w:sz="4" w:space="0"/>
              <w:right w:val="single" w:color="auto" w:sz="4" w:space="0"/>
            </w:tcBorders>
            <w:noWrap w:val="0"/>
            <w:vAlign w:val="center"/>
          </w:tcPr>
          <w:p w14:paraId="7C34EC0C">
            <w:pPr>
              <w:widowControl/>
              <w:jc w:val="center"/>
              <w:rPr>
                <w:rFonts w:ascii="宋体" w:hAnsi="宋体" w:cs="宋体"/>
                <w:szCs w:val="21"/>
              </w:rPr>
            </w:pPr>
            <w:r>
              <w:rPr>
                <w:rFonts w:hint="eastAsia" w:ascii="宋体" w:hAnsi="宋体" w:cs="宋体"/>
                <w:szCs w:val="21"/>
              </w:rPr>
              <w:t>工期</w:t>
            </w:r>
          </w:p>
        </w:tc>
        <w:tc>
          <w:tcPr>
            <w:tcW w:w="6012" w:type="dxa"/>
            <w:gridSpan w:val="5"/>
            <w:tcBorders>
              <w:top w:val="single" w:color="auto" w:sz="4" w:space="0"/>
              <w:left w:val="single" w:color="auto" w:sz="4" w:space="0"/>
              <w:right w:val="single" w:color="auto" w:sz="4" w:space="0"/>
            </w:tcBorders>
            <w:noWrap w:val="0"/>
            <w:vAlign w:val="center"/>
          </w:tcPr>
          <w:p w14:paraId="0001D8BA">
            <w:pPr>
              <w:widowControl/>
              <w:spacing w:line="500" w:lineRule="exact"/>
              <w:jc w:val="center"/>
              <w:rPr>
                <w:rFonts w:ascii="宋体" w:hAnsi="宋体" w:cs="宋体"/>
                <w:b/>
                <w:bCs/>
                <w:szCs w:val="21"/>
              </w:rPr>
            </w:pPr>
          </w:p>
        </w:tc>
      </w:tr>
      <w:tr w14:paraId="2D66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7422D988">
            <w:pPr>
              <w:widowControl/>
              <w:spacing w:line="360" w:lineRule="auto"/>
              <w:jc w:val="center"/>
              <w:rPr>
                <w:rFonts w:ascii="宋体" w:hAnsi="宋体" w:cs="宋体"/>
                <w:szCs w:val="21"/>
              </w:rPr>
            </w:pPr>
            <w:r>
              <w:rPr>
                <w:rFonts w:hint="eastAsia" w:ascii="宋体" w:hAnsi="宋体" w:cs="宋体"/>
                <w:szCs w:val="21"/>
              </w:rPr>
              <w:t>质量要求</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06E3586C">
            <w:pPr>
              <w:widowControl/>
              <w:spacing w:line="360" w:lineRule="auto"/>
              <w:jc w:val="center"/>
              <w:rPr>
                <w:rFonts w:hint="eastAsia" w:ascii="宋体" w:hAnsi="宋体" w:eastAsia="宋体" w:cs="宋体"/>
                <w:szCs w:val="21"/>
                <w:lang w:eastAsia="zh-CN"/>
              </w:rPr>
            </w:pPr>
            <w:r>
              <w:rPr>
                <w:rFonts w:hint="eastAsia" w:ascii="宋体" w:hAnsi="宋体" w:cs="宋体"/>
                <w:szCs w:val="21"/>
                <w:lang w:eastAsia="zh-CN"/>
              </w:rPr>
              <w:t>合格</w:t>
            </w:r>
          </w:p>
        </w:tc>
      </w:tr>
      <w:tr w14:paraId="72F0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6788DEAC">
            <w:pPr>
              <w:widowControl/>
              <w:spacing w:line="360" w:lineRule="auto"/>
              <w:jc w:val="center"/>
              <w:rPr>
                <w:rFonts w:ascii="宋体" w:hAnsi="宋体" w:cs="宋体"/>
                <w:szCs w:val="21"/>
              </w:rPr>
            </w:pPr>
            <w:r>
              <w:rPr>
                <w:rFonts w:hint="eastAsia" w:ascii="宋体" w:hAnsi="宋体" w:cs="宋体"/>
                <w:szCs w:val="21"/>
              </w:rPr>
              <w:t>磋商有效期</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640CEA5D">
            <w:pPr>
              <w:widowControl/>
              <w:spacing w:line="360" w:lineRule="auto"/>
              <w:jc w:val="center"/>
              <w:rPr>
                <w:rFonts w:ascii="宋体" w:hAnsi="宋体" w:cs="宋体"/>
                <w:szCs w:val="21"/>
              </w:rPr>
            </w:pPr>
            <w:r>
              <w:rPr>
                <w:rFonts w:hint="eastAsia" w:ascii="宋体" w:hAnsi="宋体" w:cs="宋体"/>
                <w:szCs w:val="21"/>
              </w:rPr>
              <w:t>磋商截止之日起60日历天</w:t>
            </w:r>
          </w:p>
        </w:tc>
      </w:tr>
      <w:tr w14:paraId="7349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2A7E6861">
            <w:pPr>
              <w:widowControl/>
              <w:spacing w:line="360" w:lineRule="exact"/>
              <w:jc w:val="center"/>
              <w:rPr>
                <w:rFonts w:ascii="宋体" w:hAnsi="宋体" w:cs="宋体"/>
                <w:szCs w:val="21"/>
              </w:rPr>
            </w:pPr>
            <w:r>
              <w:rPr>
                <w:rFonts w:hint="eastAsia" w:ascii="宋体" w:hAnsi="宋体" w:cs="宋体"/>
                <w:szCs w:val="21"/>
              </w:rPr>
              <w:t>优惠与</w:t>
            </w:r>
          </w:p>
          <w:p w14:paraId="1D1F1378">
            <w:pPr>
              <w:widowControl/>
              <w:spacing w:line="360" w:lineRule="exact"/>
              <w:jc w:val="center"/>
              <w:rPr>
                <w:rFonts w:ascii="宋体" w:hAnsi="宋体" w:cs="宋体"/>
                <w:szCs w:val="21"/>
              </w:rPr>
            </w:pPr>
            <w:r>
              <w:rPr>
                <w:rFonts w:hint="eastAsia" w:ascii="宋体" w:hAnsi="宋体" w:cs="宋体"/>
                <w:szCs w:val="21"/>
              </w:rPr>
              <w:t>服务承诺</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73A5C2E9">
            <w:pPr>
              <w:widowControl/>
              <w:spacing w:line="360" w:lineRule="exact"/>
              <w:jc w:val="center"/>
              <w:rPr>
                <w:rFonts w:ascii="宋体" w:hAnsi="宋体" w:cs="宋体"/>
                <w:szCs w:val="21"/>
              </w:rPr>
            </w:pPr>
            <w:r>
              <w:rPr>
                <w:rFonts w:hint="eastAsia" w:ascii="宋体" w:hAnsi="宋体" w:cs="宋体"/>
                <w:szCs w:val="21"/>
              </w:rPr>
              <w:t>（可另附页）</w:t>
            </w:r>
          </w:p>
        </w:tc>
      </w:tr>
      <w:tr w14:paraId="06D8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4BD82D8F">
            <w:pPr>
              <w:spacing w:line="360" w:lineRule="auto"/>
              <w:jc w:val="center"/>
              <w:rPr>
                <w:rFonts w:ascii="宋体" w:hAnsi="宋体" w:cs="宋体"/>
                <w:szCs w:val="21"/>
              </w:rPr>
            </w:pPr>
            <w:r>
              <w:rPr>
                <w:rFonts w:hint="eastAsia" w:ascii="宋体" w:hAnsi="宋体" w:cs="宋体"/>
                <w:szCs w:val="21"/>
              </w:rPr>
              <w:t>备  注</w:t>
            </w:r>
          </w:p>
        </w:tc>
        <w:tc>
          <w:tcPr>
            <w:tcW w:w="6012" w:type="dxa"/>
            <w:gridSpan w:val="5"/>
            <w:tcBorders>
              <w:top w:val="single" w:color="auto" w:sz="4" w:space="0"/>
              <w:left w:val="single" w:color="auto" w:sz="4" w:space="0"/>
              <w:bottom w:val="single" w:color="auto" w:sz="4" w:space="0"/>
              <w:right w:val="single" w:color="auto" w:sz="4" w:space="0"/>
            </w:tcBorders>
            <w:noWrap w:val="0"/>
            <w:vAlign w:val="center"/>
          </w:tcPr>
          <w:p w14:paraId="0D8774BE">
            <w:pPr>
              <w:widowControl/>
              <w:spacing w:line="360" w:lineRule="auto"/>
              <w:jc w:val="center"/>
              <w:rPr>
                <w:rFonts w:ascii="宋体" w:hAnsi="宋体" w:cs="宋体"/>
                <w:szCs w:val="21"/>
              </w:rPr>
            </w:pPr>
          </w:p>
        </w:tc>
      </w:tr>
    </w:tbl>
    <w:p w14:paraId="42802FBB">
      <w:pPr>
        <w:rPr>
          <w:rFonts w:hint="eastAsia"/>
        </w:rPr>
      </w:pPr>
    </w:p>
    <w:p w14:paraId="474C4575">
      <w:pPr>
        <w:spacing w:line="360" w:lineRule="auto"/>
        <w:ind w:firstLine="210" w:firstLineChars="100"/>
        <w:jc w:val="lef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61D0228A">
      <w:pPr>
        <w:spacing w:line="360" w:lineRule="auto"/>
        <w:ind w:firstLine="210" w:firstLineChars="100"/>
        <w:jc w:val="left"/>
        <w:rPr>
          <w:rFonts w:hint="eastAsia" w:ascii="宋体" w:hAnsi="宋体"/>
          <w:szCs w:val="21"/>
        </w:rPr>
      </w:pPr>
      <w:r>
        <w:rPr>
          <w:rFonts w:hint="eastAsia" w:ascii="宋体" w:hAnsi="宋体"/>
          <w:szCs w:val="21"/>
        </w:rPr>
        <w:t>响应单位授权代表：</w:t>
      </w:r>
      <w:r>
        <w:rPr>
          <w:rFonts w:hint="eastAsia" w:ascii="宋体" w:hAnsi="宋体"/>
          <w:szCs w:val="21"/>
          <w:u w:val="single"/>
        </w:rPr>
        <w:t xml:space="preserve">                     </w:t>
      </w:r>
      <w:r>
        <w:rPr>
          <w:rFonts w:hint="eastAsia" w:ascii="宋体" w:hAnsi="宋体"/>
          <w:szCs w:val="21"/>
        </w:rPr>
        <w:t>（签字或盖章）</w:t>
      </w:r>
    </w:p>
    <w:p w14:paraId="4B0510F3">
      <w:pPr>
        <w:spacing w:line="360" w:lineRule="auto"/>
        <w:ind w:firstLine="210" w:firstLineChars="100"/>
        <w:jc w:val="lef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8785480">
      <w:pPr>
        <w:rPr>
          <w:rFonts w:hint="eastAsia"/>
        </w:rPr>
      </w:pPr>
    </w:p>
    <w:p w14:paraId="1AE9A567">
      <w:pPr>
        <w:rPr>
          <w:rFonts w:hint="eastAsia"/>
        </w:rPr>
      </w:pPr>
    </w:p>
    <w:p w14:paraId="12064385">
      <w:pPr>
        <w:rPr>
          <w:rFonts w:hint="eastAsia"/>
        </w:rPr>
      </w:pPr>
    </w:p>
    <w:p w14:paraId="44F980BE">
      <w:pPr>
        <w:rPr>
          <w:rFonts w:hint="eastAsia"/>
        </w:rPr>
      </w:pPr>
    </w:p>
    <w:p w14:paraId="5E637119">
      <w:pPr>
        <w:spacing w:after="156" w:afterLines="50" w:line="480" w:lineRule="exact"/>
        <w:rPr>
          <w:rFonts w:hint="eastAsia" w:ascii="宋体" w:hAnsi="宋体"/>
          <w:sz w:val="28"/>
          <w:szCs w:val="28"/>
        </w:rPr>
        <w:sectPr>
          <w:headerReference r:id="rId5" w:type="first"/>
          <w:footerReference r:id="rId7" w:type="first"/>
          <w:footerReference r:id="rId6" w:type="default"/>
          <w:pgSz w:w="11907" w:h="16840"/>
          <w:pgMar w:top="1400" w:right="1418" w:bottom="1089" w:left="1418" w:header="624" w:footer="747" w:gutter="0"/>
          <w:pgNumType w:fmt="decimal"/>
          <w:cols w:space="720" w:num="1"/>
          <w:titlePg/>
          <w:docGrid w:type="linesAndChars" w:linePitch="312" w:charSpace="0"/>
        </w:sectPr>
      </w:pPr>
    </w:p>
    <w:p w14:paraId="2B5FC958">
      <w:pPr>
        <w:pStyle w:val="63"/>
        <w:numPr>
          <w:ilvl w:val="0"/>
          <w:numId w:val="0"/>
        </w:numPr>
        <w:spacing w:line="480" w:lineRule="exact"/>
        <w:ind w:leftChars="200"/>
        <w:jc w:val="center"/>
        <w:outlineLvl w:val="1"/>
        <w:rPr>
          <w:rFonts w:hint="eastAsia" w:hAnsi="宋体"/>
          <w:b/>
          <w:color w:val="auto"/>
          <w:sz w:val="28"/>
        </w:rPr>
      </w:pPr>
      <w:bookmarkStart w:id="575" w:name="_Toc6478"/>
      <w:bookmarkStart w:id="576" w:name="_Toc14992"/>
      <w:r>
        <w:rPr>
          <w:rFonts w:hint="eastAsia" w:hAnsi="宋体"/>
          <w:b/>
          <w:color w:val="auto"/>
          <w:sz w:val="28"/>
          <w:lang w:val="en-US" w:eastAsia="zh-CN"/>
        </w:rPr>
        <w:t xml:space="preserve">3  </w:t>
      </w:r>
      <w:r>
        <w:rPr>
          <w:rFonts w:hint="eastAsia" w:hAnsi="宋体"/>
          <w:b/>
          <w:color w:val="auto"/>
          <w:sz w:val="28"/>
        </w:rPr>
        <w:t>法定代表人身份证明</w:t>
      </w:r>
      <w:bookmarkEnd w:id="575"/>
      <w:bookmarkEnd w:id="576"/>
    </w:p>
    <w:p w14:paraId="2DEDC50D">
      <w:pPr>
        <w:spacing w:line="500" w:lineRule="exact"/>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p>
    <w:p w14:paraId="6656835E">
      <w:pPr>
        <w:spacing w:line="500" w:lineRule="exact"/>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14:paraId="3D358A51">
      <w:pPr>
        <w:spacing w:line="500" w:lineRule="exac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59E6A1EF">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88854E9">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4F89D5E2">
      <w:pPr>
        <w:spacing w:line="500" w:lineRule="exact"/>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2029A81A">
      <w:pPr>
        <w:spacing w:line="500" w:lineRule="exact"/>
        <w:rPr>
          <w:rFonts w:hint="eastAsia"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1E744117">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14:paraId="4A1F1BC9">
      <w:pPr>
        <w:spacing w:line="500" w:lineRule="exact"/>
        <w:rPr>
          <w:rFonts w:hint="eastAsia" w:ascii="宋体" w:hAnsi="宋体"/>
          <w:szCs w:val="21"/>
        </w:rPr>
      </w:pPr>
      <w:r>
        <w:rPr>
          <w:rFonts w:hint="eastAsia" w:ascii="宋体" w:hAnsi="宋体"/>
          <w:szCs w:val="21"/>
        </w:rPr>
        <w:t>特此证明。</w:t>
      </w:r>
    </w:p>
    <w:p w14:paraId="302A48A5">
      <w:pPr>
        <w:spacing w:line="500" w:lineRule="exact"/>
        <w:rPr>
          <w:rFonts w:hint="eastAsia" w:ascii="宋体" w:hAnsi="宋体"/>
          <w:szCs w:val="21"/>
        </w:rPr>
      </w:pPr>
    </w:p>
    <w:p w14:paraId="5D72414F">
      <w:pPr>
        <w:spacing w:line="500" w:lineRule="exact"/>
        <w:rPr>
          <w:rFonts w:hint="eastAsia" w:ascii="宋体" w:hAnsi="宋体"/>
          <w:szCs w:val="21"/>
        </w:rPr>
      </w:pPr>
      <w:r>
        <w:rPr>
          <w:rFonts w:hint="eastAsia" w:ascii="宋体" w:hAnsi="宋体"/>
          <w:szCs w:val="21"/>
        </w:rPr>
        <w:t>附：法定代表人身份证</w:t>
      </w:r>
    </w:p>
    <w:p w14:paraId="092F31BC">
      <w:pPr>
        <w:wordWrap w:val="0"/>
        <w:spacing w:line="500" w:lineRule="exact"/>
        <w:jc w:val="righ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212527F8">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B4855C2">
      <w:pPr>
        <w:rPr>
          <w:rFonts w:hint="eastAsia"/>
        </w:rPr>
      </w:pPr>
    </w:p>
    <w:p w14:paraId="12FDD2B5">
      <w:pPr>
        <w:pStyle w:val="63"/>
        <w:numPr>
          <w:ilvl w:val="0"/>
          <w:numId w:val="0"/>
        </w:numPr>
        <w:spacing w:line="480" w:lineRule="exact"/>
        <w:ind w:leftChars="0"/>
        <w:jc w:val="center"/>
        <w:outlineLvl w:val="1"/>
        <w:rPr>
          <w:rFonts w:hint="eastAsia" w:hAnsi="宋体"/>
          <w:b/>
          <w:color w:val="auto"/>
          <w:sz w:val="28"/>
          <w:szCs w:val="28"/>
        </w:rPr>
      </w:pPr>
      <w:r>
        <w:rPr>
          <w:color w:val="auto"/>
        </w:rPr>
        <w:br w:type="page"/>
      </w:r>
      <w:bookmarkStart w:id="577" w:name="_Toc20602"/>
      <w:bookmarkStart w:id="578" w:name="_Toc24602"/>
      <w:r>
        <w:rPr>
          <w:rFonts w:hint="eastAsia" w:hAnsi="宋体" w:cs="黑体"/>
          <w:b/>
          <w:color w:val="auto"/>
          <w:sz w:val="28"/>
          <w:szCs w:val="28"/>
          <w:lang w:val="en-US" w:eastAsia="zh-CN"/>
        </w:rPr>
        <w:t xml:space="preserve">4  </w:t>
      </w:r>
      <w:r>
        <w:rPr>
          <w:rFonts w:hint="eastAsia" w:hAnsi="宋体" w:cs="黑体"/>
          <w:b/>
          <w:color w:val="auto"/>
          <w:sz w:val="28"/>
          <w:szCs w:val="28"/>
        </w:rPr>
        <w:t>授权委托书</w:t>
      </w:r>
      <w:bookmarkEnd w:id="577"/>
      <w:bookmarkEnd w:id="578"/>
    </w:p>
    <w:p w14:paraId="5ACA0C73">
      <w:pPr>
        <w:pStyle w:val="22"/>
        <w:ind w:left="0" w:leftChars="0" w:firstLine="480" w:firstLineChars="200"/>
        <w:rPr>
          <w:rFonts w:hint="eastAsia" w:ascii="宋体" w:hAnsi="宋体"/>
          <w:sz w:val="24"/>
        </w:rPr>
      </w:pPr>
    </w:p>
    <w:p w14:paraId="6E1819DD">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（供应商名称）的法定代表人，现委托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（项目名称）</w:t>
      </w:r>
      <w:r>
        <w:rPr>
          <w:rFonts w:hint="eastAsia" w:ascii="宋体" w:hAnsi="宋体"/>
          <w:szCs w:val="21"/>
        </w:rPr>
        <w:t>磋商响应文件、签订合同和处理有关事宜，其法律后果由我方承担。</w:t>
      </w:r>
    </w:p>
    <w:p w14:paraId="60916453">
      <w:pPr>
        <w:spacing w:before="156"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069DE018">
      <w:pPr>
        <w:spacing w:before="312" w:beforeLines="100" w:after="312" w:afterLines="100" w:line="500" w:lineRule="exact"/>
        <w:ind w:firstLine="420" w:firstLineChars="200"/>
        <w:rPr>
          <w:rFonts w:hint="eastAsia" w:ascii="宋体" w:hAnsi="宋体"/>
          <w:szCs w:val="21"/>
        </w:rPr>
      </w:pPr>
      <w:r>
        <w:rPr>
          <w:rFonts w:hint="eastAsia" w:ascii="宋体" w:hAnsi="宋体"/>
          <w:szCs w:val="21"/>
        </w:rPr>
        <w:t>代理人无转委托权。</w:t>
      </w:r>
    </w:p>
    <w:p w14:paraId="33B0D64F">
      <w:pPr>
        <w:pStyle w:val="17"/>
        <w:ind w:firstLine="420" w:firstLineChars="200"/>
      </w:pPr>
      <w:r>
        <w:rPr>
          <w:rFonts w:hint="eastAsia" w:ascii="宋体" w:hAnsi="宋体"/>
          <w:szCs w:val="21"/>
        </w:rPr>
        <w:t>附：</w:t>
      </w:r>
      <w:r>
        <w:rPr>
          <w:rFonts w:hint="eastAsia"/>
        </w:rPr>
        <w:t>法定代表人、委托代理人身份</w:t>
      </w:r>
    </w:p>
    <w:p w14:paraId="3414EC00">
      <w:pPr>
        <w:spacing w:after="312" w:afterLines="100" w:line="500" w:lineRule="exact"/>
        <w:ind w:firstLine="420" w:firstLineChars="200"/>
        <w:rPr>
          <w:rFonts w:hint="eastAsia" w:ascii="宋体" w:hAnsi="宋体"/>
          <w:szCs w:val="21"/>
        </w:rPr>
      </w:pPr>
    </w:p>
    <w:p w14:paraId="15DA29EC">
      <w:pPr>
        <w:spacing w:line="500" w:lineRule="exact"/>
        <w:rPr>
          <w:rFonts w:hint="eastAsia" w:ascii="宋体" w:hAnsi="宋体"/>
          <w:szCs w:val="21"/>
        </w:rPr>
      </w:pPr>
    </w:p>
    <w:p w14:paraId="7575979A">
      <w:pPr>
        <w:spacing w:line="400" w:lineRule="exact"/>
        <w:ind w:firstLine="3570" w:firstLineChars="1700"/>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（盖单位章）</w:t>
      </w:r>
    </w:p>
    <w:p w14:paraId="42511F33">
      <w:pPr>
        <w:spacing w:line="400" w:lineRule="exact"/>
        <w:ind w:firstLine="3570" w:firstLineChars="1700"/>
        <w:rPr>
          <w:rFonts w:hint="eastAsia" w:ascii="宋体" w:hAnsi="宋体"/>
          <w:szCs w:val="21"/>
        </w:rPr>
      </w:pPr>
    </w:p>
    <w:p w14:paraId="0A482C24">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D8FF4CB">
      <w:pPr>
        <w:spacing w:line="400" w:lineRule="exact"/>
        <w:ind w:firstLine="3570" w:firstLineChars="1700"/>
        <w:rPr>
          <w:rFonts w:hint="eastAsia" w:ascii="宋体" w:hAnsi="宋体"/>
          <w:szCs w:val="21"/>
        </w:rPr>
      </w:pPr>
    </w:p>
    <w:p w14:paraId="34B23B19">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59EC516D">
      <w:pPr>
        <w:spacing w:line="400" w:lineRule="exact"/>
        <w:ind w:firstLine="3570" w:firstLineChars="1700"/>
        <w:rPr>
          <w:rFonts w:hint="eastAsia" w:ascii="宋体" w:hAnsi="宋体"/>
          <w:szCs w:val="21"/>
          <w:u w:val="single"/>
        </w:rPr>
      </w:pPr>
    </w:p>
    <w:p w14:paraId="67A49FDF">
      <w:pPr>
        <w:spacing w:line="400" w:lineRule="exact"/>
        <w:ind w:firstLine="3570" w:firstLineChars="17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（签字或盖章）</w:t>
      </w:r>
    </w:p>
    <w:p w14:paraId="3CD2E160">
      <w:pPr>
        <w:spacing w:line="400" w:lineRule="exact"/>
        <w:ind w:firstLine="3570" w:firstLineChars="1700"/>
        <w:rPr>
          <w:rFonts w:hint="eastAsia" w:ascii="宋体" w:hAnsi="宋体"/>
          <w:szCs w:val="21"/>
        </w:rPr>
      </w:pPr>
    </w:p>
    <w:p w14:paraId="06B51E93">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4057C0E9">
      <w:pPr>
        <w:spacing w:line="400" w:lineRule="exact"/>
        <w:ind w:firstLine="3570" w:firstLineChars="1700"/>
        <w:rPr>
          <w:rFonts w:hint="eastAsia" w:ascii="宋体" w:hAnsi="宋体"/>
          <w:szCs w:val="21"/>
        </w:rPr>
      </w:pPr>
    </w:p>
    <w:p w14:paraId="0D1EAE39">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C956CD2">
      <w:pPr>
        <w:pStyle w:val="63"/>
        <w:numPr>
          <w:ilvl w:val="0"/>
          <w:numId w:val="0"/>
        </w:numPr>
        <w:spacing w:line="480" w:lineRule="exact"/>
        <w:ind w:leftChars="0"/>
        <w:jc w:val="center"/>
        <w:outlineLvl w:val="1"/>
        <w:rPr>
          <w:rFonts w:hint="eastAsia" w:hAnsi="宋体"/>
          <w:b/>
          <w:color w:val="auto"/>
          <w:sz w:val="28"/>
          <w:szCs w:val="28"/>
        </w:rPr>
      </w:pPr>
      <w:r>
        <w:rPr>
          <w:rFonts w:hAnsi="宋体"/>
          <w:color w:val="auto"/>
          <w:szCs w:val="21"/>
        </w:rPr>
        <w:br w:type="page"/>
      </w:r>
      <w:bookmarkStart w:id="579" w:name="_Toc3916"/>
      <w:bookmarkStart w:id="580" w:name="_Toc3036"/>
      <w:r>
        <w:rPr>
          <w:rFonts w:hint="eastAsia" w:hAnsi="宋体"/>
          <w:b/>
          <w:bCs/>
          <w:color w:val="auto"/>
          <w:sz w:val="28"/>
          <w:szCs w:val="22"/>
          <w:lang w:val="en-US" w:eastAsia="zh-CN"/>
        </w:rPr>
        <w:t xml:space="preserve">5  </w:t>
      </w:r>
      <w:r>
        <w:rPr>
          <w:rFonts w:hint="eastAsia" w:hAnsi="宋体"/>
          <w:b/>
          <w:bCs/>
          <w:color w:val="auto"/>
          <w:sz w:val="28"/>
          <w:szCs w:val="22"/>
        </w:rPr>
        <w:t>已标价工程量清单</w:t>
      </w:r>
    </w:p>
    <w:p w14:paraId="3E88A3E4">
      <w:pPr>
        <w:pStyle w:val="63"/>
        <w:numPr>
          <w:ilvl w:val="0"/>
          <w:numId w:val="0"/>
        </w:numPr>
        <w:spacing w:line="480" w:lineRule="exact"/>
        <w:ind w:leftChars="0"/>
        <w:jc w:val="both"/>
        <w:outlineLvl w:val="9"/>
        <w:rPr>
          <w:rFonts w:hint="eastAsia" w:hAnsi="宋体"/>
          <w:b/>
          <w:color w:val="auto"/>
          <w:sz w:val="28"/>
          <w:szCs w:val="28"/>
        </w:rPr>
      </w:pPr>
    </w:p>
    <w:p w14:paraId="42AB85E9">
      <w:pPr>
        <w:pStyle w:val="63"/>
        <w:spacing w:line="480" w:lineRule="exact"/>
        <w:jc w:val="both"/>
        <w:outlineLvl w:val="9"/>
        <w:rPr>
          <w:rFonts w:hint="eastAsia" w:hAnsi="宋体"/>
          <w:b/>
          <w:color w:val="auto"/>
          <w:sz w:val="28"/>
          <w:szCs w:val="28"/>
        </w:rPr>
      </w:pPr>
    </w:p>
    <w:p w14:paraId="1BA319ED">
      <w:pPr>
        <w:pStyle w:val="63"/>
        <w:numPr>
          <w:ilvl w:val="0"/>
          <w:numId w:val="0"/>
        </w:numPr>
        <w:spacing w:line="480" w:lineRule="exact"/>
        <w:ind w:leftChars="0"/>
        <w:jc w:val="center"/>
        <w:outlineLvl w:val="1"/>
        <w:rPr>
          <w:rFonts w:hint="eastAsia" w:hAnsi="宋体"/>
          <w:b/>
          <w:color w:val="auto"/>
          <w:sz w:val="28"/>
          <w:szCs w:val="28"/>
        </w:rPr>
      </w:pPr>
      <w:r>
        <w:rPr>
          <w:rFonts w:hint="eastAsia" w:hAnsi="宋体" w:cs="黑体"/>
          <w:b/>
          <w:color w:val="auto"/>
          <w:sz w:val="28"/>
          <w:szCs w:val="28"/>
        </w:rPr>
        <w:br w:type="page"/>
      </w:r>
      <w:r>
        <w:rPr>
          <w:rFonts w:hint="eastAsia" w:hAnsi="宋体" w:cs="黑体"/>
          <w:b/>
          <w:color w:val="auto"/>
          <w:sz w:val="28"/>
          <w:szCs w:val="28"/>
          <w:lang w:val="en-US" w:eastAsia="zh-CN"/>
        </w:rPr>
        <w:t xml:space="preserve">6  </w:t>
      </w:r>
      <w:r>
        <w:rPr>
          <w:rFonts w:hint="eastAsia" w:hAnsi="宋体" w:cs="黑体"/>
          <w:b/>
          <w:color w:val="auto"/>
          <w:sz w:val="28"/>
          <w:szCs w:val="28"/>
        </w:rPr>
        <w:t>供应商的资格及证明文件</w:t>
      </w:r>
      <w:bookmarkEnd w:id="579"/>
      <w:bookmarkEnd w:id="580"/>
    </w:p>
    <w:p w14:paraId="348469A1">
      <w:pPr>
        <w:pStyle w:val="63"/>
        <w:spacing w:line="480" w:lineRule="exact"/>
        <w:outlineLvl w:val="9"/>
        <w:rPr>
          <w:rFonts w:hint="eastAsia" w:hAnsi="宋体"/>
          <w:b/>
          <w:color w:val="auto"/>
          <w:sz w:val="28"/>
          <w:szCs w:val="28"/>
        </w:rPr>
      </w:pPr>
    </w:p>
    <w:p w14:paraId="45842772">
      <w:pPr>
        <w:spacing w:line="360" w:lineRule="auto"/>
        <w:ind w:firstLine="420" w:firstLineChars="200"/>
        <w:rPr>
          <w:rFonts w:hint="eastAsia" w:ascii="宋体" w:hAnsi="宋体"/>
          <w:szCs w:val="21"/>
        </w:rPr>
      </w:pPr>
    </w:p>
    <w:p w14:paraId="392D6C58">
      <w:pPr>
        <w:pStyle w:val="19"/>
        <w:ind w:left="63" w:right="63"/>
        <w:rPr>
          <w:rFonts w:hint="eastAsia" w:ascii="宋体" w:hAnsi="宋体"/>
          <w:szCs w:val="21"/>
        </w:rPr>
      </w:pPr>
    </w:p>
    <w:p w14:paraId="55F92322">
      <w:pPr>
        <w:pStyle w:val="19"/>
        <w:ind w:left="63" w:right="63"/>
        <w:rPr>
          <w:rFonts w:hint="eastAsia" w:ascii="宋体" w:hAnsi="宋体"/>
          <w:szCs w:val="21"/>
        </w:rPr>
      </w:pPr>
    </w:p>
    <w:p w14:paraId="6EDDB673">
      <w:pPr>
        <w:pStyle w:val="19"/>
        <w:ind w:left="63" w:right="63"/>
        <w:rPr>
          <w:rFonts w:hint="eastAsia" w:ascii="宋体" w:hAnsi="宋体"/>
          <w:szCs w:val="21"/>
        </w:rPr>
      </w:pPr>
    </w:p>
    <w:p w14:paraId="3E187E58">
      <w:pPr>
        <w:pStyle w:val="19"/>
        <w:ind w:left="63" w:right="63"/>
        <w:rPr>
          <w:rFonts w:hint="eastAsia" w:ascii="宋体" w:hAnsi="宋体"/>
          <w:szCs w:val="21"/>
        </w:rPr>
      </w:pPr>
    </w:p>
    <w:p w14:paraId="78474AD7">
      <w:pPr>
        <w:pStyle w:val="19"/>
        <w:ind w:left="63" w:right="63"/>
        <w:rPr>
          <w:rFonts w:hint="eastAsia" w:ascii="宋体" w:hAnsi="宋体"/>
          <w:szCs w:val="21"/>
        </w:rPr>
      </w:pPr>
    </w:p>
    <w:p w14:paraId="7058D817">
      <w:pPr>
        <w:pStyle w:val="19"/>
        <w:ind w:left="63" w:right="63"/>
        <w:rPr>
          <w:rFonts w:hint="eastAsia" w:ascii="宋体" w:hAnsi="宋体"/>
          <w:szCs w:val="21"/>
        </w:rPr>
      </w:pPr>
    </w:p>
    <w:p w14:paraId="1E53E3C1">
      <w:pPr>
        <w:pStyle w:val="19"/>
        <w:ind w:left="63" w:right="63"/>
        <w:rPr>
          <w:rFonts w:hint="eastAsia" w:ascii="宋体" w:hAnsi="宋体"/>
          <w:szCs w:val="21"/>
        </w:rPr>
      </w:pPr>
    </w:p>
    <w:p w14:paraId="7EE37333">
      <w:pPr>
        <w:pStyle w:val="19"/>
        <w:ind w:left="63" w:right="63"/>
        <w:rPr>
          <w:rFonts w:hint="eastAsia" w:ascii="宋体" w:hAnsi="宋体"/>
          <w:szCs w:val="21"/>
        </w:rPr>
      </w:pPr>
    </w:p>
    <w:p w14:paraId="4BBCB0E7">
      <w:pPr>
        <w:pStyle w:val="19"/>
        <w:ind w:left="63" w:right="63"/>
        <w:rPr>
          <w:rFonts w:hint="eastAsia" w:ascii="宋体" w:hAnsi="宋体"/>
          <w:szCs w:val="21"/>
        </w:rPr>
      </w:pPr>
    </w:p>
    <w:p w14:paraId="1F01B9DD">
      <w:pPr>
        <w:pStyle w:val="19"/>
        <w:ind w:left="63" w:right="63"/>
        <w:rPr>
          <w:rFonts w:hint="eastAsia" w:ascii="宋体" w:hAnsi="宋体"/>
          <w:szCs w:val="21"/>
        </w:rPr>
      </w:pPr>
    </w:p>
    <w:p w14:paraId="61901D9A">
      <w:pPr>
        <w:pStyle w:val="19"/>
        <w:ind w:left="63" w:right="63"/>
        <w:rPr>
          <w:rFonts w:hint="eastAsia" w:ascii="宋体" w:hAnsi="宋体"/>
          <w:szCs w:val="21"/>
        </w:rPr>
      </w:pPr>
    </w:p>
    <w:p w14:paraId="5EA21F1B">
      <w:pPr>
        <w:autoSpaceDE w:val="0"/>
        <w:autoSpaceDN w:val="0"/>
        <w:spacing w:line="360" w:lineRule="auto"/>
        <w:ind w:firstLine="575" w:firstLineChars="250"/>
        <w:rPr>
          <w:rFonts w:hint="eastAsia" w:ascii="宋体" w:hAnsi="宋体"/>
          <w:bCs/>
          <w:spacing w:val="10"/>
          <w:szCs w:val="21"/>
        </w:rPr>
      </w:pPr>
    </w:p>
    <w:p w14:paraId="7E225B4E">
      <w:pPr>
        <w:pStyle w:val="19"/>
        <w:ind w:left="63" w:right="63"/>
        <w:rPr>
          <w:rFonts w:hint="eastAsia"/>
        </w:rPr>
      </w:pPr>
    </w:p>
    <w:p w14:paraId="682D34BD">
      <w:pPr>
        <w:pStyle w:val="19"/>
        <w:ind w:left="63" w:right="63"/>
        <w:rPr>
          <w:rFonts w:hint="eastAsia"/>
        </w:rPr>
      </w:pPr>
    </w:p>
    <w:p w14:paraId="1326E963">
      <w:pPr>
        <w:pStyle w:val="19"/>
        <w:ind w:left="63" w:right="63"/>
        <w:rPr>
          <w:rFonts w:hint="eastAsia"/>
        </w:rPr>
      </w:pPr>
    </w:p>
    <w:p w14:paraId="1BCF2657">
      <w:pPr>
        <w:pStyle w:val="19"/>
        <w:ind w:left="63" w:right="63"/>
        <w:rPr>
          <w:rFonts w:hint="eastAsia"/>
        </w:rPr>
      </w:pPr>
    </w:p>
    <w:p w14:paraId="12FF6C7E">
      <w:pPr>
        <w:pStyle w:val="19"/>
        <w:ind w:left="63" w:right="63"/>
        <w:rPr>
          <w:rFonts w:hint="eastAsia"/>
        </w:rPr>
      </w:pPr>
    </w:p>
    <w:p w14:paraId="48AEB13F">
      <w:pPr>
        <w:spacing w:line="360" w:lineRule="auto"/>
        <w:ind w:right="420" w:firstLine="2940" w:firstLineChars="1400"/>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74DC388E">
      <w:pPr>
        <w:spacing w:line="360" w:lineRule="auto"/>
        <w:ind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07BA33A">
      <w:pPr>
        <w:pStyle w:val="63"/>
        <w:spacing w:line="480" w:lineRule="exact"/>
        <w:jc w:val="center"/>
        <w:outlineLvl w:val="9"/>
        <w:rPr>
          <w:rFonts w:hint="eastAsia" w:hAnsi="宋体"/>
          <w:color w:val="auto"/>
        </w:rPr>
      </w:pPr>
    </w:p>
    <w:p w14:paraId="31B27AD6">
      <w:pPr>
        <w:pStyle w:val="63"/>
        <w:spacing w:line="480" w:lineRule="exact"/>
        <w:jc w:val="center"/>
        <w:outlineLvl w:val="9"/>
        <w:rPr>
          <w:rFonts w:hint="eastAsia" w:hAnsi="宋体"/>
          <w:color w:val="auto"/>
        </w:rPr>
      </w:pPr>
    </w:p>
    <w:p w14:paraId="1DEC1EB7">
      <w:pPr>
        <w:pStyle w:val="63"/>
        <w:spacing w:line="480" w:lineRule="exact"/>
        <w:jc w:val="center"/>
        <w:outlineLvl w:val="9"/>
        <w:rPr>
          <w:rFonts w:hint="eastAsia" w:hAnsi="宋体"/>
          <w:color w:val="auto"/>
        </w:rPr>
      </w:pPr>
    </w:p>
    <w:p w14:paraId="2E92392F">
      <w:pPr>
        <w:pStyle w:val="63"/>
        <w:spacing w:line="480" w:lineRule="exact"/>
        <w:jc w:val="center"/>
        <w:outlineLvl w:val="9"/>
        <w:rPr>
          <w:rFonts w:hint="eastAsia" w:hAnsi="宋体"/>
          <w:color w:val="auto"/>
        </w:rPr>
      </w:pPr>
    </w:p>
    <w:p w14:paraId="4B45AB1A">
      <w:pPr>
        <w:pStyle w:val="63"/>
        <w:spacing w:line="480" w:lineRule="exact"/>
        <w:jc w:val="center"/>
        <w:outlineLvl w:val="9"/>
        <w:rPr>
          <w:rFonts w:hint="eastAsia" w:hAnsi="宋体"/>
          <w:color w:val="auto"/>
        </w:rPr>
      </w:pPr>
    </w:p>
    <w:p w14:paraId="31827675">
      <w:pPr>
        <w:pStyle w:val="63"/>
        <w:spacing w:line="480" w:lineRule="exact"/>
        <w:jc w:val="center"/>
        <w:outlineLvl w:val="9"/>
        <w:rPr>
          <w:rFonts w:hint="eastAsia" w:hAnsi="宋体"/>
          <w:color w:val="auto"/>
        </w:rPr>
      </w:pPr>
    </w:p>
    <w:p w14:paraId="4A3BD4FB">
      <w:pPr>
        <w:pStyle w:val="63"/>
        <w:spacing w:line="480" w:lineRule="exact"/>
        <w:jc w:val="center"/>
        <w:outlineLvl w:val="9"/>
        <w:rPr>
          <w:rFonts w:hint="eastAsia" w:hAnsi="宋体"/>
          <w:color w:val="auto"/>
        </w:rPr>
      </w:pPr>
    </w:p>
    <w:p w14:paraId="1D4D4DE2">
      <w:pPr>
        <w:pStyle w:val="63"/>
        <w:spacing w:line="480" w:lineRule="exact"/>
        <w:jc w:val="center"/>
        <w:outlineLvl w:val="9"/>
        <w:rPr>
          <w:rFonts w:hint="eastAsia" w:hAnsi="宋体"/>
          <w:color w:val="auto"/>
        </w:rPr>
      </w:pPr>
    </w:p>
    <w:p w14:paraId="352D1CC5">
      <w:pPr>
        <w:pStyle w:val="63"/>
        <w:numPr>
          <w:ilvl w:val="0"/>
          <w:numId w:val="0"/>
        </w:numPr>
        <w:spacing w:line="480" w:lineRule="exact"/>
        <w:ind w:leftChars="0"/>
        <w:jc w:val="both"/>
        <w:outlineLvl w:val="9"/>
        <w:rPr>
          <w:rFonts w:hint="eastAsia" w:hAnsi="宋体"/>
          <w:b/>
          <w:color w:val="auto"/>
          <w:sz w:val="28"/>
          <w:szCs w:val="28"/>
        </w:rPr>
      </w:pPr>
    </w:p>
    <w:p w14:paraId="26EB5C7B">
      <w:pPr>
        <w:rPr>
          <w:rFonts w:hint="eastAsia"/>
          <w:sz w:val="24"/>
        </w:rPr>
      </w:pPr>
      <w:r>
        <w:rPr>
          <w:rFonts w:hAnsi="宋体"/>
        </w:rPr>
        <w:br w:type="page"/>
      </w:r>
      <w:bookmarkStart w:id="581" w:name="_Toc265572092"/>
    </w:p>
    <w:bookmarkEnd w:id="581"/>
    <w:p w14:paraId="692284CD">
      <w:pPr>
        <w:pStyle w:val="63"/>
        <w:numPr>
          <w:ilvl w:val="0"/>
          <w:numId w:val="0"/>
        </w:numPr>
        <w:spacing w:line="480" w:lineRule="exact"/>
        <w:ind w:leftChars="0"/>
        <w:jc w:val="center"/>
        <w:outlineLvl w:val="1"/>
        <w:rPr>
          <w:rFonts w:hint="eastAsia" w:hAnsi="宋体" w:cs="黑体"/>
          <w:b/>
          <w:color w:val="auto"/>
          <w:sz w:val="28"/>
          <w:szCs w:val="28"/>
        </w:rPr>
      </w:pPr>
      <w:bookmarkStart w:id="582" w:name="_Toc31166"/>
      <w:bookmarkStart w:id="583" w:name="_Toc25802"/>
      <w:bookmarkStart w:id="584" w:name="_Toc6490"/>
      <w:r>
        <w:rPr>
          <w:rFonts w:hint="eastAsia" w:hAnsi="宋体" w:cs="黑体"/>
          <w:b/>
          <w:color w:val="auto"/>
          <w:sz w:val="28"/>
          <w:szCs w:val="28"/>
          <w:lang w:val="en-US" w:eastAsia="zh-CN"/>
        </w:rPr>
        <w:t xml:space="preserve">7  </w:t>
      </w:r>
      <w:r>
        <w:rPr>
          <w:rFonts w:hint="eastAsia" w:hAnsi="宋体" w:cs="黑体"/>
          <w:b/>
          <w:color w:val="auto"/>
          <w:sz w:val="28"/>
          <w:szCs w:val="28"/>
        </w:rPr>
        <w:t>供应商类似的项目业绩清单</w:t>
      </w:r>
    </w:p>
    <w:p w14:paraId="7A7F3D25">
      <w:pPr>
        <w:pStyle w:val="19"/>
        <w:ind w:left="63" w:right="63"/>
        <w:rPr>
          <w:rFonts w:hint="eastAsia" w:ascii="宋体" w:hAnsi="宋体"/>
          <w:szCs w:val="21"/>
        </w:rPr>
      </w:pPr>
    </w:p>
    <w:p w14:paraId="0AD6CD0D">
      <w:pPr>
        <w:pStyle w:val="13"/>
        <w:spacing w:line="360" w:lineRule="auto"/>
        <w:rPr>
          <w:rFonts w:ascii="宋体" w:hAnsi="宋体" w:cs="hakuyoxingshu7000"/>
          <w:bCs/>
          <w:szCs w:val="21"/>
        </w:rPr>
      </w:pPr>
      <w:r>
        <w:rPr>
          <w:rFonts w:hint="eastAsia" w:ascii="宋体" w:hAnsi="宋体" w:cs="hakuyoxingshu7000"/>
          <w:bCs/>
          <w:szCs w:val="21"/>
        </w:rPr>
        <w:t>供应商：</w:t>
      </w:r>
      <w:r>
        <w:rPr>
          <w:rFonts w:hint="eastAsia" w:ascii="宋体" w:hAnsi="宋体" w:cs="hakuyoxingshu7000"/>
          <w:bCs/>
          <w:szCs w:val="21"/>
          <w:u w:val="single"/>
          <w:lang w:val="en-US" w:eastAsia="zh-CN"/>
        </w:rPr>
        <w:t xml:space="preserve">                          </w:t>
      </w:r>
      <w:r>
        <w:rPr>
          <w:rFonts w:hint="eastAsia" w:ascii="宋体" w:hAnsi="宋体" w:cs="hakuyoxingshu7000"/>
          <w:bCs/>
          <w:szCs w:val="21"/>
        </w:rPr>
        <w:t>（此处填供应商名称）</w:t>
      </w:r>
    </w:p>
    <w:p w14:paraId="049E2FBB">
      <w:pPr>
        <w:spacing w:line="360" w:lineRule="auto"/>
        <w:ind w:firstLine="420" w:firstLineChars="200"/>
        <w:rPr>
          <w:rFonts w:ascii="宋体" w:hAnsi="宋体" w:cs="hakuyoxingshu7000"/>
          <w:szCs w:val="21"/>
        </w:rPr>
      </w:pPr>
      <w:r>
        <w:rPr>
          <w:rFonts w:hint="eastAsia" w:ascii="宋体" w:hAnsi="宋体" w:cs="hakuyoxingshu7000"/>
          <w:szCs w:val="21"/>
        </w:rPr>
        <w:t>项目</w:t>
      </w:r>
      <w:r>
        <w:rPr>
          <w:rFonts w:hint="eastAsia" w:ascii="宋体" w:hAnsi="宋体" w:cs="hakuyoxingshu7000"/>
          <w:szCs w:val="21"/>
          <w:lang w:val="en-US" w:eastAsia="zh-CN"/>
        </w:rPr>
        <w:t>名称</w:t>
      </w:r>
      <w:r>
        <w:rPr>
          <w:rFonts w:hint="eastAsia" w:ascii="宋体" w:hAnsi="宋体" w:cs="hakuyoxingshu7000"/>
          <w:szCs w:val="21"/>
        </w:rPr>
        <w:t>：</w:t>
      </w:r>
      <w:r>
        <w:rPr>
          <w:rFonts w:hint="eastAsia" w:ascii="宋体" w:hAnsi="宋体" w:cs="hakuyoxingshu7000"/>
          <w:szCs w:val="21"/>
          <w:u w:val="single"/>
          <w:lang w:val="en-US" w:eastAsia="zh-CN"/>
        </w:rPr>
        <w:t xml:space="preserve">                           </w:t>
      </w:r>
      <w:r>
        <w:rPr>
          <w:rFonts w:hint="eastAsia" w:ascii="宋体" w:hAnsi="宋体" w:cs="hakuyoxingshu7000"/>
          <w:szCs w:val="21"/>
        </w:rPr>
        <w:t>（此处填项目名称）</w:t>
      </w:r>
    </w:p>
    <w:tbl>
      <w:tblPr>
        <w:tblStyle w:val="47"/>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69"/>
        <w:gridCol w:w="1782"/>
        <w:gridCol w:w="3063"/>
      </w:tblGrid>
      <w:tr w14:paraId="5AA2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5DB534D1">
            <w:pPr>
              <w:jc w:val="center"/>
              <w:rPr>
                <w:rFonts w:ascii="宋体" w:hAnsi="宋体" w:cs="hakuyoxingshu7000"/>
                <w:szCs w:val="21"/>
              </w:rPr>
            </w:pPr>
            <w:r>
              <w:rPr>
                <w:rFonts w:hint="eastAsia" w:ascii="宋体" w:hAnsi="宋体" w:cs="hakuyoxingshu7000"/>
                <w:szCs w:val="21"/>
              </w:rPr>
              <w:t>序号</w:t>
            </w:r>
          </w:p>
        </w:tc>
        <w:tc>
          <w:tcPr>
            <w:tcW w:w="2969" w:type="dxa"/>
            <w:noWrap w:val="0"/>
            <w:vAlign w:val="center"/>
          </w:tcPr>
          <w:p w14:paraId="74215525">
            <w:pPr>
              <w:jc w:val="center"/>
              <w:rPr>
                <w:rFonts w:ascii="宋体" w:hAnsi="宋体" w:cs="hakuyoxingshu7000"/>
                <w:szCs w:val="21"/>
              </w:rPr>
            </w:pPr>
            <w:r>
              <w:rPr>
                <w:rFonts w:hint="eastAsia" w:ascii="宋体" w:hAnsi="宋体" w:cs="hakuyoxingshu7000"/>
                <w:szCs w:val="21"/>
              </w:rPr>
              <w:t>项目名称</w:t>
            </w:r>
          </w:p>
        </w:tc>
        <w:tc>
          <w:tcPr>
            <w:tcW w:w="1782" w:type="dxa"/>
            <w:noWrap w:val="0"/>
            <w:vAlign w:val="center"/>
          </w:tcPr>
          <w:p w14:paraId="13A84DA5">
            <w:pPr>
              <w:jc w:val="center"/>
              <w:rPr>
                <w:rFonts w:ascii="宋体" w:hAnsi="宋体" w:cs="hakuyoxingshu7000"/>
                <w:szCs w:val="21"/>
              </w:rPr>
            </w:pPr>
            <w:r>
              <w:rPr>
                <w:rFonts w:hint="eastAsia" w:ascii="宋体" w:hAnsi="宋体" w:cs="hakuyoxingshu7000"/>
                <w:szCs w:val="21"/>
              </w:rPr>
              <w:t>实施时间</w:t>
            </w:r>
          </w:p>
        </w:tc>
        <w:tc>
          <w:tcPr>
            <w:tcW w:w="3063" w:type="dxa"/>
            <w:noWrap w:val="0"/>
            <w:vAlign w:val="center"/>
          </w:tcPr>
          <w:p w14:paraId="67C5A8D1">
            <w:pPr>
              <w:jc w:val="center"/>
              <w:rPr>
                <w:rFonts w:ascii="宋体" w:hAnsi="宋体" w:cs="hakuyoxingshu7000"/>
                <w:szCs w:val="21"/>
              </w:rPr>
            </w:pPr>
            <w:r>
              <w:rPr>
                <w:rFonts w:hint="eastAsia" w:ascii="宋体" w:hAnsi="宋体" w:cs="hakuyoxingshu7000"/>
                <w:szCs w:val="21"/>
              </w:rPr>
              <w:t>建设单位</w:t>
            </w:r>
          </w:p>
        </w:tc>
      </w:tr>
      <w:tr w14:paraId="622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20BF6AC5">
            <w:pPr>
              <w:jc w:val="center"/>
              <w:rPr>
                <w:rFonts w:ascii="宋体" w:hAnsi="宋体" w:cs="hakuyoxingshu7000"/>
                <w:szCs w:val="21"/>
              </w:rPr>
            </w:pPr>
          </w:p>
        </w:tc>
        <w:tc>
          <w:tcPr>
            <w:tcW w:w="2969" w:type="dxa"/>
            <w:noWrap w:val="0"/>
            <w:vAlign w:val="center"/>
          </w:tcPr>
          <w:p w14:paraId="328F442B">
            <w:pPr>
              <w:jc w:val="center"/>
              <w:rPr>
                <w:rFonts w:ascii="宋体" w:hAnsi="宋体" w:cs="hakuyoxingshu7000"/>
                <w:szCs w:val="21"/>
              </w:rPr>
            </w:pPr>
          </w:p>
        </w:tc>
        <w:tc>
          <w:tcPr>
            <w:tcW w:w="1782" w:type="dxa"/>
            <w:noWrap w:val="0"/>
            <w:vAlign w:val="center"/>
          </w:tcPr>
          <w:p w14:paraId="6514C211">
            <w:pPr>
              <w:jc w:val="center"/>
              <w:rPr>
                <w:rFonts w:ascii="宋体" w:hAnsi="宋体" w:cs="hakuyoxingshu7000"/>
                <w:szCs w:val="21"/>
              </w:rPr>
            </w:pPr>
          </w:p>
        </w:tc>
        <w:tc>
          <w:tcPr>
            <w:tcW w:w="3063" w:type="dxa"/>
            <w:noWrap w:val="0"/>
            <w:vAlign w:val="center"/>
          </w:tcPr>
          <w:p w14:paraId="18344BDA">
            <w:pPr>
              <w:jc w:val="center"/>
              <w:rPr>
                <w:rFonts w:ascii="宋体" w:hAnsi="宋体" w:cs="hakuyoxingshu7000"/>
                <w:szCs w:val="21"/>
              </w:rPr>
            </w:pPr>
          </w:p>
        </w:tc>
      </w:tr>
      <w:tr w14:paraId="252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463BB2D">
            <w:pPr>
              <w:jc w:val="center"/>
              <w:rPr>
                <w:rFonts w:ascii="宋体" w:hAnsi="宋体" w:cs="hakuyoxingshu7000"/>
                <w:szCs w:val="21"/>
              </w:rPr>
            </w:pPr>
          </w:p>
        </w:tc>
        <w:tc>
          <w:tcPr>
            <w:tcW w:w="2969" w:type="dxa"/>
            <w:noWrap w:val="0"/>
            <w:vAlign w:val="center"/>
          </w:tcPr>
          <w:p w14:paraId="39D9DC57">
            <w:pPr>
              <w:jc w:val="center"/>
              <w:rPr>
                <w:rFonts w:ascii="宋体" w:hAnsi="宋体" w:cs="hakuyoxingshu7000"/>
                <w:szCs w:val="21"/>
              </w:rPr>
            </w:pPr>
          </w:p>
        </w:tc>
        <w:tc>
          <w:tcPr>
            <w:tcW w:w="1782" w:type="dxa"/>
            <w:noWrap w:val="0"/>
            <w:vAlign w:val="center"/>
          </w:tcPr>
          <w:p w14:paraId="667906F8">
            <w:pPr>
              <w:jc w:val="center"/>
              <w:rPr>
                <w:rFonts w:ascii="宋体" w:hAnsi="宋体" w:cs="hakuyoxingshu7000"/>
                <w:szCs w:val="21"/>
              </w:rPr>
            </w:pPr>
          </w:p>
        </w:tc>
        <w:tc>
          <w:tcPr>
            <w:tcW w:w="3063" w:type="dxa"/>
            <w:noWrap w:val="0"/>
            <w:vAlign w:val="center"/>
          </w:tcPr>
          <w:p w14:paraId="05DB6743">
            <w:pPr>
              <w:jc w:val="center"/>
              <w:rPr>
                <w:rFonts w:ascii="宋体" w:hAnsi="宋体" w:cs="hakuyoxingshu7000"/>
                <w:szCs w:val="21"/>
              </w:rPr>
            </w:pPr>
          </w:p>
        </w:tc>
      </w:tr>
      <w:tr w14:paraId="32B5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0BAA7907">
            <w:pPr>
              <w:jc w:val="center"/>
              <w:rPr>
                <w:rFonts w:ascii="宋体" w:hAnsi="宋体" w:cs="hakuyoxingshu7000"/>
                <w:szCs w:val="21"/>
              </w:rPr>
            </w:pPr>
          </w:p>
        </w:tc>
        <w:tc>
          <w:tcPr>
            <w:tcW w:w="2969" w:type="dxa"/>
            <w:noWrap w:val="0"/>
            <w:vAlign w:val="center"/>
          </w:tcPr>
          <w:p w14:paraId="1BDB9773">
            <w:pPr>
              <w:jc w:val="center"/>
              <w:rPr>
                <w:rFonts w:ascii="宋体" w:hAnsi="宋体" w:cs="hakuyoxingshu7000"/>
                <w:szCs w:val="21"/>
              </w:rPr>
            </w:pPr>
          </w:p>
        </w:tc>
        <w:tc>
          <w:tcPr>
            <w:tcW w:w="1782" w:type="dxa"/>
            <w:noWrap w:val="0"/>
            <w:vAlign w:val="center"/>
          </w:tcPr>
          <w:p w14:paraId="21ACE5E6">
            <w:pPr>
              <w:jc w:val="center"/>
              <w:rPr>
                <w:rFonts w:ascii="宋体" w:hAnsi="宋体" w:cs="hakuyoxingshu7000"/>
                <w:szCs w:val="21"/>
              </w:rPr>
            </w:pPr>
          </w:p>
        </w:tc>
        <w:tc>
          <w:tcPr>
            <w:tcW w:w="3063" w:type="dxa"/>
            <w:noWrap w:val="0"/>
            <w:vAlign w:val="center"/>
          </w:tcPr>
          <w:p w14:paraId="462D7D39">
            <w:pPr>
              <w:jc w:val="center"/>
              <w:rPr>
                <w:rFonts w:ascii="宋体" w:hAnsi="宋体" w:cs="hakuyoxingshu7000"/>
                <w:szCs w:val="21"/>
              </w:rPr>
            </w:pPr>
          </w:p>
        </w:tc>
      </w:tr>
      <w:tr w14:paraId="7E19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6ABC5FA">
            <w:pPr>
              <w:jc w:val="center"/>
              <w:rPr>
                <w:rFonts w:ascii="宋体" w:hAnsi="宋体" w:cs="hakuyoxingshu7000"/>
                <w:szCs w:val="21"/>
              </w:rPr>
            </w:pPr>
          </w:p>
        </w:tc>
        <w:tc>
          <w:tcPr>
            <w:tcW w:w="2969" w:type="dxa"/>
            <w:noWrap w:val="0"/>
            <w:vAlign w:val="center"/>
          </w:tcPr>
          <w:p w14:paraId="5121ACCC">
            <w:pPr>
              <w:jc w:val="center"/>
              <w:rPr>
                <w:rFonts w:ascii="宋体" w:hAnsi="宋体" w:cs="hakuyoxingshu7000"/>
                <w:szCs w:val="21"/>
              </w:rPr>
            </w:pPr>
          </w:p>
        </w:tc>
        <w:tc>
          <w:tcPr>
            <w:tcW w:w="1782" w:type="dxa"/>
            <w:noWrap w:val="0"/>
            <w:vAlign w:val="center"/>
          </w:tcPr>
          <w:p w14:paraId="326C95AF">
            <w:pPr>
              <w:jc w:val="center"/>
              <w:rPr>
                <w:rFonts w:ascii="宋体" w:hAnsi="宋体" w:cs="hakuyoxingshu7000"/>
                <w:szCs w:val="21"/>
              </w:rPr>
            </w:pPr>
          </w:p>
        </w:tc>
        <w:tc>
          <w:tcPr>
            <w:tcW w:w="3063" w:type="dxa"/>
            <w:noWrap w:val="0"/>
            <w:vAlign w:val="center"/>
          </w:tcPr>
          <w:p w14:paraId="3C1B4F6C">
            <w:pPr>
              <w:jc w:val="center"/>
              <w:rPr>
                <w:rFonts w:ascii="宋体" w:hAnsi="宋体" w:cs="hakuyoxingshu7000"/>
                <w:szCs w:val="21"/>
              </w:rPr>
            </w:pPr>
          </w:p>
        </w:tc>
      </w:tr>
      <w:tr w14:paraId="5AB9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B44A99C">
            <w:pPr>
              <w:jc w:val="center"/>
              <w:rPr>
                <w:rFonts w:ascii="宋体" w:hAnsi="宋体" w:cs="hakuyoxingshu7000"/>
                <w:szCs w:val="21"/>
              </w:rPr>
            </w:pPr>
          </w:p>
        </w:tc>
        <w:tc>
          <w:tcPr>
            <w:tcW w:w="2969" w:type="dxa"/>
            <w:noWrap w:val="0"/>
            <w:vAlign w:val="center"/>
          </w:tcPr>
          <w:p w14:paraId="0B998787">
            <w:pPr>
              <w:jc w:val="center"/>
              <w:rPr>
                <w:rFonts w:ascii="宋体" w:hAnsi="宋体" w:cs="hakuyoxingshu7000"/>
                <w:szCs w:val="21"/>
              </w:rPr>
            </w:pPr>
          </w:p>
        </w:tc>
        <w:tc>
          <w:tcPr>
            <w:tcW w:w="1782" w:type="dxa"/>
            <w:noWrap w:val="0"/>
            <w:vAlign w:val="center"/>
          </w:tcPr>
          <w:p w14:paraId="789503CA">
            <w:pPr>
              <w:jc w:val="center"/>
              <w:rPr>
                <w:rFonts w:ascii="宋体" w:hAnsi="宋体" w:cs="hakuyoxingshu7000"/>
                <w:szCs w:val="21"/>
              </w:rPr>
            </w:pPr>
          </w:p>
        </w:tc>
        <w:tc>
          <w:tcPr>
            <w:tcW w:w="3063" w:type="dxa"/>
            <w:noWrap w:val="0"/>
            <w:vAlign w:val="center"/>
          </w:tcPr>
          <w:p w14:paraId="11263D3A">
            <w:pPr>
              <w:jc w:val="center"/>
              <w:rPr>
                <w:rFonts w:ascii="宋体" w:hAnsi="宋体" w:cs="hakuyoxingshu7000"/>
                <w:szCs w:val="21"/>
              </w:rPr>
            </w:pPr>
          </w:p>
        </w:tc>
      </w:tr>
      <w:tr w14:paraId="0F0E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8C08A12">
            <w:pPr>
              <w:jc w:val="center"/>
              <w:rPr>
                <w:rFonts w:ascii="宋体" w:hAnsi="宋体" w:cs="hakuyoxingshu7000"/>
                <w:szCs w:val="21"/>
              </w:rPr>
            </w:pPr>
          </w:p>
        </w:tc>
        <w:tc>
          <w:tcPr>
            <w:tcW w:w="2969" w:type="dxa"/>
            <w:noWrap w:val="0"/>
            <w:vAlign w:val="center"/>
          </w:tcPr>
          <w:p w14:paraId="1A8CEC06">
            <w:pPr>
              <w:jc w:val="center"/>
              <w:rPr>
                <w:rFonts w:ascii="宋体" w:hAnsi="宋体" w:cs="hakuyoxingshu7000"/>
                <w:szCs w:val="21"/>
              </w:rPr>
            </w:pPr>
          </w:p>
        </w:tc>
        <w:tc>
          <w:tcPr>
            <w:tcW w:w="1782" w:type="dxa"/>
            <w:noWrap w:val="0"/>
            <w:vAlign w:val="center"/>
          </w:tcPr>
          <w:p w14:paraId="5366B904">
            <w:pPr>
              <w:jc w:val="center"/>
              <w:rPr>
                <w:rFonts w:ascii="宋体" w:hAnsi="宋体" w:cs="hakuyoxingshu7000"/>
                <w:szCs w:val="21"/>
              </w:rPr>
            </w:pPr>
          </w:p>
        </w:tc>
        <w:tc>
          <w:tcPr>
            <w:tcW w:w="3063" w:type="dxa"/>
            <w:noWrap w:val="0"/>
            <w:vAlign w:val="center"/>
          </w:tcPr>
          <w:p w14:paraId="73B30ED5">
            <w:pPr>
              <w:jc w:val="center"/>
              <w:rPr>
                <w:rFonts w:ascii="宋体" w:hAnsi="宋体" w:cs="hakuyoxingshu7000"/>
                <w:szCs w:val="21"/>
              </w:rPr>
            </w:pPr>
          </w:p>
        </w:tc>
      </w:tr>
      <w:tr w14:paraId="6B4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D177F09">
            <w:pPr>
              <w:jc w:val="center"/>
              <w:rPr>
                <w:rFonts w:ascii="宋体" w:hAnsi="宋体" w:cs="hakuyoxingshu7000"/>
                <w:szCs w:val="21"/>
              </w:rPr>
            </w:pPr>
          </w:p>
        </w:tc>
        <w:tc>
          <w:tcPr>
            <w:tcW w:w="2969" w:type="dxa"/>
            <w:noWrap w:val="0"/>
            <w:vAlign w:val="center"/>
          </w:tcPr>
          <w:p w14:paraId="7DC455A6">
            <w:pPr>
              <w:jc w:val="center"/>
              <w:rPr>
                <w:rFonts w:ascii="宋体" w:hAnsi="宋体" w:cs="hakuyoxingshu7000"/>
                <w:szCs w:val="21"/>
              </w:rPr>
            </w:pPr>
          </w:p>
        </w:tc>
        <w:tc>
          <w:tcPr>
            <w:tcW w:w="1782" w:type="dxa"/>
            <w:noWrap w:val="0"/>
            <w:vAlign w:val="center"/>
          </w:tcPr>
          <w:p w14:paraId="1AABE445">
            <w:pPr>
              <w:jc w:val="center"/>
              <w:rPr>
                <w:rFonts w:ascii="宋体" w:hAnsi="宋体" w:cs="hakuyoxingshu7000"/>
                <w:szCs w:val="21"/>
              </w:rPr>
            </w:pPr>
          </w:p>
        </w:tc>
        <w:tc>
          <w:tcPr>
            <w:tcW w:w="3063" w:type="dxa"/>
            <w:noWrap w:val="0"/>
            <w:vAlign w:val="center"/>
          </w:tcPr>
          <w:p w14:paraId="2263AA88">
            <w:pPr>
              <w:jc w:val="center"/>
              <w:rPr>
                <w:rFonts w:ascii="宋体" w:hAnsi="宋体" w:cs="hakuyoxingshu7000"/>
                <w:szCs w:val="21"/>
              </w:rPr>
            </w:pPr>
          </w:p>
        </w:tc>
      </w:tr>
      <w:tr w14:paraId="1818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1D2D934C">
            <w:pPr>
              <w:jc w:val="center"/>
              <w:rPr>
                <w:rFonts w:ascii="宋体" w:hAnsi="宋体" w:cs="hakuyoxingshu7000"/>
                <w:szCs w:val="21"/>
              </w:rPr>
            </w:pPr>
          </w:p>
        </w:tc>
        <w:tc>
          <w:tcPr>
            <w:tcW w:w="2969" w:type="dxa"/>
            <w:noWrap w:val="0"/>
            <w:vAlign w:val="center"/>
          </w:tcPr>
          <w:p w14:paraId="45ED896E">
            <w:pPr>
              <w:jc w:val="center"/>
              <w:rPr>
                <w:rFonts w:ascii="宋体" w:hAnsi="宋体" w:cs="hakuyoxingshu7000"/>
                <w:szCs w:val="21"/>
              </w:rPr>
            </w:pPr>
          </w:p>
        </w:tc>
        <w:tc>
          <w:tcPr>
            <w:tcW w:w="1782" w:type="dxa"/>
            <w:noWrap w:val="0"/>
            <w:vAlign w:val="center"/>
          </w:tcPr>
          <w:p w14:paraId="40E3D91E">
            <w:pPr>
              <w:jc w:val="center"/>
              <w:rPr>
                <w:rFonts w:ascii="宋体" w:hAnsi="宋体" w:cs="hakuyoxingshu7000"/>
                <w:szCs w:val="21"/>
              </w:rPr>
            </w:pPr>
          </w:p>
        </w:tc>
        <w:tc>
          <w:tcPr>
            <w:tcW w:w="3063" w:type="dxa"/>
            <w:noWrap w:val="0"/>
            <w:vAlign w:val="center"/>
          </w:tcPr>
          <w:p w14:paraId="77A1084C">
            <w:pPr>
              <w:jc w:val="center"/>
              <w:rPr>
                <w:rFonts w:ascii="宋体" w:hAnsi="宋体" w:cs="hakuyoxingshu7000"/>
                <w:szCs w:val="21"/>
              </w:rPr>
            </w:pPr>
          </w:p>
        </w:tc>
      </w:tr>
      <w:tr w14:paraId="451C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6863F14">
            <w:pPr>
              <w:jc w:val="center"/>
              <w:rPr>
                <w:rFonts w:ascii="宋体" w:hAnsi="宋体" w:cs="hakuyoxingshu7000"/>
                <w:szCs w:val="21"/>
              </w:rPr>
            </w:pPr>
          </w:p>
        </w:tc>
        <w:tc>
          <w:tcPr>
            <w:tcW w:w="2969" w:type="dxa"/>
            <w:noWrap w:val="0"/>
            <w:vAlign w:val="center"/>
          </w:tcPr>
          <w:p w14:paraId="765B6B09">
            <w:pPr>
              <w:jc w:val="center"/>
              <w:rPr>
                <w:rFonts w:ascii="宋体" w:hAnsi="宋体" w:cs="hakuyoxingshu7000"/>
                <w:szCs w:val="21"/>
              </w:rPr>
            </w:pPr>
          </w:p>
        </w:tc>
        <w:tc>
          <w:tcPr>
            <w:tcW w:w="1782" w:type="dxa"/>
            <w:noWrap w:val="0"/>
            <w:vAlign w:val="center"/>
          </w:tcPr>
          <w:p w14:paraId="17FEC822">
            <w:pPr>
              <w:jc w:val="center"/>
              <w:rPr>
                <w:rFonts w:ascii="宋体" w:hAnsi="宋体" w:cs="hakuyoxingshu7000"/>
                <w:szCs w:val="21"/>
              </w:rPr>
            </w:pPr>
          </w:p>
        </w:tc>
        <w:tc>
          <w:tcPr>
            <w:tcW w:w="3063" w:type="dxa"/>
            <w:noWrap w:val="0"/>
            <w:vAlign w:val="center"/>
          </w:tcPr>
          <w:p w14:paraId="108AAEC6">
            <w:pPr>
              <w:jc w:val="center"/>
              <w:rPr>
                <w:rFonts w:ascii="宋体" w:hAnsi="宋体" w:cs="hakuyoxingshu7000"/>
                <w:szCs w:val="21"/>
              </w:rPr>
            </w:pPr>
          </w:p>
        </w:tc>
      </w:tr>
      <w:tr w14:paraId="5ABC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615D2682">
            <w:pPr>
              <w:jc w:val="center"/>
              <w:rPr>
                <w:rFonts w:ascii="宋体" w:hAnsi="宋体" w:cs="hakuyoxingshu7000"/>
                <w:szCs w:val="21"/>
              </w:rPr>
            </w:pPr>
          </w:p>
        </w:tc>
        <w:tc>
          <w:tcPr>
            <w:tcW w:w="2969" w:type="dxa"/>
            <w:noWrap w:val="0"/>
            <w:vAlign w:val="center"/>
          </w:tcPr>
          <w:p w14:paraId="15AA524D">
            <w:pPr>
              <w:jc w:val="center"/>
              <w:rPr>
                <w:rFonts w:ascii="宋体" w:hAnsi="宋体" w:cs="hakuyoxingshu7000"/>
                <w:szCs w:val="21"/>
              </w:rPr>
            </w:pPr>
          </w:p>
        </w:tc>
        <w:tc>
          <w:tcPr>
            <w:tcW w:w="1782" w:type="dxa"/>
            <w:noWrap w:val="0"/>
            <w:vAlign w:val="center"/>
          </w:tcPr>
          <w:p w14:paraId="1F25B646">
            <w:pPr>
              <w:jc w:val="center"/>
              <w:rPr>
                <w:rFonts w:ascii="宋体" w:hAnsi="宋体" w:cs="hakuyoxingshu7000"/>
                <w:szCs w:val="21"/>
              </w:rPr>
            </w:pPr>
          </w:p>
        </w:tc>
        <w:tc>
          <w:tcPr>
            <w:tcW w:w="3063" w:type="dxa"/>
            <w:noWrap w:val="0"/>
            <w:vAlign w:val="center"/>
          </w:tcPr>
          <w:p w14:paraId="44D6B519">
            <w:pPr>
              <w:jc w:val="center"/>
              <w:rPr>
                <w:rFonts w:ascii="宋体" w:hAnsi="宋体" w:cs="hakuyoxingshu7000"/>
                <w:szCs w:val="21"/>
              </w:rPr>
            </w:pPr>
          </w:p>
        </w:tc>
      </w:tr>
      <w:tr w14:paraId="7742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41549257">
            <w:pPr>
              <w:jc w:val="center"/>
              <w:rPr>
                <w:rFonts w:ascii="宋体" w:hAnsi="宋体" w:cs="hakuyoxingshu7000"/>
                <w:szCs w:val="21"/>
              </w:rPr>
            </w:pPr>
          </w:p>
        </w:tc>
        <w:tc>
          <w:tcPr>
            <w:tcW w:w="2969" w:type="dxa"/>
            <w:noWrap w:val="0"/>
            <w:vAlign w:val="center"/>
          </w:tcPr>
          <w:p w14:paraId="2CFB6CCA">
            <w:pPr>
              <w:jc w:val="center"/>
              <w:rPr>
                <w:rFonts w:ascii="宋体" w:hAnsi="宋体" w:cs="hakuyoxingshu7000"/>
                <w:szCs w:val="21"/>
              </w:rPr>
            </w:pPr>
          </w:p>
        </w:tc>
        <w:tc>
          <w:tcPr>
            <w:tcW w:w="1782" w:type="dxa"/>
            <w:noWrap w:val="0"/>
            <w:vAlign w:val="center"/>
          </w:tcPr>
          <w:p w14:paraId="7A665A46">
            <w:pPr>
              <w:jc w:val="center"/>
              <w:rPr>
                <w:rFonts w:ascii="宋体" w:hAnsi="宋体" w:cs="hakuyoxingshu7000"/>
                <w:szCs w:val="21"/>
              </w:rPr>
            </w:pPr>
          </w:p>
        </w:tc>
        <w:tc>
          <w:tcPr>
            <w:tcW w:w="3063" w:type="dxa"/>
            <w:noWrap w:val="0"/>
            <w:vAlign w:val="center"/>
          </w:tcPr>
          <w:p w14:paraId="7ADDD4C5">
            <w:pPr>
              <w:jc w:val="center"/>
              <w:rPr>
                <w:rFonts w:ascii="宋体" w:hAnsi="宋体" w:cs="hakuyoxingshu7000"/>
                <w:szCs w:val="21"/>
              </w:rPr>
            </w:pPr>
          </w:p>
        </w:tc>
      </w:tr>
      <w:tr w14:paraId="30A7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noWrap w:val="0"/>
            <w:vAlign w:val="center"/>
          </w:tcPr>
          <w:p w14:paraId="72D650A5">
            <w:pPr>
              <w:jc w:val="center"/>
              <w:rPr>
                <w:rFonts w:ascii="宋体" w:hAnsi="宋体" w:cs="hakuyoxingshu7000"/>
                <w:szCs w:val="21"/>
              </w:rPr>
            </w:pPr>
          </w:p>
        </w:tc>
        <w:tc>
          <w:tcPr>
            <w:tcW w:w="2969" w:type="dxa"/>
            <w:noWrap w:val="0"/>
            <w:vAlign w:val="center"/>
          </w:tcPr>
          <w:p w14:paraId="712A0EB3">
            <w:pPr>
              <w:jc w:val="center"/>
              <w:rPr>
                <w:rFonts w:ascii="宋体" w:hAnsi="宋体" w:cs="hakuyoxingshu7000"/>
                <w:szCs w:val="21"/>
              </w:rPr>
            </w:pPr>
          </w:p>
        </w:tc>
        <w:tc>
          <w:tcPr>
            <w:tcW w:w="1782" w:type="dxa"/>
            <w:noWrap w:val="0"/>
            <w:vAlign w:val="center"/>
          </w:tcPr>
          <w:p w14:paraId="72895720">
            <w:pPr>
              <w:jc w:val="center"/>
              <w:rPr>
                <w:rFonts w:ascii="宋体" w:hAnsi="宋体" w:cs="hakuyoxingshu7000"/>
                <w:szCs w:val="21"/>
              </w:rPr>
            </w:pPr>
          </w:p>
        </w:tc>
        <w:tc>
          <w:tcPr>
            <w:tcW w:w="3063" w:type="dxa"/>
            <w:noWrap w:val="0"/>
            <w:vAlign w:val="center"/>
          </w:tcPr>
          <w:p w14:paraId="24083C01">
            <w:pPr>
              <w:jc w:val="center"/>
              <w:rPr>
                <w:rFonts w:ascii="宋体" w:hAnsi="宋体" w:cs="hakuyoxingshu7000"/>
                <w:szCs w:val="21"/>
              </w:rPr>
            </w:pPr>
          </w:p>
        </w:tc>
      </w:tr>
    </w:tbl>
    <w:p w14:paraId="4A0F9A0E">
      <w:pPr>
        <w:pStyle w:val="4"/>
        <w:outlineLvl w:val="9"/>
      </w:pPr>
    </w:p>
    <w:p w14:paraId="56C96D80">
      <w:pPr>
        <w:spacing w:line="360" w:lineRule="auto"/>
        <w:ind w:firstLine="210" w:firstLineChars="100"/>
        <w:jc w:val="lef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14:paraId="235C9C76">
      <w:pPr>
        <w:spacing w:line="360" w:lineRule="auto"/>
        <w:ind w:firstLine="210" w:firstLineChars="100"/>
        <w:jc w:val="left"/>
        <w:rPr>
          <w:rFonts w:hint="eastAsia" w:ascii="宋体" w:hAnsi="宋体"/>
          <w:szCs w:val="21"/>
        </w:rPr>
      </w:pPr>
      <w:r>
        <w:rPr>
          <w:rFonts w:hint="eastAsia" w:ascii="宋体" w:hAnsi="宋体"/>
          <w:szCs w:val="21"/>
        </w:rPr>
        <w:t>响应单位授权代表：</w:t>
      </w:r>
      <w:r>
        <w:rPr>
          <w:rFonts w:hint="eastAsia" w:ascii="宋体" w:hAnsi="宋体"/>
          <w:szCs w:val="21"/>
          <w:u w:val="single"/>
        </w:rPr>
        <w:t xml:space="preserve">                     </w:t>
      </w:r>
      <w:r>
        <w:rPr>
          <w:rFonts w:hint="eastAsia" w:ascii="宋体" w:hAnsi="宋体"/>
          <w:szCs w:val="21"/>
        </w:rPr>
        <w:t>（签字或盖章）</w:t>
      </w:r>
    </w:p>
    <w:p w14:paraId="030A08E9">
      <w:pPr>
        <w:spacing w:line="360" w:lineRule="auto"/>
        <w:ind w:firstLine="210" w:firstLineChars="100"/>
        <w:jc w:val="lef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37235C6">
      <w:pPr>
        <w:pStyle w:val="4"/>
        <w:outlineLvl w:val="9"/>
      </w:pPr>
    </w:p>
    <w:p w14:paraId="4DB8F8B4">
      <w:pPr>
        <w:spacing w:line="360" w:lineRule="auto"/>
        <w:ind w:firstLine="630" w:firstLineChars="300"/>
        <w:rPr>
          <w:rFonts w:hint="eastAsia" w:ascii="宋体" w:hAnsi="宋体"/>
          <w:szCs w:val="21"/>
        </w:rPr>
      </w:pPr>
      <w:r>
        <w:rPr>
          <w:rFonts w:hint="eastAsia" w:ascii="宋体" w:hAnsi="宋体"/>
          <w:szCs w:val="21"/>
        </w:rPr>
        <w:t>注：</w:t>
      </w:r>
      <w:r>
        <w:rPr>
          <w:rFonts w:hint="eastAsia" w:ascii="宋体" w:hAnsi="宋体"/>
          <w:szCs w:val="21"/>
          <w:lang w:val="en-US" w:eastAsia="zh-CN"/>
        </w:rPr>
        <w:t>业绩证明材料附后</w:t>
      </w:r>
      <w:r>
        <w:rPr>
          <w:rFonts w:hint="eastAsia" w:ascii="宋体" w:hAnsi="宋体"/>
          <w:szCs w:val="21"/>
        </w:rPr>
        <w:t>。</w:t>
      </w:r>
    </w:p>
    <w:p w14:paraId="04BE985F">
      <w:pPr>
        <w:pStyle w:val="19"/>
        <w:ind w:left="63" w:right="63"/>
        <w:rPr>
          <w:rFonts w:hint="eastAsia" w:ascii="宋体" w:hAnsi="宋体"/>
          <w:szCs w:val="21"/>
        </w:rPr>
      </w:pPr>
    </w:p>
    <w:p w14:paraId="022DD970">
      <w:pPr>
        <w:pStyle w:val="19"/>
        <w:ind w:left="0" w:leftChars="0" w:right="63" w:firstLine="0" w:firstLineChars="0"/>
        <w:jc w:val="both"/>
        <w:rPr>
          <w:rFonts w:hint="eastAsia"/>
        </w:rPr>
      </w:pPr>
    </w:p>
    <w:p w14:paraId="652CC9CC">
      <w:pPr>
        <w:widowControl/>
        <w:jc w:val="left"/>
        <w:rPr>
          <w:rFonts w:hint="eastAsia" w:ascii="宋体" w:hAnsi="宋体"/>
          <w:sz w:val="24"/>
        </w:rPr>
      </w:pPr>
    </w:p>
    <w:p w14:paraId="533D09B6">
      <w:pPr>
        <w:pStyle w:val="63"/>
        <w:numPr>
          <w:ilvl w:val="0"/>
          <w:numId w:val="0"/>
        </w:numPr>
        <w:spacing w:line="480" w:lineRule="exact"/>
        <w:ind w:leftChars="0"/>
        <w:jc w:val="center"/>
        <w:outlineLvl w:val="1"/>
        <w:rPr>
          <w:rFonts w:hint="eastAsia" w:hAnsi="宋体" w:cs="黑体"/>
          <w:b/>
          <w:color w:val="auto"/>
          <w:sz w:val="28"/>
          <w:szCs w:val="28"/>
        </w:rPr>
      </w:pPr>
      <w:r>
        <w:rPr>
          <w:rFonts w:hint="eastAsia" w:hAnsi="宋体" w:cs="黑体"/>
          <w:b/>
          <w:color w:val="auto"/>
          <w:sz w:val="28"/>
          <w:szCs w:val="28"/>
          <w:lang w:val="en-US" w:eastAsia="zh-CN"/>
        </w:rPr>
        <w:t xml:space="preserve">8  </w:t>
      </w:r>
      <w:r>
        <w:rPr>
          <w:rFonts w:hint="eastAsia" w:hAnsi="宋体" w:cs="黑体"/>
          <w:b/>
          <w:color w:val="auto"/>
          <w:sz w:val="28"/>
          <w:szCs w:val="28"/>
        </w:rPr>
        <w:t>施工组织设计内容</w:t>
      </w:r>
    </w:p>
    <w:p w14:paraId="6C019683">
      <w:pPr>
        <w:pStyle w:val="4"/>
        <w:jc w:val="center"/>
        <w:outlineLvl w:val="1"/>
        <w:rPr>
          <w:rStyle w:val="107"/>
          <w:rFonts w:hint="eastAsia" w:ascii="宋体" w:hAnsi="宋体" w:eastAsia="宋体"/>
          <w:b/>
          <w:bCs/>
          <w:color w:val="auto"/>
          <w:sz w:val="28"/>
          <w:szCs w:val="28"/>
          <w:highlight w:val="none"/>
        </w:rPr>
      </w:pPr>
      <w:r>
        <w:rPr>
          <w:rFonts w:hint="eastAsia" w:hAnsi="宋体" w:cs="黑体"/>
          <w:b w:val="0"/>
          <w:color w:val="auto"/>
          <w:sz w:val="28"/>
          <w:szCs w:val="28"/>
        </w:rPr>
        <w:br w:type="page"/>
      </w:r>
      <w:bookmarkStart w:id="585" w:name="_Toc3266"/>
      <w:bookmarkStart w:id="586" w:name="_Toc25339"/>
      <w:r>
        <w:rPr>
          <w:rStyle w:val="107"/>
          <w:rFonts w:hint="eastAsia" w:ascii="宋体" w:hAnsi="宋体" w:eastAsia="宋体"/>
          <w:b/>
          <w:bCs/>
          <w:color w:val="auto"/>
          <w:sz w:val="28"/>
          <w:szCs w:val="28"/>
          <w:highlight w:val="none"/>
          <w:lang w:val="en-US"/>
        </w:rPr>
        <w:t xml:space="preserve">9  </w:t>
      </w:r>
      <w:r>
        <w:rPr>
          <w:rStyle w:val="107"/>
          <w:rFonts w:hint="eastAsia" w:ascii="宋体" w:hAnsi="宋体" w:eastAsia="宋体"/>
          <w:b/>
          <w:bCs/>
          <w:color w:val="auto"/>
          <w:sz w:val="28"/>
          <w:szCs w:val="28"/>
          <w:highlight w:val="none"/>
        </w:rPr>
        <w:t>项目管理机构表</w:t>
      </w:r>
      <w:bookmarkEnd w:id="585"/>
      <w:bookmarkEnd w:id="586"/>
    </w:p>
    <w:p w14:paraId="7F589485">
      <w:pPr>
        <w:spacing w:before="159" w:beforeLines="50" w:after="159" w:afterLines="50" w:line="360" w:lineRule="auto"/>
        <w:rPr>
          <w:rFonts w:hint="eastAsia" w:ascii="宋体" w:hAnsi="宋体"/>
          <w:b/>
          <w:color w:val="auto"/>
          <w:sz w:val="22"/>
          <w:szCs w:val="22"/>
          <w:highlight w:val="none"/>
        </w:rPr>
      </w:pPr>
      <w:r>
        <w:rPr>
          <w:rFonts w:hint="eastAsia" w:ascii="宋体" w:hAnsi="宋体"/>
          <w:b/>
          <w:color w:val="auto"/>
          <w:sz w:val="22"/>
          <w:szCs w:val="22"/>
          <w:highlight w:val="none"/>
        </w:rPr>
        <w:t>（一）项目管理机构组成表</w:t>
      </w:r>
    </w:p>
    <w:tbl>
      <w:tblPr>
        <w:tblStyle w:val="47"/>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65"/>
        <w:gridCol w:w="656"/>
        <w:gridCol w:w="1099"/>
        <w:gridCol w:w="746"/>
        <w:gridCol w:w="1335"/>
        <w:gridCol w:w="2286"/>
        <w:gridCol w:w="803"/>
      </w:tblGrid>
      <w:tr w14:paraId="7B5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noWrap w:val="0"/>
            <w:vAlign w:val="center"/>
          </w:tcPr>
          <w:p w14:paraId="0AF719AB">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职务</w:t>
            </w:r>
          </w:p>
        </w:tc>
        <w:tc>
          <w:tcPr>
            <w:tcW w:w="765" w:type="dxa"/>
            <w:vMerge w:val="restart"/>
            <w:noWrap w:val="0"/>
            <w:vAlign w:val="center"/>
          </w:tcPr>
          <w:p w14:paraId="0E16A705">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姓名</w:t>
            </w:r>
          </w:p>
        </w:tc>
        <w:tc>
          <w:tcPr>
            <w:tcW w:w="656" w:type="dxa"/>
            <w:vMerge w:val="restart"/>
            <w:noWrap w:val="0"/>
            <w:vAlign w:val="center"/>
          </w:tcPr>
          <w:p w14:paraId="35CAFEB0">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职称</w:t>
            </w:r>
          </w:p>
        </w:tc>
        <w:tc>
          <w:tcPr>
            <w:tcW w:w="5466" w:type="dxa"/>
            <w:gridSpan w:val="4"/>
            <w:noWrap w:val="0"/>
            <w:vAlign w:val="center"/>
          </w:tcPr>
          <w:p w14:paraId="487E9389">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执业或职业资格证明</w:t>
            </w:r>
          </w:p>
        </w:tc>
        <w:tc>
          <w:tcPr>
            <w:tcW w:w="803" w:type="dxa"/>
            <w:noWrap w:val="0"/>
            <w:vAlign w:val="center"/>
          </w:tcPr>
          <w:p w14:paraId="44303EFF">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备注</w:t>
            </w:r>
          </w:p>
        </w:tc>
      </w:tr>
      <w:tr w14:paraId="2CA8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noWrap w:val="0"/>
            <w:vAlign w:val="center"/>
          </w:tcPr>
          <w:p w14:paraId="4A4E486D">
            <w:pPr>
              <w:spacing w:line="380" w:lineRule="atLeast"/>
              <w:jc w:val="center"/>
              <w:rPr>
                <w:rFonts w:hint="eastAsia" w:ascii="宋体" w:hAnsi="宋体"/>
                <w:color w:val="auto"/>
                <w:szCs w:val="18"/>
                <w:highlight w:val="none"/>
              </w:rPr>
            </w:pPr>
          </w:p>
        </w:tc>
        <w:tc>
          <w:tcPr>
            <w:tcW w:w="765" w:type="dxa"/>
            <w:vMerge w:val="continue"/>
            <w:noWrap w:val="0"/>
            <w:vAlign w:val="center"/>
          </w:tcPr>
          <w:p w14:paraId="0824426D">
            <w:pPr>
              <w:spacing w:line="380" w:lineRule="atLeast"/>
              <w:jc w:val="center"/>
              <w:rPr>
                <w:rFonts w:hint="eastAsia" w:ascii="宋体" w:hAnsi="宋体"/>
                <w:color w:val="auto"/>
                <w:szCs w:val="18"/>
                <w:highlight w:val="none"/>
              </w:rPr>
            </w:pPr>
          </w:p>
        </w:tc>
        <w:tc>
          <w:tcPr>
            <w:tcW w:w="656" w:type="dxa"/>
            <w:vMerge w:val="continue"/>
            <w:noWrap w:val="0"/>
            <w:vAlign w:val="center"/>
          </w:tcPr>
          <w:p w14:paraId="52A4D40A">
            <w:pPr>
              <w:spacing w:line="380" w:lineRule="atLeast"/>
              <w:jc w:val="center"/>
              <w:rPr>
                <w:rFonts w:hint="eastAsia" w:ascii="宋体" w:hAnsi="宋体"/>
                <w:color w:val="auto"/>
                <w:szCs w:val="18"/>
                <w:highlight w:val="none"/>
              </w:rPr>
            </w:pPr>
          </w:p>
        </w:tc>
        <w:tc>
          <w:tcPr>
            <w:tcW w:w="1099" w:type="dxa"/>
            <w:noWrap w:val="0"/>
            <w:vAlign w:val="center"/>
          </w:tcPr>
          <w:p w14:paraId="5AECB7A7">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证书名称</w:t>
            </w:r>
          </w:p>
        </w:tc>
        <w:tc>
          <w:tcPr>
            <w:tcW w:w="746" w:type="dxa"/>
            <w:noWrap w:val="0"/>
            <w:vAlign w:val="center"/>
          </w:tcPr>
          <w:p w14:paraId="43BF5201">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级别</w:t>
            </w:r>
          </w:p>
        </w:tc>
        <w:tc>
          <w:tcPr>
            <w:tcW w:w="1335" w:type="dxa"/>
            <w:noWrap w:val="0"/>
            <w:vAlign w:val="center"/>
          </w:tcPr>
          <w:p w14:paraId="3C2CC65F">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专业</w:t>
            </w:r>
          </w:p>
        </w:tc>
        <w:tc>
          <w:tcPr>
            <w:tcW w:w="2286" w:type="dxa"/>
            <w:noWrap w:val="0"/>
            <w:vAlign w:val="center"/>
          </w:tcPr>
          <w:p w14:paraId="7080DB71">
            <w:pPr>
              <w:spacing w:line="380" w:lineRule="atLeast"/>
              <w:jc w:val="center"/>
              <w:rPr>
                <w:rFonts w:hint="eastAsia" w:ascii="宋体" w:hAnsi="宋体"/>
                <w:color w:val="auto"/>
                <w:szCs w:val="18"/>
                <w:highlight w:val="none"/>
              </w:rPr>
            </w:pPr>
            <w:r>
              <w:rPr>
                <w:rFonts w:hint="eastAsia" w:ascii="宋体" w:hAnsi="宋体"/>
                <w:color w:val="auto"/>
                <w:szCs w:val="18"/>
                <w:highlight w:val="none"/>
              </w:rPr>
              <w:t>证号</w:t>
            </w:r>
          </w:p>
        </w:tc>
        <w:tc>
          <w:tcPr>
            <w:tcW w:w="803" w:type="dxa"/>
            <w:noWrap w:val="0"/>
            <w:vAlign w:val="center"/>
          </w:tcPr>
          <w:p w14:paraId="2C50CA1F">
            <w:pPr>
              <w:spacing w:line="380" w:lineRule="atLeast"/>
              <w:jc w:val="center"/>
              <w:rPr>
                <w:rFonts w:hint="eastAsia" w:ascii="宋体" w:hAnsi="宋体"/>
                <w:color w:val="auto"/>
                <w:szCs w:val="18"/>
                <w:highlight w:val="none"/>
              </w:rPr>
            </w:pPr>
          </w:p>
        </w:tc>
      </w:tr>
      <w:tr w14:paraId="5AC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center"/>
          </w:tcPr>
          <w:p w14:paraId="14738607">
            <w:pPr>
              <w:spacing w:line="380" w:lineRule="atLeast"/>
              <w:jc w:val="center"/>
              <w:rPr>
                <w:rFonts w:hint="eastAsia" w:ascii="宋体" w:hAnsi="宋体"/>
                <w:color w:val="auto"/>
                <w:highlight w:val="none"/>
              </w:rPr>
            </w:pPr>
          </w:p>
        </w:tc>
        <w:tc>
          <w:tcPr>
            <w:tcW w:w="765" w:type="dxa"/>
            <w:noWrap w:val="0"/>
            <w:vAlign w:val="center"/>
          </w:tcPr>
          <w:p w14:paraId="15B3F52A">
            <w:pPr>
              <w:spacing w:line="380" w:lineRule="atLeast"/>
              <w:jc w:val="center"/>
              <w:rPr>
                <w:rFonts w:hint="eastAsia" w:ascii="宋体" w:hAnsi="宋体"/>
                <w:color w:val="auto"/>
                <w:highlight w:val="none"/>
              </w:rPr>
            </w:pPr>
          </w:p>
        </w:tc>
        <w:tc>
          <w:tcPr>
            <w:tcW w:w="656" w:type="dxa"/>
            <w:noWrap w:val="0"/>
            <w:vAlign w:val="center"/>
          </w:tcPr>
          <w:p w14:paraId="3CCF85CE">
            <w:pPr>
              <w:spacing w:line="380" w:lineRule="atLeast"/>
              <w:jc w:val="center"/>
              <w:rPr>
                <w:rFonts w:hint="eastAsia" w:ascii="宋体" w:hAnsi="宋体"/>
                <w:color w:val="auto"/>
                <w:highlight w:val="none"/>
              </w:rPr>
            </w:pPr>
          </w:p>
        </w:tc>
        <w:tc>
          <w:tcPr>
            <w:tcW w:w="1099" w:type="dxa"/>
            <w:noWrap w:val="0"/>
            <w:vAlign w:val="center"/>
          </w:tcPr>
          <w:p w14:paraId="7BEA991F">
            <w:pPr>
              <w:spacing w:line="380" w:lineRule="atLeast"/>
              <w:jc w:val="center"/>
              <w:rPr>
                <w:rFonts w:hint="eastAsia" w:ascii="宋体" w:hAnsi="宋体"/>
                <w:color w:val="auto"/>
                <w:highlight w:val="none"/>
              </w:rPr>
            </w:pPr>
          </w:p>
        </w:tc>
        <w:tc>
          <w:tcPr>
            <w:tcW w:w="746" w:type="dxa"/>
            <w:noWrap w:val="0"/>
            <w:vAlign w:val="center"/>
          </w:tcPr>
          <w:p w14:paraId="12470A1E">
            <w:pPr>
              <w:spacing w:line="380" w:lineRule="atLeast"/>
              <w:jc w:val="center"/>
              <w:rPr>
                <w:rFonts w:hint="eastAsia" w:ascii="宋体" w:hAnsi="宋体"/>
                <w:color w:val="auto"/>
                <w:highlight w:val="none"/>
              </w:rPr>
            </w:pPr>
          </w:p>
        </w:tc>
        <w:tc>
          <w:tcPr>
            <w:tcW w:w="1335" w:type="dxa"/>
            <w:noWrap w:val="0"/>
            <w:vAlign w:val="center"/>
          </w:tcPr>
          <w:p w14:paraId="17D8CFD8">
            <w:pPr>
              <w:spacing w:line="380" w:lineRule="atLeast"/>
              <w:jc w:val="center"/>
              <w:rPr>
                <w:rFonts w:hint="eastAsia" w:ascii="宋体" w:hAnsi="宋体"/>
                <w:color w:val="auto"/>
                <w:highlight w:val="none"/>
              </w:rPr>
            </w:pPr>
          </w:p>
        </w:tc>
        <w:tc>
          <w:tcPr>
            <w:tcW w:w="2286" w:type="dxa"/>
            <w:noWrap w:val="0"/>
            <w:vAlign w:val="center"/>
          </w:tcPr>
          <w:p w14:paraId="60C447C0">
            <w:pPr>
              <w:spacing w:line="380" w:lineRule="atLeast"/>
              <w:jc w:val="center"/>
              <w:rPr>
                <w:rFonts w:hint="eastAsia" w:ascii="宋体" w:hAnsi="宋体"/>
                <w:color w:val="auto"/>
                <w:highlight w:val="none"/>
              </w:rPr>
            </w:pPr>
          </w:p>
        </w:tc>
        <w:tc>
          <w:tcPr>
            <w:tcW w:w="803" w:type="dxa"/>
            <w:noWrap w:val="0"/>
            <w:vAlign w:val="center"/>
          </w:tcPr>
          <w:p w14:paraId="03FF1320">
            <w:pPr>
              <w:spacing w:line="380" w:lineRule="atLeast"/>
              <w:jc w:val="center"/>
              <w:rPr>
                <w:rFonts w:hint="eastAsia" w:ascii="宋体" w:hAnsi="宋体"/>
                <w:color w:val="auto"/>
                <w:highlight w:val="none"/>
              </w:rPr>
            </w:pPr>
          </w:p>
        </w:tc>
      </w:tr>
      <w:tr w14:paraId="6BCB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4914558">
            <w:pPr>
              <w:spacing w:line="380" w:lineRule="atLeast"/>
              <w:jc w:val="center"/>
              <w:rPr>
                <w:rFonts w:hint="eastAsia" w:ascii="宋体" w:hAnsi="宋体"/>
                <w:color w:val="auto"/>
                <w:highlight w:val="none"/>
              </w:rPr>
            </w:pPr>
          </w:p>
        </w:tc>
        <w:tc>
          <w:tcPr>
            <w:tcW w:w="765" w:type="dxa"/>
            <w:noWrap w:val="0"/>
            <w:vAlign w:val="top"/>
          </w:tcPr>
          <w:p w14:paraId="7AF78883">
            <w:pPr>
              <w:spacing w:line="380" w:lineRule="atLeast"/>
              <w:jc w:val="center"/>
              <w:rPr>
                <w:rFonts w:hint="eastAsia" w:ascii="宋体" w:hAnsi="宋体"/>
                <w:color w:val="auto"/>
                <w:highlight w:val="none"/>
              </w:rPr>
            </w:pPr>
          </w:p>
        </w:tc>
        <w:tc>
          <w:tcPr>
            <w:tcW w:w="656" w:type="dxa"/>
            <w:noWrap w:val="0"/>
            <w:vAlign w:val="top"/>
          </w:tcPr>
          <w:p w14:paraId="6A9D3520">
            <w:pPr>
              <w:spacing w:line="380" w:lineRule="atLeast"/>
              <w:jc w:val="center"/>
              <w:rPr>
                <w:rFonts w:hint="eastAsia" w:ascii="宋体" w:hAnsi="宋体"/>
                <w:color w:val="auto"/>
                <w:highlight w:val="none"/>
              </w:rPr>
            </w:pPr>
          </w:p>
        </w:tc>
        <w:tc>
          <w:tcPr>
            <w:tcW w:w="1099" w:type="dxa"/>
            <w:noWrap w:val="0"/>
            <w:vAlign w:val="top"/>
          </w:tcPr>
          <w:p w14:paraId="468B6CE3">
            <w:pPr>
              <w:spacing w:line="380" w:lineRule="atLeast"/>
              <w:jc w:val="center"/>
              <w:rPr>
                <w:rFonts w:hint="eastAsia" w:ascii="宋体" w:hAnsi="宋体"/>
                <w:color w:val="auto"/>
                <w:highlight w:val="none"/>
              </w:rPr>
            </w:pPr>
          </w:p>
        </w:tc>
        <w:tc>
          <w:tcPr>
            <w:tcW w:w="746" w:type="dxa"/>
            <w:noWrap w:val="0"/>
            <w:vAlign w:val="top"/>
          </w:tcPr>
          <w:p w14:paraId="39222681">
            <w:pPr>
              <w:spacing w:line="380" w:lineRule="atLeast"/>
              <w:jc w:val="center"/>
              <w:rPr>
                <w:rFonts w:hint="eastAsia" w:ascii="宋体" w:hAnsi="宋体"/>
                <w:color w:val="auto"/>
                <w:highlight w:val="none"/>
              </w:rPr>
            </w:pPr>
          </w:p>
        </w:tc>
        <w:tc>
          <w:tcPr>
            <w:tcW w:w="1335" w:type="dxa"/>
            <w:noWrap w:val="0"/>
            <w:vAlign w:val="top"/>
          </w:tcPr>
          <w:p w14:paraId="72334BA5">
            <w:pPr>
              <w:spacing w:line="380" w:lineRule="atLeast"/>
              <w:jc w:val="center"/>
              <w:rPr>
                <w:rFonts w:hint="eastAsia" w:ascii="宋体" w:hAnsi="宋体"/>
                <w:color w:val="auto"/>
                <w:highlight w:val="none"/>
              </w:rPr>
            </w:pPr>
          </w:p>
        </w:tc>
        <w:tc>
          <w:tcPr>
            <w:tcW w:w="2286" w:type="dxa"/>
            <w:noWrap w:val="0"/>
            <w:vAlign w:val="top"/>
          </w:tcPr>
          <w:p w14:paraId="05537EF1">
            <w:pPr>
              <w:spacing w:line="380" w:lineRule="atLeast"/>
              <w:jc w:val="center"/>
              <w:rPr>
                <w:rFonts w:hint="eastAsia" w:ascii="宋体" w:hAnsi="宋体"/>
                <w:color w:val="auto"/>
                <w:highlight w:val="none"/>
              </w:rPr>
            </w:pPr>
          </w:p>
        </w:tc>
        <w:tc>
          <w:tcPr>
            <w:tcW w:w="803" w:type="dxa"/>
            <w:noWrap w:val="0"/>
            <w:vAlign w:val="top"/>
          </w:tcPr>
          <w:p w14:paraId="15AE6F1D">
            <w:pPr>
              <w:spacing w:line="380" w:lineRule="atLeast"/>
              <w:jc w:val="center"/>
              <w:rPr>
                <w:rFonts w:hint="eastAsia" w:ascii="宋体" w:hAnsi="宋体"/>
                <w:color w:val="auto"/>
                <w:highlight w:val="none"/>
              </w:rPr>
            </w:pPr>
          </w:p>
        </w:tc>
      </w:tr>
      <w:tr w14:paraId="3060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D1079AD">
            <w:pPr>
              <w:spacing w:line="380" w:lineRule="atLeast"/>
              <w:jc w:val="center"/>
              <w:rPr>
                <w:rFonts w:hint="eastAsia" w:ascii="宋体" w:hAnsi="宋体"/>
                <w:color w:val="auto"/>
                <w:highlight w:val="none"/>
              </w:rPr>
            </w:pPr>
          </w:p>
        </w:tc>
        <w:tc>
          <w:tcPr>
            <w:tcW w:w="765" w:type="dxa"/>
            <w:noWrap w:val="0"/>
            <w:vAlign w:val="top"/>
          </w:tcPr>
          <w:p w14:paraId="750A78EC">
            <w:pPr>
              <w:spacing w:line="380" w:lineRule="atLeast"/>
              <w:jc w:val="center"/>
              <w:rPr>
                <w:rFonts w:hint="eastAsia" w:ascii="宋体" w:hAnsi="宋体"/>
                <w:color w:val="auto"/>
                <w:highlight w:val="none"/>
              </w:rPr>
            </w:pPr>
          </w:p>
        </w:tc>
        <w:tc>
          <w:tcPr>
            <w:tcW w:w="656" w:type="dxa"/>
            <w:noWrap w:val="0"/>
            <w:vAlign w:val="top"/>
          </w:tcPr>
          <w:p w14:paraId="1B37EF31">
            <w:pPr>
              <w:spacing w:line="380" w:lineRule="atLeast"/>
              <w:jc w:val="center"/>
              <w:rPr>
                <w:rFonts w:hint="eastAsia" w:ascii="宋体" w:hAnsi="宋体"/>
                <w:color w:val="auto"/>
                <w:highlight w:val="none"/>
              </w:rPr>
            </w:pPr>
          </w:p>
        </w:tc>
        <w:tc>
          <w:tcPr>
            <w:tcW w:w="1099" w:type="dxa"/>
            <w:noWrap w:val="0"/>
            <w:vAlign w:val="top"/>
          </w:tcPr>
          <w:p w14:paraId="16BA63DD">
            <w:pPr>
              <w:spacing w:line="380" w:lineRule="atLeast"/>
              <w:jc w:val="center"/>
              <w:rPr>
                <w:rFonts w:hint="eastAsia" w:ascii="宋体" w:hAnsi="宋体"/>
                <w:color w:val="auto"/>
                <w:highlight w:val="none"/>
              </w:rPr>
            </w:pPr>
          </w:p>
        </w:tc>
        <w:tc>
          <w:tcPr>
            <w:tcW w:w="746" w:type="dxa"/>
            <w:noWrap w:val="0"/>
            <w:vAlign w:val="top"/>
          </w:tcPr>
          <w:p w14:paraId="0C7F6DEB">
            <w:pPr>
              <w:spacing w:line="380" w:lineRule="atLeast"/>
              <w:jc w:val="center"/>
              <w:rPr>
                <w:rFonts w:hint="eastAsia" w:ascii="宋体" w:hAnsi="宋体"/>
                <w:color w:val="auto"/>
                <w:highlight w:val="none"/>
              </w:rPr>
            </w:pPr>
          </w:p>
        </w:tc>
        <w:tc>
          <w:tcPr>
            <w:tcW w:w="1335" w:type="dxa"/>
            <w:noWrap w:val="0"/>
            <w:vAlign w:val="top"/>
          </w:tcPr>
          <w:p w14:paraId="346C2653">
            <w:pPr>
              <w:spacing w:line="380" w:lineRule="atLeast"/>
              <w:jc w:val="center"/>
              <w:rPr>
                <w:rFonts w:hint="eastAsia" w:ascii="宋体" w:hAnsi="宋体"/>
                <w:color w:val="auto"/>
                <w:highlight w:val="none"/>
              </w:rPr>
            </w:pPr>
          </w:p>
        </w:tc>
        <w:tc>
          <w:tcPr>
            <w:tcW w:w="2286" w:type="dxa"/>
            <w:noWrap w:val="0"/>
            <w:vAlign w:val="top"/>
          </w:tcPr>
          <w:p w14:paraId="4E5CB97C">
            <w:pPr>
              <w:spacing w:line="380" w:lineRule="atLeast"/>
              <w:jc w:val="center"/>
              <w:rPr>
                <w:rFonts w:hint="eastAsia" w:ascii="宋体" w:hAnsi="宋体"/>
                <w:color w:val="auto"/>
                <w:highlight w:val="none"/>
              </w:rPr>
            </w:pPr>
          </w:p>
        </w:tc>
        <w:tc>
          <w:tcPr>
            <w:tcW w:w="803" w:type="dxa"/>
            <w:noWrap w:val="0"/>
            <w:vAlign w:val="top"/>
          </w:tcPr>
          <w:p w14:paraId="2EE8E608">
            <w:pPr>
              <w:spacing w:line="380" w:lineRule="atLeast"/>
              <w:jc w:val="center"/>
              <w:rPr>
                <w:rFonts w:hint="eastAsia" w:ascii="宋体" w:hAnsi="宋体"/>
                <w:color w:val="auto"/>
                <w:highlight w:val="none"/>
              </w:rPr>
            </w:pPr>
          </w:p>
        </w:tc>
      </w:tr>
      <w:tr w14:paraId="748F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08260BE">
            <w:pPr>
              <w:spacing w:line="380" w:lineRule="atLeast"/>
              <w:jc w:val="center"/>
              <w:rPr>
                <w:rFonts w:hint="eastAsia" w:ascii="宋体" w:hAnsi="宋体"/>
                <w:color w:val="auto"/>
                <w:highlight w:val="none"/>
              </w:rPr>
            </w:pPr>
          </w:p>
        </w:tc>
        <w:tc>
          <w:tcPr>
            <w:tcW w:w="765" w:type="dxa"/>
            <w:noWrap w:val="0"/>
            <w:vAlign w:val="top"/>
          </w:tcPr>
          <w:p w14:paraId="7F50A758">
            <w:pPr>
              <w:spacing w:line="380" w:lineRule="atLeast"/>
              <w:jc w:val="center"/>
              <w:rPr>
                <w:rFonts w:hint="eastAsia" w:ascii="宋体" w:hAnsi="宋体"/>
                <w:color w:val="auto"/>
                <w:highlight w:val="none"/>
              </w:rPr>
            </w:pPr>
          </w:p>
        </w:tc>
        <w:tc>
          <w:tcPr>
            <w:tcW w:w="656" w:type="dxa"/>
            <w:noWrap w:val="0"/>
            <w:vAlign w:val="top"/>
          </w:tcPr>
          <w:p w14:paraId="00F26FF0">
            <w:pPr>
              <w:spacing w:line="380" w:lineRule="atLeast"/>
              <w:jc w:val="center"/>
              <w:rPr>
                <w:rFonts w:hint="eastAsia" w:ascii="宋体" w:hAnsi="宋体"/>
                <w:color w:val="auto"/>
                <w:highlight w:val="none"/>
              </w:rPr>
            </w:pPr>
          </w:p>
        </w:tc>
        <w:tc>
          <w:tcPr>
            <w:tcW w:w="1099" w:type="dxa"/>
            <w:noWrap w:val="0"/>
            <w:vAlign w:val="top"/>
          </w:tcPr>
          <w:p w14:paraId="73468C15">
            <w:pPr>
              <w:spacing w:line="380" w:lineRule="atLeast"/>
              <w:jc w:val="center"/>
              <w:rPr>
                <w:rFonts w:hint="eastAsia" w:ascii="宋体" w:hAnsi="宋体"/>
                <w:color w:val="auto"/>
                <w:highlight w:val="none"/>
              </w:rPr>
            </w:pPr>
          </w:p>
        </w:tc>
        <w:tc>
          <w:tcPr>
            <w:tcW w:w="746" w:type="dxa"/>
            <w:noWrap w:val="0"/>
            <w:vAlign w:val="top"/>
          </w:tcPr>
          <w:p w14:paraId="3F7B863F">
            <w:pPr>
              <w:spacing w:line="380" w:lineRule="atLeast"/>
              <w:jc w:val="center"/>
              <w:rPr>
                <w:rFonts w:hint="eastAsia" w:ascii="宋体" w:hAnsi="宋体"/>
                <w:color w:val="auto"/>
                <w:highlight w:val="none"/>
              </w:rPr>
            </w:pPr>
          </w:p>
        </w:tc>
        <w:tc>
          <w:tcPr>
            <w:tcW w:w="1335" w:type="dxa"/>
            <w:noWrap w:val="0"/>
            <w:vAlign w:val="top"/>
          </w:tcPr>
          <w:p w14:paraId="2344869F">
            <w:pPr>
              <w:spacing w:line="380" w:lineRule="atLeast"/>
              <w:jc w:val="center"/>
              <w:rPr>
                <w:rFonts w:hint="eastAsia" w:ascii="宋体" w:hAnsi="宋体"/>
                <w:color w:val="auto"/>
                <w:highlight w:val="none"/>
              </w:rPr>
            </w:pPr>
          </w:p>
        </w:tc>
        <w:tc>
          <w:tcPr>
            <w:tcW w:w="2286" w:type="dxa"/>
            <w:noWrap w:val="0"/>
            <w:vAlign w:val="top"/>
          </w:tcPr>
          <w:p w14:paraId="494AFA3C">
            <w:pPr>
              <w:spacing w:line="380" w:lineRule="atLeast"/>
              <w:jc w:val="center"/>
              <w:rPr>
                <w:rFonts w:hint="eastAsia" w:ascii="宋体" w:hAnsi="宋体"/>
                <w:color w:val="auto"/>
                <w:highlight w:val="none"/>
              </w:rPr>
            </w:pPr>
          </w:p>
        </w:tc>
        <w:tc>
          <w:tcPr>
            <w:tcW w:w="803" w:type="dxa"/>
            <w:noWrap w:val="0"/>
            <w:vAlign w:val="top"/>
          </w:tcPr>
          <w:p w14:paraId="2460FBB3">
            <w:pPr>
              <w:spacing w:line="380" w:lineRule="atLeast"/>
              <w:jc w:val="center"/>
              <w:rPr>
                <w:rFonts w:hint="eastAsia" w:ascii="宋体" w:hAnsi="宋体"/>
                <w:color w:val="auto"/>
                <w:highlight w:val="none"/>
              </w:rPr>
            </w:pPr>
          </w:p>
        </w:tc>
      </w:tr>
      <w:tr w14:paraId="7B2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50482E2">
            <w:pPr>
              <w:spacing w:line="380" w:lineRule="atLeast"/>
              <w:jc w:val="center"/>
              <w:rPr>
                <w:rFonts w:hint="eastAsia" w:ascii="宋体" w:hAnsi="宋体"/>
                <w:color w:val="auto"/>
                <w:highlight w:val="none"/>
              </w:rPr>
            </w:pPr>
          </w:p>
        </w:tc>
        <w:tc>
          <w:tcPr>
            <w:tcW w:w="765" w:type="dxa"/>
            <w:noWrap w:val="0"/>
            <w:vAlign w:val="top"/>
          </w:tcPr>
          <w:p w14:paraId="0608FE98">
            <w:pPr>
              <w:spacing w:line="380" w:lineRule="atLeast"/>
              <w:jc w:val="center"/>
              <w:rPr>
                <w:rFonts w:hint="eastAsia" w:ascii="宋体" w:hAnsi="宋体"/>
                <w:color w:val="auto"/>
                <w:highlight w:val="none"/>
              </w:rPr>
            </w:pPr>
          </w:p>
        </w:tc>
        <w:tc>
          <w:tcPr>
            <w:tcW w:w="656" w:type="dxa"/>
            <w:noWrap w:val="0"/>
            <w:vAlign w:val="top"/>
          </w:tcPr>
          <w:p w14:paraId="7E619A33">
            <w:pPr>
              <w:spacing w:line="380" w:lineRule="atLeast"/>
              <w:jc w:val="center"/>
              <w:rPr>
                <w:rFonts w:hint="eastAsia" w:ascii="宋体" w:hAnsi="宋体"/>
                <w:color w:val="auto"/>
                <w:highlight w:val="none"/>
              </w:rPr>
            </w:pPr>
          </w:p>
        </w:tc>
        <w:tc>
          <w:tcPr>
            <w:tcW w:w="1099" w:type="dxa"/>
            <w:noWrap w:val="0"/>
            <w:vAlign w:val="top"/>
          </w:tcPr>
          <w:p w14:paraId="7492CD26">
            <w:pPr>
              <w:spacing w:line="380" w:lineRule="atLeast"/>
              <w:jc w:val="center"/>
              <w:rPr>
                <w:rFonts w:hint="eastAsia" w:ascii="宋体" w:hAnsi="宋体"/>
                <w:color w:val="auto"/>
                <w:highlight w:val="none"/>
              </w:rPr>
            </w:pPr>
          </w:p>
        </w:tc>
        <w:tc>
          <w:tcPr>
            <w:tcW w:w="746" w:type="dxa"/>
            <w:noWrap w:val="0"/>
            <w:vAlign w:val="top"/>
          </w:tcPr>
          <w:p w14:paraId="114F7A1A">
            <w:pPr>
              <w:spacing w:line="380" w:lineRule="atLeast"/>
              <w:jc w:val="center"/>
              <w:rPr>
                <w:rFonts w:hint="eastAsia" w:ascii="宋体" w:hAnsi="宋体"/>
                <w:color w:val="auto"/>
                <w:highlight w:val="none"/>
              </w:rPr>
            </w:pPr>
          </w:p>
        </w:tc>
        <w:tc>
          <w:tcPr>
            <w:tcW w:w="1335" w:type="dxa"/>
            <w:noWrap w:val="0"/>
            <w:vAlign w:val="top"/>
          </w:tcPr>
          <w:p w14:paraId="0DFFAED8">
            <w:pPr>
              <w:spacing w:line="380" w:lineRule="atLeast"/>
              <w:jc w:val="center"/>
              <w:rPr>
                <w:rFonts w:hint="eastAsia" w:ascii="宋体" w:hAnsi="宋体"/>
                <w:color w:val="auto"/>
                <w:highlight w:val="none"/>
              </w:rPr>
            </w:pPr>
          </w:p>
        </w:tc>
        <w:tc>
          <w:tcPr>
            <w:tcW w:w="2286" w:type="dxa"/>
            <w:noWrap w:val="0"/>
            <w:vAlign w:val="top"/>
          </w:tcPr>
          <w:p w14:paraId="1FF3B913">
            <w:pPr>
              <w:spacing w:line="380" w:lineRule="atLeast"/>
              <w:jc w:val="center"/>
              <w:rPr>
                <w:rFonts w:hint="eastAsia" w:ascii="宋体" w:hAnsi="宋体"/>
                <w:color w:val="auto"/>
                <w:highlight w:val="none"/>
              </w:rPr>
            </w:pPr>
          </w:p>
        </w:tc>
        <w:tc>
          <w:tcPr>
            <w:tcW w:w="803" w:type="dxa"/>
            <w:noWrap w:val="0"/>
            <w:vAlign w:val="top"/>
          </w:tcPr>
          <w:p w14:paraId="26E67B91">
            <w:pPr>
              <w:spacing w:line="380" w:lineRule="atLeast"/>
              <w:jc w:val="center"/>
              <w:rPr>
                <w:rFonts w:hint="eastAsia" w:ascii="宋体" w:hAnsi="宋体"/>
                <w:color w:val="auto"/>
                <w:highlight w:val="none"/>
              </w:rPr>
            </w:pPr>
          </w:p>
        </w:tc>
      </w:tr>
      <w:tr w14:paraId="05AF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F82141F">
            <w:pPr>
              <w:spacing w:line="380" w:lineRule="atLeast"/>
              <w:jc w:val="center"/>
              <w:rPr>
                <w:rFonts w:hint="eastAsia" w:ascii="宋体" w:hAnsi="宋体"/>
                <w:color w:val="auto"/>
                <w:highlight w:val="none"/>
              </w:rPr>
            </w:pPr>
          </w:p>
        </w:tc>
        <w:tc>
          <w:tcPr>
            <w:tcW w:w="765" w:type="dxa"/>
            <w:noWrap w:val="0"/>
            <w:vAlign w:val="top"/>
          </w:tcPr>
          <w:p w14:paraId="14CADC74">
            <w:pPr>
              <w:spacing w:line="380" w:lineRule="atLeast"/>
              <w:jc w:val="center"/>
              <w:rPr>
                <w:rFonts w:hint="eastAsia" w:ascii="宋体" w:hAnsi="宋体"/>
                <w:color w:val="auto"/>
                <w:highlight w:val="none"/>
              </w:rPr>
            </w:pPr>
          </w:p>
        </w:tc>
        <w:tc>
          <w:tcPr>
            <w:tcW w:w="656" w:type="dxa"/>
            <w:noWrap w:val="0"/>
            <w:vAlign w:val="top"/>
          </w:tcPr>
          <w:p w14:paraId="1C6E346B">
            <w:pPr>
              <w:spacing w:line="380" w:lineRule="atLeast"/>
              <w:jc w:val="center"/>
              <w:rPr>
                <w:rFonts w:hint="eastAsia" w:ascii="宋体" w:hAnsi="宋体"/>
                <w:color w:val="auto"/>
                <w:highlight w:val="none"/>
              </w:rPr>
            </w:pPr>
          </w:p>
        </w:tc>
        <w:tc>
          <w:tcPr>
            <w:tcW w:w="1099" w:type="dxa"/>
            <w:noWrap w:val="0"/>
            <w:vAlign w:val="top"/>
          </w:tcPr>
          <w:p w14:paraId="659209EB">
            <w:pPr>
              <w:spacing w:line="380" w:lineRule="atLeast"/>
              <w:jc w:val="center"/>
              <w:rPr>
                <w:rFonts w:hint="eastAsia" w:ascii="宋体" w:hAnsi="宋体"/>
                <w:color w:val="auto"/>
                <w:highlight w:val="none"/>
              </w:rPr>
            </w:pPr>
          </w:p>
        </w:tc>
        <w:tc>
          <w:tcPr>
            <w:tcW w:w="746" w:type="dxa"/>
            <w:noWrap w:val="0"/>
            <w:vAlign w:val="top"/>
          </w:tcPr>
          <w:p w14:paraId="60316E85">
            <w:pPr>
              <w:spacing w:line="380" w:lineRule="atLeast"/>
              <w:jc w:val="center"/>
              <w:rPr>
                <w:rFonts w:hint="eastAsia" w:ascii="宋体" w:hAnsi="宋体"/>
                <w:color w:val="auto"/>
                <w:highlight w:val="none"/>
              </w:rPr>
            </w:pPr>
          </w:p>
        </w:tc>
        <w:tc>
          <w:tcPr>
            <w:tcW w:w="1335" w:type="dxa"/>
            <w:noWrap w:val="0"/>
            <w:vAlign w:val="top"/>
          </w:tcPr>
          <w:p w14:paraId="37CAF0C4">
            <w:pPr>
              <w:spacing w:line="380" w:lineRule="atLeast"/>
              <w:jc w:val="center"/>
              <w:rPr>
                <w:rFonts w:hint="eastAsia" w:ascii="宋体" w:hAnsi="宋体"/>
                <w:color w:val="auto"/>
                <w:highlight w:val="none"/>
              </w:rPr>
            </w:pPr>
          </w:p>
        </w:tc>
        <w:tc>
          <w:tcPr>
            <w:tcW w:w="2286" w:type="dxa"/>
            <w:noWrap w:val="0"/>
            <w:vAlign w:val="top"/>
          </w:tcPr>
          <w:p w14:paraId="78EC418E">
            <w:pPr>
              <w:spacing w:line="380" w:lineRule="atLeast"/>
              <w:jc w:val="center"/>
              <w:rPr>
                <w:rFonts w:hint="eastAsia" w:ascii="宋体" w:hAnsi="宋体"/>
                <w:color w:val="auto"/>
                <w:highlight w:val="none"/>
              </w:rPr>
            </w:pPr>
          </w:p>
        </w:tc>
        <w:tc>
          <w:tcPr>
            <w:tcW w:w="803" w:type="dxa"/>
            <w:noWrap w:val="0"/>
            <w:vAlign w:val="top"/>
          </w:tcPr>
          <w:p w14:paraId="2E919627">
            <w:pPr>
              <w:spacing w:line="380" w:lineRule="atLeast"/>
              <w:jc w:val="center"/>
              <w:rPr>
                <w:rFonts w:hint="eastAsia" w:ascii="宋体" w:hAnsi="宋体"/>
                <w:color w:val="auto"/>
                <w:highlight w:val="none"/>
              </w:rPr>
            </w:pPr>
          </w:p>
        </w:tc>
      </w:tr>
      <w:tr w14:paraId="59DE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80EE111">
            <w:pPr>
              <w:spacing w:line="380" w:lineRule="atLeast"/>
              <w:jc w:val="center"/>
              <w:rPr>
                <w:rFonts w:hint="eastAsia" w:ascii="宋体" w:hAnsi="宋体"/>
                <w:color w:val="auto"/>
                <w:highlight w:val="none"/>
              </w:rPr>
            </w:pPr>
          </w:p>
        </w:tc>
        <w:tc>
          <w:tcPr>
            <w:tcW w:w="765" w:type="dxa"/>
            <w:noWrap w:val="0"/>
            <w:vAlign w:val="top"/>
          </w:tcPr>
          <w:p w14:paraId="631EB60F">
            <w:pPr>
              <w:spacing w:line="380" w:lineRule="atLeast"/>
              <w:jc w:val="center"/>
              <w:rPr>
                <w:rFonts w:hint="eastAsia" w:ascii="宋体" w:hAnsi="宋体"/>
                <w:color w:val="auto"/>
                <w:highlight w:val="none"/>
              </w:rPr>
            </w:pPr>
          </w:p>
        </w:tc>
        <w:tc>
          <w:tcPr>
            <w:tcW w:w="656" w:type="dxa"/>
            <w:noWrap w:val="0"/>
            <w:vAlign w:val="top"/>
          </w:tcPr>
          <w:p w14:paraId="5B57FC0E">
            <w:pPr>
              <w:spacing w:line="380" w:lineRule="atLeast"/>
              <w:jc w:val="center"/>
              <w:rPr>
                <w:rFonts w:hint="eastAsia" w:ascii="宋体" w:hAnsi="宋体"/>
                <w:color w:val="auto"/>
                <w:highlight w:val="none"/>
              </w:rPr>
            </w:pPr>
          </w:p>
        </w:tc>
        <w:tc>
          <w:tcPr>
            <w:tcW w:w="1099" w:type="dxa"/>
            <w:noWrap w:val="0"/>
            <w:vAlign w:val="top"/>
          </w:tcPr>
          <w:p w14:paraId="54D9BF13">
            <w:pPr>
              <w:spacing w:line="380" w:lineRule="atLeast"/>
              <w:jc w:val="center"/>
              <w:rPr>
                <w:rFonts w:hint="eastAsia" w:ascii="宋体" w:hAnsi="宋体"/>
                <w:color w:val="auto"/>
                <w:highlight w:val="none"/>
              </w:rPr>
            </w:pPr>
          </w:p>
        </w:tc>
        <w:tc>
          <w:tcPr>
            <w:tcW w:w="746" w:type="dxa"/>
            <w:noWrap w:val="0"/>
            <w:vAlign w:val="top"/>
          </w:tcPr>
          <w:p w14:paraId="4204B560">
            <w:pPr>
              <w:spacing w:line="380" w:lineRule="atLeast"/>
              <w:jc w:val="center"/>
              <w:rPr>
                <w:rFonts w:hint="eastAsia" w:ascii="宋体" w:hAnsi="宋体"/>
                <w:color w:val="auto"/>
                <w:highlight w:val="none"/>
              </w:rPr>
            </w:pPr>
          </w:p>
        </w:tc>
        <w:tc>
          <w:tcPr>
            <w:tcW w:w="1335" w:type="dxa"/>
            <w:noWrap w:val="0"/>
            <w:vAlign w:val="top"/>
          </w:tcPr>
          <w:p w14:paraId="091C6EA7">
            <w:pPr>
              <w:spacing w:line="380" w:lineRule="atLeast"/>
              <w:jc w:val="center"/>
              <w:rPr>
                <w:rFonts w:hint="eastAsia" w:ascii="宋体" w:hAnsi="宋体"/>
                <w:color w:val="auto"/>
                <w:highlight w:val="none"/>
              </w:rPr>
            </w:pPr>
          </w:p>
        </w:tc>
        <w:tc>
          <w:tcPr>
            <w:tcW w:w="2286" w:type="dxa"/>
            <w:noWrap w:val="0"/>
            <w:vAlign w:val="top"/>
          </w:tcPr>
          <w:p w14:paraId="1ABB7E45">
            <w:pPr>
              <w:spacing w:line="380" w:lineRule="atLeast"/>
              <w:jc w:val="center"/>
              <w:rPr>
                <w:rFonts w:hint="eastAsia" w:ascii="宋体" w:hAnsi="宋体"/>
                <w:color w:val="auto"/>
                <w:highlight w:val="none"/>
              </w:rPr>
            </w:pPr>
          </w:p>
        </w:tc>
        <w:tc>
          <w:tcPr>
            <w:tcW w:w="803" w:type="dxa"/>
            <w:noWrap w:val="0"/>
            <w:vAlign w:val="top"/>
          </w:tcPr>
          <w:p w14:paraId="6CE751A0">
            <w:pPr>
              <w:spacing w:line="380" w:lineRule="atLeast"/>
              <w:jc w:val="center"/>
              <w:rPr>
                <w:rFonts w:hint="eastAsia" w:ascii="宋体" w:hAnsi="宋体"/>
                <w:color w:val="auto"/>
                <w:highlight w:val="none"/>
              </w:rPr>
            </w:pPr>
          </w:p>
        </w:tc>
      </w:tr>
      <w:tr w14:paraId="6EE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B38705E">
            <w:pPr>
              <w:spacing w:line="380" w:lineRule="atLeast"/>
              <w:jc w:val="center"/>
              <w:rPr>
                <w:rFonts w:hint="eastAsia" w:ascii="宋体" w:hAnsi="宋体"/>
                <w:color w:val="auto"/>
                <w:highlight w:val="none"/>
              </w:rPr>
            </w:pPr>
          </w:p>
        </w:tc>
        <w:tc>
          <w:tcPr>
            <w:tcW w:w="765" w:type="dxa"/>
            <w:noWrap w:val="0"/>
            <w:vAlign w:val="top"/>
          </w:tcPr>
          <w:p w14:paraId="6F0061DD">
            <w:pPr>
              <w:spacing w:line="380" w:lineRule="atLeast"/>
              <w:jc w:val="center"/>
              <w:rPr>
                <w:rFonts w:hint="eastAsia" w:ascii="宋体" w:hAnsi="宋体"/>
                <w:color w:val="auto"/>
                <w:highlight w:val="none"/>
              </w:rPr>
            </w:pPr>
          </w:p>
        </w:tc>
        <w:tc>
          <w:tcPr>
            <w:tcW w:w="656" w:type="dxa"/>
            <w:noWrap w:val="0"/>
            <w:vAlign w:val="top"/>
          </w:tcPr>
          <w:p w14:paraId="5C0A69B3">
            <w:pPr>
              <w:spacing w:line="380" w:lineRule="atLeast"/>
              <w:jc w:val="center"/>
              <w:rPr>
                <w:rFonts w:hint="eastAsia" w:ascii="宋体" w:hAnsi="宋体"/>
                <w:color w:val="auto"/>
                <w:highlight w:val="none"/>
              </w:rPr>
            </w:pPr>
          </w:p>
        </w:tc>
        <w:tc>
          <w:tcPr>
            <w:tcW w:w="1099" w:type="dxa"/>
            <w:noWrap w:val="0"/>
            <w:vAlign w:val="top"/>
          </w:tcPr>
          <w:p w14:paraId="2990534D">
            <w:pPr>
              <w:spacing w:line="380" w:lineRule="atLeast"/>
              <w:jc w:val="center"/>
              <w:rPr>
                <w:rFonts w:hint="eastAsia" w:ascii="宋体" w:hAnsi="宋体"/>
                <w:color w:val="auto"/>
                <w:highlight w:val="none"/>
              </w:rPr>
            </w:pPr>
          </w:p>
        </w:tc>
        <w:tc>
          <w:tcPr>
            <w:tcW w:w="746" w:type="dxa"/>
            <w:noWrap w:val="0"/>
            <w:vAlign w:val="top"/>
          </w:tcPr>
          <w:p w14:paraId="3318C8A2">
            <w:pPr>
              <w:spacing w:line="380" w:lineRule="atLeast"/>
              <w:jc w:val="center"/>
              <w:rPr>
                <w:rFonts w:hint="eastAsia" w:ascii="宋体" w:hAnsi="宋体"/>
                <w:color w:val="auto"/>
                <w:highlight w:val="none"/>
              </w:rPr>
            </w:pPr>
          </w:p>
        </w:tc>
        <w:tc>
          <w:tcPr>
            <w:tcW w:w="1335" w:type="dxa"/>
            <w:noWrap w:val="0"/>
            <w:vAlign w:val="top"/>
          </w:tcPr>
          <w:p w14:paraId="612B7613">
            <w:pPr>
              <w:spacing w:line="380" w:lineRule="atLeast"/>
              <w:jc w:val="center"/>
              <w:rPr>
                <w:rFonts w:hint="eastAsia" w:ascii="宋体" w:hAnsi="宋体"/>
                <w:color w:val="auto"/>
                <w:highlight w:val="none"/>
              </w:rPr>
            </w:pPr>
          </w:p>
        </w:tc>
        <w:tc>
          <w:tcPr>
            <w:tcW w:w="2286" w:type="dxa"/>
            <w:noWrap w:val="0"/>
            <w:vAlign w:val="top"/>
          </w:tcPr>
          <w:p w14:paraId="33269D99">
            <w:pPr>
              <w:spacing w:line="380" w:lineRule="atLeast"/>
              <w:jc w:val="center"/>
              <w:rPr>
                <w:rFonts w:hint="eastAsia" w:ascii="宋体" w:hAnsi="宋体"/>
                <w:color w:val="auto"/>
                <w:highlight w:val="none"/>
              </w:rPr>
            </w:pPr>
          </w:p>
        </w:tc>
        <w:tc>
          <w:tcPr>
            <w:tcW w:w="803" w:type="dxa"/>
            <w:noWrap w:val="0"/>
            <w:vAlign w:val="top"/>
          </w:tcPr>
          <w:p w14:paraId="44EF577D">
            <w:pPr>
              <w:spacing w:line="380" w:lineRule="atLeast"/>
              <w:jc w:val="center"/>
              <w:rPr>
                <w:rFonts w:hint="eastAsia" w:ascii="宋体" w:hAnsi="宋体"/>
                <w:color w:val="auto"/>
                <w:highlight w:val="none"/>
              </w:rPr>
            </w:pPr>
          </w:p>
        </w:tc>
      </w:tr>
      <w:tr w14:paraId="2FC4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2D8F4E38">
            <w:pPr>
              <w:spacing w:line="380" w:lineRule="atLeast"/>
              <w:jc w:val="center"/>
              <w:rPr>
                <w:rFonts w:hint="eastAsia" w:ascii="宋体" w:hAnsi="宋体"/>
                <w:color w:val="auto"/>
                <w:highlight w:val="none"/>
              </w:rPr>
            </w:pPr>
          </w:p>
        </w:tc>
        <w:tc>
          <w:tcPr>
            <w:tcW w:w="765" w:type="dxa"/>
            <w:noWrap w:val="0"/>
            <w:vAlign w:val="top"/>
          </w:tcPr>
          <w:p w14:paraId="2674916B">
            <w:pPr>
              <w:spacing w:line="380" w:lineRule="atLeast"/>
              <w:jc w:val="center"/>
              <w:rPr>
                <w:rFonts w:hint="eastAsia" w:ascii="宋体" w:hAnsi="宋体"/>
                <w:color w:val="auto"/>
                <w:highlight w:val="none"/>
              </w:rPr>
            </w:pPr>
          </w:p>
        </w:tc>
        <w:tc>
          <w:tcPr>
            <w:tcW w:w="656" w:type="dxa"/>
            <w:noWrap w:val="0"/>
            <w:vAlign w:val="top"/>
          </w:tcPr>
          <w:p w14:paraId="4789F694">
            <w:pPr>
              <w:spacing w:line="380" w:lineRule="atLeast"/>
              <w:jc w:val="center"/>
              <w:rPr>
                <w:rFonts w:hint="eastAsia" w:ascii="宋体" w:hAnsi="宋体"/>
                <w:color w:val="auto"/>
                <w:highlight w:val="none"/>
              </w:rPr>
            </w:pPr>
          </w:p>
        </w:tc>
        <w:tc>
          <w:tcPr>
            <w:tcW w:w="1099" w:type="dxa"/>
            <w:noWrap w:val="0"/>
            <w:vAlign w:val="top"/>
          </w:tcPr>
          <w:p w14:paraId="169B012A">
            <w:pPr>
              <w:spacing w:line="380" w:lineRule="atLeast"/>
              <w:jc w:val="center"/>
              <w:rPr>
                <w:rFonts w:hint="eastAsia" w:ascii="宋体" w:hAnsi="宋体"/>
                <w:color w:val="auto"/>
                <w:highlight w:val="none"/>
              </w:rPr>
            </w:pPr>
          </w:p>
        </w:tc>
        <w:tc>
          <w:tcPr>
            <w:tcW w:w="746" w:type="dxa"/>
            <w:noWrap w:val="0"/>
            <w:vAlign w:val="top"/>
          </w:tcPr>
          <w:p w14:paraId="3A018F0D">
            <w:pPr>
              <w:spacing w:line="380" w:lineRule="atLeast"/>
              <w:jc w:val="center"/>
              <w:rPr>
                <w:rFonts w:hint="eastAsia" w:ascii="宋体" w:hAnsi="宋体"/>
                <w:color w:val="auto"/>
                <w:highlight w:val="none"/>
              </w:rPr>
            </w:pPr>
          </w:p>
        </w:tc>
        <w:tc>
          <w:tcPr>
            <w:tcW w:w="1335" w:type="dxa"/>
            <w:noWrap w:val="0"/>
            <w:vAlign w:val="top"/>
          </w:tcPr>
          <w:p w14:paraId="4FED015D">
            <w:pPr>
              <w:spacing w:line="380" w:lineRule="atLeast"/>
              <w:jc w:val="center"/>
              <w:rPr>
                <w:rFonts w:hint="eastAsia" w:ascii="宋体" w:hAnsi="宋体"/>
                <w:color w:val="auto"/>
                <w:highlight w:val="none"/>
              </w:rPr>
            </w:pPr>
          </w:p>
        </w:tc>
        <w:tc>
          <w:tcPr>
            <w:tcW w:w="2286" w:type="dxa"/>
            <w:noWrap w:val="0"/>
            <w:vAlign w:val="top"/>
          </w:tcPr>
          <w:p w14:paraId="6C9B47C2">
            <w:pPr>
              <w:spacing w:line="380" w:lineRule="atLeast"/>
              <w:jc w:val="center"/>
              <w:rPr>
                <w:rFonts w:hint="eastAsia" w:ascii="宋体" w:hAnsi="宋体"/>
                <w:color w:val="auto"/>
                <w:highlight w:val="none"/>
              </w:rPr>
            </w:pPr>
          </w:p>
        </w:tc>
        <w:tc>
          <w:tcPr>
            <w:tcW w:w="803" w:type="dxa"/>
            <w:noWrap w:val="0"/>
            <w:vAlign w:val="top"/>
          </w:tcPr>
          <w:p w14:paraId="71506F48">
            <w:pPr>
              <w:spacing w:line="380" w:lineRule="atLeast"/>
              <w:jc w:val="center"/>
              <w:rPr>
                <w:rFonts w:hint="eastAsia" w:ascii="宋体" w:hAnsi="宋体"/>
                <w:color w:val="auto"/>
                <w:highlight w:val="none"/>
              </w:rPr>
            </w:pPr>
          </w:p>
        </w:tc>
      </w:tr>
      <w:tr w14:paraId="3375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06CC1A47">
            <w:pPr>
              <w:spacing w:line="380" w:lineRule="atLeast"/>
              <w:jc w:val="center"/>
              <w:rPr>
                <w:rFonts w:hint="eastAsia" w:ascii="宋体" w:hAnsi="宋体"/>
                <w:color w:val="auto"/>
                <w:highlight w:val="none"/>
              </w:rPr>
            </w:pPr>
          </w:p>
        </w:tc>
        <w:tc>
          <w:tcPr>
            <w:tcW w:w="765" w:type="dxa"/>
            <w:noWrap w:val="0"/>
            <w:vAlign w:val="top"/>
          </w:tcPr>
          <w:p w14:paraId="603155A6">
            <w:pPr>
              <w:spacing w:line="380" w:lineRule="atLeast"/>
              <w:jc w:val="center"/>
              <w:rPr>
                <w:rFonts w:hint="eastAsia" w:ascii="宋体" w:hAnsi="宋体"/>
                <w:color w:val="auto"/>
                <w:highlight w:val="none"/>
              </w:rPr>
            </w:pPr>
          </w:p>
        </w:tc>
        <w:tc>
          <w:tcPr>
            <w:tcW w:w="656" w:type="dxa"/>
            <w:noWrap w:val="0"/>
            <w:vAlign w:val="top"/>
          </w:tcPr>
          <w:p w14:paraId="0826CC12">
            <w:pPr>
              <w:spacing w:line="380" w:lineRule="atLeast"/>
              <w:jc w:val="center"/>
              <w:rPr>
                <w:rFonts w:hint="eastAsia" w:ascii="宋体" w:hAnsi="宋体"/>
                <w:color w:val="auto"/>
                <w:highlight w:val="none"/>
              </w:rPr>
            </w:pPr>
          </w:p>
        </w:tc>
        <w:tc>
          <w:tcPr>
            <w:tcW w:w="1099" w:type="dxa"/>
            <w:noWrap w:val="0"/>
            <w:vAlign w:val="top"/>
          </w:tcPr>
          <w:p w14:paraId="0F698F68">
            <w:pPr>
              <w:spacing w:line="380" w:lineRule="atLeast"/>
              <w:jc w:val="center"/>
              <w:rPr>
                <w:rFonts w:hint="eastAsia" w:ascii="宋体" w:hAnsi="宋体"/>
                <w:color w:val="auto"/>
                <w:highlight w:val="none"/>
              </w:rPr>
            </w:pPr>
          </w:p>
        </w:tc>
        <w:tc>
          <w:tcPr>
            <w:tcW w:w="746" w:type="dxa"/>
            <w:noWrap w:val="0"/>
            <w:vAlign w:val="top"/>
          </w:tcPr>
          <w:p w14:paraId="543FE18B">
            <w:pPr>
              <w:spacing w:line="380" w:lineRule="atLeast"/>
              <w:jc w:val="center"/>
              <w:rPr>
                <w:rFonts w:hint="eastAsia" w:ascii="宋体" w:hAnsi="宋体"/>
                <w:color w:val="auto"/>
                <w:highlight w:val="none"/>
              </w:rPr>
            </w:pPr>
          </w:p>
        </w:tc>
        <w:tc>
          <w:tcPr>
            <w:tcW w:w="1335" w:type="dxa"/>
            <w:noWrap w:val="0"/>
            <w:vAlign w:val="top"/>
          </w:tcPr>
          <w:p w14:paraId="14ACC750">
            <w:pPr>
              <w:spacing w:line="380" w:lineRule="atLeast"/>
              <w:jc w:val="center"/>
              <w:rPr>
                <w:rFonts w:hint="eastAsia" w:ascii="宋体" w:hAnsi="宋体"/>
                <w:color w:val="auto"/>
                <w:highlight w:val="none"/>
              </w:rPr>
            </w:pPr>
          </w:p>
        </w:tc>
        <w:tc>
          <w:tcPr>
            <w:tcW w:w="2286" w:type="dxa"/>
            <w:noWrap w:val="0"/>
            <w:vAlign w:val="top"/>
          </w:tcPr>
          <w:p w14:paraId="1D40D77B">
            <w:pPr>
              <w:spacing w:line="380" w:lineRule="atLeast"/>
              <w:jc w:val="center"/>
              <w:rPr>
                <w:rFonts w:hint="eastAsia" w:ascii="宋体" w:hAnsi="宋体"/>
                <w:color w:val="auto"/>
                <w:highlight w:val="none"/>
              </w:rPr>
            </w:pPr>
          </w:p>
        </w:tc>
        <w:tc>
          <w:tcPr>
            <w:tcW w:w="803" w:type="dxa"/>
            <w:noWrap w:val="0"/>
            <w:vAlign w:val="top"/>
          </w:tcPr>
          <w:p w14:paraId="1E921E77">
            <w:pPr>
              <w:spacing w:line="380" w:lineRule="atLeast"/>
              <w:jc w:val="center"/>
              <w:rPr>
                <w:rFonts w:hint="eastAsia" w:ascii="宋体" w:hAnsi="宋体"/>
                <w:color w:val="auto"/>
                <w:highlight w:val="none"/>
              </w:rPr>
            </w:pPr>
          </w:p>
        </w:tc>
      </w:tr>
      <w:tr w14:paraId="21E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CC2A352">
            <w:pPr>
              <w:spacing w:line="380" w:lineRule="atLeast"/>
              <w:jc w:val="center"/>
              <w:rPr>
                <w:rFonts w:hint="eastAsia" w:ascii="宋体" w:hAnsi="宋体"/>
                <w:color w:val="auto"/>
                <w:highlight w:val="none"/>
              </w:rPr>
            </w:pPr>
          </w:p>
        </w:tc>
        <w:tc>
          <w:tcPr>
            <w:tcW w:w="765" w:type="dxa"/>
            <w:noWrap w:val="0"/>
            <w:vAlign w:val="top"/>
          </w:tcPr>
          <w:p w14:paraId="3BA3E54B">
            <w:pPr>
              <w:spacing w:line="380" w:lineRule="atLeast"/>
              <w:jc w:val="center"/>
              <w:rPr>
                <w:rFonts w:hint="eastAsia" w:ascii="宋体" w:hAnsi="宋体"/>
                <w:color w:val="auto"/>
                <w:highlight w:val="none"/>
              </w:rPr>
            </w:pPr>
          </w:p>
        </w:tc>
        <w:tc>
          <w:tcPr>
            <w:tcW w:w="656" w:type="dxa"/>
            <w:noWrap w:val="0"/>
            <w:vAlign w:val="top"/>
          </w:tcPr>
          <w:p w14:paraId="59054292">
            <w:pPr>
              <w:spacing w:line="380" w:lineRule="atLeast"/>
              <w:jc w:val="center"/>
              <w:rPr>
                <w:rFonts w:hint="eastAsia" w:ascii="宋体" w:hAnsi="宋体"/>
                <w:color w:val="auto"/>
                <w:highlight w:val="none"/>
              </w:rPr>
            </w:pPr>
          </w:p>
        </w:tc>
        <w:tc>
          <w:tcPr>
            <w:tcW w:w="1099" w:type="dxa"/>
            <w:noWrap w:val="0"/>
            <w:vAlign w:val="top"/>
          </w:tcPr>
          <w:p w14:paraId="68434C00">
            <w:pPr>
              <w:spacing w:line="380" w:lineRule="atLeast"/>
              <w:jc w:val="center"/>
              <w:rPr>
                <w:rFonts w:hint="eastAsia" w:ascii="宋体" w:hAnsi="宋体"/>
                <w:color w:val="auto"/>
                <w:highlight w:val="none"/>
              </w:rPr>
            </w:pPr>
          </w:p>
        </w:tc>
        <w:tc>
          <w:tcPr>
            <w:tcW w:w="746" w:type="dxa"/>
            <w:noWrap w:val="0"/>
            <w:vAlign w:val="top"/>
          </w:tcPr>
          <w:p w14:paraId="1FDE7A31">
            <w:pPr>
              <w:spacing w:line="380" w:lineRule="atLeast"/>
              <w:jc w:val="center"/>
              <w:rPr>
                <w:rFonts w:hint="eastAsia" w:ascii="宋体" w:hAnsi="宋体"/>
                <w:color w:val="auto"/>
                <w:highlight w:val="none"/>
              </w:rPr>
            </w:pPr>
          </w:p>
        </w:tc>
        <w:tc>
          <w:tcPr>
            <w:tcW w:w="1335" w:type="dxa"/>
            <w:noWrap w:val="0"/>
            <w:vAlign w:val="top"/>
          </w:tcPr>
          <w:p w14:paraId="68D55BA9">
            <w:pPr>
              <w:spacing w:line="380" w:lineRule="atLeast"/>
              <w:jc w:val="center"/>
              <w:rPr>
                <w:rFonts w:hint="eastAsia" w:ascii="宋体" w:hAnsi="宋体"/>
                <w:color w:val="auto"/>
                <w:highlight w:val="none"/>
              </w:rPr>
            </w:pPr>
          </w:p>
        </w:tc>
        <w:tc>
          <w:tcPr>
            <w:tcW w:w="2286" w:type="dxa"/>
            <w:noWrap w:val="0"/>
            <w:vAlign w:val="top"/>
          </w:tcPr>
          <w:p w14:paraId="5474D3F3">
            <w:pPr>
              <w:spacing w:line="380" w:lineRule="atLeast"/>
              <w:jc w:val="center"/>
              <w:rPr>
                <w:rFonts w:hint="eastAsia" w:ascii="宋体" w:hAnsi="宋体"/>
                <w:color w:val="auto"/>
                <w:highlight w:val="none"/>
              </w:rPr>
            </w:pPr>
          </w:p>
        </w:tc>
        <w:tc>
          <w:tcPr>
            <w:tcW w:w="803" w:type="dxa"/>
            <w:noWrap w:val="0"/>
            <w:vAlign w:val="top"/>
          </w:tcPr>
          <w:p w14:paraId="4919B655">
            <w:pPr>
              <w:spacing w:line="380" w:lineRule="atLeast"/>
              <w:jc w:val="center"/>
              <w:rPr>
                <w:rFonts w:hint="eastAsia" w:ascii="宋体" w:hAnsi="宋体"/>
                <w:color w:val="auto"/>
                <w:highlight w:val="none"/>
              </w:rPr>
            </w:pPr>
          </w:p>
        </w:tc>
      </w:tr>
      <w:tr w14:paraId="6A9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8E90A33">
            <w:pPr>
              <w:spacing w:line="380" w:lineRule="atLeast"/>
              <w:jc w:val="center"/>
              <w:rPr>
                <w:rFonts w:hint="eastAsia" w:ascii="宋体" w:hAnsi="宋体"/>
                <w:color w:val="auto"/>
                <w:highlight w:val="none"/>
              </w:rPr>
            </w:pPr>
          </w:p>
        </w:tc>
        <w:tc>
          <w:tcPr>
            <w:tcW w:w="765" w:type="dxa"/>
            <w:noWrap w:val="0"/>
            <w:vAlign w:val="top"/>
          </w:tcPr>
          <w:p w14:paraId="2B6F3BFE">
            <w:pPr>
              <w:spacing w:line="380" w:lineRule="atLeast"/>
              <w:jc w:val="center"/>
              <w:rPr>
                <w:rFonts w:hint="eastAsia" w:ascii="宋体" w:hAnsi="宋体"/>
                <w:color w:val="auto"/>
                <w:highlight w:val="none"/>
              </w:rPr>
            </w:pPr>
          </w:p>
        </w:tc>
        <w:tc>
          <w:tcPr>
            <w:tcW w:w="656" w:type="dxa"/>
            <w:noWrap w:val="0"/>
            <w:vAlign w:val="top"/>
          </w:tcPr>
          <w:p w14:paraId="4416773F">
            <w:pPr>
              <w:spacing w:line="380" w:lineRule="atLeast"/>
              <w:jc w:val="center"/>
              <w:rPr>
                <w:rFonts w:hint="eastAsia" w:ascii="宋体" w:hAnsi="宋体"/>
                <w:color w:val="auto"/>
                <w:highlight w:val="none"/>
              </w:rPr>
            </w:pPr>
          </w:p>
        </w:tc>
        <w:tc>
          <w:tcPr>
            <w:tcW w:w="1099" w:type="dxa"/>
            <w:noWrap w:val="0"/>
            <w:vAlign w:val="top"/>
          </w:tcPr>
          <w:p w14:paraId="5E706882">
            <w:pPr>
              <w:spacing w:line="380" w:lineRule="atLeast"/>
              <w:jc w:val="center"/>
              <w:rPr>
                <w:rFonts w:hint="eastAsia" w:ascii="宋体" w:hAnsi="宋体"/>
                <w:color w:val="auto"/>
                <w:highlight w:val="none"/>
              </w:rPr>
            </w:pPr>
          </w:p>
        </w:tc>
        <w:tc>
          <w:tcPr>
            <w:tcW w:w="746" w:type="dxa"/>
            <w:noWrap w:val="0"/>
            <w:vAlign w:val="top"/>
          </w:tcPr>
          <w:p w14:paraId="5CA21719">
            <w:pPr>
              <w:spacing w:line="380" w:lineRule="atLeast"/>
              <w:jc w:val="center"/>
              <w:rPr>
                <w:rFonts w:hint="eastAsia" w:ascii="宋体" w:hAnsi="宋体"/>
                <w:color w:val="auto"/>
                <w:highlight w:val="none"/>
              </w:rPr>
            </w:pPr>
          </w:p>
        </w:tc>
        <w:tc>
          <w:tcPr>
            <w:tcW w:w="1335" w:type="dxa"/>
            <w:noWrap w:val="0"/>
            <w:vAlign w:val="top"/>
          </w:tcPr>
          <w:p w14:paraId="4F76D2D2">
            <w:pPr>
              <w:spacing w:line="380" w:lineRule="atLeast"/>
              <w:jc w:val="center"/>
              <w:rPr>
                <w:rFonts w:hint="eastAsia" w:ascii="宋体" w:hAnsi="宋体"/>
                <w:color w:val="auto"/>
                <w:highlight w:val="none"/>
              </w:rPr>
            </w:pPr>
          </w:p>
        </w:tc>
        <w:tc>
          <w:tcPr>
            <w:tcW w:w="2286" w:type="dxa"/>
            <w:noWrap w:val="0"/>
            <w:vAlign w:val="top"/>
          </w:tcPr>
          <w:p w14:paraId="4ED67DB1">
            <w:pPr>
              <w:spacing w:line="380" w:lineRule="atLeast"/>
              <w:jc w:val="center"/>
              <w:rPr>
                <w:rFonts w:hint="eastAsia" w:ascii="宋体" w:hAnsi="宋体"/>
                <w:color w:val="auto"/>
                <w:highlight w:val="none"/>
              </w:rPr>
            </w:pPr>
          </w:p>
        </w:tc>
        <w:tc>
          <w:tcPr>
            <w:tcW w:w="803" w:type="dxa"/>
            <w:noWrap w:val="0"/>
            <w:vAlign w:val="top"/>
          </w:tcPr>
          <w:p w14:paraId="63B3C63A">
            <w:pPr>
              <w:spacing w:line="380" w:lineRule="atLeast"/>
              <w:jc w:val="center"/>
              <w:rPr>
                <w:rFonts w:hint="eastAsia" w:ascii="宋体" w:hAnsi="宋体"/>
                <w:color w:val="auto"/>
                <w:highlight w:val="none"/>
              </w:rPr>
            </w:pPr>
          </w:p>
        </w:tc>
      </w:tr>
      <w:tr w14:paraId="681B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5C122FC">
            <w:pPr>
              <w:spacing w:line="380" w:lineRule="atLeast"/>
              <w:jc w:val="center"/>
              <w:rPr>
                <w:rFonts w:hint="eastAsia" w:ascii="宋体" w:hAnsi="宋体"/>
                <w:color w:val="auto"/>
                <w:highlight w:val="none"/>
              </w:rPr>
            </w:pPr>
          </w:p>
        </w:tc>
        <w:tc>
          <w:tcPr>
            <w:tcW w:w="765" w:type="dxa"/>
            <w:noWrap w:val="0"/>
            <w:vAlign w:val="top"/>
          </w:tcPr>
          <w:p w14:paraId="5FD5251D">
            <w:pPr>
              <w:spacing w:line="380" w:lineRule="atLeast"/>
              <w:jc w:val="center"/>
              <w:rPr>
                <w:rFonts w:hint="eastAsia" w:ascii="宋体" w:hAnsi="宋体"/>
                <w:color w:val="auto"/>
                <w:highlight w:val="none"/>
              </w:rPr>
            </w:pPr>
          </w:p>
        </w:tc>
        <w:tc>
          <w:tcPr>
            <w:tcW w:w="656" w:type="dxa"/>
            <w:noWrap w:val="0"/>
            <w:vAlign w:val="top"/>
          </w:tcPr>
          <w:p w14:paraId="5D831A34">
            <w:pPr>
              <w:spacing w:line="380" w:lineRule="atLeast"/>
              <w:jc w:val="center"/>
              <w:rPr>
                <w:rFonts w:hint="eastAsia" w:ascii="宋体" w:hAnsi="宋体"/>
                <w:color w:val="auto"/>
                <w:highlight w:val="none"/>
              </w:rPr>
            </w:pPr>
          </w:p>
        </w:tc>
        <w:tc>
          <w:tcPr>
            <w:tcW w:w="1099" w:type="dxa"/>
            <w:noWrap w:val="0"/>
            <w:vAlign w:val="top"/>
          </w:tcPr>
          <w:p w14:paraId="7590D7D7">
            <w:pPr>
              <w:spacing w:line="380" w:lineRule="atLeast"/>
              <w:jc w:val="center"/>
              <w:rPr>
                <w:rFonts w:hint="eastAsia" w:ascii="宋体" w:hAnsi="宋体"/>
                <w:color w:val="auto"/>
                <w:highlight w:val="none"/>
              </w:rPr>
            </w:pPr>
          </w:p>
        </w:tc>
        <w:tc>
          <w:tcPr>
            <w:tcW w:w="746" w:type="dxa"/>
            <w:noWrap w:val="0"/>
            <w:vAlign w:val="top"/>
          </w:tcPr>
          <w:p w14:paraId="2E6D6D5A">
            <w:pPr>
              <w:spacing w:line="380" w:lineRule="atLeast"/>
              <w:jc w:val="center"/>
              <w:rPr>
                <w:rFonts w:hint="eastAsia" w:ascii="宋体" w:hAnsi="宋体"/>
                <w:color w:val="auto"/>
                <w:highlight w:val="none"/>
              </w:rPr>
            </w:pPr>
          </w:p>
        </w:tc>
        <w:tc>
          <w:tcPr>
            <w:tcW w:w="1335" w:type="dxa"/>
            <w:noWrap w:val="0"/>
            <w:vAlign w:val="top"/>
          </w:tcPr>
          <w:p w14:paraId="652B5890">
            <w:pPr>
              <w:spacing w:line="380" w:lineRule="atLeast"/>
              <w:jc w:val="center"/>
              <w:rPr>
                <w:rFonts w:hint="eastAsia" w:ascii="宋体" w:hAnsi="宋体"/>
                <w:color w:val="auto"/>
                <w:highlight w:val="none"/>
              </w:rPr>
            </w:pPr>
          </w:p>
        </w:tc>
        <w:tc>
          <w:tcPr>
            <w:tcW w:w="2286" w:type="dxa"/>
            <w:noWrap w:val="0"/>
            <w:vAlign w:val="top"/>
          </w:tcPr>
          <w:p w14:paraId="4C7E558F">
            <w:pPr>
              <w:spacing w:line="380" w:lineRule="atLeast"/>
              <w:jc w:val="center"/>
              <w:rPr>
                <w:rFonts w:hint="eastAsia" w:ascii="宋体" w:hAnsi="宋体"/>
                <w:color w:val="auto"/>
                <w:highlight w:val="none"/>
              </w:rPr>
            </w:pPr>
          </w:p>
        </w:tc>
        <w:tc>
          <w:tcPr>
            <w:tcW w:w="803" w:type="dxa"/>
            <w:noWrap w:val="0"/>
            <w:vAlign w:val="top"/>
          </w:tcPr>
          <w:p w14:paraId="4220AEC9">
            <w:pPr>
              <w:spacing w:line="380" w:lineRule="atLeast"/>
              <w:jc w:val="center"/>
              <w:rPr>
                <w:rFonts w:hint="eastAsia" w:ascii="宋体" w:hAnsi="宋体"/>
                <w:color w:val="auto"/>
                <w:highlight w:val="none"/>
              </w:rPr>
            </w:pPr>
          </w:p>
        </w:tc>
      </w:tr>
      <w:tr w14:paraId="107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0FF824EC">
            <w:pPr>
              <w:spacing w:line="380" w:lineRule="atLeast"/>
              <w:jc w:val="center"/>
              <w:rPr>
                <w:rFonts w:hint="eastAsia" w:ascii="宋体" w:hAnsi="宋体"/>
                <w:color w:val="auto"/>
                <w:highlight w:val="none"/>
              </w:rPr>
            </w:pPr>
          </w:p>
        </w:tc>
        <w:tc>
          <w:tcPr>
            <w:tcW w:w="765" w:type="dxa"/>
            <w:noWrap w:val="0"/>
            <w:vAlign w:val="top"/>
          </w:tcPr>
          <w:p w14:paraId="61756AD5">
            <w:pPr>
              <w:spacing w:line="380" w:lineRule="atLeast"/>
              <w:jc w:val="center"/>
              <w:rPr>
                <w:rFonts w:hint="eastAsia" w:ascii="宋体" w:hAnsi="宋体"/>
                <w:color w:val="auto"/>
                <w:highlight w:val="none"/>
              </w:rPr>
            </w:pPr>
          </w:p>
        </w:tc>
        <w:tc>
          <w:tcPr>
            <w:tcW w:w="656" w:type="dxa"/>
            <w:noWrap w:val="0"/>
            <w:vAlign w:val="top"/>
          </w:tcPr>
          <w:p w14:paraId="07846625">
            <w:pPr>
              <w:spacing w:line="380" w:lineRule="atLeast"/>
              <w:jc w:val="center"/>
              <w:rPr>
                <w:rFonts w:hint="eastAsia" w:ascii="宋体" w:hAnsi="宋体"/>
                <w:color w:val="auto"/>
                <w:highlight w:val="none"/>
              </w:rPr>
            </w:pPr>
          </w:p>
        </w:tc>
        <w:tc>
          <w:tcPr>
            <w:tcW w:w="1099" w:type="dxa"/>
            <w:noWrap w:val="0"/>
            <w:vAlign w:val="top"/>
          </w:tcPr>
          <w:p w14:paraId="396345E4">
            <w:pPr>
              <w:spacing w:line="380" w:lineRule="atLeast"/>
              <w:jc w:val="center"/>
              <w:rPr>
                <w:rFonts w:hint="eastAsia" w:ascii="宋体" w:hAnsi="宋体"/>
                <w:color w:val="auto"/>
                <w:highlight w:val="none"/>
              </w:rPr>
            </w:pPr>
          </w:p>
        </w:tc>
        <w:tc>
          <w:tcPr>
            <w:tcW w:w="746" w:type="dxa"/>
            <w:noWrap w:val="0"/>
            <w:vAlign w:val="top"/>
          </w:tcPr>
          <w:p w14:paraId="57273914">
            <w:pPr>
              <w:spacing w:line="380" w:lineRule="atLeast"/>
              <w:jc w:val="center"/>
              <w:rPr>
                <w:rFonts w:hint="eastAsia" w:ascii="宋体" w:hAnsi="宋体"/>
                <w:color w:val="auto"/>
                <w:highlight w:val="none"/>
              </w:rPr>
            </w:pPr>
          </w:p>
        </w:tc>
        <w:tc>
          <w:tcPr>
            <w:tcW w:w="1335" w:type="dxa"/>
            <w:noWrap w:val="0"/>
            <w:vAlign w:val="top"/>
          </w:tcPr>
          <w:p w14:paraId="1F15F7B8">
            <w:pPr>
              <w:spacing w:line="380" w:lineRule="atLeast"/>
              <w:jc w:val="center"/>
              <w:rPr>
                <w:rFonts w:hint="eastAsia" w:ascii="宋体" w:hAnsi="宋体"/>
                <w:color w:val="auto"/>
                <w:highlight w:val="none"/>
              </w:rPr>
            </w:pPr>
          </w:p>
        </w:tc>
        <w:tc>
          <w:tcPr>
            <w:tcW w:w="2286" w:type="dxa"/>
            <w:noWrap w:val="0"/>
            <w:vAlign w:val="top"/>
          </w:tcPr>
          <w:p w14:paraId="5776F578">
            <w:pPr>
              <w:spacing w:line="380" w:lineRule="atLeast"/>
              <w:jc w:val="center"/>
              <w:rPr>
                <w:rFonts w:hint="eastAsia" w:ascii="宋体" w:hAnsi="宋体"/>
                <w:color w:val="auto"/>
                <w:highlight w:val="none"/>
              </w:rPr>
            </w:pPr>
          </w:p>
        </w:tc>
        <w:tc>
          <w:tcPr>
            <w:tcW w:w="803" w:type="dxa"/>
            <w:noWrap w:val="0"/>
            <w:vAlign w:val="top"/>
          </w:tcPr>
          <w:p w14:paraId="366615E0">
            <w:pPr>
              <w:spacing w:line="380" w:lineRule="atLeast"/>
              <w:jc w:val="center"/>
              <w:rPr>
                <w:rFonts w:hint="eastAsia" w:ascii="宋体" w:hAnsi="宋体"/>
                <w:color w:val="auto"/>
                <w:highlight w:val="none"/>
              </w:rPr>
            </w:pPr>
          </w:p>
        </w:tc>
      </w:tr>
      <w:tr w14:paraId="07C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3055654C">
            <w:pPr>
              <w:spacing w:line="380" w:lineRule="atLeast"/>
              <w:jc w:val="center"/>
              <w:rPr>
                <w:rFonts w:hint="eastAsia" w:ascii="宋体" w:hAnsi="宋体"/>
                <w:color w:val="auto"/>
                <w:highlight w:val="none"/>
              </w:rPr>
            </w:pPr>
          </w:p>
        </w:tc>
        <w:tc>
          <w:tcPr>
            <w:tcW w:w="765" w:type="dxa"/>
            <w:noWrap w:val="0"/>
            <w:vAlign w:val="top"/>
          </w:tcPr>
          <w:p w14:paraId="26027F8B">
            <w:pPr>
              <w:spacing w:line="380" w:lineRule="atLeast"/>
              <w:jc w:val="center"/>
              <w:rPr>
                <w:rFonts w:hint="eastAsia" w:ascii="宋体" w:hAnsi="宋体"/>
                <w:color w:val="auto"/>
                <w:highlight w:val="none"/>
              </w:rPr>
            </w:pPr>
          </w:p>
        </w:tc>
        <w:tc>
          <w:tcPr>
            <w:tcW w:w="656" w:type="dxa"/>
            <w:noWrap w:val="0"/>
            <w:vAlign w:val="top"/>
          </w:tcPr>
          <w:p w14:paraId="034201A9">
            <w:pPr>
              <w:spacing w:line="380" w:lineRule="atLeast"/>
              <w:jc w:val="center"/>
              <w:rPr>
                <w:rFonts w:hint="eastAsia" w:ascii="宋体" w:hAnsi="宋体"/>
                <w:color w:val="auto"/>
                <w:highlight w:val="none"/>
              </w:rPr>
            </w:pPr>
          </w:p>
        </w:tc>
        <w:tc>
          <w:tcPr>
            <w:tcW w:w="1099" w:type="dxa"/>
            <w:noWrap w:val="0"/>
            <w:vAlign w:val="top"/>
          </w:tcPr>
          <w:p w14:paraId="4892C6ED">
            <w:pPr>
              <w:spacing w:line="380" w:lineRule="atLeast"/>
              <w:jc w:val="center"/>
              <w:rPr>
                <w:rFonts w:hint="eastAsia" w:ascii="宋体" w:hAnsi="宋体"/>
                <w:color w:val="auto"/>
                <w:highlight w:val="none"/>
              </w:rPr>
            </w:pPr>
          </w:p>
        </w:tc>
        <w:tc>
          <w:tcPr>
            <w:tcW w:w="746" w:type="dxa"/>
            <w:noWrap w:val="0"/>
            <w:vAlign w:val="top"/>
          </w:tcPr>
          <w:p w14:paraId="204A5697">
            <w:pPr>
              <w:spacing w:line="380" w:lineRule="atLeast"/>
              <w:jc w:val="center"/>
              <w:rPr>
                <w:rFonts w:hint="eastAsia" w:ascii="宋体" w:hAnsi="宋体"/>
                <w:color w:val="auto"/>
                <w:highlight w:val="none"/>
              </w:rPr>
            </w:pPr>
          </w:p>
        </w:tc>
        <w:tc>
          <w:tcPr>
            <w:tcW w:w="1335" w:type="dxa"/>
            <w:noWrap w:val="0"/>
            <w:vAlign w:val="top"/>
          </w:tcPr>
          <w:p w14:paraId="6772B7D7">
            <w:pPr>
              <w:spacing w:line="380" w:lineRule="atLeast"/>
              <w:jc w:val="center"/>
              <w:rPr>
                <w:rFonts w:hint="eastAsia" w:ascii="宋体" w:hAnsi="宋体"/>
                <w:color w:val="auto"/>
                <w:highlight w:val="none"/>
              </w:rPr>
            </w:pPr>
          </w:p>
        </w:tc>
        <w:tc>
          <w:tcPr>
            <w:tcW w:w="2286" w:type="dxa"/>
            <w:noWrap w:val="0"/>
            <w:vAlign w:val="top"/>
          </w:tcPr>
          <w:p w14:paraId="7F990016">
            <w:pPr>
              <w:spacing w:line="380" w:lineRule="atLeast"/>
              <w:jc w:val="center"/>
              <w:rPr>
                <w:rFonts w:hint="eastAsia" w:ascii="宋体" w:hAnsi="宋体"/>
                <w:color w:val="auto"/>
                <w:highlight w:val="none"/>
              </w:rPr>
            </w:pPr>
          </w:p>
        </w:tc>
        <w:tc>
          <w:tcPr>
            <w:tcW w:w="803" w:type="dxa"/>
            <w:noWrap w:val="0"/>
            <w:vAlign w:val="top"/>
          </w:tcPr>
          <w:p w14:paraId="54555548">
            <w:pPr>
              <w:spacing w:line="380" w:lineRule="atLeast"/>
              <w:jc w:val="center"/>
              <w:rPr>
                <w:rFonts w:hint="eastAsia" w:ascii="宋体" w:hAnsi="宋体"/>
                <w:color w:val="auto"/>
                <w:highlight w:val="none"/>
              </w:rPr>
            </w:pPr>
          </w:p>
        </w:tc>
      </w:tr>
      <w:tr w14:paraId="60C9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DCCFF13">
            <w:pPr>
              <w:spacing w:line="380" w:lineRule="atLeast"/>
              <w:jc w:val="center"/>
              <w:rPr>
                <w:rFonts w:hint="eastAsia" w:ascii="宋体" w:hAnsi="宋体"/>
                <w:color w:val="auto"/>
                <w:highlight w:val="none"/>
              </w:rPr>
            </w:pPr>
          </w:p>
        </w:tc>
        <w:tc>
          <w:tcPr>
            <w:tcW w:w="765" w:type="dxa"/>
            <w:noWrap w:val="0"/>
            <w:vAlign w:val="top"/>
          </w:tcPr>
          <w:p w14:paraId="66FC885C">
            <w:pPr>
              <w:spacing w:line="380" w:lineRule="atLeast"/>
              <w:jc w:val="center"/>
              <w:rPr>
                <w:rFonts w:hint="eastAsia" w:ascii="宋体" w:hAnsi="宋体"/>
                <w:color w:val="auto"/>
                <w:highlight w:val="none"/>
              </w:rPr>
            </w:pPr>
          </w:p>
        </w:tc>
        <w:tc>
          <w:tcPr>
            <w:tcW w:w="656" w:type="dxa"/>
            <w:noWrap w:val="0"/>
            <w:vAlign w:val="top"/>
          </w:tcPr>
          <w:p w14:paraId="6BDE3543">
            <w:pPr>
              <w:spacing w:line="380" w:lineRule="atLeast"/>
              <w:jc w:val="center"/>
              <w:rPr>
                <w:rFonts w:hint="eastAsia" w:ascii="宋体" w:hAnsi="宋体"/>
                <w:color w:val="auto"/>
                <w:highlight w:val="none"/>
              </w:rPr>
            </w:pPr>
          </w:p>
        </w:tc>
        <w:tc>
          <w:tcPr>
            <w:tcW w:w="1099" w:type="dxa"/>
            <w:noWrap w:val="0"/>
            <w:vAlign w:val="top"/>
          </w:tcPr>
          <w:p w14:paraId="5B700C98">
            <w:pPr>
              <w:spacing w:line="380" w:lineRule="atLeast"/>
              <w:jc w:val="center"/>
              <w:rPr>
                <w:rFonts w:hint="eastAsia" w:ascii="宋体" w:hAnsi="宋体"/>
                <w:color w:val="auto"/>
                <w:highlight w:val="none"/>
              </w:rPr>
            </w:pPr>
          </w:p>
        </w:tc>
        <w:tc>
          <w:tcPr>
            <w:tcW w:w="746" w:type="dxa"/>
            <w:noWrap w:val="0"/>
            <w:vAlign w:val="top"/>
          </w:tcPr>
          <w:p w14:paraId="6BC68240">
            <w:pPr>
              <w:spacing w:line="380" w:lineRule="atLeast"/>
              <w:jc w:val="center"/>
              <w:rPr>
                <w:rFonts w:hint="eastAsia" w:ascii="宋体" w:hAnsi="宋体"/>
                <w:color w:val="auto"/>
                <w:highlight w:val="none"/>
              </w:rPr>
            </w:pPr>
          </w:p>
        </w:tc>
        <w:tc>
          <w:tcPr>
            <w:tcW w:w="1335" w:type="dxa"/>
            <w:noWrap w:val="0"/>
            <w:vAlign w:val="top"/>
          </w:tcPr>
          <w:p w14:paraId="41CB9116">
            <w:pPr>
              <w:spacing w:line="380" w:lineRule="atLeast"/>
              <w:jc w:val="center"/>
              <w:rPr>
                <w:rFonts w:hint="eastAsia" w:ascii="宋体" w:hAnsi="宋体"/>
                <w:color w:val="auto"/>
                <w:highlight w:val="none"/>
              </w:rPr>
            </w:pPr>
          </w:p>
        </w:tc>
        <w:tc>
          <w:tcPr>
            <w:tcW w:w="2286" w:type="dxa"/>
            <w:noWrap w:val="0"/>
            <w:vAlign w:val="top"/>
          </w:tcPr>
          <w:p w14:paraId="69A46877">
            <w:pPr>
              <w:spacing w:line="380" w:lineRule="atLeast"/>
              <w:jc w:val="center"/>
              <w:rPr>
                <w:rFonts w:hint="eastAsia" w:ascii="宋体" w:hAnsi="宋体"/>
                <w:color w:val="auto"/>
                <w:highlight w:val="none"/>
              </w:rPr>
            </w:pPr>
          </w:p>
        </w:tc>
        <w:tc>
          <w:tcPr>
            <w:tcW w:w="803" w:type="dxa"/>
            <w:noWrap w:val="0"/>
            <w:vAlign w:val="top"/>
          </w:tcPr>
          <w:p w14:paraId="727314D6">
            <w:pPr>
              <w:spacing w:line="380" w:lineRule="atLeast"/>
              <w:jc w:val="center"/>
              <w:rPr>
                <w:rFonts w:hint="eastAsia" w:ascii="宋体" w:hAnsi="宋体"/>
                <w:color w:val="auto"/>
                <w:highlight w:val="none"/>
              </w:rPr>
            </w:pPr>
          </w:p>
        </w:tc>
      </w:tr>
      <w:tr w14:paraId="31E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EAD762F">
            <w:pPr>
              <w:spacing w:line="380" w:lineRule="atLeast"/>
              <w:jc w:val="center"/>
              <w:rPr>
                <w:rFonts w:hint="eastAsia" w:ascii="宋体" w:hAnsi="宋体"/>
                <w:color w:val="auto"/>
                <w:highlight w:val="none"/>
              </w:rPr>
            </w:pPr>
          </w:p>
        </w:tc>
        <w:tc>
          <w:tcPr>
            <w:tcW w:w="765" w:type="dxa"/>
            <w:noWrap w:val="0"/>
            <w:vAlign w:val="top"/>
          </w:tcPr>
          <w:p w14:paraId="7A317E9C">
            <w:pPr>
              <w:spacing w:line="380" w:lineRule="atLeast"/>
              <w:jc w:val="center"/>
              <w:rPr>
                <w:rFonts w:hint="eastAsia" w:ascii="宋体" w:hAnsi="宋体"/>
                <w:color w:val="auto"/>
                <w:highlight w:val="none"/>
              </w:rPr>
            </w:pPr>
          </w:p>
        </w:tc>
        <w:tc>
          <w:tcPr>
            <w:tcW w:w="656" w:type="dxa"/>
            <w:noWrap w:val="0"/>
            <w:vAlign w:val="top"/>
          </w:tcPr>
          <w:p w14:paraId="291F6E41">
            <w:pPr>
              <w:spacing w:line="380" w:lineRule="atLeast"/>
              <w:jc w:val="center"/>
              <w:rPr>
                <w:rFonts w:hint="eastAsia" w:ascii="宋体" w:hAnsi="宋体"/>
                <w:color w:val="auto"/>
                <w:highlight w:val="none"/>
              </w:rPr>
            </w:pPr>
          </w:p>
        </w:tc>
        <w:tc>
          <w:tcPr>
            <w:tcW w:w="1099" w:type="dxa"/>
            <w:noWrap w:val="0"/>
            <w:vAlign w:val="top"/>
          </w:tcPr>
          <w:p w14:paraId="572AB4B7">
            <w:pPr>
              <w:spacing w:line="380" w:lineRule="atLeast"/>
              <w:jc w:val="center"/>
              <w:rPr>
                <w:rFonts w:hint="eastAsia" w:ascii="宋体" w:hAnsi="宋体"/>
                <w:color w:val="auto"/>
                <w:highlight w:val="none"/>
              </w:rPr>
            </w:pPr>
          </w:p>
        </w:tc>
        <w:tc>
          <w:tcPr>
            <w:tcW w:w="746" w:type="dxa"/>
            <w:noWrap w:val="0"/>
            <w:vAlign w:val="top"/>
          </w:tcPr>
          <w:p w14:paraId="4E044F78">
            <w:pPr>
              <w:spacing w:line="380" w:lineRule="atLeast"/>
              <w:jc w:val="center"/>
              <w:rPr>
                <w:rFonts w:hint="eastAsia" w:ascii="宋体" w:hAnsi="宋体"/>
                <w:color w:val="auto"/>
                <w:highlight w:val="none"/>
              </w:rPr>
            </w:pPr>
          </w:p>
        </w:tc>
        <w:tc>
          <w:tcPr>
            <w:tcW w:w="1335" w:type="dxa"/>
            <w:noWrap w:val="0"/>
            <w:vAlign w:val="top"/>
          </w:tcPr>
          <w:p w14:paraId="2F0E6A5C">
            <w:pPr>
              <w:spacing w:line="380" w:lineRule="atLeast"/>
              <w:jc w:val="center"/>
              <w:rPr>
                <w:rFonts w:hint="eastAsia" w:ascii="宋体" w:hAnsi="宋体"/>
                <w:color w:val="auto"/>
                <w:highlight w:val="none"/>
              </w:rPr>
            </w:pPr>
          </w:p>
        </w:tc>
        <w:tc>
          <w:tcPr>
            <w:tcW w:w="2286" w:type="dxa"/>
            <w:noWrap w:val="0"/>
            <w:vAlign w:val="top"/>
          </w:tcPr>
          <w:p w14:paraId="035CD356">
            <w:pPr>
              <w:spacing w:line="380" w:lineRule="atLeast"/>
              <w:jc w:val="center"/>
              <w:rPr>
                <w:rFonts w:hint="eastAsia" w:ascii="宋体" w:hAnsi="宋体"/>
                <w:color w:val="auto"/>
                <w:highlight w:val="none"/>
              </w:rPr>
            </w:pPr>
          </w:p>
        </w:tc>
        <w:tc>
          <w:tcPr>
            <w:tcW w:w="803" w:type="dxa"/>
            <w:noWrap w:val="0"/>
            <w:vAlign w:val="top"/>
          </w:tcPr>
          <w:p w14:paraId="4642A81F">
            <w:pPr>
              <w:spacing w:line="380" w:lineRule="atLeast"/>
              <w:jc w:val="center"/>
              <w:rPr>
                <w:rFonts w:hint="eastAsia" w:ascii="宋体" w:hAnsi="宋体"/>
                <w:color w:val="auto"/>
                <w:highlight w:val="none"/>
              </w:rPr>
            </w:pPr>
          </w:p>
        </w:tc>
      </w:tr>
      <w:tr w14:paraId="4003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73D2901">
            <w:pPr>
              <w:spacing w:line="380" w:lineRule="atLeast"/>
              <w:jc w:val="center"/>
              <w:rPr>
                <w:rFonts w:hint="eastAsia" w:ascii="宋体" w:hAnsi="宋体"/>
                <w:color w:val="auto"/>
                <w:highlight w:val="none"/>
              </w:rPr>
            </w:pPr>
          </w:p>
        </w:tc>
        <w:tc>
          <w:tcPr>
            <w:tcW w:w="765" w:type="dxa"/>
            <w:noWrap w:val="0"/>
            <w:vAlign w:val="top"/>
          </w:tcPr>
          <w:p w14:paraId="258EE26F">
            <w:pPr>
              <w:spacing w:line="380" w:lineRule="atLeast"/>
              <w:jc w:val="center"/>
              <w:rPr>
                <w:rFonts w:hint="eastAsia" w:ascii="宋体" w:hAnsi="宋体"/>
                <w:color w:val="auto"/>
                <w:highlight w:val="none"/>
              </w:rPr>
            </w:pPr>
          </w:p>
        </w:tc>
        <w:tc>
          <w:tcPr>
            <w:tcW w:w="656" w:type="dxa"/>
            <w:noWrap w:val="0"/>
            <w:vAlign w:val="top"/>
          </w:tcPr>
          <w:p w14:paraId="25C5D85B">
            <w:pPr>
              <w:spacing w:line="380" w:lineRule="atLeast"/>
              <w:jc w:val="center"/>
              <w:rPr>
                <w:rFonts w:hint="eastAsia" w:ascii="宋体" w:hAnsi="宋体"/>
                <w:color w:val="auto"/>
                <w:highlight w:val="none"/>
              </w:rPr>
            </w:pPr>
          </w:p>
        </w:tc>
        <w:tc>
          <w:tcPr>
            <w:tcW w:w="1099" w:type="dxa"/>
            <w:noWrap w:val="0"/>
            <w:vAlign w:val="top"/>
          </w:tcPr>
          <w:p w14:paraId="400F9F9B">
            <w:pPr>
              <w:spacing w:line="380" w:lineRule="atLeast"/>
              <w:jc w:val="center"/>
              <w:rPr>
                <w:rFonts w:hint="eastAsia" w:ascii="宋体" w:hAnsi="宋体"/>
                <w:color w:val="auto"/>
                <w:highlight w:val="none"/>
              </w:rPr>
            </w:pPr>
          </w:p>
        </w:tc>
        <w:tc>
          <w:tcPr>
            <w:tcW w:w="746" w:type="dxa"/>
            <w:noWrap w:val="0"/>
            <w:vAlign w:val="top"/>
          </w:tcPr>
          <w:p w14:paraId="103BB31D">
            <w:pPr>
              <w:spacing w:line="380" w:lineRule="atLeast"/>
              <w:jc w:val="center"/>
              <w:rPr>
                <w:rFonts w:hint="eastAsia" w:ascii="宋体" w:hAnsi="宋体"/>
                <w:color w:val="auto"/>
                <w:highlight w:val="none"/>
              </w:rPr>
            </w:pPr>
          </w:p>
        </w:tc>
        <w:tc>
          <w:tcPr>
            <w:tcW w:w="1335" w:type="dxa"/>
            <w:noWrap w:val="0"/>
            <w:vAlign w:val="top"/>
          </w:tcPr>
          <w:p w14:paraId="387D8595">
            <w:pPr>
              <w:spacing w:line="380" w:lineRule="atLeast"/>
              <w:jc w:val="center"/>
              <w:rPr>
                <w:rFonts w:hint="eastAsia" w:ascii="宋体" w:hAnsi="宋体"/>
                <w:color w:val="auto"/>
                <w:highlight w:val="none"/>
              </w:rPr>
            </w:pPr>
          </w:p>
        </w:tc>
        <w:tc>
          <w:tcPr>
            <w:tcW w:w="2286" w:type="dxa"/>
            <w:noWrap w:val="0"/>
            <w:vAlign w:val="top"/>
          </w:tcPr>
          <w:p w14:paraId="1F0EDBAD">
            <w:pPr>
              <w:spacing w:line="380" w:lineRule="atLeast"/>
              <w:jc w:val="center"/>
              <w:rPr>
                <w:rFonts w:hint="eastAsia" w:ascii="宋体" w:hAnsi="宋体"/>
                <w:color w:val="auto"/>
                <w:highlight w:val="none"/>
              </w:rPr>
            </w:pPr>
          </w:p>
        </w:tc>
        <w:tc>
          <w:tcPr>
            <w:tcW w:w="803" w:type="dxa"/>
            <w:noWrap w:val="0"/>
            <w:vAlign w:val="top"/>
          </w:tcPr>
          <w:p w14:paraId="7D667655">
            <w:pPr>
              <w:spacing w:line="380" w:lineRule="atLeast"/>
              <w:jc w:val="center"/>
              <w:rPr>
                <w:rFonts w:hint="eastAsia" w:ascii="宋体" w:hAnsi="宋体"/>
                <w:color w:val="auto"/>
                <w:highlight w:val="none"/>
              </w:rPr>
            </w:pPr>
          </w:p>
        </w:tc>
      </w:tr>
      <w:tr w14:paraId="56C5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64767F8">
            <w:pPr>
              <w:spacing w:line="380" w:lineRule="atLeast"/>
              <w:jc w:val="center"/>
              <w:rPr>
                <w:rFonts w:hint="eastAsia" w:ascii="宋体" w:hAnsi="宋体"/>
                <w:color w:val="auto"/>
                <w:highlight w:val="none"/>
              </w:rPr>
            </w:pPr>
          </w:p>
        </w:tc>
        <w:tc>
          <w:tcPr>
            <w:tcW w:w="765" w:type="dxa"/>
            <w:noWrap w:val="0"/>
            <w:vAlign w:val="top"/>
          </w:tcPr>
          <w:p w14:paraId="15E846A1">
            <w:pPr>
              <w:spacing w:line="380" w:lineRule="atLeast"/>
              <w:jc w:val="center"/>
              <w:rPr>
                <w:rFonts w:hint="eastAsia" w:ascii="宋体" w:hAnsi="宋体"/>
                <w:color w:val="auto"/>
                <w:highlight w:val="none"/>
              </w:rPr>
            </w:pPr>
          </w:p>
        </w:tc>
        <w:tc>
          <w:tcPr>
            <w:tcW w:w="656" w:type="dxa"/>
            <w:noWrap w:val="0"/>
            <w:vAlign w:val="top"/>
          </w:tcPr>
          <w:p w14:paraId="78632D12">
            <w:pPr>
              <w:spacing w:line="380" w:lineRule="atLeast"/>
              <w:jc w:val="center"/>
              <w:rPr>
                <w:rFonts w:hint="eastAsia" w:ascii="宋体" w:hAnsi="宋体"/>
                <w:color w:val="auto"/>
                <w:highlight w:val="none"/>
              </w:rPr>
            </w:pPr>
          </w:p>
        </w:tc>
        <w:tc>
          <w:tcPr>
            <w:tcW w:w="1099" w:type="dxa"/>
            <w:noWrap w:val="0"/>
            <w:vAlign w:val="top"/>
          </w:tcPr>
          <w:p w14:paraId="0FFFE99B">
            <w:pPr>
              <w:spacing w:line="380" w:lineRule="atLeast"/>
              <w:jc w:val="center"/>
              <w:rPr>
                <w:rFonts w:hint="eastAsia" w:ascii="宋体" w:hAnsi="宋体"/>
                <w:color w:val="auto"/>
                <w:highlight w:val="none"/>
              </w:rPr>
            </w:pPr>
          </w:p>
        </w:tc>
        <w:tc>
          <w:tcPr>
            <w:tcW w:w="746" w:type="dxa"/>
            <w:noWrap w:val="0"/>
            <w:vAlign w:val="top"/>
          </w:tcPr>
          <w:p w14:paraId="555A4047">
            <w:pPr>
              <w:spacing w:line="380" w:lineRule="atLeast"/>
              <w:jc w:val="center"/>
              <w:rPr>
                <w:rFonts w:hint="eastAsia" w:ascii="宋体" w:hAnsi="宋体"/>
                <w:color w:val="auto"/>
                <w:highlight w:val="none"/>
              </w:rPr>
            </w:pPr>
          </w:p>
        </w:tc>
        <w:tc>
          <w:tcPr>
            <w:tcW w:w="1335" w:type="dxa"/>
            <w:noWrap w:val="0"/>
            <w:vAlign w:val="top"/>
          </w:tcPr>
          <w:p w14:paraId="7D8368A7">
            <w:pPr>
              <w:spacing w:line="380" w:lineRule="atLeast"/>
              <w:jc w:val="center"/>
              <w:rPr>
                <w:rFonts w:hint="eastAsia" w:ascii="宋体" w:hAnsi="宋体"/>
                <w:color w:val="auto"/>
                <w:highlight w:val="none"/>
              </w:rPr>
            </w:pPr>
          </w:p>
        </w:tc>
        <w:tc>
          <w:tcPr>
            <w:tcW w:w="2286" w:type="dxa"/>
            <w:noWrap w:val="0"/>
            <w:vAlign w:val="top"/>
          </w:tcPr>
          <w:p w14:paraId="284F75D8">
            <w:pPr>
              <w:spacing w:line="380" w:lineRule="atLeast"/>
              <w:jc w:val="center"/>
              <w:rPr>
                <w:rFonts w:hint="eastAsia" w:ascii="宋体" w:hAnsi="宋体"/>
                <w:color w:val="auto"/>
                <w:highlight w:val="none"/>
              </w:rPr>
            </w:pPr>
          </w:p>
        </w:tc>
        <w:tc>
          <w:tcPr>
            <w:tcW w:w="803" w:type="dxa"/>
            <w:noWrap w:val="0"/>
            <w:vAlign w:val="top"/>
          </w:tcPr>
          <w:p w14:paraId="03FB9044">
            <w:pPr>
              <w:spacing w:line="380" w:lineRule="atLeast"/>
              <w:jc w:val="center"/>
              <w:rPr>
                <w:rFonts w:hint="eastAsia" w:ascii="宋体" w:hAnsi="宋体"/>
                <w:color w:val="auto"/>
                <w:highlight w:val="none"/>
              </w:rPr>
            </w:pPr>
          </w:p>
        </w:tc>
      </w:tr>
      <w:tr w14:paraId="504D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1E2113E3">
            <w:pPr>
              <w:spacing w:line="380" w:lineRule="atLeast"/>
              <w:jc w:val="center"/>
              <w:rPr>
                <w:rFonts w:hint="eastAsia" w:ascii="宋体" w:hAnsi="宋体"/>
                <w:color w:val="auto"/>
                <w:highlight w:val="none"/>
              </w:rPr>
            </w:pPr>
          </w:p>
        </w:tc>
        <w:tc>
          <w:tcPr>
            <w:tcW w:w="765" w:type="dxa"/>
            <w:noWrap w:val="0"/>
            <w:vAlign w:val="top"/>
          </w:tcPr>
          <w:p w14:paraId="5D55AEB9">
            <w:pPr>
              <w:spacing w:line="380" w:lineRule="atLeast"/>
              <w:jc w:val="center"/>
              <w:rPr>
                <w:rFonts w:hint="eastAsia" w:ascii="宋体" w:hAnsi="宋体"/>
                <w:color w:val="auto"/>
                <w:highlight w:val="none"/>
              </w:rPr>
            </w:pPr>
          </w:p>
        </w:tc>
        <w:tc>
          <w:tcPr>
            <w:tcW w:w="656" w:type="dxa"/>
            <w:noWrap w:val="0"/>
            <w:vAlign w:val="top"/>
          </w:tcPr>
          <w:p w14:paraId="2CFCBD4F">
            <w:pPr>
              <w:spacing w:line="380" w:lineRule="atLeast"/>
              <w:jc w:val="center"/>
              <w:rPr>
                <w:rFonts w:hint="eastAsia" w:ascii="宋体" w:hAnsi="宋体"/>
                <w:color w:val="auto"/>
                <w:highlight w:val="none"/>
              </w:rPr>
            </w:pPr>
          </w:p>
        </w:tc>
        <w:tc>
          <w:tcPr>
            <w:tcW w:w="1099" w:type="dxa"/>
            <w:noWrap w:val="0"/>
            <w:vAlign w:val="top"/>
          </w:tcPr>
          <w:p w14:paraId="62B80C5E">
            <w:pPr>
              <w:spacing w:line="380" w:lineRule="atLeast"/>
              <w:jc w:val="center"/>
              <w:rPr>
                <w:rFonts w:hint="eastAsia" w:ascii="宋体" w:hAnsi="宋体"/>
                <w:color w:val="auto"/>
                <w:highlight w:val="none"/>
              </w:rPr>
            </w:pPr>
          </w:p>
        </w:tc>
        <w:tc>
          <w:tcPr>
            <w:tcW w:w="746" w:type="dxa"/>
            <w:noWrap w:val="0"/>
            <w:vAlign w:val="top"/>
          </w:tcPr>
          <w:p w14:paraId="22228C96">
            <w:pPr>
              <w:spacing w:line="380" w:lineRule="atLeast"/>
              <w:jc w:val="center"/>
              <w:rPr>
                <w:rFonts w:hint="eastAsia" w:ascii="宋体" w:hAnsi="宋体"/>
                <w:color w:val="auto"/>
                <w:highlight w:val="none"/>
              </w:rPr>
            </w:pPr>
          </w:p>
        </w:tc>
        <w:tc>
          <w:tcPr>
            <w:tcW w:w="1335" w:type="dxa"/>
            <w:noWrap w:val="0"/>
            <w:vAlign w:val="top"/>
          </w:tcPr>
          <w:p w14:paraId="32822A67">
            <w:pPr>
              <w:spacing w:line="380" w:lineRule="atLeast"/>
              <w:jc w:val="center"/>
              <w:rPr>
                <w:rFonts w:hint="eastAsia" w:ascii="宋体" w:hAnsi="宋体"/>
                <w:color w:val="auto"/>
                <w:highlight w:val="none"/>
              </w:rPr>
            </w:pPr>
          </w:p>
        </w:tc>
        <w:tc>
          <w:tcPr>
            <w:tcW w:w="2286" w:type="dxa"/>
            <w:noWrap w:val="0"/>
            <w:vAlign w:val="top"/>
          </w:tcPr>
          <w:p w14:paraId="20FE2748">
            <w:pPr>
              <w:spacing w:line="380" w:lineRule="atLeast"/>
              <w:jc w:val="center"/>
              <w:rPr>
                <w:rFonts w:hint="eastAsia" w:ascii="宋体" w:hAnsi="宋体"/>
                <w:color w:val="auto"/>
                <w:highlight w:val="none"/>
              </w:rPr>
            </w:pPr>
          </w:p>
        </w:tc>
        <w:tc>
          <w:tcPr>
            <w:tcW w:w="803" w:type="dxa"/>
            <w:noWrap w:val="0"/>
            <w:vAlign w:val="top"/>
          </w:tcPr>
          <w:p w14:paraId="20A83B65">
            <w:pPr>
              <w:spacing w:line="380" w:lineRule="atLeast"/>
              <w:jc w:val="center"/>
              <w:rPr>
                <w:rFonts w:hint="eastAsia" w:ascii="宋体" w:hAnsi="宋体"/>
                <w:color w:val="auto"/>
                <w:highlight w:val="none"/>
              </w:rPr>
            </w:pPr>
          </w:p>
        </w:tc>
      </w:tr>
      <w:tr w14:paraId="12A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567D0115">
            <w:pPr>
              <w:spacing w:line="380" w:lineRule="atLeast"/>
              <w:jc w:val="center"/>
              <w:rPr>
                <w:rFonts w:hint="eastAsia" w:ascii="宋体" w:hAnsi="宋体"/>
                <w:color w:val="auto"/>
                <w:highlight w:val="none"/>
              </w:rPr>
            </w:pPr>
          </w:p>
        </w:tc>
        <w:tc>
          <w:tcPr>
            <w:tcW w:w="765" w:type="dxa"/>
            <w:noWrap w:val="0"/>
            <w:vAlign w:val="top"/>
          </w:tcPr>
          <w:p w14:paraId="0C329722">
            <w:pPr>
              <w:spacing w:line="380" w:lineRule="atLeast"/>
              <w:jc w:val="center"/>
              <w:rPr>
                <w:rFonts w:hint="eastAsia" w:ascii="宋体" w:hAnsi="宋体"/>
                <w:color w:val="auto"/>
                <w:highlight w:val="none"/>
              </w:rPr>
            </w:pPr>
          </w:p>
        </w:tc>
        <w:tc>
          <w:tcPr>
            <w:tcW w:w="656" w:type="dxa"/>
            <w:noWrap w:val="0"/>
            <w:vAlign w:val="top"/>
          </w:tcPr>
          <w:p w14:paraId="5141BE78">
            <w:pPr>
              <w:spacing w:line="380" w:lineRule="atLeast"/>
              <w:jc w:val="center"/>
              <w:rPr>
                <w:rFonts w:hint="eastAsia" w:ascii="宋体" w:hAnsi="宋体"/>
                <w:color w:val="auto"/>
                <w:highlight w:val="none"/>
              </w:rPr>
            </w:pPr>
          </w:p>
        </w:tc>
        <w:tc>
          <w:tcPr>
            <w:tcW w:w="1099" w:type="dxa"/>
            <w:noWrap w:val="0"/>
            <w:vAlign w:val="top"/>
          </w:tcPr>
          <w:p w14:paraId="432382A0">
            <w:pPr>
              <w:spacing w:line="380" w:lineRule="atLeast"/>
              <w:jc w:val="center"/>
              <w:rPr>
                <w:rFonts w:hint="eastAsia" w:ascii="宋体" w:hAnsi="宋体"/>
                <w:color w:val="auto"/>
                <w:highlight w:val="none"/>
              </w:rPr>
            </w:pPr>
          </w:p>
        </w:tc>
        <w:tc>
          <w:tcPr>
            <w:tcW w:w="746" w:type="dxa"/>
            <w:noWrap w:val="0"/>
            <w:vAlign w:val="top"/>
          </w:tcPr>
          <w:p w14:paraId="15E978DE">
            <w:pPr>
              <w:spacing w:line="380" w:lineRule="atLeast"/>
              <w:jc w:val="center"/>
              <w:rPr>
                <w:rFonts w:hint="eastAsia" w:ascii="宋体" w:hAnsi="宋体"/>
                <w:color w:val="auto"/>
                <w:highlight w:val="none"/>
              </w:rPr>
            </w:pPr>
          </w:p>
        </w:tc>
        <w:tc>
          <w:tcPr>
            <w:tcW w:w="1335" w:type="dxa"/>
            <w:noWrap w:val="0"/>
            <w:vAlign w:val="top"/>
          </w:tcPr>
          <w:p w14:paraId="2FC79882">
            <w:pPr>
              <w:spacing w:line="380" w:lineRule="atLeast"/>
              <w:jc w:val="center"/>
              <w:rPr>
                <w:rFonts w:hint="eastAsia" w:ascii="宋体" w:hAnsi="宋体"/>
                <w:color w:val="auto"/>
                <w:highlight w:val="none"/>
              </w:rPr>
            </w:pPr>
          </w:p>
        </w:tc>
        <w:tc>
          <w:tcPr>
            <w:tcW w:w="2286" w:type="dxa"/>
            <w:noWrap w:val="0"/>
            <w:vAlign w:val="top"/>
          </w:tcPr>
          <w:p w14:paraId="6681F17A">
            <w:pPr>
              <w:spacing w:line="380" w:lineRule="atLeast"/>
              <w:jc w:val="center"/>
              <w:rPr>
                <w:rFonts w:hint="eastAsia" w:ascii="宋体" w:hAnsi="宋体"/>
                <w:color w:val="auto"/>
                <w:highlight w:val="none"/>
              </w:rPr>
            </w:pPr>
          </w:p>
        </w:tc>
        <w:tc>
          <w:tcPr>
            <w:tcW w:w="803" w:type="dxa"/>
            <w:noWrap w:val="0"/>
            <w:vAlign w:val="top"/>
          </w:tcPr>
          <w:p w14:paraId="12AD3000">
            <w:pPr>
              <w:spacing w:line="380" w:lineRule="atLeast"/>
              <w:jc w:val="center"/>
              <w:rPr>
                <w:rFonts w:hint="eastAsia" w:ascii="宋体" w:hAnsi="宋体"/>
                <w:color w:val="auto"/>
                <w:highlight w:val="none"/>
              </w:rPr>
            </w:pPr>
          </w:p>
        </w:tc>
      </w:tr>
      <w:tr w14:paraId="05F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746620A2">
            <w:pPr>
              <w:spacing w:line="380" w:lineRule="atLeast"/>
              <w:jc w:val="center"/>
              <w:rPr>
                <w:rFonts w:hint="eastAsia" w:ascii="宋体" w:hAnsi="宋体"/>
                <w:color w:val="auto"/>
                <w:highlight w:val="none"/>
              </w:rPr>
            </w:pPr>
          </w:p>
        </w:tc>
        <w:tc>
          <w:tcPr>
            <w:tcW w:w="765" w:type="dxa"/>
            <w:noWrap w:val="0"/>
            <w:vAlign w:val="top"/>
          </w:tcPr>
          <w:p w14:paraId="74843766">
            <w:pPr>
              <w:spacing w:line="380" w:lineRule="atLeast"/>
              <w:jc w:val="center"/>
              <w:rPr>
                <w:rFonts w:hint="eastAsia" w:ascii="宋体" w:hAnsi="宋体"/>
                <w:color w:val="auto"/>
                <w:highlight w:val="none"/>
              </w:rPr>
            </w:pPr>
          </w:p>
        </w:tc>
        <w:tc>
          <w:tcPr>
            <w:tcW w:w="656" w:type="dxa"/>
            <w:noWrap w:val="0"/>
            <w:vAlign w:val="top"/>
          </w:tcPr>
          <w:p w14:paraId="50725B3D">
            <w:pPr>
              <w:spacing w:line="380" w:lineRule="atLeast"/>
              <w:jc w:val="center"/>
              <w:rPr>
                <w:rFonts w:hint="eastAsia" w:ascii="宋体" w:hAnsi="宋体"/>
                <w:color w:val="auto"/>
                <w:highlight w:val="none"/>
              </w:rPr>
            </w:pPr>
          </w:p>
        </w:tc>
        <w:tc>
          <w:tcPr>
            <w:tcW w:w="1099" w:type="dxa"/>
            <w:noWrap w:val="0"/>
            <w:vAlign w:val="top"/>
          </w:tcPr>
          <w:p w14:paraId="34ABB533">
            <w:pPr>
              <w:spacing w:line="380" w:lineRule="atLeast"/>
              <w:jc w:val="center"/>
              <w:rPr>
                <w:rFonts w:hint="eastAsia" w:ascii="宋体" w:hAnsi="宋体"/>
                <w:color w:val="auto"/>
                <w:highlight w:val="none"/>
              </w:rPr>
            </w:pPr>
          </w:p>
        </w:tc>
        <w:tc>
          <w:tcPr>
            <w:tcW w:w="746" w:type="dxa"/>
            <w:noWrap w:val="0"/>
            <w:vAlign w:val="top"/>
          </w:tcPr>
          <w:p w14:paraId="77C99EC4">
            <w:pPr>
              <w:spacing w:line="380" w:lineRule="atLeast"/>
              <w:jc w:val="center"/>
              <w:rPr>
                <w:rFonts w:hint="eastAsia" w:ascii="宋体" w:hAnsi="宋体"/>
                <w:color w:val="auto"/>
                <w:highlight w:val="none"/>
              </w:rPr>
            </w:pPr>
          </w:p>
        </w:tc>
        <w:tc>
          <w:tcPr>
            <w:tcW w:w="1335" w:type="dxa"/>
            <w:noWrap w:val="0"/>
            <w:vAlign w:val="top"/>
          </w:tcPr>
          <w:p w14:paraId="54338C94">
            <w:pPr>
              <w:spacing w:line="380" w:lineRule="atLeast"/>
              <w:jc w:val="center"/>
              <w:rPr>
                <w:rFonts w:hint="eastAsia" w:ascii="宋体" w:hAnsi="宋体"/>
                <w:color w:val="auto"/>
                <w:highlight w:val="none"/>
              </w:rPr>
            </w:pPr>
          </w:p>
        </w:tc>
        <w:tc>
          <w:tcPr>
            <w:tcW w:w="2286" w:type="dxa"/>
            <w:noWrap w:val="0"/>
            <w:vAlign w:val="top"/>
          </w:tcPr>
          <w:p w14:paraId="00E8C9AC">
            <w:pPr>
              <w:spacing w:line="380" w:lineRule="atLeast"/>
              <w:jc w:val="center"/>
              <w:rPr>
                <w:rFonts w:hint="eastAsia" w:ascii="宋体" w:hAnsi="宋体"/>
                <w:color w:val="auto"/>
                <w:highlight w:val="none"/>
              </w:rPr>
            </w:pPr>
          </w:p>
        </w:tc>
        <w:tc>
          <w:tcPr>
            <w:tcW w:w="803" w:type="dxa"/>
            <w:noWrap w:val="0"/>
            <w:vAlign w:val="top"/>
          </w:tcPr>
          <w:p w14:paraId="2C62EE78">
            <w:pPr>
              <w:spacing w:line="380" w:lineRule="atLeast"/>
              <w:jc w:val="center"/>
              <w:rPr>
                <w:rFonts w:hint="eastAsia" w:ascii="宋体" w:hAnsi="宋体"/>
                <w:color w:val="auto"/>
                <w:highlight w:val="none"/>
              </w:rPr>
            </w:pPr>
          </w:p>
        </w:tc>
      </w:tr>
      <w:tr w14:paraId="162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5DEE70C6">
            <w:pPr>
              <w:spacing w:line="380" w:lineRule="atLeast"/>
              <w:jc w:val="center"/>
              <w:rPr>
                <w:rFonts w:hint="eastAsia" w:ascii="宋体" w:hAnsi="宋体"/>
                <w:color w:val="auto"/>
                <w:highlight w:val="none"/>
              </w:rPr>
            </w:pPr>
          </w:p>
        </w:tc>
        <w:tc>
          <w:tcPr>
            <w:tcW w:w="765" w:type="dxa"/>
            <w:noWrap w:val="0"/>
            <w:vAlign w:val="top"/>
          </w:tcPr>
          <w:p w14:paraId="7653A26E">
            <w:pPr>
              <w:spacing w:line="380" w:lineRule="atLeast"/>
              <w:jc w:val="center"/>
              <w:rPr>
                <w:rFonts w:hint="eastAsia" w:ascii="宋体" w:hAnsi="宋体"/>
                <w:color w:val="auto"/>
                <w:highlight w:val="none"/>
              </w:rPr>
            </w:pPr>
          </w:p>
        </w:tc>
        <w:tc>
          <w:tcPr>
            <w:tcW w:w="656" w:type="dxa"/>
            <w:noWrap w:val="0"/>
            <w:vAlign w:val="top"/>
          </w:tcPr>
          <w:p w14:paraId="32DBB0D7">
            <w:pPr>
              <w:spacing w:line="380" w:lineRule="atLeast"/>
              <w:jc w:val="center"/>
              <w:rPr>
                <w:rFonts w:hint="eastAsia" w:ascii="宋体" w:hAnsi="宋体"/>
                <w:color w:val="auto"/>
                <w:highlight w:val="none"/>
              </w:rPr>
            </w:pPr>
          </w:p>
        </w:tc>
        <w:tc>
          <w:tcPr>
            <w:tcW w:w="1099" w:type="dxa"/>
            <w:noWrap w:val="0"/>
            <w:vAlign w:val="top"/>
          </w:tcPr>
          <w:p w14:paraId="795A3703">
            <w:pPr>
              <w:spacing w:line="380" w:lineRule="atLeast"/>
              <w:jc w:val="center"/>
              <w:rPr>
                <w:rFonts w:hint="eastAsia" w:ascii="宋体" w:hAnsi="宋体"/>
                <w:color w:val="auto"/>
                <w:highlight w:val="none"/>
              </w:rPr>
            </w:pPr>
          </w:p>
        </w:tc>
        <w:tc>
          <w:tcPr>
            <w:tcW w:w="746" w:type="dxa"/>
            <w:noWrap w:val="0"/>
            <w:vAlign w:val="top"/>
          </w:tcPr>
          <w:p w14:paraId="18C76A30">
            <w:pPr>
              <w:spacing w:line="380" w:lineRule="atLeast"/>
              <w:jc w:val="center"/>
              <w:rPr>
                <w:rFonts w:hint="eastAsia" w:ascii="宋体" w:hAnsi="宋体"/>
                <w:color w:val="auto"/>
                <w:highlight w:val="none"/>
              </w:rPr>
            </w:pPr>
          </w:p>
        </w:tc>
        <w:tc>
          <w:tcPr>
            <w:tcW w:w="1335" w:type="dxa"/>
            <w:noWrap w:val="0"/>
            <w:vAlign w:val="top"/>
          </w:tcPr>
          <w:p w14:paraId="1A0D3B56">
            <w:pPr>
              <w:spacing w:line="380" w:lineRule="atLeast"/>
              <w:jc w:val="center"/>
              <w:rPr>
                <w:rFonts w:hint="eastAsia" w:ascii="宋体" w:hAnsi="宋体"/>
                <w:color w:val="auto"/>
                <w:highlight w:val="none"/>
              </w:rPr>
            </w:pPr>
          </w:p>
        </w:tc>
        <w:tc>
          <w:tcPr>
            <w:tcW w:w="2286" w:type="dxa"/>
            <w:noWrap w:val="0"/>
            <w:vAlign w:val="top"/>
          </w:tcPr>
          <w:p w14:paraId="13560889">
            <w:pPr>
              <w:spacing w:line="380" w:lineRule="atLeast"/>
              <w:jc w:val="center"/>
              <w:rPr>
                <w:rFonts w:hint="eastAsia" w:ascii="宋体" w:hAnsi="宋体"/>
                <w:color w:val="auto"/>
                <w:highlight w:val="none"/>
              </w:rPr>
            </w:pPr>
          </w:p>
        </w:tc>
        <w:tc>
          <w:tcPr>
            <w:tcW w:w="803" w:type="dxa"/>
            <w:noWrap w:val="0"/>
            <w:vAlign w:val="top"/>
          </w:tcPr>
          <w:p w14:paraId="00A29EE9">
            <w:pPr>
              <w:spacing w:line="380" w:lineRule="atLeast"/>
              <w:jc w:val="center"/>
              <w:rPr>
                <w:rFonts w:hint="eastAsia" w:ascii="宋体" w:hAnsi="宋体"/>
                <w:color w:val="auto"/>
                <w:highlight w:val="none"/>
              </w:rPr>
            </w:pPr>
          </w:p>
        </w:tc>
      </w:tr>
      <w:tr w14:paraId="5FF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6A4B1238">
            <w:pPr>
              <w:spacing w:line="380" w:lineRule="atLeast"/>
              <w:jc w:val="center"/>
              <w:rPr>
                <w:rFonts w:hint="eastAsia" w:ascii="宋体" w:hAnsi="宋体"/>
                <w:color w:val="auto"/>
                <w:highlight w:val="none"/>
              </w:rPr>
            </w:pPr>
          </w:p>
        </w:tc>
        <w:tc>
          <w:tcPr>
            <w:tcW w:w="765" w:type="dxa"/>
            <w:noWrap w:val="0"/>
            <w:vAlign w:val="top"/>
          </w:tcPr>
          <w:p w14:paraId="3CBB1959">
            <w:pPr>
              <w:spacing w:line="380" w:lineRule="atLeast"/>
              <w:jc w:val="center"/>
              <w:rPr>
                <w:rFonts w:hint="eastAsia" w:ascii="宋体" w:hAnsi="宋体"/>
                <w:color w:val="auto"/>
                <w:highlight w:val="none"/>
              </w:rPr>
            </w:pPr>
          </w:p>
        </w:tc>
        <w:tc>
          <w:tcPr>
            <w:tcW w:w="656" w:type="dxa"/>
            <w:noWrap w:val="0"/>
            <w:vAlign w:val="top"/>
          </w:tcPr>
          <w:p w14:paraId="2E9CEF34">
            <w:pPr>
              <w:spacing w:line="380" w:lineRule="atLeast"/>
              <w:jc w:val="center"/>
              <w:rPr>
                <w:rFonts w:hint="eastAsia" w:ascii="宋体" w:hAnsi="宋体"/>
                <w:color w:val="auto"/>
                <w:highlight w:val="none"/>
              </w:rPr>
            </w:pPr>
          </w:p>
        </w:tc>
        <w:tc>
          <w:tcPr>
            <w:tcW w:w="1099" w:type="dxa"/>
            <w:noWrap w:val="0"/>
            <w:vAlign w:val="top"/>
          </w:tcPr>
          <w:p w14:paraId="1034244A">
            <w:pPr>
              <w:spacing w:line="380" w:lineRule="atLeast"/>
              <w:jc w:val="center"/>
              <w:rPr>
                <w:rFonts w:hint="eastAsia" w:ascii="宋体" w:hAnsi="宋体"/>
                <w:color w:val="auto"/>
                <w:highlight w:val="none"/>
              </w:rPr>
            </w:pPr>
          </w:p>
        </w:tc>
        <w:tc>
          <w:tcPr>
            <w:tcW w:w="746" w:type="dxa"/>
            <w:noWrap w:val="0"/>
            <w:vAlign w:val="top"/>
          </w:tcPr>
          <w:p w14:paraId="6842FC81">
            <w:pPr>
              <w:spacing w:line="380" w:lineRule="atLeast"/>
              <w:jc w:val="center"/>
              <w:rPr>
                <w:rFonts w:hint="eastAsia" w:ascii="宋体" w:hAnsi="宋体"/>
                <w:color w:val="auto"/>
                <w:highlight w:val="none"/>
              </w:rPr>
            </w:pPr>
          </w:p>
        </w:tc>
        <w:tc>
          <w:tcPr>
            <w:tcW w:w="1335" w:type="dxa"/>
            <w:noWrap w:val="0"/>
            <w:vAlign w:val="top"/>
          </w:tcPr>
          <w:p w14:paraId="10A826C1">
            <w:pPr>
              <w:spacing w:line="380" w:lineRule="atLeast"/>
              <w:jc w:val="center"/>
              <w:rPr>
                <w:rFonts w:hint="eastAsia" w:ascii="宋体" w:hAnsi="宋体"/>
                <w:color w:val="auto"/>
                <w:highlight w:val="none"/>
              </w:rPr>
            </w:pPr>
          </w:p>
        </w:tc>
        <w:tc>
          <w:tcPr>
            <w:tcW w:w="2286" w:type="dxa"/>
            <w:noWrap w:val="0"/>
            <w:vAlign w:val="top"/>
          </w:tcPr>
          <w:p w14:paraId="0DB5FD38">
            <w:pPr>
              <w:spacing w:line="380" w:lineRule="atLeast"/>
              <w:jc w:val="center"/>
              <w:rPr>
                <w:rFonts w:hint="eastAsia" w:ascii="宋体" w:hAnsi="宋体"/>
                <w:color w:val="auto"/>
                <w:highlight w:val="none"/>
              </w:rPr>
            </w:pPr>
          </w:p>
        </w:tc>
        <w:tc>
          <w:tcPr>
            <w:tcW w:w="803" w:type="dxa"/>
            <w:noWrap w:val="0"/>
            <w:vAlign w:val="top"/>
          </w:tcPr>
          <w:p w14:paraId="05E4996E">
            <w:pPr>
              <w:spacing w:line="380" w:lineRule="atLeast"/>
              <w:jc w:val="center"/>
              <w:rPr>
                <w:rFonts w:hint="eastAsia" w:ascii="宋体" w:hAnsi="宋体"/>
                <w:color w:val="auto"/>
                <w:highlight w:val="none"/>
              </w:rPr>
            </w:pPr>
          </w:p>
        </w:tc>
      </w:tr>
      <w:tr w14:paraId="430F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8" w:type="dxa"/>
            <w:noWrap w:val="0"/>
            <w:vAlign w:val="top"/>
          </w:tcPr>
          <w:p w14:paraId="43A22785">
            <w:pPr>
              <w:spacing w:line="380" w:lineRule="atLeast"/>
              <w:jc w:val="center"/>
              <w:rPr>
                <w:rFonts w:hint="eastAsia" w:ascii="宋体" w:hAnsi="宋体"/>
                <w:color w:val="auto"/>
                <w:highlight w:val="none"/>
              </w:rPr>
            </w:pPr>
          </w:p>
        </w:tc>
        <w:tc>
          <w:tcPr>
            <w:tcW w:w="765" w:type="dxa"/>
            <w:noWrap w:val="0"/>
            <w:vAlign w:val="top"/>
          </w:tcPr>
          <w:p w14:paraId="13ADD750">
            <w:pPr>
              <w:spacing w:line="380" w:lineRule="atLeast"/>
              <w:jc w:val="center"/>
              <w:rPr>
                <w:rFonts w:hint="eastAsia" w:ascii="宋体" w:hAnsi="宋体"/>
                <w:color w:val="auto"/>
                <w:highlight w:val="none"/>
              </w:rPr>
            </w:pPr>
          </w:p>
        </w:tc>
        <w:tc>
          <w:tcPr>
            <w:tcW w:w="656" w:type="dxa"/>
            <w:noWrap w:val="0"/>
            <w:vAlign w:val="top"/>
          </w:tcPr>
          <w:p w14:paraId="5FB4536C">
            <w:pPr>
              <w:spacing w:line="380" w:lineRule="atLeast"/>
              <w:jc w:val="center"/>
              <w:rPr>
                <w:rFonts w:hint="eastAsia" w:ascii="宋体" w:hAnsi="宋体"/>
                <w:color w:val="auto"/>
                <w:highlight w:val="none"/>
              </w:rPr>
            </w:pPr>
          </w:p>
        </w:tc>
        <w:tc>
          <w:tcPr>
            <w:tcW w:w="1099" w:type="dxa"/>
            <w:noWrap w:val="0"/>
            <w:vAlign w:val="top"/>
          </w:tcPr>
          <w:p w14:paraId="6BDF671D">
            <w:pPr>
              <w:spacing w:line="380" w:lineRule="atLeast"/>
              <w:jc w:val="center"/>
              <w:rPr>
                <w:rFonts w:hint="eastAsia" w:ascii="宋体" w:hAnsi="宋体"/>
                <w:color w:val="auto"/>
                <w:highlight w:val="none"/>
              </w:rPr>
            </w:pPr>
          </w:p>
        </w:tc>
        <w:tc>
          <w:tcPr>
            <w:tcW w:w="746" w:type="dxa"/>
            <w:noWrap w:val="0"/>
            <w:vAlign w:val="top"/>
          </w:tcPr>
          <w:p w14:paraId="2D5DB048">
            <w:pPr>
              <w:spacing w:line="380" w:lineRule="atLeast"/>
              <w:jc w:val="center"/>
              <w:rPr>
                <w:rFonts w:hint="eastAsia" w:ascii="宋体" w:hAnsi="宋体"/>
                <w:color w:val="auto"/>
                <w:highlight w:val="none"/>
              </w:rPr>
            </w:pPr>
          </w:p>
        </w:tc>
        <w:tc>
          <w:tcPr>
            <w:tcW w:w="1335" w:type="dxa"/>
            <w:noWrap w:val="0"/>
            <w:vAlign w:val="top"/>
          </w:tcPr>
          <w:p w14:paraId="739E6F90">
            <w:pPr>
              <w:spacing w:line="380" w:lineRule="atLeast"/>
              <w:jc w:val="center"/>
              <w:rPr>
                <w:rFonts w:hint="eastAsia" w:ascii="宋体" w:hAnsi="宋体"/>
                <w:color w:val="auto"/>
                <w:highlight w:val="none"/>
              </w:rPr>
            </w:pPr>
          </w:p>
        </w:tc>
        <w:tc>
          <w:tcPr>
            <w:tcW w:w="2286" w:type="dxa"/>
            <w:noWrap w:val="0"/>
            <w:vAlign w:val="top"/>
          </w:tcPr>
          <w:p w14:paraId="15AF2D26">
            <w:pPr>
              <w:spacing w:line="380" w:lineRule="atLeast"/>
              <w:jc w:val="center"/>
              <w:rPr>
                <w:rFonts w:hint="eastAsia" w:ascii="宋体" w:hAnsi="宋体"/>
                <w:color w:val="auto"/>
                <w:highlight w:val="none"/>
              </w:rPr>
            </w:pPr>
          </w:p>
        </w:tc>
        <w:tc>
          <w:tcPr>
            <w:tcW w:w="803" w:type="dxa"/>
            <w:noWrap w:val="0"/>
            <w:vAlign w:val="top"/>
          </w:tcPr>
          <w:p w14:paraId="06AFCC0A">
            <w:pPr>
              <w:spacing w:line="380" w:lineRule="atLeast"/>
              <w:jc w:val="center"/>
              <w:rPr>
                <w:rFonts w:hint="eastAsia" w:ascii="宋体" w:hAnsi="宋体"/>
                <w:color w:val="auto"/>
                <w:highlight w:val="none"/>
              </w:rPr>
            </w:pPr>
          </w:p>
        </w:tc>
      </w:tr>
    </w:tbl>
    <w:p w14:paraId="665A87F1">
      <w:pPr>
        <w:spacing w:line="440" w:lineRule="exact"/>
        <w:ind w:left="210" w:leftChars="100"/>
        <w:jc w:val="center"/>
        <w:rPr>
          <w:rFonts w:hint="eastAsia" w:ascii="宋体" w:hAnsi="宋体"/>
          <w:color w:val="auto"/>
          <w:sz w:val="20"/>
          <w:highlight w:val="none"/>
        </w:rPr>
      </w:pPr>
    </w:p>
    <w:p w14:paraId="5F7175D9">
      <w:pPr>
        <w:topLinePunct/>
        <w:spacing w:line="440" w:lineRule="exact"/>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2"/>
          <w:szCs w:val="22"/>
          <w:highlight w:val="none"/>
        </w:rPr>
        <w:t>（二）主要人员简历表</w:t>
      </w:r>
    </w:p>
    <w:p w14:paraId="5EBDC5E6">
      <w:pPr>
        <w:topLinePunct/>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p>
    <w:tbl>
      <w:tblPr>
        <w:tblStyle w:val="4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40"/>
        <w:gridCol w:w="975"/>
        <w:gridCol w:w="945"/>
        <w:gridCol w:w="1035"/>
        <w:gridCol w:w="615"/>
        <w:gridCol w:w="1260"/>
        <w:gridCol w:w="180"/>
        <w:gridCol w:w="1732"/>
      </w:tblGrid>
      <w:tr w14:paraId="21E4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6C51B8F3">
            <w:pPr>
              <w:spacing w:line="44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1215" w:type="dxa"/>
            <w:gridSpan w:val="2"/>
            <w:noWrap w:val="0"/>
            <w:vAlign w:val="center"/>
          </w:tcPr>
          <w:p w14:paraId="37503E40">
            <w:pPr>
              <w:spacing w:line="440" w:lineRule="exact"/>
              <w:jc w:val="center"/>
              <w:rPr>
                <w:rFonts w:hint="eastAsia" w:ascii="宋体" w:hAnsi="宋体"/>
                <w:color w:val="auto"/>
                <w:szCs w:val="21"/>
                <w:highlight w:val="none"/>
              </w:rPr>
            </w:pPr>
          </w:p>
        </w:tc>
        <w:tc>
          <w:tcPr>
            <w:tcW w:w="945" w:type="dxa"/>
            <w:noWrap w:val="0"/>
            <w:vAlign w:val="center"/>
          </w:tcPr>
          <w:p w14:paraId="5DAF7A4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年 龄</w:t>
            </w:r>
          </w:p>
        </w:tc>
        <w:tc>
          <w:tcPr>
            <w:tcW w:w="1035" w:type="dxa"/>
            <w:noWrap w:val="0"/>
            <w:vAlign w:val="center"/>
          </w:tcPr>
          <w:p w14:paraId="1D5788A0">
            <w:pPr>
              <w:spacing w:line="440" w:lineRule="exact"/>
              <w:jc w:val="center"/>
              <w:rPr>
                <w:rFonts w:hint="eastAsia" w:ascii="宋体" w:hAnsi="宋体"/>
                <w:color w:val="auto"/>
                <w:szCs w:val="21"/>
                <w:highlight w:val="none"/>
              </w:rPr>
            </w:pPr>
          </w:p>
        </w:tc>
        <w:tc>
          <w:tcPr>
            <w:tcW w:w="2055" w:type="dxa"/>
            <w:gridSpan w:val="3"/>
            <w:noWrap w:val="0"/>
            <w:vAlign w:val="center"/>
          </w:tcPr>
          <w:p w14:paraId="5F497395">
            <w:pPr>
              <w:spacing w:line="440" w:lineRule="exact"/>
              <w:jc w:val="center"/>
              <w:rPr>
                <w:rFonts w:hint="eastAsia" w:ascii="宋体" w:hAnsi="宋体"/>
                <w:color w:val="auto"/>
                <w:szCs w:val="21"/>
                <w:highlight w:val="none"/>
              </w:rPr>
            </w:pPr>
            <w:r>
              <w:rPr>
                <w:rFonts w:hint="eastAsia" w:ascii="宋体" w:hAnsi="宋体"/>
                <w:color w:val="auto"/>
                <w:szCs w:val="21"/>
                <w:highlight w:val="none"/>
              </w:rPr>
              <w:t>学历</w:t>
            </w:r>
          </w:p>
        </w:tc>
        <w:tc>
          <w:tcPr>
            <w:tcW w:w="1732" w:type="dxa"/>
            <w:noWrap w:val="0"/>
            <w:vAlign w:val="center"/>
          </w:tcPr>
          <w:p w14:paraId="729DB2FE">
            <w:pPr>
              <w:spacing w:line="440" w:lineRule="exact"/>
              <w:jc w:val="center"/>
              <w:rPr>
                <w:rFonts w:hint="eastAsia" w:ascii="宋体" w:hAnsi="宋体"/>
                <w:color w:val="auto"/>
                <w:szCs w:val="21"/>
                <w:highlight w:val="none"/>
              </w:rPr>
            </w:pPr>
          </w:p>
        </w:tc>
      </w:tr>
      <w:tr w14:paraId="7E5B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0CFC44C1">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执业资格</w:t>
            </w:r>
          </w:p>
        </w:tc>
        <w:tc>
          <w:tcPr>
            <w:tcW w:w="3195" w:type="dxa"/>
            <w:gridSpan w:val="4"/>
            <w:noWrap w:val="0"/>
            <w:vAlign w:val="center"/>
          </w:tcPr>
          <w:p w14:paraId="1AB0A853">
            <w:pPr>
              <w:spacing w:line="440" w:lineRule="exact"/>
              <w:jc w:val="center"/>
              <w:rPr>
                <w:rFonts w:hint="eastAsia" w:ascii="宋体" w:hAnsi="宋体"/>
                <w:color w:val="auto"/>
                <w:szCs w:val="21"/>
                <w:highlight w:val="none"/>
              </w:rPr>
            </w:pPr>
          </w:p>
        </w:tc>
        <w:tc>
          <w:tcPr>
            <w:tcW w:w="2055" w:type="dxa"/>
            <w:gridSpan w:val="3"/>
            <w:noWrap w:val="0"/>
            <w:vAlign w:val="center"/>
          </w:tcPr>
          <w:p w14:paraId="1BFAC956">
            <w:pPr>
              <w:spacing w:line="440" w:lineRule="exact"/>
              <w:jc w:val="center"/>
              <w:rPr>
                <w:rFonts w:hint="eastAsia" w:ascii="宋体" w:hAnsi="宋体"/>
                <w:color w:val="auto"/>
                <w:szCs w:val="21"/>
                <w:highlight w:val="none"/>
              </w:rPr>
            </w:pPr>
            <w:r>
              <w:rPr>
                <w:rFonts w:hint="eastAsia" w:ascii="宋体" w:hAnsi="宋体"/>
                <w:color w:val="auto"/>
                <w:szCs w:val="21"/>
                <w:highlight w:val="none"/>
              </w:rPr>
              <w:t>执业或职业证号</w:t>
            </w:r>
          </w:p>
        </w:tc>
        <w:tc>
          <w:tcPr>
            <w:tcW w:w="1732" w:type="dxa"/>
            <w:noWrap w:val="0"/>
            <w:vAlign w:val="center"/>
          </w:tcPr>
          <w:p w14:paraId="49071CA0">
            <w:pPr>
              <w:spacing w:line="440" w:lineRule="exact"/>
              <w:jc w:val="center"/>
              <w:rPr>
                <w:rFonts w:hint="eastAsia" w:ascii="宋体" w:hAnsi="宋体"/>
                <w:color w:val="auto"/>
                <w:szCs w:val="21"/>
                <w:highlight w:val="none"/>
              </w:rPr>
            </w:pPr>
          </w:p>
        </w:tc>
      </w:tr>
      <w:tr w14:paraId="5E88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2A08FBF4">
            <w:pPr>
              <w:spacing w:line="440" w:lineRule="exact"/>
              <w:jc w:val="center"/>
              <w:rPr>
                <w:rFonts w:hint="eastAsia" w:ascii="宋体" w:hAnsi="宋体"/>
                <w:color w:val="auto"/>
                <w:szCs w:val="21"/>
                <w:highlight w:val="none"/>
              </w:rPr>
            </w:pPr>
            <w:r>
              <w:rPr>
                <w:rFonts w:hint="eastAsia" w:ascii="宋体" w:hAnsi="宋体"/>
                <w:color w:val="auto"/>
                <w:szCs w:val="21"/>
                <w:highlight w:val="none"/>
              </w:rPr>
              <w:t>职  称</w:t>
            </w:r>
          </w:p>
        </w:tc>
        <w:tc>
          <w:tcPr>
            <w:tcW w:w="1215" w:type="dxa"/>
            <w:gridSpan w:val="2"/>
            <w:noWrap w:val="0"/>
            <w:vAlign w:val="center"/>
          </w:tcPr>
          <w:p w14:paraId="6A15D78C">
            <w:pPr>
              <w:spacing w:line="440" w:lineRule="exact"/>
              <w:jc w:val="center"/>
              <w:rPr>
                <w:rFonts w:hint="eastAsia" w:ascii="宋体" w:hAnsi="宋体"/>
                <w:color w:val="auto"/>
                <w:szCs w:val="21"/>
                <w:highlight w:val="none"/>
              </w:rPr>
            </w:pPr>
          </w:p>
        </w:tc>
        <w:tc>
          <w:tcPr>
            <w:tcW w:w="945" w:type="dxa"/>
            <w:noWrap w:val="0"/>
            <w:vAlign w:val="center"/>
          </w:tcPr>
          <w:p w14:paraId="5004F30A">
            <w:pPr>
              <w:spacing w:line="440" w:lineRule="exact"/>
              <w:jc w:val="center"/>
              <w:rPr>
                <w:rFonts w:hint="eastAsia" w:ascii="宋体" w:hAnsi="宋体"/>
                <w:color w:val="auto"/>
                <w:szCs w:val="21"/>
                <w:highlight w:val="none"/>
              </w:rPr>
            </w:pPr>
            <w:r>
              <w:rPr>
                <w:rFonts w:hint="eastAsia" w:ascii="宋体" w:hAnsi="宋体"/>
                <w:color w:val="auto"/>
                <w:szCs w:val="21"/>
                <w:highlight w:val="none"/>
              </w:rPr>
              <w:t>职 务</w:t>
            </w:r>
          </w:p>
        </w:tc>
        <w:tc>
          <w:tcPr>
            <w:tcW w:w="1035" w:type="dxa"/>
            <w:noWrap w:val="0"/>
            <w:vAlign w:val="center"/>
          </w:tcPr>
          <w:p w14:paraId="69A80D06">
            <w:pPr>
              <w:spacing w:line="440" w:lineRule="exact"/>
              <w:jc w:val="center"/>
              <w:rPr>
                <w:rFonts w:hint="eastAsia" w:ascii="宋体" w:hAnsi="宋体"/>
                <w:color w:val="auto"/>
                <w:szCs w:val="21"/>
                <w:highlight w:val="none"/>
              </w:rPr>
            </w:pPr>
          </w:p>
        </w:tc>
        <w:tc>
          <w:tcPr>
            <w:tcW w:w="2055" w:type="dxa"/>
            <w:gridSpan w:val="3"/>
            <w:noWrap w:val="0"/>
            <w:vAlign w:val="center"/>
          </w:tcPr>
          <w:p w14:paraId="185C2A55">
            <w:pPr>
              <w:spacing w:line="440" w:lineRule="exact"/>
              <w:jc w:val="center"/>
              <w:rPr>
                <w:rFonts w:hint="eastAsia" w:ascii="宋体" w:hAnsi="宋体"/>
                <w:color w:val="auto"/>
                <w:szCs w:val="21"/>
                <w:highlight w:val="none"/>
              </w:rPr>
            </w:pPr>
            <w:r>
              <w:rPr>
                <w:rFonts w:hint="eastAsia" w:ascii="宋体" w:hAnsi="宋体"/>
                <w:color w:val="auto"/>
                <w:szCs w:val="21"/>
                <w:highlight w:val="none"/>
              </w:rPr>
              <w:t>拟在本合同任职</w:t>
            </w:r>
          </w:p>
        </w:tc>
        <w:tc>
          <w:tcPr>
            <w:tcW w:w="1732" w:type="dxa"/>
            <w:noWrap w:val="0"/>
            <w:vAlign w:val="center"/>
          </w:tcPr>
          <w:p w14:paraId="4316CD7D">
            <w:pPr>
              <w:spacing w:line="440" w:lineRule="exact"/>
              <w:jc w:val="center"/>
              <w:rPr>
                <w:rFonts w:hint="eastAsia" w:ascii="宋体" w:hAnsi="宋体"/>
                <w:color w:val="auto"/>
                <w:szCs w:val="21"/>
                <w:highlight w:val="none"/>
              </w:rPr>
            </w:pPr>
          </w:p>
        </w:tc>
      </w:tr>
      <w:tr w14:paraId="56D0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noWrap w:val="0"/>
            <w:vAlign w:val="center"/>
          </w:tcPr>
          <w:p w14:paraId="0536C625">
            <w:pPr>
              <w:spacing w:line="440" w:lineRule="exact"/>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6982" w:type="dxa"/>
            <w:gridSpan w:val="8"/>
            <w:noWrap w:val="0"/>
            <w:vAlign w:val="top"/>
          </w:tcPr>
          <w:p w14:paraId="03A9615F">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年毕业于            学校        专业</w:t>
            </w:r>
          </w:p>
        </w:tc>
      </w:tr>
      <w:tr w14:paraId="123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6" w:type="dxa"/>
            <w:gridSpan w:val="9"/>
            <w:noWrap w:val="0"/>
            <w:vAlign w:val="center"/>
          </w:tcPr>
          <w:p w14:paraId="55221C5F">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主要施工管理经历</w:t>
            </w:r>
          </w:p>
        </w:tc>
      </w:tr>
      <w:tr w14:paraId="7BCF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4" w:type="dxa"/>
            <w:gridSpan w:val="2"/>
            <w:noWrap w:val="0"/>
            <w:vAlign w:val="center"/>
          </w:tcPr>
          <w:p w14:paraId="7693C353">
            <w:pPr>
              <w:spacing w:line="440" w:lineRule="exact"/>
              <w:jc w:val="center"/>
              <w:rPr>
                <w:rFonts w:hint="eastAsia" w:ascii="宋体" w:hAnsi="宋体"/>
                <w:color w:val="auto"/>
                <w:szCs w:val="21"/>
                <w:highlight w:val="none"/>
              </w:rPr>
            </w:pPr>
            <w:r>
              <w:rPr>
                <w:rFonts w:hint="eastAsia" w:ascii="宋体" w:hAnsi="宋体"/>
                <w:color w:val="auto"/>
                <w:szCs w:val="21"/>
                <w:highlight w:val="none"/>
              </w:rPr>
              <w:t>时  间</w:t>
            </w:r>
          </w:p>
        </w:tc>
        <w:tc>
          <w:tcPr>
            <w:tcW w:w="3570" w:type="dxa"/>
            <w:gridSpan w:val="4"/>
            <w:noWrap w:val="0"/>
            <w:vAlign w:val="center"/>
          </w:tcPr>
          <w:p w14:paraId="46B37232">
            <w:pPr>
              <w:spacing w:line="440" w:lineRule="exact"/>
              <w:jc w:val="center"/>
              <w:rPr>
                <w:rFonts w:hint="eastAsia" w:ascii="宋体" w:hAnsi="宋体"/>
                <w:color w:val="auto"/>
                <w:szCs w:val="21"/>
                <w:highlight w:val="none"/>
              </w:rPr>
            </w:pPr>
            <w:r>
              <w:rPr>
                <w:rFonts w:hint="eastAsia" w:ascii="宋体" w:hAnsi="宋体"/>
                <w:color w:val="auto"/>
                <w:szCs w:val="21"/>
                <w:highlight w:val="none"/>
              </w:rPr>
              <w:t>参加过的类似项目</w:t>
            </w:r>
          </w:p>
        </w:tc>
        <w:tc>
          <w:tcPr>
            <w:tcW w:w="1260" w:type="dxa"/>
            <w:noWrap w:val="0"/>
            <w:vAlign w:val="center"/>
          </w:tcPr>
          <w:p w14:paraId="6AD9C5C1">
            <w:pPr>
              <w:spacing w:line="440" w:lineRule="exact"/>
              <w:jc w:val="center"/>
              <w:rPr>
                <w:rFonts w:hint="eastAsia" w:ascii="宋体" w:hAnsi="宋体"/>
                <w:color w:val="auto"/>
                <w:szCs w:val="21"/>
                <w:highlight w:val="none"/>
              </w:rPr>
            </w:pPr>
            <w:r>
              <w:rPr>
                <w:rFonts w:hint="eastAsia" w:ascii="宋体" w:hAnsi="宋体"/>
                <w:color w:val="auto"/>
                <w:szCs w:val="21"/>
                <w:highlight w:val="none"/>
              </w:rPr>
              <w:t>担任职务</w:t>
            </w:r>
          </w:p>
        </w:tc>
        <w:tc>
          <w:tcPr>
            <w:tcW w:w="1912" w:type="dxa"/>
            <w:gridSpan w:val="2"/>
            <w:noWrap w:val="0"/>
            <w:vAlign w:val="center"/>
          </w:tcPr>
          <w:p w14:paraId="2210F6FB">
            <w:pPr>
              <w:spacing w:line="440" w:lineRule="exact"/>
              <w:rPr>
                <w:rFonts w:hint="eastAsia" w:ascii="宋体" w:hAnsi="宋体"/>
                <w:color w:val="auto"/>
                <w:szCs w:val="21"/>
                <w:highlight w:val="none"/>
              </w:rPr>
            </w:pPr>
            <w:r>
              <w:rPr>
                <w:rFonts w:hint="eastAsia" w:ascii="宋体" w:hAnsi="宋体"/>
                <w:color w:val="auto"/>
                <w:szCs w:val="21"/>
                <w:highlight w:val="none"/>
              </w:rPr>
              <w:t>发包人及联系电话</w:t>
            </w:r>
          </w:p>
        </w:tc>
      </w:tr>
      <w:tr w14:paraId="193C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453F29BD">
            <w:pPr>
              <w:spacing w:line="440" w:lineRule="exact"/>
              <w:rPr>
                <w:rFonts w:hint="eastAsia" w:ascii="宋体" w:hAnsi="宋体"/>
                <w:color w:val="auto"/>
                <w:szCs w:val="21"/>
                <w:highlight w:val="none"/>
              </w:rPr>
            </w:pPr>
          </w:p>
        </w:tc>
        <w:tc>
          <w:tcPr>
            <w:tcW w:w="3570" w:type="dxa"/>
            <w:gridSpan w:val="4"/>
            <w:noWrap w:val="0"/>
            <w:vAlign w:val="top"/>
          </w:tcPr>
          <w:p w14:paraId="0E285971">
            <w:pPr>
              <w:spacing w:line="440" w:lineRule="exact"/>
              <w:rPr>
                <w:rFonts w:hint="eastAsia" w:ascii="宋体" w:hAnsi="宋体"/>
                <w:color w:val="auto"/>
                <w:szCs w:val="21"/>
                <w:highlight w:val="none"/>
              </w:rPr>
            </w:pPr>
          </w:p>
        </w:tc>
        <w:tc>
          <w:tcPr>
            <w:tcW w:w="1260" w:type="dxa"/>
            <w:noWrap w:val="0"/>
            <w:vAlign w:val="top"/>
          </w:tcPr>
          <w:p w14:paraId="6BB12AD3">
            <w:pPr>
              <w:spacing w:line="440" w:lineRule="exact"/>
              <w:rPr>
                <w:rFonts w:hint="eastAsia" w:ascii="宋体" w:hAnsi="宋体"/>
                <w:color w:val="auto"/>
                <w:szCs w:val="21"/>
                <w:highlight w:val="none"/>
              </w:rPr>
            </w:pPr>
          </w:p>
        </w:tc>
        <w:tc>
          <w:tcPr>
            <w:tcW w:w="1912" w:type="dxa"/>
            <w:gridSpan w:val="2"/>
            <w:noWrap w:val="0"/>
            <w:vAlign w:val="top"/>
          </w:tcPr>
          <w:p w14:paraId="278CEC55">
            <w:pPr>
              <w:spacing w:line="440" w:lineRule="exact"/>
              <w:rPr>
                <w:rFonts w:hint="eastAsia" w:ascii="宋体" w:hAnsi="宋体"/>
                <w:color w:val="auto"/>
                <w:szCs w:val="21"/>
                <w:highlight w:val="none"/>
              </w:rPr>
            </w:pPr>
          </w:p>
        </w:tc>
      </w:tr>
      <w:tr w14:paraId="0829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22D31190">
            <w:pPr>
              <w:spacing w:line="440" w:lineRule="exact"/>
              <w:rPr>
                <w:rFonts w:hint="eastAsia" w:ascii="宋体" w:hAnsi="宋体"/>
                <w:color w:val="auto"/>
                <w:szCs w:val="21"/>
                <w:highlight w:val="none"/>
              </w:rPr>
            </w:pPr>
          </w:p>
        </w:tc>
        <w:tc>
          <w:tcPr>
            <w:tcW w:w="3570" w:type="dxa"/>
            <w:gridSpan w:val="4"/>
            <w:noWrap w:val="0"/>
            <w:vAlign w:val="top"/>
          </w:tcPr>
          <w:p w14:paraId="2991CB83">
            <w:pPr>
              <w:spacing w:line="440" w:lineRule="exact"/>
              <w:rPr>
                <w:rFonts w:hint="eastAsia" w:ascii="宋体" w:hAnsi="宋体"/>
                <w:color w:val="auto"/>
                <w:szCs w:val="21"/>
                <w:highlight w:val="none"/>
              </w:rPr>
            </w:pPr>
          </w:p>
        </w:tc>
        <w:tc>
          <w:tcPr>
            <w:tcW w:w="1260" w:type="dxa"/>
            <w:noWrap w:val="0"/>
            <w:vAlign w:val="top"/>
          </w:tcPr>
          <w:p w14:paraId="6C672641">
            <w:pPr>
              <w:spacing w:line="440" w:lineRule="exact"/>
              <w:rPr>
                <w:rFonts w:hint="eastAsia" w:ascii="宋体" w:hAnsi="宋体"/>
                <w:color w:val="auto"/>
                <w:szCs w:val="21"/>
                <w:highlight w:val="none"/>
              </w:rPr>
            </w:pPr>
          </w:p>
        </w:tc>
        <w:tc>
          <w:tcPr>
            <w:tcW w:w="1912" w:type="dxa"/>
            <w:gridSpan w:val="2"/>
            <w:noWrap w:val="0"/>
            <w:vAlign w:val="top"/>
          </w:tcPr>
          <w:p w14:paraId="0AC617BD">
            <w:pPr>
              <w:spacing w:line="440" w:lineRule="exact"/>
              <w:rPr>
                <w:rFonts w:hint="eastAsia" w:ascii="宋体" w:hAnsi="宋体"/>
                <w:color w:val="auto"/>
                <w:szCs w:val="21"/>
                <w:highlight w:val="none"/>
              </w:rPr>
            </w:pPr>
          </w:p>
        </w:tc>
      </w:tr>
      <w:tr w14:paraId="1C5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top"/>
          </w:tcPr>
          <w:p w14:paraId="4AD3BA01">
            <w:pPr>
              <w:spacing w:line="440" w:lineRule="exact"/>
              <w:rPr>
                <w:rFonts w:hint="eastAsia" w:ascii="宋体" w:hAnsi="宋体"/>
                <w:color w:val="auto"/>
                <w:szCs w:val="21"/>
                <w:highlight w:val="none"/>
              </w:rPr>
            </w:pPr>
          </w:p>
        </w:tc>
        <w:tc>
          <w:tcPr>
            <w:tcW w:w="3570" w:type="dxa"/>
            <w:gridSpan w:val="4"/>
            <w:noWrap w:val="0"/>
            <w:vAlign w:val="top"/>
          </w:tcPr>
          <w:p w14:paraId="0D9FF399">
            <w:pPr>
              <w:spacing w:line="440" w:lineRule="exact"/>
              <w:rPr>
                <w:rFonts w:hint="eastAsia" w:ascii="宋体" w:hAnsi="宋体"/>
                <w:color w:val="auto"/>
                <w:szCs w:val="21"/>
                <w:highlight w:val="none"/>
              </w:rPr>
            </w:pPr>
          </w:p>
        </w:tc>
        <w:tc>
          <w:tcPr>
            <w:tcW w:w="1260" w:type="dxa"/>
            <w:noWrap w:val="0"/>
            <w:vAlign w:val="top"/>
          </w:tcPr>
          <w:p w14:paraId="0D228081">
            <w:pPr>
              <w:spacing w:line="440" w:lineRule="exact"/>
              <w:rPr>
                <w:rFonts w:hint="eastAsia" w:ascii="宋体" w:hAnsi="宋体"/>
                <w:color w:val="auto"/>
                <w:szCs w:val="21"/>
                <w:highlight w:val="none"/>
              </w:rPr>
            </w:pPr>
          </w:p>
        </w:tc>
        <w:tc>
          <w:tcPr>
            <w:tcW w:w="1912" w:type="dxa"/>
            <w:gridSpan w:val="2"/>
            <w:noWrap w:val="0"/>
            <w:vAlign w:val="top"/>
          </w:tcPr>
          <w:p w14:paraId="5A22EAAC">
            <w:pPr>
              <w:spacing w:line="440" w:lineRule="exact"/>
              <w:rPr>
                <w:rFonts w:hint="eastAsia" w:ascii="宋体" w:hAnsi="宋体"/>
                <w:color w:val="auto"/>
                <w:szCs w:val="21"/>
                <w:highlight w:val="none"/>
              </w:rPr>
            </w:pPr>
          </w:p>
        </w:tc>
      </w:tr>
      <w:tr w14:paraId="69DD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D61E6B8">
            <w:pPr>
              <w:spacing w:line="440" w:lineRule="exact"/>
              <w:rPr>
                <w:rFonts w:hint="eastAsia" w:ascii="宋体" w:hAnsi="宋体"/>
                <w:color w:val="auto"/>
                <w:szCs w:val="21"/>
                <w:highlight w:val="none"/>
              </w:rPr>
            </w:pPr>
          </w:p>
        </w:tc>
        <w:tc>
          <w:tcPr>
            <w:tcW w:w="3570" w:type="dxa"/>
            <w:gridSpan w:val="4"/>
            <w:noWrap w:val="0"/>
            <w:vAlign w:val="center"/>
          </w:tcPr>
          <w:p w14:paraId="077D3D64">
            <w:pPr>
              <w:spacing w:line="440" w:lineRule="exact"/>
              <w:rPr>
                <w:rFonts w:hint="eastAsia" w:ascii="宋体" w:hAnsi="宋体"/>
                <w:color w:val="auto"/>
                <w:szCs w:val="21"/>
                <w:highlight w:val="none"/>
              </w:rPr>
            </w:pPr>
          </w:p>
        </w:tc>
        <w:tc>
          <w:tcPr>
            <w:tcW w:w="1260" w:type="dxa"/>
            <w:noWrap w:val="0"/>
            <w:vAlign w:val="center"/>
          </w:tcPr>
          <w:p w14:paraId="2093AF5B">
            <w:pPr>
              <w:spacing w:line="440" w:lineRule="exact"/>
              <w:rPr>
                <w:rFonts w:hint="eastAsia" w:ascii="宋体" w:hAnsi="宋体"/>
                <w:color w:val="auto"/>
                <w:szCs w:val="21"/>
                <w:highlight w:val="none"/>
              </w:rPr>
            </w:pPr>
          </w:p>
        </w:tc>
        <w:tc>
          <w:tcPr>
            <w:tcW w:w="1912" w:type="dxa"/>
            <w:gridSpan w:val="2"/>
            <w:noWrap w:val="0"/>
            <w:vAlign w:val="center"/>
          </w:tcPr>
          <w:p w14:paraId="1455D828">
            <w:pPr>
              <w:spacing w:line="440" w:lineRule="exact"/>
              <w:rPr>
                <w:rFonts w:hint="eastAsia" w:ascii="宋体" w:hAnsi="宋体"/>
                <w:color w:val="auto"/>
                <w:szCs w:val="21"/>
                <w:highlight w:val="none"/>
              </w:rPr>
            </w:pPr>
          </w:p>
        </w:tc>
      </w:tr>
      <w:tr w14:paraId="62CC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5CFF05F">
            <w:pPr>
              <w:spacing w:line="440" w:lineRule="exact"/>
              <w:rPr>
                <w:rFonts w:hint="eastAsia" w:ascii="宋体" w:hAnsi="宋体"/>
                <w:color w:val="auto"/>
                <w:szCs w:val="21"/>
                <w:highlight w:val="none"/>
              </w:rPr>
            </w:pPr>
          </w:p>
        </w:tc>
        <w:tc>
          <w:tcPr>
            <w:tcW w:w="3570" w:type="dxa"/>
            <w:gridSpan w:val="4"/>
            <w:noWrap w:val="0"/>
            <w:vAlign w:val="center"/>
          </w:tcPr>
          <w:p w14:paraId="63EBE276">
            <w:pPr>
              <w:spacing w:line="440" w:lineRule="exact"/>
              <w:rPr>
                <w:rFonts w:hint="eastAsia" w:ascii="宋体" w:hAnsi="宋体"/>
                <w:color w:val="auto"/>
                <w:szCs w:val="21"/>
                <w:highlight w:val="none"/>
              </w:rPr>
            </w:pPr>
          </w:p>
        </w:tc>
        <w:tc>
          <w:tcPr>
            <w:tcW w:w="1260" w:type="dxa"/>
            <w:noWrap w:val="0"/>
            <w:vAlign w:val="center"/>
          </w:tcPr>
          <w:p w14:paraId="79C074B7">
            <w:pPr>
              <w:spacing w:line="440" w:lineRule="exact"/>
              <w:rPr>
                <w:rFonts w:hint="eastAsia" w:ascii="宋体" w:hAnsi="宋体"/>
                <w:color w:val="auto"/>
                <w:szCs w:val="21"/>
                <w:highlight w:val="none"/>
              </w:rPr>
            </w:pPr>
          </w:p>
        </w:tc>
        <w:tc>
          <w:tcPr>
            <w:tcW w:w="1912" w:type="dxa"/>
            <w:gridSpan w:val="2"/>
            <w:noWrap w:val="0"/>
            <w:vAlign w:val="center"/>
          </w:tcPr>
          <w:p w14:paraId="43A589AB">
            <w:pPr>
              <w:spacing w:line="440" w:lineRule="exact"/>
              <w:rPr>
                <w:rFonts w:hint="eastAsia" w:ascii="宋体" w:hAnsi="宋体"/>
                <w:color w:val="auto"/>
                <w:szCs w:val="21"/>
                <w:highlight w:val="none"/>
              </w:rPr>
            </w:pPr>
          </w:p>
        </w:tc>
      </w:tr>
      <w:tr w14:paraId="457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51D0F29">
            <w:pPr>
              <w:spacing w:line="440" w:lineRule="exact"/>
              <w:rPr>
                <w:rFonts w:hint="eastAsia" w:ascii="宋体" w:hAnsi="宋体"/>
                <w:color w:val="auto"/>
                <w:szCs w:val="21"/>
                <w:highlight w:val="none"/>
              </w:rPr>
            </w:pPr>
          </w:p>
        </w:tc>
        <w:tc>
          <w:tcPr>
            <w:tcW w:w="3570" w:type="dxa"/>
            <w:gridSpan w:val="4"/>
            <w:noWrap w:val="0"/>
            <w:vAlign w:val="center"/>
          </w:tcPr>
          <w:p w14:paraId="520D73A0">
            <w:pPr>
              <w:spacing w:line="440" w:lineRule="exact"/>
              <w:rPr>
                <w:rFonts w:hint="eastAsia" w:ascii="宋体" w:hAnsi="宋体"/>
                <w:color w:val="auto"/>
                <w:szCs w:val="21"/>
                <w:highlight w:val="none"/>
              </w:rPr>
            </w:pPr>
          </w:p>
        </w:tc>
        <w:tc>
          <w:tcPr>
            <w:tcW w:w="1260" w:type="dxa"/>
            <w:noWrap w:val="0"/>
            <w:vAlign w:val="center"/>
          </w:tcPr>
          <w:p w14:paraId="258578F5">
            <w:pPr>
              <w:spacing w:line="440" w:lineRule="exact"/>
              <w:rPr>
                <w:rFonts w:hint="eastAsia" w:ascii="宋体" w:hAnsi="宋体"/>
                <w:color w:val="auto"/>
                <w:szCs w:val="21"/>
                <w:highlight w:val="none"/>
              </w:rPr>
            </w:pPr>
          </w:p>
        </w:tc>
        <w:tc>
          <w:tcPr>
            <w:tcW w:w="1912" w:type="dxa"/>
            <w:gridSpan w:val="2"/>
            <w:noWrap w:val="0"/>
            <w:vAlign w:val="center"/>
          </w:tcPr>
          <w:p w14:paraId="4675136A">
            <w:pPr>
              <w:spacing w:line="440" w:lineRule="exact"/>
              <w:rPr>
                <w:rFonts w:hint="eastAsia" w:ascii="宋体" w:hAnsi="宋体"/>
                <w:color w:val="auto"/>
                <w:szCs w:val="21"/>
                <w:highlight w:val="none"/>
              </w:rPr>
            </w:pPr>
          </w:p>
        </w:tc>
      </w:tr>
      <w:tr w14:paraId="0B95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29B765FF">
            <w:pPr>
              <w:spacing w:line="440" w:lineRule="exact"/>
              <w:rPr>
                <w:rFonts w:hint="eastAsia" w:ascii="宋体" w:hAnsi="宋体"/>
                <w:color w:val="auto"/>
                <w:szCs w:val="21"/>
                <w:highlight w:val="none"/>
              </w:rPr>
            </w:pPr>
          </w:p>
        </w:tc>
        <w:tc>
          <w:tcPr>
            <w:tcW w:w="3570" w:type="dxa"/>
            <w:gridSpan w:val="4"/>
            <w:noWrap w:val="0"/>
            <w:vAlign w:val="center"/>
          </w:tcPr>
          <w:p w14:paraId="02B42D7A">
            <w:pPr>
              <w:spacing w:line="440" w:lineRule="exact"/>
              <w:rPr>
                <w:rFonts w:hint="eastAsia" w:ascii="宋体" w:hAnsi="宋体"/>
                <w:color w:val="auto"/>
                <w:szCs w:val="21"/>
                <w:highlight w:val="none"/>
              </w:rPr>
            </w:pPr>
          </w:p>
        </w:tc>
        <w:tc>
          <w:tcPr>
            <w:tcW w:w="1260" w:type="dxa"/>
            <w:noWrap w:val="0"/>
            <w:vAlign w:val="center"/>
          </w:tcPr>
          <w:p w14:paraId="10472E3E">
            <w:pPr>
              <w:spacing w:line="440" w:lineRule="exact"/>
              <w:rPr>
                <w:rFonts w:hint="eastAsia" w:ascii="宋体" w:hAnsi="宋体"/>
                <w:color w:val="auto"/>
                <w:szCs w:val="21"/>
                <w:highlight w:val="none"/>
              </w:rPr>
            </w:pPr>
          </w:p>
        </w:tc>
        <w:tc>
          <w:tcPr>
            <w:tcW w:w="1912" w:type="dxa"/>
            <w:gridSpan w:val="2"/>
            <w:noWrap w:val="0"/>
            <w:vAlign w:val="center"/>
          </w:tcPr>
          <w:p w14:paraId="5336D4BE">
            <w:pPr>
              <w:spacing w:line="440" w:lineRule="exact"/>
              <w:rPr>
                <w:rFonts w:hint="eastAsia" w:ascii="宋体" w:hAnsi="宋体"/>
                <w:color w:val="auto"/>
                <w:szCs w:val="21"/>
                <w:highlight w:val="none"/>
              </w:rPr>
            </w:pPr>
          </w:p>
        </w:tc>
      </w:tr>
      <w:tr w14:paraId="3D69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2D60D836">
            <w:pPr>
              <w:spacing w:line="440" w:lineRule="exact"/>
              <w:rPr>
                <w:rFonts w:hint="eastAsia" w:ascii="宋体" w:hAnsi="宋体"/>
                <w:color w:val="auto"/>
                <w:szCs w:val="21"/>
                <w:highlight w:val="none"/>
              </w:rPr>
            </w:pPr>
          </w:p>
        </w:tc>
        <w:tc>
          <w:tcPr>
            <w:tcW w:w="3570" w:type="dxa"/>
            <w:gridSpan w:val="4"/>
            <w:noWrap w:val="0"/>
            <w:vAlign w:val="center"/>
          </w:tcPr>
          <w:p w14:paraId="677609FA">
            <w:pPr>
              <w:spacing w:line="440" w:lineRule="exact"/>
              <w:rPr>
                <w:rFonts w:hint="eastAsia" w:ascii="宋体" w:hAnsi="宋体"/>
                <w:color w:val="auto"/>
                <w:szCs w:val="21"/>
                <w:highlight w:val="none"/>
              </w:rPr>
            </w:pPr>
          </w:p>
        </w:tc>
        <w:tc>
          <w:tcPr>
            <w:tcW w:w="1260" w:type="dxa"/>
            <w:noWrap w:val="0"/>
            <w:vAlign w:val="center"/>
          </w:tcPr>
          <w:p w14:paraId="709DE7DE">
            <w:pPr>
              <w:spacing w:line="440" w:lineRule="exact"/>
              <w:rPr>
                <w:rFonts w:hint="eastAsia" w:ascii="宋体" w:hAnsi="宋体"/>
                <w:color w:val="auto"/>
                <w:szCs w:val="21"/>
                <w:highlight w:val="none"/>
              </w:rPr>
            </w:pPr>
          </w:p>
        </w:tc>
        <w:tc>
          <w:tcPr>
            <w:tcW w:w="1912" w:type="dxa"/>
            <w:gridSpan w:val="2"/>
            <w:noWrap w:val="0"/>
            <w:vAlign w:val="center"/>
          </w:tcPr>
          <w:p w14:paraId="457E004F">
            <w:pPr>
              <w:spacing w:line="440" w:lineRule="exact"/>
              <w:rPr>
                <w:rFonts w:hint="eastAsia" w:ascii="宋体" w:hAnsi="宋体"/>
                <w:color w:val="auto"/>
                <w:szCs w:val="21"/>
                <w:highlight w:val="none"/>
              </w:rPr>
            </w:pPr>
          </w:p>
        </w:tc>
      </w:tr>
      <w:tr w14:paraId="2E0B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48E9D338">
            <w:pPr>
              <w:spacing w:line="440" w:lineRule="exact"/>
              <w:rPr>
                <w:rFonts w:hint="eastAsia" w:ascii="宋体" w:hAnsi="宋体"/>
                <w:color w:val="auto"/>
                <w:szCs w:val="21"/>
                <w:highlight w:val="none"/>
              </w:rPr>
            </w:pPr>
          </w:p>
        </w:tc>
        <w:tc>
          <w:tcPr>
            <w:tcW w:w="3570" w:type="dxa"/>
            <w:gridSpan w:val="4"/>
            <w:noWrap w:val="0"/>
            <w:vAlign w:val="center"/>
          </w:tcPr>
          <w:p w14:paraId="27521F03">
            <w:pPr>
              <w:spacing w:line="440" w:lineRule="exact"/>
              <w:rPr>
                <w:rFonts w:hint="eastAsia" w:ascii="宋体" w:hAnsi="宋体"/>
                <w:color w:val="auto"/>
                <w:szCs w:val="21"/>
                <w:highlight w:val="none"/>
              </w:rPr>
            </w:pPr>
          </w:p>
        </w:tc>
        <w:tc>
          <w:tcPr>
            <w:tcW w:w="1260" w:type="dxa"/>
            <w:noWrap w:val="0"/>
            <w:vAlign w:val="center"/>
          </w:tcPr>
          <w:p w14:paraId="0018FE9D">
            <w:pPr>
              <w:spacing w:line="440" w:lineRule="exact"/>
              <w:rPr>
                <w:rFonts w:hint="eastAsia" w:ascii="宋体" w:hAnsi="宋体"/>
                <w:color w:val="auto"/>
                <w:szCs w:val="21"/>
                <w:highlight w:val="none"/>
              </w:rPr>
            </w:pPr>
          </w:p>
        </w:tc>
        <w:tc>
          <w:tcPr>
            <w:tcW w:w="1912" w:type="dxa"/>
            <w:gridSpan w:val="2"/>
            <w:noWrap w:val="0"/>
            <w:vAlign w:val="center"/>
          </w:tcPr>
          <w:p w14:paraId="478AC67E">
            <w:pPr>
              <w:spacing w:line="440" w:lineRule="exact"/>
              <w:rPr>
                <w:rFonts w:hint="eastAsia" w:ascii="宋体" w:hAnsi="宋体"/>
                <w:color w:val="auto"/>
                <w:szCs w:val="21"/>
                <w:highlight w:val="none"/>
              </w:rPr>
            </w:pPr>
          </w:p>
        </w:tc>
      </w:tr>
      <w:tr w14:paraId="6107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440A8D47">
            <w:pPr>
              <w:spacing w:line="440" w:lineRule="exact"/>
              <w:rPr>
                <w:rFonts w:hint="eastAsia" w:ascii="宋体" w:hAnsi="宋体"/>
                <w:color w:val="auto"/>
                <w:szCs w:val="21"/>
                <w:highlight w:val="none"/>
              </w:rPr>
            </w:pPr>
          </w:p>
        </w:tc>
        <w:tc>
          <w:tcPr>
            <w:tcW w:w="3570" w:type="dxa"/>
            <w:gridSpan w:val="4"/>
            <w:noWrap w:val="0"/>
            <w:vAlign w:val="center"/>
          </w:tcPr>
          <w:p w14:paraId="48382E57">
            <w:pPr>
              <w:spacing w:line="440" w:lineRule="exact"/>
              <w:rPr>
                <w:rFonts w:hint="eastAsia" w:ascii="宋体" w:hAnsi="宋体"/>
                <w:color w:val="auto"/>
                <w:szCs w:val="21"/>
                <w:highlight w:val="none"/>
              </w:rPr>
            </w:pPr>
          </w:p>
        </w:tc>
        <w:tc>
          <w:tcPr>
            <w:tcW w:w="1260" w:type="dxa"/>
            <w:noWrap w:val="0"/>
            <w:vAlign w:val="center"/>
          </w:tcPr>
          <w:p w14:paraId="0F9D14C4">
            <w:pPr>
              <w:spacing w:line="440" w:lineRule="exact"/>
              <w:rPr>
                <w:rFonts w:hint="eastAsia" w:ascii="宋体" w:hAnsi="宋体"/>
                <w:color w:val="auto"/>
                <w:szCs w:val="21"/>
                <w:highlight w:val="none"/>
              </w:rPr>
            </w:pPr>
          </w:p>
        </w:tc>
        <w:tc>
          <w:tcPr>
            <w:tcW w:w="1912" w:type="dxa"/>
            <w:gridSpan w:val="2"/>
            <w:noWrap w:val="0"/>
            <w:vAlign w:val="center"/>
          </w:tcPr>
          <w:p w14:paraId="2D6F6BDE">
            <w:pPr>
              <w:spacing w:line="440" w:lineRule="exact"/>
              <w:rPr>
                <w:rFonts w:hint="eastAsia" w:ascii="宋体" w:hAnsi="宋体"/>
                <w:color w:val="auto"/>
                <w:szCs w:val="21"/>
                <w:highlight w:val="none"/>
              </w:rPr>
            </w:pPr>
          </w:p>
        </w:tc>
      </w:tr>
      <w:tr w14:paraId="068E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665C17A7">
            <w:pPr>
              <w:spacing w:line="440" w:lineRule="exact"/>
              <w:rPr>
                <w:rFonts w:hint="eastAsia" w:ascii="宋体" w:hAnsi="宋体"/>
                <w:color w:val="auto"/>
                <w:szCs w:val="21"/>
                <w:highlight w:val="none"/>
              </w:rPr>
            </w:pPr>
          </w:p>
        </w:tc>
        <w:tc>
          <w:tcPr>
            <w:tcW w:w="3570" w:type="dxa"/>
            <w:gridSpan w:val="4"/>
            <w:noWrap w:val="0"/>
            <w:vAlign w:val="center"/>
          </w:tcPr>
          <w:p w14:paraId="784457AE">
            <w:pPr>
              <w:spacing w:line="440" w:lineRule="exact"/>
              <w:rPr>
                <w:rFonts w:hint="eastAsia" w:ascii="宋体" w:hAnsi="宋体"/>
                <w:color w:val="auto"/>
                <w:szCs w:val="21"/>
                <w:highlight w:val="none"/>
              </w:rPr>
            </w:pPr>
          </w:p>
        </w:tc>
        <w:tc>
          <w:tcPr>
            <w:tcW w:w="1260" w:type="dxa"/>
            <w:noWrap w:val="0"/>
            <w:vAlign w:val="center"/>
          </w:tcPr>
          <w:p w14:paraId="4C36B7B9">
            <w:pPr>
              <w:spacing w:line="440" w:lineRule="exact"/>
              <w:rPr>
                <w:rFonts w:hint="eastAsia" w:ascii="宋体" w:hAnsi="宋体"/>
                <w:color w:val="auto"/>
                <w:szCs w:val="21"/>
                <w:highlight w:val="none"/>
              </w:rPr>
            </w:pPr>
          </w:p>
        </w:tc>
        <w:tc>
          <w:tcPr>
            <w:tcW w:w="1912" w:type="dxa"/>
            <w:gridSpan w:val="2"/>
            <w:noWrap w:val="0"/>
            <w:vAlign w:val="center"/>
          </w:tcPr>
          <w:p w14:paraId="7A9DB285">
            <w:pPr>
              <w:spacing w:line="440" w:lineRule="exact"/>
              <w:rPr>
                <w:rFonts w:hint="eastAsia" w:ascii="宋体" w:hAnsi="宋体"/>
                <w:color w:val="auto"/>
                <w:szCs w:val="21"/>
                <w:highlight w:val="none"/>
              </w:rPr>
            </w:pPr>
          </w:p>
        </w:tc>
      </w:tr>
      <w:tr w14:paraId="7742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4" w:type="dxa"/>
            <w:gridSpan w:val="2"/>
            <w:noWrap w:val="0"/>
            <w:vAlign w:val="center"/>
          </w:tcPr>
          <w:p w14:paraId="3E68CA13">
            <w:pPr>
              <w:spacing w:line="440" w:lineRule="exact"/>
              <w:rPr>
                <w:rFonts w:hint="eastAsia" w:ascii="宋体" w:hAnsi="宋体"/>
                <w:color w:val="auto"/>
                <w:szCs w:val="21"/>
                <w:highlight w:val="none"/>
              </w:rPr>
            </w:pPr>
          </w:p>
        </w:tc>
        <w:tc>
          <w:tcPr>
            <w:tcW w:w="3570" w:type="dxa"/>
            <w:gridSpan w:val="4"/>
            <w:noWrap w:val="0"/>
            <w:vAlign w:val="center"/>
          </w:tcPr>
          <w:p w14:paraId="32CA2349">
            <w:pPr>
              <w:spacing w:line="440" w:lineRule="exact"/>
              <w:rPr>
                <w:rFonts w:hint="eastAsia" w:ascii="宋体" w:hAnsi="宋体"/>
                <w:color w:val="auto"/>
                <w:szCs w:val="21"/>
                <w:highlight w:val="none"/>
              </w:rPr>
            </w:pPr>
          </w:p>
        </w:tc>
        <w:tc>
          <w:tcPr>
            <w:tcW w:w="1260" w:type="dxa"/>
            <w:noWrap w:val="0"/>
            <w:vAlign w:val="center"/>
          </w:tcPr>
          <w:p w14:paraId="0458B9C5">
            <w:pPr>
              <w:spacing w:line="440" w:lineRule="exact"/>
              <w:rPr>
                <w:rFonts w:hint="eastAsia" w:ascii="宋体" w:hAnsi="宋体"/>
                <w:color w:val="auto"/>
                <w:szCs w:val="21"/>
                <w:highlight w:val="none"/>
              </w:rPr>
            </w:pPr>
          </w:p>
        </w:tc>
        <w:tc>
          <w:tcPr>
            <w:tcW w:w="1912" w:type="dxa"/>
            <w:gridSpan w:val="2"/>
            <w:noWrap w:val="0"/>
            <w:vAlign w:val="center"/>
          </w:tcPr>
          <w:p w14:paraId="689A2898">
            <w:pPr>
              <w:spacing w:line="440" w:lineRule="exact"/>
              <w:rPr>
                <w:rFonts w:hint="eastAsia" w:ascii="宋体" w:hAnsi="宋体"/>
                <w:color w:val="auto"/>
                <w:szCs w:val="21"/>
                <w:highlight w:val="none"/>
              </w:rPr>
            </w:pPr>
          </w:p>
        </w:tc>
      </w:tr>
    </w:tbl>
    <w:p w14:paraId="356CC55B">
      <w:pPr>
        <w:pStyle w:val="63"/>
        <w:numPr>
          <w:ilvl w:val="0"/>
          <w:numId w:val="0"/>
        </w:numPr>
        <w:spacing w:line="480" w:lineRule="exact"/>
        <w:ind w:leftChars="0"/>
        <w:jc w:val="center"/>
        <w:outlineLvl w:val="1"/>
        <w:rPr>
          <w:rFonts w:hint="eastAsia"/>
          <w:b/>
          <w:color w:val="auto"/>
          <w:sz w:val="28"/>
          <w:szCs w:val="28"/>
        </w:rPr>
      </w:pPr>
      <w:r>
        <w:rPr>
          <w:rFonts w:hint="eastAsia" w:ascii="宋体" w:hAnsi="宋体" w:eastAsia="宋体"/>
          <w:bCs w:val="0"/>
          <w:color w:val="auto"/>
          <w:sz w:val="28"/>
          <w:highlight w:val="none"/>
          <w:shd w:val="clear" w:color="auto" w:fill="FFFFFF"/>
        </w:rPr>
        <w:br w:type="page"/>
      </w:r>
      <w:bookmarkStart w:id="587" w:name="_Toc12824"/>
      <w:bookmarkStart w:id="588" w:name="_Toc13503"/>
      <w:r>
        <w:rPr>
          <w:rFonts w:hint="eastAsia" w:hAnsi="宋体" w:eastAsia="宋体"/>
          <w:b/>
          <w:bCs/>
          <w:color w:val="auto"/>
          <w:sz w:val="28"/>
          <w:highlight w:val="none"/>
          <w:shd w:val="clear" w:color="auto" w:fill="FFFFFF"/>
          <w:lang w:val="en-US" w:eastAsia="zh-CN"/>
        </w:rPr>
        <w:t xml:space="preserve">10 </w:t>
      </w:r>
      <w:r>
        <w:rPr>
          <w:rFonts w:hint="eastAsia" w:hAnsi="宋体" w:cs="黑体"/>
          <w:b/>
          <w:bCs/>
          <w:color w:val="auto"/>
          <w:sz w:val="28"/>
          <w:szCs w:val="28"/>
        </w:rPr>
        <w:t>反商业贿赂承诺书</w:t>
      </w:r>
      <w:bookmarkEnd w:id="587"/>
      <w:bookmarkEnd w:id="588"/>
    </w:p>
    <w:p w14:paraId="4A7FC4A1">
      <w:pPr>
        <w:pStyle w:val="63"/>
        <w:spacing w:line="480" w:lineRule="exact"/>
        <w:jc w:val="center"/>
        <w:outlineLvl w:val="9"/>
        <w:rPr>
          <w:rFonts w:hint="eastAsia"/>
          <w:b/>
          <w:color w:val="auto"/>
          <w:sz w:val="28"/>
          <w:szCs w:val="28"/>
        </w:rPr>
      </w:pPr>
    </w:p>
    <w:p w14:paraId="46F19956">
      <w:pPr>
        <w:spacing w:line="360" w:lineRule="auto"/>
        <w:rPr>
          <w:rFonts w:hint="eastAsia" w:ascii="宋体" w:hAnsi="宋体"/>
          <w:szCs w:val="21"/>
        </w:rPr>
      </w:pPr>
      <w:r>
        <w:rPr>
          <w:rFonts w:hint="eastAsia" w:ascii="宋体" w:hAnsi="宋体"/>
          <w:szCs w:val="21"/>
        </w:rPr>
        <w:t>我公司承诺：</w:t>
      </w:r>
    </w:p>
    <w:p w14:paraId="60EE2B3B">
      <w:pPr>
        <w:spacing w:line="360" w:lineRule="auto"/>
        <w:ind w:firstLine="420" w:firstLineChars="200"/>
        <w:rPr>
          <w:rFonts w:hint="eastAsia" w:ascii="宋体" w:hAnsi="宋体"/>
          <w:szCs w:val="21"/>
        </w:rPr>
      </w:pPr>
      <w:r>
        <w:rPr>
          <w:rFonts w:hint="eastAsia" w:ascii="宋体" w:hAnsi="宋体"/>
          <w:szCs w:val="21"/>
        </w:rPr>
        <w:t>在</w:t>
      </w:r>
      <w:r>
        <w:rPr>
          <w:rFonts w:hint="eastAsia" w:ascii="宋体" w:hAnsi="宋体"/>
          <w:szCs w:val="21"/>
          <w:u w:val="single"/>
        </w:rPr>
        <w:t xml:space="preserve">   （项目名称）   </w:t>
      </w:r>
      <w:r>
        <w:rPr>
          <w:rFonts w:hint="eastAsia" w:ascii="宋体" w:hAnsi="宋体"/>
          <w:szCs w:val="21"/>
        </w:rPr>
        <w:t>磋商活动中，我公司保证做到：</w:t>
      </w:r>
    </w:p>
    <w:p w14:paraId="16D78AAB">
      <w:pPr>
        <w:spacing w:line="360" w:lineRule="auto"/>
        <w:outlineLvl w:val="2"/>
        <w:rPr>
          <w:rFonts w:hint="eastAsia" w:ascii="宋体" w:hAnsi="宋体"/>
          <w:szCs w:val="21"/>
        </w:rPr>
      </w:pPr>
      <w:r>
        <w:rPr>
          <w:rFonts w:hint="eastAsia" w:ascii="宋体" w:hAnsi="宋体"/>
          <w:szCs w:val="21"/>
        </w:rPr>
        <w:t>一、公平竞争参加本次招标活动。</w:t>
      </w:r>
    </w:p>
    <w:p w14:paraId="59525C47">
      <w:pPr>
        <w:spacing w:line="360" w:lineRule="auto"/>
        <w:rPr>
          <w:rFonts w:hint="eastAsia" w:ascii="宋体" w:hAnsi="宋体"/>
          <w:szCs w:val="21"/>
        </w:rPr>
      </w:pPr>
      <w:r>
        <w:rPr>
          <w:rFonts w:hint="eastAsia" w:ascii="宋体" w:hAnsi="宋体"/>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A0B06C3">
      <w:pPr>
        <w:spacing w:line="360" w:lineRule="auto"/>
        <w:rPr>
          <w:rFonts w:hint="eastAsia" w:ascii="宋体" w:hAnsi="宋体"/>
          <w:szCs w:val="21"/>
        </w:rPr>
      </w:pPr>
      <w:r>
        <w:rPr>
          <w:rFonts w:hint="eastAsia" w:ascii="宋体" w:hAnsi="宋体"/>
          <w:szCs w:val="21"/>
        </w:rPr>
        <w:t>三、若出现上述行为，我公司及参与投标的工作人员愿意接受按照国家法律法规等有关规定给予的处罚。</w:t>
      </w:r>
    </w:p>
    <w:p w14:paraId="6F88DBC7">
      <w:pPr>
        <w:spacing w:line="360" w:lineRule="auto"/>
        <w:rPr>
          <w:rFonts w:hint="eastAsia" w:ascii="宋体" w:hAnsi="宋体"/>
          <w:szCs w:val="21"/>
        </w:rPr>
      </w:pPr>
    </w:p>
    <w:p w14:paraId="6BE146F9">
      <w:pPr>
        <w:spacing w:line="360" w:lineRule="auto"/>
        <w:rPr>
          <w:rFonts w:hint="eastAsia" w:ascii="宋体" w:hAnsi="宋体"/>
          <w:szCs w:val="21"/>
        </w:rPr>
      </w:pPr>
    </w:p>
    <w:p w14:paraId="5D431B27">
      <w:pPr>
        <w:spacing w:line="360" w:lineRule="auto"/>
        <w:rPr>
          <w:rFonts w:hint="eastAsia" w:ascii="宋体" w:hAnsi="宋体"/>
          <w:szCs w:val="21"/>
        </w:rPr>
      </w:pPr>
    </w:p>
    <w:p w14:paraId="71B066C6">
      <w:pPr>
        <w:spacing w:line="360" w:lineRule="auto"/>
        <w:ind w:left="2430" w:hanging="2429" w:hangingChars="1157"/>
        <w:rPr>
          <w:rFonts w:hint="eastAsia" w:ascii="宋体" w:hAnsi="宋体"/>
          <w:szCs w:val="21"/>
        </w:rPr>
      </w:pPr>
      <w:r>
        <w:rPr>
          <w:rFonts w:hint="eastAsia" w:ascii="宋体" w:hAnsi="宋体"/>
          <w:szCs w:val="21"/>
        </w:rPr>
        <w:t>公司法定代表人代表：(签字或盖章)</w:t>
      </w:r>
    </w:p>
    <w:p w14:paraId="3FBEB078">
      <w:pPr>
        <w:spacing w:line="360" w:lineRule="auto"/>
        <w:ind w:left="2430" w:hanging="2429" w:hangingChars="1157"/>
        <w:rPr>
          <w:rFonts w:hint="eastAsia" w:ascii="宋体" w:hAnsi="宋体"/>
          <w:szCs w:val="21"/>
        </w:rPr>
      </w:pPr>
      <w:r>
        <w:rPr>
          <w:rFonts w:hint="eastAsia" w:ascii="宋体" w:hAnsi="宋体"/>
          <w:szCs w:val="21"/>
        </w:rPr>
        <w:t>法定代表人授权代表：(签字或盖章)</w:t>
      </w:r>
    </w:p>
    <w:p w14:paraId="3BA7BE87">
      <w:pPr>
        <w:spacing w:line="360" w:lineRule="auto"/>
        <w:ind w:left="2430" w:hanging="2429" w:hangingChars="1157"/>
        <w:rPr>
          <w:rFonts w:hint="eastAsia" w:ascii="宋体" w:hAnsi="宋体"/>
          <w:szCs w:val="21"/>
        </w:rPr>
      </w:pPr>
      <w:r>
        <w:rPr>
          <w:rFonts w:hint="eastAsia" w:ascii="宋体" w:hAnsi="宋体"/>
          <w:szCs w:val="21"/>
        </w:rPr>
        <w:t>单位（公章）</w:t>
      </w:r>
    </w:p>
    <w:p w14:paraId="110CF71B">
      <w:pPr>
        <w:spacing w:line="360" w:lineRule="auto"/>
        <w:ind w:left="2430" w:hanging="2429" w:hangingChars="1157"/>
        <w:rPr>
          <w:rFonts w:hint="eastAsia" w:ascii="宋体" w:hAnsi="宋体"/>
          <w:szCs w:val="21"/>
        </w:rPr>
      </w:pPr>
      <w:r>
        <w:rPr>
          <w:rFonts w:hint="eastAsia" w:ascii="宋体" w:hAnsi="宋体"/>
          <w:szCs w:val="21"/>
        </w:rPr>
        <w:t>年   月   日</w:t>
      </w:r>
    </w:p>
    <w:p w14:paraId="56825FCF">
      <w:pPr>
        <w:pStyle w:val="63"/>
        <w:spacing w:line="480" w:lineRule="exact"/>
        <w:jc w:val="center"/>
        <w:outlineLvl w:val="9"/>
        <w:rPr>
          <w:rFonts w:hint="eastAsia" w:hAnsi="宋体" w:cs="黑体"/>
          <w:b/>
          <w:color w:val="auto"/>
          <w:sz w:val="28"/>
          <w:szCs w:val="28"/>
        </w:rPr>
      </w:pPr>
    </w:p>
    <w:p w14:paraId="585C7E88">
      <w:pPr>
        <w:pStyle w:val="63"/>
        <w:spacing w:line="480" w:lineRule="exact"/>
        <w:jc w:val="center"/>
        <w:outlineLvl w:val="9"/>
        <w:rPr>
          <w:rFonts w:hint="eastAsia" w:hAnsi="宋体" w:cs="黑体"/>
          <w:b/>
          <w:color w:val="auto"/>
          <w:sz w:val="28"/>
          <w:szCs w:val="28"/>
        </w:rPr>
      </w:pPr>
    </w:p>
    <w:p w14:paraId="2CFD8B88">
      <w:pPr>
        <w:pStyle w:val="63"/>
        <w:spacing w:line="480" w:lineRule="exact"/>
        <w:jc w:val="center"/>
        <w:outlineLvl w:val="9"/>
        <w:rPr>
          <w:rFonts w:hint="eastAsia" w:hAnsi="宋体" w:cs="黑体"/>
          <w:b/>
          <w:color w:val="auto"/>
          <w:sz w:val="28"/>
          <w:szCs w:val="28"/>
        </w:rPr>
      </w:pPr>
    </w:p>
    <w:p w14:paraId="56595A6F">
      <w:pPr>
        <w:pStyle w:val="63"/>
        <w:spacing w:line="480" w:lineRule="exact"/>
        <w:jc w:val="center"/>
        <w:outlineLvl w:val="9"/>
        <w:rPr>
          <w:rFonts w:hint="eastAsia" w:hAnsi="宋体" w:cs="黑体"/>
          <w:b/>
          <w:color w:val="auto"/>
          <w:sz w:val="28"/>
          <w:szCs w:val="28"/>
        </w:rPr>
      </w:pPr>
    </w:p>
    <w:p w14:paraId="54040C6F">
      <w:pPr>
        <w:pStyle w:val="63"/>
        <w:spacing w:line="480" w:lineRule="exact"/>
        <w:jc w:val="center"/>
        <w:outlineLvl w:val="9"/>
        <w:rPr>
          <w:rFonts w:hint="eastAsia" w:hAnsi="宋体" w:cs="黑体"/>
          <w:b/>
          <w:color w:val="auto"/>
          <w:sz w:val="28"/>
          <w:szCs w:val="28"/>
        </w:rPr>
      </w:pPr>
    </w:p>
    <w:p w14:paraId="28825CF5">
      <w:pPr>
        <w:pStyle w:val="63"/>
        <w:spacing w:line="480" w:lineRule="exact"/>
        <w:jc w:val="center"/>
        <w:outlineLvl w:val="9"/>
        <w:rPr>
          <w:rFonts w:hint="eastAsia" w:hAnsi="宋体" w:cs="黑体"/>
          <w:b/>
          <w:color w:val="auto"/>
          <w:sz w:val="28"/>
          <w:szCs w:val="28"/>
        </w:rPr>
      </w:pPr>
    </w:p>
    <w:p w14:paraId="064A8EA7">
      <w:pPr>
        <w:pStyle w:val="63"/>
        <w:spacing w:line="480" w:lineRule="exact"/>
        <w:jc w:val="center"/>
        <w:outlineLvl w:val="9"/>
        <w:rPr>
          <w:rFonts w:hint="eastAsia" w:hAnsi="宋体" w:cs="黑体"/>
          <w:b/>
          <w:color w:val="auto"/>
          <w:sz w:val="28"/>
          <w:szCs w:val="28"/>
        </w:rPr>
      </w:pPr>
    </w:p>
    <w:p w14:paraId="37A3F49D">
      <w:pPr>
        <w:pStyle w:val="63"/>
        <w:spacing w:line="480" w:lineRule="exact"/>
        <w:jc w:val="center"/>
        <w:outlineLvl w:val="9"/>
        <w:rPr>
          <w:rFonts w:hint="eastAsia" w:hAnsi="宋体" w:cs="黑体"/>
          <w:b/>
          <w:color w:val="auto"/>
          <w:sz w:val="28"/>
          <w:szCs w:val="28"/>
        </w:rPr>
      </w:pPr>
    </w:p>
    <w:p w14:paraId="5545714F">
      <w:pPr>
        <w:pStyle w:val="63"/>
        <w:spacing w:line="480" w:lineRule="exact"/>
        <w:jc w:val="center"/>
        <w:outlineLvl w:val="9"/>
        <w:rPr>
          <w:rFonts w:hint="eastAsia" w:hAnsi="宋体" w:cs="黑体"/>
          <w:b/>
          <w:color w:val="auto"/>
          <w:sz w:val="28"/>
          <w:szCs w:val="28"/>
        </w:rPr>
      </w:pPr>
    </w:p>
    <w:p w14:paraId="2134C96A">
      <w:pPr>
        <w:pStyle w:val="63"/>
        <w:spacing w:line="480" w:lineRule="exact"/>
        <w:jc w:val="center"/>
        <w:outlineLvl w:val="9"/>
        <w:rPr>
          <w:rFonts w:hint="eastAsia" w:hAnsi="宋体" w:cs="黑体"/>
          <w:b/>
          <w:color w:val="auto"/>
          <w:sz w:val="28"/>
          <w:szCs w:val="28"/>
        </w:rPr>
      </w:pPr>
    </w:p>
    <w:p w14:paraId="58144070">
      <w:pPr>
        <w:pStyle w:val="63"/>
        <w:spacing w:line="480" w:lineRule="exact"/>
        <w:jc w:val="center"/>
        <w:outlineLvl w:val="9"/>
        <w:rPr>
          <w:rFonts w:hint="eastAsia" w:hAnsi="宋体" w:cs="黑体"/>
          <w:b/>
          <w:color w:val="auto"/>
          <w:sz w:val="28"/>
          <w:szCs w:val="28"/>
        </w:rPr>
      </w:pPr>
    </w:p>
    <w:p w14:paraId="53DD8CCD">
      <w:pPr>
        <w:pStyle w:val="63"/>
        <w:spacing w:line="480" w:lineRule="exact"/>
        <w:jc w:val="center"/>
        <w:outlineLvl w:val="9"/>
        <w:rPr>
          <w:rFonts w:hint="eastAsia" w:hAnsi="宋体" w:cs="黑体"/>
          <w:b/>
          <w:color w:val="auto"/>
          <w:sz w:val="28"/>
          <w:szCs w:val="28"/>
        </w:rPr>
      </w:pPr>
    </w:p>
    <w:p w14:paraId="0C036E4E">
      <w:pPr>
        <w:rPr>
          <w:rFonts w:hint="eastAsia" w:eastAsia="宋体"/>
          <w:lang w:val="en-US" w:eastAsia="zh-CN"/>
        </w:rPr>
      </w:pPr>
      <w:bookmarkStart w:id="589" w:name="_Toc7604"/>
      <w:bookmarkStart w:id="590" w:name="_Toc17514"/>
      <w:r>
        <w:rPr>
          <w:rFonts w:hint="eastAsia"/>
          <w:b/>
          <w:color w:val="auto"/>
          <w:sz w:val="28"/>
          <w:szCs w:val="28"/>
          <w:lang w:val="en-US" w:eastAsia="zh-CN"/>
        </w:rPr>
        <w:br w:type="page"/>
      </w:r>
    </w:p>
    <w:p w14:paraId="0C42823E">
      <w:pPr>
        <w:spacing w:line="360" w:lineRule="auto"/>
        <w:ind w:firstLine="210" w:firstLineChars="100"/>
        <w:jc w:val="left"/>
        <w:rPr>
          <w:rFonts w:hint="eastAsia" w:ascii="宋体" w:hAnsi="宋体"/>
          <w:szCs w:val="21"/>
        </w:rPr>
      </w:pPr>
    </w:p>
    <w:p w14:paraId="6A862326">
      <w:pPr>
        <w:spacing w:line="360" w:lineRule="auto"/>
        <w:ind w:firstLine="210" w:firstLineChars="100"/>
        <w:jc w:val="left"/>
        <w:rPr>
          <w:rFonts w:hint="eastAsia" w:ascii="宋体" w:hAnsi="宋体"/>
          <w:szCs w:val="21"/>
        </w:rPr>
      </w:pPr>
    </w:p>
    <w:p w14:paraId="6FD93E4C">
      <w:pPr>
        <w:pStyle w:val="63"/>
        <w:numPr>
          <w:ilvl w:val="0"/>
          <w:numId w:val="0"/>
        </w:numPr>
        <w:spacing w:line="480" w:lineRule="exact"/>
        <w:ind w:leftChars="0"/>
        <w:jc w:val="center"/>
        <w:outlineLvl w:val="1"/>
        <w:rPr>
          <w:rFonts w:hint="eastAsia"/>
          <w:b/>
          <w:color w:val="auto"/>
          <w:sz w:val="28"/>
          <w:szCs w:val="28"/>
        </w:rPr>
      </w:pPr>
      <w:r>
        <w:rPr>
          <w:rFonts w:hint="eastAsia"/>
          <w:b/>
          <w:color w:val="auto"/>
          <w:sz w:val="28"/>
          <w:szCs w:val="28"/>
          <w:lang w:val="en-US" w:eastAsia="zh-CN"/>
        </w:rPr>
        <w:t xml:space="preserve">11  </w:t>
      </w:r>
      <w:r>
        <w:rPr>
          <w:rFonts w:hint="eastAsia"/>
          <w:b/>
          <w:color w:val="auto"/>
          <w:sz w:val="28"/>
          <w:szCs w:val="28"/>
        </w:rPr>
        <w:t>其它资料</w:t>
      </w:r>
      <w:bookmarkEnd w:id="589"/>
      <w:bookmarkEnd w:id="590"/>
    </w:p>
    <w:p w14:paraId="2A934548">
      <w:pPr>
        <w:pStyle w:val="63"/>
        <w:spacing w:line="480" w:lineRule="exact"/>
        <w:jc w:val="center"/>
        <w:outlineLvl w:val="9"/>
        <w:rPr>
          <w:rFonts w:hint="eastAsia"/>
          <w:b/>
          <w:color w:val="auto"/>
          <w:sz w:val="28"/>
          <w:szCs w:val="28"/>
        </w:rPr>
      </w:pPr>
    </w:p>
    <w:p w14:paraId="64D8821E">
      <w:pPr>
        <w:pStyle w:val="63"/>
        <w:spacing w:line="480" w:lineRule="exact"/>
        <w:jc w:val="center"/>
        <w:outlineLvl w:val="9"/>
        <w:rPr>
          <w:rFonts w:hint="eastAsia"/>
          <w:b/>
          <w:color w:val="auto"/>
          <w:sz w:val="28"/>
          <w:szCs w:val="28"/>
        </w:rPr>
      </w:pPr>
    </w:p>
    <w:p w14:paraId="7101A830">
      <w:pPr>
        <w:pStyle w:val="63"/>
        <w:spacing w:line="480" w:lineRule="exact"/>
        <w:jc w:val="center"/>
        <w:outlineLvl w:val="9"/>
        <w:rPr>
          <w:rFonts w:hint="eastAsia"/>
          <w:b/>
          <w:color w:val="auto"/>
          <w:sz w:val="28"/>
          <w:szCs w:val="28"/>
        </w:rPr>
      </w:pPr>
    </w:p>
    <w:p w14:paraId="05B828D9">
      <w:pPr>
        <w:pStyle w:val="63"/>
        <w:spacing w:line="480" w:lineRule="exact"/>
        <w:jc w:val="center"/>
        <w:outlineLvl w:val="9"/>
        <w:rPr>
          <w:rFonts w:hint="eastAsia"/>
          <w:b/>
          <w:color w:val="auto"/>
          <w:sz w:val="28"/>
          <w:szCs w:val="28"/>
        </w:rPr>
      </w:pPr>
    </w:p>
    <w:p w14:paraId="73F629F9">
      <w:pPr>
        <w:pStyle w:val="63"/>
        <w:spacing w:line="480" w:lineRule="exact"/>
        <w:jc w:val="center"/>
        <w:outlineLvl w:val="9"/>
        <w:rPr>
          <w:rFonts w:hint="eastAsia"/>
          <w:b/>
          <w:color w:val="auto"/>
          <w:sz w:val="28"/>
          <w:szCs w:val="28"/>
        </w:rPr>
      </w:pPr>
    </w:p>
    <w:p w14:paraId="3AD3C26F">
      <w:pPr>
        <w:pStyle w:val="63"/>
        <w:spacing w:line="480" w:lineRule="exact"/>
        <w:jc w:val="center"/>
        <w:outlineLvl w:val="9"/>
        <w:rPr>
          <w:rFonts w:hint="eastAsia"/>
          <w:b/>
          <w:color w:val="auto"/>
          <w:sz w:val="28"/>
          <w:szCs w:val="28"/>
        </w:rPr>
      </w:pPr>
    </w:p>
    <w:p w14:paraId="29F30048">
      <w:pPr>
        <w:pStyle w:val="63"/>
        <w:spacing w:line="480" w:lineRule="exact"/>
        <w:jc w:val="center"/>
        <w:outlineLvl w:val="9"/>
        <w:rPr>
          <w:rFonts w:hint="eastAsia"/>
          <w:b/>
          <w:color w:val="auto"/>
          <w:sz w:val="28"/>
          <w:szCs w:val="28"/>
        </w:rPr>
      </w:pPr>
    </w:p>
    <w:p w14:paraId="7196FFE8">
      <w:pPr>
        <w:pStyle w:val="63"/>
        <w:spacing w:line="480" w:lineRule="exact"/>
        <w:jc w:val="center"/>
        <w:outlineLvl w:val="9"/>
        <w:rPr>
          <w:rFonts w:hint="eastAsia"/>
          <w:b/>
          <w:color w:val="auto"/>
          <w:sz w:val="28"/>
          <w:szCs w:val="28"/>
        </w:rPr>
      </w:pPr>
    </w:p>
    <w:p w14:paraId="0DB1E2F8">
      <w:pPr>
        <w:pStyle w:val="63"/>
        <w:spacing w:line="480" w:lineRule="exact"/>
        <w:jc w:val="center"/>
        <w:outlineLvl w:val="9"/>
        <w:rPr>
          <w:rFonts w:hint="eastAsia"/>
          <w:b/>
          <w:color w:val="auto"/>
          <w:sz w:val="28"/>
          <w:szCs w:val="28"/>
        </w:rPr>
      </w:pPr>
    </w:p>
    <w:p w14:paraId="5CAA4484">
      <w:pPr>
        <w:pStyle w:val="63"/>
        <w:spacing w:line="480" w:lineRule="exact"/>
        <w:jc w:val="center"/>
        <w:outlineLvl w:val="9"/>
        <w:rPr>
          <w:rFonts w:hint="eastAsia"/>
          <w:b/>
          <w:color w:val="auto"/>
          <w:sz w:val="28"/>
          <w:szCs w:val="28"/>
        </w:rPr>
      </w:pPr>
    </w:p>
    <w:p w14:paraId="0A68EBCE">
      <w:pPr>
        <w:pStyle w:val="63"/>
        <w:spacing w:line="480" w:lineRule="exact"/>
        <w:jc w:val="center"/>
        <w:outlineLvl w:val="9"/>
        <w:rPr>
          <w:rFonts w:hint="eastAsia"/>
          <w:b/>
          <w:color w:val="auto"/>
          <w:sz w:val="28"/>
          <w:szCs w:val="28"/>
        </w:rPr>
      </w:pPr>
    </w:p>
    <w:p w14:paraId="2243EC91">
      <w:pPr>
        <w:pStyle w:val="63"/>
        <w:spacing w:line="480" w:lineRule="exact"/>
        <w:jc w:val="center"/>
        <w:outlineLvl w:val="9"/>
        <w:rPr>
          <w:rFonts w:hint="eastAsia"/>
          <w:b/>
          <w:color w:val="auto"/>
          <w:sz w:val="28"/>
          <w:szCs w:val="28"/>
        </w:rPr>
      </w:pPr>
    </w:p>
    <w:p w14:paraId="6261508A">
      <w:pPr>
        <w:pStyle w:val="63"/>
        <w:spacing w:line="480" w:lineRule="exact"/>
        <w:jc w:val="center"/>
        <w:outlineLvl w:val="9"/>
        <w:rPr>
          <w:rFonts w:hint="eastAsia"/>
          <w:b/>
          <w:color w:val="auto"/>
          <w:sz w:val="28"/>
          <w:szCs w:val="28"/>
        </w:rPr>
      </w:pPr>
    </w:p>
    <w:p w14:paraId="3DE5496C">
      <w:pPr>
        <w:pStyle w:val="63"/>
        <w:spacing w:line="480" w:lineRule="exact"/>
        <w:jc w:val="center"/>
        <w:outlineLvl w:val="9"/>
        <w:rPr>
          <w:rFonts w:hint="eastAsia"/>
          <w:b/>
          <w:color w:val="auto"/>
          <w:sz w:val="28"/>
          <w:szCs w:val="28"/>
        </w:rPr>
      </w:pPr>
    </w:p>
    <w:p w14:paraId="3C4F4F99">
      <w:pPr>
        <w:pStyle w:val="63"/>
        <w:spacing w:line="480" w:lineRule="exact"/>
        <w:jc w:val="center"/>
        <w:outlineLvl w:val="9"/>
        <w:rPr>
          <w:rFonts w:hint="eastAsia"/>
          <w:b/>
          <w:color w:val="auto"/>
          <w:sz w:val="28"/>
          <w:szCs w:val="28"/>
        </w:rPr>
      </w:pPr>
    </w:p>
    <w:p w14:paraId="54F677D4">
      <w:pPr>
        <w:pStyle w:val="63"/>
        <w:spacing w:line="480" w:lineRule="exact"/>
        <w:jc w:val="center"/>
        <w:outlineLvl w:val="9"/>
        <w:rPr>
          <w:rFonts w:hint="eastAsia"/>
          <w:b/>
          <w:color w:val="auto"/>
          <w:sz w:val="28"/>
          <w:szCs w:val="28"/>
        </w:rPr>
      </w:pPr>
    </w:p>
    <w:p w14:paraId="210AAF72">
      <w:pPr>
        <w:pStyle w:val="63"/>
        <w:spacing w:line="480" w:lineRule="exact"/>
        <w:jc w:val="center"/>
        <w:outlineLvl w:val="9"/>
        <w:rPr>
          <w:rFonts w:hint="eastAsia"/>
          <w:b/>
          <w:color w:val="auto"/>
          <w:sz w:val="28"/>
          <w:szCs w:val="28"/>
        </w:rPr>
      </w:pPr>
    </w:p>
    <w:p w14:paraId="3BC1CA6A">
      <w:pPr>
        <w:pStyle w:val="63"/>
        <w:spacing w:line="480" w:lineRule="exact"/>
        <w:jc w:val="center"/>
        <w:outlineLvl w:val="9"/>
        <w:rPr>
          <w:rFonts w:hint="eastAsia"/>
          <w:b/>
          <w:color w:val="auto"/>
          <w:sz w:val="28"/>
          <w:szCs w:val="28"/>
        </w:rPr>
      </w:pPr>
    </w:p>
    <w:p w14:paraId="5AC374A7">
      <w:pPr>
        <w:pStyle w:val="63"/>
        <w:spacing w:line="480" w:lineRule="exact"/>
        <w:jc w:val="center"/>
        <w:outlineLvl w:val="9"/>
        <w:rPr>
          <w:rFonts w:hint="eastAsia"/>
          <w:b/>
          <w:color w:val="auto"/>
          <w:sz w:val="28"/>
          <w:szCs w:val="28"/>
        </w:rPr>
      </w:pPr>
    </w:p>
    <w:p w14:paraId="154594AB">
      <w:pPr>
        <w:pStyle w:val="63"/>
        <w:spacing w:line="480" w:lineRule="exact"/>
        <w:jc w:val="center"/>
        <w:outlineLvl w:val="9"/>
        <w:rPr>
          <w:rFonts w:hint="eastAsia"/>
          <w:b/>
          <w:color w:val="auto"/>
          <w:sz w:val="28"/>
          <w:szCs w:val="28"/>
        </w:rPr>
      </w:pPr>
    </w:p>
    <w:p w14:paraId="650E36F2">
      <w:pPr>
        <w:pStyle w:val="63"/>
        <w:spacing w:line="480" w:lineRule="exact"/>
        <w:jc w:val="center"/>
        <w:outlineLvl w:val="9"/>
        <w:rPr>
          <w:rFonts w:hint="eastAsia"/>
          <w:b/>
          <w:color w:val="auto"/>
          <w:sz w:val="28"/>
          <w:szCs w:val="28"/>
        </w:rPr>
      </w:pPr>
    </w:p>
    <w:p w14:paraId="77F4661F">
      <w:pPr>
        <w:pStyle w:val="22"/>
        <w:spacing w:line="500" w:lineRule="exact"/>
        <w:ind w:left="0" w:leftChars="0" w:firstLine="0" w:firstLineChars="0"/>
        <w:jc w:val="center"/>
        <w:rPr>
          <w:rFonts w:hint="eastAsia"/>
        </w:rPr>
      </w:pPr>
    </w:p>
    <w:p w14:paraId="3FDEF1E3">
      <w:pPr>
        <w:pStyle w:val="22"/>
        <w:spacing w:line="500" w:lineRule="exact"/>
        <w:ind w:left="0" w:leftChars="0" w:firstLine="0" w:firstLineChars="0"/>
        <w:jc w:val="center"/>
        <w:rPr>
          <w:rFonts w:hint="eastAsia"/>
        </w:rPr>
      </w:pPr>
    </w:p>
    <w:p w14:paraId="7D5DD2CA">
      <w:pPr>
        <w:pStyle w:val="63"/>
        <w:spacing w:line="480" w:lineRule="exact"/>
        <w:jc w:val="both"/>
        <w:outlineLvl w:val="9"/>
        <w:rPr>
          <w:rFonts w:hint="eastAsia"/>
          <w:b/>
          <w:color w:val="auto"/>
          <w:sz w:val="28"/>
          <w:szCs w:val="28"/>
        </w:rPr>
      </w:pPr>
    </w:p>
    <w:p w14:paraId="45B990FB">
      <w:pPr>
        <w:spacing w:line="360" w:lineRule="auto"/>
        <w:jc w:val="center"/>
        <w:rPr>
          <w:rFonts w:hint="eastAsia" w:ascii="宋体" w:cs="宋体"/>
          <w:b/>
          <w:color w:val="auto"/>
          <w:kern w:val="0"/>
          <w:sz w:val="28"/>
          <w:szCs w:val="28"/>
          <w:lang w:val="en-US" w:eastAsia="zh-CN" w:bidi="ar-SA"/>
        </w:rPr>
      </w:pPr>
      <w:bookmarkStart w:id="591" w:name="_Toc29958"/>
      <w:bookmarkStart w:id="592" w:name="_Toc712"/>
      <w:bookmarkStart w:id="593" w:name="_Toc1923"/>
      <w:r>
        <w:rPr>
          <w:rFonts w:hint="eastAsia" w:ascii="宋体" w:hAnsi="宋体" w:cs="宋体"/>
          <w:b/>
          <w:bCs/>
          <w:szCs w:val="21"/>
        </w:rPr>
        <w:br w:type="page"/>
      </w:r>
      <w:r>
        <w:rPr>
          <w:rFonts w:hint="eastAsia" w:ascii="宋体" w:cs="宋体"/>
          <w:b/>
          <w:color w:val="auto"/>
          <w:kern w:val="0"/>
          <w:sz w:val="28"/>
          <w:szCs w:val="28"/>
          <w:lang w:val="en-US" w:eastAsia="zh-CN" w:bidi="ar-SA"/>
        </w:rPr>
        <w:t>12 中小企业声明函</w:t>
      </w:r>
    </w:p>
    <w:p w14:paraId="310FDFB8">
      <w:pPr>
        <w:spacing w:line="360" w:lineRule="auto"/>
        <w:jc w:val="center"/>
        <w:rPr>
          <w:rFonts w:hint="eastAsia" w:ascii="宋体" w:cs="宋体"/>
          <w:b/>
          <w:color w:val="auto"/>
          <w:kern w:val="0"/>
          <w:sz w:val="24"/>
          <w:szCs w:val="24"/>
          <w:lang w:val="en-US" w:eastAsia="zh-CN" w:bidi="ar-SA"/>
        </w:rPr>
      </w:pPr>
      <w:r>
        <w:rPr>
          <w:rFonts w:hint="eastAsia" w:ascii="宋体" w:cs="宋体"/>
          <w:b/>
          <w:color w:val="auto"/>
          <w:kern w:val="0"/>
          <w:sz w:val="24"/>
          <w:szCs w:val="24"/>
          <w:lang w:val="en-US" w:eastAsia="zh-CN" w:bidi="ar-SA"/>
        </w:rPr>
        <w:t xml:space="preserve">  （如是请填写）</w:t>
      </w:r>
    </w:p>
    <w:p w14:paraId="0AB92DFA">
      <w:p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本公司郑重声明，根据《政府采购促进中小企业发展暂行办法》（财库【2011】181号）的规定，本公司为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（请填写：中型、小型、微型）企业。即，本公司同时满足以下条件：</w:t>
      </w:r>
    </w:p>
    <w:p w14:paraId="5BC90936">
      <w:pPr>
        <w:numPr>
          <w:ilvl w:val="0"/>
          <w:numId w:val="6"/>
        </w:num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w:t>
      </w:r>
    </w:p>
    <w:p w14:paraId="4AF830BB">
      <w:pPr>
        <w:numPr>
          <w:ilvl w:val="0"/>
          <w:numId w:val="6"/>
        </w:num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项目采购活动提供本企业制造的货物，由本企业承担工程、提供服务，或者提供其他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（请填写：中型、小型、微型）企业制造的货物。本条所称货物不包括使用大型企业注册商标的货物。</w:t>
      </w:r>
    </w:p>
    <w:p w14:paraId="356EFF97">
      <w:pPr>
        <w:adjustRightInd/>
        <w:spacing w:line="5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本公司对上述声明的真实性负责。如有虚假。将依法承担相应责任。</w:t>
      </w:r>
    </w:p>
    <w:p w14:paraId="11E18CC4">
      <w:pPr>
        <w:adjustRightInd/>
        <w:spacing w:line="560" w:lineRule="exact"/>
        <w:ind w:firstLine="420" w:firstLineChars="200"/>
        <w:jc w:val="right"/>
        <w:textAlignment w:val="auto"/>
        <w:rPr>
          <w:rFonts w:hint="eastAsia" w:ascii="宋体" w:hAnsi="宋体" w:eastAsia="宋体" w:cs="宋体"/>
          <w:color w:val="auto"/>
          <w:sz w:val="21"/>
          <w:szCs w:val="21"/>
          <w:highlight w:val="none"/>
        </w:rPr>
      </w:pPr>
    </w:p>
    <w:p w14:paraId="42704923">
      <w:pPr>
        <w:adjustRightInd/>
        <w:spacing w:line="560" w:lineRule="exact"/>
        <w:ind w:firstLine="420" w:firstLineChars="200"/>
        <w:jc w:val="right"/>
        <w:textAlignment w:val="auto"/>
        <w:rPr>
          <w:rFonts w:hint="eastAsia" w:ascii="宋体" w:hAnsi="宋体" w:eastAsia="宋体" w:cs="宋体"/>
          <w:color w:val="auto"/>
          <w:sz w:val="21"/>
          <w:szCs w:val="21"/>
          <w:highlight w:val="none"/>
        </w:rPr>
      </w:pPr>
    </w:p>
    <w:p w14:paraId="0E258E92">
      <w:pPr>
        <w:adjustRightInd/>
        <w:spacing w:line="56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r>
        <w:rPr>
          <w:rFonts w:hint="eastAsia" w:ascii="宋体" w:hAnsi="宋体" w:cs="宋体"/>
          <w:color w:val="auto"/>
          <w:sz w:val="21"/>
          <w:szCs w:val="21"/>
          <w:highlight w:val="none"/>
          <w:lang w:eastAsia="zh-CN"/>
        </w:rPr>
        <w:t>：</w:t>
      </w:r>
    </w:p>
    <w:p w14:paraId="7CB4DAA1">
      <w:pPr>
        <w:adjustRightInd/>
        <w:spacing w:line="56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01D5A548">
      <w:pPr>
        <w:spacing w:line="720" w:lineRule="auto"/>
        <w:rPr>
          <w:color w:val="auto"/>
          <w:sz w:val="18"/>
          <w:szCs w:val="21"/>
          <w:highlight w:val="none"/>
        </w:rPr>
      </w:pPr>
    </w:p>
    <w:p w14:paraId="6B7176F4">
      <w:pPr>
        <w:rPr>
          <w:color w:val="auto"/>
          <w:highlight w:val="none"/>
        </w:rPr>
      </w:pPr>
    </w:p>
    <w:p w14:paraId="4CDEA2AE">
      <w:pPr>
        <w:pStyle w:val="63"/>
        <w:numPr>
          <w:ilvl w:val="0"/>
          <w:numId w:val="0"/>
        </w:numPr>
        <w:spacing w:line="480" w:lineRule="exact"/>
        <w:ind w:leftChars="0"/>
        <w:jc w:val="center"/>
        <w:outlineLvl w:val="1"/>
        <w:rPr>
          <w:rFonts w:hAnsi="宋体"/>
          <w:b/>
          <w:color w:val="auto"/>
          <w:sz w:val="28"/>
          <w:szCs w:val="28"/>
        </w:rPr>
      </w:pPr>
      <w:r>
        <w:rPr>
          <w:rFonts w:hint="eastAsia" w:ascii="宋体" w:hAnsi="宋体" w:cs="宋体"/>
          <w:b/>
          <w:bCs/>
          <w:szCs w:val="21"/>
        </w:rPr>
        <w:br w:type="page"/>
      </w:r>
      <w:r>
        <w:rPr>
          <w:rFonts w:hint="eastAsia" w:ascii="宋体" w:cs="宋体"/>
          <w:b/>
          <w:color w:val="auto"/>
          <w:kern w:val="0"/>
          <w:sz w:val="28"/>
          <w:szCs w:val="28"/>
          <w:lang w:val="en-US" w:eastAsia="zh-CN" w:bidi="ar-SA"/>
        </w:rPr>
        <w:t>1</w:t>
      </w:r>
      <w:r>
        <w:rPr>
          <w:rFonts w:hint="eastAsia" w:cs="宋体"/>
          <w:b/>
          <w:color w:val="auto"/>
          <w:kern w:val="0"/>
          <w:sz w:val="28"/>
          <w:szCs w:val="28"/>
          <w:lang w:val="en-US" w:eastAsia="zh-CN" w:bidi="ar-SA"/>
        </w:rPr>
        <w:t>3</w:t>
      </w:r>
      <w:r>
        <w:rPr>
          <w:rFonts w:hint="eastAsia" w:ascii="宋体" w:cs="宋体"/>
          <w:b/>
          <w:color w:val="auto"/>
          <w:kern w:val="0"/>
          <w:sz w:val="28"/>
          <w:szCs w:val="28"/>
          <w:lang w:val="en-US" w:eastAsia="zh-CN" w:bidi="ar-SA"/>
        </w:rPr>
        <w:t xml:space="preserve"> 残疾人福利性单位声明函</w:t>
      </w:r>
    </w:p>
    <w:p w14:paraId="25E50909">
      <w:pPr>
        <w:pStyle w:val="63"/>
        <w:spacing w:line="480" w:lineRule="exact"/>
        <w:jc w:val="center"/>
        <w:rPr>
          <w:rFonts w:hAnsi="宋体"/>
          <w:b/>
          <w:color w:val="auto"/>
          <w:sz w:val="28"/>
          <w:szCs w:val="28"/>
        </w:rPr>
      </w:pPr>
    </w:p>
    <w:p w14:paraId="1A19659E">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项目采购活动提供本单位制造的货物（由本单位承担工程/提供服务），或者提供其他残疾人福利性单位制造的货物（不包括使用非残疾人福利性单位注册商标的货物）。</w:t>
      </w:r>
    </w:p>
    <w:p w14:paraId="1A0D0CA5">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0D19432F">
      <w:pPr>
        <w:spacing w:line="360" w:lineRule="auto"/>
        <w:ind w:firstLine="444" w:firstLineChars="200"/>
        <w:rPr>
          <w:rFonts w:ascii="宋体" w:hAnsi="宋体" w:cs="宋体"/>
          <w:spacing w:val="6"/>
          <w:szCs w:val="21"/>
        </w:rPr>
      </w:pPr>
    </w:p>
    <w:p w14:paraId="78FBFB91">
      <w:pPr>
        <w:spacing w:line="360" w:lineRule="auto"/>
        <w:ind w:firstLine="444" w:firstLineChars="200"/>
        <w:rPr>
          <w:rFonts w:ascii="宋体" w:hAnsi="宋体" w:cs="宋体"/>
          <w:spacing w:val="6"/>
          <w:szCs w:val="21"/>
        </w:rPr>
      </w:pPr>
    </w:p>
    <w:p w14:paraId="52DA259D">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14:paraId="3E9806F1">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14:paraId="55D28259">
      <w:pPr>
        <w:tabs>
          <w:tab w:val="left" w:pos="840"/>
        </w:tabs>
        <w:autoSpaceDE w:val="0"/>
        <w:autoSpaceDN w:val="0"/>
        <w:adjustRightInd w:val="0"/>
        <w:spacing w:line="360" w:lineRule="auto"/>
        <w:jc w:val="center"/>
        <w:rPr>
          <w:rFonts w:ascii="宋体" w:hAnsi="宋体" w:cs="宋体"/>
          <w:b/>
          <w:sz w:val="24"/>
        </w:rPr>
      </w:pPr>
    </w:p>
    <w:p w14:paraId="50DB3B30">
      <w:pPr>
        <w:widowControl/>
        <w:spacing w:line="360" w:lineRule="auto"/>
        <w:rPr>
          <w:rFonts w:ascii="宋体" w:hAnsi="宋体" w:cs="宋体"/>
          <w:b/>
          <w:szCs w:val="21"/>
        </w:rPr>
      </w:pPr>
      <w:r>
        <w:rPr>
          <w:rFonts w:hint="eastAsia" w:ascii="宋体" w:hAnsi="宋体" w:cs="宋体"/>
          <w:b/>
          <w:szCs w:val="21"/>
        </w:rPr>
        <w:t>（提醒：如果供应商</w:t>
      </w:r>
      <w:r>
        <w:rPr>
          <w:rFonts w:hint="eastAsia" w:ascii="宋体" w:hAnsi="宋体" w:cs="宋体"/>
          <w:b/>
          <w:spacing w:val="10"/>
          <w:kern w:val="0"/>
          <w:szCs w:val="21"/>
        </w:rPr>
        <w:t>不是残疾人福利性单位</w:t>
      </w:r>
      <w:r>
        <w:rPr>
          <w:rFonts w:hint="eastAsia" w:ascii="宋体" w:hAnsi="宋体" w:cs="宋体"/>
          <w:b/>
          <w:szCs w:val="21"/>
        </w:rPr>
        <w:t>，则不需填写《残疾人福利性单位声明函》。否则，因此导致虚假参与的后果由供应商自行承担。）</w:t>
      </w:r>
    </w:p>
    <w:p w14:paraId="4CF2A5C6">
      <w:pPr>
        <w:ind w:left="58" w:leftChars="28"/>
        <w:rPr>
          <w:rFonts w:ascii="宋体" w:hAnsi="宋体" w:cs="宋体"/>
          <w:sz w:val="24"/>
        </w:rPr>
      </w:pPr>
    </w:p>
    <w:p w14:paraId="7C5283C4">
      <w:pPr>
        <w:ind w:left="58" w:leftChars="28"/>
        <w:rPr>
          <w:rFonts w:ascii="宋体" w:hAnsi="宋体" w:cs="宋体"/>
          <w:sz w:val="24"/>
        </w:rPr>
      </w:pPr>
    </w:p>
    <w:p w14:paraId="5C25E443">
      <w:pPr>
        <w:ind w:left="58" w:leftChars="28"/>
        <w:rPr>
          <w:rFonts w:ascii="宋体" w:hAnsi="宋体" w:cs="宋体"/>
          <w:sz w:val="24"/>
        </w:rPr>
      </w:pPr>
    </w:p>
    <w:p w14:paraId="46309A74">
      <w:pPr>
        <w:pageBreakBefore w:val="0"/>
        <w:kinsoku/>
        <w:overflowPunct/>
        <w:topLinePunct w:val="0"/>
        <w:autoSpaceDE/>
        <w:autoSpaceDN/>
        <w:bidi w:val="0"/>
        <w:snapToGrid/>
        <w:spacing w:line="360" w:lineRule="auto"/>
        <w:jc w:val="center"/>
        <w:outlineLvl w:val="0"/>
        <w:rPr>
          <w:rFonts w:hint="eastAsia"/>
          <w:b/>
          <w:bCs/>
          <w:sz w:val="32"/>
          <w:szCs w:val="32"/>
          <w:lang w:val="en-US" w:eastAsia="zh-CN"/>
        </w:rPr>
      </w:pPr>
      <w:r>
        <w:rPr>
          <w:rFonts w:hint="eastAsia" w:ascii="宋体" w:hAnsi="宋体" w:cs="宋体"/>
          <w:b/>
          <w:bCs/>
          <w:szCs w:val="21"/>
        </w:rPr>
        <w:br w:type="page"/>
      </w:r>
      <w:bookmarkStart w:id="594" w:name="_Toc10859"/>
      <w:bookmarkStart w:id="595" w:name="_Toc3349"/>
      <w:r>
        <w:rPr>
          <w:rFonts w:hint="eastAsia"/>
          <w:b/>
          <w:bCs/>
          <w:sz w:val="32"/>
          <w:szCs w:val="32"/>
          <w:lang w:val="en-US" w:eastAsia="zh-CN"/>
        </w:rPr>
        <w:t>附评标办法</w:t>
      </w:r>
      <w:bookmarkEnd w:id="591"/>
      <w:bookmarkEnd w:id="592"/>
      <w:bookmarkEnd w:id="594"/>
      <w:bookmarkEnd w:id="595"/>
    </w:p>
    <w:bookmarkEnd w:id="582"/>
    <w:bookmarkEnd w:id="583"/>
    <w:bookmarkEnd w:id="584"/>
    <w:bookmarkEnd w:id="593"/>
    <w:p w14:paraId="566B3172">
      <w:pPr>
        <w:widowControl/>
        <w:wordWrap/>
        <w:snapToGrid w:val="0"/>
        <w:spacing w:before="156" w:beforeLines="50" w:beforeAutospacing="0" w:after="156" w:afterLines="50" w:afterAutospacing="0" w:line="240" w:lineRule="auto"/>
        <w:jc w:val="center"/>
        <w:outlineLvl w:val="2"/>
        <w:rPr>
          <w:rFonts w:ascii="宋体" w:hAnsi="宋体" w:eastAsia="宋体" w:cs="宋体"/>
          <w:b/>
          <w:color w:val="000000"/>
          <w:kern w:val="0"/>
          <w:sz w:val="24"/>
          <w:szCs w:val="24"/>
          <w:lang w:val="en-US" w:eastAsia="zh-CN" w:bidi="ar-SA"/>
        </w:rPr>
      </w:pPr>
      <w:bookmarkStart w:id="596" w:name="_Toc24055"/>
      <w:bookmarkStart w:id="597" w:name="_Toc458347753"/>
      <w:r>
        <w:rPr>
          <w:rFonts w:hint="eastAsia" w:ascii="宋体" w:hAnsi="宋体" w:eastAsia="宋体" w:cs="宋体"/>
          <w:b/>
          <w:color w:val="000000"/>
          <w:kern w:val="0"/>
          <w:sz w:val="24"/>
          <w:szCs w:val="24"/>
          <w:lang w:val="en-US" w:eastAsia="zh-CN" w:bidi="ar-SA"/>
        </w:rPr>
        <w:t>前附表</w:t>
      </w:r>
      <w:bookmarkEnd w:id="596"/>
      <w:bookmarkEnd w:id="597"/>
    </w:p>
    <w:tbl>
      <w:tblPr>
        <w:tblStyle w:val="47"/>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81"/>
        <w:gridCol w:w="1826"/>
        <w:gridCol w:w="5661"/>
      </w:tblGrid>
      <w:tr w14:paraId="48DE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5" w:type="dxa"/>
            <w:gridSpan w:val="2"/>
            <w:vAlign w:val="center"/>
          </w:tcPr>
          <w:p w14:paraId="699704C6">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条款号</w:t>
            </w:r>
          </w:p>
        </w:tc>
        <w:tc>
          <w:tcPr>
            <w:tcW w:w="1826" w:type="dxa"/>
            <w:vAlign w:val="center"/>
          </w:tcPr>
          <w:p w14:paraId="4114FB2A">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评审因素</w:t>
            </w:r>
          </w:p>
        </w:tc>
        <w:tc>
          <w:tcPr>
            <w:tcW w:w="5661" w:type="dxa"/>
            <w:vAlign w:val="center"/>
          </w:tcPr>
          <w:p w14:paraId="50138B1C">
            <w:pPr>
              <w:keepNext w:val="0"/>
              <w:keepLines w:val="0"/>
              <w:suppressLineNumbers w:val="0"/>
              <w:spacing w:before="0" w:beforeAutospacing="0" w:after="0" w:afterAutospacing="0" w:line="440" w:lineRule="exact"/>
              <w:ind w:left="0" w:right="0"/>
              <w:jc w:val="center"/>
              <w:rPr>
                <w:rFonts w:hint="default" w:ascii="宋体" w:hAnsi="宋体" w:cs="宋体"/>
                <w:b/>
                <w:bCs/>
                <w:color w:val="000000"/>
                <w:kern w:val="0"/>
                <w:szCs w:val="21"/>
              </w:rPr>
            </w:pPr>
            <w:r>
              <w:rPr>
                <w:rFonts w:hint="eastAsia" w:ascii="宋体" w:hAnsi="宋体" w:cs="宋体"/>
                <w:b/>
                <w:bCs/>
                <w:color w:val="000000"/>
                <w:kern w:val="0"/>
                <w:szCs w:val="21"/>
              </w:rPr>
              <w:t>评审标准</w:t>
            </w:r>
          </w:p>
        </w:tc>
      </w:tr>
      <w:tr w14:paraId="205C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0" w:hRule="atLeast"/>
        </w:trPr>
        <w:tc>
          <w:tcPr>
            <w:tcW w:w="884" w:type="dxa"/>
            <w:vMerge w:val="restart"/>
            <w:vAlign w:val="center"/>
          </w:tcPr>
          <w:p w14:paraId="6A199C13">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val="en-US" w:eastAsia="zh-CN"/>
              </w:rPr>
              <w:t>1</w:t>
            </w:r>
          </w:p>
        </w:tc>
        <w:tc>
          <w:tcPr>
            <w:tcW w:w="781" w:type="dxa"/>
            <w:vMerge w:val="restart"/>
            <w:vAlign w:val="center"/>
          </w:tcPr>
          <w:p w14:paraId="3599CC0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资格</w:t>
            </w:r>
          </w:p>
          <w:p w14:paraId="4956847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评审</w:t>
            </w:r>
          </w:p>
          <w:p w14:paraId="48DA49B0">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标准</w:t>
            </w:r>
          </w:p>
        </w:tc>
        <w:tc>
          <w:tcPr>
            <w:tcW w:w="1826" w:type="dxa"/>
            <w:vAlign w:val="center"/>
          </w:tcPr>
          <w:p w14:paraId="45EEB89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供应商</w:t>
            </w:r>
            <w:r>
              <w:rPr>
                <w:rFonts w:hint="default" w:ascii="宋体" w:hAnsi="宋体" w:eastAsia="宋体" w:cs="宋体"/>
                <w:color w:val="000000"/>
                <w:kern w:val="0"/>
                <w:szCs w:val="21"/>
                <w:lang w:val="en-US" w:eastAsia="zh-CN"/>
              </w:rPr>
              <w:t>符合《中华人民共和国政府采购法》第二十二条的规定</w:t>
            </w:r>
          </w:p>
        </w:tc>
        <w:tc>
          <w:tcPr>
            <w:tcW w:w="5661" w:type="dxa"/>
            <w:vAlign w:val="center"/>
          </w:tcPr>
          <w:p w14:paraId="7DAB5283">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（一）具有独立承担民事责任的能力；（提供有效的营业执照或事业单位法人证书）；</w:t>
            </w:r>
          </w:p>
          <w:p w14:paraId="06320A1D">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（二）具有良好的商业信誉和健全的财务会计制度；（提供2024年度经审计且注册会计师签字并盖章的完整的财务报告或财务报表（新成立企业从成立之日起算））。</w:t>
            </w:r>
          </w:p>
          <w:p w14:paraId="4EC83E9F">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（三）具有履行合同所必需的设备和专业技术能力；（提供承诺书，格式自拟）；</w:t>
            </w:r>
          </w:p>
          <w:p w14:paraId="2AF7E26B">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四）有依法缴纳税收和社会保障资金的良好记录；（提供2025年1月份以来任意一个月的纳税和社保缴纳凭证，依法免税或不需要缴纳社会保障资金的供应商，应提供相应文件证明其依法免税或不需要缴纳社会保障资金）；</w:t>
            </w:r>
          </w:p>
          <w:p w14:paraId="5D6A306A">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（五）参加政府采购活动前三年内，在经营活动中没有重大违法记录；（提供承诺书，格式自拟）</w:t>
            </w:r>
          </w:p>
          <w:p w14:paraId="7A3AAC6D">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rPr>
            </w:pPr>
            <w:r>
              <w:rPr>
                <w:rFonts w:hint="eastAsia" w:ascii="宋体" w:hAnsi="宋体" w:cs="宋体"/>
                <w:color w:val="000000"/>
                <w:kern w:val="0"/>
                <w:szCs w:val="21"/>
                <w:lang w:val="en-US" w:eastAsia="zh-CN"/>
              </w:rPr>
              <w:t>（六）法律、行政法规规定的其他条件（提供承诺书，格式自拟）</w:t>
            </w:r>
          </w:p>
        </w:tc>
      </w:tr>
      <w:tr w14:paraId="550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84" w:type="dxa"/>
            <w:vMerge w:val="continue"/>
            <w:vAlign w:val="center"/>
          </w:tcPr>
          <w:p w14:paraId="48BA69D1">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rPr>
            </w:pPr>
          </w:p>
        </w:tc>
        <w:tc>
          <w:tcPr>
            <w:tcW w:w="781" w:type="dxa"/>
            <w:vMerge w:val="continue"/>
            <w:vAlign w:val="center"/>
          </w:tcPr>
          <w:p w14:paraId="4266005C">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rPr>
            </w:pPr>
          </w:p>
        </w:tc>
        <w:tc>
          <w:tcPr>
            <w:tcW w:w="1826" w:type="dxa"/>
            <w:vAlign w:val="center"/>
          </w:tcPr>
          <w:p w14:paraId="1F17D12A">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资质要求</w:t>
            </w:r>
          </w:p>
        </w:tc>
        <w:tc>
          <w:tcPr>
            <w:tcW w:w="5661" w:type="dxa"/>
            <w:vAlign w:val="center"/>
          </w:tcPr>
          <w:p w14:paraId="19573A30">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供应商须具备水利水电工程施工总承包叁级及以上资质，具备有效的安全生产许可证；拟派项目经理须具有水利水电工程专业贰级及以上注册建造师证书，并取得安全生产考核合格证B证，并提供项目经理2025年1月份以来任意一个月的社保缴纳凭证（以劳动和社会保障部门出具的书面证明或查询清单为准），项目经理不得有在建工程，所承揽的施工项目未交工或正在施工的项目经理不允许参与投标，若项目经理不符合该条要求而参加投标，一经查实，随时取消申请人的资格</w:t>
            </w:r>
          </w:p>
        </w:tc>
      </w:tr>
      <w:tr w14:paraId="191D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4" w:type="dxa"/>
            <w:vMerge w:val="continue"/>
            <w:vAlign w:val="center"/>
          </w:tcPr>
          <w:p w14:paraId="0C5C021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42691EA7">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2A82E62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信用查询证明</w:t>
            </w:r>
          </w:p>
        </w:tc>
        <w:tc>
          <w:tcPr>
            <w:tcW w:w="5661" w:type="dxa"/>
            <w:vAlign w:val="center"/>
          </w:tcPr>
          <w:p w14:paraId="47D66188">
            <w:pPr>
              <w:keepNext w:val="0"/>
              <w:keepLines w:val="0"/>
              <w:suppressLineNumbers w:val="0"/>
              <w:spacing w:before="0" w:beforeAutospacing="0" w:after="0" w:afterAutospacing="0" w:line="440" w:lineRule="exact"/>
              <w:ind w:left="0" w:right="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具有信用信息查询证明</w:t>
            </w:r>
          </w:p>
        </w:tc>
      </w:tr>
      <w:tr w14:paraId="6CC4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884" w:type="dxa"/>
            <w:vMerge w:val="restart"/>
            <w:vAlign w:val="center"/>
          </w:tcPr>
          <w:p w14:paraId="4886F0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2.1.</w:t>
            </w:r>
            <w:r>
              <w:rPr>
                <w:rFonts w:hint="eastAsia" w:ascii="宋体" w:hAnsi="宋体" w:cs="宋体"/>
                <w:color w:val="000000"/>
                <w:kern w:val="0"/>
                <w:szCs w:val="21"/>
                <w:lang w:val="en-US" w:eastAsia="zh-CN"/>
              </w:rPr>
              <w:t>2</w:t>
            </w:r>
          </w:p>
        </w:tc>
        <w:tc>
          <w:tcPr>
            <w:tcW w:w="781" w:type="dxa"/>
            <w:vMerge w:val="restart"/>
            <w:vAlign w:val="center"/>
          </w:tcPr>
          <w:p w14:paraId="39435445">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p w14:paraId="7B73BFB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p w14:paraId="6483396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lang w:eastAsia="zh-CN"/>
              </w:rPr>
              <w:t>符合</w:t>
            </w:r>
            <w:r>
              <w:rPr>
                <w:rFonts w:hint="eastAsia" w:ascii="宋体" w:hAnsi="宋体" w:cs="宋体"/>
                <w:color w:val="000000"/>
                <w:kern w:val="0"/>
                <w:szCs w:val="21"/>
              </w:rPr>
              <w:t>性</w:t>
            </w:r>
          </w:p>
          <w:p w14:paraId="22ADF5B1">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评审</w:t>
            </w:r>
          </w:p>
          <w:p w14:paraId="60B9A8D1">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r>
              <w:rPr>
                <w:rFonts w:hint="eastAsia" w:ascii="宋体" w:hAnsi="宋体" w:cs="宋体"/>
                <w:color w:val="000000"/>
                <w:kern w:val="0"/>
                <w:szCs w:val="21"/>
              </w:rPr>
              <w:t>标准</w:t>
            </w:r>
          </w:p>
        </w:tc>
        <w:tc>
          <w:tcPr>
            <w:tcW w:w="1826" w:type="dxa"/>
            <w:vAlign w:val="center"/>
          </w:tcPr>
          <w:p w14:paraId="3C0E9FD5">
            <w:pPr>
              <w:keepNext w:val="0"/>
              <w:keepLines w:val="0"/>
              <w:suppressLineNumbers w:val="0"/>
              <w:spacing w:before="0" w:beforeAutospacing="0" w:after="0" w:afterAutospacing="0" w:line="440" w:lineRule="exact"/>
              <w:ind w:left="0" w:leftChars="0" w:right="0" w:rightChars="0"/>
              <w:jc w:val="center"/>
              <w:rPr>
                <w:rFonts w:hint="default" w:ascii="宋体" w:hAnsi="宋体" w:cs="宋体"/>
                <w:color w:val="000000"/>
                <w:kern w:val="0"/>
                <w:szCs w:val="21"/>
              </w:rPr>
            </w:pPr>
            <w:r>
              <w:rPr>
                <w:rFonts w:hint="eastAsia" w:ascii="宋体" w:hAnsi="宋体" w:cs="宋体"/>
                <w:color w:val="000000"/>
                <w:kern w:val="0"/>
                <w:szCs w:val="21"/>
              </w:rPr>
              <w:t>供应商名称</w:t>
            </w:r>
          </w:p>
        </w:tc>
        <w:tc>
          <w:tcPr>
            <w:tcW w:w="5661" w:type="dxa"/>
            <w:vAlign w:val="center"/>
          </w:tcPr>
          <w:p w14:paraId="68E4DCA1">
            <w:pPr>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000000"/>
                <w:kern w:val="0"/>
                <w:szCs w:val="21"/>
                <w:lang w:val="en-US" w:eastAsia="zh-CN"/>
              </w:rPr>
            </w:pPr>
            <w:r>
              <w:rPr>
                <w:rFonts w:hint="eastAsia" w:ascii="宋体" w:hAnsi="宋体" w:cs="宋体"/>
                <w:color w:val="000000"/>
                <w:kern w:val="0"/>
                <w:szCs w:val="21"/>
              </w:rPr>
              <w:t>与</w:t>
            </w:r>
            <w:r>
              <w:rPr>
                <w:rFonts w:hint="eastAsia" w:ascii="宋体" w:hAnsi="宋体" w:cs="宋体"/>
                <w:color w:val="000000"/>
                <w:kern w:val="0"/>
                <w:szCs w:val="21"/>
                <w:lang w:val="en-US" w:eastAsia="zh-CN"/>
              </w:rPr>
              <w:t>营业执照或事业单位法人证书</w:t>
            </w:r>
            <w:r>
              <w:rPr>
                <w:rFonts w:hint="eastAsia" w:ascii="宋体" w:hAnsi="宋体" w:cs="宋体"/>
                <w:color w:val="000000"/>
                <w:kern w:val="0"/>
                <w:szCs w:val="21"/>
              </w:rPr>
              <w:t>名称一致</w:t>
            </w:r>
          </w:p>
        </w:tc>
      </w:tr>
      <w:tr w14:paraId="2E6A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84" w:type="dxa"/>
            <w:vMerge w:val="continue"/>
            <w:vAlign w:val="center"/>
          </w:tcPr>
          <w:p w14:paraId="3D0E930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3AF1E2A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1EE1E336">
            <w:pPr>
              <w:keepNext w:val="0"/>
              <w:keepLines w:val="0"/>
              <w:suppressLineNumbers w:val="0"/>
              <w:spacing w:before="0" w:beforeAutospacing="0" w:after="0" w:afterAutospacing="0" w:line="440" w:lineRule="exact"/>
              <w:ind w:left="0" w:leftChars="0" w:right="0" w:rightChars="0"/>
              <w:jc w:val="center"/>
              <w:rPr>
                <w:rFonts w:hint="eastAsia" w:ascii="宋体" w:hAnsi="宋体" w:cs="宋体"/>
                <w:color w:val="000000"/>
                <w:kern w:val="0"/>
                <w:szCs w:val="21"/>
                <w:lang w:val="en-US" w:eastAsia="zh-CN"/>
              </w:rPr>
            </w:pPr>
            <w:r>
              <w:rPr>
                <w:rFonts w:hint="eastAsia" w:ascii="宋体" w:hAnsi="宋体" w:cs="宋体"/>
                <w:color w:val="000000"/>
                <w:kern w:val="0"/>
                <w:szCs w:val="21"/>
              </w:rPr>
              <w:t>报价唯一</w:t>
            </w:r>
          </w:p>
        </w:tc>
        <w:tc>
          <w:tcPr>
            <w:tcW w:w="5661" w:type="dxa"/>
            <w:vAlign w:val="center"/>
          </w:tcPr>
          <w:p w14:paraId="2958B05E">
            <w:pPr>
              <w:keepNext w:val="0"/>
              <w:keepLines w:val="0"/>
              <w:suppressLineNumbers w:val="0"/>
              <w:spacing w:before="0" w:beforeAutospacing="0" w:after="0" w:afterAutospacing="0" w:line="440" w:lineRule="exact"/>
              <w:ind w:left="0" w:leftChars="0" w:right="0" w:rightChars="0"/>
              <w:rPr>
                <w:rFonts w:hint="eastAsia" w:ascii="宋体" w:hAnsi="宋体" w:cs="宋体"/>
                <w:color w:val="000000"/>
                <w:kern w:val="0"/>
                <w:szCs w:val="21"/>
                <w:lang w:val="en-US" w:eastAsia="zh-CN"/>
              </w:rPr>
            </w:pPr>
            <w:r>
              <w:rPr>
                <w:rFonts w:hint="eastAsia" w:ascii="宋体" w:hAnsi="宋体" w:cs="宋体"/>
                <w:color w:val="000000"/>
                <w:kern w:val="0"/>
                <w:szCs w:val="21"/>
              </w:rPr>
              <w:t>首次响应文件只允许一个报价方案</w:t>
            </w:r>
          </w:p>
        </w:tc>
      </w:tr>
      <w:tr w14:paraId="585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4" w:type="dxa"/>
            <w:vMerge w:val="continue"/>
            <w:vAlign w:val="center"/>
          </w:tcPr>
          <w:p w14:paraId="1A5F4A8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781" w:type="dxa"/>
            <w:vMerge w:val="continue"/>
            <w:vAlign w:val="center"/>
          </w:tcPr>
          <w:p w14:paraId="2461AC0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rPr>
            </w:pPr>
          </w:p>
        </w:tc>
        <w:tc>
          <w:tcPr>
            <w:tcW w:w="1826" w:type="dxa"/>
            <w:vAlign w:val="center"/>
          </w:tcPr>
          <w:p w14:paraId="74C5DE3B">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工期</w:t>
            </w:r>
          </w:p>
        </w:tc>
        <w:tc>
          <w:tcPr>
            <w:tcW w:w="5661" w:type="dxa"/>
            <w:vAlign w:val="center"/>
          </w:tcPr>
          <w:p w14:paraId="57F78C1E">
            <w:pPr>
              <w:keepNext w:val="0"/>
              <w:keepLines w:val="0"/>
              <w:suppressLineNumbers w:val="0"/>
              <w:spacing w:before="0" w:beforeAutospacing="0" w:after="0" w:afterAutospacing="0" w:line="440" w:lineRule="exact"/>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自合同签订后20日历天内</w:t>
            </w:r>
          </w:p>
        </w:tc>
      </w:tr>
      <w:tr w14:paraId="7798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5DF69ACB">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46E2179D">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53FF3E1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磋商有效期</w:t>
            </w:r>
          </w:p>
        </w:tc>
        <w:tc>
          <w:tcPr>
            <w:tcW w:w="5661" w:type="dxa"/>
            <w:vAlign w:val="center"/>
          </w:tcPr>
          <w:p w14:paraId="5F9C00F0">
            <w:pPr>
              <w:keepNext w:val="0"/>
              <w:keepLines w:val="0"/>
              <w:suppressLineNumbers w:val="0"/>
              <w:spacing w:before="0" w:beforeAutospacing="0" w:after="0" w:afterAutospacing="0" w:line="440" w:lineRule="exact"/>
              <w:ind w:left="0" w:right="0"/>
              <w:rPr>
                <w:rFonts w:hint="default" w:ascii="宋体" w:hAnsi="宋体" w:cs="宋体"/>
                <w:color w:val="000000"/>
                <w:kern w:val="0"/>
                <w:szCs w:val="21"/>
                <w:highlight w:val="none"/>
              </w:rPr>
            </w:pPr>
            <w:r>
              <w:rPr>
                <w:rFonts w:hint="default" w:ascii="宋体" w:hAnsi="宋体" w:cs="宋体"/>
                <w:color w:val="000000"/>
                <w:kern w:val="0"/>
                <w:szCs w:val="21"/>
                <w:highlight w:val="none"/>
              </w:rPr>
              <w:t>磋商截止之日起60日历天</w:t>
            </w:r>
          </w:p>
        </w:tc>
      </w:tr>
      <w:tr w14:paraId="784A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84" w:type="dxa"/>
            <w:vMerge w:val="continue"/>
            <w:vAlign w:val="center"/>
          </w:tcPr>
          <w:p w14:paraId="56985877">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7CEB893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728811EF">
            <w:pPr>
              <w:keepNext w:val="0"/>
              <w:keepLines w:val="0"/>
              <w:suppressLineNumbers w:val="0"/>
              <w:spacing w:before="0" w:beforeAutospacing="0" w:after="0" w:afterAutospacing="0" w:line="440" w:lineRule="exact"/>
              <w:ind w:left="0" w:right="0"/>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投标报价</w:t>
            </w:r>
          </w:p>
        </w:tc>
        <w:tc>
          <w:tcPr>
            <w:tcW w:w="5661" w:type="dxa"/>
            <w:vAlign w:val="center"/>
          </w:tcPr>
          <w:p w14:paraId="4791160A">
            <w:pPr>
              <w:keepNext w:val="0"/>
              <w:keepLines w:val="0"/>
              <w:suppressLineNumbers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报价未超过竞争性磋商文件中规定最高限价的</w:t>
            </w:r>
          </w:p>
        </w:tc>
      </w:tr>
      <w:tr w14:paraId="4917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884" w:type="dxa"/>
            <w:vMerge w:val="continue"/>
            <w:vAlign w:val="center"/>
          </w:tcPr>
          <w:p w14:paraId="73502279">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2182B6C4">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5F184B00">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签名盖章</w:t>
            </w:r>
          </w:p>
        </w:tc>
        <w:tc>
          <w:tcPr>
            <w:tcW w:w="5661" w:type="dxa"/>
            <w:vAlign w:val="center"/>
          </w:tcPr>
          <w:p w14:paraId="4A306614">
            <w:pPr>
              <w:keepNext w:val="0"/>
              <w:keepLines w:val="0"/>
              <w:suppressLineNumbers w:val="0"/>
              <w:spacing w:before="0" w:beforeAutospacing="0" w:after="0" w:afterAutospacing="0" w:line="440" w:lineRule="exact"/>
              <w:ind w:left="0" w:right="0"/>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响应文件按竞争性磋商文件要求签署、盖章的</w:t>
            </w:r>
          </w:p>
        </w:tc>
      </w:tr>
      <w:tr w14:paraId="1E8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2B8C1652">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5D00E873">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72690782">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bidi="ar-SA"/>
              </w:rPr>
              <w:t>质量要求</w:t>
            </w:r>
          </w:p>
        </w:tc>
        <w:tc>
          <w:tcPr>
            <w:tcW w:w="5661" w:type="dxa"/>
            <w:vAlign w:val="center"/>
          </w:tcPr>
          <w:p w14:paraId="46FFCB8A">
            <w:pPr>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合格</w:t>
            </w:r>
          </w:p>
        </w:tc>
      </w:tr>
      <w:tr w14:paraId="5FCE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vMerge w:val="continue"/>
            <w:vAlign w:val="center"/>
          </w:tcPr>
          <w:p w14:paraId="70BC70EB">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781" w:type="dxa"/>
            <w:vMerge w:val="continue"/>
            <w:vAlign w:val="center"/>
          </w:tcPr>
          <w:p w14:paraId="4508813A">
            <w:pPr>
              <w:keepNext w:val="0"/>
              <w:keepLines w:val="0"/>
              <w:suppressLineNumbers w:val="0"/>
              <w:spacing w:before="0" w:beforeAutospacing="0" w:after="0" w:afterAutospacing="0" w:line="440" w:lineRule="exact"/>
              <w:ind w:left="0" w:right="0"/>
              <w:jc w:val="center"/>
              <w:rPr>
                <w:rFonts w:hint="default" w:ascii="宋体" w:hAnsi="宋体" w:cs="宋体"/>
                <w:color w:val="000000"/>
                <w:kern w:val="0"/>
                <w:szCs w:val="21"/>
              </w:rPr>
            </w:pPr>
          </w:p>
        </w:tc>
        <w:tc>
          <w:tcPr>
            <w:tcW w:w="1826" w:type="dxa"/>
            <w:vAlign w:val="center"/>
          </w:tcPr>
          <w:p w14:paraId="613093D9">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投标范围</w:t>
            </w:r>
          </w:p>
        </w:tc>
        <w:tc>
          <w:tcPr>
            <w:tcW w:w="5661" w:type="dxa"/>
            <w:vAlign w:val="center"/>
          </w:tcPr>
          <w:p w14:paraId="32FD8BFB">
            <w:pPr>
              <w:keepNext w:val="0"/>
              <w:keepLines w:val="0"/>
              <w:suppressLineNumbers w:val="0"/>
              <w:spacing w:before="0" w:beforeAutospacing="0" w:after="0" w:afterAutospacing="0" w:line="440" w:lineRule="exact"/>
              <w:ind w:left="0" w:leftChars="0" w:right="0" w:righ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招标文件、图纸、清单全部内容</w:t>
            </w:r>
          </w:p>
        </w:tc>
      </w:tr>
    </w:tbl>
    <w:p w14:paraId="36A56E84">
      <w:pPr>
        <w:spacing w:line="440" w:lineRule="exact"/>
        <w:rPr>
          <w:rFonts w:ascii="Calibri" w:hAnsi="Calibri" w:cs="黑体"/>
          <w:vanish/>
          <w:szCs w:val="22"/>
        </w:rPr>
      </w:pPr>
    </w:p>
    <w:p w14:paraId="69A185DA">
      <w:pPr>
        <w:spacing w:line="440" w:lineRule="exact"/>
        <w:rPr>
          <w:rFonts w:ascii="Calibri" w:hAnsi="Calibri" w:cs="黑体"/>
          <w:szCs w:val="22"/>
        </w:rPr>
      </w:pPr>
    </w:p>
    <w:tbl>
      <w:tblPr>
        <w:tblStyle w:val="47"/>
        <w:tblW w:w="9149" w:type="dxa"/>
        <w:tblInd w:w="0" w:type="dxa"/>
        <w:tblLayout w:type="fixed"/>
        <w:tblCellMar>
          <w:top w:w="0" w:type="dxa"/>
          <w:left w:w="108" w:type="dxa"/>
          <w:bottom w:w="0" w:type="dxa"/>
          <w:right w:w="108" w:type="dxa"/>
        </w:tblCellMar>
      </w:tblPr>
      <w:tblGrid>
        <w:gridCol w:w="1044"/>
        <w:gridCol w:w="2033"/>
        <w:gridCol w:w="6072"/>
      </w:tblGrid>
      <w:tr w14:paraId="640484AE">
        <w:tblPrEx>
          <w:tblCellMar>
            <w:top w:w="0" w:type="dxa"/>
            <w:left w:w="108" w:type="dxa"/>
            <w:bottom w:w="0" w:type="dxa"/>
            <w:right w:w="108" w:type="dxa"/>
          </w:tblCellMar>
        </w:tblPrEx>
        <w:trPr>
          <w:trHeight w:val="747" w:hRule="atLeast"/>
        </w:trPr>
        <w:tc>
          <w:tcPr>
            <w:tcW w:w="3077" w:type="dxa"/>
            <w:gridSpan w:val="2"/>
            <w:tcBorders>
              <w:top w:val="single" w:color="auto" w:sz="4" w:space="0"/>
              <w:left w:val="single" w:color="auto" w:sz="4" w:space="0"/>
              <w:bottom w:val="single" w:color="auto" w:sz="4" w:space="0"/>
              <w:right w:val="single" w:color="auto" w:sz="4" w:space="0"/>
            </w:tcBorders>
            <w:vAlign w:val="center"/>
          </w:tcPr>
          <w:p w14:paraId="4EB3F4E6">
            <w:pPr>
              <w:keepNext w:val="0"/>
              <w:keepLines w:val="0"/>
              <w:suppressLineNumbers w:val="0"/>
              <w:autoSpaceDE w:val="0"/>
              <w:autoSpaceDN w:val="0"/>
              <w:adjustRightInd w:val="0"/>
              <w:spacing w:before="0" w:beforeAutospacing="0" w:after="0" w:afterAutospacing="0" w:line="360" w:lineRule="auto"/>
              <w:ind w:left="0" w:right="97" w:rightChars="0" w:firstLine="59" w:firstLineChars="28"/>
              <w:jc w:val="center"/>
              <w:rPr>
                <w:rFonts w:hint="eastAsia" w:ascii="宋体" w:hAnsi="宋体" w:eastAsia="宋体" w:cs="宋体"/>
                <w:b/>
                <w:bCs/>
                <w:color w:val="000000"/>
                <w:kern w:val="0"/>
                <w:sz w:val="21"/>
                <w:szCs w:val="21"/>
              </w:rPr>
            </w:pPr>
            <w:r>
              <w:rPr>
                <w:rFonts w:hint="eastAsia" w:ascii="宋体" w:hAnsi="宋体" w:eastAsia="宋体" w:cs="宋体"/>
                <w:b/>
                <w:bCs/>
                <w:spacing w:val="1"/>
                <w:kern w:val="0"/>
                <w:sz w:val="21"/>
                <w:szCs w:val="21"/>
              </w:rPr>
              <w:t>评分因素</w:t>
            </w:r>
          </w:p>
        </w:tc>
        <w:tc>
          <w:tcPr>
            <w:tcW w:w="6072" w:type="dxa"/>
            <w:tcBorders>
              <w:top w:val="single" w:color="auto" w:sz="4" w:space="0"/>
              <w:left w:val="single" w:color="auto" w:sz="4" w:space="0"/>
              <w:bottom w:val="single" w:color="auto" w:sz="4" w:space="0"/>
              <w:right w:val="single" w:color="auto" w:sz="4" w:space="0"/>
            </w:tcBorders>
            <w:vAlign w:val="center"/>
          </w:tcPr>
          <w:p w14:paraId="1E5EA3B0">
            <w:pPr>
              <w:keepNext w:val="0"/>
              <w:keepLines w:val="0"/>
              <w:suppressLineNumbers w:val="0"/>
              <w:autoSpaceDE w:val="0"/>
              <w:autoSpaceDN w:val="0"/>
              <w:adjustRightInd w:val="0"/>
              <w:spacing w:before="0" w:beforeAutospacing="0" w:after="0" w:afterAutospacing="0" w:line="360" w:lineRule="auto"/>
              <w:ind w:left="0" w:right="97" w:rightChars="0"/>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spacing w:val="1"/>
                <w:kern w:val="0"/>
                <w:sz w:val="21"/>
                <w:szCs w:val="21"/>
              </w:rPr>
              <w:t>评分标准</w:t>
            </w:r>
          </w:p>
        </w:tc>
      </w:tr>
      <w:tr w14:paraId="55B2DDE8">
        <w:tblPrEx>
          <w:tblCellMar>
            <w:top w:w="0" w:type="dxa"/>
            <w:left w:w="108" w:type="dxa"/>
            <w:bottom w:w="0" w:type="dxa"/>
            <w:right w:w="108" w:type="dxa"/>
          </w:tblCellMar>
        </w:tblPrEx>
        <w:trPr>
          <w:trHeight w:val="968" w:hRule="atLeast"/>
        </w:trPr>
        <w:tc>
          <w:tcPr>
            <w:tcW w:w="3077" w:type="dxa"/>
            <w:gridSpan w:val="2"/>
            <w:tcBorders>
              <w:top w:val="single" w:color="auto" w:sz="4" w:space="0"/>
              <w:left w:val="single" w:color="auto" w:sz="4" w:space="0"/>
              <w:bottom w:val="single" w:color="auto" w:sz="4" w:space="0"/>
              <w:right w:val="single" w:color="auto" w:sz="4" w:space="0"/>
            </w:tcBorders>
            <w:vAlign w:val="center"/>
          </w:tcPr>
          <w:p w14:paraId="56B8087E">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p>
          <w:p w14:paraId="37D7E20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分值构成</w:t>
            </w:r>
          </w:p>
          <w:p w14:paraId="55E4741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(总分100分)</w:t>
            </w:r>
          </w:p>
          <w:p w14:paraId="5F57F625">
            <w:pPr>
              <w:keepNext w:val="0"/>
              <w:keepLines w:val="0"/>
              <w:widowControl/>
              <w:suppressLineNumbers w:val="0"/>
              <w:adjustRightInd w:val="0"/>
              <w:snapToGrid w:val="0"/>
              <w:spacing w:before="0" w:beforeAutospacing="0" w:after="0" w:afterAutospacing="0" w:line="480" w:lineRule="auto"/>
              <w:ind w:left="0" w:right="0" w:firstLine="2940" w:firstLineChars="1400"/>
              <w:jc w:val="left"/>
              <w:rPr>
                <w:rFonts w:hint="eastAsia" w:ascii="宋体" w:hAnsi="宋体" w:eastAsia="宋体" w:cs="宋体"/>
                <w:kern w:val="0"/>
                <w:sz w:val="21"/>
                <w:szCs w:val="21"/>
                <w:lang w:val="en-US" w:eastAsia="zh-CN"/>
              </w:rPr>
            </w:pPr>
          </w:p>
        </w:tc>
        <w:tc>
          <w:tcPr>
            <w:tcW w:w="6072" w:type="dxa"/>
            <w:tcBorders>
              <w:top w:val="single" w:color="auto" w:sz="4" w:space="0"/>
              <w:left w:val="single" w:color="auto" w:sz="4" w:space="0"/>
              <w:bottom w:val="single" w:color="auto" w:sz="4" w:space="0"/>
              <w:right w:val="single" w:color="auto" w:sz="4" w:space="0"/>
            </w:tcBorders>
            <w:vAlign w:val="center"/>
          </w:tcPr>
          <w:p w14:paraId="231358AC">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0分</w:t>
            </w:r>
          </w:p>
          <w:p w14:paraId="479254A9">
            <w:pPr>
              <w:keepNext w:val="0"/>
              <w:keepLines w:val="0"/>
              <w:suppressLineNumbers w:val="0"/>
              <w:spacing w:before="0" w:beforeAutospacing="0" w:after="0" w:afterAutospacing="0"/>
              <w:ind w:left="0" w:right="0"/>
              <w:rPr>
                <w:rFonts w:hint="eastAsia" w:ascii="宋体" w:hAnsi="宋体" w:cs="宋体"/>
                <w:sz w:val="21"/>
                <w:szCs w:val="21"/>
                <w:lang w:val="en-US" w:eastAsia="zh-CN"/>
              </w:rPr>
            </w:pPr>
            <w:r>
              <w:rPr>
                <w:rFonts w:hint="eastAsia" w:ascii="宋体" w:hAnsi="宋体" w:eastAsia="宋体" w:cs="宋体"/>
                <w:sz w:val="21"/>
                <w:szCs w:val="21"/>
                <w:lang w:val="en-US" w:eastAsia="zh-CN"/>
              </w:rPr>
              <w:t>施工组织设计</w:t>
            </w:r>
            <w:r>
              <w:rPr>
                <w:rFonts w:hint="eastAsia" w:ascii="宋体" w:hAnsi="宋体" w:cs="宋体"/>
                <w:sz w:val="21"/>
                <w:szCs w:val="21"/>
                <w:lang w:val="en-US" w:eastAsia="zh-CN"/>
              </w:rPr>
              <w:t>：60分</w:t>
            </w:r>
          </w:p>
          <w:p w14:paraId="095A578F">
            <w:pPr>
              <w:keepNext w:val="0"/>
              <w:keepLines w:val="0"/>
              <w:suppressLineNumbers w:val="0"/>
              <w:spacing w:before="0" w:beforeAutospacing="0" w:after="0" w:afterAutospacing="0"/>
              <w:ind w:left="0" w:right="0"/>
              <w:rPr>
                <w:rFonts w:hint="eastAsia" w:ascii="宋体" w:hAnsi="宋体" w:cs="宋体"/>
                <w:sz w:val="21"/>
                <w:szCs w:val="21"/>
                <w:lang w:val="en-US" w:eastAsia="zh-CN"/>
              </w:rPr>
            </w:pPr>
            <w:r>
              <w:rPr>
                <w:rFonts w:hint="eastAsia" w:ascii="宋体" w:hAnsi="宋体" w:cs="宋体"/>
                <w:sz w:val="21"/>
                <w:szCs w:val="21"/>
                <w:lang w:val="en-US" w:eastAsia="zh-CN"/>
              </w:rPr>
              <w:t>综合实力：10分</w:t>
            </w:r>
          </w:p>
        </w:tc>
      </w:tr>
      <w:tr w14:paraId="0B440D41">
        <w:tblPrEx>
          <w:tblCellMar>
            <w:top w:w="0" w:type="dxa"/>
            <w:left w:w="108" w:type="dxa"/>
            <w:bottom w:w="0" w:type="dxa"/>
            <w:right w:w="108" w:type="dxa"/>
          </w:tblCellMar>
        </w:tblPrEx>
        <w:trPr>
          <w:trHeight w:val="5176" w:hRule="atLeast"/>
        </w:trPr>
        <w:tc>
          <w:tcPr>
            <w:tcW w:w="1044" w:type="dxa"/>
            <w:tcBorders>
              <w:top w:val="single" w:color="auto" w:sz="4" w:space="0"/>
              <w:left w:val="single" w:color="auto" w:sz="4" w:space="0"/>
              <w:bottom w:val="single" w:color="auto" w:sz="4" w:space="0"/>
              <w:right w:val="single" w:color="auto" w:sz="4" w:space="0"/>
            </w:tcBorders>
            <w:vAlign w:val="center"/>
          </w:tcPr>
          <w:p w14:paraId="4B1C93CC">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1、投标报价</w:t>
            </w:r>
          </w:p>
        </w:tc>
        <w:tc>
          <w:tcPr>
            <w:tcW w:w="2033" w:type="dxa"/>
            <w:tcBorders>
              <w:top w:val="single" w:color="auto" w:sz="4" w:space="0"/>
              <w:left w:val="single" w:color="auto" w:sz="4" w:space="0"/>
              <w:bottom w:val="single" w:color="auto" w:sz="4" w:space="0"/>
              <w:right w:val="single" w:color="auto" w:sz="4" w:space="0"/>
            </w:tcBorders>
            <w:vAlign w:val="center"/>
          </w:tcPr>
          <w:p w14:paraId="66F6CC54">
            <w:pPr>
              <w:keepNext w:val="0"/>
              <w:keepLines w:val="0"/>
              <w:widowControl/>
              <w:suppressLineNumbers w:val="0"/>
              <w:adjustRightInd w:val="0"/>
              <w:snapToGrid w:val="0"/>
              <w:spacing w:before="0" w:beforeAutospacing="0" w:after="0" w:afterAutospacing="0" w:line="480" w:lineRule="auto"/>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0分</w:t>
            </w:r>
          </w:p>
        </w:tc>
        <w:tc>
          <w:tcPr>
            <w:tcW w:w="6072" w:type="dxa"/>
            <w:tcBorders>
              <w:top w:val="single" w:color="auto" w:sz="4" w:space="0"/>
              <w:left w:val="single" w:color="auto" w:sz="4" w:space="0"/>
              <w:bottom w:val="single" w:color="auto" w:sz="4" w:space="0"/>
              <w:right w:val="single" w:color="auto" w:sz="4" w:space="0"/>
            </w:tcBorders>
            <w:vAlign w:val="center"/>
          </w:tcPr>
          <w:p w14:paraId="4F79BBEB">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满足竞争性磋商文件要求且投标价格最低的投标报价为评标基准价，其价格为满分；</w:t>
            </w:r>
          </w:p>
          <w:p w14:paraId="4DE8AB8A">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其他供应商的报价得分=（评标基准价/投标报价）×</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0%×100</w:t>
            </w:r>
          </w:p>
          <w:p w14:paraId="3DC428F1">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注：在评审过程中，评委会发现供应商的报价或者某些分项报价明显不合理或者低于成本，有可能影响商品质量和不能诚信履约的，应当要求其在规定的期限内提供文件予以解释说明，并提交相关证明材料；否则，评委会可以取消该供应商的中标候选资格按顺序由排在后面的中标候选人递补，以此类推。 </w:t>
            </w:r>
          </w:p>
          <w:p w14:paraId="2467207B">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注：本项目属于专门面向中小企业采购的项目，不进行价格优惠</w:t>
            </w:r>
          </w:p>
          <w:p w14:paraId="62CD4C17">
            <w:pPr>
              <w:keepNext w:val="0"/>
              <w:keepLines w:val="0"/>
              <w:widowControl/>
              <w:suppressLineNumbers w:val="0"/>
              <w:adjustRightInd w:val="0"/>
              <w:snapToGrid w:val="0"/>
              <w:spacing w:before="0" w:beforeAutospacing="0" w:after="0" w:afterAutospacing="0" w:line="48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扣除。</w:t>
            </w:r>
          </w:p>
        </w:tc>
      </w:tr>
      <w:tr w14:paraId="0AD1F9D0">
        <w:tblPrEx>
          <w:tblCellMar>
            <w:top w:w="0" w:type="dxa"/>
            <w:left w:w="108" w:type="dxa"/>
            <w:bottom w:w="0" w:type="dxa"/>
            <w:right w:w="108" w:type="dxa"/>
          </w:tblCellMar>
        </w:tblPrEx>
        <w:trPr>
          <w:trHeight w:val="674" w:hRule="atLeast"/>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5F75E41E">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2、施工组织设计评分（60分）</w:t>
            </w:r>
          </w:p>
        </w:tc>
        <w:tc>
          <w:tcPr>
            <w:tcW w:w="2033" w:type="dxa"/>
            <w:tcBorders>
              <w:top w:val="single" w:color="auto" w:sz="4" w:space="0"/>
              <w:left w:val="single" w:color="auto" w:sz="4" w:space="0"/>
              <w:bottom w:val="single" w:color="auto" w:sz="4" w:space="0"/>
              <w:right w:val="single" w:color="auto" w:sz="4" w:space="0"/>
            </w:tcBorders>
            <w:vAlign w:val="center"/>
          </w:tcPr>
          <w:p w14:paraId="1E9BF294">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1</w:t>
            </w:r>
            <w:r>
              <w:rPr>
                <w:rFonts w:hint="eastAsia" w:ascii="宋体" w:hAnsi="宋体" w:eastAsia="宋体" w:cs="宋体"/>
                <w:kern w:val="0"/>
                <w:szCs w:val="21"/>
              </w:rPr>
              <w:t>内容完整性和编制水平（</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1BD396F6">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优得</w:t>
            </w:r>
            <w:r>
              <w:rPr>
                <w:rFonts w:hint="eastAsia" w:ascii="宋体" w:hAnsi="宋体" w:eastAsia="宋体" w:cs="宋体"/>
                <w:kern w:val="0"/>
                <w:szCs w:val="21"/>
                <w:lang w:val="en-US" w:eastAsia="zh-CN"/>
              </w:rPr>
              <w:t>5-6</w:t>
            </w:r>
            <w:r>
              <w:rPr>
                <w:rFonts w:hint="eastAsia" w:ascii="宋体" w:hAnsi="宋体" w:eastAsia="宋体" w:cs="宋体"/>
                <w:kern w:val="0"/>
                <w:szCs w:val="21"/>
              </w:rPr>
              <w:t>分，良得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4FF86855">
        <w:tblPrEx>
          <w:tblCellMar>
            <w:top w:w="0" w:type="dxa"/>
            <w:left w:w="108" w:type="dxa"/>
            <w:bottom w:w="0" w:type="dxa"/>
            <w:right w:w="108" w:type="dxa"/>
          </w:tblCellMar>
        </w:tblPrEx>
        <w:trPr>
          <w:trHeight w:val="1168"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5C378870">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9B0C300">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2</w:t>
            </w:r>
            <w:r>
              <w:rPr>
                <w:rFonts w:hint="eastAsia" w:ascii="宋体" w:hAnsi="宋体" w:eastAsia="宋体" w:cs="宋体"/>
                <w:kern w:val="0"/>
                <w:szCs w:val="21"/>
              </w:rPr>
              <w:t>施工方案及技术措施(须含有绿色施工技术措施并对相关施工专项经费进行承诺) （</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A51E419">
            <w:pPr>
              <w:numPr>
                <w:ilvl w:val="0"/>
                <w:numId w:val="7"/>
              </w:numPr>
              <w:spacing w:line="360" w:lineRule="auto"/>
              <w:jc w:val="left"/>
              <w:rPr>
                <w:rFonts w:hint="eastAsia" w:ascii="宋体" w:hAnsi="宋体" w:eastAsia="宋体" w:cs="宋体"/>
                <w:kern w:val="0"/>
                <w:szCs w:val="21"/>
              </w:rPr>
            </w:pPr>
            <w:r>
              <w:rPr>
                <w:rFonts w:hint="eastAsia" w:ascii="宋体" w:hAnsi="宋体" w:eastAsia="宋体" w:cs="宋体"/>
                <w:kern w:val="0"/>
                <w:szCs w:val="21"/>
              </w:rPr>
              <w:t>施工方案合理得</w:t>
            </w:r>
            <w:r>
              <w:rPr>
                <w:rFonts w:hint="eastAsia" w:ascii="宋体" w:hAnsi="宋体" w:cs="宋体"/>
                <w:kern w:val="0"/>
                <w:szCs w:val="21"/>
                <w:lang w:val="en-US" w:eastAsia="zh-CN"/>
              </w:rPr>
              <w:t>4-5</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2-3</w:t>
            </w:r>
            <w:r>
              <w:rPr>
                <w:rFonts w:hint="eastAsia" w:ascii="宋体" w:hAnsi="宋体" w:eastAsia="宋体" w:cs="宋体"/>
                <w:kern w:val="0"/>
                <w:szCs w:val="21"/>
              </w:rPr>
              <w:t>分，一般得1分，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p w14:paraId="01E06CA8">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2）施工技术措施合理得</w:t>
            </w:r>
            <w:r>
              <w:rPr>
                <w:rFonts w:hint="eastAsia" w:ascii="宋体" w:hAnsi="宋体" w:eastAsia="宋体" w:cs="宋体"/>
                <w:kern w:val="0"/>
                <w:szCs w:val="21"/>
                <w:lang w:val="en-US" w:eastAsia="zh-CN"/>
              </w:rPr>
              <w:t>4</w:t>
            </w:r>
            <w:r>
              <w:rPr>
                <w:rFonts w:hint="eastAsia" w:ascii="宋体" w:hAnsi="宋体" w:cs="宋体"/>
                <w:kern w:val="0"/>
                <w:szCs w:val="21"/>
                <w:lang w:val="en-US" w:eastAsia="zh-CN"/>
              </w:rPr>
              <w:t>-5</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2-3</w:t>
            </w:r>
            <w:r>
              <w:rPr>
                <w:rFonts w:hint="eastAsia" w:ascii="宋体" w:hAnsi="宋体" w:eastAsia="宋体" w:cs="宋体"/>
                <w:kern w:val="0"/>
                <w:szCs w:val="21"/>
              </w:rPr>
              <w:t>分，一般得1分，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1E2E39F4">
        <w:tblPrEx>
          <w:tblCellMar>
            <w:top w:w="0" w:type="dxa"/>
            <w:left w:w="108" w:type="dxa"/>
            <w:bottom w:w="0" w:type="dxa"/>
            <w:right w:w="108" w:type="dxa"/>
          </w:tblCellMar>
        </w:tblPrEx>
        <w:trPr>
          <w:trHeight w:val="89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FF032A4">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4674CEA">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3</w:t>
            </w:r>
            <w:r>
              <w:rPr>
                <w:rFonts w:hint="eastAsia" w:ascii="宋体" w:hAnsi="宋体" w:eastAsia="宋体" w:cs="宋体"/>
                <w:kern w:val="0"/>
                <w:szCs w:val="21"/>
              </w:rPr>
              <w:t>质量管理体系及保证措施（</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758E846">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针对性及可操作性强得</w:t>
            </w:r>
            <w:r>
              <w:rPr>
                <w:rFonts w:hint="eastAsia" w:ascii="宋体" w:hAnsi="宋体" w:eastAsia="宋体" w:cs="宋体"/>
                <w:kern w:val="0"/>
                <w:szCs w:val="21"/>
                <w:lang w:val="en-US" w:eastAsia="zh-CN"/>
              </w:rPr>
              <w:t>6-8</w:t>
            </w:r>
            <w:r>
              <w:rPr>
                <w:rFonts w:hint="eastAsia" w:ascii="宋体" w:hAnsi="宋体" w:eastAsia="宋体" w:cs="宋体"/>
                <w:kern w:val="0"/>
                <w:szCs w:val="21"/>
              </w:rPr>
              <w:t>分，较强得</w:t>
            </w:r>
            <w:r>
              <w:rPr>
                <w:rFonts w:hint="eastAsia" w:ascii="宋体" w:hAnsi="宋体" w:eastAsia="宋体" w:cs="宋体"/>
                <w:kern w:val="0"/>
                <w:szCs w:val="21"/>
                <w:lang w:val="en-US" w:eastAsia="zh-CN"/>
              </w:rPr>
              <w:t>3-5</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49851637">
        <w:tblPrEx>
          <w:tblCellMar>
            <w:top w:w="0" w:type="dxa"/>
            <w:left w:w="108" w:type="dxa"/>
            <w:bottom w:w="0" w:type="dxa"/>
            <w:right w:w="108" w:type="dxa"/>
          </w:tblCellMar>
        </w:tblPrEx>
        <w:trPr>
          <w:trHeight w:val="924"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215B46B">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6A685857">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4</w:t>
            </w:r>
            <w:r>
              <w:rPr>
                <w:rFonts w:hint="eastAsia" w:ascii="宋体" w:hAnsi="宋体" w:eastAsia="宋体" w:cs="宋体"/>
                <w:kern w:val="0"/>
                <w:szCs w:val="21"/>
              </w:rPr>
              <w:t>工程进度计划与措施（</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278FEAE0">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7D7B87CD">
        <w:tblPrEx>
          <w:tblCellMar>
            <w:top w:w="0" w:type="dxa"/>
            <w:left w:w="108" w:type="dxa"/>
            <w:bottom w:w="0" w:type="dxa"/>
            <w:right w:w="108" w:type="dxa"/>
          </w:tblCellMar>
        </w:tblPrEx>
        <w:trPr>
          <w:trHeight w:val="89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D824D86">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D468B73">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5</w:t>
            </w:r>
            <w:r>
              <w:rPr>
                <w:rFonts w:hint="eastAsia" w:ascii="宋体" w:hAnsi="宋体" w:eastAsia="宋体" w:cs="宋体"/>
                <w:kern w:val="0"/>
                <w:szCs w:val="21"/>
              </w:rPr>
              <w:t>安全管理体系与措施（</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11F1A60A">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针对性及可操作性强得</w:t>
            </w:r>
            <w:r>
              <w:rPr>
                <w:rFonts w:hint="eastAsia" w:ascii="宋体" w:hAnsi="宋体" w:eastAsia="宋体" w:cs="宋体"/>
                <w:kern w:val="0"/>
                <w:szCs w:val="21"/>
                <w:lang w:val="en-US" w:eastAsia="zh-CN"/>
              </w:rPr>
              <w:t>6-8</w:t>
            </w:r>
            <w:r>
              <w:rPr>
                <w:rFonts w:hint="eastAsia" w:ascii="宋体" w:hAnsi="宋体" w:eastAsia="宋体" w:cs="宋体"/>
                <w:kern w:val="0"/>
                <w:szCs w:val="21"/>
              </w:rPr>
              <w:t>分，较强得</w:t>
            </w:r>
            <w:r>
              <w:rPr>
                <w:rFonts w:hint="eastAsia" w:ascii="宋体" w:hAnsi="宋体" w:eastAsia="宋体" w:cs="宋体"/>
                <w:kern w:val="0"/>
                <w:szCs w:val="21"/>
                <w:lang w:val="en-US" w:eastAsia="zh-CN"/>
              </w:rPr>
              <w:t>3-5</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565B7D94">
        <w:tblPrEx>
          <w:tblCellMar>
            <w:top w:w="0" w:type="dxa"/>
            <w:left w:w="108" w:type="dxa"/>
            <w:bottom w:w="0" w:type="dxa"/>
            <w:right w:w="108" w:type="dxa"/>
          </w:tblCellMar>
        </w:tblPrEx>
        <w:trPr>
          <w:trHeight w:val="9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2CC6426">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33D310ED">
            <w:pPr>
              <w:spacing w:line="360" w:lineRule="auto"/>
              <w:jc w:val="center"/>
              <w:rPr>
                <w:rFonts w:hint="eastAsia" w:ascii="宋体" w:hAnsi="宋体" w:eastAsia="宋体" w:cs="宋体"/>
                <w:kern w:val="0"/>
                <w:szCs w:val="21"/>
              </w:rPr>
            </w:pPr>
            <w:r>
              <w:rPr>
                <w:rFonts w:hint="eastAsia" w:ascii="宋体" w:hAnsi="宋体" w:cs="宋体"/>
                <w:kern w:val="0"/>
                <w:szCs w:val="21"/>
                <w:lang w:val="en-US" w:eastAsia="zh-CN"/>
              </w:rPr>
              <w:t>6</w:t>
            </w:r>
            <w:r>
              <w:rPr>
                <w:rFonts w:hint="eastAsia" w:ascii="宋体" w:hAnsi="宋体" w:eastAsia="宋体" w:cs="宋体"/>
                <w:kern w:val="0"/>
                <w:szCs w:val="21"/>
              </w:rPr>
              <w:t>资源配备计划(须含有绿色施工设备)</w:t>
            </w:r>
          </w:p>
          <w:p w14:paraId="73C3C218">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88E2F60">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施工机械及施工各阶段投入人员配置合理得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分，一般得1</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0204A03B">
        <w:tblPrEx>
          <w:tblCellMar>
            <w:top w:w="0" w:type="dxa"/>
            <w:left w:w="108" w:type="dxa"/>
            <w:bottom w:w="0" w:type="dxa"/>
            <w:right w:w="108" w:type="dxa"/>
          </w:tblCellMar>
        </w:tblPrEx>
        <w:trPr>
          <w:trHeight w:val="9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74C367BF">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9F69625">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7</w:t>
            </w:r>
            <w:r>
              <w:rPr>
                <w:rFonts w:hint="eastAsia" w:ascii="宋体" w:hAnsi="宋体" w:eastAsia="宋体" w:cs="宋体"/>
                <w:kern w:val="0"/>
                <w:szCs w:val="21"/>
              </w:rPr>
              <w:t>新工艺、新技术、新设备、新材料的</w:t>
            </w:r>
            <w:r>
              <w:rPr>
                <w:rFonts w:hint="eastAsia" w:ascii="宋体" w:hAnsi="宋体" w:cs="宋体"/>
                <w:kern w:val="0"/>
                <w:szCs w:val="21"/>
                <w:lang w:eastAsia="zh-CN"/>
              </w:rPr>
              <w:t>使用（</w:t>
            </w:r>
            <w:r>
              <w:rPr>
                <w:rFonts w:hint="eastAsia" w:ascii="宋体" w:hAnsi="宋体" w:cs="宋体"/>
                <w:kern w:val="0"/>
                <w:szCs w:val="21"/>
                <w:lang w:val="en-US" w:eastAsia="zh-CN"/>
              </w:rPr>
              <w:t>6</w:t>
            </w:r>
            <w:r>
              <w:rPr>
                <w:rFonts w:hint="eastAsia" w:ascii="宋体" w:hAnsi="宋体" w:cs="宋体"/>
                <w:kern w:val="0"/>
                <w:szCs w:val="21"/>
                <w:lang w:eastAsia="zh-CN"/>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48AF30F8">
            <w:pPr>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新工艺、新技术、新设备、新材料的采用程度，其在确保质量、降低成本、缩短工期、减轻劳动强度、提高工效等方面的作用(须含有绿色施工新工艺、新技术、新设备、新材料)：合理得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w:t>
            </w:r>
            <w:r>
              <w:rPr>
                <w:rFonts w:hint="eastAsia" w:ascii="宋体" w:hAnsi="宋体" w:eastAsia="宋体" w:cs="宋体"/>
                <w:kern w:val="0"/>
                <w:szCs w:val="21"/>
                <w:lang w:val="en-US" w:eastAsia="zh-CN"/>
              </w:rPr>
              <w:t>1-2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23510F03">
        <w:tblPrEx>
          <w:tblCellMar>
            <w:top w:w="0" w:type="dxa"/>
            <w:left w:w="108" w:type="dxa"/>
            <w:bottom w:w="0" w:type="dxa"/>
            <w:right w:w="108" w:type="dxa"/>
          </w:tblCellMar>
        </w:tblPrEx>
        <w:trPr>
          <w:trHeight w:val="440"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3C2D62B9">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1E1375A4">
            <w:pPr>
              <w:spacing w:line="360" w:lineRule="auto"/>
              <w:jc w:val="center"/>
              <w:rPr>
                <w:rFonts w:hint="eastAsia" w:ascii="宋体" w:hAnsi="宋体" w:eastAsia="宋体" w:cs="宋体"/>
                <w:spacing w:val="1"/>
                <w:kern w:val="0"/>
                <w:sz w:val="21"/>
                <w:szCs w:val="21"/>
                <w:lang w:val="en-US" w:eastAsia="zh-CN" w:bidi="ar-SA"/>
              </w:rPr>
            </w:pPr>
            <w:r>
              <w:rPr>
                <w:rFonts w:hint="eastAsia" w:ascii="宋体" w:hAnsi="宋体" w:cs="宋体"/>
                <w:kern w:val="0"/>
                <w:szCs w:val="21"/>
                <w:lang w:val="en-US" w:eastAsia="zh-CN"/>
              </w:rPr>
              <w:t>8</w:t>
            </w:r>
            <w:r>
              <w:rPr>
                <w:rFonts w:hint="eastAsia" w:ascii="宋体" w:hAnsi="宋体" w:eastAsia="宋体" w:cs="宋体"/>
                <w:kern w:val="0"/>
                <w:szCs w:val="21"/>
              </w:rPr>
              <w:t>现场设置和针对现场困难的分析和对策（</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2F45E93B">
            <w:pPr>
              <w:spacing w:line="360" w:lineRule="auto"/>
              <w:jc w:val="left"/>
              <w:rPr>
                <w:rFonts w:hint="eastAsia" w:ascii="宋体" w:hAnsi="宋体" w:eastAsia="宋体" w:cs="宋体"/>
                <w:spacing w:val="1"/>
                <w:kern w:val="0"/>
                <w:sz w:val="21"/>
                <w:szCs w:val="21"/>
                <w:lang w:val="en-US" w:eastAsia="zh-CN" w:bidi="ar-SA"/>
              </w:rPr>
            </w:pPr>
            <w:r>
              <w:rPr>
                <w:rFonts w:hint="eastAsia" w:ascii="宋体" w:hAnsi="宋体" w:eastAsia="宋体" w:cs="宋体"/>
                <w:kern w:val="0"/>
                <w:szCs w:val="21"/>
              </w:rPr>
              <w:t>针对本项目现场实际情况提出施工难点并进行分析和处理，合理得</w:t>
            </w:r>
            <w:r>
              <w:rPr>
                <w:rFonts w:hint="eastAsia" w:ascii="宋体" w:hAnsi="宋体" w:eastAsia="宋体" w:cs="宋体"/>
                <w:kern w:val="0"/>
                <w:szCs w:val="21"/>
                <w:lang w:val="en-US" w:eastAsia="zh-CN"/>
              </w:rPr>
              <w:t>5-6</w:t>
            </w:r>
            <w:r>
              <w:rPr>
                <w:rFonts w:hint="eastAsia" w:ascii="宋体" w:hAnsi="宋体" w:eastAsia="宋体" w:cs="宋体"/>
                <w:kern w:val="0"/>
                <w:szCs w:val="21"/>
              </w:rPr>
              <w:t>分，较为合理得</w:t>
            </w:r>
            <w:r>
              <w:rPr>
                <w:rFonts w:hint="eastAsia" w:ascii="宋体" w:hAnsi="宋体" w:eastAsia="宋体" w:cs="宋体"/>
                <w:kern w:val="0"/>
                <w:szCs w:val="21"/>
                <w:lang w:val="en-US" w:eastAsia="zh-CN"/>
              </w:rPr>
              <w:t>3-4</w:t>
            </w:r>
            <w:r>
              <w:rPr>
                <w:rFonts w:hint="eastAsia" w:ascii="宋体" w:hAnsi="宋体" w:eastAsia="宋体" w:cs="宋体"/>
                <w:kern w:val="0"/>
                <w:szCs w:val="21"/>
              </w:rPr>
              <w:t>分，一般得1</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val="en-US" w:eastAsia="zh-CN"/>
              </w:rPr>
              <w:t>没有</w:t>
            </w:r>
            <w:r>
              <w:rPr>
                <w:rFonts w:hint="eastAsia" w:ascii="宋体" w:hAnsi="宋体" w:eastAsia="宋体" w:cs="宋体"/>
                <w:kern w:val="0"/>
                <w:szCs w:val="21"/>
              </w:rPr>
              <w:t>不得分。</w:t>
            </w:r>
          </w:p>
        </w:tc>
      </w:tr>
      <w:tr w14:paraId="6267C80F">
        <w:tblPrEx>
          <w:tblCellMar>
            <w:top w:w="0" w:type="dxa"/>
            <w:left w:w="108" w:type="dxa"/>
            <w:bottom w:w="0" w:type="dxa"/>
            <w:right w:w="108" w:type="dxa"/>
          </w:tblCellMar>
        </w:tblPrEx>
        <w:trPr>
          <w:trHeight w:val="461" w:hRule="atLeas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F7BDB2A">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eastAsia="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62987587">
            <w:pPr>
              <w:spacing w:line="360" w:lineRule="auto"/>
              <w:ind w:firstLine="420" w:firstLineChars="200"/>
              <w:jc w:val="both"/>
              <w:rPr>
                <w:rFonts w:hint="eastAsia" w:ascii="宋体" w:hAnsi="宋体" w:eastAsia="宋体" w:cs="宋体"/>
                <w:color w:val="000000"/>
                <w:szCs w:val="22"/>
                <w:lang w:val="en-US" w:eastAsia="zh-CN"/>
              </w:rPr>
            </w:pPr>
            <w:r>
              <w:rPr>
                <w:rFonts w:hint="eastAsia" w:ascii="宋体" w:hAnsi="宋体" w:cs="宋体"/>
                <w:color w:val="000000"/>
                <w:szCs w:val="22"/>
                <w:lang w:val="en-US" w:eastAsia="zh-CN"/>
              </w:rPr>
              <w:t>9</w:t>
            </w:r>
            <w:r>
              <w:rPr>
                <w:rFonts w:hint="eastAsia" w:ascii="宋体" w:hAnsi="宋体" w:eastAsia="宋体" w:cs="宋体"/>
                <w:color w:val="000000"/>
                <w:szCs w:val="22"/>
                <w:lang w:val="en-US" w:eastAsia="zh-CN"/>
              </w:rPr>
              <w:t>优惠承诺</w:t>
            </w:r>
          </w:p>
          <w:p w14:paraId="3AB21734">
            <w:pPr>
              <w:spacing w:line="36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b w:val="0"/>
                <w:bCs w:val="0"/>
                <w:color w:val="000000"/>
                <w:kern w:val="2"/>
                <w:sz w:val="21"/>
                <w:szCs w:val="24"/>
                <w:lang w:val="en-US" w:eastAsia="zh-CN" w:bidi="ar-SA"/>
              </w:rPr>
              <w:t>（</w:t>
            </w:r>
            <w:r>
              <w:rPr>
                <w:rFonts w:hint="eastAsia" w:ascii="宋体" w:hAnsi="宋体" w:cs="宋体"/>
                <w:b w:val="0"/>
                <w:bCs w:val="0"/>
                <w:color w:val="000000"/>
                <w:kern w:val="2"/>
                <w:sz w:val="21"/>
                <w:szCs w:val="24"/>
                <w:lang w:val="en-US" w:eastAsia="zh-CN" w:bidi="ar-SA"/>
              </w:rPr>
              <w:t>4</w:t>
            </w:r>
            <w:r>
              <w:rPr>
                <w:rFonts w:hint="eastAsia" w:ascii="宋体" w:hAnsi="宋体" w:eastAsia="宋体" w:cs="宋体"/>
                <w:b w:val="0"/>
                <w:bCs w:val="0"/>
                <w:color w:val="000000"/>
                <w:kern w:val="2"/>
                <w:sz w:val="21"/>
                <w:szCs w:val="24"/>
                <w:lang w:val="en-US" w:eastAsia="zh-CN" w:bidi="ar-SA"/>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322D2459">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1"/>
              <w:rPr>
                <w:rFonts w:hint="eastAsia" w:ascii="宋体" w:hAnsi="宋体" w:eastAsia="宋体" w:cs="宋体"/>
                <w:b w:val="0"/>
                <w:bCs w:val="0"/>
                <w:color w:val="000000"/>
                <w:kern w:val="2"/>
                <w:sz w:val="21"/>
                <w:szCs w:val="24"/>
                <w:highlight w:val="none"/>
                <w:lang w:val="en-US" w:eastAsia="zh-CN" w:bidi="ar-SA"/>
              </w:rPr>
            </w:pPr>
            <w:r>
              <w:rPr>
                <w:rFonts w:hint="eastAsia" w:ascii="宋体" w:hAnsi="宋体" w:eastAsia="宋体" w:cs="宋体"/>
                <w:b w:val="0"/>
                <w:bCs w:val="0"/>
                <w:color w:val="000000"/>
                <w:kern w:val="2"/>
                <w:sz w:val="21"/>
                <w:szCs w:val="24"/>
                <w:highlight w:val="none"/>
                <w:lang w:val="en-US" w:eastAsia="zh-CN" w:bidi="ar-SA"/>
              </w:rPr>
              <w:t>优惠承诺应是书面的符合工程实际情况，确保依法依规，优惠合理，详实可行。优得3-4分，良得1-2分，一般得0.5分，没有不得分。</w:t>
            </w:r>
          </w:p>
        </w:tc>
      </w:tr>
      <w:tr w14:paraId="0B470BAB">
        <w:tblPrEx>
          <w:tblCellMar>
            <w:top w:w="0" w:type="dxa"/>
            <w:left w:w="108" w:type="dxa"/>
            <w:bottom w:w="0" w:type="dxa"/>
            <w:right w:w="108" w:type="dxa"/>
          </w:tblCellMar>
        </w:tblPrEx>
        <w:trPr>
          <w:trHeight w:val="461" w:hRule="atLeast"/>
        </w:trPr>
        <w:tc>
          <w:tcPr>
            <w:tcW w:w="1044" w:type="dxa"/>
            <w:vMerge w:val="restart"/>
            <w:tcBorders>
              <w:top w:val="single" w:color="auto" w:sz="4" w:space="0"/>
              <w:left w:val="single" w:color="auto" w:sz="4" w:space="0"/>
              <w:right w:val="single" w:color="auto" w:sz="4" w:space="0"/>
            </w:tcBorders>
            <w:vAlign w:val="center"/>
          </w:tcPr>
          <w:p w14:paraId="13732F5E">
            <w:pPr>
              <w:keepNext w:val="0"/>
              <w:keepLines w:val="0"/>
              <w:numPr>
                <w:ilvl w:val="0"/>
                <w:numId w:val="8"/>
              </w:numPr>
              <w:suppressLineNumbers w:val="0"/>
              <w:autoSpaceDE w:val="0"/>
              <w:autoSpaceDN w:val="0"/>
              <w:adjustRightInd w:val="0"/>
              <w:spacing w:before="0" w:beforeAutospacing="0" w:after="0" w:afterAutospacing="0" w:line="360" w:lineRule="auto"/>
              <w:ind w:left="0" w:right="35"/>
              <w:jc w:val="center"/>
              <w:rPr>
                <w:rFonts w:hint="eastAsia" w:ascii="宋体" w:hAnsi="宋体" w:cs="宋体"/>
                <w:sz w:val="21"/>
                <w:szCs w:val="21"/>
                <w:lang w:val="en-US" w:eastAsia="zh-CN"/>
              </w:rPr>
            </w:pPr>
            <w:r>
              <w:rPr>
                <w:rFonts w:hint="eastAsia" w:ascii="宋体" w:hAnsi="宋体" w:cs="宋体"/>
                <w:sz w:val="21"/>
                <w:szCs w:val="21"/>
                <w:lang w:val="en-US" w:eastAsia="zh-CN"/>
              </w:rPr>
              <w:t>综合实力评分</w:t>
            </w:r>
          </w:p>
          <w:p w14:paraId="0DBB5391">
            <w:pPr>
              <w:keepNext w:val="0"/>
              <w:keepLines w:val="0"/>
              <w:numPr>
                <w:ilvl w:val="0"/>
                <w:numId w:val="0"/>
              </w:numPr>
              <w:suppressLineNumbers w:val="0"/>
              <w:autoSpaceDE w:val="0"/>
              <w:autoSpaceDN w:val="0"/>
              <w:adjustRightInd w:val="0"/>
              <w:spacing w:before="0" w:beforeAutospacing="0" w:after="0" w:afterAutospacing="0" w:line="360" w:lineRule="auto"/>
              <w:ind w:right="35" w:right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（10分）</w:t>
            </w:r>
          </w:p>
        </w:tc>
        <w:tc>
          <w:tcPr>
            <w:tcW w:w="2033" w:type="dxa"/>
            <w:tcBorders>
              <w:top w:val="single" w:color="auto" w:sz="4" w:space="0"/>
              <w:left w:val="single" w:color="auto" w:sz="4" w:space="0"/>
              <w:bottom w:val="single" w:color="auto" w:sz="4" w:space="0"/>
              <w:right w:val="single" w:color="auto" w:sz="4" w:space="0"/>
            </w:tcBorders>
            <w:vAlign w:val="center"/>
          </w:tcPr>
          <w:p w14:paraId="347E2E31">
            <w:pPr>
              <w:wordWrap w:val="0"/>
              <w:topLinePun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企业业绩</w:t>
            </w:r>
          </w:p>
          <w:p w14:paraId="02D03E28">
            <w:pPr>
              <w:wordWrap w:val="0"/>
              <w:topLinePunct/>
              <w:jc w:val="center"/>
              <w:rPr>
                <w:rFonts w:hint="eastAsia" w:ascii="宋体" w:hAnsi="宋体" w:eastAsia="宋体" w:cs="宋体"/>
                <w:b w:val="0"/>
                <w:bCs w:val="0"/>
                <w:color w:val="000000"/>
                <w:kern w:val="2"/>
                <w:sz w:val="21"/>
                <w:szCs w:val="24"/>
                <w:lang w:val="en-US" w:eastAsia="zh-CN" w:bidi="ar-SA"/>
              </w:rPr>
            </w:pP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lang w:val="en-US" w:eastAsia="zh-CN"/>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4971C58D">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bCs w:val="0"/>
                <w:color w:val="000000"/>
                <w:kern w:val="2"/>
                <w:sz w:val="21"/>
                <w:szCs w:val="24"/>
                <w:highlight w:val="none"/>
                <w:lang w:val="en-US" w:eastAsia="zh-CN" w:bidi="ar-SA"/>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承担过类似项目的，每有一项得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分。本项最多得</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分。（需提供中标通知书、施工合同）；</w:t>
            </w:r>
          </w:p>
        </w:tc>
      </w:tr>
      <w:tr w14:paraId="426BA56E">
        <w:tblPrEx>
          <w:tblCellMar>
            <w:top w:w="0" w:type="dxa"/>
            <w:left w:w="108" w:type="dxa"/>
            <w:bottom w:w="0" w:type="dxa"/>
            <w:right w:w="108" w:type="dxa"/>
          </w:tblCellMar>
        </w:tblPrEx>
        <w:trPr>
          <w:trHeight w:val="461" w:hRule="atLeast"/>
        </w:trPr>
        <w:tc>
          <w:tcPr>
            <w:tcW w:w="1044" w:type="dxa"/>
            <w:vMerge w:val="continue"/>
            <w:tcBorders>
              <w:left w:val="single" w:color="auto" w:sz="4" w:space="0"/>
              <w:bottom w:val="single" w:color="auto" w:sz="4" w:space="0"/>
              <w:right w:val="single" w:color="auto" w:sz="4" w:space="0"/>
            </w:tcBorders>
            <w:vAlign w:val="center"/>
          </w:tcPr>
          <w:p w14:paraId="1889E0E9">
            <w:pPr>
              <w:keepNext w:val="0"/>
              <w:keepLines w:val="0"/>
              <w:suppressLineNumbers w:val="0"/>
              <w:autoSpaceDE w:val="0"/>
              <w:autoSpaceDN w:val="0"/>
              <w:adjustRightInd w:val="0"/>
              <w:spacing w:before="0" w:beforeAutospacing="0" w:after="0" w:afterAutospacing="0" w:line="360" w:lineRule="auto"/>
              <w:ind w:left="0" w:right="35"/>
              <w:jc w:val="center"/>
              <w:rPr>
                <w:rFonts w:hint="eastAsia" w:ascii="宋体" w:hAnsi="宋体" w:cs="宋体"/>
                <w:sz w:val="21"/>
                <w:szCs w:val="21"/>
                <w:lang w:val="en-US" w:eastAsia="zh-CN"/>
              </w:rPr>
            </w:pPr>
          </w:p>
        </w:tc>
        <w:tc>
          <w:tcPr>
            <w:tcW w:w="2033" w:type="dxa"/>
            <w:tcBorders>
              <w:top w:val="single" w:color="auto" w:sz="4" w:space="0"/>
              <w:left w:val="single" w:color="auto" w:sz="4" w:space="0"/>
              <w:bottom w:val="single" w:color="auto" w:sz="4" w:space="0"/>
              <w:right w:val="single" w:color="auto" w:sz="4" w:space="0"/>
            </w:tcBorders>
            <w:vAlign w:val="center"/>
          </w:tcPr>
          <w:p w14:paraId="74BD4AC0">
            <w:pPr>
              <w:widowControl/>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“AAA”信用等级证书</w:t>
            </w:r>
          </w:p>
          <w:p w14:paraId="3FA09D6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分）</w:t>
            </w:r>
          </w:p>
        </w:tc>
        <w:tc>
          <w:tcPr>
            <w:tcW w:w="6072" w:type="dxa"/>
            <w:tcBorders>
              <w:top w:val="single" w:color="auto" w:sz="4" w:space="0"/>
              <w:left w:val="single" w:color="auto" w:sz="4" w:space="0"/>
              <w:bottom w:val="single" w:color="auto" w:sz="4" w:space="0"/>
              <w:right w:val="single" w:color="auto" w:sz="4" w:space="0"/>
            </w:tcBorders>
            <w:vAlign w:val="center"/>
          </w:tcPr>
          <w:p w14:paraId="64982976">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cs="宋体"/>
                <w:bCs/>
                <w:color w:val="auto"/>
                <w:sz w:val="21"/>
                <w:szCs w:val="21"/>
                <w:lang w:eastAsia="zh-CN"/>
              </w:rPr>
              <w:t>供应商</w:t>
            </w:r>
            <w:r>
              <w:rPr>
                <w:rFonts w:hint="eastAsia" w:ascii="宋体" w:hAnsi="宋体" w:cs="宋体"/>
                <w:bCs/>
                <w:color w:val="auto"/>
                <w:sz w:val="21"/>
                <w:szCs w:val="21"/>
              </w:rPr>
              <w:t>通过社会信用评估机构颁发的信用等级证书</w:t>
            </w:r>
            <w:r>
              <w:rPr>
                <w:rFonts w:hint="eastAsia" w:ascii="宋体" w:hAnsi="宋体" w:cs="宋体"/>
                <w:bCs/>
                <w:color w:val="auto"/>
                <w:sz w:val="21"/>
                <w:szCs w:val="21"/>
                <w:lang w:eastAsia="zh-CN"/>
              </w:rPr>
              <w:t>：</w:t>
            </w:r>
            <w:r>
              <w:rPr>
                <w:rFonts w:hint="eastAsia" w:ascii="宋体" w:hAnsi="宋体" w:cs="宋体"/>
                <w:bCs/>
                <w:color w:val="auto"/>
                <w:sz w:val="21"/>
                <w:szCs w:val="21"/>
              </w:rPr>
              <w:t>“AAA”级的，得</w:t>
            </w:r>
            <w:r>
              <w:rPr>
                <w:rFonts w:hint="eastAsia" w:ascii="宋体" w:hAnsi="宋体" w:cs="宋体"/>
                <w:bCs/>
                <w:color w:val="auto"/>
                <w:sz w:val="21"/>
                <w:szCs w:val="21"/>
                <w:lang w:val="en-US" w:eastAsia="zh-CN"/>
              </w:rPr>
              <w:t>4</w:t>
            </w:r>
            <w:r>
              <w:rPr>
                <w:rFonts w:hint="eastAsia" w:ascii="宋体" w:hAnsi="宋体" w:cs="宋体"/>
                <w:bCs/>
                <w:color w:val="auto"/>
                <w:sz w:val="21"/>
                <w:szCs w:val="21"/>
              </w:rPr>
              <w:t>分，“AA” 的得</w:t>
            </w:r>
            <w:r>
              <w:rPr>
                <w:rFonts w:hint="eastAsia" w:ascii="宋体" w:hAnsi="宋体" w:cs="宋体"/>
                <w:bCs/>
                <w:color w:val="auto"/>
                <w:sz w:val="21"/>
                <w:szCs w:val="21"/>
                <w:lang w:val="en-US" w:eastAsia="zh-CN"/>
              </w:rPr>
              <w:t>3</w:t>
            </w:r>
            <w:r>
              <w:rPr>
                <w:rFonts w:hint="eastAsia" w:ascii="宋体" w:hAnsi="宋体" w:cs="宋体"/>
                <w:bCs/>
                <w:color w:val="auto"/>
                <w:sz w:val="21"/>
                <w:szCs w:val="21"/>
              </w:rPr>
              <w:t>分，“A”级的得</w:t>
            </w:r>
            <w:r>
              <w:rPr>
                <w:rFonts w:hint="eastAsia" w:ascii="宋体" w:hAnsi="宋体" w:cs="宋体"/>
                <w:bCs/>
                <w:color w:val="auto"/>
                <w:sz w:val="21"/>
                <w:szCs w:val="21"/>
                <w:lang w:val="en-US" w:eastAsia="zh-CN"/>
              </w:rPr>
              <w:t>2</w:t>
            </w:r>
            <w:r>
              <w:rPr>
                <w:rFonts w:hint="eastAsia" w:ascii="宋体" w:hAnsi="宋体" w:cs="宋体"/>
                <w:bCs/>
                <w:color w:val="auto"/>
                <w:sz w:val="21"/>
                <w:szCs w:val="21"/>
              </w:rPr>
              <w:t>分，没有不得分的。</w:t>
            </w:r>
            <w:bookmarkStart w:id="602" w:name="_GoBack"/>
            <w:bookmarkEnd w:id="602"/>
          </w:p>
        </w:tc>
      </w:tr>
    </w:tbl>
    <w:p w14:paraId="4401EA07">
      <w:pPr>
        <w:spacing w:line="440" w:lineRule="exact"/>
        <w:rPr>
          <w:rFonts w:hint="eastAsia" w:ascii="Calibri" w:hAnsi="Calibri" w:cs="黑体"/>
          <w:b/>
          <w:bCs/>
          <w:szCs w:val="22"/>
          <w:lang w:val="en-US" w:eastAsia="zh-CN"/>
        </w:rPr>
      </w:pPr>
    </w:p>
    <w:p w14:paraId="4E65E0F2">
      <w:pPr>
        <w:numPr>
          <w:ilvl w:val="0"/>
          <w:numId w:val="9"/>
        </w:numPr>
        <w:spacing w:line="440" w:lineRule="exact"/>
        <w:outlineLvl w:val="1"/>
        <w:rPr>
          <w:rFonts w:hint="eastAsia" w:ascii="Calibri" w:hAnsi="Calibri" w:cs="黑体"/>
          <w:b/>
          <w:bCs/>
          <w:szCs w:val="22"/>
          <w:lang w:val="en-US" w:eastAsia="zh-CN"/>
        </w:rPr>
      </w:pPr>
      <w:r>
        <w:rPr>
          <w:rFonts w:hint="eastAsia" w:ascii="Calibri" w:hAnsi="Calibri" w:cs="黑体"/>
          <w:b/>
          <w:bCs/>
          <w:szCs w:val="22"/>
          <w:lang w:val="en-US" w:eastAsia="zh-CN"/>
        </w:rPr>
        <w:t>磋商程序及方法</w:t>
      </w:r>
    </w:p>
    <w:p w14:paraId="336C9B04">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1.1初步评审</w:t>
      </w:r>
    </w:p>
    <w:p w14:paraId="5166E311">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1.2磋商</w:t>
      </w:r>
    </w:p>
    <w:p w14:paraId="55C37029">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1.3综合评分</w:t>
      </w:r>
    </w:p>
    <w:p w14:paraId="09ACE24D">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确定成交供应商原则</w:t>
      </w:r>
    </w:p>
    <w:p w14:paraId="0E281352">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eastAsia" w:ascii="Calibri" w:hAnsi="Calibri" w:cs="黑体"/>
          <w:b w:val="0"/>
          <w:bCs w:val="0"/>
          <w:szCs w:val="22"/>
          <w:lang w:val="en-US" w:eastAsia="zh-CN"/>
        </w:rPr>
        <w:t>响应文件满足磋商文件全部实质性要求且按评审因素的量化指标评审得分最高的供应商为成交供应商。</w:t>
      </w:r>
    </w:p>
    <w:p w14:paraId="04EE10BE">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初步评审</w:t>
      </w:r>
    </w:p>
    <w:p w14:paraId="15B34703">
      <w:pPr>
        <w:numPr>
          <w:ilvl w:val="0"/>
          <w:numId w:val="0"/>
        </w:numPr>
        <w:spacing w:line="440" w:lineRule="exact"/>
        <w:ind w:leftChars="0"/>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3.1初步评审标准</w:t>
      </w:r>
    </w:p>
    <w:p w14:paraId="5451C105">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3.1.1资格评审标准：见磋商程序及办法前附表</w:t>
      </w:r>
    </w:p>
    <w:p w14:paraId="4F5BB2E2">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3.1.2符合性评审标准：见磋商程序及办法前附表</w:t>
      </w:r>
    </w:p>
    <w:p w14:paraId="1AEEA3D1">
      <w:pPr>
        <w:numPr>
          <w:ilvl w:val="0"/>
          <w:numId w:val="0"/>
        </w:numPr>
        <w:spacing w:line="440" w:lineRule="exact"/>
        <w:ind w:leftChars="0"/>
        <w:rPr>
          <w:rFonts w:hint="eastAsia" w:ascii="Calibri" w:hAnsi="Calibri" w:cs="黑体"/>
          <w:b/>
          <w:bCs/>
          <w:szCs w:val="22"/>
          <w:lang w:val="en-US" w:eastAsia="zh-CN"/>
        </w:rPr>
      </w:pPr>
      <w:r>
        <w:rPr>
          <w:rFonts w:hint="eastAsia" w:ascii="Calibri" w:hAnsi="Calibri" w:cs="黑体"/>
          <w:b w:val="0"/>
          <w:bCs w:val="0"/>
          <w:szCs w:val="22"/>
          <w:lang w:val="en-US" w:eastAsia="zh-CN"/>
        </w:rPr>
        <w:t xml:space="preserve">  3.2磋商小组依据规定的标准对磋商响应文件进行初步评审，</w:t>
      </w:r>
      <w:r>
        <w:rPr>
          <w:rFonts w:hint="eastAsia" w:ascii="Calibri" w:hAnsi="Calibri" w:cs="黑体"/>
          <w:b/>
          <w:bCs/>
          <w:szCs w:val="22"/>
          <w:lang w:val="en-US" w:eastAsia="zh-CN"/>
        </w:rPr>
        <w:t>有一项不符合评审标准的，作废标处理。</w:t>
      </w:r>
    </w:p>
    <w:p w14:paraId="02858777">
      <w:pPr>
        <w:numPr>
          <w:ilvl w:val="0"/>
          <w:numId w:val="0"/>
        </w:numPr>
        <w:spacing w:line="440" w:lineRule="exact"/>
        <w:ind w:leftChars="0" w:firstLine="210" w:firstLineChars="100"/>
        <w:outlineLvl w:val="2"/>
        <w:rPr>
          <w:rFonts w:hint="eastAsia" w:ascii="Calibri" w:hAnsi="Calibri" w:cs="黑体"/>
          <w:b/>
          <w:bCs/>
          <w:szCs w:val="22"/>
          <w:lang w:val="en-US" w:eastAsia="zh-CN"/>
        </w:rPr>
      </w:pPr>
      <w:r>
        <w:rPr>
          <w:rFonts w:hint="eastAsia" w:ascii="Calibri" w:hAnsi="Calibri" w:cs="黑体"/>
          <w:b/>
          <w:bCs/>
          <w:szCs w:val="22"/>
          <w:lang w:val="en-US" w:eastAsia="zh-CN"/>
        </w:rPr>
        <w:t>3.3供应商有以下情形之一的，其磋商响应文件作废标处理：</w:t>
      </w:r>
    </w:p>
    <w:p w14:paraId="10141E88">
      <w:pPr>
        <w:numPr>
          <w:ilvl w:val="0"/>
          <w:numId w:val="10"/>
        </w:numPr>
        <w:spacing w:line="440" w:lineRule="exact"/>
        <w:ind w:leftChars="0"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串通投标或弄虚作假或有其他违法行为的；</w:t>
      </w:r>
    </w:p>
    <w:p w14:paraId="551A6CEE">
      <w:pPr>
        <w:numPr>
          <w:ilvl w:val="0"/>
          <w:numId w:val="10"/>
        </w:numPr>
        <w:spacing w:line="440" w:lineRule="exact"/>
        <w:ind w:leftChars="0" w:firstLine="210" w:firstLine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不按磋商小组要求澄清、说明或补正的。</w:t>
      </w:r>
    </w:p>
    <w:p w14:paraId="2CC334AC">
      <w:pPr>
        <w:numPr>
          <w:ilvl w:val="0"/>
          <w:numId w:val="10"/>
        </w:numPr>
        <w:spacing w:line="440" w:lineRule="exact"/>
        <w:ind w:leftChars="0"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如果发现报价超过采购预算、报价文件出现其他错误情形的。</w:t>
      </w:r>
    </w:p>
    <w:p w14:paraId="44D214F9">
      <w:pPr>
        <w:numPr>
          <w:ilvl w:val="0"/>
          <w:numId w:val="10"/>
        </w:numPr>
        <w:spacing w:line="440" w:lineRule="exact"/>
        <w:ind w:leftChars="0" w:firstLine="210" w:firstLine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二次报价高于一次报价或未进行二次报价的。</w:t>
      </w:r>
    </w:p>
    <w:p w14:paraId="4306E75B">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3.4磋商小组在对响应文件的有效性、完整性和响应成都进行审查时，可以要求供应商对响应 文件中含义不明确、同类问题表述不一致或者有明显文件和计算错误的内容等做出必要的澄清、说明或者更正。供应商的澄清、说明或者更正不得超出响应文件的范围或者该表响应文件的实质性内容</w:t>
      </w:r>
    </w:p>
    <w:p w14:paraId="0F04604E">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磋商小组要求供应商澄清、说明或者更正响应文件应以评审系统在线提出。供应商的澄清、说 明或者更正应当有法人或其授权人签字或加盖公章</w:t>
      </w:r>
    </w:p>
    <w:p w14:paraId="7E36B32C">
      <w:pPr>
        <w:numPr>
          <w:ilvl w:val="0"/>
          <w:numId w:val="0"/>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3.5磋商报价有算术错误的，磋商小组按以下原则对磋商报价进行修正，修正的价格经供应商 确认后具有约束力。供应商不接受修正价格的，其磋商响应文件作废标处理。</w:t>
      </w:r>
    </w:p>
    <w:p w14:paraId="1DF8CDF3">
      <w:pPr>
        <w:numPr>
          <w:ilvl w:val="0"/>
          <w:numId w:val="11"/>
        </w:numPr>
        <w:spacing w:line="440" w:lineRule="exact"/>
        <w:ind w:left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磋商响应文件中的大写金额与小写金额不一致的，以大写金额为准。</w:t>
      </w:r>
    </w:p>
    <w:p w14:paraId="53F5699B">
      <w:pPr>
        <w:numPr>
          <w:ilvl w:val="0"/>
          <w:numId w:val="11"/>
        </w:numPr>
        <w:spacing w:line="440" w:lineRule="exact"/>
        <w:ind w:leftChars="100"/>
        <w:rPr>
          <w:rFonts w:hint="default" w:ascii="Calibri" w:hAnsi="Calibri" w:cs="黑体"/>
          <w:b w:val="0"/>
          <w:bCs w:val="0"/>
          <w:szCs w:val="22"/>
          <w:lang w:val="en-US" w:eastAsia="zh-CN"/>
        </w:rPr>
      </w:pPr>
      <w:r>
        <w:rPr>
          <w:rFonts w:hint="eastAsia" w:ascii="Calibri" w:hAnsi="Calibri" w:cs="黑体"/>
          <w:b w:val="0"/>
          <w:bCs w:val="0"/>
          <w:szCs w:val="22"/>
          <w:lang w:val="en-US" w:eastAsia="zh-CN"/>
        </w:rPr>
        <w:t>总价金额与依据单价计算出的结果不一致的，以单价金额为准修正总价，但单价金额小数点有明显错误的除外。</w:t>
      </w:r>
    </w:p>
    <w:p w14:paraId="493DAD56">
      <w:pPr>
        <w:numPr>
          <w:ilvl w:val="0"/>
          <w:numId w:val="9"/>
        </w:numPr>
        <w:spacing w:line="440" w:lineRule="exact"/>
        <w:ind w:left="0" w:leftChars="0" w:firstLine="0" w:firstLineChars="0"/>
        <w:outlineLvl w:val="1"/>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w:t>
      </w:r>
    </w:p>
    <w:p w14:paraId="3957DF75">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4.1磋商小组所有成员应当集中与通过初步评审的单一供应商分别进行磋商，并给与所有通过初步评审的供应商平等的磋商机会。</w:t>
      </w:r>
    </w:p>
    <w:p w14:paraId="12CE612A">
      <w:pPr>
        <w:numPr>
          <w:ilvl w:val="0"/>
          <w:numId w:val="0"/>
        </w:numPr>
        <w:spacing w:line="440" w:lineRule="exact"/>
        <w:ind w:left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w:t>
      </w:r>
      <w:r>
        <w:rPr>
          <w:rFonts w:hint="eastAsia" w:ascii="Calibri" w:hAnsi="Calibri" w:cs="黑体"/>
          <w:b/>
          <w:bCs/>
          <w:szCs w:val="22"/>
          <w:lang w:val="en-US" w:eastAsia="zh-CN"/>
        </w:rPr>
        <w:t>4.2磋商结束后，磋商小组要求所有通过初步评审的供应商在规定时间内提交最后报价，最后报价必须在磋商小组要求的时间内以交易中心系统上传的形式提交，不得以口头形式报价。最后报价是供应商响应文件的有效组成部分。</w:t>
      </w:r>
    </w:p>
    <w:p w14:paraId="05EB6118">
      <w:pPr>
        <w:numPr>
          <w:ilvl w:val="0"/>
          <w:numId w:val="9"/>
        </w:numPr>
        <w:spacing w:line="440" w:lineRule="exact"/>
        <w:ind w:left="0" w:leftChars="0" w:firstLine="0" w:firstLineChars="0"/>
        <w:outlineLvl w:val="1"/>
        <w:rPr>
          <w:rFonts w:hint="eastAsia" w:ascii="Calibri" w:hAnsi="Calibri" w:cs="黑体"/>
          <w:b w:val="0"/>
          <w:bCs w:val="0"/>
          <w:szCs w:val="22"/>
          <w:lang w:val="en-US" w:eastAsia="zh-CN"/>
        </w:rPr>
      </w:pPr>
      <w:r>
        <w:rPr>
          <w:rFonts w:hint="eastAsia" w:ascii="Calibri" w:hAnsi="Calibri" w:cs="黑体"/>
          <w:b w:val="0"/>
          <w:bCs w:val="0"/>
          <w:szCs w:val="22"/>
          <w:lang w:val="en-US" w:eastAsia="zh-CN"/>
        </w:rPr>
        <w:t>综合评分</w:t>
      </w:r>
    </w:p>
    <w:p w14:paraId="40D87984">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eastAsia" w:ascii="Calibri" w:hAnsi="Calibri" w:cs="黑体"/>
          <w:b w:val="0"/>
          <w:bCs w:val="0"/>
          <w:szCs w:val="22"/>
          <w:lang w:val="en-US" w:eastAsia="zh-CN"/>
        </w:rPr>
        <w:t>经磋商确定提交最后报价的供应商后，由磋商小组采用综合评分法对提交最后报价的供应商的 响应文件和最后报价进行综合评分。综合评分办法见磋商程序及办法前附表。</w:t>
      </w:r>
    </w:p>
    <w:p w14:paraId="62D51927">
      <w:pPr>
        <w:numPr>
          <w:ilvl w:val="0"/>
          <w:numId w:val="0"/>
        </w:numPr>
        <w:spacing w:line="440" w:lineRule="exact"/>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5.1分值构成</w:t>
      </w:r>
    </w:p>
    <w:p w14:paraId="3D3E6304">
      <w:pPr>
        <w:numPr>
          <w:ilvl w:val="0"/>
          <w:numId w:val="0"/>
        </w:numPr>
        <w:spacing w:line="440" w:lineRule="exact"/>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分值构成：见磋商程序及办法前附表。</w:t>
      </w:r>
    </w:p>
    <w:p w14:paraId="719FD3FE">
      <w:pPr>
        <w:numPr>
          <w:ilvl w:val="0"/>
          <w:numId w:val="0"/>
        </w:numPr>
        <w:spacing w:line="440" w:lineRule="exact"/>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 xml:space="preserve">  5.2磋商基准价</w:t>
      </w:r>
    </w:p>
    <w:p w14:paraId="263B1DE0">
      <w:pPr>
        <w:numPr>
          <w:ilvl w:val="0"/>
          <w:numId w:val="0"/>
        </w:numPr>
        <w:spacing w:line="440" w:lineRule="exact"/>
        <w:ind w:firstLine="210" w:firstLineChars="100"/>
        <w:rPr>
          <w:rFonts w:hint="eastAsia" w:ascii="Calibri" w:hAnsi="Calibri" w:cs="黑体"/>
          <w:b w:val="0"/>
          <w:bCs w:val="0"/>
          <w:szCs w:val="22"/>
          <w:lang w:val="en-US" w:eastAsia="zh-CN"/>
        </w:rPr>
      </w:pPr>
      <w:r>
        <w:rPr>
          <w:rFonts w:hint="eastAsia" w:ascii="Calibri" w:hAnsi="Calibri" w:cs="黑体"/>
          <w:b w:val="0"/>
          <w:bCs w:val="0"/>
          <w:szCs w:val="22"/>
          <w:lang w:val="en-US" w:eastAsia="zh-CN"/>
        </w:rPr>
        <w:t>磋商基准价：见磋商程序及办法前附表。</w:t>
      </w:r>
    </w:p>
    <w:p w14:paraId="112827D8">
      <w:pPr>
        <w:numPr>
          <w:ilvl w:val="0"/>
          <w:numId w:val="0"/>
        </w:numPr>
        <w:spacing w:line="440" w:lineRule="exact"/>
        <w:ind w:left="210" w:leftChars="100" w:firstLine="0" w:firstLineChars="0"/>
        <w:outlineLvl w:val="2"/>
        <w:rPr>
          <w:rFonts w:hint="eastAsia" w:ascii="Calibri" w:hAnsi="Calibri" w:cs="黑体"/>
          <w:b w:val="0"/>
          <w:bCs w:val="0"/>
          <w:szCs w:val="22"/>
          <w:lang w:val="en-US" w:eastAsia="zh-CN"/>
        </w:rPr>
      </w:pPr>
      <w:r>
        <w:rPr>
          <w:rFonts w:hint="eastAsia" w:ascii="Calibri" w:hAnsi="Calibri" w:cs="黑体"/>
          <w:b w:val="0"/>
          <w:bCs w:val="0"/>
          <w:szCs w:val="22"/>
          <w:lang w:val="en-US" w:eastAsia="zh-CN"/>
        </w:rPr>
        <w:t>5.3评分标准</w:t>
      </w:r>
    </w:p>
    <w:p w14:paraId="2502ABA4">
      <w:pPr>
        <w:numPr>
          <w:ilvl w:val="0"/>
          <w:numId w:val="0"/>
        </w:numPr>
        <w:spacing w:line="440" w:lineRule="exact"/>
        <w:ind w:left="210" w:leftChars="100" w:firstLine="0" w:firstLineChars="0"/>
        <w:rPr>
          <w:rFonts w:hint="eastAsia" w:ascii="Calibri" w:hAnsi="Calibri" w:cs="黑体"/>
          <w:b w:val="0"/>
          <w:bCs w:val="0"/>
          <w:szCs w:val="22"/>
          <w:lang w:val="en-US" w:eastAsia="zh-CN"/>
        </w:rPr>
      </w:pPr>
      <w:r>
        <w:rPr>
          <w:rFonts w:hint="eastAsia" w:ascii="Calibri" w:hAnsi="Calibri" w:cs="黑体"/>
          <w:b w:val="0"/>
          <w:bCs w:val="0"/>
          <w:szCs w:val="22"/>
          <w:lang w:val="en-US" w:eastAsia="zh-CN"/>
        </w:rPr>
        <w:t>评分标准：见磋商程序及办法前附表。</w:t>
      </w:r>
    </w:p>
    <w:p w14:paraId="481C6C2D">
      <w:pPr>
        <w:numPr>
          <w:ilvl w:val="0"/>
          <w:numId w:val="9"/>
        </w:numPr>
        <w:spacing w:line="440" w:lineRule="exact"/>
        <w:ind w:left="0" w:leftChars="0" w:firstLine="0" w:firstLineChars="0"/>
        <w:outlineLvl w:val="1"/>
        <w:rPr>
          <w:rFonts w:hint="eastAsia" w:ascii="Calibri" w:hAnsi="Calibri" w:cs="黑体"/>
          <w:b/>
          <w:bCs/>
          <w:szCs w:val="22"/>
          <w:lang w:val="en-US" w:eastAsia="zh-CN"/>
        </w:rPr>
      </w:pPr>
      <w:r>
        <w:rPr>
          <w:rFonts w:hint="eastAsia" w:ascii="Calibri" w:hAnsi="Calibri" w:cs="黑体"/>
          <w:b/>
          <w:bCs/>
          <w:szCs w:val="22"/>
          <w:lang w:val="en-US" w:eastAsia="zh-CN"/>
        </w:rPr>
        <w:t>磋商结果</w:t>
      </w:r>
    </w:p>
    <w:p w14:paraId="49E63AF1">
      <w:pPr>
        <w:numPr>
          <w:ilvl w:val="0"/>
          <w:numId w:val="0"/>
        </w:numPr>
        <w:spacing w:line="440" w:lineRule="exact"/>
        <w:ind w:leftChars="0" w:firstLine="420" w:firstLineChars="200"/>
        <w:rPr>
          <w:rFonts w:hint="eastAsia" w:ascii="Calibri" w:hAnsi="Calibri" w:cs="黑体"/>
          <w:b w:val="0"/>
          <w:bCs w:val="0"/>
          <w:szCs w:val="22"/>
          <w:lang w:val="en-US" w:eastAsia="zh-CN"/>
        </w:rPr>
      </w:pPr>
      <w:r>
        <w:rPr>
          <w:rFonts w:hint="default" w:ascii="Calibri" w:hAnsi="Calibri" w:cs="黑体"/>
          <w:b w:val="0"/>
          <w:bCs w:val="0"/>
          <w:szCs w:val="22"/>
          <w:lang w:val="en-US" w:eastAsia="zh-CN"/>
        </w:rPr>
        <w:t>磋商结束后，磋商小组编写评审报告，根据综合评分情况，按照评审得分由高到低的顺序向采 购人推荐候选成交供应商</w:t>
      </w:r>
      <w:r>
        <w:rPr>
          <w:rFonts w:hint="eastAsia" w:ascii="Calibri" w:hAnsi="Calibri" w:cs="黑体"/>
          <w:b w:val="0"/>
          <w:bCs w:val="0"/>
          <w:szCs w:val="22"/>
          <w:lang w:val="en-US" w:eastAsia="zh-CN"/>
        </w:rPr>
        <w:t>。</w:t>
      </w:r>
    </w:p>
    <w:p w14:paraId="682C2287">
      <w:pPr>
        <w:ind w:firstLine="420" w:firstLineChars="200"/>
        <w:rPr>
          <w:rFonts w:hint="eastAsia" w:ascii="Calibri" w:hAnsi="Calibri" w:cs="黑体"/>
          <w:b w:val="0"/>
          <w:bCs w:val="0"/>
          <w:szCs w:val="22"/>
          <w:lang w:val="en-US" w:eastAsia="zh-CN"/>
        </w:rPr>
      </w:pPr>
      <w:r>
        <w:rPr>
          <w:rFonts w:hint="default" w:ascii="Calibri" w:hAnsi="Calibri" w:cs="黑体"/>
          <w:b w:val="0"/>
          <w:bCs w:val="0"/>
          <w:szCs w:val="22"/>
          <w:lang w:val="en-US" w:eastAsia="zh-CN"/>
        </w:rPr>
        <w:t>评审报告应当由磋商小组全体人员签字认可。磋商小组成员对评审报告有异议的，磋商小组按 照少数服从多数的原则推荐成交候选供应商，采购程序继续进行。对评审报告有异议的磋商小组成 员，应当在报告上签署不同意见并说明理由，由磋商小组记录相关情况。磋商小组成员拒绝在报告 上签字又不说明其不同意见和理由的，视为同意评审报告</w:t>
      </w:r>
      <w:r>
        <w:rPr>
          <w:rFonts w:hint="eastAsia" w:ascii="Calibri" w:hAnsi="Calibri" w:cs="黑体"/>
          <w:b w:val="0"/>
          <w:bCs w:val="0"/>
          <w:szCs w:val="22"/>
          <w:lang w:val="en-US" w:eastAsia="zh-CN"/>
        </w:rPr>
        <w:t>。</w:t>
      </w:r>
    </w:p>
    <w:p w14:paraId="07204B08">
      <w:pPr>
        <w:rPr>
          <w:rFonts w:hint="eastAsia" w:ascii="Calibri" w:hAnsi="Calibri" w:cs="黑体"/>
          <w:b w:val="0"/>
          <w:bCs w:val="0"/>
          <w:szCs w:val="22"/>
          <w:lang w:val="en-US" w:eastAsia="zh-CN"/>
        </w:rPr>
      </w:pPr>
      <w:r>
        <w:rPr>
          <w:rFonts w:hint="eastAsia" w:ascii="Calibri" w:hAnsi="Calibri" w:cs="黑体"/>
          <w:b w:val="0"/>
          <w:bCs w:val="0"/>
          <w:szCs w:val="22"/>
          <w:lang w:val="en-US" w:eastAsia="zh-CN"/>
        </w:rPr>
        <w:br w:type="page"/>
      </w:r>
    </w:p>
    <w:p w14:paraId="208F80EF">
      <w:pPr>
        <w:rPr>
          <w:rFonts w:hint="eastAsia"/>
          <w:szCs w:val="21"/>
        </w:rPr>
      </w:pPr>
      <w:r>
        <w:rPr>
          <w:rFonts w:hint="eastAsia" w:ascii="宋体" w:hAnsi="宋体" w:cs="黑体"/>
          <w:kern w:val="0"/>
          <w:szCs w:val="21"/>
        </w:rPr>
        <w:t>附件：</w:t>
      </w:r>
    </w:p>
    <w:p w14:paraId="2B5006D5">
      <w:pPr>
        <w:rPr>
          <w:rFonts w:hint="eastAsia"/>
          <w:sz w:val="24"/>
        </w:rPr>
      </w:pPr>
    </w:p>
    <w:p w14:paraId="3094D78B">
      <w:pPr>
        <w:jc w:val="center"/>
        <w:outlineLvl w:val="0"/>
        <w:rPr>
          <w:rFonts w:hint="eastAsia"/>
          <w:b/>
          <w:sz w:val="28"/>
          <w:szCs w:val="28"/>
        </w:rPr>
      </w:pPr>
      <w:bookmarkStart w:id="598" w:name="_Toc18085"/>
      <w:r>
        <w:rPr>
          <w:rFonts w:hint="eastAsia"/>
          <w:b/>
          <w:sz w:val="28"/>
          <w:szCs w:val="28"/>
        </w:rPr>
        <w:t>第二轮报价函（格式）</w:t>
      </w:r>
      <w:bookmarkEnd w:id="598"/>
    </w:p>
    <w:p w14:paraId="510236FD">
      <w:pPr>
        <w:rPr>
          <w:rFonts w:hint="eastAsia"/>
          <w:sz w:val="24"/>
        </w:rPr>
      </w:pPr>
      <w:r>
        <w:rPr>
          <w:rFonts w:hint="eastAsia"/>
          <w:sz w:val="24"/>
        </w:rPr>
        <w:t xml:space="preserve"> </w:t>
      </w:r>
    </w:p>
    <w:p w14:paraId="5E6501EE">
      <w:pPr>
        <w:pStyle w:val="22"/>
        <w:spacing w:line="500" w:lineRule="exact"/>
        <w:ind w:left="1" w:leftChars="0" w:firstLine="420" w:firstLineChars="200"/>
        <w:rPr>
          <w:rFonts w:hint="eastAsia" w:ascii="宋体" w:hAnsi="宋体"/>
          <w:szCs w:val="21"/>
        </w:rPr>
      </w:pPr>
      <w:r>
        <w:rPr>
          <w:rFonts w:hint="eastAsia" w:ascii="宋体" w:hAnsi="宋体"/>
          <w:szCs w:val="21"/>
        </w:rPr>
        <w:t>致 ：</w:t>
      </w:r>
      <w:r>
        <w:rPr>
          <w:rFonts w:hint="eastAsia" w:ascii="宋体" w:hAnsi="宋体"/>
          <w:szCs w:val="21"/>
          <w:u w:val="single"/>
        </w:rPr>
        <w:t xml:space="preserve">                               </w:t>
      </w:r>
      <w:r>
        <w:rPr>
          <w:rFonts w:hint="eastAsia" w:ascii="宋体" w:hAnsi="宋体"/>
          <w:szCs w:val="21"/>
        </w:rPr>
        <w:t>（采购人）</w:t>
      </w:r>
    </w:p>
    <w:p w14:paraId="61C7E189">
      <w:pPr>
        <w:pStyle w:val="22"/>
        <w:spacing w:line="500" w:lineRule="exact"/>
        <w:ind w:left="1" w:leftChars="0" w:firstLine="420" w:firstLineChars="200"/>
        <w:rPr>
          <w:rFonts w:hint="eastAsia" w:ascii="宋体" w:hAnsi="宋体"/>
          <w:szCs w:val="21"/>
        </w:rPr>
      </w:pPr>
      <w:r>
        <w:rPr>
          <w:rFonts w:ascii="宋体" w:hAnsi="宋体"/>
          <w:szCs w:val="21"/>
        </w:rPr>
        <w:t>1</w:t>
      </w:r>
      <w:r>
        <w:rPr>
          <w:rFonts w:hint="eastAsia" w:ascii="宋体" w:hAnsi="宋体"/>
          <w:szCs w:val="21"/>
        </w:rPr>
        <w:t>．根据已收到的</w:t>
      </w:r>
      <w:r>
        <w:rPr>
          <w:rFonts w:hint="eastAsia" w:ascii="宋体" w:hAnsi="宋体"/>
          <w:szCs w:val="21"/>
          <w:u w:val="single"/>
        </w:rPr>
        <w:t xml:space="preserve">                          </w:t>
      </w:r>
      <w:r>
        <w:rPr>
          <w:rFonts w:hint="eastAsia" w:ascii="宋体" w:hAnsi="宋体"/>
          <w:szCs w:val="21"/>
        </w:rPr>
        <w:t>（项目名称）竞争性磋商文件，现对该项目进行第二轮报价，该工程第二轮总报价为（大写）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），并承担其任何质量缺陷等问题所造成的任何损失。</w:t>
      </w:r>
    </w:p>
    <w:p w14:paraId="2701D50E">
      <w:pPr>
        <w:pStyle w:val="22"/>
        <w:spacing w:line="500" w:lineRule="exact"/>
        <w:ind w:left="1" w:leftChars="0" w:firstLine="420" w:firstLineChars="200"/>
        <w:rPr>
          <w:rFonts w:hint="eastAsia" w:ascii="宋体" w:hAnsi="宋体"/>
          <w:szCs w:val="21"/>
        </w:rPr>
      </w:pPr>
      <w:r>
        <w:rPr>
          <w:rFonts w:ascii="宋体" w:hAnsi="宋体"/>
          <w:szCs w:val="21"/>
        </w:rPr>
        <w:t>2</w:t>
      </w:r>
      <w:r>
        <w:rPr>
          <w:rFonts w:hint="eastAsia" w:ascii="宋体" w:hAnsi="宋体"/>
          <w:szCs w:val="21"/>
        </w:rPr>
        <w:t>．如果我方中标，我方保证按照我方磋商响应文件中的相关内容完成工程。</w:t>
      </w:r>
    </w:p>
    <w:p w14:paraId="6EB59F63">
      <w:pPr>
        <w:pStyle w:val="22"/>
        <w:spacing w:line="500" w:lineRule="exact"/>
        <w:ind w:left="1" w:leftChars="0" w:firstLine="420" w:firstLineChars="200"/>
        <w:rPr>
          <w:rFonts w:hint="eastAsia" w:ascii="宋体" w:hAnsi="宋体"/>
          <w:szCs w:val="21"/>
        </w:rPr>
      </w:pPr>
      <w:r>
        <w:rPr>
          <w:rFonts w:hint="eastAsia" w:ascii="宋体" w:hAnsi="宋体"/>
          <w:szCs w:val="21"/>
        </w:rPr>
        <w:t>3．除非另外达成协议并生效，贵方的中标通知书、响应文件、磋商过程中对响应文件做出的澄清、解释及本论报价函将成为约束我方的合同文件组成部分。</w:t>
      </w:r>
    </w:p>
    <w:p w14:paraId="4574B44A">
      <w:pPr>
        <w:pStyle w:val="22"/>
        <w:spacing w:line="500" w:lineRule="exact"/>
        <w:ind w:left="1" w:leftChars="0" w:firstLine="420" w:firstLineChars="200"/>
        <w:rPr>
          <w:rFonts w:hint="eastAsia" w:ascii="宋体" w:hAnsi="宋体"/>
          <w:szCs w:val="21"/>
        </w:rPr>
      </w:pPr>
    </w:p>
    <w:p w14:paraId="54279FC0">
      <w:pPr>
        <w:pStyle w:val="22"/>
        <w:spacing w:line="500" w:lineRule="exact"/>
        <w:ind w:left="0" w:leftChars="0" w:firstLine="0" w:firstLineChars="0"/>
        <w:rPr>
          <w:rFonts w:hint="eastAsia" w:ascii="宋体" w:hAnsi="宋体"/>
          <w:szCs w:val="21"/>
        </w:rPr>
      </w:pPr>
    </w:p>
    <w:p w14:paraId="5EC12E79">
      <w:pPr>
        <w:pStyle w:val="22"/>
        <w:spacing w:line="500" w:lineRule="exact"/>
        <w:ind w:left="1" w:leftChars="0" w:firstLine="420" w:firstLineChars="200"/>
        <w:rPr>
          <w:rFonts w:hint="eastAsia" w:ascii="宋体" w:hAnsi="宋体"/>
          <w:szCs w:val="21"/>
        </w:rPr>
      </w:pPr>
    </w:p>
    <w:p w14:paraId="3AE12FB1">
      <w:pPr>
        <w:pStyle w:val="22"/>
        <w:spacing w:line="500" w:lineRule="exact"/>
        <w:ind w:left="1" w:leftChars="0" w:firstLine="420" w:firstLineChars="200"/>
        <w:rPr>
          <w:rFonts w:hint="eastAsia" w:ascii="宋体" w:hAnsi="宋体"/>
          <w:szCs w:val="21"/>
        </w:rPr>
      </w:pPr>
      <w:r>
        <w:rPr>
          <w:rFonts w:hint="eastAsia" w:ascii="宋体" w:hAnsi="宋体"/>
          <w:szCs w:val="21"/>
        </w:rPr>
        <w:t xml:space="preserve">供应商： </w:t>
      </w:r>
      <w:r>
        <w:rPr>
          <w:rFonts w:hint="eastAsia" w:ascii="宋体" w:hAnsi="宋体"/>
          <w:szCs w:val="21"/>
          <w:u w:val="single"/>
        </w:rPr>
        <w:t xml:space="preserve">               </w:t>
      </w:r>
      <w:r>
        <w:rPr>
          <w:rFonts w:hint="eastAsia" w:ascii="宋体" w:hAnsi="宋体"/>
          <w:szCs w:val="21"/>
        </w:rPr>
        <w:t>（全称）</w:t>
      </w:r>
    </w:p>
    <w:p w14:paraId="640FC5B6">
      <w:pPr>
        <w:pStyle w:val="22"/>
        <w:spacing w:line="500" w:lineRule="exact"/>
        <w:ind w:left="1" w:leftChars="0" w:firstLine="420" w:firstLineChars="2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14:paraId="263FA8FB">
      <w:pPr>
        <w:pStyle w:val="22"/>
        <w:spacing w:line="500" w:lineRule="exact"/>
        <w:ind w:left="1" w:leftChars="0" w:firstLine="420" w:firstLineChars="2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9CA901C">
      <w:pPr>
        <w:pStyle w:val="22"/>
        <w:spacing w:line="500" w:lineRule="exact"/>
        <w:ind w:left="1" w:leftChars="0" w:firstLine="420" w:firstLineChars="200"/>
        <w:rPr>
          <w:rFonts w:hint="eastAsia" w:ascii="宋体" w:hAnsi="宋体"/>
          <w:szCs w:val="21"/>
        </w:rPr>
      </w:pPr>
    </w:p>
    <w:p w14:paraId="6E23DDC7">
      <w:pPr>
        <w:rPr>
          <w:rFonts w:hint="eastAsia"/>
          <w:b/>
          <w:bCs/>
          <w:sz w:val="22"/>
          <w:szCs w:val="28"/>
          <w:lang w:eastAsia="zh-CN"/>
        </w:rPr>
      </w:pPr>
    </w:p>
    <w:p w14:paraId="3024F2A3">
      <w:pPr>
        <w:rPr>
          <w:rFonts w:hint="eastAsia"/>
          <w:b/>
          <w:bCs/>
          <w:sz w:val="22"/>
          <w:szCs w:val="28"/>
          <w:lang w:eastAsia="zh-CN"/>
        </w:rPr>
      </w:pPr>
      <w:r>
        <w:rPr>
          <w:rFonts w:hint="eastAsia"/>
          <w:b/>
          <w:bCs/>
          <w:sz w:val="22"/>
          <w:szCs w:val="28"/>
          <w:lang w:eastAsia="zh-CN"/>
        </w:rPr>
        <w:t>备注：如没有在规定时间内完成操作，即视为自动放弃二次报价权利。</w:t>
      </w:r>
    </w:p>
    <w:p w14:paraId="56D98618">
      <w:pPr>
        <w:rPr>
          <w:rFonts w:hint="default"/>
          <w:b/>
          <w:bCs/>
          <w:sz w:val="22"/>
          <w:szCs w:val="28"/>
          <w:lang w:val="en-US"/>
        </w:rPr>
      </w:pPr>
      <w:r>
        <w:rPr>
          <w:rFonts w:hint="default"/>
          <w:b/>
          <w:bCs/>
          <w:sz w:val="22"/>
          <w:szCs w:val="28"/>
          <w:lang w:val="en-US"/>
        </w:rPr>
        <w:br w:type="page"/>
      </w:r>
    </w:p>
    <w:p w14:paraId="12D30590">
      <w:pPr>
        <w:spacing w:line="720" w:lineRule="auto"/>
        <w:jc w:val="center"/>
        <w:outlineLvl w:val="0"/>
        <w:rPr>
          <w:rFonts w:hint="eastAsia" w:ascii="黑体" w:hAnsi="黑体" w:eastAsia="黑体" w:cs="黑体"/>
          <w:b/>
          <w:bCs/>
          <w:sz w:val="32"/>
          <w:szCs w:val="32"/>
          <w:lang w:val="en-US" w:eastAsia="zh-CN"/>
        </w:rPr>
      </w:pPr>
      <w:bookmarkStart w:id="599" w:name="_Toc32472"/>
      <w:r>
        <w:rPr>
          <w:rFonts w:hint="eastAsia" w:ascii="黑体" w:hAnsi="黑体" w:eastAsia="黑体" w:cs="黑体"/>
          <w:b/>
          <w:bCs/>
          <w:sz w:val="32"/>
          <w:szCs w:val="32"/>
          <w:lang w:val="en-US" w:eastAsia="zh-CN"/>
        </w:rPr>
        <w:t>河南省政府采购合同融资政策告知函</w:t>
      </w:r>
      <w:bookmarkEnd w:id="599"/>
    </w:p>
    <w:p w14:paraId="51B0018C">
      <w:pPr>
        <w:spacing w:line="720" w:lineRule="auto"/>
        <w:jc w:val="center"/>
        <w:outlineLvl w:val="0"/>
        <w:rPr>
          <w:rFonts w:hint="eastAsia" w:ascii="黑体" w:hAnsi="黑体" w:eastAsia="黑体" w:cs="黑体"/>
          <w:b/>
          <w:bCs/>
          <w:i/>
          <w:iCs/>
          <w:sz w:val="32"/>
          <w:szCs w:val="32"/>
          <w:u w:val="single"/>
          <w:lang w:val="en-US" w:eastAsia="zh-CN"/>
        </w:rPr>
      </w:pPr>
      <w:bookmarkStart w:id="600" w:name="_Toc23560"/>
      <w:r>
        <w:rPr>
          <w:rFonts w:hint="eastAsia" w:ascii="黑体" w:hAnsi="黑体" w:eastAsia="黑体" w:cs="黑体"/>
          <w:b/>
          <w:bCs/>
          <w:i/>
          <w:iCs/>
          <w:sz w:val="32"/>
          <w:szCs w:val="32"/>
          <w:u w:val="single"/>
          <w:lang w:val="en-US" w:eastAsia="zh-CN"/>
        </w:rPr>
        <w:t>（仅供通知，无须附投标文件中）</w:t>
      </w:r>
      <w:bookmarkEnd w:id="600"/>
    </w:p>
    <w:p w14:paraId="57A4CB30">
      <w:pPr>
        <w:spacing w:line="48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各供应商： </w:t>
      </w:r>
    </w:p>
    <w:p w14:paraId="2CD2350D">
      <w:pPr>
        <w:spacing w:line="480" w:lineRule="auto"/>
        <w:ind w:firstLine="560" w:firstLineChars="200"/>
        <w:jc w:val="both"/>
        <w:outlineLvl w:val="0"/>
        <w:rPr>
          <w:rFonts w:hint="eastAsia" w:ascii="宋体" w:hAnsi="宋体" w:eastAsia="宋体" w:cs="宋体"/>
          <w:b w:val="0"/>
          <w:bCs w:val="0"/>
          <w:sz w:val="28"/>
          <w:szCs w:val="28"/>
          <w:lang w:val="en-US" w:eastAsia="zh-CN"/>
        </w:rPr>
      </w:pPr>
      <w:bookmarkStart w:id="601" w:name="_Toc21967"/>
      <w:r>
        <w:rPr>
          <w:rFonts w:hint="eastAsia" w:ascii="宋体" w:hAnsi="宋体" w:eastAsia="宋体" w:cs="宋体"/>
          <w:b w:val="0"/>
          <w:bCs w:val="0"/>
          <w:sz w:val="28"/>
          <w:szCs w:val="28"/>
          <w:lang w:val="en-US" w:eastAsia="zh-CN"/>
        </w:rPr>
        <w:t>欢迎贵公司参与河南省政府采购活动！</w:t>
      </w:r>
      <w:bookmarkEnd w:id="601"/>
      <w:r>
        <w:rPr>
          <w:rFonts w:hint="eastAsia" w:ascii="宋体" w:hAnsi="宋体" w:eastAsia="宋体" w:cs="宋体"/>
          <w:b w:val="0"/>
          <w:bCs w:val="0"/>
          <w:sz w:val="28"/>
          <w:szCs w:val="28"/>
          <w:lang w:val="en-US" w:eastAsia="zh-CN"/>
        </w:rPr>
        <w:t xml:space="preserve"> </w:t>
      </w:r>
    </w:p>
    <w:p w14:paraId="00F285D7">
      <w:pPr>
        <w:spacing w:line="48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6E12B96A">
      <w:pPr>
        <w:spacing w:line="480" w:lineRule="auto"/>
        <w:ind w:firstLine="560" w:firstLineChars="200"/>
        <w:jc w:val="both"/>
        <w:rPr>
          <w:rFonts w:hint="eastAsia" w:ascii="黑体" w:hAnsi="黑体" w:eastAsia="黑体" w:cs="黑体"/>
          <w:b w:val="0"/>
          <w:bCs w:val="0"/>
          <w:sz w:val="32"/>
          <w:szCs w:val="32"/>
          <w:lang w:val="en-US" w:eastAsia="zh-CN"/>
        </w:rPr>
      </w:pPr>
      <w:r>
        <w:rPr>
          <w:rFonts w:hint="eastAsia" w:ascii="宋体" w:hAnsi="宋体" w:eastAsia="宋体" w:cs="宋体"/>
          <w:b w:val="0"/>
          <w:bCs w:val="0"/>
          <w:sz w:val="28"/>
          <w:szCs w:val="28"/>
          <w:lang w:val="en-US" w:eastAsia="zh-CN"/>
        </w:rPr>
        <w:t>贷款渠道和提供贷款的金融机构，可在河南省政府采购网“河南省政府采购合同融资平台”查询联系。</w:t>
      </w:r>
    </w:p>
    <w:sectPr>
      <w:pgSz w:w="11907" w:h="16840"/>
      <w:pgMar w:top="1400" w:right="1418" w:bottom="1089" w:left="1418" w:header="624" w:footer="74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762B">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06C4A9">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C06C4A9">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7A92">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FA5FB">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8FA5FB">
                    <w:pPr>
                      <w:pStyle w:val="3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B546">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8DA">
                          <w:pPr>
                            <w:pStyle w:val="32"/>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3478DA">
                    <w:pPr>
                      <w:pStyle w:val="32"/>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E598">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57CEA">
                          <w:pPr>
                            <w:pStyle w:val="32"/>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657CEA">
                    <w:pPr>
                      <w:pStyle w:val="32"/>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A8E2">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4F382"/>
    <w:multiLevelType w:val="singleLevel"/>
    <w:tmpl w:val="8F94F382"/>
    <w:lvl w:ilvl="0" w:tentative="0">
      <w:start w:val="3"/>
      <w:numFmt w:val="decimal"/>
      <w:suff w:val="nothing"/>
      <w:lvlText w:val="%1、"/>
      <w:lvlJc w:val="left"/>
    </w:lvl>
  </w:abstractNum>
  <w:abstractNum w:abstractNumId="1">
    <w:nsid w:val="998384FB"/>
    <w:multiLevelType w:val="singleLevel"/>
    <w:tmpl w:val="998384FB"/>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pStyle w:val="87"/>
      <w:lvlText w:val="%1"/>
      <w:lvlJc w:val="left"/>
      <w:pPr>
        <w:tabs>
          <w:tab w:val="left" w:pos="432"/>
        </w:tabs>
        <w:ind w:left="432" w:hanging="432"/>
      </w:pPr>
      <w:rPr>
        <w:rFonts w:hint="eastAsia"/>
      </w:rPr>
    </w:lvl>
    <w:lvl w:ilvl="1" w:tentative="0">
      <w:start w:val="1"/>
      <w:numFmt w:val="decimal"/>
      <w:pStyle w:val="86"/>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16"/>
    <w:multiLevelType w:val="singleLevel"/>
    <w:tmpl w:val="00000016"/>
    <w:lvl w:ilvl="0" w:tentative="0">
      <w:start w:val="1"/>
      <w:numFmt w:val="decimal"/>
      <w:suff w:val="nothing"/>
      <w:lvlText w:val="（%1）"/>
      <w:lvlJc w:val="left"/>
    </w:lvl>
  </w:abstractNum>
  <w:abstractNum w:abstractNumId="4">
    <w:nsid w:val="00F1F6A8"/>
    <w:multiLevelType w:val="singleLevel"/>
    <w:tmpl w:val="00F1F6A8"/>
    <w:lvl w:ilvl="0" w:tentative="0">
      <w:start w:val="1"/>
      <w:numFmt w:val="decimalEnclosedCircleChinese"/>
      <w:suff w:val="space"/>
      <w:lvlText w:val="%1"/>
      <w:lvlJc w:val="left"/>
      <w:rPr>
        <w:rFonts w:hint="eastAsia"/>
      </w:rPr>
    </w:lvl>
  </w:abstractNum>
  <w:abstractNum w:abstractNumId="5">
    <w:nsid w:val="0493A01B"/>
    <w:multiLevelType w:val="singleLevel"/>
    <w:tmpl w:val="0493A01B"/>
    <w:lvl w:ilvl="0" w:tentative="0">
      <w:start w:val="1"/>
      <w:numFmt w:val="decimal"/>
      <w:suff w:val="nothing"/>
      <w:lvlText w:val="%1．"/>
      <w:lvlJc w:val="left"/>
    </w:lvl>
  </w:abstractNum>
  <w:abstractNum w:abstractNumId="6">
    <w:nsid w:val="288B0DE0"/>
    <w:multiLevelType w:val="multilevel"/>
    <w:tmpl w:val="288B0DE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7">
    <w:nsid w:val="3220002F"/>
    <w:multiLevelType w:val="singleLevel"/>
    <w:tmpl w:val="3220002F"/>
    <w:lvl w:ilvl="0" w:tentative="0">
      <w:start w:val="1"/>
      <w:numFmt w:val="decimalEnclosedCircleChinese"/>
      <w:suff w:val="space"/>
      <w:lvlText w:val="%1"/>
      <w:lvlJc w:val="left"/>
      <w:rPr>
        <w:rFonts w:hint="eastAsia"/>
      </w:rPr>
    </w:lvl>
  </w:abstractNum>
  <w:abstractNum w:abstractNumId="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ascii="宋体" w:hAnsi="宋体" w:eastAsia="宋体"/>
        <w:b w:val="0"/>
        <w:sz w:val="21"/>
        <w:szCs w:val="21"/>
      </w:rPr>
    </w:lvl>
    <w:lvl w:ilvl="2" w:tentative="0">
      <w:start w:val="1"/>
      <w:numFmt w:val="decimal"/>
      <w:lvlText w:val="%1.%2.%3"/>
      <w:lvlJc w:val="left"/>
      <w:pPr>
        <w:tabs>
          <w:tab w:val="left" w:pos="567"/>
        </w:tabs>
        <w:ind w:left="567" w:hanging="567"/>
      </w:pPr>
      <w:rPr>
        <w:color w:val="auto"/>
        <w:sz w:val="21"/>
        <w:szCs w:val="21"/>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9">
    <w:nsid w:val="55BAFEC5"/>
    <w:multiLevelType w:val="singleLevel"/>
    <w:tmpl w:val="55BAFEC5"/>
    <w:lvl w:ilvl="0" w:tentative="0">
      <w:start w:val="1"/>
      <w:numFmt w:val="decimal"/>
      <w:suff w:val="nothing"/>
      <w:lvlText w:val="%1."/>
      <w:lvlJc w:val="left"/>
    </w:lvl>
  </w:abstractNum>
  <w:abstractNum w:abstractNumId="10">
    <w:nsid w:val="5860D87D"/>
    <w:multiLevelType w:val="singleLevel"/>
    <w:tmpl w:val="5860D87D"/>
    <w:lvl w:ilvl="0" w:tentative="0">
      <w:start w:val="1"/>
      <w:numFmt w:val="decimal"/>
      <w:suff w:val="nothing"/>
      <w:lvlText w:val="%1）"/>
      <w:lvlJc w:val="left"/>
    </w:lvl>
  </w:abstractNum>
  <w:num w:numId="1">
    <w:abstractNumId w:val="2"/>
  </w:num>
  <w:num w:numId="2">
    <w:abstractNumId w:val="8"/>
  </w:num>
  <w:num w:numId="3">
    <w:abstractNumId w:val="3"/>
  </w:num>
  <w:num w:numId="4">
    <w:abstractNumId w:val="6"/>
  </w:num>
  <w:num w:numId="5">
    <w:abstractNumId w:val="5"/>
  </w:num>
  <w:num w:numId="6">
    <w:abstractNumId w:val="9"/>
  </w:num>
  <w:num w:numId="7">
    <w:abstractNumId w:val="10"/>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I3OWMzZWE5YjgxMzI3NzkyNWFkYTJhOWZkMTEifQ=="/>
  </w:docVars>
  <w:rsids>
    <w:rsidRoot w:val="00172A27"/>
    <w:rsid w:val="000000E3"/>
    <w:rsid w:val="000008AB"/>
    <w:rsid w:val="0000102C"/>
    <w:rsid w:val="00001E66"/>
    <w:rsid w:val="000022E6"/>
    <w:rsid w:val="000026C2"/>
    <w:rsid w:val="0000408E"/>
    <w:rsid w:val="0000548F"/>
    <w:rsid w:val="00005AC8"/>
    <w:rsid w:val="0000610D"/>
    <w:rsid w:val="000065BD"/>
    <w:rsid w:val="0000761F"/>
    <w:rsid w:val="00007813"/>
    <w:rsid w:val="00007FA2"/>
    <w:rsid w:val="00011697"/>
    <w:rsid w:val="00013107"/>
    <w:rsid w:val="00013D52"/>
    <w:rsid w:val="00015B27"/>
    <w:rsid w:val="00015BEE"/>
    <w:rsid w:val="0001646E"/>
    <w:rsid w:val="000179C3"/>
    <w:rsid w:val="00017CB6"/>
    <w:rsid w:val="00021A08"/>
    <w:rsid w:val="00022533"/>
    <w:rsid w:val="00023554"/>
    <w:rsid w:val="00027C6E"/>
    <w:rsid w:val="00032C41"/>
    <w:rsid w:val="00041546"/>
    <w:rsid w:val="0004256A"/>
    <w:rsid w:val="000428CD"/>
    <w:rsid w:val="00044D61"/>
    <w:rsid w:val="00047FA8"/>
    <w:rsid w:val="00050154"/>
    <w:rsid w:val="0005169F"/>
    <w:rsid w:val="00053098"/>
    <w:rsid w:val="0005458A"/>
    <w:rsid w:val="000551FC"/>
    <w:rsid w:val="00055738"/>
    <w:rsid w:val="00056346"/>
    <w:rsid w:val="00060B81"/>
    <w:rsid w:val="00061A6E"/>
    <w:rsid w:val="000631F4"/>
    <w:rsid w:val="00063446"/>
    <w:rsid w:val="00067C3F"/>
    <w:rsid w:val="00070150"/>
    <w:rsid w:val="00070FB5"/>
    <w:rsid w:val="00074E87"/>
    <w:rsid w:val="00076A33"/>
    <w:rsid w:val="00077759"/>
    <w:rsid w:val="00080DB4"/>
    <w:rsid w:val="00080E81"/>
    <w:rsid w:val="00082E76"/>
    <w:rsid w:val="00085CCB"/>
    <w:rsid w:val="00086F7C"/>
    <w:rsid w:val="00087257"/>
    <w:rsid w:val="0009042D"/>
    <w:rsid w:val="00090BC9"/>
    <w:rsid w:val="000918D4"/>
    <w:rsid w:val="000931C9"/>
    <w:rsid w:val="0009364E"/>
    <w:rsid w:val="00093762"/>
    <w:rsid w:val="000948EF"/>
    <w:rsid w:val="00094945"/>
    <w:rsid w:val="0009511B"/>
    <w:rsid w:val="000954B2"/>
    <w:rsid w:val="000A1EFD"/>
    <w:rsid w:val="000A3DB2"/>
    <w:rsid w:val="000A4B07"/>
    <w:rsid w:val="000A5B68"/>
    <w:rsid w:val="000A5BCE"/>
    <w:rsid w:val="000A7D43"/>
    <w:rsid w:val="000B131C"/>
    <w:rsid w:val="000B23DE"/>
    <w:rsid w:val="000B3FEE"/>
    <w:rsid w:val="000B4842"/>
    <w:rsid w:val="000B709D"/>
    <w:rsid w:val="000B73C6"/>
    <w:rsid w:val="000B73EA"/>
    <w:rsid w:val="000C3822"/>
    <w:rsid w:val="000C4A31"/>
    <w:rsid w:val="000C5A29"/>
    <w:rsid w:val="000C5EC5"/>
    <w:rsid w:val="000D16F4"/>
    <w:rsid w:val="000D6DD8"/>
    <w:rsid w:val="000E01DD"/>
    <w:rsid w:val="000E1419"/>
    <w:rsid w:val="000E2276"/>
    <w:rsid w:val="000E35E3"/>
    <w:rsid w:val="000E3EF7"/>
    <w:rsid w:val="000E3F16"/>
    <w:rsid w:val="000E4AD5"/>
    <w:rsid w:val="000E62D8"/>
    <w:rsid w:val="000E63C5"/>
    <w:rsid w:val="000E7B10"/>
    <w:rsid w:val="000F02C9"/>
    <w:rsid w:val="000F1307"/>
    <w:rsid w:val="000F350A"/>
    <w:rsid w:val="000F5B2A"/>
    <w:rsid w:val="000F5D6C"/>
    <w:rsid w:val="000F6040"/>
    <w:rsid w:val="000F646F"/>
    <w:rsid w:val="00107CD4"/>
    <w:rsid w:val="00110E23"/>
    <w:rsid w:val="001124B4"/>
    <w:rsid w:val="00114047"/>
    <w:rsid w:val="00114169"/>
    <w:rsid w:val="00116723"/>
    <w:rsid w:val="00120DCD"/>
    <w:rsid w:val="0012271C"/>
    <w:rsid w:val="0012527B"/>
    <w:rsid w:val="001271AF"/>
    <w:rsid w:val="00127B0D"/>
    <w:rsid w:val="00130FB4"/>
    <w:rsid w:val="0013415A"/>
    <w:rsid w:val="00141177"/>
    <w:rsid w:val="00142815"/>
    <w:rsid w:val="00143089"/>
    <w:rsid w:val="0014361D"/>
    <w:rsid w:val="001456B5"/>
    <w:rsid w:val="00150050"/>
    <w:rsid w:val="001503B3"/>
    <w:rsid w:val="00151FBE"/>
    <w:rsid w:val="0015201C"/>
    <w:rsid w:val="001534CF"/>
    <w:rsid w:val="00153772"/>
    <w:rsid w:val="0015417B"/>
    <w:rsid w:val="0015539F"/>
    <w:rsid w:val="00157E04"/>
    <w:rsid w:val="00160670"/>
    <w:rsid w:val="001619C7"/>
    <w:rsid w:val="00161A8E"/>
    <w:rsid w:val="00162BC3"/>
    <w:rsid w:val="00163FAE"/>
    <w:rsid w:val="00165BDA"/>
    <w:rsid w:val="00165E68"/>
    <w:rsid w:val="00170931"/>
    <w:rsid w:val="00174D2C"/>
    <w:rsid w:val="001753C5"/>
    <w:rsid w:val="00176111"/>
    <w:rsid w:val="0017701C"/>
    <w:rsid w:val="00180069"/>
    <w:rsid w:val="00181823"/>
    <w:rsid w:val="00181F3F"/>
    <w:rsid w:val="00182517"/>
    <w:rsid w:val="00184182"/>
    <w:rsid w:val="00184268"/>
    <w:rsid w:val="001860AF"/>
    <w:rsid w:val="00186C72"/>
    <w:rsid w:val="001872F8"/>
    <w:rsid w:val="001905A5"/>
    <w:rsid w:val="00194721"/>
    <w:rsid w:val="00194851"/>
    <w:rsid w:val="00194AD9"/>
    <w:rsid w:val="00195A86"/>
    <w:rsid w:val="001A07EE"/>
    <w:rsid w:val="001A0FA9"/>
    <w:rsid w:val="001A31DB"/>
    <w:rsid w:val="001A3BED"/>
    <w:rsid w:val="001A4332"/>
    <w:rsid w:val="001A6641"/>
    <w:rsid w:val="001A6FFF"/>
    <w:rsid w:val="001A73C1"/>
    <w:rsid w:val="001A7C2A"/>
    <w:rsid w:val="001B03F9"/>
    <w:rsid w:val="001C04FA"/>
    <w:rsid w:val="001C08F1"/>
    <w:rsid w:val="001C185A"/>
    <w:rsid w:val="001C25E0"/>
    <w:rsid w:val="001C52FD"/>
    <w:rsid w:val="001C6A94"/>
    <w:rsid w:val="001D0970"/>
    <w:rsid w:val="001D0FEA"/>
    <w:rsid w:val="001D1490"/>
    <w:rsid w:val="001D43B3"/>
    <w:rsid w:val="001D48B8"/>
    <w:rsid w:val="001D63DE"/>
    <w:rsid w:val="001D7C79"/>
    <w:rsid w:val="001E0328"/>
    <w:rsid w:val="001E20B2"/>
    <w:rsid w:val="001E2DD2"/>
    <w:rsid w:val="001E3CF8"/>
    <w:rsid w:val="001E61A1"/>
    <w:rsid w:val="001E6AB0"/>
    <w:rsid w:val="001E6EDA"/>
    <w:rsid w:val="001E716F"/>
    <w:rsid w:val="001F0FCC"/>
    <w:rsid w:val="001F1A5C"/>
    <w:rsid w:val="001F5971"/>
    <w:rsid w:val="001F696E"/>
    <w:rsid w:val="00204968"/>
    <w:rsid w:val="00205375"/>
    <w:rsid w:val="0020779A"/>
    <w:rsid w:val="00207853"/>
    <w:rsid w:val="002117D0"/>
    <w:rsid w:val="00211B98"/>
    <w:rsid w:val="00213586"/>
    <w:rsid w:val="00213CD0"/>
    <w:rsid w:val="0022067F"/>
    <w:rsid w:val="00221707"/>
    <w:rsid w:val="00223083"/>
    <w:rsid w:val="0022553D"/>
    <w:rsid w:val="00225769"/>
    <w:rsid w:val="00226ADB"/>
    <w:rsid w:val="0022719A"/>
    <w:rsid w:val="002271A5"/>
    <w:rsid w:val="002272A9"/>
    <w:rsid w:val="00227AF5"/>
    <w:rsid w:val="0023018B"/>
    <w:rsid w:val="00230473"/>
    <w:rsid w:val="00231B3E"/>
    <w:rsid w:val="00231EC7"/>
    <w:rsid w:val="00231F06"/>
    <w:rsid w:val="0023325F"/>
    <w:rsid w:val="00234D36"/>
    <w:rsid w:val="002354F1"/>
    <w:rsid w:val="00236AC2"/>
    <w:rsid w:val="00236F1C"/>
    <w:rsid w:val="0024018A"/>
    <w:rsid w:val="00240F10"/>
    <w:rsid w:val="0024198C"/>
    <w:rsid w:val="00241B28"/>
    <w:rsid w:val="00242038"/>
    <w:rsid w:val="002509D3"/>
    <w:rsid w:val="00251950"/>
    <w:rsid w:val="00253A7A"/>
    <w:rsid w:val="00254207"/>
    <w:rsid w:val="00254B34"/>
    <w:rsid w:val="00255644"/>
    <w:rsid w:val="00256C45"/>
    <w:rsid w:val="00257191"/>
    <w:rsid w:val="002610FA"/>
    <w:rsid w:val="0026614C"/>
    <w:rsid w:val="0026664F"/>
    <w:rsid w:val="00267851"/>
    <w:rsid w:val="00270CBE"/>
    <w:rsid w:val="00272305"/>
    <w:rsid w:val="002738A8"/>
    <w:rsid w:val="00273C2F"/>
    <w:rsid w:val="00274857"/>
    <w:rsid w:val="00275BDB"/>
    <w:rsid w:val="00276FF0"/>
    <w:rsid w:val="00277301"/>
    <w:rsid w:val="002776FC"/>
    <w:rsid w:val="002803B4"/>
    <w:rsid w:val="00280E0F"/>
    <w:rsid w:val="00280FE9"/>
    <w:rsid w:val="002817EB"/>
    <w:rsid w:val="0028225A"/>
    <w:rsid w:val="002858FB"/>
    <w:rsid w:val="0028594A"/>
    <w:rsid w:val="00286315"/>
    <w:rsid w:val="00286414"/>
    <w:rsid w:val="00290388"/>
    <w:rsid w:val="00290B6A"/>
    <w:rsid w:val="00292B1F"/>
    <w:rsid w:val="00292B5F"/>
    <w:rsid w:val="0029370D"/>
    <w:rsid w:val="00295604"/>
    <w:rsid w:val="00296990"/>
    <w:rsid w:val="002A04ED"/>
    <w:rsid w:val="002A083F"/>
    <w:rsid w:val="002A23E2"/>
    <w:rsid w:val="002A2B48"/>
    <w:rsid w:val="002A2EC9"/>
    <w:rsid w:val="002A4CCB"/>
    <w:rsid w:val="002A4DDE"/>
    <w:rsid w:val="002A6E74"/>
    <w:rsid w:val="002B0047"/>
    <w:rsid w:val="002B11CA"/>
    <w:rsid w:val="002B2547"/>
    <w:rsid w:val="002B3450"/>
    <w:rsid w:val="002B3FD9"/>
    <w:rsid w:val="002B4628"/>
    <w:rsid w:val="002B6C8D"/>
    <w:rsid w:val="002C0AC9"/>
    <w:rsid w:val="002C12B9"/>
    <w:rsid w:val="002C1511"/>
    <w:rsid w:val="002C2E5B"/>
    <w:rsid w:val="002C37A1"/>
    <w:rsid w:val="002C517A"/>
    <w:rsid w:val="002C5CF0"/>
    <w:rsid w:val="002C71FD"/>
    <w:rsid w:val="002D02FB"/>
    <w:rsid w:val="002D111D"/>
    <w:rsid w:val="002D2281"/>
    <w:rsid w:val="002D2985"/>
    <w:rsid w:val="002D4340"/>
    <w:rsid w:val="002D4EC6"/>
    <w:rsid w:val="002D557A"/>
    <w:rsid w:val="002D5B02"/>
    <w:rsid w:val="002D6209"/>
    <w:rsid w:val="002D750B"/>
    <w:rsid w:val="002E2F62"/>
    <w:rsid w:val="002E5F59"/>
    <w:rsid w:val="002E66AF"/>
    <w:rsid w:val="002E6B05"/>
    <w:rsid w:val="002F0B01"/>
    <w:rsid w:val="002F2EB3"/>
    <w:rsid w:val="002F61F1"/>
    <w:rsid w:val="002F685A"/>
    <w:rsid w:val="002F6B3D"/>
    <w:rsid w:val="002F6CF9"/>
    <w:rsid w:val="002F7C43"/>
    <w:rsid w:val="00300794"/>
    <w:rsid w:val="00300D93"/>
    <w:rsid w:val="0030181A"/>
    <w:rsid w:val="00303956"/>
    <w:rsid w:val="00307F64"/>
    <w:rsid w:val="00312A70"/>
    <w:rsid w:val="00312A93"/>
    <w:rsid w:val="00314554"/>
    <w:rsid w:val="003156EF"/>
    <w:rsid w:val="0031680D"/>
    <w:rsid w:val="00317DEE"/>
    <w:rsid w:val="0032267D"/>
    <w:rsid w:val="00326AD2"/>
    <w:rsid w:val="00327F71"/>
    <w:rsid w:val="00331455"/>
    <w:rsid w:val="003321E2"/>
    <w:rsid w:val="00332E33"/>
    <w:rsid w:val="00334339"/>
    <w:rsid w:val="00334D4D"/>
    <w:rsid w:val="003355E9"/>
    <w:rsid w:val="00335869"/>
    <w:rsid w:val="00335E16"/>
    <w:rsid w:val="00336479"/>
    <w:rsid w:val="003365C4"/>
    <w:rsid w:val="00337106"/>
    <w:rsid w:val="00337686"/>
    <w:rsid w:val="00337B6D"/>
    <w:rsid w:val="00337BF4"/>
    <w:rsid w:val="00344E18"/>
    <w:rsid w:val="00345816"/>
    <w:rsid w:val="00346BD2"/>
    <w:rsid w:val="00347736"/>
    <w:rsid w:val="0035167E"/>
    <w:rsid w:val="00351825"/>
    <w:rsid w:val="00352141"/>
    <w:rsid w:val="003548E8"/>
    <w:rsid w:val="00354B90"/>
    <w:rsid w:val="00356240"/>
    <w:rsid w:val="00356792"/>
    <w:rsid w:val="003610D4"/>
    <w:rsid w:val="00362770"/>
    <w:rsid w:val="00363FD6"/>
    <w:rsid w:val="00363FEF"/>
    <w:rsid w:val="00364CCE"/>
    <w:rsid w:val="00365928"/>
    <w:rsid w:val="00367777"/>
    <w:rsid w:val="003678E2"/>
    <w:rsid w:val="003749F2"/>
    <w:rsid w:val="00375908"/>
    <w:rsid w:val="00375993"/>
    <w:rsid w:val="00380D38"/>
    <w:rsid w:val="0038105C"/>
    <w:rsid w:val="00382C45"/>
    <w:rsid w:val="003830A7"/>
    <w:rsid w:val="00383126"/>
    <w:rsid w:val="00383272"/>
    <w:rsid w:val="00383B87"/>
    <w:rsid w:val="00385D5B"/>
    <w:rsid w:val="00386169"/>
    <w:rsid w:val="00386D73"/>
    <w:rsid w:val="0038761E"/>
    <w:rsid w:val="00387E1C"/>
    <w:rsid w:val="00391D64"/>
    <w:rsid w:val="003929B6"/>
    <w:rsid w:val="00393947"/>
    <w:rsid w:val="00393BAD"/>
    <w:rsid w:val="00397151"/>
    <w:rsid w:val="003973DF"/>
    <w:rsid w:val="003A0983"/>
    <w:rsid w:val="003A1C30"/>
    <w:rsid w:val="003A1FC5"/>
    <w:rsid w:val="003A3346"/>
    <w:rsid w:val="003A661B"/>
    <w:rsid w:val="003A7290"/>
    <w:rsid w:val="003B00B6"/>
    <w:rsid w:val="003B122C"/>
    <w:rsid w:val="003B1D15"/>
    <w:rsid w:val="003B251F"/>
    <w:rsid w:val="003B25A0"/>
    <w:rsid w:val="003B4036"/>
    <w:rsid w:val="003B4CB8"/>
    <w:rsid w:val="003B5BFD"/>
    <w:rsid w:val="003C0139"/>
    <w:rsid w:val="003C03A1"/>
    <w:rsid w:val="003C0F52"/>
    <w:rsid w:val="003C1389"/>
    <w:rsid w:val="003C276F"/>
    <w:rsid w:val="003C280A"/>
    <w:rsid w:val="003C28EF"/>
    <w:rsid w:val="003C39E2"/>
    <w:rsid w:val="003C3D05"/>
    <w:rsid w:val="003C3DD8"/>
    <w:rsid w:val="003C447F"/>
    <w:rsid w:val="003C7B72"/>
    <w:rsid w:val="003D1DAF"/>
    <w:rsid w:val="003D2CE3"/>
    <w:rsid w:val="003D32E4"/>
    <w:rsid w:val="003D3FD6"/>
    <w:rsid w:val="003D7B35"/>
    <w:rsid w:val="003E286B"/>
    <w:rsid w:val="003E4EF6"/>
    <w:rsid w:val="003E54A6"/>
    <w:rsid w:val="003F2E2E"/>
    <w:rsid w:val="003F4957"/>
    <w:rsid w:val="003F5E06"/>
    <w:rsid w:val="003F6D57"/>
    <w:rsid w:val="003F7991"/>
    <w:rsid w:val="00400360"/>
    <w:rsid w:val="00400F8D"/>
    <w:rsid w:val="0040164C"/>
    <w:rsid w:val="00402087"/>
    <w:rsid w:val="00404797"/>
    <w:rsid w:val="00406D91"/>
    <w:rsid w:val="0041081F"/>
    <w:rsid w:val="00411D90"/>
    <w:rsid w:val="004120BB"/>
    <w:rsid w:val="0041217F"/>
    <w:rsid w:val="00413E42"/>
    <w:rsid w:val="004230B5"/>
    <w:rsid w:val="00423F9E"/>
    <w:rsid w:val="004248F9"/>
    <w:rsid w:val="00426CD8"/>
    <w:rsid w:val="004305B7"/>
    <w:rsid w:val="0043325A"/>
    <w:rsid w:val="00433E53"/>
    <w:rsid w:val="00441229"/>
    <w:rsid w:val="00441458"/>
    <w:rsid w:val="00441AD5"/>
    <w:rsid w:val="0044286A"/>
    <w:rsid w:val="00444479"/>
    <w:rsid w:val="004462EB"/>
    <w:rsid w:val="00453324"/>
    <w:rsid w:val="00453762"/>
    <w:rsid w:val="00455B43"/>
    <w:rsid w:val="00457364"/>
    <w:rsid w:val="00457986"/>
    <w:rsid w:val="00457A14"/>
    <w:rsid w:val="004600B4"/>
    <w:rsid w:val="00460D72"/>
    <w:rsid w:val="00461078"/>
    <w:rsid w:val="00462EB8"/>
    <w:rsid w:val="004658D0"/>
    <w:rsid w:val="004669AD"/>
    <w:rsid w:val="00467EC8"/>
    <w:rsid w:val="004747B0"/>
    <w:rsid w:val="00476727"/>
    <w:rsid w:val="00477325"/>
    <w:rsid w:val="0047761F"/>
    <w:rsid w:val="00477BB4"/>
    <w:rsid w:val="00480729"/>
    <w:rsid w:val="004816C3"/>
    <w:rsid w:val="00484D8E"/>
    <w:rsid w:val="004851E3"/>
    <w:rsid w:val="0048628F"/>
    <w:rsid w:val="00492017"/>
    <w:rsid w:val="00494568"/>
    <w:rsid w:val="00494B93"/>
    <w:rsid w:val="00494E20"/>
    <w:rsid w:val="0049620B"/>
    <w:rsid w:val="00496D7D"/>
    <w:rsid w:val="004A04F2"/>
    <w:rsid w:val="004A0A90"/>
    <w:rsid w:val="004A0F99"/>
    <w:rsid w:val="004A40C0"/>
    <w:rsid w:val="004A66FC"/>
    <w:rsid w:val="004A7C94"/>
    <w:rsid w:val="004B0096"/>
    <w:rsid w:val="004B1567"/>
    <w:rsid w:val="004B316C"/>
    <w:rsid w:val="004B3575"/>
    <w:rsid w:val="004B43B9"/>
    <w:rsid w:val="004B6416"/>
    <w:rsid w:val="004B656B"/>
    <w:rsid w:val="004B658A"/>
    <w:rsid w:val="004C0734"/>
    <w:rsid w:val="004C1209"/>
    <w:rsid w:val="004C200A"/>
    <w:rsid w:val="004C4F26"/>
    <w:rsid w:val="004C6029"/>
    <w:rsid w:val="004C70A0"/>
    <w:rsid w:val="004C757B"/>
    <w:rsid w:val="004C7C30"/>
    <w:rsid w:val="004C7FCC"/>
    <w:rsid w:val="004D02FF"/>
    <w:rsid w:val="004D2211"/>
    <w:rsid w:val="004D5567"/>
    <w:rsid w:val="004D564B"/>
    <w:rsid w:val="004D67F3"/>
    <w:rsid w:val="004D738E"/>
    <w:rsid w:val="004E1539"/>
    <w:rsid w:val="004E2CAF"/>
    <w:rsid w:val="004E2CB7"/>
    <w:rsid w:val="004E3CD4"/>
    <w:rsid w:val="004E5750"/>
    <w:rsid w:val="004E5A16"/>
    <w:rsid w:val="004E6221"/>
    <w:rsid w:val="004E65C8"/>
    <w:rsid w:val="004F0111"/>
    <w:rsid w:val="004F7CE6"/>
    <w:rsid w:val="0050018A"/>
    <w:rsid w:val="00501F48"/>
    <w:rsid w:val="00503211"/>
    <w:rsid w:val="00505429"/>
    <w:rsid w:val="00505BC4"/>
    <w:rsid w:val="00506079"/>
    <w:rsid w:val="00506D65"/>
    <w:rsid w:val="00507926"/>
    <w:rsid w:val="005118C8"/>
    <w:rsid w:val="005125D8"/>
    <w:rsid w:val="00512D8A"/>
    <w:rsid w:val="00515A1B"/>
    <w:rsid w:val="0051646B"/>
    <w:rsid w:val="005169F6"/>
    <w:rsid w:val="0052034F"/>
    <w:rsid w:val="00521948"/>
    <w:rsid w:val="00521ADC"/>
    <w:rsid w:val="00526FEC"/>
    <w:rsid w:val="005279BE"/>
    <w:rsid w:val="0053006E"/>
    <w:rsid w:val="00534928"/>
    <w:rsid w:val="005352D1"/>
    <w:rsid w:val="00535443"/>
    <w:rsid w:val="005361A7"/>
    <w:rsid w:val="005361BF"/>
    <w:rsid w:val="00540B2E"/>
    <w:rsid w:val="00541037"/>
    <w:rsid w:val="00541721"/>
    <w:rsid w:val="00542F09"/>
    <w:rsid w:val="00543A02"/>
    <w:rsid w:val="005440C7"/>
    <w:rsid w:val="0054459A"/>
    <w:rsid w:val="00544CE6"/>
    <w:rsid w:val="00546213"/>
    <w:rsid w:val="0054744F"/>
    <w:rsid w:val="00551167"/>
    <w:rsid w:val="00551BBC"/>
    <w:rsid w:val="005525BF"/>
    <w:rsid w:val="00552D38"/>
    <w:rsid w:val="00557864"/>
    <w:rsid w:val="00557A78"/>
    <w:rsid w:val="005603C2"/>
    <w:rsid w:val="00561EAB"/>
    <w:rsid w:val="005642A2"/>
    <w:rsid w:val="00566860"/>
    <w:rsid w:val="00567070"/>
    <w:rsid w:val="00571343"/>
    <w:rsid w:val="00571AC8"/>
    <w:rsid w:val="00572311"/>
    <w:rsid w:val="00572586"/>
    <w:rsid w:val="00572F9D"/>
    <w:rsid w:val="005730EC"/>
    <w:rsid w:val="00575059"/>
    <w:rsid w:val="00575932"/>
    <w:rsid w:val="005771C0"/>
    <w:rsid w:val="005771CF"/>
    <w:rsid w:val="005778FE"/>
    <w:rsid w:val="00580164"/>
    <w:rsid w:val="0058033F"/>
    <w:rsid w:val="00581AEE"/>
    <w:rsid w:val="00581DBB"/>
    <w:rsid w:val="00582E4F"/>
    <w:rsid w:val="0058372D"/>
    <w:rsid w:val="00583F6A"/>
    <w:rsid w:val="00585BED"/>
    <w:rsid w:val="00585DC1"/>
    <w:rsid w:val="00586A75"/>
    <w:rsid w:val="005877FF"/>
    <w:rsid w:val="00587A84"/>
    <w:rsid w:val="00587C66"/>
    <w:rsid w:val="00590991"/>
    <w:rsid w:val="00591867"/>
    <w:rsid w:val="00595C2B"/>
    <w:rsid w:val="005A0C65"/>
    <w:rsid w:val="005A23E3"/>
    <w:rsid w:val="005A78B0"/>
    <w:rsid w:val="005B2BAA"/>
    <w:rsid w:val="005B3879"/>
    <w:rsid w:val="005B4849"/>
    <w:rsid w:val="005B5259"/>
    <w:rsid w:val="005B571D"/>
    <w:rsid w:val="005B6D95"/>
    <w:rsid w:val="005B7540"/>
    <w:rsid w:val="005C10A2"/>
    <w:rsid w:val="005C1EC2"/>
    <w:rsid w:val="005C2153"/>
    <w:rsid w:val="005C3FD4"/>
    <w:rsid w:val="005C4AC2"/>
    <w:rsid w:val="005C5880"/>
    <w:rsid w:val="005C73CA"/>
    <w:rsid w:val="005D30C1"/>
    <w:rsid w:val="005D3F1D"/>
    <w:rsid w:val="005D42F7"/>
    <w:rsid w:val="005D681B"/>
    <w:rsid w:val="005E220B"/>
    <w:rsid w:val="005E322D"/>
    <w:rsid w:val="005E3607"/>
    <w:rsid w:val="005E421E"/>
    <w:rsid w:val="005E50EF"/>
    <w:rsid w:val="005E73AB"/>
    <w:rsid w:val="005E757F"/>
    <w:rsid w:val="005F04F0"/>
    <w:rsid w:val="005F0528"/>
    <w:rsid w:val="005F0B8D"/>
    <w:rsid w:val="005F2246"/>
    <w:rsid w:val="005F2AF8"/>
    <w:rsid w:val="005F5E70"/>
    <w:rsid w:val="005F688B"/>
    <w:rsid w:val="005F6FB1"/>
    <w:rsid w:val="005F7B44"/>
    <w:rsid w:val="00600F7B"/>
    <w:rsid w:val="006015D3"/>
    <w:rsid w:val="006047FA"/>
    <w:rsid w:val="006074C6"/>
    <w:rsid w:val="0061256A"/>
    <w:rsid w:val="00612F38"/>
    <w:rsid w:val="006158DF"/>
    <w:rsid w:val="00615B92"/>
    <w:rsid w:val="00616078"/>
    <w:rsid w:val="006160DA"/>
    <w:rsid w:val="00616E2C"/>
    <w:rsid w:val="00620448"/>
    <w:rsid w:val="00621998"/>
    <w:rsid w:val="0062259D"/>
    <w:rsid w:val="00622B22"/>
    <w:rsid w:val="00624403"/>
    <w:rsid w:val="00624F3D"/>
    <w:rsid w:val="006254BA"/>
    <w:rsid w:val="00630B7C"/>
    <w:rsid w:val="00632686"/>
    <w:rsid w:val="00633115"/>
    <w:rsid w:val="00633660"/>
    <w:rsid w:val="00633B9E"/>
    <w:rsid w:val="00633D04"/>
    <w:rsid w:val="00635D86"/>
    <w:rsid w:val="006367AC"/>
    <w:rsid w:val="00637F0A"/>
    <w:rsid w:val="00640A28"/>
    <w:rsid w:val="006416C1"/>
    <w:rsid w:val="00642C22"/>
    <w:rsid w:val="0064307F"/>
    <w:rsid w:val="00643E1A"/>
    <w:rsid w:val="00644EC2"/>
    <w:rsid w:val="00646543"/>
    <w:rsid w:val="00646DF5"/>
    <w:rsid w:val="00650397"/>
    <w:rsid w:val="006515D7"/>
    <w:rsid w:val="00653605"/>
    <w:rsid w:val="006544D1"/>
    <w:rsid w:val="00655EA3"/>
    <w:rsid w:val="00656AAC"/>
    <w:rsid w:val="00661A2D"/>
    <w:rsid w:val="00662186"/>
    <w:rsid w:val="00663382"/>
    <w:rsid w:val="0066350D"/>
    <w:rsid w:val="006635B3"/>
    <w:rsid w:val="006637C0"/>
    <w:rsid w:val="00663F6C"/>
    <w:rsid w:val="00664479"/>
    <w:rsid w:val="00664D2C"/>
    <w:rsid w:val="0066555B"/>
    <w:rsid w:val="00666619"/>
    <w:rsid w:val="0066670C"/>
    <w:rsid w:val="00670E09"/>
    <w:rsid w:val="00671890"/>
    <w:rsid w:val="00672FD8"/>
    <w:rsid w:val="00673D4A"/>
    <w:rsid w:val="00673D55"/>
    <w:rsid w:val="006742CF"/>
    <w:rsid w:val="0067446A"/>
    <w:rsid w:val="00674701"/>
    <w:rsid w:val="006748FD"/>
    <w:rsid w:val="006769AD"/>
    <w:rsid w:val="00680CE7"/>
    <w:rsid w:val="0068344A"/>
    <w:rsid w:val="0068474A"/>
    <w:rsid w:val="00684853"/>
    <w:rsid w:val="0068485F"/>
    <w:rsid w:val="00684E6F"/>
    <w:rsid w:val="00686A3A"/>
    <w:rsid w:val="006874A1"/>
    <w:rsid w:val="00687939"/>
    <w:rsid w:val="006902C9"/>
    <w:rsid w:val="00691A3C"/>
    <w:rsid w:val="00691BB8"/>
    <w:rsid w:val="00692738"/>
    <w:rsid w:val="006930A5"/>
    <w:rsid w:val="00693224"/>
    <w:rsid w:val="006955F0"/>
    <w:rsid w:val="00695867"/>
    <w:rsid w:val="00696749"/>
    <w:rsid w:val="00697F46"/>
    <w:rsid w:val="00697FBA"/>
    <w:rsid w:val="006A14B6"/>
    <w:rsid w:val="006A1854"/>
    <w:rsid w:val="006A23EC"/>
    <w:rsid w:val="006A30C8"/>
    <w:rsid w:val="006A542C"/>
    <w:rsid w:val="006A6000"/>
    <w:rsid w:val="006A660B"/>
    <w:rsid w:val="006A74EB"/>
    <w:rsid w:val="006B05F9"/>
    <w:rsid w:val="006B0FB0"/>
    <w:rsid w:val="006B4A10"/>
    <w:rsid w:val="006B57F4"/>
    <w:rsid w:val="006B61E8"/>
    <w:rsid w:val="006B6483"/>
    <w:rsid w:val="006B662A"/>
    <w:rsid w:val="006C0ABC"/>
    <w:rsid w:val="006C1474"/>
    <w:rsid w:val="006C179F"/>
    <w:rsid w:val="006C25C7"/>
    <w:rsid w:val="006C52E7"/>
    <w:rsid w:val="006C6A02"/>
    <w:rsid w:val="006D0033"/>
    <w:rsid w:val="006D063E"/>
    <w:rsid w:val="006D11FF"/>
    <w:rsid w:val="006D12B0"/>
    <w:rsid w:val="006D15D4"/>
    <w:rsid w:val="006D4528"/>
    <w:rsid w:val="006D49F1"/>
    <w:rsid w:val="006D4B04"/>
    <w:rsid w:val="006D5AAE"/>
    <w:rsid w:val="006D779F"/>
    <w:rsid w:val="006E0391"/>
    <w:rsid w:val="006E139F"/>
    <w:rsid w:val="006E3DF9"/>
    <w:rsid w:val="006E578D"/>
    <w:rsid w:val="006E5AA6"/>
    <w:rsid w:val="006E5DFF"/>
    <w:rsid w:val="006E7422"/>
    <w:rsid w:val="006E754A"/>
    <w:rsid w:val="006E7744"/>
    <w:rsid w:val="006E7DA9"/>
    <w:rsid w:val="006F0883"/>
    <w:rsid w:val="006F0B13"/>
    <w:rsid w:val="006F1016"/>
    <w:rsid w:val="006F30AA"/>
    <w:rsid w:val="006F3C76"/>
    <w:rsid w:val="006F4E4C"/>
    <w:rsid w:val="006F56CF"/>
    <w:rsid w:val="006F6084"/>
    <w:rsid w:val="006F6405"/>
    <w:rsid w:val="006F7F75"/>
    <w:rsid w:val="0070011E"/>
    <w:rsid w:val="00700AB9"/>
    <w:rsid w:val="00701211"/>
    <w:rsid w:val="007012CE"/>
    <w:rsid w:val="00703228"/>
    <w:rsid w:val="00704481"/>
    <w:rsid w:val="00704A63"/>
    <w:rsid w:val="00705156"/>
    <w:rsid w:val="007051A3"/>
    <w:rsid w:val="00705F80"/>
    <w:rsid w:val="007066B6"/>
    <w:rsid w:val="00707384"/>
    <w:rsid w:val="00711ED9"/>
    <w:rsid w:val="00715C5B"/>
    <w:rsid w:val="00716402"/>
    <w:rsid w:val="007201EC"/>
    <w:rsid w:val="00720435"/>
    <w:rsid w:val="007210D8"/>
    <w:rsid w:val="007213B9"/>
    <w:rsid w:val="00721AA2"/>
    <w:rsid w:val="0072315D"/>
    <w:rsid w:val="00723EDC"/>
    <w:rsid w:val="00725506"/>
    <w:rsid w:val="00725529"/>
    <w:rsid w:val="007264B1"/>
    <w:rsid w:val="00730598"/>
    <w:rsid w:val="0073215A"/>
    <w:rsid w:val="00733A48"/>
    <w:rsid w:val="007357BA"/>
    <w:rsid w:val="00735A41"/>
    <w:rsid w:val="00735BC2"/>
    <w:rsid w:val="00735E6D"/>
    <w:rsid w:val="00736CDB"/>
    <w:rsid w:val="0074023A"/>
    <w:rsid w:val="00740C32"/>
    <w:rsid w:val="00741018"/>
    <w:rsid w:val="00744FE4"/>
    <w:rsid w:val="007455E4"/>
    <w:rsid w:val="00745F3E"/>
    <w:rsid w:val="007460FC"/>
    <w:rsid w:val="00751B54"/>
    <w:rsid w:val="00751FBD"/>
    <w:rsid w:val="00753535"/>
    <w:rsid w:val="00755D2B"/>
    <w:rsid w:val="0076104B"/>
    <w:rsid w:val="007630F0"/>
    <w:rsid w:val="00765242"/>
    <w:rsid w:val="00766D50"/>
    <w:rsid w:val="00770367"/>
    <w:rsid w:val="007722CC"/>
    <w:rsid w:val="00773E36"/>
    <w:rsid w:val="007750C5"/>
    <w:rsid w:val="007755CA"/>
    <w:rsid w:val="0077672D"/>
    <w:rsid w:val="00777C14"/>
    <w:rsid w:val="007808C1"/>
    <w:rsid w:val="00782026"/>
    <w:rsid w:val="00782BAF"/>
    <w:rsid w:val="00785321"/>
    <w:rsid w:val="0078723D"/>
    <w:rsid w:val="00787308"/>
    <w:rsid w:val="00787643"/>
    <w:rsid w:val="00790EE8"/>
    <w:rsid w:val="00793CDE"/>
    <w:rsid w:val="00794B04"/>
    <w:rsid w:val="007959B6"/>
    <w:rsid w:val="007959E0"/>
    <w:rsid w:val="007A2108"/>
    <w:rsid w:val="007A21D9"/>
    <w:rsid w:val="007A5C5E"/>
    <w:rsid w:val="007B4D3A"/>
    <w:rsid w:val="007B6945"/>
    <w:rsid w:val="007B6C77"/>
    <w:rsid w:val="007B724E"/>
    <w:rsid w:val="007C24A2"/>
    <w:rsid w:val="007C2A7B"/>
    <w:rsid w:val="007C7649"/>
    <w:rsid w:val="007C7794"/>
    <w:rsid w:val="007C7A95"/>
    <w:rsid w:val="007D1272"/>
    <w:rsid w:val="007D2A67"/>
    <w:rsid w:val="007D3D70"/>
    <w:rsid w:val="007D626D"/>
    <w:rsid w:val="007D7BAB"/>
    <w:rsid w:val="007E0EE2"/>
    <w:rsid w:val="007E1450"/>
    <w:rsid w:val="007E20EA"/>
    <w:rsid w:val="007E3023"/>
    <w:rsid w:val="007E7484"/>
    <w:rsid w:val="007F1A7E"/>
    <w:rsid w:val="007F3549"/>
    <w:rsid w:val="007F4DF9"/>
    <w:rsid w:val="007F4F3D"/>
    <w:rsid w:val="007F5D82"/>
    <w:rsid w:val="007F620D"/>
    <w:rsid w:val="007F6C25"/>
    <w:rsid w:val="00800C76"/>
    <w:rsid w:val="008047B3"/>
    <w:rsid w:val="008070D5"/>
    <w:rsid w:val="00807A33"/>
    <w:rsid w:val="00812EE5"/>
    <w:rsid w:val="008142CE"/>
    <w:rsid w:val="008152C5"/>
    <w:rsid w:val="00820225"/>
    <w:rsid w:val="00820BF2"/>
    <w:rsid w:val="00820CFC"/>
    <w:rsid w:val="00824851"/>
    <w:rsid w:val="0082590A"/>
    <w:rsid w:val="00826C76"/>
    <w:rsid w:val="00826EB5"/>
    <w:rsid w:val="00827AB8"/>
    <w:rsid w:val="00830280"/>
    <w:rsid w:val="00830C37"/>
    <w:rsid w:val="00830D38"/>
    <w:rsid w:val="00830DF0"/>
    <w:rsid w:val="008315D4"/>
    <w:rsid w:val="008315D5"/>
    <w:rsid w:val="008331A9"/>
    <w:rsid w:val="00833BE5"/>
    <w:rsid w:val="0083583E"/>
    <w:rsid w:val="008375C8"/>
    <w:rsid w:val="008404A7"/>
    <w:rsid w:val="008411C9"/>
    <w:rsid w:val="0084184D"/>
    <w:rsid w:val="00842326"/>
    <w:rsid w:val="00842943"/>
    <w:rsid w:val="00846993"/>
    <w:rsid w:val="0085034F"/>
    <w:rsid w:val="0085162C"/>
    <w:rsid w:val="008524CD"/>
    <w:rsid w:val="00855831"/>
    <w:rsid w:val="00855C57"/>
    <w:rsid w:val="00856983"/>
    <w:rsid w:val="00856B31"/>
    <w:rsid w:val="00860A98"/>
    <w:rsid w:val="008616E3"/>
    <w:rsid w:val="008654F8"/>
    <w:rsid w:val="0086589B"/>
    <w:rsid w:val="00865B93"/>
    <w:rsid w:val="00865D7A"/>
    <w:rsid w:val="00870C0A"/>
    <w:rsid w:val="00872884"/>
    <w:rsid w:val="00873456"/>
    <w:rsid w:val="00875457"/>
    <w:rsid w:val="00876E92"/>
    <w:rsid w:val="008776B9"/>
    <w:rsid w:val="00880170"/>
    <w:rsid w:val="00880BD9"/>
    <w:rsid w:val="00882E64"/>
    <w:rsid w:val="00884E2E"/>
    <w:rsid w:val="00884EB5"/>
    <w:rsid w:val="00892771"/>
    <w:rsid w:val="008928FB"/>
    <w:rsid w:val="008949C1"/>
    <w:rsid w:val="00895834"/>
    <w:rsid w:val="00895C0D"/>
    <w:rsid w:val="00895FD2"/>
    <w:rsid w:val="00897620"/>
    <w:rsid w:val="00897CF7"/>
    <w:rsid w:val="008A1B02"/>
    <w:rsid w:val="008A4913"/>
    <w:rsid w:val="008A74A7"/>
    <w:rsid w:val="008B13E4"/>
    <w:rsid w:val="008B28E7"/>
    <w:rsid w:val="008B36FF"/>
    <w:rsid w:val="008B381B"/>
    <w:rsid w:val="008B3C81"/>
    <w:rsid w:val="008B3C94"/>
    <w:rsid w:val="008B5D3A"/>
    <w:rsid w:val="008C0518"/>
    <w:rsid w:val="008C24DF"/>
    <w:rsid w:val="008C29CA"/>
    <w:rsid w:val="008C2E0D"/>
    <w:rsid w:val="008C48B6"/>
    <w:rsid w:val="008C5477"/>
    <w:rsid w:val="008C637B"/>
    <w:rsid w:val="008C7BC0"/>
    <w:rsid w:val="008D16CA"/>
    <w:rsid w:val="008D2DCF"/>
    <w:rsid w:val="008D4B2A"/>
    <w:rsid w:val="008D5455"/>
    <w:rsid w:val="008D5C7D"/>
    <w:rsid w:val="008D5D52"/>
    <w:rsid w:val="008D75B7"/>
    <w:rsid w:val="008E09C9"/>
    <w:rsid w:val="008E156A"/>
    <w:rsid w:val="008E1A5B"/>
    <w:rsid w:val="008E1C9A"/>
    <w:rsid w:val="008E1D22"/>
    <w:rsid w:val="008E1D41"/>
    <w:rsid w:val="008E2314"/>
    <w:rsid w:val="008E6929"/>
    <w:rsid w:val="008F1059"/>
    <w:rsid w:val="008F18E4"/>
    <w:rsid w:val="008F27F0"/>
    <w:rsid w:val="008F286B"/>
    <w:rsid w:val="008F3375"/>
    <w:rsid w:val="008F54BB"/>
    <w:rsid w:val="008F7F45"/>
    <w:rsid w:val="00900CB7"/>
    <w:rsid w:val="00901D4A"/>
    <w:rsid w:val="00902D96"/>
    <w:rsid w:val="00903FB9"/>
    <w:rsid w:val="00906567"/>
    <w:rsid w:val="00906A10"/>
    <w:rsid w:val="009075CB"/>
    <w:rsid w:val="00907CC2"/>
    <w:rsid w:val="00910C9F"/>
    <w:rsid w:val="00912B32"/>
    <w:rsid w:val="0091458F"/>
    <w:rsid w:val="00915894"/>
    <w:rsid w:val="009165DA"/>
    <w:rsid w:val="00917E0B"/>
    <w:rsid w:val="00920F42"/>
    <w:rsid w:val="00921685"/>
    <w:rsid w:val="0092532D"/>
    <w:rsid w:val="00926A57"/>
    <w:rsid w:val="00927219"/>
    <w:rsid w:val="009309FB"/>
    <w:rsid w:val="009317E9"/>
    <w:rsid w:val="00932B8B"/>
    <w:rsid w:val="00932C38"/>
    <w:rsid w:val="009339A8"/>
    <w:rsid w:val="00935F6B"/>
    <w:rsid w:val="00937822"/>
    <w:rsid w:val="0094271D"/>
    <w:rsid w:val="009432FC"/>
    <w:rsid w:val="009433A2"/>
    <w:rsid w:val="009440B6"/>
    <w:rsid w:val="009464D3"/>
    <w:rsid w:val="00951AC8"/>
    <w:rsid w:val="009522CA"/>
    <w:rsid w:val="0095231E"/>
    <w:rsid w:val="00954E96"/>
    <w:rsid w:val="0095792C"/>
    <w:rsid w:val="009618FD"/>
    <w:rsid w:val="00962A8A"/>
    <w:rsid w:val="009646A6"/>
    <w:rsid w:val="00965AAC"/>
    <w:rsid w:val="00965C61"/>
    <w:rsid w:val="00967FED"/>
    <w:rsid w:val="00972C7C"/>
    <w:rsid w:val="00974B53"/>
    <w:rsid w:val="00975FC9"/>
    <w:rsid w:val="0097699F"/>
    <w:rsid w:val="0097755B"/>
    <w:rsid w:val="00980F40"/>
    <w:rsid w:val="00982AB9"/>
    <w:rsid w:val="00983592"/>
    <w:rsid w:val="009852AA"/>
    <w:rsid w:val="009856F4"/>
    <w:rsid w:val="009858A1"/>
    <w:rsid w:val="009861A6"/>
    <w:rsid w:val="0098669D"/>
    <w:rsid w:val="009868F3"/>
    <w:rsid w:val="00987D12"/>
    <w:rsid w:val="009917C4"/>
    <w:rsid w:val="00991826"/>
    <w:rsid w:val="009918BE"/>
    <w:rsid w:val="00993D7E"/>
    <w:rsid w:val="00994095"/>
    <w:rsid w:val="009943CC"/>
    <w:rsid w:val="00995827"/>
    <w:rsid w:val="00996C8C"/>
    <w:rsid w:val="009A07B7"/>
    <w:rsid w:val="009A2234"/>
    <w:rsid w:val="009A47D4"/>
    <w:rsid w:val="009A52BD"/>
    <w:rsid w:val="009A58CF"/>
    <w:rsid w:val="009B122D"/>
    <w:rsid w:val="009B487E"/>
    <w:rsid w:val="009B57A8"/>
    <w:rsid w:val="009B6A54"/>
    <w:rsid w:val="009B7808"/>
    <w:rsid w:val="009C0674"/>
    <w:rsid w:val="009C1450"/>
    <w:rsid w:val="009C25F0"/>
    <w:rsid w:val="009C38BA"/>
    <w:rsid w:val="009C5A4E"/>
    <w:rsid w:val="009C6304"/>
    <w:rsid w:val="009D174C"/>
    <w:rsid w:val="009D1963"/>
    <w:rsid w:val="009D2E79"/>
    <w:rsid w:val="009D3998"/>
    <w:rsid w:val="009D7210"/>
    <w:rsid w:val="009E4799"/>
    <w:rsid w:val="009E517C"/>
    <w:rsid w:val="009E7985"/>
    <w:rsid w:val="009F21B5"/>
    <w:rsid w:val="009F2FE9"/>
    <w:rsid w:val="009F3C80"/>
    <w:rsid w:val="009F40F3"/>
    <w:rsid w:val="009F468A"/>
    <w:rsid w:val="009F7E87"/>
    <w:rsid w:val="009F7F39"/>
    <w:rsid w:val="00A0304D"/>
    <w:rsid w:val="00A033AC"/>
    <w:rsid w:val="00A03A4A"/>
    <w:rsid w:val="00A049F7"/>
    <w:rsid w:val="00A0538E"/>
    <w:rsid w:val="00A129E0"/>
    <w:rsid w:val="00A134E3"/>
    <w:rsid w:val="00A13776"/>
    <w:rsid w:val="00A14DB0"/>
    <w:rsid w:val="00A15654"/>
    <w:rsid w:val="00A15A58"/>
    <w:rsid w:val="00A168B1"/>
    <w:rsid w:val="00A23774"/>
    <w:rsid w:val="00A24B2B"/>
    <w:rsid w:val="00A271DB"/>
    <w:rsid w:val="00A309AD"/>
    <w:rsid w:val="00A320E1"/>
    <w:rsid w:val="00A32EEF"/>
    <w:rsid w:val="00A33CC5"/>
    <w:rsid w:val="00A3423C"/>
    <w:rsid w:val="00A346B7"/>
    <w:rsid w:val="00A379A7"/>
    <w:rsid w:val="00A37B97"/>
    <w:rsid w:val="00A40ADF"/>
    <w:rsid w:val="00A41DFB"/>
    <w:rsid w:val="00A42B90"/>
    <w:rsid w:val="00A433A2"/>
    <w:rsid w:val="00A448CD"/>
    <w:rsid w:val="00A44A5F"/>
    <w:rsid w:val="00A45E2C"/>
    <w:rsid w:val="00A4625C"/>
    <w:rsid w:val="00A52A5F"/>
    <w:rsid w:val="00A549BA"/>
    <w:rsid w:val="00A5513A"/>
    <w:rsid w:val="00A56C56"/>
    <w:rsid w:val="00A604BB"/>
    <w:rsid w:val="00A60FDA"/>
    <w:rsid w:val="00A61F31"/>
    <w:rsid w:val="00A64525"/>
    <w:rsid w:val="00A6610B"/>
    <w:rsid w:val="00A66587"/>
    <w:rsid w:val="00A66E16"/>
    <w:rsid w:val="00A671D2"/>
    <w:rsid w:val="00A67A81"/>
    <w:rsid w:val="00A70142"/>
    <w:rsid w:val="00A70503"/>
    <w:rsid w:val="00A74E14"/>
    <w:rsid w:val="00A757B3"/>
    <w:rsid w:val="00A76099"/>
    <w:rsid w:val="00A7620C"/>
    <w:rsid w:val="00A82BD8"/>
    <w:rsid w:val="00A856E5"/>
    <w:rsid w:val="00A85E5A"/>
    <w:rsid w:val="00A85EB2"/>
    <w:rsid w:val="00A921BD"/>
    <w:rsid w:val="00A92842"/>
    <w:rsid w:val="00A93435"/>
    <w:rsid w:val="00A93916"/>
    <w:rsid w:val="00A93D93"/>
    <w:rsid w:val="00A941D1"/>
    <w:rsid w:val="00A96180"/>
    <w:rsid w:val="00A9644D"/>
    <w:rsid w:val="00A97E7D"/>
    <w:rsid w:val="00AA4938"/>
    <w:rsid w:val="00AA4B48"/>
    <w:rsid w:val="00AA5599"/>
    <w:rsid w:val="00AA624C"/>
    <w:rsid w:val="00AA71D7"/>
    <w:rsid w:val="00AA7E72"/>
    <w:rsid w:val="00AA7F8B"/>
    <w:rsid w:val="00AB4A30"/>
    <w:rsid w:val="00AB5CCC"/>
    <w:rsid w:val="00AB657B"/>
    <w:rsid w:val="00AC29AB"/>
    <w:rsid w:val="00AC3198"/>
    <w:rsid w:val="00AC39DE"/>
    <w:rsid w:val="00AC5AB3"/>
    <w:rsid w:val="00AC7D05"/>
    <w:rsid w:val="00AC7DA4"/>
    <w:rsid w:val="00AD3471"/>
    <w:rsid w:val="00AD5696"/>
    <w:rsid w:val="00AD6DE8"/>
    <w:rsid w:val="00AE13CE"/>
    <w:rsid w:val="00AE215C"/>
    <w:rsid w:val="00AE26F3"/>
    <w:rsid w:val="00AE3E43"/>
    <w:rsid w:val="00AE40DF"/>
    <w:rsid w:val="00AE5696"/>
    <w:rsid w:val="00AE72B2"/>
    <w:rsid w:val="00AE7DE2"/>
    <w:rsid w:val="00AF31B7"/>
    <w:rsid w:val="00AF3DC4"/>
    <w:rsid w:val="00AF4871"/>
    <w:rsid w:val="00AF4BD8"/>
    <w:rsid w:val="00AF4C9B"/>
    <w:rsid w:val="00AF514F"/>
    <w:rsid w:val="00AF5B31"/>
    <w:rsid w:val="00AF6E7F"/>
    <w:rsid w:val="00B01E49"/>
    <w:rsid w:val="00B023EB"/>
    <w:rsid w:val="00B0371C"/>
    <w:rsid w:val="00B039FC"/>
    <w:rsid w:val="00B046E1"/>
    <w:rsid w:val="00B05CA0"/>
    <w:rsid w:val="00B07858"/>
    <w:rsid w:val="00B0786D"/>
    <w:rsid w:val="00B07B3B"/>
    <w:rsid w:val="00B07DDB"/>
    <w:rsid w:val="00B14675"/>
    <w:rsid w:val="00B14DFB"/>
    <w:rsid w:val="00B1645B"/>
    <w:rsid w:val="00B17734"/>
    <w:rsid w:val="00B17BFA"/>
    <w:rsid w:val="00B17CE2"/>
    <w:rsid w:val="00B202F4"/>
    <w:rsid w:val="00B20585"/>
    <w:rsid w:val="00B213BB"/>
    <w:rsid w:val="00B23140"/>
    <w:rsid w:val="00B236BD"/>
    <w:rsid w:val="00B25B35"/>
    <w:rsid w:val="00B2651A"/>
    <w:rsid w:val="00B27B60"/>
    <w:rsid w:val="00B35165"/>
    <w:rsid w:val="00B35A4A"/>
    <w:rsid w:val="00B36B58"/>
    <w:rsid w:val="00B409CF"/>
    <w:rsid w:val="00B438B8"/>
    <w:rsid w:val="00B43A85"/>
    <w:rsid w:val="00B4616A"/>
    <w:rsid w:val="00B46522"/>
    <w:rsid w:val="00B50AED"/>
    <w:rsid w:val="00B5104D"/>
    <w:rsid w:val="00B52C3C"/>
    <w:rsid w:val="00B52E36"/>
    <w:rsid w:val="00B562FD"/>
    <w:rsid w:val="00B57AC6"/>
    <w:rsid w:val="00B64065"/>
    <w:rsid w:val="00B667B1"/>
    <w:rsid w:val="00B66BD6"/>
    <w:rsid w:val="00B7054D"/>
    <w:rsid w:val="00B715AD"/>
    <w:rsid w:val="00B742EC"/>
    <w:rsid w:val="00B746B3"/>
    <w:rsid w:val="00B7474B"/>
    <w:rsid w:val="00B77089"/>
    <w:rsid w:val="00B802CE"/>
    <w:rsid w:val="00B8255A"/>
    <w:rsid w:val="00B82C32"/>
    <w:rsid w:val="00B85790"/>
    <w:rsid w:val="00B85EA6"/>
    <w:rsid w:val="00B87FFA"/>
    <w:rsid w:val="00B9072C"/>
    <w:rsid w:val="00B92B62"/>
    <w:rsid w:val="00B94201"/>
    <w:rsid w:val="00B9501C"/>
    <w:rsid w:val="00B95C5D"/>
    <w:rsid w:val="00BA0003"/>
    <w:rsid w:val="00BA0F8C"/>
    <w:rsid w:val="00BA1159"/>
    <w:rsid w:val="00BA1387"/>
    <w:rsid w:val="00BA26D0"/>
    <w:rsid w:val="00BA649F"/>
    <w:rsid w:val="00BA7243"/>
    <w:rsid w:val="00BA79BB"/>
    <w:rsid w:val="00BB040B"/>
    <w:rsid w:val="00BB112F"/>
    <w:rsid w:val="00BB66BB"/>
    <w:rsid w:val="00BB68B1"/>
    <w:rsid w:val="00BC131C"/>
    <w:rsid w:val="00BC2FBD"/>
    <w:rsid w:val="00BC68AE"/>
    <w:rsid w:val="00BD2C9C"/>
    <w:rsid w:val="00BD3E62"/>
    <w:rsid w:val="00BD5487"/>
    <w:rsid w:val="00BD591C"/>
    <w:rsid w:val="00BD5985"/>
    <w:rsid w:val="00BD5C52"/>
    <w:rsid w:val="00BD5CC5"/>
    <w:rsid w:val="00BD66E7"/>
    <w:rsid w:val="00BE1ABD"/>
    <w:rsid w:val="00BE5F2F"/>
    <w:rsid w:val="00BE5F55"/>
    <w:rsid w:val="00BE67B9"/>
    <w:rsid w:val="00BE750A"/>
    <w:rsid w:val="00BF1E21"/>
    <w:rsid w:val="00BF3C78"/>
    <w:rsid w:val="00BF5D30"/>
    <w:rsid w:val="00BF5DF5"/>
    <w:rsid w:val="00BF65E8"/>
    <w:rsid w:val="00BF6625"/>
    <w:rsid w:val="00BF6D8E"/>
    <w:rsid w:val="00C01A76"/>
    <w:rsid w:val="00C01A9C"/>
    <w:rsid w:val="00C03594"/>
    <w:rsid w:val="00C04078"/>
    <w:rsid w:val="00C045FA"/>
    <w:rsid w:val="00C0489E"/>
    <w:rsid w:val="00C04D30"/>
    <w:rsid w:val="00C13431"/>
    <w:rsid w:val="00C13502"/>
    <w:rsid w:val="00C1383B"/>
    <w:rsid w:val="00C145AC"/>
    <w:rsid w:val="00C1703C"/>
    <w:rsid w:val="00C17643"/>
    <w:rsid w:val="00C17863"/>
    <w:rsid w:val="00C204D0"/>
    <w:rsid w:val="00C24A01"/>
    <w:rsid w:val="00C265EC"/>
    <w:rsid w:val="00C26FE5"/>
    <w:rsid w:val="00C27464"/>
    <w:rsid w:val="00C3067B"/>
    <w:rsid w:val="00C30FD1"/>
    <w:rsid w:val="00C31533"/>
    <w:rsid w:val="00C3182D"/>
    <w:rsid w:val="00C33CAB"/>
    <w:rsid w:val="00C36696"/>
    <w:rsid w:val="00C3699B"/>
    <w:rsid w:val="00C36FB4"/>
    <w:rsid w:val="00C4051A"/>
    <w:rsid w:val="00C41258"/>
    <w:rsid w:val="00C43159"/>
    <w:rsid w:val="00C444B1"/>
    <w:rsid w:val="00C55470"/>
    <w:rsid w:val="00C55ACD"/>
    <w:rsid w:val="00C568BE"/>
    <w:rsid w:val="00C56E6B"/>
    <w:rsid w:val="00C56EA8"/>
    <w:rsid w:val="00C60F36"/>
    <w:rsid w:val="00C624B9"/>
    <w:rsid w:val="00C63269"/>
    <w:rsid w:val="00C63C4E"/>
    <w:rsid w:val="00C66E2E"/>
    <w:rsid w:val="00C70778"/>
    <w:rsid w:val="00C70AD5"/>
    <w:rsid w:val="00C71623"/>
    <w:rsid w:val="00C71842"/>
    <w:rsid w:val="00C748C5"/>
    <w:rsid w:val="00C7630D"/>
    <w:rsid w:val="00C76C8F"/>
    <w:rsid w:val="00C7786E"/>
    <w:rsid w:val="00C80B6E"/>
    <w:rsid w:val="00C82389"/>
    <w:rsid w:val="00C83D85"/>
    <w:rsid w:val="00C84F28"/>
    <w:rsid w:val="00C8678A"/>
    <w:rsid w:val="00C86EE6"/>
    <w:rsid w:val="00C8727D"/>
    <w:rsid w:val="00C90F9A"/>
    <w:rsid w:val="00C91741"/>
    <w:rsid w:val="00C92F1C"/>
    <w:rsid w:val="00C94DD4"/>
    <w:rsid w:val="00C95483"/>
    <w:rsid w:val="00C96DB7"/>
    <w:rsid w:val="00CA040F"/>
    <w:rsid w:val="00CA0618"/>
    <w:rsid w:val="00CA078C"/>
    <w:rsid w:val="00CA19A9"/>
    <w:rsid w:val="00CA1AAF"/>
    <w:rsid w:val="00CA1E0B"/>
    <w:rsid w:val="00CA42CF"/>
    <w:rsid w:val="00CB10A8"/>
    <w:rsid w:val="00CB2453"/>
    <w:rsid w:val="00CB26DA"/>
    <w:rsid w:val="00CB297A"/>
    <w:rsid w:val="00CB556B"/>
    <w:rsid w:val="00CB58F2"/>
    <w:rsid w:val="00CB6C17"/>
    <w:rsid w:val="00CC24DE"/>
    <w:rsid w:val="00CC492A"/>
    <w:rsid w:val="00CC5AE3"/>
    <w:rsid w:val="00CC7181"/>
    <w:rsid w:val="00CD04ED"/>
    <w:rsid w:val="00CD04F0"/>
    <w:rsid w:val="00CD1D4A"/>
    <w:rsid w:val="00CD2E94"/>
    <w:rsid w:val="00CD32D8"/>
    <w:rsid w:val="00CD4023"/>
    <w:rsid w:val="00CD4350"/>
    <w:rsid w:val="00CD53F1"/>
    <w:rsid w:val="00CD6062"/>
    <w:rsid w:val="00CE1F00"/>
    <w:rsid w:val="00CE2218"/>
    <w:rsid w:val="00CE42CB"/>
    <w:rsid w:val="00CE5767"/>
    <w:rsid w:val="00CE770C"/>
    <w:rsid w:val="00CF0FE5"/>
    <w:rsid w:val="00CF462F"/>
    <w:rsid w:val="00CF56FF"/>
    <w:rsid w:val="00CF6064"/>
    <w:rsid w:val="00D01FBF"/>
    <w:rsid w:val="00D0437B"/>
    <w:rsid w:val="00D06B96"/>
    <w:rsid w:val="00D07522"/>
    <w:rsid w:val="00D104C0"/>
    <w:rsid w:val="00D10FEB"/>
    <w:rsid w:val="00D11932"/>
    <w:rsid w:val="00D124DB"/>
    <w:rsid w:val="00D12A67"/>
    <w:rsid w:val="00D221D3"/>
    <w:rsid w:val="00D22E2C"/>
    <w:rsid w:val="00D23560"/>
    <w:rsid w:val="00D2420A"/>
    <w:rsid w:val="00D314F0"/>
    <w:rsid w:val="00D32F0E"/>
    <w:rsid w:val="00D35109"/>
    <w:rsid w:val="00D35FE0"/>
    <w:rsid w:val="00D3698D"/>
    <w:rsid w:val="00D36C57"/>
    <w:rsid w:val="00D4089B"/>
    <w:rsid w:val="00D42A33"/>
    <w:rsid w:val="00D5565B"/>
    <w:rsid w:val="00D55EED"/>
    <w:rsid w:val="00D5618E"/>
    <w:rsid w:val="00D61650"/>
    <w:rsid w:val="00D623C5"/>
    <w:rsid w:val="00D63913"/>
    <w:rsid w:val="00D658F4"/>
    <w:rsid w:val="00D66D1B"/>
    <w:rsid w:val="00D67FA9"/>
    <w:rsid w:val="00D736E5"/>
    <w:rsid w:val="00D749A0"/>
    <w:rsid w:val="00D758FA"/>
    <w:rsid w:val="00D75A6C"/>
    <w:rsid w:val="00D76917"/>
    <w:rsid w:val="00D77E9F"/>
    <w:rsid w:val="00D80843"/>
    <w:rsid w:val="00D820E4"/>
    <w:rsid w:val="00D82DF3"/>
    <w:rsid w:val="00D8306D"/>
    <w:rsid w:val="00D83A53"/>
    <w:rsid w:val="00D840EE"/>
    <w:rsid w:val="00D843EF"/>
    <w:rsid w:val="00D84975"/>
    <w:rsid w:val="00D912C9"/>
    <w:rsid w:val="00D914D6"/>
    <w:rsid w:val="00D91647"/>
    <w:rsid w:val="00D91DC6"/>
    <w:rsid w:val="00D91DDD"/>
    <w:rsid w:val="00D94A47"/>
    <w:rsid w:val="00D95472"/>
    <w:rsid w:val="00D9551D"/>
    <w:rsid w:val="00D95C78"/>
    <w:rsid w:val="00D97BE0"/>
    <w:rsid w:val="00DA1F85"/>
    <w:rsid w:val="00DA3BFD"/>
    <w:rsid w:val="00DA3F4D"/>
    <w:rsid w:val="00DA5360"/>
    <w:rsid w:val="00DA702D"/>
    <w:rsid w:val="00DB2878"/>
    <w:rsid w:val="00DB4A2C"/>
    <w:rsid w:val="00DB4E55"/>
    <w:rsid w:val="00DB5407"/>
    <w:rsid w:val="00DC0BBA"/>
    <w:rsid w:val="00DC1D25"/>
    <w:rsid w:val="00DC31A7"/>
    <w:rsid w:val="00DC338D"/>
    <w:rsid w:val="00DC33D5"/>
    <w:rsid w:val="00DC40E7"/>
    <w:rsid w:val="00DC48AA"/>
    <w:rsid w:val="00DC7C7A"/>
    <w:rsid w:val="00DD27DA"/>
    <w:rsid w:val="00DD426B"/>
    <w:rsid w:val="00DD5EEC"/>
    <w:rsid w:val="00DE1793"/>
    <w:rsid w:val="00DE1968"/>
    <w:rsid w:val="00DE1A79"/>
    <w:rsid w:val="00DE2E68"/>
    <w:rsid w:val="00DE3995"/>
    <w:rsid w:val="00DE51CA"/>
    <w:rsid w:val="00DE6B4E"/>
    <w:rsid w:val="00DE7A10"/>
    <w:rsid w:val="00DE7A6D"/>
    <w:rsid w:val="00DF5A80"/>
    <w:rsid w:val="00DF5B2F"/>
    <w:rsid w:val="00DF7F84"/>
    <w:rsid w:val="00E00011"/>
    <w:rsid w:val="00E002C8"/>
    <w:rsid w:val="00E0045C"/>
    <w:rsid w:val="00E01301"/>
    <w:rsid w:val="00E04923"/>
    <w:rsid w:val="00E050E3"/>
    <w:rsid w:val="00E059EC"/>
    <w:rsid w:val="00E05D86"/>
    <w:rsid w:val="00E10037"/>
    <w:rsid w:val="00E12604"/>
    <w:rsid w:val="00E20E91"/>
    <w:rsid w:val="00E21407"/>
    <w:rsid w:val="00E22051"/>
    <w:rsid w:val="00E221B3"/>
    <w:rsid w:val="00E24131"/>
    <w:rsid w:val="00E26637"/>
    <w:rsid w:val="00E273F9"/>
    <w:rsid w:val="00E30D27"/>
    <w:rsid w:val="00E314A6"/>
    <w:rsid w:val="00E31917"/>
    <w:rsid w:val="00E3353B"/>
    <w:rsid w:val="00E3416E"/>
    <w:rsid w:val="00E34EDF"/>
    <w:rsid w:val="00E40199"/>
    <w:rsid w:val="00E42AAB"/>
    <w:rsid w:val="00E47FA6"/>
    <w:rsid w:val="00E5244F"/>
    <w:rsid w:val="00E52501"/>
    <w:rsid w:val="00E5473E"/>
    <w:rsid w:val="00E54E23"/>
    <w:rsid w:val="00E55259"/>
    <w:rsid w:val="00E56C84"/>
    <w:rsid w:val="00E6009E"/>
    <w:rsid w:val="00E61532"/>
    <w:rsid w:val="00E61B6D"/>
    <w:rsid w:val="00E62D2E"/>
    <w:rsid w:val="00E6570F"/>
    <w:rsid w:val="00E65DF6"/>
    <w:rsid w:val="00E7386E"/>
    <w:rsid w:val="00E74594"/>
    <w:rsid w:val="00E7497F"/>
    <w:rsid w:val="00E769E9"/>
    <w:rsid w:val="00E8026E"/>
    <w:rsid w:val="00E80B0F"/>
    <w:rsid w:val="00E8138A"/>
    <w:rsid w:val="00E818DC"/>
    <w:rsid w:val="00E82141"/>
    <w:rsid w:val="00E82FD8"/>
    <w:rsid w:val="00E840F5"/>
    <w:rsid w:val="00E84EA1"/>
    <w:rsid w:val="00E84FFB"/>
    <w:rsid w:val="00E8663C"/>
    <w:rsid w:val="00E87373"/>
    <w:rsid w:val="00E877F3"/>
    <w:rsid w:val="00E91E80"/>
    <w:rsid w:val="00E92017"/>
    <w:rsid w:val="00E921A0"/>
    <w:rsid w:val="00E92FEE"/>
    <w:rsid w:val="00E963BE"/>
    <w:rsid w:val="00E96F39"/>
    <w:rsid w:val="00EA0A02"/>
    <w:rsid w:val="00EA0B83"/>
    <w:rsid w:val="00EA1808"/>
    <w:rsid w:val="00EA2993"/>
    <w:rsid w:val="00EA5A47"/>
    <w:rsid w:val="00EA6A3C"/>
    <w:rsid w:val="00EA6DC1"/>
    <w:rsid w:val="00EB0293"/>
    <w:rsid w:val="00EB37E6"/>
    <w:rsid w:val="00EB38CA"/>
    <w:rsid w:val="00EB3CB1"/>
    <w:rsid w:val="00EB5F8D"/>
    <w:rsid w:val="00EB7473"/>
    <w:rsid w:val="00ED093E"/>
    <w:rsid w:val="00ED0FF7"/>
    <w:rsid w:val="00ED2CDB"/>
    <w:rsid w:val="00ED4BBB"/>
    <w:rsid w:val="00ED5216"/>
    <w:rsid w:val="00ED5CD3"/>
    <w:rsid w:val="00ED67C8"/>
    <w:rsid w:val="00EE3A1A"/>
    <w:rsid w:val="00EE49CE"/>
    <w:rsid w:val="00EF06B2"/>
    <w:rsid w:val="00EF1F16"/>
    <w:rsid w:val="00EF2E70"/>
    <w:rsid w:val="00EF3D57"/>
    <w:rsid w:val="00EF4640"/>
    <w:rsid w:val="00EF59E3"/>
    <w:rsid w:val="00EF7150"/>
    <w:rsid w:val="00F003A1"/>
    <w:rsid w:val="00F0108C"/>
    <w:rsid w:val="00F01538"/>
    <w:rsid w:val="00F01696"/>
    <w:rsid w:val="00F03377"/>
    <w:rsid w:val="00F07AA9"/>
    <w:rsid w:val="00F10C25"/>
    <w:rsid w:val="00F10E4E"/>
    <w:rsid w:val="00F126CB"/>
    <w:rsid w:val="00F12FB4"/>
    <w:rsid w:val="00F13592"/>
    <w:rsid w:val="00F13687"/>
    <w:rsid w:val="00F14364"/>
    <w:rsid w:val="00F15067"/>
    <w:rsid w:val="00F163F9"/>
    <w:rsid w:val="00F2138C"/>
    <w:rsid w:val="00F2317C"/>
    <w:rsid w:val="00F262DF"/>
    <w:rsid w:val="00F2680D"/>
    <w:rsid w:val="00F27590"/>
    <w:rsid w:val="00F27B35"/>
    <w:rsid w:val="00F27CD3"/>
    <w:rsid w:val="00F27D61"/>
    <w:rsid w:val="00F313B0"/>
    <w:rsid w:val="00F31B85"/>
    <w:rsid w:val="00F3282E"/>
    <w:rsid w:val="00F32E54"/>
    <w:rsid w:val="00F37BFA"/>
    <w:rsid w:val="00F424A0"/>
    <w:rsid w:val="00F42B35"/>
    <w:rsid w:val="00F44CE4"/>
    <w:rsid w:val="00F45C53"/>
    <w:rsid w:val="00F45FFB"/>
    <w:rsid w:val="00F53988"/>
    <w:rsid w:val="00F53A0A"/>
    <w:rsid w:val="00F54DF6"/>
    <w:rsid w:val="00F54F4F"/>
    <w:rsid w:val="00F555C7"/>
    <w:rsid w:val="00F55B6B"/>
    <w:rsid w:val="00F56D41"/>
    <w:rsid w:val="00F629A9"/>
    <w:rsid w:val="00F63A8B"/>
    <w:rsid w:val="00F64F5C"/>
    <w:rsid w:val="00F67180"/>
    <w:rsid w:val="00F678A3"/>
    <w:rsid w:val="00F71BA6"/>
    <w:rsid w:val="00F74BB4"/>
    <w:rsid w:val="00F75173"/>
    <w:rsid w:val="00F754BE"/>
    <w:rsid w:val="00F75ED8"/>
    <w:rsid w:val="00F76064"/>
    <w:rsid w:val="00F76942"/>
    <w:rsid w:val="00F76B82"/>
    <w:rsid w:val="00F7715E"/>
    <w:rsid w:val="00F813C4"/>
    <w:rsid w:val="00F82C71"/>
    <w:rsid w:val="00F833D5"/>
    <w:rsid w:val="00F83854"/>
    <w:rsid w:val="00F838F6"/>
    <w:rsid w:val="00F85D25"/>
    <w:rsid w:val="00F867D1"/>
    <w:rsid w:val="00F908C1"/>
    <w:rsid w:val="00F9175B"/>
    <w:rsid w:val="00F93145"/>
    <w:rsid w:val="00F9513E"/>
    <w:rsid w:val="00F9575C"/>
    <w:rsid w:val="00F96DE0"/>
    <w:rsid w:val="00F97CF2"/>
    <w:rsid w:val="00FA0A3E"/>
    <w:rsid w:val="00FA2D02"/>
    <w:rsid w:val="00FA2F25"/>
    <w:rsid w:val="00FA56A9"/>
    <w:rsid w:val="00FA5784"/>
    <w:rsid w:val="00FA74A9"/>
    <w:rsid w:val="00FB219E"/>
    <w:rsid w:val="00FB4159"/>
    <w:rsid w:val="00FB500A"/>
    <w:rsid w:val="00FB5E34"/>
    <w:rsid w:val="00FB643C"/>
    <w:rsid w:val="00FB71B0"/>
    <w:rsid w:val="00FB78AC"/>
    <w:rsid w:val="00FC0189"/>
    <w:rsid w:val="00FC0F86"/>
    <w:rsid w:val="00FC1EAF"/>
    <w:rsid w:val="00FC3675"/>
    <w:rsid w:val="00FC457A"/>
    <w:rsid w:val="00FC49A0"/>
    <w:rsid w:val="00FC49FE"/>
    <w:rsid w:val="00FC50F3"/>
    <w:rsid w:val="00FC6CA9"/>
    <w:rsid w:val="00FD0283"/>
    <w:rsid w:val="00FD0C84"/>
    <w:rsid w:val="00FD1D26"/>
    <w:rsid w:val="00FD1E00"/>
    <w:rsid w:val="00FD1E27"/>
    <w:rsid w:val="00FD2367"/>
    <w:rsid w:val="00FE0D87"/>
    <w:rsid w:val="00FE0DC4"/>
    <w:rsid w:val="00FE0F96"/>
    <w:rsid w:val="00FE1EC3"/>
    <w:rsid w:val="00FE345C"/>
    <w:rsid w:val="00FE465E"/>
    <w:rsid w:val="00FE493E"/>
    <w:rsid w:val="00FE4B74"/>
    <w:rsid w:val="00FE4CA7"/>
    <w:rsid w:val="00FE4E12"/>
    <w:rsid w:val="00FE68A8"/>
    <w:rsid w:val="00FE7E1D"/>
    <w:rsid w:val="00FF0A56"/>
    <w:rsid w:val="00FF1C1C"/>
    <w:rsid w:val="00FF449F"/>
    <w:rsid w:val="00FF4A1F"/>
    <w:rsid w:val="00FF549A"/>
    <w:rsid w:val="00FF5709"/>
    <w:rsid w:val="00FF75C1"/>
    <w:rsid w:val="00FF7D9A"/>
    <w:rsid w:val="01124CC5"/>
    <w:rsid w:val="011C4500"/>
    <w:rsid w:val="012A32BE"/>
    <w:rsid w:val="014055B6"/>
    <w:rsid w:val="01440B7E"/>
    <w:rsid w:val="014D33EB"/>
    <w:rsid w:val="017165B7"/>
    <w:rsid w:val="017B4431"/>
    <w:rsid w:val="018F30C8"/>
    <w:rsid w:val="01B375B9"/>
    <w:rsid w:val="01BC2E60"/>
    <w:rsid w:val="01C5349F"/>
    <w:rsid w:val="01E44191"/>
    <w:rsid w:val="01E52732"/>
    <w:rsid w:val="01F040A5"/>
    <w:rsid w:val="01F05E96"/>
    <w:rsid w:val="01FC4717"/>
    <w:rsid w:val="020F627A"/>
    <w:rsid w:val="02313F25"/>
    <w:rsid w:val="023630EE"/>
    <w:rsid w:val="02393CE3"/>
    <w:rsid w:val="023E05FC"/>
    <w:rsid w:val="024141DC"/>
    <w:rsid w:val="0245208B"/>
    <w:rsid w:val="02575F8B"/>
    <w:rsid w:val="02892310"/>
    <w:rsid w:val="029040BA"/>
    <w:rsid w:val="02B5566B"/>
    <w:rsid w:val="02BF5312"/>
    <w:rsid w:val="02C01269"/>
    <w:rsid w:val="02C41E42"/>
    <w:rsid w:val="02CB1358"/>
    <w:rsid w:val="02D31099"/>
    <w:rsid w:val="02ED2B4E"/>
    <w:rsid w:val="02F26D50"/>
    <w:rsid w:val="030F50DB"/>
    <w:rsid w:val="031C1E80"/>
    <w:rsid w:val="031D15C0"/>
    <w:rsid w:val="031F58A5"/>
    <w:rsid w:val="03231902"/>
    <w:rsid w:val="03434D5B"/>
    <w:rsid w:val="03457C25"/>
    <w:rsid w:val="03583547"/>
    <w:rsid w:val="03657677"/>
    <w:rsid w:val="037D5FD2"/>
    <w:rsid w:val="039447DF"/>
    <w:rsid w:val="03BA2836"/>
    <w:rsid w:val="03C25B9F"/>
    <w:rsid w:val="03CA0B8E"/>
    <w:rsid w:val="03CF6648"/>
    <w:rsid w:val="03EC4D43"/>
    <w:rsid w:val="03F2369C"/>
    <w:rsid w:val="03FC16E5"/>
    <w:rsid w:val="040177FA"/>
    <w:rsid w:val="04186ACF"/>
    <w:rsid w:val="042564BC"/>
    <w:rsid w:val="043869C8"/>
    <w:rsid w:val="043F0C88"/>
    <w:rsid w:val="04422D35"/>
    <w:rsid w:val="044E7D8A"/>
    <w:rsid w:val="04565F9C"/>
    <w:rsid w:val="047318B2"/>
    <w:rsid w:val="048B7BCE"/>
    <w:rsid w:val="04925DE1"/>
    <w:rsid w:val="04AB66FE"/>
    <w:rsid w:val="04DA1126"/>
    <w:rsid w:val="04E0248E"/>
    <w:rsid w:val="04ED3E13"/>
    <w:rsid w:val="04F62DA6"/>
    <w:rsid w:val="04FD7C0E"/>
    <w:rsid w:val="0529416E"/>
    <w:rsid w:val="05296BAF"/>
    <w:rsid w:val="05353DA0"/>
    <w:rsid w:val="053E55B0"/>
    <w:rsid w:val="05432782"/>
    <w:rsid w:val="05453BB2"/>
    <w:rsid w:val="0553147B"/>
    <w:rsid w:val="05561C9B"/>
    <w:rsid w:val="0566708A"/>
    <w:rsid w:val="056C5087"/>
    <w:rsid w:val="057C552B"/>
    <w:rsid w:val="05890046"/>
    <w:rsid w:val="05962FC4"/>
    <w:rsid w:val="05A21A1E"/>
    <w:rsid w:val="05B71C8D"/>
    <w:rsid w:val="05BB4ADA"/>
    <w:rsid w:val="05C4415C"/>
    <w:rsid w:val="05D13AC9"/>
    <w:rsid w:val="05D36D4B"/>
    <w:rsid w:val="05D91D3B"/>
    <w:rsid w:val="05F65441"/>
    <w:rsid w:val="05F71D30"/>
    <w:rsid w:val="060F2A34"/>
    <w:rsid w:val="065C0B2A"/>
    <w:rsid w:val="066447AA"/>
    <w:rsid w:val="06716DD5"/>
    <w:rsid w:val="068D2EB4"/>
    <w:rsid w:val="06A22357"/>
    <w:rsid w:val="06D84066"/>
    <w:rsid w:val="06DA4BFF"/>
    <w:rsid w:val="06E76D48"/>
    <w:rsid w:val="06E87E87"/>
    <w:rsid w:val="06EB451D"/>
    <w:rsid w:val="06FB2C54"/>
    <w:rsid w:val="07081FD2"/>
    <w:rsid w:val="070B17E3"/>
    <w:rsid w:val="070E2005"/>
    <w:rsid w:val="07184C29"/>
    <w:rsid w:val="07271276"/>
    <w:rsid w:val="07321C3C"/>
    <w:rsid w:val="07370E03"/>
    <w:rsid w:val="077869D4"/>
    <w:rsid w:val="077E6212"/>
    <w:rsid w:val="0788472F"/>
    <w:rsid w:val="07990175"/>
    <w:rsid w:val="07A658CA"/>
    <w:rsid w:val="07A65E6E"/>
    <w:rsid w:val="07A67634"/>
    <w:rsid w:val="07AC0173"/>
    <w:rsid w:val="07D80A2F"/>
    <w:rsid w:val="07D8229B"/>
    <w:rsid w:val="07E35348"/>
    <w:rsid w:val="07F25F78"/>
    <w:rsid w:val="07F55D52"/>
    <w:rsid w:val="07FB6BDB"/>
    <w:rsid w:val="0811287F"/>
    <w:rsid w:val="08244F35"/>
    <w:rsid w:val="08264627"/>
    <w:rsid w:val="08312278"/>
    <w:rsid w:val="08497F0B"/>
    <w:rsid w:val="084F5152"/>
    <w:rsid w:val="085D5FB4"/>
    <w:rsid w:val="086E3851"/>
    <w:rsid w:val="08D535CC"/>
    <w:rsid w:val="08DF1128"/>
    <w:rsid w:val="08E34358"/>
    <w:rsid w:val="08EE2D07"/>
    <w:rsid w:val="08F04926"/>
    <w:rsid w:val="08F46C59"/>
    <w:rsid w:val="08FC3167"/>
    <w:rsid w:val="090146C5"/>
    <w:rsid w:val="09081FF3"/>
    <w:rsid w:val="09216B15"/>
    <w:rsid w:val="092708D3"/>
    <w:rsid w:val="092D3869"/>
    <w:rsid w:val="09371671"/>
    <w:rsid w:val="09523172"/>
    <w:rsid w:val="09566C38"/>
    <w:rsid w:val="095E38C5"/>
    <w:rsid w:val="096323E5"/>
    <w:rsid w:val="096A0203"/>
    <w:rsid w:val="09993FA9"/>
    <w:rsid w:val="099E3CC2"/>
    <w:rsid w:val="09B45D2D"/>
    <w:rsid w:val="09BB1406"/>
    <w:rsid w:val="09C22FA5"/>
    <w:rsid w:val="09C74B98"/>
    <w:rsid w:val="09CA06E6"/>
    <w:rsid w:val="09DA356A"/>
    <w:rsid w:val="09DE11B9"/>
    <w:rsid w:val="09F52C2E"/>
    <w:rsid w:val="09F935EE"/>
    <w:rsid w:val="0A0B50CF"/>
    <w:rsid w:val="0A0D3C44"/>
    <w:rsid w:val="0A145ED1"/>
    <w:rsid w:val="0A150D99"/>
    <w:rsid w:val="0A2C1844"/>
    <w:rsid w:val="0A2D14EA"/>
    <w:rsid w:val="0A4725AB"/>
    <w:rsid w:val="0A486E72"/>
    <w:rsid w:val="0A4879C4"/>
    <w:rsid w:val="0A530F50"/>
    <w:rsid w:val="0A6450BF"/>
    <w:rsid w:val="0A694BF1"/>
    <w:rsid w:val="0A727538"/>
    <w:rsid w:val="0A814614"/>
    <w:rsid w:val="0A8F7DDB"/>
    <w:rsid w:val="0AAF6A9B"/>
    <w:rsid w:val="0AB35AB2"/>
    <w:rsid w:val="0ABA7D4C"/>
    <w:rsid w:val="0ABB70EA"/>
    <w:rsid w:val="0AC062BA"/>
    <w:rsid w:val="0AC42277"/>
    <w:rsid w:val="0ACB1E4E"/>
    <w:rsid w:val="0ADD356E"/>
    <w:rsid w:val="0AFC23AB"/>
    <w:rsid w:val="0B272AC7"/>
    <w:rsid w:val="0B283A26"/>
    <w:rsid w:val="0B30099E"/>
    <w:rsid w:val="0B3D70C7"/>
    <w:rsid w:val="0B3F3C9B"/>
    <w:rsid w:val="0B45244B"/>
    <w:rsid w:val="0B576BAE"/>
    <w:rsid w:val="0B6A1BFD"/>
    <w:rsid w:val="0B7E5B88"/>
    <w:rsid w:val="0B876B82"/>
    <w:rsid w:val="0B983645"/>
    <w:rsid w:val="0B9C05FE"/>
    <w:rsid w:val="0B9F33DB"/>
    <w:rsid w:val="0BB837FF"/>
    <w:rsid w:val="0BBA7CEA"/>
    <w:rsid w:val="0BCB0091"/>
    <w:rsid w:val="0BCE0FF1"/>
    <w:rsid w:val="0BDF560F"/>
    <w:rsid w:val="0BE21384"/>
    <w:rsid w:val="0BE551D6"/>
    <w:rsid w:val="0BEF1AB8"/>
    <w:rsid w:val="0C1175D7"/>
    <w:rsid w:val="0C232C55"/>
    <w:rsid w:val="0C246F82"/>
    <w:rsid w:val="0C2710AB"/>
    <w:rsid w:val="0C3575D4"/>
    <w:rsid w:val="0C37664F"/>
    <w:rsid w:val="0C3E50A8"/>
    <w:rsid w:val="0C450B89"/>
    <w:rsid w:val="0C462CE3"/>
    <w:rsid w:val="0C475CAC"/>
    <w:rsid w:val="0C61782A"/>
    <w:rsid w:val="0C652A9C"/>
    <w:rsid w:val="0C661175"/>
    <w:rsid w:val="0C6948F0"/>
    <w:rsid w:val="0C6D2071"/>
    <w:rsid w:val="0C787EBF"/>
    <w:rsid w:val="0C95328F"/>
    <w:rsid w:val="0C96552E"/>
    <w:rsid w:val="0CA66ED6"/>
    <w:rsid w:val="0CC9374C"/>
    <w:rsid w:val="0CD014BE"/>
    <w:rsid w:val="0CE71E24"/>
    <w:rsid w:val="0CFB50F8"/>
    <w:rsid w:val="0CFF716D"/>
    <w:rsid w:val="0D1449DC"/>
    <w:rsid w:val="0D1A2A5E"/>
    <w:rsid w:val="0D210D1F"/>
    <w:rsid w:val="0D215582"/>
    <w:rsid w:val="0D2C4EDD"/>
    <w:rsid w:val="0D3D7C96"/>
    <w:rsid w:val="0D4841F2"/>
    <w:rsid w:val="0D494065"/>
    <w:rsid w:val="0D5D1265"/>
    <w:rsid w:val="0D771B21"/>
    <w:rsid w:val="0D9666D9"/>
    <w:rsid w:val="0DA375CA"/>
    <w:rsid w:val="0DB241E0"/>
    <w:rsid w:val="0DB56CB0"/>
    <w:rsid w:val="0DCB2B36"/>
    <w:rsid w:val="0DD642BB"/>
    <w:rsid w:val="0DE50E48"/>
    <w:rsid w:val="0E0407B3"/>
    <w:rsid w:val="0E0B7D94"/>
    <w:rsid w:val="0E0C2FD9"/>
    <w:rsid w:val="0E156F29"/>
    <w:rsid w:val="0E1837F4"/>
    <w:rsid w:val="0E22778F"/>
    <w:rsid w:val="0E244CB5"/>
    <w:rsid w:val="0E4565B8"/>
    <w:rsid w:val="0E526AF1"/>
    <w:rsid w:val="0E796AAB"/>
    <w:rsid w:val="0E815086"/>
    <w:rsid w:val="0E8518F4"/>
    <w:rsid w:val="0E8D7234"/>
    <w:rsid w:val="0EC031C6"/>
    <w:rsid w:val="0F075760"/>
    <w:rsid w:val="0F0C5B71"/>
    <w:rsid w:val="0F16342C"/>
    <w:rsid w:val="0F213404"/>
    <w:rsid w:val="0F29391A"/>
    <w:rsid w:val="0F387BC6"/>
    <w:rsid w:val="0F3E56AF"/>
    <w:rsid w:val="0F41491B"/>
    <w:rsid w:val="0F476BAA"/>
    <w:rsid w:val="0F4F2E60"/>
    <w:rsid w:val="0F52741E"/>
    <w:rsid w:val="0F65560C"/>
    <w:rsid w:val="0F657090"/>
    <w:rsid w:val="0F6707D4"/>
    <w:rsid w:val="0F827BE2"/>
    <w:rsid w:val="0F9D155F"/>
    <w:rsid w:val="0FA624FD"/>
    <w:rsid w:val="0FA660EA"/>
    <w:rsid w:val="0FA8561F"/>
    <w:rsid w:val="0FD57DF7"/>
    <w:rsid w:val="0FF21002"/>
    <w:rsid w:val="0FF24D67"/>
    <w:rsid w:val="0FF274C7"/>
    <w:rsid w:val="10000711"/>
    <w:rsid w:val="100150AD"/>
    <w:rsid w:val="100827DD"/>
    <w:rsid w:val="100D367C"/>
    <w:rsid w:val="10141DEE"/>
    <w:rsid w:val="10165B6B"/>
    <w:rsid w:val="102214BC"/>
    <w:rsid w:val="10265B41"/>
    <w:rsid w:val="103F26CA"/>
    <w:rsid w:val="104E10BB"/>
    <w:rsid w:val="104E7412"/>
    <w:rsid w:val="10575094"/>
    <w:rsid w:val="1075560A"/>
    <w:rsid w:val="10757A1A"/>
    <w:rsid w:val="10776797"/>
    <w:rsid w:val="10797237"/>
    <w:rsid w:val="107E7F4A"/>
    <w:rsid w:val="108B7C85"/>
    <w:rsid w:val="108E06DD"/>
    <w:rsid w:val="109945D2"/>
    <w:rsid w:val="10B50D97"/>
    <w:rsid w:val="10C146D9"/>
    <w:rsid w:val="10D8518E"/>
    <w:rsid w:val="10DE52DC"/>
    <w:rsid w:val="10E26FF7"/>
    <w:rsid w:val="10E63D85"/>
    <w:rsid w:val="11012BD8"/>
    <w:rsid w:val="11070D37"/>
    <w:rsid w:val="110D23C5"/>
    <w:rsid w:val="110D5AA7"/>
    <w:rsid w:val="11244A0C"/>
    <w:rsid w:val="1126033C"/>
    <w:rsid w:val="113A29C7"/>
    <w:rsid w:val="1147698D"/>
    <w:rsid w:val="114E2190"/>
    <w:rsid w:val="114E52FC"/>
    <w:rsid w:val="115630D4"/>
    <w:rsid w:val="11620B1F"/>
    <w:rsid w:val="11680FA7"/>
    <w:rsid w:val="116D36D7"/>
    <w:rsid w:val="119F23B1"/>
    <w:rsid w:val="11AC648D"/>
    <w:rsid w:val="11B02CA7"/>
    <w:rsid w:val="11C93192"/>
    <w:rsid w:val="11CA6419"/>
    <w:rsid w:val="11D24E50"/>
    <w:rsid w:val="11D94FF4"/>
    <w:rsid w:val="11DB21B1"/>
    <w:rsid w:val="11E132A3"/>
    <w:rsid w:val="11E235F2"/>
    <w:rsid w:val="11E7628E"/>
    <w:rsid w:val="11F578C5"/>
    <w:rsid w:val="11FB5111"/>
    <w:rsid w:val="120828D2"/>
    <w:rsid w:val="120E6E02"/>
    <w:rsid w:val="12130873"/>
    <w:rsid w:val="1229616F"/>
    <w:rsid w:val="12323B41"/>
    <w:rsid w:val="123F00B0"/>
    <w:rsid w:val="12473B60"/>
    <w:rsid w:val="1247669B"/>
    <w:rsid w:val="126E0D75"/>
    <w:rsid w:val="12720243"/>
    <w:rsid w:val="129D6909"/>
    <w:rsid w:val="12A915D6"/>
    <w:rsid w:val="12AC5875"/>
    <w:rsid w:val="12B731F9"/>
    <w:rsid w:val="12C233F2"/>
    <w:rsid w:val="12C80001"/>
    <w:rsid w:val="12CC1CB6"/>
    <w:rsid w:val="12CC44EC"/>
    <w:rsid w:val="12DA307B"/>
    <w:rsid w:val="12E46BBA"/>
    <w:rsid w:val="13052AC8"/>
    <w:rsid w:val="13160BED"/>
    <w:rsid w:val="131B7F29"/>
    <w:rsid w:val="132C3D88"/>
    <w:rsid w:val="13386F35"/>
    <w:rsid w:val="133B10E0"/>
    <w:rsid w:val="13543B31"/>
    <w:rsid w:val="13561AB1"/>
    <w:rsid w:val="135D2E08"/>
    <w:rsid w:val="1360337C"/>
    <w:rsid w:val="13622204"/>
    <w:rsid w:val="13726E92"/>
    <w:rsid w:val="13731786"/>
    <w:rsid w:val="137A77D3"/>
    <w:rsid w:val="1389585B"/>
    <w:rsid w:val="13A10AA0"/>
    <w:rsid w:val="13A64BD9"/>
    <w:rsid w:val="13A712F4"/>
    <w:rsid w:val="13AA5686"/>
    <w:rsid w:val="13B32A60"/>
    <w:rsid w:val="13BB1021"/>
    <w:rsid w:val="13C04304"/>
    <w:rsid w:val="13D34C5E"/>
    <w:rsid w:val="13D622F3"/>
    <w:rsid w:val="13DD38EF"/>
    <w:rsid w:val="13ED1383"/>
    <w:rsid w:val="13F04D39"/>
    <w:rsid w:val="13F7678F"/>
    <w:rsid w:val="14190A5A"/>
    <w:rsid w:val="14250965"/>
    <w:rsid w:val="14276FAA"/>
    <w:rsid w:val="14364A61"/>
    <w:rsid w:val="143962D3"/>
    <w:rsid w:val="143A4F2F"/>
    <w:rsid w:val="143C3258"/>
    <w:rsid w:val="1449333D"/>
    <w:rsid w:val="144B166A"/>
    <w:rsid w:val="144D04D9"/>
    <w:rsid w:val="14574525"/>
    <w:rsid w:val="146038EA"/>
    <w:rsid w:val="14616E5E"/>
    <w:rsid w:val="14650F45"/>
    <w:rsid w:val="14685DDA"/>
    <w:rsid w:val="14695C3F"/>
    <w:rsid w:val="147177AB"/>
    <w:rsid w:val="147C1BE2"/>
    <w:rsid w:val="148E0DD7"/>
    <w:rsid w:val="14A23354"/>
    <w:rsid w:val="14A34EC6"/>
    <w:rsid w:val="14A66C6D"/>
    <w:rsid w:val="14A74BF9"/>
    <w:rsid w:val="14A756D7"/>
    <w:rsid w:val="14AD6447"/>
    <w:rsid w:val="14B105B5"/>
    <w:rsid w:val="14C111AC"/>
    <w:rsid w:val="14C30C11"/>
    <w:rsid w:val="14CB19AC"/>
    <w:rsid w:val="14CF2A54"/>
    <w:rsid w:val="14D66379"/>
    <w:rsid w:val="14E47416"/>
    <w:rsid w:val="15050E6C"/>
    <w:rsid w:val="151D4A82"/>
    <w:rsid w:val="15323D54"/>
    <w:rsid w:val="153773B0"/>
    <w:rsid w:val="153C19E8"/>
    <w:rsid w:val="15515A6C"/>
    <w:rsid w:val="15696C72"/>
    <w:rsid w:val="15785D0F"/>
    <w:rsid w:val="158E265E"/>
    <w:rsid w:val="1591642B"/>
    <w:rsid w:val="159602DB"/>
    <w:rsid w:val="159A4EFE"/>
    <w:rsid w:val="15AC7766"/>
    <w:rsid w:val="15D62EA3"/>
    <w:rsid w:val="15DE144A"/>
    <w:rsid w:val="15E4208F"/>
    <w:rsid w:val="15E478AE"/>
    <w:rsid w:val="15E50A5A"/>
    <w:rsid w:val="160053A1"/>
    <w:rsid w:val="160164C5"/>
    <w:rsid w:val="16107311"/>
    <w:rsid w:val="163A024B"/>
    <w:rsid w:val="163A4041"/>
    <w:rsid w:val="163C0707"/>
    <w:rsid w:val="163D2AB4"/>
    <w:rsid w:val="16482398"/>
    <w:rsid w:val="164B3E37"/>
    <w:rsid w:val="16556F81"/>
    <w:rsid w:val="165C0301"/>
    <w:rsid w:val="165D2C59"/>
    <w:rsid w:val="166530B3"/>
    <w:rsid w:val="169D3309"/>
    <w:rsid w:val="16A26CDF"/>
    <w:rsid w:val="16BD39FA"/>
    <w:rsid w:val="16BD7E93"/>
    <w:rsid w:val="16D05712"/>
    <w:rsid w:val="16D059CE"/>
    <w:rsid w:val="16E1170A"/>
    <w:rsid w:val="16FC3E76"/>
    <w:rsid w:val="170E25DA"/>
    <w:rsid w:val="1720040C"/>
    <w:rsid w:val="17215F32"/>
    <w:rsid w:val="17244113"/>
    <w:rsid w:val="1743234C"/>
    <w:rsid w:val="17444370"/>
    <w:rsid w:val="17516C5A"/>
    <w:rsid w:val="1766321E"/>
    <w:rsid w:val="176D1177"/>
    <w:rsid w:val="17724EAC"/>
    <w:rsid w:val="17785C6F"/>
    <w:rsid w:val="177A36EB"/>
    <w:rsid w:val="178A738D"/>
    <w:rsid w:val="1791364D"/>
    <w:rsid w:val="179B44BA"/>
    <w:rsid w:val="17A535FD"/>
    <w:rsid w:val="17CF46B9"/>
    <w:rsid w:val="17D06747"/>
    <w:rsid w:val="180342B2"/>
    <w:rsid w:val="180F5F46"/>
    <w:rsid w:val="18200AB0"/>
    <w:rsid w:val="18254B0B"/>
    <w:rsid w:val="18295500"/>
    <w:rsid w:val="182F508D"/>
    <w:rsid w:val="18412C9E"/>
    <w:rsid w:val="185365BF"/>
    <w:rsid w:val="18617751"/>
    <w:rsid w:val="187F71B7"/>
    <w:rsid w:val="188815E1"/>
    <w:rsid w:val="189A7B53"/>
    <w:rsid w:val="18A76FEA"/>
    <w:rsid w:val="18AD3F21"/>
    <w:rsid w:val="18B077DF"/>
    <w:rsid w:val="18B352B0"/>
    <w:rsid w:val="18B74C81"/>
    <w:rsid w:val="18BD7EDC"/>
    <w:rsid w:val="18D13405"/>
    <w:rsid w:val="18D80BE7"/>
    <w:rsid w:val="18F338FE"/>
    <w:rsid w:val="19032BE6"/>
    <w:rsid w:val="192D0BBE"/>
    <w:rsid w:val="19417F49"/>
    <w:rsid w:val="19481A38"/>
    <w:rsid w:val="195235C3"/>
    <w:rsid w:val="1966265C"/>
    <w:rsid w:val="1979340B"/>
    <w:rsid w:val="197E73EB"/>
    <w:rsid w:val="19805192"/>
    <w:rsid w:val="198B63CB"/>
    <w:rsid w:val="199346DB"/>
    <w:rsid w:val="19946E8F"/>
    <w:rsid w:val="199B323A"/>
    <w:rsid w:val="19A11003"/>
    <w:rsid w:val="19AE0BD8"/>
    <w:rsid w:val="19B05C2A"/>
    <w:rsid w:val="19B05F17"/>
    <w:rsid w:val="19B95E7D"/>
    <w:rsid w:val="19BC115A"/>
    <w:rsid w:val="19BE14B0"/>
    <w:rsid w:val="19C12B8F"/>
    <w:rsid w:val="19C25ACC"/>
    <w:rsid w:val="19C31D15"/>
    <w:rsid w:val="19CB34D2"/>
    <w:rsid w:val="19CF3FFF"/>
    <w:rsid w:val="19E60EBD"/>
    <w:rsid w:val="1A004525"/>
    <w:rsid w:val="1A047F55"/>
    <w:rsid w:val="1A0B5FF5"/>
    <w:rsid w:val="1A0D7983"/>
    <w:rsid w:val="1A0F5218"/>
    <w:rsid w:val="1A110661"/>
    <w:rsid w:val="1A127FD2"/>
    <w:rsid w:val="1A1B06E4"/>
    <w:rsid w:val="1A2B64A7"/>
    <w:rsid w:val="1A2D4385"/>
    <w:rsid w:val="1A327AA5"/>
    <w:rsid w:val="1A334BEE"/>
    <w:rsid w:val="1A3A4FFD"/>
    <w:rsid w:val="1A4F0A03"/>
    <w:rsid w:val="1A530A2D"/>
    <w:rsid w:val="1A5E04D5"/>
    <w:rsid w:val="1A5F26BC"/>
    <w:rsid w:val="1A626167"/>
    <w:rsid w:val="1A7035B1"/>
    <w:rsid w:val="1A726A03"/>
    <w:rsid w:val="1A942AB4"/>
    <w:rsid w:val="1A970A05"/>
    <w:rsid w:val="1AA020A4"/>
    <w:rsid w:val="1AAC5391"/>
    <w:rsid w:val="1AC431BD"/>
    <w:rsid w:val="1AC72721"/>
    <w:rsid w:val="1AC966F3"/>
    <w:rsid w:val="1AD957B8"/>
    <w:rsid w:val="1B0A01BD"/>
    <w:rsid w:val="1B102545"/>
    <w:rsid w:val="1B156C86"/>
    <w:rsid w:val="1B1664CE"/>
    <w:rsid w:val="1B184204"/>
    <w:rsid w:val="1B1B7F71"/>
    <w:rsid w:val="1B1E632F"/>
    <w:rsid w:val="1B236217"/>
    <w:rsid w:val="1B2B7745"/>
    <w:rsid w:val="1B310204"/>
    <w:rsid w:val="1B333A33"/>
    <w:rsid w:val="1B3C0060"/>
    <w:rsid w:val="1B4051F5"/>
    <w:rsid w:val="1B445856"/>
    <w:rsid w:val="1B5D14A0"/>
    <w:rsid w:val="1B694366"/>
    <w:rsid w:val="1B7557D1"/>
    <w:rsid w:val="1B783861"/>
    <w:rsid w:val="1B795A15"/>
    <w:rsid w:val="1B7F14E9"/>
    <w:rsid w:val="1B885BFD"/>
    <w:rsid w:val="1B8A374C"/>
    <w:rsid w:val="1B8B4E33"/>
    <w:rsid w:val="1B9670CD"/>
    <w:rsid w:val="1BA3160C"/>
    <w:rsid w:val="1BB521F1"/>
    <w:rsid w:val="1BC03C3B"/>
    <w:rsid w:val="1BD0046F"/>
    <w:rsid w:val="1BD9327F"/>
    <w:rsid w:val="1BE80A70"/>
    <w:rsid w:val="1BFB6930"/>
    <w:rsid w:val="1C187440"/>
    <w:rsid w:val="1C1B7EA0"/>
    <w:rsid w:val="1C2F73A2"/>
    <w:rsid w:val="1C355079"/>
    <w:rsid w:val="1C3C687E"/>
    <w:rsid w:val="1C3D4856"/>
    <w:rsid w:val="1C3D736A"/>
    <w:rsid w:val="1C56099C"/>
    <w:rsid w:val="1C5B63E0"/>
    <w:rsid w:val="1C6935F8"/>
    <w:rsid w:val="1C6A4200"/>
    <w:rsid w:val="1C7272E9"/>
    <w:rsid w:val="1C784A5D"/>
    <w:rsid w:val="1C823A70"/>
    <w:rsid w:val="1C950A26"/>
    <w:rsid w:val="1C9C78B9"/>
    <w:rsid w:val="1CAA5EC4"/>
    <w:rsid w:val="1CAC73F1"/>
    <w:rsid w:val="1CB145A4"/>
    <w:rsid w:val="1CB40B69"/>
    <w:rsid w:val="1CCA4C24"/>
    <w:rsid w:val="1CDB56CB"/>
    <w:rsid w:val="1CE324AB"/>
    <w:rsid w:val="1CE47AC3"/>
    <w:rsid w:val="1CE94979"/>
    <w:rsid w:val="1CF145A7"/>
    <w:rsid w:val="1CFB4A94"/>
    <w:rsid w:val="1CFB7D1F"/>
    <w:rsid w:val="1D007357"/>
    <w:rsid w:val="1D0D7176"/>
    <w:rsid w:val="1D1D719C"/>
    <w:rsid w:val="1D215396"/>
    <w:rsid w:val="1D263A55"/>
    <w:rsid w:val="1D342089"/>
    <w:rsid w:val="1D381A8C"/>
    <w:rsid w:val="1D3A4B55"/>
    <w:rsid w:val="1D3D4AEA"/>
    <w:rsid w:val="1D4B050F"/>
    <w:rsid w:val="1D4C2A3C"/>
    <w:rsid w:val="1D610FC5"/>
    <w:rsid w:val="1D7124A8"/>
    <w:rsid w:val="1D736DEC"/>
    <w:rsid w:val="1D787D31"/>
    <w:rsid w:val="1D7B4BB1"/>
    <w:rsid w:val="1D7C75F8"/>
    <w:rsid w:val="1D7E762B"/>
    <w:rsid w:val="1D8B1DF6"/>
    <w:rsid w:val="1DA657AD"/>
    <w:rsid w:val="1DC57C38"/>
    <w:rsid w:val="1DD0420E"/>
    <w:rsid w:val="1DD31BE7"/>
    <w:rsid w:val="1DD61A6E"/>
    <w:rsid w:val="1DEB3BDF"/>
    <w:rsid w:val="1DEE04F1"/>
    <w:rsid w:val="1E106FBF"/>
    <w:rsid w:val="1E1D12AF"/>
    <w:rsid w:val="1E256491"/>
    <w:rsid w:val="1E2D179C"/>
    <w:rsid w:val="1E2E11E6"/>
    <w:rsid w:val="1E3E1186"/>
    <w:rsid w:val="1E3E4DE0"/>
    <w:rsid w:val="1E4F5A7B"/>
    <w:rsid w:val="1E567940"/>
    <w:rsid w:val="1E5A7910"/>
    <w:rsid w:val="1E5C7F1C"/>
    <w:rsid w:val="1E6A08B9"/>
    <w:rsid w:val="1E752A2C"/>
    <w:rsid w:val="1E85324A"/>
    <w:rsid w:val="1E856C26"/>
    <w:rsid w:val="1E907536"/>
    <w:rsid w:val="1E912475"/>
    <w:rsid w:val="1E9C58ED"/>
    <w:rsid w:val="1E9E58BE"/>
    <w:rsid w:val="1EAB4FB6"/>
    <w:rsid w:val="1EAB7596"/>
    <w:rsid w:val="1EB44D6F"/>
    <w:rsid w:val="1EC04283"/>
    <w:rsid w:val="1EDE4FE5"/>
    <w:rsid w:val="1EF8190E"/>
    <w:rsid w:val="1F056F9E"/>
    <w:rsid w:val="1F0A638E"/>
    <w:rsid w:val="1F310708"/>
    <w:rsid w:val="1F346081"/>
    <w:rsid w:val="1F48190C"/>
    <w:rsid w:val="1F5119C9"/>
    <w:rsid w:val="1F774245"/>
    <w:rsid w:val="1F864334"/>
    <w:rsid w:val="1F925C1F"/>
    <w:rsid w:val="1FA70AE4"/>
    <w:rsid w:val="1FB827FA"/>
    <w:rsid w:val="1FBE3CAB"/>
    <w:rsid w:val="1FD75B51"/>
    <w:rsid w:val="1FDA423C"/>
    <w:rsid w:val="1FDD70E7"/>
    <w:rsid w:val="1FDF154F"/>
    <w:rsid w:val="1FED72F9"/>
    <w:rsid w:val="1FF620FB"/>
    <w:rsid w:val="20026EB8"/>
    <w:rsid w:val="2006372F"/>
    <w:rsid w:val="20093D26"/>
    <w:rsid w:val="200D6254"/>
    <w:rsid w:val="200F7CD1"/>
    <w:rsid w:val="20270A63"/>
    <w:rsid w:val="20313AEC"/>
    <w:rsid w:val="20357301"/>
    <w:rsid w:val="20442068"/>
    <w:rsid w:val="204C730B"/>
    <w:rsid w:val="204C79D8"/>
    <w:rsid w:val="20521E8D"/>
    <w:rsid w:val="20545CDA"/>
    <w:rsid w:val="206A0948"/>
    <w:rsid w:val="20726D32"/>
    <w:rsid w:val="2073185F"/>
    <w:rsid w:val="20784748"/>
    <w:rsid w:val="207B3351"/>
    <w:rsid w:val="207B6324"/>
    <w:rsid w:val="2088296F"/>
    <w:rsid w:val="209A0B0E"/>
    <w:rsid w:val="20AC2CDA"/>
    <w:rsid w:val="20AE0ED9"/>
    <w:rsid w:val="20B56531"/>
    <w:rsid w:val="20C466CA"/>
    <w:rsid w:val="20CB7C1B"/>
    <w:rsid w:val="20D14BC5"/>
    <w:rsid w:val="20E80E3E"/>
    <w:rsid w:val="20FF6905"/>
    <w:rsid w:val="21063677"/>
    <w:rsid w:val="210868D6"/>
    <w:rsid w:val="2109769F"/>
    <w:rsid w:val="21097D9E"/>
    <w:rsid w:val="210B44DC"/>
    <w:rsid w:val="211E138F"/>
    <w:rsid w:val="214C7FC0"/>
    <w:rsid w:val="214E2366"/>
    <w:rsid w:val="21537ED1"/>
    <w:rsid w:val="21552D79"/>
    <w:rsid w:val="21637FEA"/>
    <w:rsid w:val="2166388F"/>
    <w:rsid w:val="21690C01"/>
    <w:rsid w:val="216D7922"/>
    <w:rsid w:val="217B112C"/>
    <w:rsid w:val="21840B57"/>
    <w:rsid w:val="21880FC6"/>
    <w:rsid w:val="2188552B"/>
    <w:rsid w:val="21AE2AB8"/>
    <w:rsid w:val="21B369F5"/>
    <w:rsid w:val="21BA087F"/>
    <w:rsid w:val="21C516AD"/>
    <w:rsid w:val="21D85178"/>
    <w:rsid w:val="21EA0948"/>
    <w:rsid w:val="21ED73BE"/>
    <w:rsid w:val="21F04234"/>
    <w:rsid w:val="21F05478"/>
    <w:rsid w:val="21F70979"/>
    <w:rsid w:val="2203031B"/>
    <w:rsid w:val="22153139"/>
    <w:rsid w:val="22205522"/>
    <w:rsid w:val="22377503"/>
    <w:rsid w:val="22393D74"/>
    <w:rsid w:val="224D2506"/>
    <w:rsid w:val="22532671"/>
    <w:rsid w:val="22546C1C"/>
    <w:rsid w:val="225B6ABF"/>
    <w:rsid w:val="2262759A"/>
    <w:rsid w:val="226E147A"/>
    <w:rsid w:val="228B202A"/>
    <w:rsid w:val="229473A2"/>
    <w:rsid w:val="22AA1F5E"/>
    <w:rsid w:val="22AB76E7"/>
    <w:rsid w:val="22B076E6"/>
    <w:rsid w:val="22D16BD5"/>
    <w:rsid w:val="22D60519"/>
    <w:rsid w:val="22E76282"/>
    <w:rsid w:val="22EB130B"/>
    <w:rsid w:val="22EB1893"/>
    <w:rsid w:val="23222AED"/>
    <w:rsid w:val="2326264B"/>
    <w:rsid w:val="232E2103"/>
    <w:rsid w:val="23356FED"/>
    <w:rsid w:val="23440000"/>
    <w:rsid w:val="23495888"/>
    <w:rsid w:val="23566F63"/>
    <w:rsid w:val="235E5D1E"/>
    <w:rsid w:val="236001EA"/>
    <w:rsid w:val="238143F2"/>
    <w:rsid w:val="23971ACE"/>
    <w:rsid w:val="23B05255"/>
    <w:rsid w:val="23B65957"/>
    <w:rsid w:val="23B716FE"/>
    <w:rsid w:val="23D01B45"/>
    <w:rsid w:val="23D43F8D"/>
    <w:rsid w:val="23D519FB"/>
    <w:rsid w:val="23F00FBB"/>
    <w:rsid w:val="23F23130"/>
    <w:rsid w:val="24091482"/>
    <w:rsid w:val="241035B6"/>
    <w:rsid w:val="241574E7"/>
    <w:rsid w:val="241675CD"/>
    <w:rsid w:val="241F2450"/>
    <w:rsid w:val="243D65D9"/>
    <w:rsid w:val="245F2B19"/>
    <w:rsid w:val="24782EE4"/>
    <w:rsid w:val="24826CBD"/>
    <w:rsid w:val="248572ED"/>
    <w:rsid w:val="24861EE8"/>
    <w:rsid w:val="24946793"/>
    <w:rsid w:val="249E1F2B"/>
    <w:rsid w:val="24A21517"/>
    <w:rsid w:val="24A3442A"/>
    <w:rsid w:val="24AE16BA"/>
    <w:rsid w:val="24B03E61"/>
    <w:rsid w:val="24B16BC3"/>
    <w:rsid w:val="24B865E5"/>
    <w:rsid w:val="24BE65F4"/>
    <w:rsid w:val="24C46BE7"/>
    <w:rsid w:val="24C96330"/>
    <w:rsid w:val="24CC572F"/>
    <w:rsid w:val="24E3463B"/>
    <w:rsid w:val="24EE7BB7"/>
    <w:rsid w:val="24FE721C"/>
    <w:rsid w:val="25032719"/>
    <w:rsid w:val="25187DB4"/>
    <w:rsid w:val="25372D94"/>
    <w:rsid w:val="2541410B"/>
    <w:rsid w:val="254B58EF"/>
    <w:rsid w:val="256000EE"/>
    <w:rsid w:val="256572B0"/>
    <w:rsid w:val="257A4C8F"/>
    <w:rsid w:val="257C646B"/>
    <w:rsid w:val="25C95094"/>
    <w:rsid w:val="25D03442"/>
    <w:rsid w:val="25F07509"/>
    <w:rsid w:val="25F767DC"/>
    <w:rsid w:val="261438AB"/>
    <w:rsid w:val="26217EDD"/>
    <w:rsid w:val="26383936"/>
    <w:rsid w:val="263B2370"/>
    <w:rsid w:val="264D0666"/>
    <w:rsid w:val="265F3983"/>
    <w:rsid w:val="26617C12"/>
    <w:rsid w:val="266412BB"/>
    <w:rsid w:val="266779CE"/>
    <w:rsid w:val="266D528B"/>
    <w:rsid w:val="26763242"/>
    <w:rsid w:val="267D7165"/>
    <w:rsid w:val="267E2483"/>
    <w:rsid w:val="26942096"/>
    <w:rsid w:val="26960378"/>
    <w:rsid w:val="26A82A80"/>
    <w:rsid w:val="26AA28EA"/>
    <w:rsid w:val="26AA2B3C"/>
    <w:rsid w:val="26D60E92"/>
    <w:rsid w:val="26D82E39"/>
    <w:rsid w:val="26E31456"/>
    <w:rsid w:val="26EC2161"/>
    <w:rsid w:val="26F55F5D"/>
    <w:rsid w:val="270A4871"/>
    <w:rsid w:val="270F069C"/>
    <w:rsid w:val="27243753"/>
    <w:rsid w:val="27444169"/>
    <w:rsid w:val="27475541"/>
    <w:rsid w:val="27525FC0"/>
    <w:rsid w:val="275309E2"/>
    <w:rsid w:val="27651E6B"/>
    <w:rsid w:val="276B33C5"/>
    <w:rsid w:val="276C257F"/>
    <w:rsid w:val="27723602"/>
    <w:rsid w:val="277E7AE2"/>
    <w:rsid w:val="27856069"/>
    <w:rsid w:val="27856D25"/>
    <w:rsid w:val="279013B1"/>
    <w:rsid w:val="279F35CF"/>
    <w:rsid w:val="27BC1E12"/>
    <w:rsid w:val="27BC45D8"/>
    <w:rsid w:val="27BE2731"/>
    <w:rsid w:val="27CC3E09"/>
    <w:rsid w:val="27F201AC"/>
    <w:rsid w:val="2807712D"/>
    <w:rsid w:val="2815563F"/>
    <w:rsid w:val="282910EA"/>
    <w:rsid w:val="28365F22"/>
    <w:rsid w:val="28476C94"/>
    <w:rsid w:val="2860271F"/>
    <w:rsid w:val="28646122"/>
    <w:rsid w:val="2898550E"/>
    <w:rsid w:val="28AE5D4C"/>
    <w:rsid w:val="28BE57A5"/>
    <w:rsid w:val="28BE7E40"/>
    <w:rsid w:val="28C9023B"/>
    <w:rsid w:val="28CB3F50"/>
    <w:rsid w:val="28DF066B"/>
    <w:rsid w:val="28E374EB"/>
    <w:rsid w:val="28E5712B"/>
    <w:rsid w:val="28F16EF1"/>
    <w:rsid w:val="28F3516F"/>
    <w:rsid w:val="293B57B9"/>
    <w:rsid w:val="29455428"/>
    <w:rsid w:val="294A6221"/>
    <w:rsid w:val="294B7F99"/>
    <w:rsid w:val="29536226"/>
    <w:rsid w:val="295A4D74"/>
    <w:rsid w:val="29607C4F"/>
    <w:rsid w:val="29746340"/>
    <w:rsid w:val="29A73E09"/>
    <w:rsid w:val="29A7676B"/>
    <w:rsid w:val="29CD01B3"/>
    <w:rsid w:val="29D56FE9"/>
    <w:rsid w:val="29D71D0D"/>
    <w:rsid w:val="29F14596"/>
    <w:rsid w:val="2A155A85"/>
    <w:rsid w:val="2A613AFC"/>
    <w:rsid w:val="2A6E77E3"/>
    <w:rsid w:val="2A701657"/>
    <w:rsid w:val="2A736529"/>
    <w:rsid w:val="2A815B98"/>
    <w:rsid w:val="2A8C65E2"/>
    <w:rsid w:val="2A911618"/>
    <w:rsid w:val="2A9B34BA"/>
    <w:rsid w:val="2AA6445D"/>
    <w:rsid w:val="2AA66A22"/>
    <w:rsid w:val="2AA73CED"/>
    <w:rsid w:val="2AB729B7"/>
    <w:rsid w:val="2ABA794F"/>
    <w:rsid w:val="2AC45C76"/>
    <w:rsid w:val="2ACC321C"/>
    <w:rsid w:val="2AD046DA"/>
    <w:rsid w:val="2AD34B43"/>
    <w:rsid w:val="2ADB5DE9"/>
    <w:rsid w:val="2AE4105E"/>
    <w:rsid w:val="2AF24AAB"/>
    <w:rsid w:val="2AF9575E"/>
    <w:rsid w:val="2B053749"/>
    <w:rsid w:val="2B0D6651"/>
    <w:rsid w:val="2B0D6AA1"/>
    <w:rsid w:val="2B190614"/>
    <w:rsid w:val="2B2C6998"/>
    <w:rsid w:val="2B301FE5"/>
    <w:rsid w:val="2B4C75CA"/>
    <w:rsid w:val="2B55081A"/>
    <w:rsid w:val="2B790767"/>
    <w:rsid w:val="2B801021"/>
    <w:rsid w:val="2B9C1991"/>
    <w:rsid w:val="2BA07853"/>
    <w:rsid w:val="2BA529B9"/>
    <w:rsid w:val="2BB37B7D"/>
    <w:rsid w:val="2BB43DF9"/>
    <w:rsid w:val="2BCB6A28"/>
    <w:rsid w:val="2BCC38EC"/>
    <w:rsid w:val="2BEC2E31"/>
    <w:rsid w:val="2BEC4909"/>
    <w:rsid w:val="2BEF6E32"/>
    <w:rsid w:val="2BF41F04"/>
    <w:rsid w:val="2BFA54D0"/>
    <w:rsid w:val="2C022D68"/>
    <w:rsid w:val="2C1662DB"/>
    <w:rsid w:val="2C1A587F"/>
    <w:rsid w:val="2C1D2A53"/>
    <w:rsid w:val="2C1D506F"/>
    <w:rsid w:val="2C262724"/>
    <w:rsid w:val="2C29199C"/>
    <w:rsid w:val="2C2E4F21"/>
    <w:rsid w:val="2C533D6B"/>
    <w:rsid w:val="2C801123"/>
    <w:rsid w:val="2C80549D"/>
    <w:rsid w:val="2C8A24B1"/>
    <w:rsid w:val="2C8C39F6"/>
    <w:rsid w:val="2C8D4243"/>
    <w:rsid w:val="2CA358F7"/>
    <w:rsid w:val="2CA552D6"/>
    <w:rsid w:val="2CB77B64"/>
    <w:rsid w:val="2CC118F2"/>
    <w:rsid w:val="2CC43BD3"/>
    <w:rsid w:val="2CCA1121"/>
    <w:rsid w:val="2CCD59AC"/>
    <w:rsid w:val="2CD31625"/>
    <w:rsid w:val="2CEC0274"/>
    <w:rsid w:val="2CEF4ADC"/>
    <w:rsid w:val="2CFF001B"/>
    <w:rsid w:val="2D021A60"/>
    <w:rsid w:val="2D047A30"/>
    <w:rsid w:val="2D195041"/>
    <w:rsid w:val="2D3A16A4"/>
    <w:rsid w:val="2D3D7EA4"/>
    <w:rsid w:val="2D3E34B8"/>
    <w:rsid w:val="2D4E47A8"/>
    <w:rsid w:val="2D59082B"/>
    <w:rsid w:val="2D606171"/>
    <w:rsid w:val="2D6D58B7"/>
    <w:rsid w:val="2D6F0FD6"/>
    <w:rsid w:val="2D7626DC"/>
    <w:rsid w:val="2D793FC1"/>
    <w:rsid w:val="2D7C70ED"/>
    <w:rsid w:val="2D83203C"/>
    <w:rsid w:val="2D872760"/>
    <w:rsid w:val="2DAC2704"/>
    <w:rsid w:val="2DAE68A5"/>
    <w:rsid w:val="2DB41EF1"/>
    <w:rsid w:val="2DBB4972"/>
    <w:rsid w:val="2DC4358B"/>
    <w:rsid w:val="2DCA5887"/>
    <w:rsid w:val="2DCB28DA"/>
    <w:rsid w:val="2DCB2953"/>
    <w:rsid w:val="2DE627CF"/>
    <w:rsid w:val="2DED02B8"/>
    <w:rsid w:val="2E006889"/>
    <w:rsid w:val="2E073E0D"/>
    <w:rsid w:val="2E08570D"/>
    <w:rsid w:val="2E0F4D70"/>
    <w:rsid w:val="2E320F09"/>
    <w:rsid w:val="2E492081"/>
    <w:rsid w:val="2E563FC9"/>
    <w:rsid w:val="2E573775"/>
    <w:rsid w:val="2E595107"/>
    <w:rsid w:val="2E661271"/>
    <w:rsid w:val="2E6727BF"/>
    <w:rsid w:val="2E682E0F"/>
    <w:rsid w:val="2E692C68"/>
    <w:rsid w:val="2E6A5276"/>
    <w:rsid w:val="2E6E082F"/>
    <w:rsid w:val="2E7538A5"/>
    <w:rsid w:val="2E7B497A"/>
    <w:rsid w:val="2E82753A"/>
    <w:rsid w:val="2EA22A88"/>
    <w:rsid w:val="2EA82DC5"/>
    <w:rsid w:val="2EAB5DD2"/>
    <w:rsid w:val="2EB9220E"/>
    <w:rsid w:val="2EC738AD"/>
    <w:rsid w:val="2ECA02E1"/>
    <w:rsid w:val="2ECF2C17"/>
    <w:rsid w:val="2ED05931"/>
    <w:rsid w:val="2EDB7F4C"/>
    <w:rsid w:val="2EE22E7F"/>
    <w:rsid w:val="2EEF4A36"/>
    <w:rsid w:val="2EF14033"/>
    <w:rsid w:val="2F1A12C5"/>
    <w:rsid w:val="2F200F03"/>
    <w:rsid w:val="2F262E07"/>
    <w:rsid w:val="2F2C56BE"/>
    <w:rsid w:val="2F4A02C4"/>
    <w:rsid w:val="2F4C7028"/>
    <w:rsid w:val="2F583B7F"/>
    <w:rsid w:val="2F59444C"/>
    <w:rsid w:val="2F5A1C10"/>
    <w:rsid w:val="2F714C9E"/>
    <w:rsid w:val="2F763058"/>
    <w:rsid w:val="2F7B047E"/>
    <w:rsid w:val="2F7B222C"/>
    <w:rsid w:val="2F801109"/>
    <w:rsid w:val="2F827A5E"/>
    <w:rsid w:val="2F920DA6"/>
    <w:rsid w:val="2F9D341E"/>
    <w:rsid w:val="2FB120F1"/>
    <w:rsid w:val="2FB30E9E"/>
    <w:rsid w:val="2FBF42E3"/>
    <w:rsid w:val="2FE70007"/>
    <w:rsid w:val="2FE9188B"/>
    <w:rsid w:val="2FF21155"/>
    <w:rsid w:val="2FFB15BE"/>
    <w:rsid w:val="302F4890"/>
    <w:rsid w:val="30357536"/>
    <w:rsid w:val="304B042D"/>
    <w:rsid w:val="305310DF"/>
    <w:rsid w:val="305E4969"/>
    <w:rsid w:val="30757489"/>
    <w:rsid w:val="30760C45"/>
    <w:rsid w:val="307753A4"/>
    <w:rsid w:val="30986E0D"/>
    <w:rsid w:val="309F1034"/>
    <w:rsid w:val="30A12A62"/>
    <w:rsid w:val="30A51CC4"/>
    <w:rsid w:val="30A87085"/>
    <w:rsid w:val="30B63BC5"/>
    <w:rsid w:val="30BF083E"/>
    <w:rsid w:val="30C11A5F"/>
    <w:rsid w:val="30C421CD"/>
    <w:rsid w:val="30C776F3"/>
    <w:rsid w:val="30D62E99"/>
    <w:rsid w:val="30D91EBE"/>
    <w:rsid w:val="30E03A94"/>
    <w:rsid w:val="30FC0907"/>
    <w:rsid w:val="31007B3F"/>
    <w:rsid w:val="31083F93"/>
    <w:rsid w:val="310A62D1"/>
    <w:rsid w:val="310E3D62"/>
    <w:rsid w:val="3115170C"/>
    <w:rsid w:val="311731C6"/>
    <w:rsid w:val="311F12DD"/>
    <w:rsid w:val="31213F74"/>
    <w:rsid w:val="312F2326"/>
    <w:rsid w:val="313603FC"/>
    <w:rsid w:val="31472626"/>
    <w:rsid w:val="31520986"/>
    <w:rsid w:val="315520F1"/>
    <w:rsid w:val="31777A1D"/>
    <w:rsid w:val="31795B7C"/>
    <w:rsid w:val="318250A8"/>
    <w:rsid w:val="31887760"/>
    <w:rsid w:val="318F3D0A"/>
    <w:rsid w:val="31945827"/>
    <w:rsid w:val="3199108F"/>
    <w:rsid w:val="31A679EB"/>
    <w:rsid w:val="31AE4EDF"/>
    <w:rsid w:val="31B03D4D"/>
    <w:rsid w:val="31B046AA"/>
    <w:rsid w:val="31BA7139"/>
    <w:rsid w:val="31C17067"/>
    <w:rsid w:val="31C83722"/>
    <w:rsid w:val="31F518A0"/>
    <w:rsid w:val="32023F05"/>
    <w:rsid w:val="32247AB3"/>
    <w:rsid w:val="322634ED"/>
    <w:rsid w:val="322F5CD3"/>
    <w:rsid w:val="323F507F"/>
    <w:rsid w:val="32473BD1"/>
    <w:rsid w:val="32476D3D"/>
    <w:rsid w:val="324803BF"/>
    <w:rsid w:val="324B3018"/>
    <w:rsid w:val="324D69B8"/>
    <w:rsid w:val="324F01C0"/>
    <w:rsid w:val="325425FB"/>
    <w:rsid w:val="325D2AF6"/>
    <w:rsid w:val="325F5090"/>
    <w:rsid w:val="32637642"/>
    <w:rsid w:val="3268280F"/>
    <w:rsid w:val="32807B9E"/>
    <w:rsid w:val="32851613"/>
    <w:rsid w:val="32954666"/>
    <w:rsid w:val="329D51B1"/>
    <w:rsid w:val="32AD5286"/>
    <w:rsid w:val="32B662F0"/>
    <w:rsid w:val="32BC3287"/>
    <w:rsid w:val="32C95387"/>
    <w:rsid w:val="32D5471A"/>
    <w:rsid w:val="32D83E39"/>
    <w:rsid w:val="330926E1"/>
    <w:rsid w:val="332237B5"/>
    <w:rsid w:val="33267872"/>
    <w:rsid w:val="33715542"/>
    <w:rsid w:val="33780A1A"/>
    <w:rsid w:val="337A7877"/>
    <w:rsid w:val="337B4C5C"/>
    <w:rsid w:val="3380650B"/>
    <w:rsid w:val="338E0F62"/>
    <w:rsid w:val="33E34843"/>
    <w:rsid w:val="340824FC"/>
    <w:rsid w:val="341C3D38"/>
    <w:rsid w:val="342A06C4"/>
    <w:rsid w:val="3430306D"/>
    <w:rsid w:val="34322477"/>
    <w:rsid w:val="343C3F54"/>
    <w:rsid w:val="34572B3B"/>
    <w:rsid w:val="34597631"/>
    <w:rsid w:val="345A2D08"/>
    <w:rsid w:val="34682BCC"/>
    <w:rsid w:val="34864FF7"/>
    <w:rsid w:val="34865B6B"/>
    <w:rsid w:val="348C7079"/>
    <w:rsid w:val="349A1827"/>
    <w:rsid w:val="34A07451"/>
    <w:rsid w:val="34A456D5"/>
    <w:rsid w:val="34A548D7"/>
    <w:rsid w:val="34AE05C9"/>
    <w:rsid w:val="34B60510"/>
    <w:rsid w:val="34B658E0"/>
    <w:rsid w:val="34C06F05"/>
    <w:rsid w:val="34CC063E"/>
    <w:rsid w:val="34CF04F8"/>
    <w:rsid w:val="34D1142C"/>
    <w:rsid w:val="34D15128"/>
    <w:rsid w:val="35032FA3"/>
    <w:rsid w:val="350E03AF"/>
    <w:rsid w:val="350F4CB9"/>
    <w:rsid w:val="351D5BC9"/>
    <w:rsid w:val="35255C20"/>
    <w:rsid w:val="3535118C"/>
    <w:rsid w:val="35494036"/>
    <w:rsid w:val="355220FE"/>
    <w:rsid w:val="35532FC7"/>
    <w:rsid w:val="35630DC9"/>
    <w:rsid w:val="356D1E4E"/>
    <w:rsid w:val="35725B9E"/>
    <w:rsid w:val="357A11D7"/>
    <w:rsid w:val="357B61F8"/>
    <w:rsid w:val="358431E6"/>
    <w:rsid w:val="359C2EFC"/>
    <w:rsid w:val="35AA2733"/>
    <w:rsid w:val="35B22915"/>
    <w:rsid w:val="35B2396B"/>
    <w:rsid w:val="35C006B0"/>
    <w:rsid w:val="35C7556C"/>
    <w:rsid w:val="35D5174D"/>
    <w:rsid w:val="35DE2C3C"/>
    <w:rsid w:val="35F15CCE"/>
    <w:rsid w:val="360B3202"/>
    <w:rsid w:val="36193C8D"/>
    <w:rsid w:val="361A65C9"/>
    <w:rsid w:val="363510E1"/>
    <w:rsid w:val="363F6CED"/>
    <w:rsid w:val="366068D7"/>
    <w:rsid w:val="366326C4"/>
    <w:rsid w:val="36633A19"/>
    <w:rsid w:val="366552C8"/>
    <w:rsid w:val="366B2F28"/>
    <w:rsid w:val="366F208E"/>
    <w:rsid w:val="366F588A"/>
    <w:rsid w:val="36726A24"/>
    <w:rsid w:val="3676199F"/>
    <w:rsid w:val="368A619C"/>
    <w:rsid w:val="36A906EE"/>
    <w:rsid w:val="36AA7D18"/>
    <w:rsid w:val="36AC716F"/>
    <w:rsid w:val="36B254F5"/>
    <w:rsid w:val="36C21B0E"/>
    <w:rsid w:val="36D44917"/>
    <w:rsid w:val="36D604FC"/>
    <w:rsid w:val="36E07E35"/>
    <w:rsid w:val="36E14232"/>
    <w:rsid w:val="36F1702E"/>
    <w:rsid w:val="37053D0B"/>
    <w:rsid w:val="37054AD1"/>
    <w:rsid w:val="371B1379"/>
    <w:rsid w:val="372A0138"/>
    <w:rsid w:val="372C1337"/>
    <w:rsid w:val="373D5248"/>
    <w:rsid w:val="374B7F94"/>
    <w:rsid w:val="37563EEC"/>
    <w:rsid w:val="37655B9C"/>
    <w:rsid w:val="37790B61"/>
    <w:rsid w:val="377A726D"/>
    <w:rsid w:val="378352F2"/>
    <w:rsid w:val="3798143E"/>
    <w:rsid w:val="37B9389D"/>
    <w:rsid w:val="37C029E4"/>
    <w:rsid w:val="37C0326A"/>
    <w:rsid w:val="37E400CB"/>
    <w:rsid w:val="37FA4AD4"/>
    <w:rsid w:val="38013C97"/>
    <w:rsid w:val="381B3BA8"/>
    <w:rsid w:val="38211579"/>
    <w:rsid w:val="383438BF"/>
    <w:rsid w:val="38426BDF"/>
    <w:rsid w:val="38433B03"/>
    <w:rsid w:val="38447AC2"/>
    <w:rsid w:val="38502436"/>
    <w:rsid w:val="385F3146"/>
    <w:rsid w:val="38736EBE"/>
    <w:rsid w:val="38771263"/>
    <w:rsid w:val="387B5426"/>
    <w:rsid w:val="388112E2"/>
    <w:rsid w:val="38A85C11"/>
    <w:rsid w:val="38B6741F"/>
    <w:rsid w:val="38C57FA1"/>
    <w:rsid w:val="38CA66F0"/>
    <w:rsid w:val="38D94467"/>
    <w:rsid w:val="38E3705F"/>
    <w:rsid w:val="38E62CF4"/>
    <w:rsid w:val="38E71D83"/>
    <w:rsid w:val="38F01ECC"/>
    <w:rsid w:val="38F1355F"/>
    <w:rsid w:val="39070D87"/>
    <w:rsid w:val="39292820"/>
    <w:rsid w:val="39333AC3"/>
    <w:rsid w:val="39393F87"/>
    <w:rsid w:val="39536EC4"/>
    <w:rsid w:val="39685670"/>
    <w:rsid w:val="396F26D5"/>
    <w:rsid w:val="397B1394"/>
    <w:rsid w:val="3985032C"/>
    <w:rsid w:val="3988337B"/>
    <w:rsid w:val="39980666"/>
    <w:rsid w:val="39A55A4C"/>
    <w:rsid w:val="39B05E47"/>
    <w:rsid w:val="39B06F76"/>
    <w:rsid w:val="39B76556"/>
    <w:rsid w:val="39B8361C"/>
    <w:rsid w:val="39B91955"/>
    <w:rsid w:val="39BA1C5A"/>
    <w:rsid w:val="39C02293"/>
    <w:rsid w:val="39C724FD"/>
    <w:rsid w:val="39D569DC"/>
    <w:rsid w:val="39DA3320"/>
    <w:rsid w:val="3A025982"/>
    <w:rsid w:val="3A186253"/>
    <w:rsid w:val="3A190FBF"/>
    <w:rsid w:val="3A251404"/>
    <w:rsid w:val="3A255BB6"/>
    <w:rsid w:val="3A260D3F"/>
    <w:rsid w:val="3A3E5802"/>
    <w:rsid w:val="3A4461BF"/>
    <w:rsid w:val="3A461CE0"/>
    <w:rsid w:val="3A49123F"/>
    <w:rsid w:val="3A7C09D0"/>
    <w:rsid w:val="3A7C154E"/>
    <w:rsid w:val="3A816B64"/>
    <w:rsid w:val="3A832472"/>
    <w:rsid w:val="3AA64EC6"/>
    <w:rsid w:val="3AB46994"/>
    <w:rsid w:val="3AB51446"/>
    <w:rsid w:val="3AC22322"/>
    <w:rsid w:val="3AC94BB8"/>
    <w:rsid w:val="3AD13648"/>
    <w:rsid w:val="3AD30BFD"/>
    <w:rsid w:val="3AD63D9A"/>
    <w:rsid w:val="3AEF3D25"/>
    <w:rsid w:val="3AFC736B"/>
    <w:rsid w:val="3B2220F5"/>
    <w:rsid w:val="3B2822CC"/>
    <w:rsid w:val="3B38206F"/>
    <w:rsid w:val="3B3C700E"/>
    <w:rsid w:val="3B4D40AE"/>
    <w:rsid w:val="3B5013F4"/>
    <w:rsid w:val="3B622409"/>
    <w:rsid w:val="3B7010B2"/>
    <w:rsid w:val="3B703524"/>
    <w:rsid w:val="3B7364AD"/>
    <w:rsid w:val="3B9A0E3F"/>
    <w:rsid w:val="3BA13238"/>
    <w:rsid w:val="3BB56AC5"/>
    <w:rsid w:val="3BBD2B93"/>
    <w:rsid w:val="3BC545D7"/>
    <w:rsid w:val="3BDB173D"/>
    <w:rsid w:val="3BE2411A"/>
    <w:rsid w:val="3BE7696A"/>
    <w:rsid w:val="3BEC4C4F"/>
    <w:rsid w:val="3BF52B05"/>
    <w:rsid w:val="3BFC47CA"/>
    <w:rsid w:val="3BFC5148"/>
    <w:rsid w:val="3C0D0F09"/>
    <w:rsid w:val="3C1C46F5"/>
    <w:rsid w:val="3C270BE9"/>
    <w:rsid w:val="3C3465C8"/>
    <w:rsid w:val="3C37705C"/>
    <w:rsid w:val="3C3D3202"/>
    <w:rsid w:val="3C486B67"/>
    <w:rsid w:val="3C530D2D"/>
    <w:rsid w:val="3C555A4B"/>
    <w:rsid w:val="3C5822B1"/>
    <w:rsid w:val="3C704DD7"/>
    <w:rsid w:val="3C7A02FF"/>
    <w:rsid w:val="3C80691E"/>
    <w:rsid w:val="3C8301DE"/>
    <w:rsid w:val="3C8A6A69"/>
    <w:rsid w:val="3C8A7F52"/>
    <w:rsid w:val="3CAC2BF0"/>
    <w:rsid w:val="3CB03487"/>
    <w:rsid w:val="3CB772DB"/>
    <w:rsid w:val="3CC52D38"/>
    <w:rsid w:val="3CF00E91"/>
    <w:rsid w:val="3D150B88"/>
    <w:rsid w:val="3D373A52"/>
    <w:rsid w:val="3D44127D"/>
    <w:rsid w:val="3D5C6BB6"/>
    <w:rsid w:val="3D6F7BC8"/>
    <w:rsid w:val="3D751344"/>
    <w:rsid w:val="3D8B086B"/>
    <w:rsid w:val="3DA40C38"/>
    <w:rsid w:val="3DB17760"/>
    <w:rsid w:val="3DB50235"/>
    <w:rsid w:val="3DBA6615"/>
    <w:rsid w:val="3DBB6FCA"/>
    <w:rsid w:val="3DC431B3"/>
    <w:rsid w:val="3DD268F8"/>
    <w:rsid w:val="3DDD2303"/>
    <w:rsid w:val="3DEC52BB"/>
    <w:rsid w:val="3DF01951"/>
    <w:rsid w:val="3DF37D79"/>
    <w:rsid w:val="3DFA297C"/>
    <w:rsid w:val="3DFA2EB5"/>
    <w:rsid w:val="3DFD6D68"/>
    <w:rsid w:val="3E0B267F"/>
    <w:rsid w:val="3E11206A"/>
    <w:rsid w:val="3E171A6B"/>
    <w:rsid w:val="3E1A74C6"/>
    <w:rsid w:val="3E297ECE"/>
    <w:rsid w:val="3E42258D"/>
    <w:rsid w:val="3E4325D3"/>
    <w:rsid w:val="3E463D51"/>
    <w:rsid w:val="3E48104D"/>
    <w:rsid w:val="3E504EE2"/>
    <w:rsid w:val="3E5228C7"/>
    <w:rsid w:val="3E5C2326"/>
    <w:rsid w:val="3E6611A8"/>
    <w:rsid w:val="3E6F2E65"/>
    <w:rsid w:val="3E717E34"/>
    <w:rsid w:val="3E7F6BF7"/>
    <w:rsid w:val="3E876B4B"/>
    <w:rsid w:val="3E883730"/>
    <w:rsid w:val="3E8845AB"/>
    <w:rsid w:val="3EB454E8"/>
    <w:rsid w:val="3EC3736F"/>
    <w:rsid w:val="3ED61F86"/>
    <w:rsid w:val="3EDC6F97"/>
    <w:rsid w:val="3EF80DB1"/>
    <w:rsid w:val="3EFE4835"/>
    <w:rsid w:val="3F073780"/>
    <w:rsid w:val="3F1D3ABB"/>
    <w:rsid w:val="3F1D72F6"/>
    <w:rsid w:val="3F265BE3"/>
    <w:rsid w:val="3F2909FF"/>
    <w:rsid w:val="3F2B6CA8"/>
    <w:rsid w:val="3F2D0CFE"/>
    <w:rsid w:val="3F342FB6"/>
    <w:rsid w:val="3F373C95"/>
    <w:rsid w:val="3F403389"/>
    <w:rsid w:val="3F447A3C"/>
    <w:rsid w:val="3F4E673C"/>
    <w:rsid w:val="3F7F4278"/>
    <w:rsid w:val="3F820131"/>
    <w:rsid w:val="3F9827F2"/>
    <w:rsid w:val="3F9F3D6D"/>
    <w:rsid w:val="3FAB5DC4"/>
    <w:rsid w:val="3FB75B49"/>
    <w:rsid w:val="3FBC5E34"/>
    <w:rsid w:val="3FCD4B44"/>
    <w:rsid w:val="3FD250F1"/>
    <w:rsid w:val="3FD67A25"/>
    <w:rsid w:val="3FD87226"/>
    <w:rsid w:val="3FE14323"/>
    <w:rsid w:val="3FE43718"/>
    <w:rsid w:val="3FE71217"/>
    <w:rsid w:val="3FE8035B"/>
    <w:rsid w:val="3FE91433"/>
    <w:rsid w:val="3FE92490"/>
    <w:rsid w:val="3FF67FFC"/>
    <w:rsid w:val="40031126"/>
    <w:rsid w:val="400B08DE"/>
    <w:rsid w:val="400E4BF7"/>
    <w:rsid w:val="40156415"/>
    <w:rsid w:val="40242C1E"/>
    <w:rsid w:val="4027070D"/>
    <w:rsid w:val="402B03AB"/>
    <w:rsid w:val="40311602"/>
    <w:rsid w:val="404B4CED"/>
    <w:rsid w:val="405C4938"/>
    <w:rsid w:val="4066063F"/>
    <w:rsid w:val="409E3497"/>
    <w:rsid w:val="40A424D7"/>
    <w:rsid w:val="40A86BF9"/>
    <w:rsid w:val="40B57568"/>
    <w:rsid w:val="40D5220D"/>
    <w:rsid w:val="40D80510"/>
    <w:rsid w:val="40E82B80"/>
    <w:rsid w:val="4101292C"/>
    <w:rsid w:val="41082FB2"/>
    <w:rsid w:val="41110E34"/>
    <w:rsid w:val="412C782A"/>
    <w:rsid w:val="414025CB"/>
    <w:rsid w:val="417C31B0"/>
    <w:rsid w:val="41827849"/>
    <w:rsid w:val="41990130"/>
    <w:rsid w:val="419C0A1B"/>
    <w:rsid w:val="41C136F7"/>
    <w:rsid w:val="41D24FC2"/>
    <w:rsid w:val="41D50F25"/>
    <w:rsid w:val="41D7042D"/>
    <w:rsid w:val="41F7374C"/>
    <w:rsid w:val="41FA05C7"/>
    <w:rsid w:val="42024578"/>
    <w:rsid w:val="420863B2"/>
    <w:rsid w:val="421B5050"/>
    <w:rsid w:val="421E72AE"/>
    <w:rsid w:val="42276243"/>
    <w:rsid w:val="4240044E"/>
    <w:rsid w:val="42494A73"/>
    <w:rsid w:val="424B1F31"/>
    <w:rsid w:val="425B09F8"/>
    <w:rsid w:val="42617634"/>
    <w:rsid w:val="42621029"/>
    <w:rsid w:val="426374A8"/>
    <w:rsid w:val="4282609D"/>
    <w:rsid w:val="429C278D"/>
    <w:rsid w:val="42A647F7"/>
    <w:rsid w:val="42BF0286"/>
    <w:rsid w:val="42C80F45"/>
    <w:rsid w:val="42CE66BF"/>
    <w:rsid w:val="42D67A24"/>
    <w:rsid w:val="42DF20F3"/>
    <w:rsid w:val="42E238A4"/>
    <w:rsid w:val="42ED180D"/>
    <w:rsid w:val="42F9107D"/>
    <w:rsid w:val="42FB2D61"/>
    <w:rsid w:val="43065B36"/>
    <w:rsid w:val="430B75E0"/>
    <w:rsid w:val="433353B3"/>
    <w:rsid w:val="43410E16"/>
    <w:rsid w:val="434A61D0"/>
    <w:rsid w:val="43502C04"/>
    <w:rsid w:val="4365297A"/>
    <w:rsid w:val="43741075"/>
    <w:rsid w:val="43776313"/>
    <w:rsid w:val="437E4E43"/>
    <w:rsid w:val="43806765"/>
    <w:rsid w:val="4389216D"/>
    <w:rsid w:val="438F2378"/>
    <w:rsid w:val="4397223F"/>
    <w:rsid w:val="43A16618"/>
    <w:rsid w:val="43B27103"/>
    <w:rsid w:val="43B276B8"/>
    <w:rsid w:val="43B47990"/>
    <w:rsid w:val="43B6186A"/>
    <w:rsid w:val="43C014E4"/>
    <w:rsid w:val="43C9167F"/>
    <w:rsid w:val="43E91B7A"/>
    <w:rsid w:val="43F81C45"/>
    <w:rsid w:val="43FE7408"/>
    <w:rsid w:val="44003A29"/>
    <w:rsid w:val="440D4234"/>
    <w:rsid w:val="44146615"/>
    <w:rsid w:val="4416031D"/>
    <w:rsid w:val="441946EF"/>
    <w:rsid w:val="44215B22"/>
    <w:rsid w:val="44250CC4"/>
    <w:rsid w:val="442B201A"/>
    <w:rsid w:val="442B6074"/>
    <w:rsid w:val="44412C12"/>
    <w:rsid w:val="444C1F91"/>
    <w:rsid w:val="444C73B7"/>
    <w:rsid w:val="445B0426"/>
    <w:rsid w:val="44660DC5"/>
    <w:rsid w:val="446D0DA9"/>
    <w:rsid w:val="447710E5"/>
    <w:rsid w:val="447B4624"/>
    <w:rsid w:val="44804451"/>
    <w:rsid w:val="448A327B"/>
    <w:rsid w:val="448E3309"/>
    <w:rsid w:val="448E4DEC"/>
    <w:rsid w:val="44902E7E"/>
    <w:rsid w:val="449D2666"/>
    <w:rsid w:val="44A354EA"/>
    <w:rsid w:val="44A53E9E"/>
    <w:rsid w:val="44B06161"/>
    <w:rsid w:val="44B1204D"/>
    <w:rsid w:val="44C1276E"/>
    <w:rsid w:val="44D40789"/>
    <w:rsid w:val="44DF7677"/>
    <w:rsid w:val="44E022BE"/>
    <w:rsid w:val="44E20FAD"/>
    <w:rsid w:val="44F14EE9"/>
    <w:rsid w:val="450B59A8"/>
    <w:rsid w:val="451735B9"/>
    <w:rsid w:val="451F3201"/>
    <w:rsid w:val="45253385"/>
    <w:rsid w:val="453C3DB3"/>
    <w:rsid w:val="45450968"/>
    <w:rsid w:val="454629FA"/>
    <w:rsid w:val="45471E91"/>
    <w:rsid w:val="455479C0"/>
    <w:rsid w:val="45570BED"/>
    <w:rsid w:val="455F0C29"/>
    <w:rsid w:val="4561381A"/>
    <w:rsid w:val="45623E31"/>
    <w:rsid w:val="456502E2"/>
    <w:rsid w:val="4582210E"/>
    <w:rsid w:val="45992BA6"/>
    <w:rsid w:val="459C726F"/>
    <w:rsid w:val="45A831F7"/>
    <w:rsid w:val="45B52C14"/>
    <w:rsid w:val="45BA369A"/>
    <w:rsid w:val="45C179DA"/>
    <w:rsid w:val="45D639C5"/>
    <w:rsid w:val="45D726BE"/>
    <w:rsid w:val="45E83F3B"/>
    <w:rsid w:val="46072613"/>
    <w:rsid w:val="460E39A2"/>
    <w:rsid w:val="46144A91"/>
    <w:rsid w:val="461D7F8B"/>
    <w:rsid w:val="462A5D93"/>
    <w:rsid w:val="462F05D4"/>
    <w:rsid w:val="463332CF"/>
    <w:rsid w:val="46364CA7"/>
    <w:rsid w:val="46387CA4"/>
    <w:rsid w:val="463D6DEE"/>
    <w:rsid w:val="464D0599"/>
    <w:rsid w:val="466A50EF"/>
    <w:rsid w:val="467A3618"/>
    <w:rsid w:val="46897D42"/>
    <w:rsid w:val="46983025"/>
    <w:rsid w:val="469A63F7"/>
    <w:rsid w:val="46A10B59"/>
    <w:rsid w:val="46B63068"/>
    <w:rsid w:val="46C21899"/>
    <w:rsid w:val="46E00EB3"/>
    <w:rsid w:val="46E666CD"/>
    <w:rsid w:val="46FB7E03"/>
    <w:rsid w:val="47024C6C"/>
    <w:rsid w:val="471C150A"/>
    <w:rsid w:val="47223C04"/>
    <w:rsid w:val="47256189"/>
    <w:rsid w:val="47393A70"/>
    <w:rsid w:val="474117C7"/>
    <w:rsid w:val="47451335"/>
    <w:rsid w:val="4755272E"/>
    <w:rsid w:val="476532BE"/>
    <w:rsid w:val="4772495E"/>
    <w:rsid w:val="47775577"/>
    <w:rsid w:val="477D25FD"/>
    <w:rsid w:val="477E6245"/>
    <w:rsid w:val="478C1B52"/>
    <w:rsid w:val="47982DD6"/>
    <w:rsid w:val="479B74B7"/>
    <w:rsid w:val="47A53D94"/>
    <w:rsid w:val="47A63B15"/>
    <w:rsid w:val="47A859FD"/>
    <w:rsid w:val="47AD0F98"/>
    <w:rsid w:val="47B75D6B"/>
    <w:rsid w:val="47DD619D"/>
    <w:rsid w:val="47E237E8"/>
    <w:rsid w:val="47EC69E2"/>
    <w:rsid w:val="47F35A21"/>
    <w:rsid w:val="47F534B0"/>
    <w:rsid w:val="47F86AE7"/>
    <w:rsid w:val="47FE6991"/>
    <w:rsid w:val="480E5EDB"/>
    <w:rsid w:val="480F3CA7"/>
    <w:rsid w:val="48264B62"/>
    <w:rsid w:val="482F0B1A"/>
    <w:rsid w:val="48471D42"/>
    <w:rsid w:val="484B64F7"/>
    <w:rsid w:val="48533D15"/>
    <w:rsid w:val="4859672E"/>
    <w:rsid w:val="4860450F"/>
    <w:rsid w:val="48700110"/>
    <w:rsid w:val="487E1318"/>
    <w:rsid w:val="48894BB5"/>
    <w:rsid w:val="48A12028"/>
    <w:rsid w:val="48A56114"/>
    <w:rsid w:val="48B77253"/>
    <w:rsid w:val="48B8224C"/>
    <w:rsid w:val="48BC11F4"/>
    <w:rsid w:val="48CC31B9"/>
    <w:rsid w:val="48E14C28"/>
    <w:rsid w:val="48F227C6"/>
    <w:rsid w:val="490723CD"/>
    <w:rsid w:val="4911031A"/>
    <w:rsid w:val="49125B31"/>
    <w:rsid w:val="493A7BD9"/>
    <w:rsid w:val="49424C51"/>
    <w:rsid w:val="494F0942"/>
    <w:rsid w:val="49500144"/>
    <w:rsid w:val="49517B7D"/>
    <w:rsid w:val="49557AE4"/>
    <w:rsid w:val="496E63D6"/>
    <w:rsid w:val="497D6C8F"/>
    <w:rsid w:val="49A247A8"/>
    <w:rsid w:val="49B943F1"/>
    <w:rsid w:val="49CB04B5"/>
    <w:rsid w:val="49D91CA2"/>
    <w:rsid w:val="49FE26D7"/>
    <w:rsid w:val="4A04223F"/>
    <w:rsid w:val="4A2A45A2"/>
    <w:rsid w:val="4A302E79"/>
    <w:rsid w:val="4A3355EC"/>
    <w:rsid w:val="4A3741D4"/>
    <w:rsid w:val="4A5D541E"/>
    <w:rsid w:val="4A624669"/>
    <w:rsid w:val="4A6670B1"/>
    <w:rsid w:val="4A6D3B09"/>
    <w:rsid w:val="4A965D14"/>
    <w:rsid w:val="4AB1764C"/>
    <w:rsid w:val="4AB80190"/>
    <w:rsid w:val="4AB97C54"/>
    <w:rsid w:val="4AD61838"/>
    <w:rsid w:val="4AD6322C"/>
    <w:rsid w:val="4AE93C47"/>
    <w:rsid w:val="4AFE46B6"/>
    <w:rsid w:val="4B040F80"/>
    <w:rsid w:val="4B09474D"/>
    <w:rsid w:val="4B0C13E7"/>
    <w:rsid w:val="4B0F2E6D"/>
    <w:rsid w:val="4B127866"/>
    <w:rsid w:val="4B141FD5"/>
    <w:rsid w:val="4B1D3CEE"/>
    <w:rsid w:val="4B20100E"/>
    <w:rsid w:val="4B272AFC"/>
    <w:rsid w:val="4B346E6C"/>
    <w:rsid w:val="4B404591"/>
    <w:rsid w:val="4B5B208F"/>
    <w:rsid w:val="4B5C1498"/>
    <w:rsid w:val="4B60035E"/>
    <w:rsid w:val="4B6978CC"/>
    <w:rsid w:val="4B8E4268"/>
    <w:rsid w:val="4BB01057"/>
    <w:rsid w:val="4BB24DCF"/>
    <w:rsid w:val="4BC05617"/>
    <w:rsid w:val="4BC36FDC"/>
    <w:rsid w:val="4BC845BE"/>
    <w:rsid w:val="4BEF60FB"/>
    <w:rsid w:val="4BFB6DBC"/>
    <w:rsid w:val="4C007878"/>
    <w:rsid w:val="4C257843"/>
    <w:rsid w:val="4C333802"/>
    <w:rsid w:val="4C396B7A"/>
    <w:rsid w:val="4C4243A5"/>
    <w:rsid w:val="4C472A46"/>
    <w:rsid w:val="4C4774DE"/>
    <w:rsid w:val="4C766BE1"/>
    <w:rsid w:val="4C803F9D"/>
    <w:rsid w:val="4C81005D"/>
    <w:rsid w:val="4C89473F"/>
    <w:rsid w:val="4C8D1CE3"/>
    <w:rsid w:val="4C927A2A"/>
    <w:rsid w:val="4C987391"/>
    <w:rsid w:val="4CB415B0"/>
    <w:rsid w:val="4CC70A27"/>
    <w:rsid w:val="4CD174D7"/>
    <w:rsid w:val="4CD91706"/>
    <w:rsid w:val="4CEA4C22"/>
    <w:rsid w:val="4CEB30C0"/>
    <w:rsid w:val="4CFA69F4"/>
    <w:rsid w:val="4CFD4469"/>
    <w:rsid w:val="4D01133A"/>
    <w:rsid w:val="4D062999"/>
    <w:rsid w:val="4D074C81"/>
    <w:rsid w:val="4D130F05"/>
    <w:rsid w:val="4D2D16C0"/>
    <w:rsid w:val="4D3123F7"/>
    <w:rsid w:val="4D3A5285"/>
    <w:rsid w:val="4D3B1341"/>
    <w:rsid w:val="4D447A09"/>
    <w:rsid w:val="4D5A15FB"/>
    <w:rsid w:val="4D5C1113"/>
    <w:rsid w:val="4D691BB1"/>
    <w:rsid w:val="4D7209E7"/>
    <w:rsid w:val="4D762EB5"/>
    <w:rsid w:val="4D816485"/>
    <w:rsid w:val="4D8207D1"/>
    <w:rsid w:val="4D9A3161"/>
    <w:rsid w:val="4DA92C10"/>
    <w:rsid w:val="4DC902C0"/>
    <w:rsid w:val="4DDC02E8"/>
    <w:rsid w:val="4E016700"/>
    <w:rsid w:val="4E022932"/>
    <w:rsid w:val="4E030315"/>
    <w:rsid w:val="4E0A0EF3"/>
    <w:rsid w:val="4E185BEB"/>
    <w:rsid w:val="4E1F41B3"/>
    <w:rsid w:val="4E240C46"/>
    <w:rsid w:val="4E355663"/>
    <w:rsid w:val="4E47121A"/>
    <w:rsid w:val="4E47615A"/>
    <w:rsid w:val="4E617896"/>
    <w:rsid w:val="4E6B0836"/>
    <w:rsid w:val="4E920181"/>
    <w:rsid w:val="4EBE69ED"/>
    <w:rsid w:val="4ED37474"/>
    <w:rsid w:val="4EE2777A"/>
    <w:rsid w:val="4EEF0BA4"/>
    <w:rsid w:val="4EEF4102"/>
    <w:rsid w:val="4EF6192B"/>
    <w:rsid w:val="4EFA15E0"/>
    <w:rsid w:val="4F11208F"/>
    <w:rsid w:val="4F1C387F"/>
    <w:rsid w:val="4F1D7F76"/>
    <w:rsid w:val="4F2501AA"/>
    <w:rsid w:val="4F2A6A35"/>
    <w:rsid w:val="4F2E5E48"/>
    <w:rsid w:val="4F321CF8"/>
    <w:rsid w:val="4F4A0E2B"/>
    <w:rsid w:val="4F4D27A5"/>
    <w:rsid w:val="4F4F1030"/>
    <w:rsid w:val="4F56412B"/>
    <w:rsid w:val="4F5C0944"/>
    <w:rsid w:val="4F6341DF"/>
    <w:rsid w:val="4F6E0DF1"/>
    <w:rsid w:val="4F7F32EB"/>
    <w:rsid w:val="4F852BAA"/>
    <w:rsid w:val="4F8C6EA1"/>
    <w:rsid w:val="4F8D2D63"/>
    <w:rsid w:val="4F997907"/>
    <w:rsid w:val="4F9D2AA9"/>
    <w:rsid w:val="4FA04BF4"/>
    <w:rsid w:val="4FA33FD8"/>
    <w:rsid w:val="4FA70496"/>
    <w:rsid w:val="4FA83D15"/>
    <w:rsid w:val="4FAB40CE"/>
    <w:rsid w:val="4FBB4B44"/>
    <w:rsid w:val="4FBE24D4"/>
    <w:rsid w:val="4FD01CC8"/>
    <w:rsid w:val="4FE4726A"/>
    <w:rsid w:val="4FE50529"/>
    <w:rsid w:val="4FEC2B32"/>
    <w:rsid w:val="4FFA5C69"/>
    <w:rsid w:val="500C40DE"/>
    <w:rsid w:val="50210270"/>
    <w:rsid w:val="502611D6"/>
    <w:rsid w:val="503E607D"/>
    <w:rsid w:val="504F57F8"/>
    <w:rsid w:val="505F4DFA"/>
    <w:rsid w:val="50657297"/>
    <w:rsid w:val="50666E98"/>
    <w:rsid w:val="50844F1D"/>
    <w:rsid w:val="508C5825"/>
    <w:rsid w:val="509C6FA3"/>
    <w:rsid w:val="50AF5D81"/>
    <w:rsid w:val="50B043B0"/>
    <w:rsid w:val="50B2312F"/>
    <w:rsid w:val="50E625D8"/>
    <w:rsid w:val="50EC15CF"/>
    <w:rsid w:val="510A5321"/>
    <w:rsid w:val="511C1106"/>
    <w:rsid w:val="511D538A"/>
    <w:rsid w:val="51387B25"/>
    <w:rsid w:val="513A0B4C"/>
    <w:rsid w:val="514801BA"/>
    <w:rsid w:val="51491D32"/>
    <w:rsid w:val="515F4C58"/>
    <w:rsid w:val="516528E4"/>
    <w:rsid w:val="516D10FA"/>
    <w:rsid w:val="516E26EB"/>
    <w:rsid w:val="516F69F9"/>
    <w:rsid w:val="51776CBE"/>
    <w:rsid w:val="51777111"/>
    <w:rsid w:val="51781629"/>
    <w:rsid w:val="51812C58"/>
    <w:rsid w:val="5191468F"/>
    <w:rsid w:val="51984924"/>
    <w:rsid w:val="51B35982"/>
    <w:rsid w:val="51BF4B8A"/>
    <w:rsid w:val="51D06BAC"/>
    <w:rsid w:val="51D86507"/>
    <w:rsid w:val="51EB2C51"/>
    <w:rsid w:val="521C5071"/>
    <w:rsid w:val="521E7500"/>
    <w:rsid w:val="52204E08"/>
    <w:rsid w:val="52371DC3"/>
    <w:rsid w:val="524A2724"/>
    <w:rsid w:val="5253183C"/>
    <w:rsid w:val="525D21EA"/>
    <w:rsid w:val="52782470"/>
    <w:rsid w:val="52980F6C"/>
    <w:rsid w:val="529F3F5A"/>
    <w:rsid w:val="52A1794C"/>
    <w:rsid w:val="52AA2E5B"/>
    <w:rsid w:val="52B81C94"/>
    <w:rsid w:val="52B85E27"/>
    <w:rsid w:val="52C73221"/>
    <w:rsid w:val="52C90C95"/>
    <w:rsid w:val="52CB1D9E"/>
    <w:rsid w:val="52CC5AB6"/>
    <w:rsid w:val="52DE6197"/>
    <w:rsid w:val="53027DDE"/>
    <w:rsid w:val="53180A1C"/>
    <w:rsid w:val="53203A1C"/>
    <w:rsid w:val="53487DC7"/>
    <w:rsid w:val="53650979"/>
    <w:rsid w:val="536E098B"/>
    <w:rsid w:val="53AF1641"/>
    <w:rsid w:val="53B10EFF"/>
    <w:rsid w:val="53B8319F"/>
    <w:rsid w:val="53C57A1E"/>
    <w:rsid w:val="53CC15DE"/>
    <w:rsid w:val="53D16BCF"/>
    <w:rsid w:val="53E61418"/>
    <w:rsid w:val="53EE0B9B"/>
    <w:rsid w:val="53F0150D"/>
    <w:rsid w:val="540074C5"/>
    <w:rsid w:val="54011C2A"/>
    <w:rsid w:val="540F1211"/>
    <w:rsid w:val="5423510A"/>
    <w:rsid w:val="54257B89"/>
    <w:rsid w:val="542B70A1"/>
    <w:rsid w:val="542B759B"/>
    <w:rsid w:val="54303C2D"/>
    <w:rsid w:val="54334E84"/>
    <w:rsid w:val="54383F40"/>
    <w:rsid w:val="543C6987"/>
    <w:rsid w:val="544339BE"/>
    <w:rsid w:val="544B3BF7"/>
    <w:rsid w:val="544D2FB3"/>
    <w:rsid w:val="544F180D"/>
    <w:rsid w:val="54772A41"/>
    <w:rsid w:val="54805F31"/>
    <w:rsid w:val="54856692"/>
    <w:rsid w:val="54935CE3"/>
    <w:rsid w:val="54A215FB"/>
    <w:rsid w:val="54C73D4E"/>
    <w:rsid w:val="54DA0EF3"/>
    <w:rsid w:val="54EA0EFE"/>
    <w:rsid w:val="54FA5F8B"/>
    <w:rsid w:val="54FE6850"/>
    <w:rsid w:val="55024449"/>
    <w:rsid w:val="55033157"/>
    <w:rsid w:val="550F6DEF"/>
    <w:rsid w:val="55241206"/>
    <w:rsid w:val="55300A1A"/>
    <w:rsid w:val="553C3F90"/>
    <w:rsid w:val="55467C7D"/>
    <w:rsid w:val="554E44D2"/>
    <w:rsid w:val="555E38D2"/>
    <w:rsid w:val="5561436A"/>
    <w:rsid w:val="55BA4D37"/>
    <w:rsid w:val="55C04E11"/>
    <w:rsid w:val="55C53723"/>
    <w:rsid w:val="55DD65FC"/>
    <w:rsid w:val="56034BF9"/>
    <w:rsid w:val="56091A90"/>
    <w:rsid w:val="56254254"/>
    <w:rsid w:val="56262D5D"/>
    <w:rsid w:val="56292132"/>
    <w:rsid w:val="562F45FB"/>
    <w:rsid w:val="563D5398"/>
    <w:rsid w:val="56534A0D"/>
    <w:rsid w:val="565F4B30"/>
    <w:rsid w:val="566C1158"/>
    <w:rsid w:val="567A0BDF"/>
    <w:rsid w:val="567F1A5A"/>
    <w:rsid w:val="568D6358"/>
    <w:rsid w:val="56953222"/>
    <w:rsid w:val="56AF5D4F"/>
    <w:rsid w:val="56CE25B0"/>
    <w:rsid w:val="56E04EE6"/>
    <w:rsid w:val="56EA7B13"/>
    <w:rsid w:val="56F05944"/>
    <w:rsid w:val="56FB2556"/>
    <w:rsid w:val="56FB5DFE"/>
    <w:rsid w:val="5703016E"/>
    <w:rsid w:val="57167097"/>
    <w:rsid w:val="572C66BA"/>
    <w:rsid w:val="573967B5"/>
    <w:rsid w:val="57505B1C"/>
    <w:rsid w:val="575136EE"/>
    <w:rsid w:val="575710CE"/>
    <w:rsid w:val="57624E2B"/>
    <w:rsid w:val="57686E25"/>
    <w:rsid w:val="57695BD7"/>
    <w:rsid w:val="57966C74"/>
    <w:rsid w:val="5798756F"/>
    <w:rsid w:val="579B49DC"/>
    <w:rsid w:val="57B6538B"/>
    <w:rsid w:val="57BF7717"/>
    <w:rsid w:val="57CB63E3"/>
    <w:rsid w:val="57D1203B"/>
    <w:rsid w:val="57D53B36"/>
    <w:rsid w:val="57E02CC4"/>
    <w:rsid w:val="57E82910"/>
    <w:rsid w:val="57F638E5"/>
    <w:rsid w:val="57FA30DD"/>
    <w:rsid w:val="58017048"/>
    <w:rsid w:val="580A1290"/>
    <w:rsid w:val="581B0827"/>
    <w:rsid w:val="582245DD"/>
    <w:rsid w:val="58377467"/>
    <w:rsid w:val="584B3554"/>
    <w:rsid w:val="58591837"/>
    <w:rsid w:val="58596B1C"/>
    <w:rsid w:val="585B5FFA"/>
    <w:rsid w:val="58685E6E"/>
    <w:rsid w:val="586B09A2"/>
    <w:rsid w:val="587D2B82"/>
    <w:rsid w:val="58947CEE"/>
    <w:rsid w:val="58A41F44"/>
    <w:rsid w:val="58AC10F4"/>
    <w:rsid w:val="58B90ED0"/>
    <w:rsid w:val="58B94155"/>
    <w:rsid w:val="58BF2602"/>
    <w:rsid w:val="58CE33D6"/>
    <w:rsid w:val="58D7154E"/>
    <w:rsid w:val="59034EBC"/>
    <w:rsid w:val="59380693"/>
    <w:rsid w:val="59442B2D"/>
    <w:rsid w:val="594E58DE"/>
    <w:rsid w:val="598502C4"/>
    <w:rsid w:val="5999312B"/>
    <w:rsid w:val="599D70BF"/>
    <w:rsid w:val="59A55F73"/>
    <w:rsid w:val="59B83784"/>
    <w:rsid w:val="59B91297"/>
    <w:rsid w:val="59CC3649"/>
    <w:rsid w:val="59D14FBA"/>
    <w:rsid w:val="59E41F31"/>
    <w:rsid w:val="59ED3836"/>
    <w:rsid w:val="59F36E38"/>
    <w:rsid w:val="59F45DC1"/>
    <w:rsid w:val="59F532E8"/>
    <w:rsid w:val="59F60B71"/>
    <w:rsid w:val="59FE18E3"/>
    <w:rsid w:val="5A017EC5"/>
    <w:rsid w:val="5A076B0E"/>
    <w:rsid w:val="5A137FA2"/>
    <w:rsid w:val="5A2C0443"/>
    <w:rsid w:val="5A2D5ABC"/>
    <w:rsid w:val="5A3F4E0F"/>
    <w:rsid w:val="5A5542CD"/>
    <w:rsid w:val="5A6574B1"/>
    <w:rsid w:val="5A6A3685"/>
    <w:rsid w:val="5A7C7089"/>
    <w:rsid w:val="5A7F47D6"/>
    <w:rsid w:val="5A8309AB"/>
    <w:rsid w:val="5A860BA7"/>
    <w:rsid w:val="5AA47501"/>
    <w:rsid w:val="5AA601F5"/>
    <w:rsid w:val="5AAF08EB"/>
    <w:rsid w:val="5AB021BB"/>
    <w:rsid w:val="5AB8746E"/>
    <w:rsid w:val="5ACA0189"/>
    <w:rsid w:val="5ACC7530"/>
    <w:rsid w:val="5AD10820"/>
    <w:rsid w:val="5AD60E78"/>
    <w:rsid w:val="5ADC46C7"/>
    <w:rsid w:val="5ADC754F"/>
    <w:rsid w:val="5AFF60FA"/>
    <w:rsid w:val="5B0B15AE"/>
    <w:rsid w:val="5B0C2A3E"/>
    <w:rsid w:val="5B0D2022"/>
    <w:rsid w:val="5B0D587A"/>
    <w:rsid w:val="5B1A0C93"/>
    <w:rsid w:val="5B21701F"/>
    <w:rsid w:val="5B2D5620"/>
    <w:rsid w:val="5B36238E"/>
    <w:rsid w:val="5B4E5A90"/>
    <w:rsid w:val="5B55572A"/>
    <w:rsid w:val="5B5D296D"/>
    <w:rsid w:val="5B6873FF"/>
    <w:rsid w:val="5B6A5AA0"/>
    <w:rsid w:val="5B77749C"/>
    <w:rsid w:val="5B8901D2"/>
    <w:rsid w:val="5B8F2A37"/>
    <w:rsid w:val="5B94004E"/>
    <w:rsid w:val="5B9E0ECC"/>
    <w:rsid w:val="5BA74242"/>
    <w:rsid w:val="5BB150D4"/>
    <w:rsid w:val="5BB27AED"/>
    <w:rsid w:val="5BBD3EF4"/>
    <w:rsid w:val="5BC00F33"/>
    <w:rsid w:val="5BD207FE"/>
    <w:rsid w:val="5BF71945"/>
    <w:rsid w:val="5BFD3F6A"/>
    <w:rsid w:val="5C076A71"/>
    <w:rsid w:val="5C0F3B78"/>
    <w:rsid w:val="5C1271C4"/>
    <w:rsid w:val="5C1A6133"/>
    <w:rsid w:val="5C21628F"/>
    <w:rsid w:val="5C566FBE"/>
    <w:rsid w:val="5C5B556F"/>
    <w:rsid w:val="5C671DA5"/>
    <w:rsid w:val="5C6F4617"/>
    <w:rsid w:val="5C6F51D6"/>
    <w:rsid w:val="5C72725B"/>
    <w:rsid w:val="5C734600"/>
    <w:rsid w:val="5C761E49"/>
    <w:rsid w:val="5C821D98"/>
    <w:rsid w:val="5C960B0D"/>
    <w:rsid w:val="5C960C53"/>
    <w:rsid w:val="5C97193F"/>
    <w:rsid w:val="5C977F0B"/>
    <w:rsid w:val="5CE173E2"/>
    <w:rsid w:val="5CE9261B"/>
    <w:rsid w:val="5CEF73FE"/>
    <w:rsid w:val="5CFD4951"/>
    <w:rsid w:val="5D057363"/>
    <w:rsid w:val="5D0A471E"/>
    <w:rsid w:val="5D0C00B7"/>
    <w:rsid w:val="5D0D4643"/>
    <w:rsid w:val="5D170F36"/>
    <w:rsid w:val="5D18611C"/>
    <w:rsid w:val="5D1A54AB"/>
    <w:rsid w:val="5D1A7EEE"/>
    <w:rsid w:val="5D316B24"/>
    <w:rsid w:val="5D4B6A0E"/>
    <w:rsid w:val="5D4F5AA7"/>
    <w:rsid w:val="5D4F76B9"/>
    <w:rsid w:val="5D506F37"/>
    <w:rsid w:val="5D5264A3"/>
    <w:rsid w:val="5D581D64"/>
    <w:rsid w:val="5D5A2F86"/>
    <w:rsid w:val="5D752101"/>
    <w:rsid w:val="5D77155C"/>
    <w:rsid w:val="5D837D30"/>
    <w:rsid w:val="5D995DEF"/>
    <w:rsid w:val="5D9E315E"/>
    <w:rsid w:val="5DA754B5"/>
    <w:rsid w:val="5DB05C94"/>
    <w:rsid w:val="5DC5548A"/>
    <w:rsid w:val="5DCD77BF"/>
    <w:rsid w:val="5DD25325"/>
    <w:rsid w:val="5DD519C7"/>
    <w:rsid w:val="5DDF1B3B"/>
    <w:rsid w:val="5DE332F3"/>
    <w:rsid w:val="5DEC57D0"/>
    <w:rsid w:val="5DF002D3"/>
    <w:rsid w:val="5DF26F5F"/>
    <w:rsid w:val="5E1913AD"/>
    <w:rsid w:val="5E1C78F0"/>
    <w:rsid w:val="5E2C7736"/>
    <w:rsid w:val="5E457806"/>
    <w:rsid w:val="5E6C312F"/>
    <w:rsid w:val="5E6D5E2A"/>
    <w:rsid w:val="5E717088"/>
    <w:rsid w:val="5E8740BD"/>
    <w:rsid w:val="5E8D4648"/>
    <w:rsid w:val="5E9A1FAA"/>
    <w:rsid w:val="5E9C3F9F"/>
    <w:rsid w:val="5E9C3FCB"/>
    <w:rsid w:val="5E9D53B0"/>
    <w:rsid w:val="5EAE2A47"/>
    <w:rsid w:val="5EAF519E"/>
    <w:rsid w:val="5EB66C88"/>
    <w:rsid w:val="5EBD3D5F"/>
    <w:rsid w:val="5EC86F85"/>
    <w:rsid w:val="5ED54006"/>
    <w:rsid w:val="5ED6097D"/>
    <w:rsid w:val="5EFA5D57"/>
    <w:rsid w:val="5EFB3AE3"/>
    <w:rsid w:val="5F0B4BE5"/>
    <w:rsid w:val="5F110EE4"/>
    <w:rsid w:val="5F247D21"/>
    <w:rsid w:val="5F292315"/>
    <w:rsid w:val="5F4B3F31"/>
    <w:rsid w:val="5F5A6BEC"/>
    <w:rsid w:val="5F5E2C0B"/>
    <w:rsid w:val="5F976AFA"/>
    <w:rsid w:val="5FAF32F9"/>
    <w:rsid w:val="5FB121C2"/>
    <w:rsid w:val="5FB136E9"/>
    <w:rsid w:val="5FB605A7"/>
    <w:rsid w:val="5FB75D25"/>
    <w:rsid w:val="5FDA52B8"/>
    <w:rsid w:val="5FDE6D76"/>
    <w:rsid w:val="5FE25988"/>
    <w:rsid w:val="60100CEB"/>
    <w:rsid w:val="60191591"/>
    <w:rsid w:val="601E25DC"/>
    <w:rsid w:val="601E4AC8"/>
    <w:rsid w:val="60230DB7"/>
    <w:rsid w:val="60274812"/>
    <w:rsid w:val="602C3436"/>
    <w:rsid w:val="602D017B"/>
    <w:rsid w:val="602D3152"/>
    <w:rsid w:val="603D6017"/>
    <w:rsid w:val="604233FC"/>
    <w:rsid w:val="60606A2D"/>
    <w:rsid w:val="6063448E"/>
    <w:rsid w:val="60773FC1"/>
    <w:rsid w:val="607F4493"/>
    <w:rsid w:val="60945816"/>
    <w:rsid w:val="609C557A"/>
    <w:rsid w:val="60A7370A"/>
    <w:rsid w:val="60B13546"/>
    <w:rsid w:val="60B94573"/>
    <w:rsid w:val="60E012BC"/>
    <w:rsid w:val="60E56B30"/>
    <w:rsid w:val="60EF61E1"/>
    <w:rsid w:val="60F74389"/>
    <w:rsid w:val="60F8548C"/>
    <w:rsid w:val="60FF3132"/>
    <w:rsid w:val="61156919"/>
    <w:rsid w:val="61241E74"/>
    <w:rsid w:val="612C2394"/>
    <w:rsid w:val="613100ED"/>
    <w:rsid w:val="61391AF7"/>
    <w:rsid w:val="61421600"/>
    <w:rsid w:val="614327D9"/>
    <w:rsid w:val="61665FE8"/>
    <w:rsid w:val="617821BF"/>
    <w:rsid w:val="618E7876"/>
    <w:rsid w:val="61900ECE"/>
    <w:rsid w:val="619B19DB"/>
    <w:rsid w:val="61AF6277"/>
    <w:rsid w:val="61C16D61"/>
    <w:rsid w:val="61C251E9"/>
    <w:rsid w:val="61CA4598"/>
    <w:rsid w:val="61E379FD"/>
    <w:rsid w:val="61F0599A"/>
    <w:rsid w:val="61F17166"/>
    <w:rsid w:val="620553BA"/>
    <w:rsid w:val="62057762"/>
    <w:rsid w:val="62136FEC"/>
    <w:rsid w:val="62195750"/>
    <w:rsid w:val="622104E9"/>
    <w:rsid w:val="622E4737"/>
    <w:rsid w:val="623065F6"/>
    <w:rsid w:val="623460E6"/>
    <w:rsid w:val="62373011"/>
    <w:rsid w:val="624B52F2"/>
    <w:rsid w:val="62532EAD"/>
    <w:rsid w:val="6260512D"/>
    <w:rsid w:val="6280189F"/>
    <w:rsid w:val="62883DD5"/>
    <w:rsid w:val="628927D1"/>
    <w:rsid w:val="629F56DA"/>
    <w:rsid w:val="62A5703A"/>
    <w:rsid w:val="62B33E1A"/>
    <w:rsid w:val="62B55D67"/>
    <w:rsid w:val="62BD6B95"/>
    <w:rsid w:val="62C456BC"/>
    <w:rsid w:val="62CC1714"/>
    <w:rsid w:val="62DD2940"/>
    <w:rsid w:val="62E62CA1"/>
    <w:rsid w:val="62E84659"/>
    <w:rsid w:val="62E95227"/>
    <w:rsid w:val="62FD755E"/>
    <w:rsid w:val="63054781"/>
    <w:rsid w:val="6307644E"/>
    <w:rsid w:val="63094F72"/>
    <w:rsid w:val="630D78A9"/>
    <w:rsid w:val="630F3BDE"/>
    <w:rsid w:val="6312589D"/>
    <w:rsid w:val="631B7591"/>
    <w:rsid w:val="632A20A1"/>
    <w:rsid w:val="63351F9D"/>
    <w:rsid w:val="63360237"/>
    <w:rsid w:val="63481D89"/>
    <w:rsid w:val="635269C6"/>
    <w:rsid w:val="63565EA3"/>
    <w:rsid w:val="636F404A"/>
    <w:rsid w:val="637A0F67"/>
    <w:rsid w:val="637B71B0"/>
    <w:rsid w:val="637F0DEC"/>
    <w:rsid w:val="638258A8"/>
    <w:rsid w:val="63872D68"/>
    <w:rsid w:val="638B61DA"/>
    <w:rsid w:val="63A2410B"/>
    <w:rsid w:val="63D00FE0"/>
    <w:rsid w:val="63D63454"/>
    <w:rsid w:val="63D81CD3"/>
    <w:rsid w:val="63D8497C"/>
    <w:rsid w:val="63E3587B"/>
    <w:rsid w:val="6402094F"/>
    <w:rsid w:val="641A649B"/>
    <w:rsid w:val="641C4108"/>
    <w:rsid w:val="64296DCF"/>
    <w:rsid w:val="642F684B"/>
    <w:rsid w:val="644B5EF3"/>
    <w:rsid w:val="645E6690"/>
    <w:rsid w:val="64625345"/>
    <w:rsid w:val="6464454E"/>
    <w:rsid w:val="64673BE0"/>
    <w:rsid w:val="646B48B3"/>
    <w:rsid w:val="647153D0"/>
    <w:rsid w:val="6488118D"/>
    <w:rsid w:val="64A530B5"/>
    <w:rsid w:val="64A77A68"/>
    <w:rsid w:val="64A94329"/>
    <w:rsid w:val="64AA4DA6"/>
    <w:rsid w:val="64B27B27"/>
    <w:rsid w:val="64BB7D27"/>
    <w:rsid w:val="64BC5967"/>
    <w:rsid w:val="64C40335"/>
    <w:rsid w:val="64C52205"/>
    <w:rsid w:val="64CB151F"/>
    <w:rsid w:val="64CE1644"/>
    <w:rsid w:val="64D049E6"/>
    <w:rsid w:val="64D4770D"/>
    <w:rsid w:val="64D7059F"/>
    <w:rsid w:val="64DE490E"/>
    <w:rsid w:val="64E4244C"/>
    <w:rsid w:val="64E631EE"/>
    <w:rsid w:val="64E85FAE"/>
    <w:rsid w:val="64EE13ED"/>
    <w:rsid w:val="64F47DAF"/>
    <w:rsid w:val="64FD41BE"/>
    <w:rsid w:val="650173B8"/>
    <w:rsid w:val="65044496"/>
    <w:rsid w:val="65062A20"/>
    <w:rsid w:val="65136815"/>
    <w:rsid w:val="65297716"/>
    <w:rsid w:val="652E7C69"/>
    <w:rsid w:val="65516FAF"/>
    <w:rsid w:val="655905C7"/>
    <w:rsid w:val="65596836"/>
    <w:rsid w:val="656071F2"/>
    <w:rsid w:val="65746F8E"/>
    <w:rsid w:val="6578491E"/>
    <w:rsid w:val="658D448B"/>
    <w:rsid w:val="659640F8"/>
    <w:rsid w:val="65AD25A3"/>
    <w:rsid w:val="65AF062D"/>
    <w:rsid w:val="65BE5CBA"/>
    <w:rsid w:val="65C37691"/>
    <w:rsid w:val="65EA5B9F"/>
    <w:rsid w:val="65FB4D7F"/>
    <w:rsid w:val="65FF6A0B"/>
    <w:rsid w:val="660E39B6"/>
    <w:rsid w:val="66175DA4"/>
    <w:rsid w:val="661F552E"/>
    <w:rsid w:val="662621EA"/>
    <w:rsid w:val="663310B5"/>
    <w:rsid w:val="665E7874"/>
    <w:rsid w:val="667770C8"/>
    <w:rsid w:val="66893264"/>
    <w:rsid w:val="66943114"/>
    <w:rsid w:val="66A05346"/>
    <w:rsid w:val="66AE6EB1"/>
    <w:rsid w:val="66B91595"/>
    <w:rsid w:val="66C537B1"/>
    <w:rsid w:val="66CD491A"/>
    <w:rsid w:val="66D11AE0"/>
    <w:rsid w:val="66E071CA"/>
    <w:rsid w:val="66E5012C"/>
    <w:rsid w:val="66F00861"/>
    <w:rsid w:val="66F47B29"/>
    <w:rsid w:val="66F72411"/>
    <w:rsid w:val="66FC4686"/>
    <w:rsid w:val="6704099E"/>
    <w:rsid w:val="67123FA7"/>
    <w:rsid w:val="672E1E7C"/>
    <w:rsid w:val="673F4FEB"/>
    <w:rsid w:val="67424A9D"/>
    <w:rsid w:val="67463AE1"/>
    <w:rsid w:val="674F0EF1"/>
    <w:rsid w:val="67541089"/>
    <w:rsid w:val="675431A8"/>
    <w:rsid w:val="675D37BA"/>
    <w:rsid w:val="67766449"/>
    <w:rsid w:val="679602B3"/>
    <w:rsid w:val="679D79C6"/>
    <w:rsid w:val="67BA00FE"/>
    <w:rsid w:val="67BD2859"/>
    <w:rsid w:val="67CD59E1"/>
    <w:rsid w:val="67E45EB9"/>
    <w:rsid w:val="67E64718"/>
    <w:rsid w:val="67E663F4"/>
    <w:rsid w:val="680150A3"/>
    <w:rsid w:val="681616A8"/>
    <w:rsid w:val="682063F4"/>
    <w:rsid w:val="682B1D3A"/>
    <w:rsid w:val="6838196E"/>
    <w:rsid w:val="683B006F"/>
    <w:rsid w:val="68460921"/>
    <w:rsid w:val="6853303E"/>
    <w:rsid w:val="686C0750"/>
    <w:rsid w:val="68751259"/>
    <w:rsid w:val="687B3BF4"/>
    <w:rsid w:val="687F4A4A"/>
    <w:rsid w:val="6886628D"/>
    <w:rsid w:val="6889642B"/>
    <w:rsid w:val="689F4EFF"/>
    <w:rsid w:val="68AB4814"/>
    <w:rsid w:val="68B22BB1"/>
    <w:rsid w:val="68D92120"/>
    <w:rsid w:val="68E43D0F"/>
    <w:rsid w:val="68F154E9"/>
    <w:rsid w:val="68FF69A3"/>
    <w:rsid w:val="69036813"/>
    <w:rsid w:val="691E7DAD"/>
    <w:rsid w:val="69217422"/>
    <w:rsid w:val="692547AA"/>
    <w:rsid w:val="69283B0C"/>
    <w:rsid w:val="69307153"/>
    <w:rsid w:val="69361846"/>
    <w:rsid w:val="69436B19"/>
    <w:rsid w:val="694877C2"/>
    <w:rsid w:val="6949691B"/>
    <w:rsid w:val="69586FD5"/>
    <w:rsid w:val="69686F17"/>
    <w:rsid w:val="697B6DE5"/>
    <w:rsid w:val="699F2601"/>
    <w:rsid w:val="699F4B8E"/>
    <w:rsid w:val="69AF7E62"/>
    <w:rsid w:val="69B4216A"/>
    <w:rsid w:val="69B940FF"/>
    <w:rsid w:val="69C05D43"/>
    <w:rsid w:val="69C510B5"/>
    <w:rsid w:val="69C77B31"/>
    <w:rsid w:val="69CE6936"/>
    <w:rsid w:val="69E142D6"/>
    <w:rsid w:val="69FC4F90"/>
    <w:rsid w:val="6A10655E"/>
    <w:rsid w:val="6A184540"/>
    <w:rsid w:val="6A1D3904"/>
    <w:rsid w:val="6A1F376B"/>
    <w:rsid w:val="6A380393"/>
    <w:rsid w:val="6A3B727C"/>
    <w:rsid w:val="6A486BD3"/>
    <w:rsid w:val="6A4B4635"/>
    <w:rsid w:val="6A5052F7"/>
    <w:rsid w:val="6A5C7BA7"/>
    <w:rsid w:val="6A667955"/>
    <w:rsid w:val="6A6923D4"/>
    <w:rsid w:val="6A6C326E"/>
    <w:rsid w:val="6A733ABE"/>
    <w:rsid w:val="6A820BD7"/>
    <w:rsid w:val="6A865D5A"/>
    <w:rsid w:val="6A917BA6"/>
    <w:rsid w:val="6A962ABC"/>
    <w:rsid w:val="6A966E76"/>
    <w:rsid w:val="6AA466AF"/>
    <w:rsid w:val="6AA46CD4"/>
    <w:rsid w:val="6AA656A7"/>
    <w:rsid w:val="6AAE27AE"/>
    <w:rsid w:val="6AAF7DED"/>
    <w:rsid w:val="6ABD36E0"/>
    <w:rsid w:val="6AC36259"/>
    <w:rsid w:val="6AD57EEA"/>
    <w:rsid w:val="6AE334A7"/>
    <w:rsid w:val="6AF41623"/>
    <w:rsid w:val="6AFF1BD7"/>
    <w:rsid w:val="6B2C25A3"/>
    <w:rsid w:val="6B2E74D5"/>
    <w:rsid w:val="6B3059C9"/>
    <w:rsid w:val="6B3A1B18"/>
    <w:rsid w:val="6B3A249E"/>
    <w:rsid w:val="6B5D10F2"/>
    <w:rsid w:val="6B686DD0"/>
    <w:rsid w:val="6B7636FD"/>
    <w:rsid w:val="6B873380"/>
    <w:rsid w:val="6B8754D9"/>
    <w:rsid w:val="6B8935E3"/>
    <w:rsid w:val="6B8B3974"/>
    <w:rsid w:val="6B936CBA"/>
    <w:rsid w:val="6BA06B48"/>
    <w:rsid w:val="6BAD4A8E"/>
    <w:rsid w:val="6BC42A06"/>
    <w:rsid w:val="6BC563BE"/>
    <w:rsid w:val="6BD30581"/>
    <w:rsid w:val="6BD73784"/>
    <w:rsid w:val="6C0104AD"/>
    <w:rsid w:val="6C04098F"/>
    <w:rsid w:val="6C0924C8"/>
    <w:rsid w:val="6C184B65"/>
    <w:rsid w:val="6C1D03B1"/>
    <w:rsid w:val="6C31323E"/>
    <w:rsid w:val="6C433FB2"/>
    <w:rsid w:val="6C476C5F"/>
    <w:rsid w:val="6C4C5772"/>
    <w:rsid w:val="6C7757EC"/>
    <w:rsid w:val="6C77790A"/>
    <w:rsid w:val="6C783074"/>
    <w:rsid w:val="6C861C34"/>
    <w:rsid w:val="6C880067"/>
    <w:rsid w:val="6C897051"/>
    <w:rsid w:val="6C897DF4"/>
    <w:rsid w:val="6C8C6B1F"/>
    <w:rsid w:val="6C910003"/>
    <w:rsid w:val="6C936F62"/>
    <w:rsid w:val="6C96061D"/>
    <w:rsid w:val="6C9767BE"/>
    <w:rsid w:val="6C983E41"/>
    <w:rsid w:val="6CAB51F7"/>
    <w:rsid w:val="6CCD5DA4"/>
    <w:rsid w:val="6CD27E81"/>
    <w:rsid w:val="6CD6590E"/>
    <w:rsid w:val="6D1F2DC9"/>
    <w:rsid w:val="6D1F3432"/>
    <w:rsid w:val="6D391095"/>
    <w:rsid w:val="6D39258A"/>
    <w:rsid w:val="6D57537F"/>
    <w:rsid w:val="6D5D1AEB"/>
    <w:rsid w:val="6D6C6303"/>
    <w:rsid w:val="6D7678CB"/>
    <w:rsid w:val="6D793547"/>
    <w:rsid w:val="6D8725C9"/>
    <w:rsid w:val="6D923390"/>
    <w:rsid w:val="6DB4632D"/>
    <w:rsid w:val="6DC124D6"/>
    <w:rsid w:val="6DC725C4"/>
    <w:rsid w:val="6DCF13B9"/>
    <w:rsid w:val="6DD153DD"/>
    <w:rsid w:val="6DD646D2"/>
    <w:rsid w:val="6DF92720"/>
    <w:rsid w:val="6E0077C5"/>
    <w:rsid w:val="6E160805"/>
    <w:rsid w:val="6E1719C5"/>
    <w:rsid w:val="6E1D27E4"/>
    <w:rsid w:val="6E243769"/>
    <w:rsid w:val="6E2F4B25"/>
    <w:rsid w:val="6E5C4C24"/>
    <w:rsid w:val="6E736953"/>
    <w:rsid w:val="6E7D0E15"/>
    <w:rsid w:val="6E7E56E5"/>
    <w:rsid w:val="6E8B3532"/>
    <w:rsid w:val="6E9A6655"/>
    <w:rsid w:val="6EA168B2"/>
    <w:rsid w:val="6EA56413"/>
    <w:rsid w:val="6EA66BA1"/>
    <w:rsid w:val="6EA83778"/>
    <w:rsid w:val="6EAE6153"/>
    <w:rsid w:val="6EBC3111"/>
    <w:rsid w:val="6EBE6CA1"/>
    <w:rsid w:val="6ED177DA"/>
    <w:rsid w:val="6ED94D24"/>
    <w:rsid w:val="6EE22EA3"/>
    <w:rsid w:val="6EEB39A3"/>
    <w:rsid w:val="6EF1395B"/>
    <w:rsid w:val="6F184EDD"/>
    <w:rsid w:val="6F1F462F"/>
    <w:rsid w:val="6F2127F1"/>
    <w:rsid w:val="6F340438"/>
    <w:rsid w:val="6F362328"/>
    <w:rsid w:val="6F456BCF"/>
    <w:rsid w:val="6F640CA1"/>
    <w:rsid w:val="6F68428C"/>
    <w:rsid w:val="6F6A1FD2"/>
    <w:rsid w:val="6F6C0941"/>
    <w:rsid w:val="6F6F1CDB"/>
    <w:rsid w:val="6F794E65"/>
    <w:rsid w:val="6F7B0D27"/>
    <w:rsid w:val="6F7C10CD"/>
    <w:rsid w:val="6F7F0896"/>
    <w:rsid w:val="6F8826E6"/>
    <w:rsid w:val="6FB033C5"/>
    <w:rsid w:val="6FB62D05"/>
    <w:rsid w:val="6FBF2891"/>
    <w:rsid w:val="6FBF7594"/>
    <w:rsid w:val="6FC82171"/>
    <w:rsid w:val="6FCF56A0"/>
    <w:rsid w:val="6FDD6E0A"/>
    <w:rsid w:val="6FF31B41"/>
    <w:rsid w:val="700D4B3B"/>
    <w:rsid w:val="701B02D2"/>
    <w:rsid w:val="70242DD6"/>
    <w:rsid w:val="703C0A4B"/>
    <w:rsid w:val="704756A7"/>
    <w:rsid w:val="704C4F43"/>
    <w:rsid w:val="705821AE"/>
    <w:rsid w:val="705B5186"/>
    <w:rsid w:val="705C58C2"/>
    <w:rsid w:val="706551F1"/>
    <w:rsid w:val="70657DB3"/>
    <w:rsid w:val="706867DC"/>
    <w:rsid w:val="706F364A"/>
    <w:rsid w:val="707575E2"/>
    <w:rsid w:val="70841738"/>
    <w:rsid w:val="708741CD"/>
    <w:rsid w:val="708A454F"/>
    <w:rsid w:val="709220C0"/>
    <w:rsid w:val="70A71A7C"/>
    <w:rsid w:val="70C11A65"/>
    <w:rsid w:val="70C95E1F"/>
    <w:rsid w:val="70CF5564"/>
    <w:rsid w:val="70DD78D4"/>
    <w:rsid w:val="70DE78F6"/>
    <w:rsid w:val="70F02E64"/>
    <w:rsid w:val="70F4393A"/>
    <w:rsid w:val="70FD7BBD"/>
    <w:rsid w:val="710571C5"/>
    <w:rsid w:val="71077AAA"/>
    <w:rsid w:val="71224102"/>
    <w:rsid w:val="71310932"/>
    <w:rsid w:val="713D0E7A"/>
    <w:rsid w:val="714F371C"/>
    <w:rsid w:val="71550BD1"/>
    <w:rsid w:val="717255AB"/>
    <w:rsid w:val="71773872"/>
    <w:rsid w:val="717958C4"/>
    <w:rsid w:val="718129CA"/>
    <w:rsid w:val="71823757"/>
    <w:rsid w:val="71823AE6"/>
    <w:rsid w:val="719C3BFC"/>
    <w:rsid w:val="719D68B5"/>
    <w:rsid w:val="71A1306D"/>
    <w:rsid w:val="71AD1364"/>
    <w:rsid w:val="71E9023A"/>
    <w:rsid w:val="71F17B50"/>
    <w:rsid w:val="71F23ACC"/>
    <w:rsid w:val="71F8729E"/>
    <w:rsid w:val="720869BE"/>
    <w:rsid w:val="721528CF"/>
    <w:rsid w:val="721970A7"/>
    <w:rsid w:val="722E6C34"/>
    <w:rsid w:val="7239220A"/>
    <w:rsid w:val="72406B13"/>
    <w:rsid w:val="72461F6E"/>
    <w:rsid w:val="72521F17"/>
    <w:rsid w:val="72573BE6"/>
    <w:rsid w:val="72576F4B"/>
    <w:rsid w:val="725D14A0"/>
    <w:rsid w:val="725F19AD"/>
    <w:rsid w:val="72607175"/>
    <w:rsid w:val="7279311D"/>
    <w:rsid w:val="727D609F"/>
    <w:rsid w:val="729430D8"/>
    <w:rsid w:val="729D1E8E"/>
    <w:rsid w:val="72AA7CFF"/>
    <w:rsid w:val="72AD5040"/>
    <w:rsid w:val="72BD3ED6"/>
    <w:rsid w:val="72E2741E"/>
    <w:rsid w:val="72EA40C2"/>
    <w:rsid w:val="731C379C"/>
    <w:rsid w:val="734E6DC5"/>
    <w:rsid w:val="73585235"/>
    <w:rsid w:val="735859AD"/>
    <w:rsid w:val="7363682B"/>
    <w:rsid w:val="73744FD1"/>
    <w:rsid w:val="73750185"/>
    <w:rsid w:val="73770E6E"/>
    <w:rsid w:val="737A7E15"/>
    <w:rsid w:val="738665A9"/>
    <w:rsid w:val="738F2F5B"/>
    <w:rsid w:val="739369E5"/>
    <w:rsid w:val="7393782D"/>
    <w:rsid w:val="739A3915"/>
    <w:rsid w:val="73A2139D"/>
    <w:rsid w:val="73A557C7"/>
    <w:rsid w:val="73C75C65"/>
    <w:rsid w:val="73CE266A"/>
    <w:rsid w:val="73D2575F"/>
    <w:rsid w:val="73F67EEE"/>
    <w:rsid w:val="73F87BC9"/>
    <w:rsid w:val="73FA3B6C"/>
    <w:rsid w:val="740B67B8"/>
    <w:rsid w:val="74111F55"/>
    <w:rsid w:val="74327BAF"/>
    <w:rsid w:val="7445677F"/>
    <w:rsid w:val="745D20BC"/>
    <w:rsid w:val="7477361A"/>
    <w:rsid w:val="747F0519"/>
    <w:rsid w:val="748A7AD8"/>
    <w:rsid w:val="749D5D6D"/>
    <w:rsid w:val="74AA5094"/>
    <w:rsid w:val="74AB4236"/>
    <w:rsid w:val="74B34636"/>
    <w:rsid w:val="74BD44DD"/>
    <w:rsid w:val="74C64D47"/>
    <w:rsid w:val="74D767C8"/>
    <w:rsid w:val="74E84A98"/>
    <w:rsid w:val="74E90FB2"/>
    <w:rsid w:val="74F35815"/>
    <w:rsid w:val="75044279"/>
    <w:rsid w:val="75120F5C"/>
    <w:rsid w:val="75243D99"/>
    <w:rsid w:val="752723EB"/>
    <w:rsid w:val="753541F8"/>
    <w:rsid w:val="753F1F1C"/>
    <w:rsid w:val="75423F7C"/>
    <w:rsid w:val="75432FAA"/>
    <w:rsid w:val="75482155"/>
    <w:rsid w:val="754D324A"/>
    <w:rsid w:val="75536A1F"/>
    <w:rsid w:val="75633692"/>
    <w:rsid w:val="75711E21"/>
    <w:rsid w:val="75755BB9"/>
    <w:rsid w:val="758522C1"/>
    <w:rsid w:val="758E1144"/>
    <w:rsid w:val="7597644F"/>
    <w:rsid w:val="75A87308"/>
    <w:rsid w:val="75A91EC8"/>
    <w:rsid w:val="75AB4618"/>
    <w:rsid w:val="75AC08E0"/>
    <w:rsid w:val="75AE51B3"/>
    <w:rsid w:val="75C042BA"/>
    <w:rsid w:val="75C25481"/>
    <w:rsid w:val="75C61618"/>
    <w:rsid w:val="75C95155"/>
    <w:rsid w:val="75CB58BA"/>
    <w:rsid w:val="75D96C6A"/>
    <w:rsid w:val="75DF38D5"/>
    <w:rsid w:val="75E0015B"/>
    <w:rsid w:val="75EA3234"/>
    <w:rsid w:val="75F0092C"/>
    <w:rsid w:val="75F14B1E"/>
    <w:rsid w:val="76094B02"/>
    <w:rsid w:val="761078AA"/>
    <w:rsid w:val="76173EFC"/>
    <w:rsid w:val="76385C7A"/>
    <w:rsid w:val="76676D22"/>
    <w:rsid w:val="766A29C6"/>
    <w:rsid w:val="76813338"/>
    <w:rsid w:val="76900054"/>
    <w:rsid w:val="76A55F2D"/>
    <w:rsid w:val="76A923A3"/>
    <w:rsid w:val="76F040FD"/>
    <w:rsid w:val="76FD79C4"/>
    <w:rsid w:val="7703296C"/>
    <w:rsid w:val="77083305"/>
    <w:rsid w:val="771A4B76"/>
    <w:rsid w:val="77223669"/>
    <w:rsid w:val="772F2CBC"/>
    <w:rsid w:val="77351705"/>
    <w:rsid w:val="773A4CFA"/>
    <w:rsid w:val="77456248"/>
    <w:rsid w:val="7746095F"/>
    <w:rsid w:val="77547606"/>
    <w:rsid w:val="7785424B"/>
    <w:rsid w:val="77925897"/>
    <w:rsid w:val="77957034"/>
    <w:rsid w:val="7797336B"/>
    <w:rsid w:val="779A6594"/>
    <w:rsid w:val="77A638B5"/>
    <w:rsid w:val="77BB0FA0"/>
    <w:rsid w:val="77CF5253"/>
    <w:rsid w:val="77D30B89"/>
    <w:rsid w:val="77D973B5"/>
    <w:rsid w:val="77DB6466"/>
    <w:rsid w:val="77E048EF"/>
    <w:rsid w:val="77EC5440"/>
    <w:rsid w:val="7807210A"/>
    <w:rsid w:val="780A42AA"/>
    <w:rsid w:val="78105461"/>
    <w:rsid w:val="78142461"/>
    <w:rsid w:val="78153B69"/>
    <w:rsid w:val="781F49FE"/>
    <w:rsid w:val="782D1B94"/>
    <w:rsid w:val="782E7F5E"/>
    <w:rsid w:val="78300B62"/>
    <w:rsid w:val="783F0D89"/>
    <w:rsid w:val="784453B1"/>
    <w:rsid w:val="784C632F"/>
    <w:rsid w:val="7857524C"/>
    <w:rsid w:val="78582397"/>
    <w:rsid w:val="78616928"/>
    <w:rsid w:val="78670E69"/>
    <w:rsid w:val="786945D2"/>
    <w:rsid w:val="786C568C"/>
    <w:rsid w:val="786D3F28"/>
    <w:rsid w:val="786E1F18"/>
    <w:rsid w:val="78725933"/>
    <w:rsid w:val="78802398"/>
    <w:rsid w:val="78850FF2"/>
    <w:rsid w:val="788662D2"/>
    <w:rsid w:val="788F5188"/>
    <w:rsid w:val="789749E5"/>
    <w:rsid w:val="789D70E2"/>
    <w:rsid w:val="78AF0452"/>
    <w:rsid w:val="78E633E4"/>
    <w:rsid w:val="78E7313F"/>
    <w:rsid w:val="78F17A35"/>
    <w:rsid w:val="79063A1D"/>
    <w:rsid w:val="7909498E"/>
    <w:rsid w:val="79164AEA"/>
    <w:rsid w:val="791F5CB6"/>
    <w:rsid w:val="7950462F"/>
    <w:rsid w:val="797E028B"/>
    <w:rsid w:val="79895A78"/>
    <w:rsid w:val="799123B3"/>
    <w:rsid w:val="799264E3"/>
    <w:rsid w:val="799F7B20"/>
    <w:rsid w:val="79A21090"/>
    <w:rsid w:val="79A835A2"/>
    <w:rsid w:val="79AC4AA2"/>
    <w:rsid w:val="79B56904"/>
    <w:rsid w:val="79BF3372"/>
    <w:rsid w:val="79C21932"/>
    <w:rsid w:val="79DE4837"/>
    <w:rsid w:val="79F60AE8"/>
    <w:rsid w:val="7A1420B7"/>
    <w:rsid w:val="7A356A48"/>
    <w:rsid w:val="7A382686"/>
    <w:rsid w:val="7A480529"/>
    <w:rsid w:val="7A545120"/>
    <w:rsid w:val="7A7942A3"/>
    <w:rsid w:val="7AA65754"/>
    <w:rsid w:val="7AA718CF"/>
    <w:rsid w:val="7AB90CF3"/>
    <w:rsid w:val="7AB93BC7"/>
    <w:rsid w:val="7AC47915"/>
    <w:rsid w:val="7AC91772"/>
    <w:rsid w:val="7ACC1F20"/>
    <w:rsid w:val="7AD05D04"/>
    <w:rsid w:val="7AD53AED"/>
    <w:rsid w:val="7AD90BF5"/>
    <w:rsid w:val="7AED4B30"/>
    <w:rsid w:val="7AFC7288"/>
    <w:rsid w:val="7B192A37"/>
    <w:rsid w:val="7B234AF2"/>
    <w:rsid w:val="7B2F16E9"/>
    <w:rsid w:val="7B342A76"/>
    <w:rsid w:val="7B370FE9"/>
    <w:rsid w:val="7B3C2130"/>
    <w:rsid w:val="7B4156BF"/>
    <w:rsid w:val="7B5F59A0"/>
    <w:rsid w:val="7B605DDE"/>
    <w:rsid w:val="7B85670A"/>
    <w:rsid w:val="7B8660B9"/>
    <w:rsid w:val="7B9559F0"/>
    <w:rsid w:val="7BAE3032"/>
    <w:rsid w:val="7BB86E69"/>
    <w:rsid w:val="7BCB1412"/>
    <w:rsid w:val="7BCB5462"/>
    <w:rsid w:val="7BD561AA"/>
    <w:rsid w:val="7BD639CF"/>
    <w:rsid w:val="7BEF65B0"/>
    <w:rsid w:val="7BF72207"/>
    <w:rsid w:val="7C0B7DB2"/>
    <w:rsid w:val="7C15268D"/>
    <w:rsid w:val="7C256C1E"/>
    <w:rsid w:val="7C266648"/>
    <w:rsid w:val="7C293FF5"/>
    <w:rsid w:val="7C38035E"/>
    <w:rsid w:val="7C451CFE"/>
    <w:rsid w:val="7C4670AD"/>
    <w:rsid w:val="7C46731F"/>
    <w:rsid w:val="7C4816BD"/>
    <w:rsid w:val="7C6F2F1C"/>
    <w:rsid w:val="7C703D67"/>
    <w:rsid w:val="7C7477B1"/>
    <w:rsid w:val="7C7E4222"/>
    <w:rsid w:val="7C9E590D"/>
    <w:rsid w:val="7CA04ED8"/>
    <w:rsid w:val="7CB408C1"/>
    <w:rsid w:val="7CBE5463"/>
    <w:rsid w:val="7CC32ABC"/>
    <w:rsid w:val="7CC35745"/>
    <w:rsid w:val="7CCA5903"/>
    <w:rsid w:val="7CCF0A54"/>
    <w:rsid w:val="7CDF1429"/>
    <w:rsid w:val="7CE47FFC"/>
    <w:rsid w:val="7CE90812"/>
    <w:rsid w:val="7CEB7F62"/>
    <w:rsid w:val="7D0559F2"/>
    <w:rsid w:val="7D0E04CD"/>
    <w:rsid w:val="7D186F42"/>
    <w:rsid w:val="7D19642F"/>
    <w:rsid w:val="7D227F83"/>
    <w:rsid w:val="7D2B1AD8"/>
    <w:rsid w:val="7D323D2A"/>
    <w:rsid w:val="7D3F56B8"/>
    <w:rsid w:val="7D4061CE"/>
    <w:rsid w:val="7D5611AF"/>
    <w:rsid w:val="7D69061B"/>
    <w:rsid w:val="7D950DB7"/>
    <w:rsid w:val="7D9975BB"/>
    <w:rsid w:val="7DA63076"/>
    <w:rsid w:val="7DB73333"/>
    <w:rsid w:val="7DC744C5"/>
    <w:rsid w:val="7DCD0A53"/>
    <w:rsid w:val="7DCD25A4"/>
    <w:rsid w:val="7DD160FA"/>
    <w:rsid w:val="7DD636D5"/>
    <w:rsid w:val="7DED73CF"/>
    <w:rsid w:val="7DF23C1F"/>
    <w:rsid w:val="7DF61C76"/>
    <w:rsid w:val="7DFE066D"/>
    <w:rsid w:val="7E0E0427"/>
    <w:rsid w:val="7E205D0D"/>
    <w:rsid w:val="7E2730D4"/>
    <w:rsid w:val="7E385817"/>
    <w:rsid w:val="7E593D9E"/>
    <w:rsid w:val="7E616603"/>
    <w:rsid w:val="7E6C506E"/>
    <w:rsid w:val="7E787D7E"/>
    <w:rsid w:val="7E7B230D"/>
    <w:rsid w:val="7E7E09BD"/>
    <w:rsid w:val="7E8161B4"/>
    <w:rsid w:val="7E880357"/>
    <w:rsid w:val="7E926217"/>
    <w:rsid w:val="7E9C6F9B"/>
    <w:rsid w:val="7EB80E6D"/>
    <w:rsid w:val="7EB9700E"/>
    <w:rsid w:val="7EBC3E79"/>
    <w:rsid w:val="7EBE49FD"/>
    <w:rsid w:val="7EC655B5"/>
    <w:rsid w:val="7ED24F4B"/>
    <w:rsid w:val="7EFE7EFE"/>
    <w:rsid w:val="7F00014B"/>
    <w:rsid w:val="7F133CBF"/>
    <w:rsid w:val="7F1940E6"/>
    <w:rsid w:val="7F1F4BEA"/>
    <w:rsid w:val="7F257398"/>
    <w:rsid w:val="7F3B68AE"/>
    <w:rsid w:val="7F484BEB"/>
    <w:rsid w:val="7F650E1F"/>
    <w:rsid w:val="7F653B65"/>
    <w:rsid w:val="7F6D07F6"/>
    <w:rsid w:val="7F7A10A4"/>
    <w:rsid w:val="7F7E6412"/>
    <w:rsid w:val="7F893FE5"/>
    <w:rsid w:val="7F922307"/>
    <w:rsid w:val="7F9308E6"/>
    <w:rsid w:val="7FAE1781"/>
    <w:rsid w:val="7FB02AC8"/>
    <w:rsid w:val="7FC70975"/>
    <w:rsid w:val="7FF07D2D"/>
    <w:rsid w:val="7FF12A9E"/>
    <w:rsid w:val="7FFD7B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1"/>
    <w:qFormat/>
    <w:uiPriority w:val="0"/>
    <w:pPr>
      <w:keepNext/>
      <w:keepLines/>
      <w:spacing w:line="360" w:lineRule="auto"/>
      <w:outlineLvl w:val="0"/>
    </w:pPr>
    <w:rPr>
      <w:b/>
      <w:bCs/>
      <w:kern w:val="44"/>
      <w:sz w:val="32"/>
      <w:szCs w:val="44"/>
    </w:rPr>
  </w:style>
  <w:style w:type="paragraph" w:styleId="4">
    <w:name w:val="heading 2"/>
    <w:basedOn w:val="1"/>
    <w:next w:val="1"/>
    <w:link w:val="14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6"/>
    <w:qFormat/>
    <w:uiPriority w:val="0"/>
    <w:pPr>
      <w:keepNext/>
      <w:keepLines/>
      <w:spacing w:before="260" w:after="260" w:line="416" w:lineRule="auto"/>
      <w:outlineLvl w:val="2"/>
    </w:pPr>
    <w:rPr>
      <w:b/>
      <w:bCs/>
      <w:sz w:val="32"/>
      <w:szCs w:val="32"/>
    </w:rPr>
  </w:style>
  <w:style w:type="paragraph" w:styleId="6">
    <w:name w:val="heading 4"/>
    <w:basedOn w:val="1"/>
    <w:next w:val="1"/>
    <w:link w:val="108"/>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28"/>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154"/>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3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09"/>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53"/>
    <w:qFormat/>
    <w:uiPriority w:val="0"/>
    <w:pPr>
      <w:keepNext/>
      <w:keepLines/>
      <w:spacing w:before="240" w:after="64" w:line="317" w:lineRule="auto"/>
      <w:outlineLvl w:val="8"/>
    </w:pPr>
    <w:rPr>
      <w:rFonts w:ascii="Cambria" w:hAnsi="Cambria"/>
      <w:szCs w:val="21"/>
    </w:rPr>
  </w:style>
  <w:style w:type="character" w:default="1" w:styleId="49">
    <w:name w:val="Default Paragraph Font"/>
    <w:link w:val="50"/>
    <w:semiHidden/>
    <w:qFormat/>
    <w:uiPriority w:val="0"/>
    <w:rPr>
      <w:rFonts w:ascii="仿宋_GB2312" w:eastAsia="仿宋_GB2312"/>
      <w:kern w:val="2"/>
      <w:sz w:val="24"/>
      <w:szCs w:val="24"/>
      <w:lang w:val="en-US" w:eastAsia="zh-CN" w:bidi="ar-SA"/>
    </w:rPr>
  </w:style>
  <w:style w:type="table" w:default="1" w:styleId="4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link w:val="157"/>
    <w:qFormat/>
    <w:uiPriority w:val="0"/>
    <w:pPr>
      <w:ind w:firstLine="420" w:firstLineChars="200"/>
    </w:pPr>
    <w:rPr>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48"/>
    <w:qFormat/>
    <w:uiPriority w:val="0"/>
    <w:pPr>
      <w:shd w:val="clear" w:color="auto" w:fill="000080"/>
    </w:p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110"/>
    <w:qFormat/>
    <w:uiPriority w:val="99"/>
    <w:pPr>
      <w:jc w:val="left"/>
    </w:pPr>
  </w:style>
  <w:style w:type="paragraph" w:styleId="18">
    <w:name w:val="Body Text 3"/>
    <w:basedOn w:val="1"/>
    <w:link w:val="118"/>
    <w:qFormat/>
    <w:uiPriority w:val="0"/>
    <w:pPr>
      <w:spacing w:after="120"/>
    </w:pPr>
    <w:rPr>
      <w:sz w:val="16"/>
      <w:szCs w:val="16"/>
    </w:rPr>
  </w:style>
  <w:style w:type="paragraph" w:styleId="19">
    <w:name w:val="Body Text"/>
    <w:basedOn w:val="1"/>
    <w:next w:val="20"/>
    <w:link w:val="133"/>
    <w:qFormat/>
    <w:uiPriority w:val="99"/>
    <w:pPr>
      <w:adjustRightInd w:val="0"/>
      <w:spacing w:after="60" w:line="360" w:lineRule="atLeast"/>
      <w:ind w:left="72" w:leftChars="30" w:right="30" w:rightChars="30"/>
      <w:jc w:val="center"/>
      <w:textAlignment w:val="baseline"/>
    </w:pPr>
  </w:style>
  <w:style w:type="paragraph" w:styleId="20">
    <w:name w:val="Body Text 2"/>
    <w:basedOn w:val="1"/>
    <w:next w:val="19"/>
    <w:link w:val="114"/>
    <w:qFormat/>
    <w:uiPriority w:val="0"/>
    <w:pPr>
      <w:widowControl/>
      <w:spacing w:before="100" w:beforeAutospacing="1" w:after="100" w:afterAutospacing="1"/>
      <w:jc w:val="left"/>
    </w:pPr>
    <w:rPr>
      <w:rFonts w:ascii="宋体" w:hAnsi="宋体"/>
      <w:kern w:val="0"/>
      <w:sz w:val="24"/>
    </w:rPr>
  </w:style>
  <w:style w:type="paragraph" w:styleId="21">
    <w:name w:val="Body Text Indent"/>
    <w:basedOn w:val="1"/>
    <w:next w:val="1"/>
    <w:link w:val="120"/>
    <w:qFormat/>
    <w:uiPriority w:val="0"/>
    <w:pPr>
      <w:spacing w:after="120"/>
      <w:ind w:left="420" w:left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widowControl/>
      <w:spacing w:before="100" w:beforeAutospacing="1" w:after="100" w:afterAutospacing="1"/>
      <w:jc w:val="left"/>
    </w:pPr>
    <w:rPr>
      <w:rFonts w:ascii="宋体" w:hAnsi="宋体"/>
      <w:kern w:val="0"/>
      <w:sz w:val="24"/>
    </w:rPr>
  </w:style>
  <w:style w:type="paragraph" w:styleId="24">
    <w:name w:val="index 4"/>
    <w:basedOn w:val="1"/>
    <w:next w:val="1"/>
    <w:qFormat/>
    <w:uiPriority w:val="0"/>
    <w:pPr>
      <w:ind w:left="600" w:leftChars="600"/>
    </w:pPr>
  </w:style>
  <w:style w:type="paragraph" w:styleId="25">
    <w:name w:val="toc 5"/>
    <w:basedOn w:val="1"/>
    <w:next w:val="1"/>
    <w:qFormat/>
    <w:uiPriority w:val="39"/>
    <w:pPr>
      <w:tabs>
        <w:tab w:val="right" w:leader="dot" w:pos="8296"/>
      </w:tabs>
      <w:ind w:left="1050" w:leftChars="5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149"/>
    <w:qFormat/>
    <w:uiPriority w:val="0"/>
    <w:rPr>
      <w:rFonts w:ascii="宋体" w:hAnsi="Courier New"/>
      <w:szCs w:val="21"/>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97"/>
    <w:qFormat/>
    <w:uiPriority w:val="0"/>
    <w:pPr>
      <w:ind w:left="100" w:leftChars="2500"/>
    </w:pPr>
  </w:style>
  <w:style w:type="paragraph" w:styleId="30">
    <w:name w:val="Body Text Indent 2"/>
    <w:basedOn w:val="1"/>
    <w:link w:val="152"/>
    <w:qFormat/>
    <w:uiPriority w:val="0"/>
    <w:pPr>
      <w:ind w:firstLine="538" w:firstLineChars="192"/>
    </w:pPr>
    <w:rPr>
      <w:sz w:val="28"/>
      <w:szCs w:val="20"/>
    </w:rPr>
  </w:style>
  <w:style w:type="paragraph" w:styleId="31">
    <w:name w:val="Balloon Text"/>
    <w:basedOn w:val="1"/>
    <w:link w:val="156"/>
    <w:qFormat/>
    <w:uiPriority w:val="0"/>
    <w:rPr>
      <w:sz w:val="18"/>
      <w:szCs w:val="18"/>
    </w:rPr>
  </w:style>
  <w:style w:type="paragraph" w:styleId="32">
    <w:name w:val="footer"/>
    <w:basedOn w:val="1"/>
    <w:link w:val="115"/>
    <w:qFormat/>
    <w:uiPriority w:val="99"/>
    <w:pPr>
      <w:tabs>
        <w:tab w:val="center" w:pos="4153"/>
        <w:tab w:val="right" w:pos="8306"/>
      </w:tabs>
      <w:snapToGrid w:val="0"/>
      <w:jc w:val="left"/>
    </w:pPr>
    <w:rPr>
      <w:sz w:val="18"/>
      <w:szCs w:val="18"/>
    </w:rPr>
  </w:style>
  <w:style w:type="paragraph" w:styleId="33">
    <w:name w:val="header"/>
    <w:basedOn w:val="1"/>
    <w:link w:val="140"/>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qFormat/>
    <w:uiPriority w:val="39"/>
    <w:pPr>
      <w:tabs>
        <w:tab w:val="left" w:pos="1890"/>
        <w:tab w:val="right" w:leader="dot" w:pos="8296"/>
      </w:tabs>
      <w:ind w:left="630" w:leftChars="300"/>
    </w:pPr>
    <w:rPr>
      <w:rFonts w:ascii="Calibri" w:hAnsi="Calibri"/>
      <w:szCs w:val="22"/>
    </w:rPr>
  </w:style>
  <w:style w:type="paragraph" w:styleId="35">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39"/>
    <w:pPr>
      <w:ind w:left="1050"/>
      <w:jc w:val="left"/>
    </w:pPr>
    <w:rPr>
      <w:sz w:val="20"/>
      <w:szCs w:val="20"/>
    </w:rPr>
  </w:style>
  <w:style w:type="paragraph" w:styleId="37">
    <w:name w:val="Body Text Indent 3"/>
    <w:basedOn w:val="1"/>
    <w:link w:val="129"/>
    <w:qFormat/>
    <w:uiPriority w:val="0"/>
    <w:pPr>
      <w:spacing w:after="120"/>
      <w:ind w:left="420" w:leftChars="200"/>
    </w:pPr>
    <w:rPr>
      <w:sz w:val="16"/>
      <w:szCs w:val="16"/>
    </w:rPr>
  </w:style>
  <w:style w:type="paragraph" w:styleId="38">
    <w:name w:val="table of figures"/>
    <w:next w:val="1"/>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39">
    <w:name w:val="toc 2"/>
    <w:basedOn w:val="1"/>
    <w:next w:val="1"/>
    <w:qFormat/>
    <w:uiPriority w:val="39"/>
    <w:pPr>
      <w:tabs>
        <w:tab w:val="left" w:pos="840"/>
        <w:tab w:val="right" w:leader="dot" w:pos="9061"/>
      </w:tabs>
      <w:ind w:left="420" w:leftChars="200"/>
    </w:pPr>
  </w:style>
  <w:style w:type="paragraph" w:styleId="40">
    <w:name w:val="toc 9"/>
    <w:basedOn w:val="1"/>
    <w:next w:val="1"/>
    <w:qFormat/>
    <w:uiPriority w:val="39"/>
    <w:pPr>
      <w:ind w:left="3360" w:leftChars="1600"/>
    </w:pPr>
    <w:rPr>
      <w:rFonts w:ascii="Calibri" w:hAnsi="Calibri"/>
      <w:szCs w:val="22"/>
    </w:rPr>
  </w:style>
  <w:style w:type="paragraph" w:styleId="4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3">
    <w:name w:val="Title"/>
    <w:basedOn w:val="1"/>
    <w:link w:val="124"/>
    <w:qFormat/>
    <w:uiPriority w:val="0"/>
    <w:pPr>
      <w:spacing w:before="240" w:after="60"/>
      <w:jc w:val="center"/>
      <w:outlineLvl w:val="0"/>
    </w:pPr>
    <w:rPr>
      <w:rFonts w:ascii="Arial" w:hAnsi="Arial"/>
      <w:b/>
      <w:bCs/>
      <w:sz w:val="32"/>
      <w:szCs w:val="32"/>
    </w:rPr>
  </w:style>
  <w:style w:type="paragraph" w:styleId="44">
    <w:name w:val="annotation subject"/>
    <w:basedOn w:val="17"/>
    <w:next w:val="17"/>
    <w:link w:val="103"/>
    <w:qFormat/>
    <w:uiPriority w:val="99"/>
    <w:rPr>
      <w:b/>
      <w:bCs/>
    </w:rPr>
  </w:style>
  <w:style w:type="paragraph" w:styleId="45">
    <w:name w:val="Body Text First Indent"/>
    <w:basedOn w:val="19"/>
    <w:next w:val="46"/>
    <w:qFormat/>
    <w:uiPriority w:val="0"/>
    <w:pPr>
      <w:ind w:firstLine="420" w:firstLineChars="100"/>
    </w:pPr>
  </w:style>
  <w:style w:type="paragraph" w:styleId="46">
    <w:name w:val="Body Text First Indent 2"/>
    <w:basedOn w:val="21"/>
    <w:next w:val="1"/>
    <w:link w:val="112"/>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Char Char Char Char"/>
    <w:basedOn w:val="15"/>
    <w:link w:val="49"/>
    <w:qFormat/>
    <w:uiPriority w:val="0"/>
    <w:pPr>
      <w:adjustRightInd w:val="0"/>
      <w:snapToGrid w:val="0"/>
      <w:spacing w:line="360" w:lineRule="auto"/>
    </w:pPr>
    <w:rPr>
      <w:rFonts w:ascii="仿宋_GB2312" w:eastAsia="仿宋_GB2312"/>
      <w:kern w:val="2"/>
      <w:sz w:val="24"/>
      <w:szCs w:val="24"/>
      <w:lang w:val="en-US" w:eastAsia="zh-CN" w:bidi="ar-SA"/>
    </w:rPr>
  </w:style>
  <w:style w:type="character" w:styleId="51">
    <w:name w:val="Strong"/>
    <w:basedOn w:val="49"/>
    <w:qFormat/>
    <w:uiPriority w:val="0"/>
    <w:rPr>
      <w:b/>
      <w:bCs/>
    </w:rPr>
  </w:style>
  <w:style w:type="character" w:styleId="52">
    <w:name w:val="page number"/>
    <w:basedOn w:val="49"/>
    <w:qFormat/>
    <w:uiPriority w:val="0"/>
  </w:style>
  <w:style w:type="character" w:styleId="53">
    <w:name w:val="FollowedHyperlink"/>
    <w:qFormat/>
    <w:uiPriority w:val="0"/>
    <w:rPr>
      <w:color w:val="333333"/>
      <w:sz w:val="18"/>
      <w:szCs w:val="18"/>
      <w:u w:val="none"/>
    </w:rPr>
  </w:style>
  <w:style w:type="character" w:styleId="54">
    <w:name w:val="Emphasis"/>
    <w:qFormat/>
    <w:uiPriority w:val="0"/>
    <w:rPr>
      <w:i/>
      <w:iCs/>
    </w:rPr>
  </w:style>
  <w:style w:type="character" w:styleId="55">
    <w:name w:val="HTML Definition"/>
    <w:basedOn w:val="49"/>
    <w:qFormat/>
    <w:uiPriority w:val="0"/>
  </w:style>
  <w:style w:type="character" w:styleId="56">
    <w:name w:val="HTML Variable"/>
    <w:basedOn w:val="49"/>
    <w:qFormat/>
    <w:uiPriority w:val="0"/>
  </w:style>
  <w:style w:type="character" w:styleId="57">
    <w:name w:val="Hyperlink"/>
    <w:basedOn w:val="49"/>
    <w:qFormat/>
    <w:uiPriority w:val="99"/>
    <w:rPr>
      <w:color w:val="333333"/>
      <w:sz w:val="18"/>
      <w:szCs w:val="18"/>
      <w:u w:val="none"/>
    </w:rPr>
  </w:style>
  <w:style w:type="character" w:styleId="58">
    <w:name w:val="HTML Code"/>
    <w:basedOn w:val="49"/>
    <w:qFormat/>
    <w:uiPriority w:val="0"/>
    <w:rPr>
      <w:rFonts w:ascii="Helvetica" w:hAnsi="Helvetica" w:eastAsia="Helvetica" w:cs="Helvetica"/>
      <w:color w:val="333333"/>
      <w:sz w:val="21"/>
      <w:szCs w:val="21"/>
      <w:bdr w:val="single" w:color="999999" w:sz="6" w:space="0"/>
      <w:shd w:val="clear" w:fill="FFFFFF"/>
    </w:rPr>
  </w:style>
  <w:style w:type="character" w:styleId="59">
    <w:name w:val="annotation reference"/>
    <w:qFormat/>
    <w:uiPriority w:val="0"/>
    <w:rPr>
      <w:rFonts w:cs="Times New Roman"/>
      <w:sz w:val="21"/>
      <w:szCs w:val="21"/>
    </w:rPr>
  </w:style>
  <w:style w:type="character" w:styleId="60">
    <w:name w:val="HTML Cite"/>
    <w:basedOn w:val="49"/>
    <w:qFormat/>
    <w:uiPriority w:val="0"/>
  </w:style>
  <w:style w:type="paragraph" w:customStyle="1" w:styleId="61">
    <w:name w:val=" Char"/>
    <w:basedOn w:val="1"/>
    <w:qFormat/>
    <w:uiPriority w:val="0"/>
  </w:style>
  <w:style w:type="paragraph" w:styleId="62">
    <w:name w:val="Quote"/>
    <w:basedOn w:val="1"/>
    <w:next w:val="1"/>
    <w:link w:val="105"/>
    <w:qFormat/>
    <w:uiPriority w:val="29"/>
    <w:rPr>
      <w:i/>
      <w:iCs/>
      <w:color w:val="000000"/>
    </w:rPr>
  </w:style>
  <w:style w:type="paragraph" w:customStyle="1" w:styleId="63">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5">
    <w:name w:val=" Char Char Char Char"/>
    <w:basedOn w:val="15"/>
    <w:qFormat/>
    <w:uiPriority w:val="0"/>
    <w:rPr>
      <w:szCs w:val="20"/>
    </w:rPr>
  </w:style>
  <w:style w:type="paragraph" w:customStyle="1" w:styleId="66">
    <w:name w:val="表格"/>
    <w:basedOn w:val="1"/>
    <w:qFormat/>
    <w:uiPriority w:val="0"/>
    <w:pPr>
      <w:jc w:val="center"/>
      <w:textAlignment w:val="center"/>
    </w:pPr>
    <w:rPr>
      <w:rFonts w:ascii="华文细黑" w:hAnsi="华文细黑"/>
      <w:kern w:val="0"/>
      <w:szCs w:val="20"/>
    </w:rPr>
  </w:style>
  <w:style w:type="paragraph" w:customStyle="1" w:styleId="67">
    <w:name w:val="列出段落1"/>
    <w:basedOn w:val="1"/>
    <w:qFormat/>
    <w:uiPriority w:val="0"/>
    <w:pPr>
      <w:ind w:firstLine="420" w:firstLineChars="200"/>
    </w:pPr>
    <w:rPr>
      <w:rFonts w:ascii="Calibri" w:hAnsi="Calibri" w:cs="黑体"/>
      <w:szCs w:val="21"/>
    </w:rPr>
  </w:style>
  <w:style w:type="paragraph" w:customStyle="1" w:styleId="68">
    <w:name w:val="_Style 65"/>
    <w:qFormat/>
    <w:uiPriority w:val="0"/>
    <w:rPr>
      <w:rFonts w:ascii="Times New Roman" w:hAnsi="Times New Roman" w:eastAsia="宋体" w:cs="Times New Roman"/>
      <w:kern w:val="2"/>
      <w:sz w:val="21"/>
      <w:szCs w:val="24"/>
      <w:lang w:val="en-US" w:eastAsia="zh-CN" w:bidi="ar-SA"/>
    </w:rPr>
  </w:style>
  <w:style w:type="paragraph" w:styleId="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70">
    <w:name w:val="List Paragraph"/>
    <w:basedOn w:val="1"/>
    <w:qFormat/>
    <w:uiPriority w:val="99"/>
    <w:pPr>
      <w:ind w:firstLine="420" w:firstLineChars="200"/>
    </w:pPr>
    <w:rPr>
      <w:rFonts w:ascii="Calibri" w:hAnsi="Calibri"/>
      <w:szCs w:val="22"/>
    </w:rPr>
  </w:style>
  <w:style w:type="paragraph" w:customStyle="1" w:styleId="71">
    <w:name w:val=" Char2 Char Char Char Char Char Char"/>
    <w:basedOn w:val="1"/>
    <w:qFormat/>
    <w:uiPriority w:val="0"/>
    <w:rPr>
      <w:rFonts w:ascii="仿宋_GB2312"/>
      <w:b/>
      <w:sz w:val="30"/>
      <w:szCs w:val="32"/>
    </w:rPr>
  </w:style>
  <w:style w:type="paragraph" w:customStyle="1" w:styleId="72">
    <w:name w:val="标题5"/>
    <w:basedOn w:val="5"/>
    <w:link w:val="131"/>
    <w:qFormat/>
    <w:uiPriority w:val="0"/>
    <w:pPr>
      <w:spacing w:line="413" w:lineRule="auto"/>
    </w:pPr>
    <w:rPr>
      <w:rFonts w:ascii="Arial" w:hAnsi="Arial"/>
      <w:kern w:val="0"/>
      <w:sz w:val="24"/>
    </w:rPr>
  </w:style>
  <w:style w:type="paragraph" w:customStyle="1" w:styleId="73">
    <w:name w:val="默认段落字体 Para Char Char Char Char"/>
    <w:basedOn w:val="1"/>
    <w:qFormat/>
    <w:uiPriority w:val="0"/>
  </w:style>
  <w:style w:type="paragraph" w:customStyle="1" w:styleId="7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lang w:val="en-US" w:eastAsia="zh-CN"/>
    </w:rPr>
  </w:style>
  <w:style w:type="paragraph" w:customStyle="1" w:styleId="76">
    <w:name w:val="表格文字"/>
    <w:basedOn w:val="1"/>
    <w:qFormat/>
    <w:uiPriority w:val="0"/>
    <w:pPr>
      <w:adjustRightInd w:val="0"/>
      <w:spacing w:line="420" w:lineRule="atLeast"/>
      <w:jc w:val="left"/>
      <w:textAlignment w:val="baseline"/>
    </w:pPr>
    <w:rPr>
      <w:kern w:val="0"/>
      <w:szCs w:val="20"/>
    </w:rPr>
  </w:style>
  <w:style w:type="paragraph" w:customStyle="1" w:styleId="7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9">
    <w:name w:val="Char1"/>
    <w:basedOn w:val="1"/>
    <w:qFormat/>
    <w:uiPriority w:val="0"/>
    <w:rPr>
      <w:rFonts w:ascii="Tahoma" w:hAnsi="Tahoma"/>
      <w:sz w:val="24"/>
      <w:szCs w:val="20"/>
    </w:rPr>
  </w:style>
  <w:style w:type="paragraph" w:customStyle="1" w:styleId="80">
    <w:name w:val="dash6b63_65871"/>
    <w:basedOn w:val="1"/>
    <w:qFormat/>
    <w:uiPriority w:val="0"/>
    <w:pPr>
      <w:widowControl/>
    </w:pPr>
    <w:rPr>
      <w:rFonts w:ascii="Calibri" w:hAnsi="Calibri" w:cs="Calibri"/>
      <w:kern w:val="0"/>
      <w:sz w:val="20"/>
      <w:szCs w:val="20"/>
    </w:rPr>
  </w:style>
  <w:style w:type="paragraph" w:customStyle="1" w:styleId="81">
    <w:name w:val="_Style 1"/>
    <w:basedOn w:val="1"/>
    <w:qFormat/>
    <w:uiPriority w:val="34"/>
    <w:pPr>
      <w:ind w:firstLine="420" w:firstLineChars="200"/>
    </w:pPr>
  </w:style>
  <w:style w:type="paragraph" w:customStyle="1" w:styleId="82">
    <w:name w:val="_Style 79"/>
    <w:basedOn w:val="3"/>
    <w:next w:val="1"/>
    <w:qFormat/>
    <w:uiPriority w:val="0"/>
    <w:pPr>
      <w:spacing w:before="340" w:after="330" w:line="576" w:lineRule="auto"/>
      <w:outlineLvl w:val="9"/>
    </w:pPr>
    <w:rPr>
      <w:rFonts w:ascii="Calibri" w:hAnsi="Calibri"/>
      <w:sz w:val="44"/>
    </w:rPr>
  </w:style>
  <w:style w:type="paragraph" w:customStyle="1" w:styleId="83">
    <w:name w:val="外网"/>
    <w:basedOn w:val="3"/>
    <w:qFormat/>
    <w:uiPriority w:val="0"/>
    <w:pPr>
      <w:spacing w:beforeLines="50" w:afterLines="50" w:line="520" w:lineRule="exact"/>
      <w:ind w:firstLine="200" w:firstLineChars="200"/>
    </w:pPr>
    <w:rPr>
      <w:rFonts w:eastAsia="黑体"/>
      <w:b w:val="0"/>
      <w:sz w:val="32"/>
    </w:rPr>
  </w:style>
  <w:style w:type="paragraph" w:customStyle="1" w:styleId="8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5">
    <w:name w:val="正文2"/>
    <w:basedOn w:val="1"/>
    <w:qFormat/>
    <w:uiPriority w:val="0"/>
    <w:pPr>
      <w:widowControl/>
      <w:spacing w:after="160" w:line="360" w:lineRule="auto"/>
      <w:ind w:firstLine="200" w:firstLineChars="200"/>
      <w:jc w:val="left"/>
    </w:pPr>
    <w:rPr>
      <w:szCs w:val="20"/>
    </w:rPr>
  </w:style>
  <w:style w:type="paragraph" w:customStyle="1" w:styleId="86">
    <w:name w:val="大纲二"/>
    <w:basedOn w:val="1"/>
    <w:qFormat/>
    <w:uiPriority w:val="99"/>
    <w:pPr>
      <w:numPr>
        <w:ilvl w:val="1"/>
        <w:numId w:val="1"/>
      </w:numPr>
      <w:tabs>
        <w:tab w:val="left" w:pos="432"/>
      </w:tabs>
      <w:spacing w:beforeLines="50" w:line="360" w:lineRule="auto"/>
      <w:outlineLvl w:val="1"/>
    </w:pPr>
    <w:rPr>
      <w:rFonts w:ascii="微软雅黑" w:hAnsi="微软雅黑" w:eastAsia="微软雅黑"/>
      <w:b/>
      <w:sz w:val="28"/>
      <w:szCs w:val="30"/>
    </w:rPr>
  </w:style>
  <w:style w:type="paragraph" w:customStyle="1" w:styleId="87">
    <w:name w:val="大纲一"/>
    <w:basedOn w:val="1"/>
    <w:qFormat/>
    <w:uiPriority w:val="99"/>
    <w:pPr>
      <w:numPr>
        <w:ilvl w:val="0"/>
        <w:numId w:val="1"/>
      </w:numPr>
      <w:spacing w:beforeLines="50" w:line="360" w:lineRule="auto"/>
      <w:outlineLvl w:val="0"/>
    </w:pPr>
    <w:rPr>
      <w:rFonts w:ascii="微软雅黑" w:hAnsi="微软雅黑" w:eastAsia="微软雅黑"/>
      <w:b/>
      <w:sz w:val="32"/>
      <w:szCs w:val="22"/>
    </w:rPr>
  </w:style>
  <w:style w:type="paragraph" w:customStyle="1" w:styleId="88">
    <w:name w:val="样式 标题 1 + 居中"/>
    <w:basedOn w:val="3"/>
    <w:qFormat/>
    <w:uiPriority w:val="0"/>
    <w:pPr>
      <w:spacing w:before="340" w:after="330" w:line="578" w:lineRule="auto"/>
      <w:jc w:val="center"/>
    </w:pPr>
    <w:rPr>
      <w:rFonts w:cs="宋体"/>
      <w:szCs w:val="20"/>
    </w:rPr>
  </w:style>
  <w:style w:type="paragraph" w:customStyle="1" w:styleId="89">
    <w:name w:val="p0"/>
    <w:basedOn w:val="1"/>
    <w:qFormat/>
    <w:uiPriority w:val="0"/>
    <w:pPr>
      <w:widowControl/>
    </w:pPr>
    <w:rPr>
      <w:kern w:val="0"/>
      <w:szCs w:val="21"/>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1">
    <w:name w:val="外网二级标题"/>
    <w:basedOn w:val="4"/>
    <w:next w:val="83"/>
    <w:qFormat/>
    <w:uiPriority w:val="0"/>
    <w:pPr>
      <w:spacing w:before="0" w:after="0" w:line="520" w:lineRule="exact"/>
      <w:ind w:firstLine="200" w:firstLineChars="200"/>
    </w:pPr>
    <w:rPr>
      <w:rFonts w:ascii="Arial" w:hAnsi="Arial" w:eastAsia="楷体" w:cs="Times New Roman"/>
      <w:b w:val="0"/>
    </w:rPr>
  </w:style>
  <w:style w:type="paragraph" w:customStyle="1" w:styleId="92">
    <w:name w:val="1"/>
    <w:basedOn w:val="1"/>
    <w:qFormat/>
    <w:uiPriority w:val="0"/>
  </w:style>
  <w:style w:type="paragraph" w:customStyle="1" w:styleId="93">
    <w:name w:val=" Char Char10 Char Char Char Char"/>
    <w:basedOn w:val="1"/>
    <w:qFormat/>
    <w:uiPriority w:val="0"/>
  </w:style>
  <w:style w:type="paragraph" w:customStyle="1" w:styleId="94">
    <w:name w:val="标题4"/>
    <w:basedOn w:val="4"/>
    <w:next w:val="24"/>
    <w:link w:val="160"/>
    <w:qFormat/>
    <w:uiPriority w:val="0"/>
    <w:pPr>
      <w:spacing w:line="413" w:lineRule="auto"/>
    </w:pPr>
    <w:rPr>
      <w:rFonts w:eastAsia="宋体"/>
      <w:kern w:val="0"/>
      <w:sz w:val="24"/>
    </w:rPr>
  </w:style>
  <w:style w:type="paragraph" w:styleId="95">
    <w:name w:val="Intense Quote"/>
    <w:basedOn w:val="1"/>
    <w:next w:val="1"/>
    <w:link w:val="121"/>
    <w:qFormat/>
    <w:uiPriority w:val="0"/>
    <w:pPr>
      <w:pBdr>
        <w:bottom w:val="single" w:color="4F81BD" w:sz="4" w:space="4"/>
      </w:pBdr>
      <w:spacing w:before="200" w:after="280"/>
      <w:ind w:left="936" w:right="936"/>
    </w:pPr>
    <w:rPr>
      <w:b/>
      <w:bCs/>
      <w:i/>
      <w:iCs/>
      <w:color w:val="4F81BD"/>
      <w:szCs w:val="22"/>
    </w:rPr>
  </w:style>
  <w:style w:type="character" w:customStyle="1" w:styleId="96">
    <w:name w:val="副标题 Char"/>
    <w:link w:val="35"/>
    <w:qFormat/>
    <w:uiPriority w:val="0"/>
    <w:rPr>
      <w:rFonts w:ascii="Cambria" w:hAnsi="Cambria"/>
      <w:b/>
      <w:bCs/>
      <w:kern w:val="28"/>
      <w:sz w:val="32"/>
      <w:szCs w:val="32"/>
    </w:rPr>
  </w:style>
  <w:style w:type="character" w:customStyle="1" w:styleId="97">
    <w:name w:val="日期 Char"/>
    <w:link w:val="29"/>
    <w:qFormat/>
    <w:uiPriority w:val="0"/>
    <w:rPr>
      <w:kern w:val="2"/>
      <w:sz w:val="21"/>
      <w:szCs w:val="24"/>
    </w:rPr>
  </w:style>
  <w:style w:type="character" w:customStyle="1" w:styleId="98">
    <w:name w:val="_Style 95"/>
    <w:qFormat/>
    <w:uiPriority w:val="0"/>
    <w:rPr>
      <w:b/>
      <w:bCs/>
      <w:smallCaps/>
      <w:spacing w:val="5"/>
    </w:rPr>
  </w:style>
  <w:style w:type="character" w:customStyle="1" w:styleId="99">
    <w:name w:val="_Style 96"/>
    <w:qFormat/>
    <w:uiPriority w:val="0"/>
    <w:rPr>
      <w:smallCaps/>
      <w:color w:val="C0504D"/>
      <w:u w:val="single"/>
    </w:rPr>
  </w:style>
  <w:style w:type="character" w:customStyle="1" w:styleId="100">
    <w:name w:val="文档结构图 Char1"/>
    <w:qFormat/>
    <w:uiPriority w:val="0"/>
    <w:rPr>
      <w:rFonts w:ascii="宋体"/>
      <w:kern w:val="2"/>
      <w:sz w:val="18"/>
      <w:szCs w:val="18"/>
    </w:rPr>
  </w:style>
  <w:style w:type="character" w:customStyle="1" w:styleId="101">
    <w:name w:val="font51"/>
    <w:qFormat/>
    <w:uiPriority w:val="0"/>
    <w:rPr>
      <w:rFonts w:hint="eastAsia" w:ascii="宋体" w:hAnsi="宋体" w:eastAsia="宋体" w:cs="宋体"/>
      <w:color w:val="000000"/>
      <w:sz w:val="24"/>
      <w:szCs w:val="24"/>
      <w:u w:val="none"/>
    </w:rPr>
  </w:style>
  <w:style w:type="character" w:customStyle="1" w:styleId="102">
    <w:name w:val="_Style 99"/>
    <w:qFormat/>
    <w:uiPriority w:val="0"/>
    <w:rPr>
      <w:b/>
      <w:bCs/>
      <w:smallCaps/>
      <w:color w:val="C0504D"/>
      <w:spacing w:val="5"/>
      <w:u w:val="single"/>
    </w:rPr>
  </w:style>
  <w:style w:type="character" w:customStyle="1" w:styleId="103">
    <w:name w:val="批注主题 Char"/>
    <w:link w:val="44"/>
    <w:qFormat/>
    <w:uiPriority w:val="0"/>
    <w:rPr>
      <w:rFonts w:ascii="宋体"/>
      <w:b/>
      <w:bCs/>
      <w:sz w:val="28"/>
    </w:rPr>
  </w:style>
  <w:style w:type="character" w:customStyle="1" w:styleId="104">
    <w:name w:val="批注文字 Char1"/>
    <w:qFormat/>
    <w:uiPriority w:val="99"/>
    <w:rPr>
      <w:kern w:val="2"/>
      <w:sz w:val="21"/>
      <w:szCs w:val="24"/>
    </w:rPr>
  </w:style>
  <w:style w:type="character" w:customStyle="1" w:styleId="105">
    <w:name w:val="引用 Char"/>
    <w:link w:val="62"/>
    <w:qFormat/>
    <w:uiPriority w:val="0"/>
    <w:rPr>
      <w:i/>
      <w:iCs/>
      <w:color w:val="000000"/>
      <w:kern w:val="2"/>
      <w:sz w:val="21"/>
      <w:szCs w:val="22"/>
    </w:rPr>
  </w:style>
  <w:style w:type="character" w:customStyle="1" w:styleId="106">
    <w:name w:val="标题 3 Char"/>
    <w:link w:val="5"/>
    <w:qFormat/>
    <w:uiPriority w:val="0"/>
    <w:rPr>
      <w:b/>
      <w:bCs/>
      <w:kern w:val="2"/>
      <w:sz w:val="32"/>
      <w:szCs w:val="32"/>
    </w:rPr>
  </w:style>
  <w:style w:type="character" w:customStyle="1" w:styleId="107">
    <w:name w:val="标题 2 Char Char"/>
    <w:link w:val="4"/>
    <w:qFormat/>
    <w:uiPriority w:val="0"/>
    <w:rPr>
      <w:rFonts w:ascii="Arial" w:hAnsi="Arial" w:eastAsia="黑体"/>
      <w:b/>
      <w:bCs/>
      <w:kern w:val="2"/>
      <w:sz w:val="32"/>
      <w:szCs w:val="32"/>
      <w:lang w:val="en-US" w:eastAsia="zh-CN" w:bidi="ar-SA"/>
    </w:rPr>
  </w:style>
  <w:style w:type="character" w:customStyle="1" w:styleId="108">
    <w:name w:val="标题 4 Char"/>
    <w:link w:val="6"/>
    <w:qFormat/>
    <w:uiPriority w:val="0"/>
    <w:rPr>
      <w:rFonts w:ascii="Cambria" w:hAnsi="Cambria" w:eastAsia="宋体" w:cs="Times New Roman"/>
      <w:b/>
      <w:bCs/>
      <w:kern w:val="2"/>
      <w:sz w:val="28"/>
      <w:szCs w:val="28"/>
    </w:rPr>
  </w:style>
  <w:style w:type="character" w:customStyle="1" w:styleId="109">
    <w:name w:val="标题 8 Char"/>
    <w:link w:val="10"/>
    <w:qFormat/>
    <w:uiPriority w:val="0"/>
    <w:rPr>
      <w:rFonts w:ascii="Cambria" w:hAnsi="Cambria"/>
      <w:kern w:val="2"/>
      <w:sz w:val="24"/>
      <w:szCs w:val="24"/>
    </w:rPr>
  </w:style>
  <w:style w:type="character" w:customStyle="1" w:styleId="110">
    <w:name w:val="批注文字 Char"/>
    <w:link w:val="17"/>
    <w:qFormat/>
    <w:uiPriority w:val="0"/>
    <w:rPr>
      <w:kern w:val="2"/>
      <w:sz w:val="21"/>
      <w:szCs w:val="24"/>
    </w:rPr>
  </w:style>
  <w:style w:type="character" w:customStyle="1" w:styleId="111">
    <w:name w:val="正文文本 3 Char1"/>
    <w:qFormat/>
    <w:uiPriority w:val="0"/>
    <w:rPr>
      <w:kern w:val="2"/>
      <w:sz w:val="16"/>
      <w:szCs w:val="16"/>
    </w:rPr>
  </w:style>
  <w:style w:type="character" w:customStyle="1" w:styleId="112">
    <w:name w:val="正文首行缩进 2 Char"/>
    <w:link w:val="46"/>
    <w:qFormat/>
    <w:uiPriority w:val="0"/>
    <w:rPr>
      <w:rFonts w:eastAsia="宋体"/>
      <w:kern w:val="2"/>
      <w:sz w:val="21"/>
      <w:szCs w:val="24"/>
    </w:rPr>
  </w:style>
  <w:style w:type="character" w:customStyle="1" w:styleId="113">
    <w:name w:val="标题 Char1"/>
    <w:qFormat/>
    <w:uiPriority w:val="10"/>
    <w:rPr>
      <w:rFonts w:ascii="Cambria" w:hAnsi="Cambria" w:cs="Times New Roman"/>
      <w:b/>
      <w:bCs/>
      <w:kern w:val="2"/>
      <w:sz w:val="32"/>
      <w:szCs w:val="32"/>
    </w:rPr>
  </w:style>
  <w:style w:type="character" w:customStyle="1" w:styleId="114">
    <w:name w:val="正文文本 2 Char"/>
    <w:link w:val="20"/>
    <w:qFormat/>
    <w:uiPriority w:val="0"/>
    <w:rPr>
      <w:rFonts w:ascii="宋体" w:hAnsi="宋体" w:cs="宋体"/>
      <w:sz w:val="24"/>
      <w:szCs w:val="24"/>
    </w:rPr>
  </w:style>
  <w:style w:type="character" w:customStyle="1" w:styleId="115">
    <w:name w:val="页脚 Char"/>
    <w:link w:val="32"/>
    <w:qFormat/>
    <w:uiPriority w:val="99"/>
    <w:rPr>
      <w:kern w:val="2"/>
      <w:sz w:val="18"/>
      <w:szCs w:val="18"/>
    </w:rPr>
  </w:style>
  <w:style w:type="character" w:customStyle="1" w:styleId="116">
    <w:name w:val="_Style 113"/>
    <w:qFormat/>
    <w:uiPriority w:val="0"/>
    <w:rPr>
      <w:i/>
      <w:iCs/>
      <w:color w:val="808080"/>
    </w:rPr>
  </w:style>
  <w:style w:type="character" w:customStyle="1" w:styleId="117">
    <w:name w:val="普通文字 Char"/>
    <w:qFormat/>
    <w:uiPriority w:val="0"/>
    <w:rPr>
      <w:rFonts w:ascii="宋体" w:hAnsi="Courier New" w:eastAsia="幼圆"/>
      <w:kern w:val="2"/>
      <w:sz w:val="21"/>
      <w:lang w:val="en-US" w:eastAsia="zh-CN" w:bidi="ar-SA"/>
    </w:rPr>
  </w:style>
  <w:style w:type="character" w:customStyle="1" w:styleId="118">
    <w:name w:val="正文文本 3 Char"/>
    <w:link w:val="18"/>
    <w:qFormat/>
    <w:uiPriority w:val="0"/>
    <w:rPr>
      <w:kern w:val="2"/>
      <w:sz w:val="16"/>
      <w:szCs w:val="16"/>
    </w:rPr>
  </w:style>
  <w:style w:type="character" w:customStyle="1" w:styleId="119">
    <w:name w:val="批注框文本 Char2"/>
    <w:qFormat/>
    <w:uiPriority w:val="99"/>
    <w:rPr>
      <w:kern w:val="2"/>
      <w:sz w:val="18"/>
      <w:szCs w:val="18"/>
    </w:rPr>
  </w:style>
  <w:style w:type="character" w:customStyle="1" w:styleId="120">
    <w:name w:val="正文文本缩进 Char"/>
    <w:link w:val="21"/>
    <w:qFormat/>
    <w:uiPriority w:val="0"/>
    <w:rPr>
      <w:kern w:val="2"/>
      <w:sz w:val="21"/>
      <w:szCs w:val="24"/>
    </w:rPr>
  </w:style>
  <w:style w:type="character" w:customStyle="1" w:styleId="121">
    <w:name w:val="明显引用 Char"/>
    <w:link w:val="95"/>
    <w:qFormat/>
    <w:uiPriority w:val="0"/>
    <w:rPr>
      <w:b/>
      <w:bCs/>
      <w:i/>
      <w:iCs/>
      <w:color w:val="4F81BD"/>
      <w:kern w:val="2"/>
      <w:sz w:val="21"/>
      <w:szCs w:val="22"/>
    </w:rPr>
  </w:style>
  <w:style w:type="character" w:customStyle="1" w:styleId="122">
    <w:name w:val="页眉 Char1"/>
    <w:semiHidden/>
    <w:qFormat/>
    <w:uiPriority w:val="99"/>
    <w:rPr>
      <w:kern w:val="2"/>
      <w:sz w:val="18"/>
      <w:szCs w:val="18"/>
    </w:rPr>
  </w:style>
  <w:style w:type="character" w:customStyle="1" w:styleId="123">
    <w:name w:val="批注框文本 Char1"/>
    <w:qFormat/>
    <w:uiPriority w:val="0"/>
    <w:rPr>
      <w:kern w:val="2"/>
      <w:sz w:val="18"/>
      <w:szCs w:val="18"/>
    </w:rPr>
  </w:style>
  <w:style w:type="character" w:customStyle="1" w:styleId="124">
    <w:name w:val="标题 Char"/>
    <w:link w:val="43"/>
    <w:qFormat/>
    <w:uiPriority w:val="0"/>
    <w:rPr>
      <w:rFonts w:ascii="Arial" w:hAnsi="Arial" w:cs="Arial"/>
      <w:b/>
      <w:bCs/>
      <w:kern w:val="2"/>
      <w:sz w:val="32"/>
      <w:szCs w:val="32"/>
    </w:rPr>
  </w:style>
  <w:style w:type="character" w:customStyle="1" w:styleId="125">
    <w:name w:val="font31"/>
    <w:qFormat/>
    <w:uiPriority w:val="0"/>
    <w:rPr>
      <w:rFonts w:hint="default" w:ascii="Times New Roman" w:hAnsi="Times New Roman" w:cs="Times New Roman"/>
      <w:color w:val="000000"/>
      <w:sz w:val="24"/>
      <w:szCs w:val="24"/>
      <w:u w:val="none"/>
    </w:rPr>
  </w:style>
  <w:style w:type="character" w:customStyle="1" w:styleId="126">
    <w:name w:val="textcontents"/>
    <w:qFormat/>
    <w:uiPriority w:val="0"/>
    <w:rPr>
      <w:rFonts w:cs="Times New Roman"/>
    </w:rPr>
  </w:style>
  <w:style w:type="character" w:customStyle="1" w:styleId="127">
    <w:name w:val="正文文本 Char1"/>
    <w:qFormat/>
    <w:uiPriority w:val="0"/>
    <w:rPr>
      <w:kern w:val="2"/>
      <w:sz w:val="21"/>
      <w:szCs w:val="22"/>
    </w:rPr>
  </w:style>
  <w:style w:type="character" w:customStyle="1" w:styleId="128">
    <w:name w:val="标题 5 Char"/>
    <w:link w:val="7"/>
    <w:qFormat/>
    <w:uiPriority w:val="0"/>
    <w:rPr>
      <w:rFonts w:ascii="Calibri" w:hAnsi="Calibri"/>
      <w:b/>
      <w:bCs/>
      <w:kern w:val="2"/>
      <w:sz w:val="28"/>
      <w:szCs w:val="28"/>
    </w:rPr>
  </w:style>
  <w:style w:type="character" w:customStyle="1" w:styleId="129">
    <w:name w:val="正文文本缩进 3 Char"/>
    <w:link w:val="37"/>
    <w:qFormat/>
    <w:uiPriority w:val="0"/>
    <w:rPr>
      <w:kern w:val="2"/>
      <w:sz w:val="16"/>
      <w:szCs w:val="16"/>
    </w:rPr>
  </w:style>
  <w:style w:type="character" w:customStyle="1" w:styleId="130">
    <w:name w:val="mail-contents"/>
    <w:basedOn w:val="49"/>
    <w:qFormat/>
    <w:uiPriority w:val="0"/>
  </w:style>
  <w:style w:type="character" w:customStyle="1" w:styleId="131">
    <w:name w:val="标题5 Char Char"/>
    <w:link w:val="72"/>
    <w:qFormat/>
    <w:uiPriority w:val="0"/>
    <w:rPr>
      <w:rFonts w:ascii="Arial" w:hAnsi="Arial"/>
      <w:b/>
      <w:bCs/>
      <w:sz w:val="24"/>
      <w:szCs w:val="32"/>
    </w:rPr>
  </w:style>
  <w:style w:type="character" w:customStyle="1" w:styleId="132">
    <w:name w:val="批注主题 Char1"/>
    <w:qFormat/>
    <w:uiPriority w:val="0"/>
    <w:rPr>
      <w:b/>
      <w:bCs/>
      <w:kern w:val="2"/>
      <w:sz w:val="21"/>
      <w:szCs w:val="22"/>
    </w:rPr>
  </w:style>
  <w:style w:type="character" w:customStyle="1" w:styleId="133">
    <w:name w:val="正文文本 Char"/>
    <w:link w:val="19"/>
    <w:qFormat/>
    <w:uiPriority w:val="0"/>
  </w:style>
  <w:style w:type="character" w:customStyle="1" w:styleId="134">
    <w:name w:val="副标题 Char1"/>
    <w:qFormat/>
    <w:uiPriority w:val="11"/>
    <w:rPr>
      <w:rFonts w:ascii="Cambria" w:hAnsi="Cambria" w:cs="Times New Roman"/>
      <w:b/>
      <w:bCs/>
      <w:kern w:val="28"/>
      <w:sz w:val="32"/>
      <w:szCs w:val="32"/>
    </w:rPr>
  </w:style>
  <w:style w:type="character" w:customStyle="1" w:styleId="135">
    <w:name w:val="apple-converted-space"/>
    <w:basedOn w:val="49"/>
    <w:qFormat/>
    <w:uiPriority w:val="99"/>
  </w:style>
  <w:style w:type="character" w:customStyle="1" w:styleId="136">
    <w:name w:val="标题 7 Char"/>
    <w:link w:val="9"/>
    <w:qFormat/>
    <w:uiPriority w:val="0"/>
    <w:rPr>
      <w:rFonts w:ascii="Calibri" w:hAnsi="Calibri"/>
      <w:b/>
      <w:bCs/>
      <w:kern w:val="2"/>
      <w:sz w:val="24"/>
      <w:szCs w:val="24"/>
    </w:rPr>
  </w:style>
  <w:style w:type="character" w:customStyle="1" w:styleId="137">
    <w:name w:val=" Char Char17"/>
    <w:qFormat/>
    <w:uiPriority w:val="0"/>
    <w:rPr>
      <w:rFonts w:ascii="Cambria" w:hAnsi="Cambria" w:eastAsia="宋体"/>
      <w:b/>
      <w:bCs/>
      <w:kern w:val="2"/>
      <w:sz w:val="32"/>
      <w:szCs w:val="32"/>
      <w:lang w:val="en-US" w:eastAsia="zh-CN" w:bidi="ar-SA"/>
    </w:rPr>
  </w:style>
  <w:style w:type="character" w:customStyle="1" w:styleId="138">
    <w:name w:val="日期 Char1"/>
    <w:qFormat/>
    <w:uiPriority w:val="0"/>
    <w:rPr>
      <w:kern w:val="2"/>
      <w:sz w:val="21"/>
      <w:szCs w:val="22"/>
    </w:rPr>
  </w:style>
  <w:style w:type="character" w:customStyle="1" w:styleId="139">
    <w:name w:val="正文文本 Char2"/>
    <w:qFormat/>
    <w:uiPriority w:val="99"/>
    <w:rPr>
      <w:kern w:val="2"/>
      <w:sz w:val="21"/>
      <w:szCs w:val="24"/>
    </w:rPr>
  </w:style>
  <w:style w:type="character" w:customStyle="1" w:styleId="140">
    <w:name w:val="页眉 Char"/>
    <w:link w:val="33"/>
    <w:qFormat/>
    <w:uiPriority w:val="0"/>
    <w:rPr>
      <w:kern w:val="2"/>
      <w:sz w:val="18"/>
      <w:szCs w:val="18"/>
    </w:rPr>
  </w:style>
  <w:style w:type="character" w:customStyle="1" w:styleId="141">
    <w:name w:val="明显引用 Char1"/>
    <w:qFormat/>
    <w:uiPriority w:val="30"/>
    <w:rPr>
      <w:b/>
      <w:bCs/>
      <w:i/>
      <w:iCs/>
      <w:color w:val="4F81BD"/>
      <w:kern w:val="2"/>
      <w:sz w:val="21"/>
      <w:szCs w:val="24"/>
    </w:rPr>
  </w:style>
  <w:style w:type="character" w:customStyle="1" w:styleId="142">
    <w:name w:val="引用 Char1"/>
    <w:qFormat/>
    <w:uiPriority w:val="29"/>
    <w:rPr>
      <w:i/>
      <w:iCs/>
      <w:color w:val="000000"/>
      <w:kern w:val="2"/>
      <w:sz w:val="21"/>
      <w:szCs w:val="24"/>
    </w:rPr>
  </w:style>
  <w:style w:type="character" w:customStyle="1" w:styleId="143">
    <w:name w:val="日期 Char2"/>
    <w:semiHidden/>
    <w:qFormat/>
    <w:uiPriority w:val="99"/>
    <w:rPr>
      <w:kern w:val="2"/>
      <w:sz w:val="21"/>
      <w:szCs w:val="22"/>
    </w:rPr>
  </w:style>
  <w:style w:type="character" w:customStyle="1" w:styleId="144">
    <w:name w:val=" Char Char18"/>
    <w:qFormat/>
    <w:uiPriority w:val="0"/>
    <w:rPr>
      <w:rFonts w:ascii="Calibri" w:hAnsi="Calibri" w:eastAsia="宋体"/>
      <w:b/>
      <w:bCs/>
      <w:kern w:val="44"/>
      <w:sz w:val="44"/>
      <w:szCs w:val="44"/>
      <w:lang w:val="en-US" w:eastAsia="zh-CN" w:bidi="ar-SA"/>
    </w:rPr>
  </w:style>
  <w:style w:type="character" w:customStyle="1" w:styleId="145">
    <w:name w:val="标题 2 Char"/>
    <w:link w:val="4"/>
    <w:qFormat/>
    <w:uiPriority w:val="0"/>
    <w:rPr>
      <w:rFonts w:ascii="Arial" w:hAnsi="Arial" w:eastAsia="黑体"/>
      <w:b/>
      <w:bCs/>
      <w:kern w:val="2"/>
      <w:sz w:val="32"/>
      <w:szCs w:val="32"/>
    </w:rPr>
  </w:style>
  <w:style w:type="character" w:customStyle="1" w:styleId="146">
    <w:name w:val="批注主题 Char2"/>
    <w:qFormat/>
    <w:uiPriority w:val="99"/>
    <w:rPr>
      <w:b/>
      <w:bCs/>
      <w:kern w:val="2"/>
      <w:sz w:val="21"/>
      <w:szCs w:val="24"/>
    </w:rPr>
  </w:style>
  <w:style w:type="character" w:customStyle="1" w:styleId="147">
    <w:name w:val="_Style 144"/>
    <w:qFormat/>
    <w:uiPriority w:val="0"/>
    <w:rPr>
      <w:b/>
      <w:bCs/>
      <w:i/>
      <w:iCs/>
      <w:color w:val="4F81BD"/>
    </w:rPr>
  </w:style>
  <w:style w:type="character" w:customStyle="1" w:styleId="148">
    <w:name w:val="文档结构图 Char"/>
    <w:link w:val="15"/>
    <w:qFormat/>
    <w:uiPriority w:val="0"/>
    <w:rPr>
      <w:rFonts w:eastAsia="宋体"/>
      <w:kern w:val="2"/>
      <w:sz w:val="21"/>
      <w:szCs w:val="24"/>
      <w:lang w:val="en-US" w:eastAsia="zh-CN" w:bidi="ar-SA"/>
    </w:rPr>
  </w:style>
  <w:style w:type="character" w:customStyle="1" w:styleId="149">
    <w:name w:val="纯文本 Char"/>
    <w:link w:val="27"/>
    <w:qFormat/>
    <w:uiPriority w:val="0"/>
    <w:rPr>
      <w:rFonts w:ascii="宋体" w:hAnsi="Courier New" w:cs="Courier New"/>
      <w:kern w:val="2"/>
      <w:sz w:val="21"/>
      <w:szCs w:val="21"/>
    </w:rPr>
  </w:style>
  <w:style w:type="character" w:customStyle="1" w:styleId="150">
    <w:name w:val="font161"/>
    <w:qFormat/>
    <w:uiPriority w:val="0"/>
    <w:rPr>
      <w:b/>
      <w:bCs/>
      <w:sz w:val="32"/>
      <w:szCs w:val="32"/>
    </w:rPr>
  </w:style>
  <w:style w:type="character" w:customStyle="1" w:styleId="151">
    <w:name w:val="标题 1 Char"/>
    <w:link w:val="3"/>
    <w:qFormat/>
    <w:uiPriority w:val="0"/>
    <w:rPr>
      <w:b/>
      <w:bCs/>
      <w:kern w:val="44"/>
      <w:sz w:val="32"/>
      <w:szCs w:val="44"/>
    </w:rPr>
  </w:style>
  <w:style w:type="character" w:customStyle="1" w:styleId="152">
    <w:name w:val="正文文本缩进 2 Char"/>
    <w:link w:val="30"/>
    <w:qFormat/>
    <w:uiPriority w:val="0"/>
    <w:rPr>
      <w:kern w:val="2"/>
      <w:sz w:val="28"/>
    </w:rPr>
  </w:style>
  <w:style w:type="character" w:customStyle="1" w:styleId="153">
    <w:name w:val="标题 9 Char"/>
    <w:link w:val="11"/>
    <w:qFormat/>
    <w:uiPriority w:val="0"/>
    <w:rPr>
      <w:rFonts w:ascii="Cambria" w:hAnsi="Cambria"/>
      <w:kern w:val="2"/>
      <w:sz w:val="21"/>
      <w:szCs w:val="21"/>
    </w:rPr>
  </w:style>
  <w:style w:type="character" w:customStyle="1" w:styleId="154">
    <w:name w:val="标题 6 Char"/>
    <w:link w:val="8"/>
    <w:qFormat/>
    <w:uiPriority w:val="0"/>
    <w:rPr>
      <w:rFonts w:ascii="Cambria" w:hAnsi="Cambria"/>
      <w:b/>
      <w:bCs/>
      <w:kern w:val="2"/>
      <w:sz w:val="24"/>
      <w:szCs w:val="24"/>
    </w:rPr>
  </w:style>
  <w:style w:type="character" w:customStyle="1" w:styleId="155">
    <w:name w:val="页脚 Char1"/>
    <w:semiHidden/>
    <w:qFormat/>
    <w:uiPriority w:val="99"/>
    <w:rPr>
      <w:kern w:val="2"/>
      <w:sz w:val="18"/>
      <w:szCs w:val="18"/>
    </w:rPr>
  </w:style>
  <w:style w:type="character" w:customStyle="1" w:styleId="156">
    <w:name w:val="批注框文本 Char"/>
    <w:link w:val="31"/>
    <w:qFormat/>
    <w:uiPriority w:val="0"/>
    <w:rPr>
      <w:kern w:val="2"/>
      <w:sz w:val="18"/>
      <w:szCs w:val="18"/>
    </w:rPr>
  </w:style>
  <w:style w:type="character" w:customStyle="1" w:styleId="157">
    <w:name w:val="正文缩进 Char"/>
    <w:link w:val="13"/>
    <w:qFormat/>
    <w:uiPriority w:val="0"/>
    <w:rPr>
      <w:kern w:val="2"/>
      <w:sz w:val="21"/>
    </w:rPr>
  </w:style>
  <w:style w:type="character" w:customStyle="1" w:styleId="158">
    <w:name w:val="文档结构图 Char2"/>
    <w:semiHidden/>
    <w:qFormat/>
    <w:uiPriority w:val="99"/>
    <w:rPr>
      <w:rFonts w:ascii="宋体"/>
      <w:kern w:val="2"/>
      <w:sz w:val="18"/>
      <w:szCs w:val="18"/>
    </w:rPr>
  </w:style>
  <w:style w:type="character" w:customStyle="1" w:styleId="159">
    <w:name w:val="font41"/>
    <w:qFormat/>
    <w:uiPriority w:val="0"/>
    <w:rPr>
      <w:rFonts w:hint="eastAsia" w:ascii="宋体" w:hAnsi="宋体" w:eastAsia="宋体" w:cs="宋体"/>
      <w:b/>
      <w:color w:val="000000"/>
      <w:sz w:val="20"/>
      <w:szCs w:val="20"/>
      <w:u w:val="none"/>
    </w:rPr>
  </w:style>
  <w:style w:type="character" w:customStyle="1" w:styleId="160">
    <w:name w:val="标题4 Char Char"/>
    <w:link w:val="94"/>
    <w:qFormat/>
    <w:uiPriority w:val="0"/>
    <w:rPr>
      <w:rFonts w:ascii="Arial" w:hAnsi="Arial"/>
      <w:b/>
      <w:bCs/>
      <w:sz w:val="24"/>
      <w:szCs w:val="32"/>
    </w:rPr>
  </w:style>
  <w:style w:type="character" w:customStyle="1" w:styleId="161">
    <w:name w:val="批注文字 Char Char"/>
    <w:qFormat/>
    <w:uiPriority w:val="0"/>
    <w:rPr>
      <w:rFonts w:ascii="宋体" w:hAnsi="Times New Roman" w:eastAsia="宋体" w:cs="Times New Roman"/>
      <w:sz w:val="28"/>
      <w:szCs w:val="20"/>
    </w:rPr>
  </w:style>
  <w:style w:type="character" w:customStyle="1" w:styleId="162">
    <w:name w:val="layui-this"/>
    <w:basedOn w:val="49"/>
    <w:qFormat/>
    <w:uiPriority w:val="0"/>
    <w:rPr>
      <w:bdr w:val="single" w:color="EEEEEE" w:sz="6" w:space="0"/>
      <w:shd w:val="clear" w:fill="FFFFFF"/>
    </w:rPr>
  </w:style>
  <w:style w:type="character" w:customStyle="1" w:styleId="163">
    <w:name w:val="first-child"/>
    <w:basedOn w:val="49"/>
    <w:qFormat/>
    <w:uiPriority w:val="0"/>
  </w:style>
  <w:style w:type="character" w:customStyle="1" w:styleId="164">
    <w:name w:val="hover"/>
    <w:basedOn w:val="49"/>
    <w:qFormat/>
    <w:uiPriority w:val="0"/>
    <w:rPr>
      <w:color w:val="5FB878"/>
    </w:rPr>
  </w:style>
  <w:style w:type="character" w:customStyle="1" w:styleId="165">
    <w:name w:val="hover1"/>
    <w:basedOn w:val="49"/>
    <w:qFormat/>
    <w:uiPriority w:val="0"/>
    <w:rPr>
      <w:color w:val="FFFFFF"/>
    </w:rPr>
  </w:style>
  <w:style w:type="character" w:customStyle="1" w:styleId="166">
    <w:name w:val="hover2"/>
    <w:basedOn w:val="49"/>
    <w:qFormat/>
    <w:uiPriority w:val="0"/>
    <w:rPr>
      <w:color w:val="5FB878"/>
    </w:rPr>
  </w:style>
  <w:style w:type="character" w:customStyle="1" w:styleId="167">
    <w:name w:val="hover21"/>
    <w:basedOn w:val="49"/>
    <w:qFormat/>
    <w:uiPriority w:val="0"/>
    <w:rPr>
      <w:color w:val="5FB878"/>
    </w:rPr>
  </w:style>
  <w:style w:type="character" w:customStyle="1" w:styleId="168">
    <w:name w:val="hover22"/>
    <w:basedOn w:val="49"/>
    <w:qFormat/>
    <w:uiPriority w:val="0"/>
    <w:rPr>
      <w:color w:val="FFFFFF"/>
    </w:rPr>
  </w:style>
  <w:style w:type="character" w:customStyle="1" w:styleId="169">
    <w:name w:val="hover23"/>
    <w:basedOn w:val="49"/>
    <w:qFormat/>
    <w:uiPriority w:val="0"/>
    <w:rPr>
      <w:color w:val="5FB878"/>
    </w:rPr>
  </w:style>
  <w:style w:type="character" w:customStyle="1" w:styleId="170">
    <w:name w:val="layui-this2"/>
    <w:basedOn w:val="49"/>
    <w:qFormat/>
    <w:uiPriority w:val="0"/>
    <w:rPr>
      <w:bdr w:val="single" w:color="EEEEEE" w:sz="6" w:space="0"/>
      <w:shd w:val="clear" w:fill="FFFFFF"/>
    </w:rPr>
  </w:style>
  <w:style w:type="character" w:customStyle="1" w:styleId="171">
    <w:name w:val="last-child"/>
    <w:basedOn w:val="49"/>
    <w:qFormat/>
    <w:uiPriority w:val="0"/>
  </w:style>
  <w:style w:type="character" w:customStyle="1" w:styleId="172">
    <w:name w:val="wp"/>
    <w:basedOn w:val="49"/>
    <w:qFormat/>
    <w:uiPriority w:val="0"/>
  </w:style>
  <w:style w:type="character" w:customStyle="1" w:styleId="173">
    <w:name w:val="w49b"/>
    <w:basedOn w:val="49"/>
    <w:qFormat/>
    <w:uiPriority w:val="0"/>
  </w:style>
  <w:style w:type="character" w:customStyle="1" w:styleId="174">
    <w:name w:val="more"/>
    <w:basedOn w:val="49"/>
    <w:qFormat/>
    <w:uiPriority w:val="0"/>
  </w:style>
  <w:style w:type="character" w:customStyle="1" w:styleId="175">
    <w:name w:val="ux"/>
    <w:basedOn w:val="49"/>
    <w:qFormat/>
    <w:uiPriority w:val="0"/>
    <w:rPr>
      <w:b/>
      <w:u w:val="single"/>
    </w:rPr>
  </w:style>
  <w:style w:type="character" w:customStyle="1" w:styleId="176">
    <w:name w:val="spacing5"/>
    <w:basedOn w:val="49"/>
    <w:qFormat/>
    <w:uiPriority w:val="0"/>
    <w:rPr>
      <w:spacing w:val="60"/>
    </w:rPr>
  </w:style>
  <w:style w:type="character" w:customStyle="1" w:styleId="177">
    <w:name w:val="time"/>
    <w:basedOn w:val="49"/>
    <w:qFormat/>
    <w:uiPriority w:val="0"/>
    <w:rPr>
      <w:color w:val="FFFFFF"/>
      <w:sz w:val="31"/>
      <w:szCs w:val="31"/>
      <w:shd w:val="clear" w:fill="3B84CD"/>
    </w:rPr>
  </w:style>
  <w:style w:type="character" w:customStyle="1" w:styleId="178">
    <w:name w:val="w40b"/>
    <w:basedOn w:val="49"/>
    <w:qFormat/>
    <w:uiPriority w:val="0"/>
  </w:style>
  <w:style w:type="character" w:customStyle="1" w:styleId="179">
    <w:name w:val="ck"/>
    <w:basedOn w:val="49"/>
    <w:qFormat/>
    <w:uiPriority w:val="0"/>
  </w:style>
  <w:style w:type="character" w:customStyle="1" w:styleId="180">
    <w:name w:val="ck1"/>
    <w:basedOn w:val="49"/>
    <w:qFormat/>
    <w:uiPriority w:val="0"/>
  </w:style>
  <w:style w:type="character" w:customStyle="1" w:styleId="181">
    <w:name w:val="pt"/>
    <w:basedOn w:val="49"/>
    <w:qFormat/>
    <w:uiPriority w:val="0"/>
  </w:style>
  <w:style w:type="character" w:customStyle="1" w:styleId="182">
    <w:name w:val="pt1"/>
    <w:basedOn w:val="49"/>
    <w:qFormat/>
    <w:uiPriority w:val="0"/>
  </w:style>
  <w:style w:type="character" w:customStyle="1" w:styleId="183">
    <w:name w:val="pt2"/>
    <w:basedOn w:val="49"/>
    <w:qFormat/>
    <w:uiPriority w:val="0"/>
  </w:style>
  <w:style w:type="character" w:customStyle="1" w:styleId="184">
    <w:name w:val="sc"/>
    <w:basedOn w:val="49"/>
    <w:qFormat/>
    <w:uiPriority w:val="0"/>
  </w:style>
  <w:style w:type="character" w:customStyle="1" w:styleId="185">
    <w:name w:val="sc1"/>
    <w:basedOn w:val="49"/>
    <w:qFormat/>
    <w:uiPriority w:val="0"/>
  </w:style>
  <w:style w:type="character" w:customStyle="1" w:styleId="186">
    <w:name w:val="w32b"/>
    <w:basedOn w:val="49"/>
    <w:qFormat/>
    <w:uiPriority w:val="0"/>
  </w:style>
  <w:style w:type="character" w:customStyle="1" w:styleId="187">
    <w:name w:val="w29b"/>
    <w:basedOn w:val="49"/>
    <w:qFormat/>
    <w:uiPriority w:val="0"/>
  </w:style>
  <w:style w:type="character" w:customStyle="1" w:styleId="188">
    <w:name w:val="w80b"/>
    <w:basedOn w:val="49"/>
    <w:qFormat/>
    <w:uiPriority w:val="0"/>
  </w:style>
  <w:style w:type="character" w:customStyle="1" w:styleId="189">
    <w:name w:val="w55b"/>
    <w:basedOn w:val="49"/>
    <w:qFormat/>
    <w:uiPriority w:val="0"/>
  </w:style>
  <w:style w:type="character" w:customStyle="1" w:styleId="190">
    <w:name w:val="w50b"/>
    <w:basedOn w:val="49"/>
    <w:qFormat/>
    <w:uiPriority w:val="0"/>
  </w:style>
  <w:style w:type="character" w:customStyle="1" w:styleId="191">
    <w:name w:val="w35b"/>
    <w:basedOn w:val="49"/>
    <w:qFormat/>
    <w:uiPriority w:val="0"/>
  </w:style>
  <w:style w:type="character" w:customStyle="1" w:styleId="192">
    <w:name w:val="w34b"/>
    <w:basedOn w:val="49"/>
    <w:qFormat/>
    <w:uiPriority w:val="0"/>
  </w:style>
  <w:style w:type="character" w:customStyle="1" w:styleId="193">
    <w:name w:val="w60b4"/>
    <w:basedOn w:val="49"/>
    <w:qFormat/>
    <w:uiPriority w:val="0"/>
  </w:style>
  <w:style w:type="character" w:customStyle="1" w:styleId="194">
    <w:name w:val="w19b"/>
    <w:basedOn w:val="49"/>
    <w:qFormat/>
    <w:uiPriority w:val="0"/>
  </w:style>
  <w:style w:type="character" w:customStyle="1" w:styleId="195">
    <w:name w:val="w72b"/>
    <w:basedOn w:val="49"/>
    <w:qFormat/>
    <w:uiPriority w:val="0"/>
  </w:style>
  <w:style w:type="character" w:customStyle="1" w:styleId="196">
    <w:name w:val="zybh"/>
    <w:basedOn w:val="49"/>
    <w:qFormat/>
    <w:uiPriority w:val="0"/>
    <w:rPr>
      <w:b/>
      <w:color w:val="F9A156"/>
    </w:rPr>
  </w:style>
  <w:style w:type="character" w:customStyle="1" w:styleId="197">
    <w:name w:val="zybh1"/>
    <w:basedOn w:val="49"/>
    <w:qFormat/>
    <w:uiPriority w:val="0"/>
    <w:rPr>
      <w:color w:val="51BDA7"/>
    </w:rPr>
  </w:style>
  <w:style w:type="character" w:customStyle="1" w:styleId="198">
    <w:name w:val="id"/>
    <w:basedOn w:val="49"/>
    <w:qFormat/>
    <w:uiPriority w:val="0"/>
    <w:rPr>
      <w:color w:val="FFFFFF"/>
      <w:shd w:val="clear" w:fill="3B84CD"/>
    </w:rPr>
  </w:style>
  <w:style w:type="character" w:customStyle="1" w:styleId="199">
    <w:name w:val="hover27"/>
    <w:basedOn w:val="49"/>
    <w:qFormat/>
    <w:uiPriority w:val="0"/>
    <w:rPr>
      <w:shd w:val="clear" w:fill="EEEEEE"/>
    </w:rPr>
  </w:style>
  <w:style w:type="character" w:customStyle="1" w:styleId="200">
    <w:name w:val="w60b"/>
    <w:basedOn w:val="49"/>
    <w:qFormat/>
    <w:uiPriority w:val="0"/>
  </w:style>
  <w:style w:type="character" w:customStyle="1" w:styleId="201">
    <w:name w:val="w49b2"/>
    <w:basedOn w:val="49"/>
    <w:qFormat/>
    <w:uiPriority w:val="0"/>
  </w:style>
  <w:style w:type="character" w:customStyle="1" w:styleId="202">
    <w:name w:val="more2"/>
    <w:basedOn w:val="49"/>
    <w:qFormat/>
    <w:uiPriority w:val="0"/>
  </w:style>
  <w:style w:type="character" w:customStyle="1" w:styleId="203">
    <w:name w:val="hover31"/>
    <w:basedOn w:val="49"/>
    <w:qFormat/>
    <w:uiPriority w:val="0"/>
    <w:rPr>
      <w:shd w:val="clear" w:fill="EEEEEE"/>
    </w:rPr>
  </w:style>
  <w:style w:type="character" w:customStyle="1" w:styleId="204">
    <w:name w:val="last-child2"/>
    <w:basedOn w:val="49"/>
    <w:qFormat/>
    <w:uiPriority w:val="0"/>
  </w:style>
  <w:style w:type="character" w:customStyle="1" w:styleId="205">
    <w:name w:val="w40b4"/>
    <w:basedOn w:val="49"/>
    <w:qFormat/>
    <w:uiPriority w:val="0"/>
  </w:style>
  <w:style w:type="character" w:customStyle="1" w:styleId="206">
    <w:name w:val="w50b4"/>
    <w:basedOn w:val="49"/>
    <w:qFormat/>
    <w:uiPriority w:val="0"/>
  </w:style>
  <w:style w:type="character" w:customStyle="1" w:styleId="207">
    <w:name w:val="w80b2"/>
    <w:basedOn w:val="49"/>
    <w:qFormat/>
    <w:uiPriority w:val="0"/>
  </w:style>
  <w:style w:type="character" w:customStyle="1" w:styleId="208">
    <w:name w:val="w72b2"/>
    <w:basedOn w:val="49"/>
    <w:qFormat/>
    <w:uiPriority w:val="0"/>
  </w:style>
  <w:style w:type="character" w:customStyle="1" w:styleId="209">
    <w:name w:val="fresh"/>
    <w:basedOn w:val="49"/>
    <w:qFormat/>
    <w:uiPriority w:val="0"/>
  </w:style>
  <w:style w:type="character" w:customStyle="1" w:styleId="210">
    <w:name w:val="fresh1"/>
    <w:basedOn w:val="49"/>
    <w:qFormat/>
    <w:uiPriority w:val="0"/>
  </w:style>
  <w:style w:type="paragraph" w:customStyle="1" w:styleId="2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18939</Words>
  <Characters>19976</Characters>
  <Lines>140</Lines>
  <Paragraphs>39</Paragraphs>
  <TotalTime>5</TotalTime>
  <ScaleCrop>false</ScaleCrop>
  <LinksUpToDate>false</LinksUpToDate>
  <CharactersWithSpaces>21761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2018-07-17T08:14:00Z</dcterms:created>
  <dc:creator>微软用户</dc:creator>
  <cp:lastModifiedBy>代树正</cp:lastModifiedBy>
  <cp:lastPrinted>2020-11-11T07:10:00Z</cp:lastPrinted>
  <dcterms:modified xsi:type="dcterms:W3CDTF">2025-07-11T00:33:54Z</dcterms:modified>
  <dc:title>附件1：招标评分办法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37F243101C65430F9D998ACF70DCA652</vt:lpwstr>
  </property>
  <property fmtid="{D5CDD505-2E9C-101B-9397-08002B2CF9AE}" pid="4" name="KSOTemplateDocerSaveRecord">
    <vt:lpwstr>eyJoZGlkIjoiZDZlYTAxMjNmNDRjZDRjOTQyZjMwMzBkMmRkNzYzYTgiLCJ1c2VySWQiOiIyMjg4MjU1MDUifQ==</vt:lpwstr>
  </property>
</Properties>
</file>