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44"/>
          <w:szCs w:val="44"/>
          <w:highlight w:val="none"/>
        </w:rPr>
      </w:pPr>
    </w:p>
    <w:p>
      <w:pPr>
        <w:spacing w:line="360" w:lineRule="auto"/>
        <w:jc w:val="distribute"/>
        <w:rPr>
          <w:rFonts w:hint="eastAsia" w:ascii="宋体" w:hAnsi="宋体" w:eastAsia="宋体" w:cs="宋体"/>
          <w:b/>
          <w:bCs/>
          <w:color w:val="auto"/>
          <w:spacing w:val="1"/>
          <w:w w:val="40"/>
          <w:kern w:val="0"/>
          <w:sz w:val="96"/>
          <w:szCs w:val="96"/>
          <w:highlight w:val="none"/>
          <w:fitText w:val="8800" w:id="232787268"/>
          <w:lang w:eastAsia="zh-CN"/>
        </w:rPr>
      </w:pPr>
      <w:r>
        <w:rPr>
          <w:rFonts w:hint="eastAsia" w:ascii="宋体" w:hAnsi="宋体" w:eastAsia="宋体" w:cs="宋体"/>
          <w:b/>
          <w:bCs/>
          <w:color w:val="auto"/>
          <w:spacing w:val="1"/>
          <w:w w:val="40"/>
          <w:kern w:val="0"/>
          <w:sz w:val="96"/>
          <w:szCs w:val="96"/>
          <w:highlight w:val="none"/>
          <w:fitText w:val="8800" w:id="232787268"/>
          <w:lang w:eastAsia="zh-CN"/>
        </w:rPr>
        <w:t>睢县农业农村局睢县2024年小麦“一喷三防”项</w:t>
      </w:r>
      <w:r>
        <w:rPr>
          <w:rFonts w:hint="eastAsia" w:ascii="宋体" w:hAnsi="宋体" w:eastAsia="宋体" w:cs="宋体"/>
          <w:b/>
          <w:bCs/>
          <w:color w:val="auto"/>
          <w:spacing w:val="38"/>
          <w:w w:val="40"/>
          <w:kern w:val="0"/>
          <w:sz w:val="96"/>
          <w:szCs w:val="96"/>
          <w:highlight w:val="none"/>
          <w:fitText w:val="8800" w:id="232787268"/>
          <w:lang w:eastAsia="zh-CN"/>
        </w:rPr>
        <w:t>目</w:t>
      </w:r>
    </w:p>
    <w:p>
      <w:pPr>
        <w:pStyle w:val="117"/>
        <w:spacing w:line="360" w:lineRule="auto"/>
        <w:ind w:firstLine="0" w:firstLineChars="0"/>
        <w:jc w:val="center"/>
        <w:rPr>
          <w:rFonts w:hint="eastAsia" w:ascii="宋体" w:hAnsi="宋体" w:eastAsia="宋体" w:cs="宋体"/>
          <w:b/>
          <w:color w:val="auto"/>
          <w:sz w:val="78"/>
          <w:highlight w:val="none"/>
          <w:lang w:eastAsia="zh-CN"/>
        </w:rPr>
      </w:pPr>
      <w:bookmarkStart w:id="0" w:name="_Toc487476178"/>
      <w:bookmarkStart w:id="1" w:name="_Toc487462757"/>
      <w:r>
        <w:rPr>
          <w:rFonts w:hint="eastAsia" w:ascii="宋体" w:hAnsi="宋体" w:cs="宋体"/>
          <w:b/>
          <w:color w:val="auto"/>
          <w:sz w:val="44"/>
          <w:szCs w:val="11"/>
          <w:highlight w:val="none"/>
          <w:lang w:eastAsia="zh-CN"/>
        </w:rPr>
        <w:t>（</w:t>
      </w:r>
      <w:r>
        <w:rPr>
          <w:rFonts w:hint="eastAsia" w:ascii="宋体" w:hAnsi="宋体" w:cs="宋体"/>
          <w:b/>
          <w:color w:val="auto"/>
          <w:sz w:val="44"/>
          <w:szCs w:val="11"/>
          <w:highlight w:val="none"/>
          <w:lang w:val="en-US" w:eastAsia="zh-CN"/>
        </w:rPr>
        <w:t>第7标包</w:t>
      </w:r>
      <w:r>
        <w:rPr>
          <w:rFonts w:hint="eastAsia" w:ascii="宋体" w:hAnsi="宋体" w:cs="宋体"/>
          <w:b/>
          <w:color w:val="auto"/>
          <w:sz w:val="44"/>
          <w:szCs w:val="11"/>
          <w:highlight w:val="none"/>
          <w:lang w:eastAsia="zh-CN"/>
        </w:rPr>
        <w:t>）</w:t>
      </w:r>
    </w:p>
    <w:p>
      <w:pPr>
        <w:pStyle w:val="117"/>
        <w:spacing w:line="360" w:lineRule="auto"/>
        <w:ind w:firstLine="0" w:firstLineChars="0"/>
        <w:jc w:val="center"/>
        <w:rPr>
          <w:rFonts w:ascii="宋体" w:hAnsi="宋体" w:cs="宋体"/>
          <w:b/>
          <w:color w:val="auto"/>
          <w:sz w:val="96"/>
          <w:szCs w:val="21"/>
          <w:highlight w:val="none"/>
        </w:rPr>
      </w:pPr>
    </w:p>
    <w:p>
      <w:pPr>
        <w:pStyle w:val="117"/>
        <w:spacing w:line="360" w:lineRule="auto"/>
        <w:ind w:firstLine="0" w:firstLineChars="0"/>
        <w:jc w:val="center"/>
        <w:rPr>
          <w:rFonts w:ascii="宋体" w:hAnsi="宋体" w:cs="宋体"/>
          <w:b/>
          <w:color w:val="auto"/>
          <w:sz w:val="78"/>
          <w:highlight w:val="none"/>
        </w:rPr>
      </w:pPr>
      <w:r>
        <w:rPr>
          <w:rFonts w:hint="eastAsia" w:ascii="宋体" w:hAnsi="宋体" w:cs="宋体"/>
          <w:b/>
          <w:color w:val="auto"/>
          <w:sz w:val="96"/>
          <w:szCs w:val="21"/>
          <w:highlight w:val="none"/>
        </w:rPr>
        <w:t>招 标 文 件</w:t>
      </w:r>
      <w:bookmarkEnd w:id="0"/>
      <w:bookmarkEnd w:id="1"/>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480" w:lineRule="auto"/>
        <w:ind w:left="611" w:leftChars="291" w:firstLine="662" w:firstLineChars="207"/>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采购人（盖章）：</w:t>
      </w:r>
      <w:r>
        <w:rPr>
          <w:rFonts w:hint="eastAsia" w:ascii="宋体" w:hAnsi="宋体" w:cs="宋体"/>
          <w:color w:val="auto"/>
          <w:sz w:val="32"/>
          <w:szCs w:val="32"/>
          <w:highlight w:val="none"/>
          <w:u w:val="single"/>
          <w:lang w:eastAsia="zh-CN"/>
        </w:rPr>
        <w:t>睢县农业农村局</w:t>
      </w:r>
      <w:r>
        <w:rPr>
          <w:rFonts w:hint="eastAsia" w:ascii="宋体" w:hAnsi="宋体" w:cs="宋体"/>
          <w:color w:val="auto"/>
          <w:sz w:val="32"/>
          <w:szCs w:val="32"/>
          <w:highlight w:val="none"/>
          <w:u w:val="single"/>
        </w:rPr>
        <w:t xml:space="preserve">  </w:t>
      </w:r>
    </w:p>
    <w:p>
      <w:pPr>
        <w:spacing w:line="480" w:lineRule="auto"/>
        <w:ind w:left="611" w:leftChars="291" w:firstLine="662" w:firstLineChars="207"/>
        <w:rPr>
          <w:rFonts w:ascii="宋体" w:hAnsi="宋体" w:cs="宋体"/>
          <w:color w:val="auto"/>
          <w:sz w:val="32"/>
          <w:szCs w:val="32"/>
          <w:highlight w:val="none"/>
        </w:rPr>
      </w:pPr>
      <w:r>
        <w:rPr>
          <w:rFonts w:hint="eastAsia" w:ascii="宋体" w:hAnsi="宋体" w:cs="宋体"/>
          <w:color w:val="auto"/>
          <w:sz w:val="32"/>
          <w:szCs w:val="32"/>
          <w:highlight w:val="none"/>
        </w:rPr>
        <w:t>招标代理机构  ：</w:t>
      </w:r>
      <w:r>
        <w:rPr>
          <w:rFonts w:hint="eastAsia" w:ascii="宋体" w:hAnsi="宋体" w:cs="宋体"/>
          <w:color w:val="auto"/>
          <w:sz w:val="32"/>
          <w:szCs w:val="32"/>
          <w:highlight w:val="none"/>
          <w:u w:val="single"/>
          <w:lang w:eastAsia="zh-CN"/>
        </w:rPr>
        <w:t>山西众恒工程招标代理有限公司</w:t>
      </w:r>
      <w:r>
        <w:rPr>
          <w:rFonts w:hint="eastAsia" w:ascii="宋体" w:hAnsi="宋体" w:cs="宋体"/>
          <w:color w:val="auto"/>
          <w:sz w:val="32"/>
          <w:szCs w:val="32"/>
          <w:highlight w:val="none"/>
        </w:rPr>
        <w:t xml:space="preserve"> </w:t>
      </w:r>
    </w:p>
    <w:p>
      <w:pPr>
        <w:ind w:firstLine="1280" w:firstLineChars="400"/>
        <w:rPr>
          <w:rFonts w:hint="eastAsia"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编  制  日  期：</w:t>
      </w:r>
      <w:r>
        <w:rPr>
          <w:rFonts w:hint="eastAsia" w:ascii="宋体" w:hAnsi="宋体" w:cs="宋体"/>
          <w:color w:val="auto"/>
          <w:sz w:val="32"/>
          <w:szCs w:val="32"/>
          <w:highlight w:val="none"/>
          <w:u w:val="single"/>
        </w:rPr>
        <w:t xml:space="preserve">  202</w:t>
      </w:r>
      <w:r>
        <w:rPr>
          <w:rFonts w:hint="eastAsia" w:ascii="宋体" w:hAnsi="宋体" w:cs="宋体"/>
          <w:color w:val="auto"/>
          <w:sz w:val="32"/>
          <w:szCs w:val="32"/>
          <w:highlight w:val="none"/>
          <w:u w:val="single"/>
          <w:lang w:val="en-US" w:eastAsia="zh-CN"/>
        </w:rPr>
        <w:t>4</w:t>
      </w:r>
      <w:r>
        <w:rPr>
          <w:rFonts w:hint="eastAsia" w:ascii="宋体" w:hAnsi="宋体" w:cs="宋体"/>
          <w:color w:val="auto"/>
          <w:sz w:val="32"/>
          <w:szCs w:val="32"/>
          <w:highlight w:val="none"/>
          <w:u w:val="single"/>
        </w:rPr>
        <w:t xml:space="preserve"> 年</w:t>
      </w:r>
      <w:r>
        <w:rPr>
          <w:rFonts w:hint="eastAsia" w:ascii="宋体" w:hAnsi="宋体" w:cs="宋体"/>
          <w:color w:val="auto"/>
          <w:sz w:val="32"/>
          <w:szCs w:val="32"/>
          <w:highlight w:val="none"/>
          <w:u w:val="single"/>
          <w:lang w:val="en-US" w:eastAsia="zh-CN"/>
        </w:rPr>
        <w:t>3</w:t>
      </w:r>
      <w:r>
        <w:rPr>
          <w:rFonts w:hint="eastAsia" w:ascii="宋体" w:hAnsi="宋体" w:cs="宋体"/>
          <w:color w:val="auto"/>
          <w:sz w:val="32"/>
          <w:szCs w:val="32"/>
          <w:highlight w:val="none"/>
          <w:u w:val="single"/>
        </w:rPr>
        <w:t>月</w:t>
      </w:r>
      <w:bookmarkStart w:id="2" w:name="_Toc246996898"/>
      <w:bookmarkStart w:id="3" w:name="_Toc296602400"/>
      <w:bookmarkStart w:id="4" w:name="_Toc247085669"/>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pPr>
        <w:jc w:val="center"/>
        <w:rPr>
          <w:rFonts w:ascii="宋体" w:hAnsi="宋体" w:cs="宋体"/>
          <w:color w:val="auto"/>
          <w:sz w:val="32"/>
          <w:szCs w:val="32"/>
          <w:highlight w:val="none"/>
          <w:u w:val="single"/>
        </w:rPr>
      </w:pPr>
    </w:p>
    <w:p>
      <w:pPr>
        <w:jc w:val="center"/>
        <w:rPr>
          <w:rFonts w:ascii="宋体" w:hAnsi="宋体" w:cs="宋体"/>
          <w:color w:val="auto"/>
          <w:sz w:val="32"/>
          <w:szCs w:val="32"/>
          <w:highlight w:val="none"/>
          <w:u w:val="single"/>
        </w:rPr>
      </w:pPr>
    </w:p>
    <w:p>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jc w:val="center"/>
        <w:rPr>
          <w:rFonts w:ascii="宋体" w:hAnsi="宋体" w:cs="宋体"/>
          <w:color w:val="auto"/>
          <w:sz w:val="30"/>
          <w:szCs w:val="30"/>
          <w:highlight w:val="none"/>
        </w:rPr>
      </w:pPr>
      <w:r>
        <w:rPr>
          <w:rFonts w:hint="eastAsia" w:ascii="宋体" w:hAnsi="宋体" w:cs="宋体"/>
          <w:color w:val="auto"/>
          <w:sz w:val="30"/>
          <w:szCs w:val="30"/>
          <w:highlight w:val="none"/>
        </w:rPr>
        <w:t>目   录</w:t>
      </w:r>
      <w:bookmarkEnd w:id="2"/>
      <w:bookmarkEnd w:id="3"/>
      <w:bookmarkEnd w:id="4"/>
    </w:p>
    <w:p>
      <w:pPr>
        <w:pStyle w:val="29"/>
        <w:tabs>
          <w:tab w:val="right" w:leader="dot" w:pos="9072"/>
        </w:tabs>
        <w:rPr>
          <w:color w:val="auto"/>
          <w:highlight w:val="none"/>
        </w:rPr>
      </w:pPr>
      <w:bookmarkStart w:id="5" w:name="_Toc289241344"/>
      <w:bookmarkStart w:id="6" w:name="_Toc289241521"/>
      <w:bookmarkStart w:id="7" w:name="_Toc338840184"/>
      <w:bookmarkStart w:id="8" w:name="_Toc338840439"/>
      <w:r>
        <w:rPr>
          <w:rFonts w:hint="eastAsia" w:ascii="宋体" w:hAnsi="宋体" w:cs="宋体"/>
          <w:b w:val="0"/>
          <w:bCs w:val="0"/>
          <w:iCs/>
          <w:color w:val="auto"/>
          <w:sz w:val="22"/>
          <w:szCs w:val="32"/>
          <w:highlight w:val="none"/>
        </w:rPr>
        <w:fldChar w:fldCharType="begin"/>
      </w:r>
      <w:r>
        <w:rPr>
          <w:rFonts w:hint="eastAsia" w:ascii="宋体" w:hAnsi="宋体" w:cs="宋体"/>
          <w:b w:val="0"/>
          <w:bCs w:val="0"/>
          <w:iCs/>
          <w:color w:val="auto"/>
          <w:sz w:val="22"/>
          <w:szCs w:val="32"/>
          <w:highlight w:val="none"/>
        </w:rPr>
        <w:instrText xml:space="preserve"> TOC \o "1-2" \h \z \u </w:instrText>
      </w:r>
      <w:r>
        <w:rPr>
          <w:rFonts w:hint="eastAsia" w:ascii="宋体" w:hAnsi="宋体" w:cs="宋体"/>
          <w:b w:val="0"/>
          <w:bCs w:val="0"/>
          <w:iCs/>
          <w:color w:val="auto"/>
          <w:sz w:val="22"/>
          <w:szCs w:val="32"/>
          <w:highlight w:val="none"/>
        </w:rPr>
        <w:fldChar w:fldCharType="separate"/>
      </w:r>
      <w:r>
        <w:rPr>
          <w:rFonts w:hint="eastAsia" w:ascii="宋体" w:hAnsi="宋体" w:cs="宋体"/>
          <w:bCs w:val="0"/>
          <w:iCs/>
          <w:color w:val="auto"/>
          <w:szCs w:val="32"/>
          <w:highlight w:val="none"/>
        </w:rPr>
        <w:fldChar w:fldCharType="begin"/>
      </w:r>
      <w:r>
        <w:rPr>
          <w:rFonts w:hint="eastAsia" w:ascii="宋体" w:hAnsi="宋体" w:cs="宋体"/>
          <w:bCs w:val="0"/>
          <w:iCs/>
          <w:color w:val="auto"/>
          <w:szCs w:val="32"/>
          <w:highlight w:val="none"/>
        </w:rPr>
        <w:instrText xml:space="preserve"> HYPERLINK \l _Toc21634 </w:instrText>
      </w:r>
      <w:r>
        <w:rPr>
          <w:rFonts w:hint="eastAsia" w:ascii="宋体" w:hAnsi="宋体" w:cs="宋体"/>
          <w:bCs w:val="0"/>
          <w:iCs/>
          <w:color w:val="auto"/>
          <w:szCs w:val="32"/>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_Toc21634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val="0"/>
          <w:iCs/>
          <w:color w:val="auto"/>
          <w:szCs w:val="3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_Toc9028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_Toc9028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_Toc2605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_Toc10453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_Toc10453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_Toc11232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_Toc11232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_Toc14888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_Toc14888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_Toc27590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_Toc27590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_Toc6524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_Toc6524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_Toc216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_Toc216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_Toc4280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_Toc2289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_Toc2289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_Toc31662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_Toc31662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_Toc22637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第三章 评标办法（综合评分法）</w:t>
      </w:r>
      <w:r>
        <w:rPr>
          <w:color w:val="auto"/>
          <w:highlight w:val="none"/>
        </w:rPr>
        <w:tab/>
      </w:r>
      <w:r>
        <w:rPr>
          <w:color w:val="auto"/>
          <w:highlight w:val="none"/>
        </w:rPr>
        <w:fldChar w:fldCharType="begin"/>
      </w:r>
      <w:r>
        <w:rPr>
          <w:color w:val="auto"/>
          <w:highlight w:val="none"/>
        </w:rPr>
        <w:instrText xml:space="preserve"> PAGEREF _Toc22637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_Toc3514 </w:instrText>
      </w:r>
      <w:r>
        <w:rPr>
          <w:rFonts w:hint="eastAsia" w:ascii="宋体" w:hAnsi="宋体" w:cs="宋体"/>
          <w:iCs/>
          <w:color w:val="auto"/>
          <w:kern w:val="2"/>
          <w:highlight w:val="none"/>
        </w:rPr>
        <w:fldChar w:fldCharType="separate"/>
      </w:r>
      <w:r>
        <w:rPr>
          <w:rFonts w:hint="eastAsia" w:cs="Times New Roman"/>
          <w:color w:val="auto"/>
          <w:highlight w:val="none"/>
        </w:rPr>
        <w:t>1、评标办法前附表</w:t>
      </w:r>
      <w:r>
        <w:rPr>
          <w:color w:val="auto"/>
          <w:highlight w:val="none"/>
        </w:rPr>
        <w:tab/>
      </w:r>
      <w:r>
        <w:rPr>
          <w:color w:val="auto"/>
          <w:highlight w:val="none"/>
        </w:rPr>
        <w:fldChar w:fldCharType="begin"/>
      </w:r>
      <w:r>
        <w:rPr>
          <w:color w:val="auto"/>
          <w:highlight w:val="none"/>
        </w:rPr>
        <w:instrText xml:space="preserve"> PAGEREF _Toc3514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_Toc3050 </w:instrText>
      </w:r>
      <w:r>
        <w:rPr>
          <w:rFonts w:hint="eastAsia" w:ascii="宋体" w:hAnsi="宋体" w:cs="宋体"/>
          <w:iCs/>
          <w:color w:val="auto"/>
          <w:kern w:val="2"/>
          <w:highlight w:val="none"/>
        </w:rPr>
        <w:fldChar w:fldCharType="separate"/>
      </w:r>
      <w:r>
        <w:rPr>
          <w:rFonts w:hint="eastAsia"/>
          <w:color w:val="auto"/>
          <w:highlight w:val="none"/>
        </w:rPr>
        <w:t>2、评分标准</w:t>
      </w:r>
      <w:r>
        <w:rPr>
          <w:color w:val="auto"/>
          <w:highlight w:val="none"/>
        </w:rPr>
        <w:tab/>
      </w:r>
      <w:r>
        <w:rPr>
          <w:color w:val="auto"/>
          <w:highlight w:val="none"/>
        </w:rPr>
        <w:fldChar w:fldCharType="begin"/>
      </w:r>
      <w:r>
        <w:rPr>
          <w:color w:val="auto"/>
          <w:highlight w:val="none"/>
        </w:rPr>
        <w:instrText xml:space="preserve"> PAGEREF _Toc3050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_Toc29956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_Toc29956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_Toc5346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_Toc5346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_Toc20787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_Toc20787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_Toc50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附件A:评标程序补充</w:t>
      </w:r>
      <w:r>
        <w:rPr>
          <w:color w:val="auto"/>
          <w:highlight w:val="none"/>
        </w:rPr>
        <w:tab/>
      </w:r>
      <w:r>
        <w:rPr>
          <w:color w:val="auto"/>
          <w:highlight w:val="none"/>
        </w:rPr>
        <w:fldChar w:fldCharType="begin"/>
      </w:r>
      <w:r>
        <w:rPr>
          <w:color w:val="auto"/>
          <w:highlight w:val="none"/>
        </w:rPr>
        <w:instrText xml:space="preserve"> PAGEREF _Toc50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_Toc24657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附件B：无效标条件</w:t>
      </w:r>
      <w:r>
        <w:rPr>
          <w:color w:val="auto"/>
          <w:highlight w:val="none"/>
        </w:rPr>
        <w:tab/>
      </w:r>
      <w:r>
        <w:rPr>
          <w:color w:val="auto"/>
          <w:highlight w:val="none"/>
        </w:rPr>
        <w:fldChar w:fldCharType="begin"/>
      </w:r>
      <w:r>
        <w:rPr>
          <w:color w:val="auto"/>
          <w:highlight w:val="none"/>
        </w:rPr>
        <w:instrText xml:space="preserve"> PAGEREF _Toc24657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_Toc28112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_Toc28112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_Toc7213 </w:instrText>
      </w:r>
      <w:r>
        <w:rPr>
          <w:rFonts w:hint="eastAsia" w:ascii="宋体" w:hAnsi="宋体" w:cs="宋体"/>
          <w:iCs/>
          <w:color w:val="auto"/>
          <w:kern w:val="2"/>
          <w:highlight w:val="none"/>
        </w:rPr>
        <w:fldChar w:fldCharType="separate"/>
      </w:r>
      <w:r>
        <w:rPr>
          <w:rFonts w:hint="eastAsia" w:ascii="宋体" w:hAnsi="宋体" w:cs="仿宋"/>
          <w:color w:val="auto"/>
          <w:szCs w:val="32"/>
          <w:highlight w:val="none"/>
        </w:rPr>
        <w:t>第一部分</w:t>
      </w:r>
      <w:r>
        <w:rPr>
          <w:rFonts w:ascii="宋体" w:hAnsi="宋体" w:cs="仿宋"/>
          <w:color w:val="auto"/>
          <w:szCs w:val="32"/>
          <w:highlight w:val="none"/>
        </w:rPr>
        <w:t xml:space="preserve"> </w:t>
      </w:r>
      <w:r>
        <w:rPr>
          <w:rFonts w:hint="eastAsia" w:ascii="宋体" w:hAnsi="宋体" w:cs="仿宋"/>
          <w:color w:val="auto"/>
          <w:szCs w:val="32"/>
          <w:highlight w:val="none"/>
        </w:rPr>
        <w:t>合同书</w:t>
      </w:r>
      <w:r>
        <w:rPr>
          <w:color w:val="auto"/>
          <w:highlight w:val="none"/>
        </w:rPr>
        <w:tab/>
      </w:r>
      <w:r>
        <w:rPr>
          <w:color w:val="auto"/>
          <w:highlight w:val="none"/>
        </w:rPr>
        <w:fldChar w:fldCharType="begin"/>
      </w:r>
      <w:r>
        <w:rPr>
          <w:color w:val="auto"/>
          <w:highlight w:val="none"/>
        </w:rPr>
        <w:instrText xml:space="preserve"> PAGEREF _Toc7213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_Toc11069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第五章  招标内容及商务技术要求</w:t>
      </w:r>
      <w:r>
        <w:rPr>
          <w:color w:val="auto"/>
          <w:highlight w:val="none"/>
        </w:rPr>
        <w:tab/>
      </w:r>
      <w:r>
        <w:rPr>
          <w:color w:val="auto"/>
          <w:highlight w:val="none"/>
        </w:rPr>
        <w:fldChar w:fldCharType="begin"/>
      </w:r>
      <w:r>
        <w:rPr>
          <w:color w:val="auto"/>
          <w:highlight w:val="none"/>
        </w:rPr>
        <w:instrText xml:space="preserve"> PAGEREF _Toc11069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_Toc4997 </w:instrText>
      </w:r>
      <w:r>
        <w:rPr>
          <w:rFonts w:hint="eastAsia" w:ascii="宋体" w:hAnsi="宋体" w:cs="宋体"/>
          <w:iCs/>
          <w:color w:val="auto"/>
          <w:kern w:val="2"/>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_Toc11893 </w:instrText>
      </w:r>
      <w:r>
        <w:rPr>
          <w:rFonts w:hint="eastAsia" w:ascii="宋体" w:hAnsi="宋体" w:cs="宋体"/>
          <w:iCs/>
          <w:color w:val="auto"/>
          <w:kern w:val="2"/>
          <w:highlight w:val="none"/>
        </w:rPr>
        <w:fldChar w:fldCharType="separate"/>
      </w:r>
      <w:r>
        <w:rPr>
          <w:rFonts w:hint="eastAsia" w:ascii="宋体" w:hAnsi="宋体"/>
          <w:color w:val="auto"/>
          <w:highlight w:val="none"/>
        </w:rPr>
        <w:t>附件：</w:t>
      </w:r>
      <w:r>
        <w:rPr>
          <w:color w:val="auto"/>
          <w:highlight w:val="none"/>
        </w:rPr>
        <w:tab/>
      </w:r>
      <w:r>
        <w:rPr>
          <w:color w:val="auto"/>
          <w:highlight w:val="none"/>
        </w:rPr>
        <w:fldChar w:fldCharType="begin"/>
      </w:r>
      <w:r>
        <w:rPr>
          <w:color w:val="auto"/>
          <w:highlight w:val="none"/>
        </w:rPr>
        <w:instrText xml:space="preserve"> PAGEREF _Toc11893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_Toc26040 </w:instrText>
      </w:r>
      <w:r>
        <w:rPr>
          <w:rFonts w:hint="eastAsia" w:ascii="宋体" w:hAnsi="宋体" w:cs="宋体"/>
          <w:iCs/>
          <w:color w:val="auto"/>
          <w:kern w:val="2"/>
          <w:highlight w:val="none"/>
        </w:rPr>
        <w:fldChar w:fldCharType="separate"/>
      </w:r>
      <w:r>
        <w:rPr>
          <w:rFonts w:hint="eastAsia" w:ascii="宋体" w:hAnsi="宋体"/>
          <w:color w:val="auto"/>
          <w:highlight w:val="none"/>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_Toc26040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_Toc23914 </w:instrText>
      </w:r>
      <w:r>
        <w:rPr>
          <w:rFonts w:hint="eastAsia" w:ascii="宋体" w:hAnsi="宋体" w:cs="宋体"/>
          <w:iCs/>
          <w:color w:val="auto"/>
          <w:kern w:val="2"/>
          <w:highlight w:val="none"/>
        </w:rPr>
        <w:fldChar w:fldCharType="separate"/>
      </w:r>
      <w:r>
        <w:rPr>
          <w:rFonts w:hint="eastAsia" w:ascii="宋体" w:hAnsi="宋体"/>
          <w:color w:val="auto"/>
          <w:spacing w:val="-8"/>
          <w:highlight w:val="none"/>
        </w:rPr>
        <w:t>节能产品政府采购品目清单</w:t>
      </w:r>
      <w:r>
        <w:rPr>
          <w:color w:val="auto"/>
          <w:highlight w:val="none"/>
        </w:rPr>
        <w:tab/>
      </w:r>
      <w:r>
        <w:rPr>
          <w:color w:val="auto"/>
          <w:highlight w:val="none"/>
        </w:rPr>
        <w:fldChar w:fldCharType="begin"/>
      </w:r>
      <w:r>
        <w:rPr>
          <w:color w:val="auto"/>
          <w:highlight w:val="none"/>
        </w:rPr>
        <w:instrText xml:space="preserve"> PAGEREF _Toc23914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_Toc15570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环境标志产品政府采购品目清单</w:t>
      </w:r>
      <w:r>
        <w:rPr>
          <w:color w:val="auto"/>
          <w:highlight w:val="none"/>
        </w:rPr>
        <w:tab/>
      </w:r>
      <w:r>
        <w:rPr>
          <w:color w:val="auto"/>
          <w:highlight w:val="none"/>
        </w:rPr>
        <w:fldChar w:fldCharType="begin"/>
      </w:r>
      <w:r>
        <w:rPr>
          <w:color w:val="auto"/>
          <w:highlight w:val="none"/>
        </w:rPr>
        <w:instrText xml:space="preserve"> PAGEREF _Toc15570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_Toc11855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认证机构名录的公告</w:t>
      </w:r>
      <w:r>
        <w:rPr>
          <w:color w:val="auto"/>
          <w:highlight w:val="none"/>
        </w:rPr>
        <w:tab/>
      </w:r>
      <w:r>
        <w:rPr>
          <w:color w:val="auto"/>
          <w:highlight w:val="none"/>
        </w:rPr>
        <w:fldChar w:fldCharType="begin"/>
      </w:r>
      <w:r>
        <w:rPr>
          <w:color w:val="auto"/>
          <w:highlight w:val="none"/>
        </w:rPr>
        <w:instrText xml:space="preserve"> PAGEREF _Toc11855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_Toc16687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参与实施政府采购节能产品认证机构名录</w:t>
      </w:r>
      <w:r>
        <w:rPr>
          <w:color w:val="auto"/>
          <w:highlight w:val="none"/>
        </w:rPr>
        <w:tab/>
      </w:r>
      <w:r>
        <w:rPr>
          <w:color w:val="auto"/>
          <w:highlight w:val="none"/>
        </w:rPr>
        <w:fldChar w:fldCharType="begin"/>
      </w:r>
      <w:r>
        <w:rPr>
          <w:color w:val="auto"/>
          <w:highlight w:val="none"/>
        </w:rPr>
        <w:instrText xml:space="preserve"> PAGEREF _Toc16687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_Toc20281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关于印发中小企业划型标准规定的通知</w:t>
      </w:r>
      <w:r>
        <w:rPr>
          <w:color w:val="auto"/>
          <w:highlight w:val="none"/>
        </w:rPr>
        <w:tab/>
      </w:r>
      <w:r>
        <w:rPr>
          <w:color w:val="auto"/>
          <w:highlight w:val="none"/>
        </w:rPr>
        <w:fldChar w:fldCharType="begin"/>
      </w:r>
      <w:r>
        <w:rPr>
          <w:color w:val="auto"/>
          <w:highlight w:val="none"/>
        </w:rPr>
        <w:instrText xml:space="preserve"> PAGEREF _Toc20281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_Toc6925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关于印发《政府采购促进中小企业发展管理办法》的通知</w:t>
      </w:r>
      <w:r>
        <w:rPr>
          <w:color w:val="auto"/>
          <w:highlight w:val="none"/>
        </w:rPr>
        <w:tab/>
      </w:r>
      <w:r>
        <w:rPr>
          <w:color w:val="auto"/>
          <w:highlight w:val="none"/>
        </w:rPr>
        <w:fldChar w:fldCharType="begin"/>
      </w:r>
      <w:r>
        <w:rPr>
          <w:color w:val="auto"/>
          <w:highlight w:val="none"/>
        </w:rPr>
        <w:instrText xml:space="preserve"> PAGEREF _Toc6925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cs="宋体"/>
          <w:iCs/>
          <w:color w:val="auto"/>
          <w:kern w:val="2"/>
          <w:highlight w:val="none"/>
        </w:rPr>
        <w:fldChar w:fldCharType="end"/>
      </w:r>
    </w:p>
    <w:p>
      <w:pPr>
        <w:pStyle w:val="3"/>
        <w:spacing w:line="240" w:lineRule="auto"/>
        <w:jc w:val="center"/>
        <w:rPr>
          <w:rFonts w:ascii="宋体" w:hAnsi="宋体" w:cs="宋体"/>
          <w:color w:val="auto"/>
          <w:highlight w:val="none"/>
        </w:rPr>
      </w:pPr>
      <w:r>
        <w:rPr>
          <w:rFonts w:hint="eastAsia" w:ascii="宋体" w:hAnsi="宋体" w:cs="宋体"/>
          <w:iCs/>
          <w:color w:val="auto"/>
          <w:kern w:val="2"/>
          <w:highlight w:val="none"/>
        </w:rPr>
        <w:fldChar w:fldCharType="end"/>
      </w:r>
      <w:bookmarkStart w:id="9" w:name="_Toc21634"/>
      <w:r>
        <w:rPr>
          <w:rFonts w:hint="eastAsia" w:ascii="宋体" w:hAnsi="宋体" w:cs="宋体"/>
          <w:iCs/>
          <w:caps/>
          <w:color w:val="auto"/>
          <w:kern w:val="2"/>
          <w:sz w:val="10"/>
          <w:szCs w:val="20"/>
          <w:highlight w:val="none"/>
        </w:rPr>
        <w:br w:type="page"/>
      </w:r>
      <w:bookmarkStart w:id="10" w:name="_Toc346523399"/>
      <w:bookmarkStart w:id="11" w:name="_Toc338840478"/>
      <w:r>
        <w:rPr>
          <w:rFonts w:hint="eastAsia" w:ascii="宋体" w:hAnsi="宋体" w:cs="宋体"/>
          <w:color w:val="auto"/>
          <w:highlight w:val="none"/>
        </w:rPr>
        <w:t xml:space="preserve">第一章　 </w:t>
      </w:r>
      <w:bookmarkEnd w:id="5"/>
      <w:bookmarkEnd w:id="6"/>
      <w:r>
        <w:rPr>
          <w:rFonts w:hint="eastAsia" w:ascii="宋体" w:hAnsi="宋体" w:cs="宋体"/>
          <w:color w:val="auto"/>
          <w:highlight w:val="none"/>
        </w:rPr>
        <w:t>招标公告</w:t>
      </w:r>
      <w:bookmarkEnd w:id="7"/>
      <w:bookmarkEnd w:id="8"/>
      <w:bookmarkEnd w:id="9"/>
      <w:bookmarkEnd w:id="10"/>
      <w:bookmarkEnd w:id="11"/>
    </w:p>
    <w:p>
      <w:pPr>
        <w:widowControl/>
        <w:spacing w:line="240" w:lineRule="auto"/>
        <w:jc w:val="center"/>
        <w:rPr>
          <w:rFonts w:hint="eastAsia" w:ascii="宋体" w:hAnsi="宋体" w:cs="宋体"/>
          <w:b/>
          <w:color w:val="auto"/>
          <w:sz w:val="30"/>
          <w:szCs w:val="30"/>
          <w:highlight w:val="none"/>
          <w:lang w:eastAsia="zh-CN"/>
        </w:rPr>
      </w:pPr>
      <w:bookmarkStart w:id="12" w:name="_Hlk30081607"/>
      <w:bookmarkStart w:id="13" w:name="_Toc152042303"/>
      <w:bookmarkStart w:id="14" w:name="_Toc247085687"/>
      <w:bookmarkStart w:id="15" w:name="_Toc179632544"/>
      <w:bookmarkStart w:id="16" w:name="_Toc152045527"/>
      <w:bookmarkStart w:id="17" w:name="_Toc338840479"/>
      <w:bookmarkStart w:id="18" w:name="_Toc338840185"/>
      <w:bookmarkStart w:id="19" w:name="_Toc346523400"/>
      <w:bookmarkStart w:id="20" w:name="_Toc338840440"/>
      <w:bookmarkStart w:id="21" w:name="_Toc144974495"/>
      <w:bookmarkStart w:id="22" w:name="_Toc246996173"/>
      <w:bookmarkStart w:id="23" w:name="_Toc246996916"/>
      <w:r>
        <w:rPr>
          <w:rFonts w:hint="eastAsia" w:ascii="宋体" w:hAnsi="宋体" w:cs="宋体"/>
          <w:b/>
          <w:color w:val="auto"/>
          <w:sz w:val="30"/>
          <w:szCs w:val="30"/>
          <w:highlight w:val="none"/>
          <w:lang w:eastAsia="zh-CN"/>
        </w:rPr>
        <w:t>睢县农业农村局睢县2024年小麦“一喷三防”项目</w:t>
      </w:r>
    </w:p>
    <w:p>
      <w:pPr>
        <w:widowControl/>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公开招标公告</w:t>
      </w:r>
    </w:p>
    <w:p>
      <w:pPr>
        <w:widowControl/>
        <w:shd w:val="clear" w:color="auto" w:fill="FFFFFF"/>
        <w:wordWrap w:val="0"/>
        <w:spacing w:line="360" w:lineRule="auto"/>
        <w:ind w:firstLine="435"/>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山西众恒工程招标代理有限公司受睢县农业农村局委托就睢县农业农村局睢县2024年小麦“一喷三防”项目</w:t>
      </w:r>
      <w:r>
        <w:rPr>
          <w:color w:val="auto"/>
          <w:highlight w:val="none"/>
        </w:rPr>
        <w:t>进行公开招标，现欢迎符合条件的供应商前来投标</w:t>
      </w:r>
      <w:r>
        <w:rPr>
          <w:rFonts w:hint="eastAsia"/>
          <w:color w:val="auto"/>
          <w:highlight w:val="none"/>
          <w:lang w:eastAsia="zh-CN"/>
        </w:rPr>
        <w:t>。</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一、项目基本情况     </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1、采购项目名称：</w:t>
      </w:r>
      <w:r>
        <w:rPr>
          <w:rFonts w:hint="eastAsia" w:ascii="宋体" w:hAnsi="宋体" w:cs="宋体"/>
          <w:color w:val="auto"/>
          <w:kern w:val="0"/>
          <w:szCs w:val="21"/>
          <w:highlight w:val="none"/>
          <w:shd w:val="clear" w:color="auto" w:fill="FFFFFF"/>
          <w:lang w:eastAsia="zh-CN"/>
        </w:rPr>
        <w:t>睢县农业农村局睢县2024年小麦“一喷三防”项目</w:t>
      </w:r>
      <w:r>
        <w:rPr>
          <w:rFonts w:hint="eastAsia" w:ascii="宋体" w:hAnsi="宋体" w:cs="宋体"/>
          <w:color w:val="auto"/>
          <w:kern w:val="0"/>
          <w:szCs w:val="21"/>
          <w:highlight w:val="none"/>
          <w:shd w:val="clear" w:color="auto" w:fill="FFFFFF"/>
        </w:rPr>
        <w:t xml:space="preserve"> </w:t>
      </w:r>
    </w:p>
    <w:p>
      <w:pPr>
        <w:widowControl/>
        <w:shd w:val="clear" w:color="auto" w:fill="FFFFFF"/>
        <w:wordWrap w:val="0"/>
        <w:spacing w:line="360" w:lineRule="auto"/>
        <w:ind w:firstLine="420" w:firstLineChars="200"/>
        <w:jc w:val="left"/>
        <w:rPr>
          <w:rFonts w:hint="eastAsia" w:ascii="宋体" w:hAnsi="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rPr>
        <w:t>2、采购项目编号：</w:t>
      </w:r>
      <w:r>
        <w:rPr>
          <w:rFonts w:hint="eastAsia" w:ascii="宋体" w:hAnsi="宋体" w:cs="宋体"/>
          <w:color w:val="auto"/>
          <w:kern w:val="0"/>
          <w:szCs w:val="21"/>
          <w:highlight w:val="none"/>
          <w:shd w:val="clear" w:color="auto" w:fill="FFFFFF"/>
          <w:lang w:val="en-US" w:eastAsia="zh-CN"/>
        </w:rPr>
        <w:t xml:space="preserve">睢县财采招-2024-2 </w:t>
      </w:r>
      <w:r>
        <w:rPr>
          <w:rFonts w:hint="eastAsia" w:ascii="宋体" w:hAnsi="宋体" w:cs="宋体"/>
          <w:color w:val="auto"/>
          <w:kern w:val="0"/>
          <w:szCs w:val="21"/>
          <w:highlight w:val="none"/>
          <w:shd w:val="clear" w:color="auto" w:fill="FFFFFF"/>
          <w:lang w:eastAsia="zh-CN"/>
        </w:rPr>
        <w:t xml:space="preserve"> </w:t>
      </w:r>
    </w:p>
    <w:p>
      <w:pPr>
        <w:widowControl/>
        <w:shd w:val="clear" w:color="auto" w:fill="FFFFFF"/>
        <w:wordWrap w:val="0"/>
        <w:spacing w:line="360" w:lineRule="auto"/>
        <w:ind w:firstLine="435"/>
        <w:jc w:val="left"/>
        <w:rPr>
          <w:rFonts w:hint="default"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3、采购方式：公开招标</w:t>
      </w:r>
    </w:p>
    <w:p>
      <w:pPr>
        <w:widowControl/>
        <w:shd w:val="clear" w:color="auto" w:fill="FFFFFF"/>
        <w:wordWrap w:val="0"/>
        <w:spacing w:line="360" w:lineRule="auto"/>
        <w:ind w:firstLine="420" w:firstLineChars="2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、预算金额：</w:t>
      </w:r>
      <w:r>
        <w:rPr>
          <w:rFonts w:hint="eastAsia" w:ascii="宋体" w:hAnsi="宋体" w:cs="宋体"/>
          <w:color w:val="auto"/>
          <w:kern w:val="0"/>
          <w:szCs w:val="21"/>
          <w:highlight w:val="none"/>
          <w:shd w:val="clear" w:color="auto" w:fill="FFFFFF"/>
          <w:lang w:val="en-US" w:eastAsia="zh-CN"/>
        </w:rPr>
        <w:t>395</w:t>
      </w:r>
      <w:r>
        <w:rPr>
          <w:rFonts w:hint="eastAsia" w:ascii="宋体" w:hAnsi="宋体" w:cs="宋体"/>
          <w:color w:val="auto"/>
          <w:kern w:val="0"/>
          <w:szCs w:val="21"/>
          <w:highlight w:val="none"/>
          <w:shd w:val="clear" w:color="auto" w:fill="FFFFFF"/>
        </w:rPr>
        <w:t>万元；最高限价：</w:t>
      </w:r>
      <w:r>
        <w:rPr>
          <w:rFonts w:hint="eastAsia" w:ascii="宋体" w:hAnsi="宋体" w:cs="宋体"/>
          <w:color w:val="auto"/>
          <w:kern w:val="0"/>
          <w:szCs w:val="21"/>
          <w:highlight w:val="none"/>
          <w:shd w:val="clear" w:color="auto" w:fill="FFFFFF"/>
          <w:lang w:val="en-US" w:eastAsia="zh-CN"/>
        </w:rPr>
        <w:t>395</w:t>
      </w:r>
      <w:r>
        <w:rPr>
          <w:rFonts w:hint="eastAsia" w:ascii="宋体" w:hAnsi="宋体" w:cs="宋体"/>
          <w:color w:val="auto"/>
          <w:kern w:val="0"/>
          <w:szCs w:val="21"/>
          <w:highlight w:val="none"/>
          <w:shd w:val="clear" w:color="auto" w:fill="FFFFFF"/>
        </w:rPr>
        <w:t>万元；</w:t>
      </w:r>
    </w:p>
    <w:tbl>
      <w:tblPr>
        <w:tblStyle w:val="42"/>
        <w:tblW w:w="98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208"/>
        <w:gridCol w:w="4228"/>
        <w:gridCol w:w="1685"/>
        <w:gridCol w:w="1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708" w:type="dxa"/>
          </w:tcPr>
          <w:p>
            <w:pPr>
              <w:pStyle w:val="146"/>
              <w:spacing w:before="133"/>
              <w:ind w:left="116" w:right="112"/>
              <w:jc w:val="center"/>
              <w:rPr>
                <w:color w:val="auto"/>
                <w:sz w:val="21"/>
                <w:szCs w:val="21"/>
                <w:highlight w:val="none"/>
              </w:rPr>
            </w:pPr>
            <w:r>
              <w:rPr>
                <w:color w:val="auto"/>
                <w:sz w:val="21"/>
                <w:szCs w:val="21"/>
                <w:highlight w:val="none"/>
              </w:rPr>
              <w:t>序号</w:t>
            </w:r>
          </w:p>
        </w:tc>
        <w:tc>
          <w:tcPr>
            <w:tcW w:w="1208" w:type="dxa"/>
          </w:tcPr>
          <w:p>
            <w:pPr>
              <w:pStyle w:val="146"/>
              <w:spacing w:before="133"/>
              <w:jc w:val="center"/>
              <w:rPr>
                <w:color w:val="auto"/>
                <w:sz w:val="21"/>
                <w:szCs w:val="21"/>
                <w:highlight w:val="none"/>
              </w:rPr>
            </w:pPr>
            <w:r>
              <w:rPr>
                <w:rFonts w:hint="eastAsia"/>
                <w:color w:val="auto"/>
                <w:sz w:val="21"/>
                <w:szCs w:val="21"/>
                <w:highlight w:val="none"/>
                <w:lang w:val="en-US" w:eastAsia="zh-CN"/>
              </w:rPr>
              <w:t>包</w:t>
            </w:r>
            <w:r>
              <w:rPr>
                <w:color w:val="auto"/>
                <w:sz w:val="21"/>
                <w:szCs w:val="21"/>
                <w:highlight w:val="none"/>
              </w:rPr>
              <w:t>号</w:t>
            </w:r>
          </w:p>
        </w:tc>
        <w:tc>
          <w:tcPr>
            <w:tcW w:w="4228" w:type="dxa"/>
          </w:tcPr>
          <w:p>
            <w:pPr>
              <w:pStyle w:val="146"/>
              <w:spacing w:before="133"/>
              <w:ind w:left="939"/>
              <w:rPr>
                <w:rFonts w:hint="default" w:eastAsia="宋体"/>
                <w:color w:val="auto"/>
                <w:sz w:val="21"/>
                <w:szCs w:val="21"/>
                <w:highlight w:val="none"/>
                <w:lang w:val="en-US" w:eastAsia="zh-CN"/>
              </w:rPr>
            </w:pPr>
            <w:r>
              <w:rPr>
                <w:rFonts w:hint="eastAsia"/>
                <w:color w:val="auto"/>
                <w:sz w:val="21"/>
                <w:szCs w:val="21"/>
                <w:highlight w:val="none"/>
                <w:lang w:val="en-US" w:eastAsia="zh-CN"/>
              </w:rPr>
              <w:t>包名称</w:t>
            </w:r>
          </w:p>
        </w:tc>
        <w:tc>
          <w:tcPr>
            <w:tcW w:w="1685" w:type="dxa"/>
            <w:vAlign w:val="top"/>
          </w:tcPr>
          <w:p>
            <w:pPr>
              <w:pStyle w:val="146"/>
              <w:ind w:right="547" w:rightChars="0"/>
              <w:jc w:val="right"/>
              <w:rPr>
                <w:color w:val="auto"/>
                <w:sz w:val="21"/>
                <w:szCs w:val="21"/>
                <w:highlight w:val="none"/>
              </w:rPr>
            </w:pPr>
            <w:r>
              <w:rPr>
                <w:rFonts w:hint="eastAsia"/>
                <w:color w:val="auto"/>
                <w:sz w:val="21"/>
                <w:szCs w:val="21"/>
                <w:highlight w:val="none"/>
                <w:lang w:val="en-US" w:eastAsia="zh-CN"/>
              </w:rPr>
              <w:t>包</w:t>
            </w:r>
            <w:r>
              <w:rPr>
                <w:color w:val="auto"/>
                <w:sz w:val="21"/>
                <w:szCs w:val="21"/>
                <w:highlight w:val="none"/>
              </w:rPr>
              <w:t>段预算（元）</w:t>
            </w:r>
          </w:p>
        </w:tc>
        <w:tc>
          <w:tcPr>
            <w:tcW w:w="1982" w:type="dxa"/>
            <w:vAlign w:val="top"/>
          </w:tcPr>
          <w:p>
            <w:pPr>
              <w:pStyle w:val="146"/>
              <w:ind w:left="122" w:leftChars="0"/>
              <w:rPr>
                <w:rFonts w:hint="eastAsia"/>
                <w:color w:val="auto"/>
                <w:sz w:val="21"/>
                <w:szCs w:val="21"/>
                <w:highlight w:val="none"/>
                <w:lang w:val="en-US" w:eastAsia="zh-CN"/>
              </w:rPr>
            </w:pPr>
            <w:r>
              <w:rPr>
                <w:rFonts w:hint="eastAsia"/>
                <w:color w:val="auto"/>
                <w:sz w:val="21"/>
                <w:szCs w:val="21"/>
                <w:highlight w:val="none"/>
                <w:lang w:val="en-US" w:eastAsia="zh-CN"/>
              </w:rPr>
              <w:t>包</w:t>
            </w:r>
            <w:r>
              <w:rPr>
                <w:color w:val="auto"/>
                <w:sz w:val="21"/>
                <w:szCs w:val="21"/>
                <w:highlight w:val="none"/>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29"/>
              <w:ind w:left="33"/>
              <w:jc w:val="center"/>
              <w:rPr>
                <w:color w:val="auto"/>
                <w:sz w:val="21"/>
                <w:szCs w:val="21"/>
                <w:highlight w:val="none"/>
              </w:rPr>
            </w:pPr>
            <w:r>
              <w:rPr>
                <w:color w:val="auto"/>
                <w:w w:val="101"/>
                <w:sz w:val="21"/>
                <w:szCs w:val="21"/>
                <w:highlight w:val="none"/>
              </w:rPr>
              <w:t>1</w:t>
            </w:r>
          </w:p>
        </w:tc>
        <w:tc>
          <w:tcPr>
            <w:tcW w:w="1208" w:type="dxa"/>
            <w:vAlign w:val="center"/>
          </w:tcPr>
          <w:p>
            <w:pPr>
              <w:pStyle w:val="146"/>
              <w:spacing w:before="129"/>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第1标包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睢县农业农村局睢县2024年小麦“一喷三防”项目第1标包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632000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1.58元/袋（瓶）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29"/>
              <w:ind w:left="4"/>
              <w:jc w:val="center"/>
              <w:rPr>
                <w:color w:val="auto"/>
                <w:sz w:val="21"/>
                <w:szCs w:val="21"/>
                <w:highlight w:val="none"/>
              </w:rPr>
            </w:pPr>
            <w:r>
              <w:rPr>
                <w:color w:val="auto"/>
                <w:w w:val="101"/>
                <w:sz w:val="21"/>
                <w:szCs w:val="21"/>
                <w:highlight w:val="none"/>
              </w:rPr>
              <w:t>2</w:t>
            </w:r>
          </w:p>
        </w:tc>
        <w:tc>
          <w:tcPr>
            <w:tcW w:w="1208" w:type="dxa"/>
            <w:vAlign w:val="center"/>
          </w:tcPr>
          <w:p>
            <w:pPr>
              <w:spacing w:before="129"/>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第2标包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睢县农业农村局睢县2024年小麦“一喷三防”项目第2标包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608000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1.52元/袋（瓶）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08" w:type="dxa"/>
          </w:tcPr>
          <w:p>
            <w:pPr>
              <w:pStyle w:val="146"/>
              <w:spacing w:before="133"/>
              <w:ind w:left="14"/>
              <w:jc w:val="center"/>
              <w:rPr>
                <w:color w:val="auto"/>
                <w:sz w:val="21"/>
                <w:szCs w:val="21"/>
                <w:highlight w:val="none"/>
              </w:rPr>
            </w:pPr>
            <w:r>
              <w:rPr>
                <w:color w:val="auto"/>
                <w:w w:val="101"/>
                <w:sz w:val="21"/>
                <w:szCs w:val="21"/>
                <w:highlight w:val="none"/>
              </w:rPr>
              <w:t>3</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第3标包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睢县农业农村局睢县2024年小麦“一喷三防”项目第3标包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724000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1.81元/袋（瓶）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4</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第4标包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睢县农业农村局睢县2024年小麦“一喷三防”项目第4标包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516000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1.29元/袋（瓶）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5</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第5标包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睢县农业农村局睢县2024年小麦“一喷三防”项目第5标包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577500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1.05元/袋（瓶）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6</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第6标包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睢县农业农村局睢县2024年小麦“一喷三防”项目第6标包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312500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1.25元/袋（瓶）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7</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第7标包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睢县农业农村局睢县2024年小麦“一喷三防”项目第7标包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580000</w:t>
            </w:r>
          </w:p>
        </w:tc>
        <w:tc>
          <w:tcPr>
            <w:tcW w:w="1982" w:type="dxa"/>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14.5元/亩</w:t>
            </w:r>
          </w:p>
        </w:tc>
      </w:tr>
    </w:tbl>
    <w:p>
      <w:pPr>
        <w:widowControl/>
        <w:shd w:val="clear" w:color="auto" w:fill="FFFFFF"/>
        <w:wordWrap w:val="0"/>
        <w:spacing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Cs w:val="21"/>
          <w:highlight w:val="none"/>
          <w:shd w:val="clear" w:color="auto" w:fill="FFFFFF"/>
        </w:rPr>
        <w:t>5、采购需求：</w:t>
      </w:r>
    </w:p>
    <w:p>
      <w:pPr>
        <w:pStyle w:val="140"/>
        <w:ind w:left="0" w:left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5.1采购范围（内容）：本次招标项目为</w:t>
      </w:r>
      <w:r>
        <w:rPr>
          <w:rFonts w:hint="eastAsia" w:ascii="宋体" w:hAnsi="宋体" w:cs="宋体"/>
          <w:color w:val="auto"/>
          <w:kern w:val="0"/>
          <w:sz w:val="21"/>
          <w:szCs w:val="21"/>
          <w:highlight w:val="none"/>
          <w:shd w:val="clear" w:color="auto" w:fill="FFFFFF"/>
          <w:lang w:val="en-US" w:eastAsia="zh-CN" w:bidi="ar-SA"/>
        </w:rPr>
        <w:t>睢县农业农村局睢县2024年小麦“一喷三防”项目</w:t>
      </w:r>
      <w:r>
        <w:rPr>
          <w:rFonts w:hint="eastAsia" w:ascii="宋体" w:hAnsi="宋体" w:eastAsia="宋体" w:cs="宋体"/>
          <w:color w:val="auto"/>
          <w:kern w:val="0"/>
          <w:sz w:val="21"/>
          <w:szCs w:val="21"/>
          <w:highlight w:val="none"/>
          <w:shd w:val="clear" w:color="auto" w:fill="FFFFFF"/>
          <w:lang w:val="en-US" w:eastAsia="zh-CN" w:bidi="ar-SA"/>
        </w:rPr>
        <w:t>；该项目共划分为</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个标包；</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其中第1标包：10%联苯.噻虫嗪悬浮剂15毫升/袋（瓶）；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第2标包：15%噻虫.高氯氟微囊悬浮—悬浮剂或悬浮剂；8毫升/袋（瓶）；</w:t>
      </w:r>
    </w:p>
    <w:p>
      <w:pPr>
        <w:pStyle w:val="140"/>
        <w:ind w:left="420" w:leftChars="200" w:firstLine="0" w:firstLineChars="0"/>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第3标包：</w:t>
      </w:r>
      <w:r>
        <w:rPr>
          <w:rFonts w:hint="eastAsia" w:ascii="宋体" w:hAnsi="宋体" w:cs="宋体"/>
          <w:color w:val="auto"/>
          <w:kern w:val="0"/>
          <w:sz w:val="21"/>
          <w:szCs w:val="21"/>
          <w:highlight w:val="none"/>
          <w:shd w:val="clear" w:color="auto" w:fill="FFFFFF"/>
          <w:lang w:val="en-US" w:eastAsia="zh-CN" w:bidi="ar-SA"/>
        </w:rPr>
        <w:t>250克/升 丙环唑  乳油  ≥30克/袋（瓶）（不能低于登记的每亩最低用量）；</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第4标包：430克/升 戊唑醇  悬浮剂  15克/袋（瓶）；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第5标包：≥ 99%磷酸二氢钾  50克/袋（瓶）；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第6标包：60%大量元素水溶肥料 25克/袋（瓶）；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标包</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具体内容详见招标文件）；</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5.2</w:t>
      </w:r>
      <w:r>
        <w:rPr>
          <w:rFonts w:hint="eastAsia" w:ascii="宋体" w:hAnsi="宋体" w:cs="宋体"/>
          <w:color w:val="auto"/>
          <w:kern w:val="0"/>
          <w:szCs w:val="21"/>
          <w:highlight w:val="none"/>
          <w:shd w:val="clear" w:color="auto" w:fill="FFFFFF"/>
        </w:rPr>
        <w:t>质量要求：</w:t>
      </w:r>
      <w:r>
        <w:rPr>
          <w:rFonts w:hint="eastAsia" w:ascii="宋体" w:hAnsi="宋体" w:cs="宋体"/>
          <w:color w:val="auto"/>
          <w:kern w:val="0"/>
          <w:szCs w:val="21"/>
          <w:highlight w:val="none"/>
          <w:shd w:val="clear" w:color="auto" w:fill="FFFFFF"/>
          <w:lang w:eastAsia="zh-CN"/>
        </w:rPr>
        <w:t>符合国家省市有关规范要求、且通过验收</w:t>
      </w:r>
      <w:r>
        <w:rPr>
          <w:rFonts w:hint="eastAsia" w:ascii="宋体" w:hAnsi="宋体" w:cs="宋体"/>
          <w:color w:val="auto"/>
          <w:kern w:val="0"/>
          <w:szCs w:val="21"/>
          <w:highlight w:val="none"/>
          <w:shd w:val="clear" w:color="auto" w:fill="FFFFFF"/>
        </w:rPr>
        <w:t>；</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5.3</w:t>
      </w:r>
      <w:r>
        <w:rPr>
          <w:rFonts w:hint="eastAsia" w:ascii="宋体" w:hAnsi="宋体" w:cs="宋体"/>
          <w:color w:val="auto"/>
          <w:kern w:val="0"/>
          <w:szCs w:val="21"/>
          <w:highlight w:val="none"/>
          <w:shd w:val="clear" w:color="auto" w:fill="FFFFFF"/>
          <w:lang w:eastAsia="zh-CN"/>
        </w:rPr>
        <w:t>供货期限</w:t>
      </w:r>
      <w:r>
        <w:rPr>
          <w:rFonts w:hint="eastAsia" w:ascii="宋体" w:hAnsi="宋体" w:cs="宋体"/>
          <w:color w:val="auto"/>
          <w:kern w:val="0"/>
          <w:szCs w:val="21"/>
          <w:highlight w:val="none"/>
          <w:shd w:val="clear" w:color="auto" w:fill="FFFFFF"/>
          <w:lang w:val="en-US" w:eastAsia="zh-CN"/>
        </w:rPr>
        <w:t>(服务期限)</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合同签订后3日历天内；</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5.4供货地点</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采购人指定地点</w:t>
      </w:r>
      <w:r>
        <w:rPr>
          <w:rFonts w:hint="eastAsia" w:ascii="宋体" w:hAnsi="宋体" w:cs="宋体"/>
          <w:color w:val="auto"/>
          <w:kern w:val="0"/>
          <w:szCs w:val="21"/>
          <w:highlight w:val="none"/>
          <w:shd w:val="clear" w:color="auto" w:fill="FFFFFF"/>
        </w:rPr>
        <w:t>；（具体</w:t>
      </w:r>
      <w:r>
        <w:rPr>
          <w:rFonts w:hint="eastAsia" w:ascii="宋体" w:hAnsi="宋体" w:cs="宋体"/>
          <w:color w:val="auto"/>
          <w:kern w:val="0"/>
          <w:szCs w:val="21"/>
          <w:highlight w:val="none"/>
          <w:shd w:val="clear" w:color="auto" w:fill="FFFFFF"/>
          <w:lang w:val="en-US" w:eastAsia="zh-CN"/>
        </w:rPr>
        <w:t>要求</w:t>
      </w:r>
      <w:r>
        <w:rPr>
          <w:rFonts w:hint="eastAsia" w:ascii="宋体" w:hAnsi="宋体" w:cs="宋体"/>
          <w:color w:val="auto"/>
          <w:kern w:val="0"/>
          <w:szCs w:val="21"/>
          <w:highlight w:val="none"/>
          <w:shd w:val="clear" w:color="auto" w:fill="FFFFFF"/>
        </w:rPr>
        <w:t>详见采购文件）</w:t>
      </w:r>
    </w:p>
    <w:p>
      <w:pPr>
        <w:widowControl/>
        <w:numPr>
          <w:ilvl w:val="0"/>
          <w:numId w:val="1"/>
        </w:numPr>
        <w:shd w:val="clear" w:color="auto" w:fill="FFFFFF"/>
        <w:wordWrap w:val="0"/>
        <w:spacing w:line="360" w:lineRule="auto"/>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rPr>
        <w:t>合同履行期限</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lang w:val="en-US" w:eastAsia="zh-CN"/>
        </w:rPr>
        <w:t>供货期/服务期</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合同签订后3日历天内</w:t>
      </w:r>
    </w:p>
    <w:p>
      <w:pPr>
        <w:widowControl/>
        <w:numPr>
          <w:ilvl w:val="0"/>
          <w:numId w:val="1"/>
        </w:numPr>
        <w:shd w:val="clear" w:color="auto" w:fill="FFFFFF"/>
        <w:wordWrap w:val="0"/>
        <w:spacing w:line="360" w:lineRule="auto"/>
        <w:ind w:firstLine="435"/>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本项目是否接受联合体投标：否</w:t>
      </w:r>
    </w:p>
    <w:p>
      <w:pPr>
        <w:widowControl/>
        <w:numPr>
          <w:ilvl w:val="0"/>
          <w:numId w:val="1"/>
        </w:numPr>
        <w:shd w:val="clear" w:color="auto" w:fill="FFFFFF"/>
        <w:wordWrap w:val="0"/>
        <w:spacing w:line="360" w:lineRule="auto"/>
        <w:ind w:left="0" w:leftChars="0" w:firstLine="435" w:firstLineChars="0"/>
        <w:jc w:val="left"/>
        <w:rPr>
          <w:rFonts w:hint="default"/>
          <w:color w:val="auto"/>
          <w:highlight w:val="none"/>
          <w:lang w:val="en-US" w:eastAsia="zh-CN"/>
        </w:rPr>
      </w:pPr>
      <w:r>
        <w:rPr>
          <w:rFonts w:hint="eastAsia" w:ascii="宋体" w:hAnsi="宋体" w:cs="宋体"/>
          <w:color w:val="auto"/>
          <w:kern w:val="0"/>
          <w:szCs w:val="21"/>
          <w:highlight w:val="none"/>
          <w:shd w:val="clear" w:color="auto" w:fill="FFFFFF"/>
          <w:lang w:val="en-US" w:eastAsia="zh-CN"/>
        </w:rPr>
        <w:t>是否专门面向中小型企业：否</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六、申请人的资格要求 </w:t>
      </w:r>
    </w:p>
    <w:p>
      <w:pPr>
        <w:widowControl/>
        <w:shd w:val="clear" w:color="auto" w:fill="FFFFFF"/>
        <w:wordWrap w:val="0"/>
        <w:spacing w:line="375" w:lineRule="atLeast"/>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1）供应商须为符合《中华人民共和国政府采购法》二十二条之规定：</w:t>
      </w:r>
    </w:p>
    <w:p>
      <w:pPr>
        <w:widowControl/>
        <w:shd w:val="clear" w:color="auto" w:fill="FFFFFF"/>
        <w:wordWrap w:val="0"/>
        <w:spacing w:line="375" w:lineRule="atLeast"/>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2）特定资质（第1-4标包）：所提供的药剂具有“农药三证”（生产许可证或生产批准证、农药登记证、产品标准证）齐全并在有效期内；若供应商为生产商的需提供农药生产许可证，若供应商为经销商的需提供农药经营许可证；所用农药产品应在小麦上取得登记。</w:t>
      </w:r>
    </w:p>
    <w:p>
      <w:pPr>
        <w:widowControl/>
        <w:shd w:val="clear" w:color="auto" w:fill="FFFFFF"/>
        <w:wordWrap w:val="0"/>
        <w:spacing w:line="375" w:lineRule="atLeast"/>
        <w:ind w:firstLine="435"/>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特定资质（第6标包）：所用产品应具有肥料登记证，并在小麦上取得登记。</w:t>
      </w:r>
      <w:bookmarkStart w:id="798" w:name="_GoBack"/>
      <w:bookmarkEnd w:id="798"/>
      <w:r>
        <w:rPr>
          <w:rFonts w:hint="eastAsia" w:ascii="宋体" w:hAnsi="宋体" w:cs="宋体"/>
          <w:color w:val="auto"/>
          <w:kern w:val="0"/>
          <w:szCs w:val="21"/>
          <w:highlight w:val="none"/>
          <w:shd w:val="clear" w:color="auto" w:fill="FFFFFF"/>
          <w:lang w:val="en-US" w:eastAsia="zh-CN"/>
        </w:rPr>
        <w:br w:type="textWrapping"/>
      </w:r>
      <w:r>
        <w:rPr>
          <w:rFonts w:hint="eastAsia" w:ascii="宋体" w:hAnsi="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lang w:val="en-US" w:eastAsia="zh-CN"/>
        </w:rPr>
        <w:t>3）采购项目需要落实的政府采购政策：促进中小企业和监狱企业发展扶持政策、政府强制采购节能产品强制采购、节能产品及环境标志产品优先采购。</w:t>
      </w:r>
    </w:p>
    <w:p>
      <w:pPr>
        <w:widowControl/>
        <w:shd w:val="clear" w:color="auto" w:fill="FFFFFF"/>
        <w:wordWrap w:val="0"/>
        <w:spacing w:line="375" w:lineRule="atLeast"/>
        <w:ind w:firstLine="435"/>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4）根据《财政部关于在政府采购活动中查询及使用信用记录有关问题的通知》（财库〔2016〕125号）的要求，根据 “信用中国”网站（www.creditchina.gov.cn）或中国执行信息公开网（http://zxgk.court.gov.cn）的失信被执行人的查询信息、“信用中国”网站的重大税收违法案件当事人的查询信息、中国政府采购网（www.ccgp.gov.cn）的政府采购严重违法失信行为的查询信息，对列入失信被执行人、重大税收违法失信主体、政府采购严重违法失信行为记录名单的企业，拒绝参与政府采购活动。供应商应在招标公告发布日期后对本单位信用信息进行查询，并将查询结果附在投标文件中。</w:t>
      </w:r>
    </w:p>
    <w:p>
      <w:pPr>
        <w:widowControl/>
        <w:shd w:val="clear" w:color="auto" w:fill="FFFFFF"/>
        <w:wordWrap w:val="0"/>
        <w:spacing w:line="375" w:lineRule="atLeast"/>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三、招标文件的获取</w:t>
      </w:r>
    </w:p>
    <w:p>
      <w:pPr>
        <w:spacing w:line="360" w:lineRule="atLeas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3.1本项目采用网上报名：（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凡有意参加投标者，登录睢县公共资源交易中心网站（http://ggzy.suixian.gov.cn/）内网办公登录模块，请使用企业数字证书（key）进入网站用户界面进行下载招标文件。</w:t>
      </w:r>
    </w:p>
    <w:p>
      <w:pPr>
        <w:widowControl/>
        <w:shd w:val="clear" w:color="auto" w:fill="FFFFFF"/>
        <w:spacing w:before="50" w:after="50" w:line="300" w:lineRule="atLeast"/>
        <w:ind w:firstLine="480"/>
        <w:jc w:val="left"/>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特别提醒：未在睢县公共资源交易中心网站注册的投标人、竞买人、供应商等市场主体，请自行注册、自助绑定数字证书（河南省内数字证书互联互通）。</w:t>
      </w:r>
    </w:p>
    <w:p>
      <w:pPr>
        <w:widowControl/>
        <w:shd w:val="clear" w:color="auto" w:fill="FFFFFF"/>
        <w:spacing w:before="50" w:after="50" w:line="300" w:lineRule="atLeast"/>
        <w:ind w:firstLine="480"/>
        <w:jc w:val="left"/>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投标人报名操作说明书请在睢县公共资源交易中心网站资料下载处下载。</w:t>
      </w:r>
    </w:p>
    <w:p>
      <w:pPr>
        <w:widowControl/>
        <w:shd w:val="clear" w:color="auto" w:fill="FFFFFF"/>
        <w:spacing w:before="50" w:after="50" w:line="300" w:lineRule="atLeast"/>
        <w:ind w:firstLine="48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本项目全电子不见面开标，评标以电子投标文件为准，按招标文件内容进行报名投标，自行解密，逾期上传或没有上传的，招标人将拒绝接收。具体投标事宜详见“睢县公共资源交易中心网”网站发布。</w:t>
      </w:r>
    </w:p>
    <w:p>
      <w:pPr>
        <w:pStyle w:val="12"/>
        <w:ind w:firstLine="632" w:firstLineChars="300"/>
        <w:rPr>
          <w:rFonts w:hint="default"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注：各供应商仅可就上述标包其中1个标包进行投标。</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四、提交投标文件截止时间、开标时间和地点</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4.1</w:t>
      </w:r>
      <w:r>
        <w:rPr>
          <w:rFonts w:ascii="宋体" w:hAnsi="宋体" w:cs="宋体"/>
          <w:color w:val="auto"/>
          <w:szCs w:val="21"/>
          <w:highlight w:val="none"/>
          <w:shd w:val="clear" w:color="auto" w:fill="FFFFFF"/>
        </w:rPr>
        <w:t>电子投标文件上传截止时间：202</w:t>
      </w:r>
      <w:r>
        <w:rPr>
          <w:rFonts w:hint="eastAsia" w:ascii="宋体" w:hAnsi="宋体" w:cs="宋体"/>
          <w:color w:val="auto"/>
          <w:szCs w:val="21"/>
          <w:highlight w:val="none"/>
          <w:shd w:val="clear" w:color="auto" w:fill="FFFFFF"/>
          <w:lang w:val="en-US" w:eastAsia="zh-CN"/>
        </w:rPr>
        <w:t>4</w:t>
      </w:r>
      <w:r>
        <w:rPr>
          <w:rFonts w:ascii="宋体" w:hAnsi="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4</w:t>
      </w:r>
      <w:r>
        <w:rPr>
          <w:rFonts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ascii="宋体" w:hAnsi="宋体" w:cs="宋体"/>
          <w:color w:val="auto"/>
          <w:szCs w:val="21"/>
          <w:highlight w:val="none"/>
          <w:shd w:val="clear" w:color="auto" w:fill="FFFFFF"/>
        </w:rPr>
        <w:t>日9时</w:t>
      </w:r>
      <w:r>
        <w:rPr>
          <w:rFonts w:hint="eastAsia" w:ascii="宋体" w:hAnsi="宋体" w:cs="宋体"/>
          <w:color w:val="auto"/>
          <w:szCs w:val="21"/>
          <w:highlight w:val="none"/>
          <w:shd w:val="clear" w:color="auto" w:fill="FFFFFF"/>
          <w:lang w:val="en-US" w:eastAsia="zh-CN"/>
        </w:rPr>
        <w:t>0</w:t>
      </w:r>
      <w:r>
        <w:rPr>
          <w:rFonts w:ascii="宋体" w:hAnsi="宋体" w:cs="宋体"/>
          <w:color w:val="auto"/>
          <w:szCs w:val="21"/>
          <w:highlight w:val="none"/>
          <w:shd w:val="clear" w:color="auto" w:fill="FFFFFF"/>
        </w:rPr>
        <w:t>0分（同开标时间）</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4.2地点：睢县公共资源交易中心</w:t>
      </w:r>
    </w:p>
    <w:p>
      <w:pPr>
        <w:widowControl/>
        <w:numPr>
          <w:ilvl w:val="0"/>
          <w:numId w:val="2"/>
        </w:numPr>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公告期限及发布媒介</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自本公告发布之日起5个工作日，本公告在《河南省政府采购网》、《睢县公共资源交易中心网》上公布</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六、其他补充事宜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无</w:t>
      </w:r>
    </w:p>
    <w:p>
      <w:pPr>
        <w:widowControl/>
        <w:spacing w:line="440" w:lineRule="exact"/>
        <w:ind w:left="418" w:leftChars="199"/>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七.对本次招标提出询问，请按以下方式联系</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1.采购人信息</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rPr>
      </w:pPr>
      <w:r>
        <w:rPr>
          <w:rFonts w:hint="default" w:ascii="宋体" w:hAnsi="宋体" w:eastAsia="宋体" w:cs="宋体"/>
          <w:color w:val="auto"/>
          <w:szCs w:val="21"/>
          <w:highlight w:val="none"/>
          <w:shd w:val="clear" w:color="auto" w:fill="FFFFFF"/>
          <w:lang w:val="en-US"/>
        </w:rPr>
        <w:t xml:space="preserve">名称： 睢县农业农村局   </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rPr>
      </w:pPr>
      <w:r>
        <w:rPr>
          <w:rFonts w:hint="default" w:ascii="宋体" w:hAnsi="宋体" w:eastAsia="宋体" w:cs="宋体"/>
          <w:color w:val="auto"/>
          <w:szCs w:val="21"/>
          <w:highlight w:val="none"/>
          <w:shd w:val="clear" w:color="auto" w:fill="FFFFFF"/>
          <w:lang w:val="en-US"/>
        </w:rPr>
        <w:t>地址：睢县农业农村局</w:t>
      </w:r>
    </w:p>
    <w:p>
      <w:pPr>
        <w:widowControl/>
        <w:shd w:val="clear" w:color="auto" w:fill="FFFFFF"/>
        <w:spacing w:before="50" w:after="50" w:line="300" w:lineRule="atLeast"/>
        <w:ind w:firstLine="480"/>
        <w:jc w:val="left"/>
        <w:rPr>
          <w:rFonts w:hint="eastAsia" w:ascii="宋体" w:hAnsi="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rPr>
        <w:t>联系人：</w:t>
      </w:r>
      <w:r>
        <w:rPr>
          <w:rFonts w:hint="eastAsia" w:ascii="宋体" w:hAnsi="宋体" w:cs="宋体"/>
          <w:color w:val="auto"/>
          <w:szCs w:val="21"/>
          <w:highlight w:val="none"/>
          <w:shd w:val="clear" w:color="auto" w:fill="FFFFFF"/>
          <w:lang w:val="en-US" w:eastAsia="zh-CN"/>
        </w:rPr>
        <w:t xml:space="preserve">王先生 </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rPr>
        <w:t>电 话</w:t>
      </w:r>
      <w:r>
        <w:rPr>
          <w:rFonts w:hint="eastAsia" w:ascii="宋体" w:hAnsi="宋体" w:cs="宋体"/>
          <w:color w:val="auto"/>
          <w:szCs w:val="21"/>
          <w:highlight w:val="none"/>
          <w:shd w:val="clear" w:color="auto" w:fill="FFFFFF"/>
          <w:lang w:val="en-US" w:eastAsia="zh-CN"/>
        </w:rPr>
        <w:t>：18337036999</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2.采购代理机构信息</w:t>
      </w:r>
      <w:r>
        <w:rPr>
          <w:rFonts w:hint="eastAsia" w:ascii="宋体" w:hAnsi="宋体" w:eastAsia="宋体" w:cs="宋体"/>
          <w:color w:val="auto"/>
          <w:szCs w:val="21"/>
          <w:highlight w:val="none"/>
          <w:shd w:val="clear" w:color="auto" w:fill="FFFFFF"/>
        </w:rPr>
        <w:t>：</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名称</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山西众恒工程招标代理有限公司</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地址：太原市迎泽区并州并路35号1幢1单元6层601号(金港国际商务中心C座东厅601号)</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w:t>
      </w:r>
      <w:r>
        <w:rPr>
          <w:rFonts w:hint="eastAsia" w:ascii="宋体" w:hAnsi="宋体" w:cs="宋体"/>
          <w:color w:val="auto"/>
          <w:szCs w:val="21"/>
          <w:highlight w:val="none"/>
          <w:shd w:val="clear" w:color="auto" w:fill="FFFFFF"/>
          <w:lang w:val="en-US" w:eastAsia="zh-CN"/>
        </w:rPr>
        <w:t>王</w:t>
      </w:r>
      <w:r>
        <w:rPr>
          <w:rFonts w:hint="eastAsia" w:ascii="宋体" w:hAnsi="宋体" w:eastAsia="宋体" w:cs="宋体"/>
          <w:color w:val="auto"/>
          <w:szCs w:val="21"/>
          <w:highlight w:val="none"/>
          <w:shd w:val="clear" w:color="auto" w:fill="FFFFFF"/>
          <w:lang w:val="en-US" w:eastAsia="zh-CN"/>
        </w:rPr>
        <w:t>女士</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w:t>
      </w:r>
      <w:r>
        <w:rPr>
          <w:rFonts w:hint="eastAsia" w:ascii="宋体" w:hAnsi="宋体" w:cs="宋体"/>
          <w:color w:val="auto"/>
          <w:szCs w:val="21"/>
          <w:highlight w:val="none"/>
          <w:shd w:val="clear" w:color="auto" w:fill="FFFFFF"/>
          <w:lang w:val="en-US" w:eastAsia="zh-CN"/>
        </w:rPr>
        <w:t>17337085999</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3.监督单位：睢县人民政府采购管理办公室</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联系方式：0370-6022957</w:t>
      </w:r>
    </w:p>
    <w:p>
      <w:pPr>
        <w:widowControl/>
        <w:shd w:val="clear" w:color="auto" w:fill="FFFFFF"/>
        <w:spacing w:before="50" w:after="50" w:line="300" w:lineRule="atLeast"/>
        <w:ind w:firstLine="480"/>
        <w:jc w:val="left"/>
        <w:rPr>
          <w:rFonts w:ascii="宋体" w:hAnsi="宋体" w:cs="宋体"/>
          <w:color w:val="auto"/>
          <w:kern w:val="0"/>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 xml:space="preserve">                             </w:t>
      </w:r>
    </w:p>
    <w:p>
      <w:pPr>
        <w:widowControl/>
        <w:shd w:val="clear" w:color="auto" w:fill="FFFFFF"/>
        <w:spacing w:line="375" w:lineRule="atLeast"/>
        <w:ind w:firstLine="435"/>
        <w:jc w:val="righ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eastAsia="zh-CN"/>
        </w:rPr>
        <w:t>山西众恒工程招标代理有限公司</w:t>
      </w:r>
    </w:p>
    <w:p>
      <w:pPr>
        <w:widowControl/>
        <w:shd w:val="clear" w:color="auto" w:fill="FFFFFF"/>
        <w:wordWrap w:val="0"/>
        <w:spacing w:line="375" w:lineRule="atLeast"/>
        <w:ind w:firstLine="435"/>
        <w:jc w:val="righ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rPr>
        <w:t>月</w:t>
      </w:r>
      <w:r>
        <w:rPr>
          <w:rFonts w:hint="eastAsia" w:ascii="宋体" w:hAnsi="宋体" w:cs="宋体"/>
          <w:color w:val="auto"/>
          <w:kern w:val="0"/>
          <w:szCs w:val="21"/>
          <w:highlight w:val="none"/>
          <w:shd w:val="clear" w:color="auto" w:fill="FFFFFF"/>
          <w:lang w:val="en-US" w:eastAsia="zh-CN"/>
        </w:rPr>
        <w:t>18</w:t>
      </w:r>
      <w:r>
        <w:rPr>
          <w:rFonts w:hint="eastAsia" w:ascii="宋体" w:hAnsi="宋体" w:cs="宋体"/>
          <w:color w:val="auto"/>
          <w:kern w:val="0"/>
          <w:szCs w:val="21"/>
          <w:highlight w:val="none"/>
          <w:shd w:val="clear" w:color="auto" w:fill="FFFFFF"/>
        </w:rPr>
        <w:t>日</w:t>
      </w:r>
      <w:bookmarkEnd w:id="12"/>
    </w:p>
    <w:p>
      <w:pPr>
        <w:widowControl/>
        <w:shd w:val="clear" w:color="auto" w:fill="FFFFFF"/>
        <w:wordWrap w:val="0"/>
        <w:spacing w:line="375" w:lineRule="atLeast"/>
        <w:ind w:firstLine="435"/>
        <w:jc w:val="right"/>
        <w:rPr>
          <w:rFonts w:ascii="宋体" w:hAnsi="宋体" w:cs="宋体"/>
          <w:color w:val="auto"/>
          <w:kern w:val="0"/>
          <w:szCs w:val="21"/>
          <w:highlight w:val="none"/>
          <w:shd w:val="clear" w:color="auto" w:fill="FFFFFF"/>
        </w:rPr>
      </w:pPr>
    </w:p>
    <w:p>
      <w:pPr>
        <w:spacing w:line="360" w:lineRule="auto"/>
        <w:jc w:val="center"/>
        <w:rPr>
          <w:rFonts w:ascii="宋体" w:hAnsi="宋体" w:cs="宋体"/>
          <w:color w:val="auto"/>
          <w:highlight w:val="none"/>
        </w:rPr>
      </w:pPr>
      <w:bookmarkStart w:id="24" w:name="_Toc9028"/>
      <w:r>
        <w:rPr>
          <w:rStyle w:val="81"/>
          <w:rFonts w:hint="eastAsia" w:ascii="宋体" w:hAnsi="宋体" w:cs="宋体"/>
          <w:color w:val="auto"/>
          <w:highlight w:val="none"/>
        </w:rPr>
        <w:t>第二章 供应商须知</w:t>
      </w:r>
      <w:bookmarkEnd w:id="13"/>
      <w:bookmarkEnd w:id="14"/>
      <w:bookmarkEnd w:id="15"/>
      <w:bookmarkEnd w:id="16"/>
      <w:bookmarkEnd w:id="17"/>
      <w:bookmarkEnd w:id="18"/>
      <w:bookmarkEnd w:id="19"/>
      <w:bookmarkEnd w:id="20"/>
      <w:bookmarkEnd w:id="21"/>
      <w:bookmarkEnd w:id="22"/>
      <w:bookmarkEnd w:id="23"/>
      <w:bookmarkEnd w:id="24"/>
    </w:p>
    <w:p>
      <w:pPr>
        <w:pStyle w:val="4"/>
        <w:rPr>
          <w:rFonts w:ascii="宋体" w:hAnsi="宋体" w:eastAsia="宋体" w:cs="宋体"/>
          <w:color w:val="auto"/>
          <w:highlight w:val="none"/>
        </w:rPr>
      </w:pPr>
      <w:bookmarkStart w:id="25" w:name="_Toc179632545"/>
      <w:bookmarkStart w:id="26" w:name="_Toc246996174"/>
      <w:bookmarkStart w:id="27" w:name="_Toc144974496"/>
      <w:bookmarkStart w:id="28" w:name="_Toc247085688"/>
      <w:bookmarkStart w:id="29" w:name="_Toc338840186"/>
      <w:bookmarkStart w:id="30" w:name="_Toc152045528"/>
      <w:bookmarkStart w:id="31" w:name="_Toc338840480"/>
      <w:bookmarkStart w:id="32" w:name="_Toc346523401"/>
      <w:bookmarkStart w:id="33" w:name="_Toc152042304"/>
      <w:bookmarkStart w:id="34" w:name="_Toc2605"/>
      <w:bookmarkStart w:id="35" w:name="_Toc246996917"/>
      <w:bookmarkStart w:id="36" w:name="_Toc338840441"/>
      <w:r>
        <w:rPr>
          <w:rFonts w:hint="eastAsia" w:ascii="宋体" w:hAnsi="宋体" w:eastAsia="宋体" w:cs="宋体"/>
          <w:color w:val="auto"/>
          <w:highlight w:val="none"/>
        </w:rPr>
        <w:t>供应商须知前附表</w:t>
      </w:r>
      <w:bookmarkEnd w:id="25"/>
      <w:bookmarkEnd w:id="26"/>
      <w:bookmarkEnd w:id="27"/>
      <w:bookmarkEnd w:id="28"/>
      <w:bookmarkEnd w:id="29"/>
      <w:bookmarkEnd w:id="30"/>
      <w:bookmarkEnd w:id="31"/>
      <w:bookmarkEnd w:id="32"/>
      <w:bookmarkEnd w:id="33"/>
      <w:bookmarkEnd w:id="34"/>
      <w:bookmarkEnd w:id="35"/>
      <w:bookmarkEnd w:id="36"/>
    </w:p>
    <w:p>
      <w:pPr>
        <w:rPr>
          <w:rFonts w:ascii="宋体" w:hAnsi="宋体" w:cs="宋体"/>
          <w:color w:val="auto"/>
          <w:highlight w:val="none"/>
        </w:rPr>
      </w:pPr>
      <w:r>
        <w:rPr>
          <w:rFonts w:hint="eastAsia" w:ascii="宋体" w:hAnsi="宋体" w:cs="宋体"/>
          <w:color w:val="auto"/>
          <w:highlight w:val="none"/>
        </w:rPr>
        <w:t>注：本供应商须知前附表内容与供应商须知正文内容不一致时以本前附表内容为准。</w:t>
      </w:r>
    </w:p>
    <w:tbl>
      <w:tblPr>
        <w:tblStyle w:val="42"/>
        <w:tblW w:w="9339" w:type="dxa"/>
        <w:tblInd w:w="0" w:type="dxa"/>
        <w:tblLayout w:type="fixed"/>
        <w:tblCellMar>
          <w:top w:w="0" w:type="dxa"/>
          <w:left w:w="108" w:type="dxa"/>
          <w:bottom w:w="0" w:type="dxa"/>
          <w:right w:w="108" w:type="dxa"/>
        </w:tblCellMar>
      </w:tblPr>
      <w:tblGrid>
        <w:gridCol w:w="994"/>
        <w:gridCol w:w="1719"/>
        <w:gridCol w:w="6626"/>
      </w:tblGrid>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条款号</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条  款  名  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编  列  内  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名称： 睢县农业农村局   </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地址：睢县农业农村局</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联系人：王先生 </w:t>
            </w:r>
          </w:p>
          <w:p>
            <w:pPr>
              <w:shd w:val="solid" w:color="FFFFFF" w:fill="auto"/>
              <w:autoSpaceDN w:val="0"/>
              <w:spacing w:line="0" w:lineRule="atLeast"/>
              <w:ind w:left="840" w:hanging="84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电 话：18337036999</w:t>
            </w:r>
          </w:p>
        </w:tc>
      </w:tr>
      <w:tr>
        <w:tblPrEx>
          <w:tblCellMar>
            <w:top w:w="0" w:type="dxa"/>
            <w:left w:w="108" w:type="dxa"/>
            <w:bottom w:w="0" w:type="dxa"/>
            <w:right w:w="108" w:type="dxa"/>
          </w:tblCellMar>
        </w:tblPrEx>
        <w:trPr>
          <w:trHeight w:val="1057"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招标代理机构</w:t>
            </w:r>
          </w:p>
        </w:tc>
        <w:tc>
          <w:tcPr>
            <w:tcW w:w="66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0" w:lineRule="atLeast"/>
              <w:ind w:left="840" w:hanging="84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代理人：</w:t>
            </w:r>
            <w:r>
              <w:rPr>
                <w:rFonts w:hint="eastAsia" w:ascii="宋体" w:hAnsi="宋体" w:cs="宋体"/>
                <w:color w:val="auto"/>
                <w:szCs w:val="21"/>
                <w:highlight w:val="none"/>
                <w:shd w:val="clear" w:color="auto" w:fill="FFFFFF"/>
                <w:lang w:eastAsia="zh-CN"/>
              </w:rPr>
              <w:t>山西众恒工程招标代理有限公司</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地址：太原市迎泽区并州并路35号1幢1单元6层601号(金港国际商务中心C座东厅601号)</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联系人：王女士</w:t>
            </w:r>
          </w:p>
          <w:p>
            <w:pPr>
              <w:shd w:val="solid" w:color="FFFFFF" w:fill="auto"/>
              <w:autoSpaceDN w:val="0"/>
              <w:spacing w:line="0" w:lineRule="atLeast"/>
              <w:ind w:left="840" w:hanging="84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联系方式：17337085999</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睢县农业农村局睢县2024年小麦“一喷三防”项目</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1.1.5</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睢县</w:t>
            </w:r>
            <w:r>
              <w:rPr>
                <w:rFonts w:hint="eastAsia" w:ascii="宋体" w:hAnsi="宋体" w:cs="宋体"/>
                <w:color w:val="auto"/>
                <w:szCs w:val="21"/>
                <w:highlight w:val="none"/>
                <w:lang w:val="en-US" w:eastAsia="zh-CN"/>
              </w:rPr>
              <w:t>境内</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资金来源及比例</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财政资金  100%</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1.2.2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资金落实情况</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已落实</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 xml:space="preserve"> 采购内容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第1标包：10%联苯.噻虫嗪悬浮剂15毫升/袋（瓶）；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第2标包：15%噻虫.高氯氟微囊悬浮—悬浮剂或悬浮剂；8毫升/袋（瓶）；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第3标包：</w:t>
            </w:r>
            <w:r>
              <w:rPr>
                <w:rFonts w:hint="eastAsia" w:ascii="宋体" w:hAnsi="宋体" w:cs="宋体"/>
                <w:color w:val="auto"/>
                <w:kern w:val="0"/>
                <w:sz w:val="21"/>
                <w:szCs w:val="21"/>
                <w:highlight w:val="none"/>
                <w:shd w:val="clear" w:color="auto" w:fill="FFFFFF"/>
                <w:lang w:val="en-US" w:eastAsia="zh-CN" w:bidi="ar-SA"/>
              </w:rPr>
              <w:t>250克/升 丙环唑  乳油  ≥30克/袋（瓶）（不能低于登记的每亩最低用量）</w:t>
            </w:r>
            <w:r>
              <w:rPr>
                <w:rFonts w:hint="eastAsia" w:ascii="宋体" w:hAnsi="宋体" w:cs="宋体"/>
                <w:color w:val="auto"/>
                <w:szCs w:val="21"/>
                <w:highlight w:val="none"/>
                <w:lang w:val="en-US" w:eastAsia="zh-CN"/>
              </w:rPr>
              <w:t>；</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第4标包：430克/升 戊唑醇  悬浮剂  15克/袋（瓶）；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第5标包：≥ 99%磷酸二氢钾  50克/袋（瓶）；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第6标包：60%大量元素水溶肥料 25克/袋（瓶）；</w:t>
            </w:r>
          </w:p>
          <w:p>
            <w:pPr>
              <w:spacing w:line="0" w:lineRule="atLeas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第7标包：无人机飞防服务（含药剂）1、杀虫剂：5%或10%联苯噻虫嗪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w:t>
            </w:r>
            <w:r>
              <w:rPr>
                <w:rFonts w:ascii="宋体" w:hAnsi="宋体" w:cs="宋体"/>
                <w:color w:val="auto"/>
                <w:szCs w:val="21"/>
                <w:highlight w:val="none"/>
              </w:rPr>
              <w:t>期</w:t>
            </w:r>
            <w:r>
              <w:rPr>
                <w:rFonts w:hint="eastAsia" w:ascii="宋体" w:hAnsi="宋体" w:cs="宋体"/>
                <w:color w:val="auto"/>
                <w:szCs w:val="21"/>
                <w:highlight w:val="none"/>
                <w:lang w:val="en-US" w:eastAsia="zh-CN"/>
              </w:rPr>
              <w:t>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shd w:val="clear" w:color="auto" w:fill="FFFFFF"/>
                <w:lang w:val="en-US" w:eastAsia="zh-CN"/>
              </w:rPr>
              <w:t>合同签订后3日历天内</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质量要求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符合国家省市有关规范要求、且通过验收</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1.4.1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供应商资格要求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详见招标公告第</w:t>
            </w:r>
            <w:r>
              <w:rPr>
                <w:rFonts w:hint="eastAsia" w:ascii="宋体" w:hAnsi="宋体" w:cs="宋体"/>
                <w:color w:val="auto"/>
                <w:szCs w:val="21"/>
                <w:highlight w:val="none"/>
                <w:lang w:val="en-US" w:eastAsia="zh-CN"/>
              </w:rPr>
              <w:t>六</w:t>
            </w:r>
            <w:r>
              <w:rPr>
                <w:rFonts w:ascii="宋体" w:hAnsi="宋体" w:cs="宋体"/>
                <w:color w:val="auto"/>
                <w:szCs w:val="21"/>
                <w:highlight w:val="none"/>
              </w:rPr>
              <w:t>项“</w:t>
            </w:r>
            <w:r>
              <w:rPr>
                <w:rFonts w:hint="eastAsia" w:ascii="宋体" w:hAnsi="宋体" w:cs="宋体"/>
                <w:color w:val="auto"/>
                <w:szCs w:val="21"/>
                <w:highlight w:val="none"/>
                <w:lang w:val="en-US" w:eastAsia="zh-CN"/>
              </w:rPr>
              <w:t>申请人</w:t>
            </w:r>
            <w:r>
              <w:rPr>
                <w:rFonts w:ascii="宋体" w:hAnsi="宋体" w:cs="宋体"/>
                <w:color w:val="auto"/>
                <w:szCs w:val="21"/>
                <w:highlight w:val="none"/>
              </w:rPr>
              <w:t>资格要求”，除明确要求提供原件外、资格审查均以投标文件所附复印件为准，复印件、扫描件效力等同。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1.9.1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踏勘现场</w:t>
            </w:r>
          </w:p>
        </w:tc>
        <w:tc>
          <w:tcPr>
            <w:tcW w:w="6626" w:type="dxa"/>
            <w:tcBorders>
              <w:top w:val="single" w:color="auto" w:sz="4" w:space="0"/>
              <w:left w:val="single" w:color="auto" w:sz="4" w:space="0"/>
              <w:bottom w:val="single" w:color="auto" w:sz="4" w:space="0"/>
              <w:right w:val="single" w:color="auto" w:sz="4" w:space="0"/>
            </w:tcBorders>
            <w:vAlign w:val="center"/>
          </w:tcPr>
          <w:p>
            <w:pPr>
              <w:pStyle w:val="11"/>
              <w:topLinePunct/>
              <w:spacing w:line="0" w:lineRule="atLeast"/>
              <w:rPr>
                <w:rFonts w:hAnsi="宋体" w:cs="宋体"/>
                <w:color w:val="auto"/>
                <w:sz w:val="21"/>
                <w:szCs w:val="21"/>
                <w:highlight w:val="none"/>
              </w:rPr>
            </w:pPr>
            <w:r>
              <w:rPr>
                <w:rFonts w:hAnsi="宋体" w:cs="宋体"/>
                <w:color w:val="auto"/>
                <w:sz w:val="21"/>
                <w:szCs w:val="21"/>
                <w:highlight w:val="none"/>
              </w:rPr>
              <w:sym w:font="Wingdings" w:char="F0FE"/>
            </w:r>
            <w:r>
              <w:rPr>
                <w:rFonts w:hAnsi="宋体" w:cs="宋体"/>
                <w:color w:val="auto"/>
                <w:sz w:val="21"/>
                <w:szCs w:val="21"/>
                <w:highlight w:val="none"/>
              </w:rPr>
              <w:t>不组织，各供应商自行踏勘</w:t>
            </w:r>
          </w:p>
          <w:p>
            <w:pPr>
              <w:spacing w:line="0" w:lineRule="atLeast"/>
              <w:rPr>
                <w:rFonts w:ascii="宋体" w:hAnsi="宋体" w:cs="宋体"/>
                <w:color w:val="auto"/>
                <w:szCs w:val="21"/>
                <w:highlight w:val="none"/>
              </w:rPr>
            </w:pPr>
            <w:r>
              <w:rPr>
                <w:rFonts w:ascii="宋体" w:hAnsi="宋体" w:cs="宋体"/>
                <w:color w:val="auto"/>
                <w:szCs w:val="21"/>
                <w:highlight w:val="none"/>
              </w:rPr>
              <w:t>□组织，踏勘时间：　　　踏勘集中地点：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投标预备会</w:t>
            </w:r>
          </w:p>
        </w:tc>
        <w:tc>
          <w:tcPr>
            <w:tcW w:w="6626" w:type="dxa"/>
            <w:tcBorders>
              <w:top w:val="single" w:color="auto" w:sz="4" w:space="0"/>
              <w:left w:val="single" w:color="auto" w:sz="4" w:space="0"/>
              <w:bottom w:val="single" w:color="auto" w:sz="4" w:space="0"/>
              <w:right w:val="single" w:color="auto" w:sz="4" w:space="0"/>
            </w:tcBorders>
            <w:vAlign w:val="center"/>
          </w:tcPr>
          <w:p>
            <w:pPr>
              <w:pStyle w:val="11"/>
              <w:topLinePunct/>
              <w:spacing w:line="0" w:lineRule="atLeast"/>
              <w:rPr>
                <w:rFonts w:hAnsi="宋体" w:cs="宋体"/>
                <w:color w:val="auto"/>
                <w:sz w:val="21"/>
                <w:szCs w:val="21"/>
                <w:highlight w:val="none"/>
              </w:rPr>
            </w:pPr>
            <w:r>
              <w:rPr>
                <w:rFonts w:hAnsi="宋体" w:cs="宋体"/>
                <w:color w:val="auto"/>
                <w:sz w:val="21"/>
                <w:szCs w:val="21"/>
                <w:highlight w:val="none"/>
              </w:rPr>
              <w:sym w:font="Wingdings" w:char="F0FE"/>
            </w:r>
            <w:r>
              <w:rPr>
                <w:rFonts w:hAnsi="宋体" w:cs="宋体"/>
                <w:color w:val="auto"/>
                <w:sz w:val="21"/>
                <w:szCs w:val="21"/>
                <w:highlight w:val="none"/>
              </w:rPr>
              <w:t>不召开</w:t>
            </w:r>
          </w:p>
          <w:p>
            <w:pPr>
              <w:spacing w:line="0" w:lineRule="atLeast"/>
              <w:rPr>
                <w:rFonts w:ascii="宋体" w:hAnsi="宋体" w:cs="宋体"/>
                <w:color w:val="auto"/>
                <w:szCs w:val="21"/>
                <w:highlight w:val="none"/>
              </w:rPr>
            </w:pPr>
            <w:r>
              <w:rPr>
                <w:rFonts w:ascii="宋体" w:hAnsi="宋体" w:cs="宋体"/>
                <w:color w:val="auto"/>
                <w:szCs w:val="21"/>
                <w:highlight w:val="none"/>
              </w:rPr>
              <w:t>□召开，召开时间：　　　　　召开地点：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供应商提出问题的截止时间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应当在收到招标文件之日起7个工作日内提出。</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采购人书面澄清的时间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kern w:val="0"/>
                <w:szCs w:val="21"/>
                <w:highlight w:val="none"/>
              </w:rPr>
              <w:t>投标截止时间15日前</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构成招标文件的其他材料</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供应商要求澄清招标文件的截止时间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kern w:val="0"/>
                <w:szCs w:val="21"/>
                <w:highlight w:val="none"/>
              </w:rPr>
              <w:t>投标截止时间15日前</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2.2.3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供应商确认收到招标文件澄清的时间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收到当日</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2.3.2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供应商确认收到招标文件修改的时间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收到当日</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3.1.1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构成投标文件的其他材料</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报价范围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供应商应按招标项目要求，一次性报出不可更改的价格，所报的价格中包含</w:t>
            </w:r>
            <w:r>
              <w:rPr>
                <w:rFonts w:ascii="宋体" w:hAnsi="宋体" w:cs="宋体"/>
                <w:color w:val="auto"/>
                <w:kern w:val="0"/>
                <w:szCs w:val="21"/>
                <w:highlight w:val="none"/>
              </w:rPr>
              <w:t>本招标采购对象及与之相关的</w:t>
            </w:r>
            <w:r>
              <w:rPr>
                <w:rFonts w:ascii="宋体" w:hAnsi="宋体" w:cs="宋体"/>
                <w:color w:val="auto"/>
                <w:szCs w:val="21"/>
                <w:highlight w:val="none"/>
              </w:rPr>
              <w:t>各项税费、保险费、意外事故等</w:t>
            </w:r>
            <w:r>
              <w:rPr>
                <w:rFonts w:ascii="宋体" w:hAnsi="宋体" w:cs="宋体"/>
                <w:color w:val="auto"/>
                <w:kern w:val="0"/>
                <w:szCs w:val="21"/>
                <w:highlight w:val="none"/>
              </w:rPr>
              <w:t>验收合格前全部</w:t>
            </w:r>
            <w:r>
              <w:rPr>
                <w:rFonts w:ascii="宋体" w:hAnsi="宋体" w:cs="宋体"/>
                <w:color w:val="auto"/>
                <w:szCs w:val="21"/>
                <w:highlight w:val="none"/>
              </w:rPr>
              <w:t>费用</w:t>
            </w:r>
            <w:r>
              <w:rPr>
                <w:rFonts w:ascii="宋体" w:hAnsi="宋体" w:cs="宋体"/>
                <w:color w:val="auto"/>
                <w:kern w:val="0"/>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招标控制价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cs="宋体"/>
                <w:color w:val="auto"/>
                <w:szCs w:val="21"/>
                <w:highlight w:val="none"/>
                <w:lang w:val="en-US"/>
              </w:rPr>
            </w:pPr>
            <w:r>
              <w:rPr>
                <w:rFonts w:ascii="宋体" w:hAnsi="宋体" w:cs="宋体"/>
                <w:color w:val="auto"/>
                <w:szCs w:val="21"/>
                <w:highlight w:val="none"/>
              </w:rPr>
              <w:t>招标控制价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详见招标公告</w:t>
            </w:r>
          </w:p>
          <w:p>
            <w:pPr>
              <w:spacing w:line="0" w:lineRule="atLeast"/>
              <w:rPr>
                <w:rFonts w:ascii="宋体" w:hAnsi="宋体" w:cs="宋体"/>
                <w:color w:val="auto"/>
                <w:szCs w:val="21"/>
                <w:highlight w:val="none"/>
              </w:rPr>
            </w:pPr>
            <w:r>
              <w:rPr>
                <w:rFonts w:ascii="宋体" w:hAnsi="宋体" w:cs="宋体"/>
                <w:color w:val="auto"/>
                <w:szCs w:val="21"/>
                <w:highlight w:val="none"/>
              </w:rPr>
              <w:t>高于招标控制价的投标为无效标。</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报价币种</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全部报价均应以人民币为计量货币，并以人民币进行结算。</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3.3.1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自投标截止日起</w:t>
            </w:r>
            <w:r>
              <w:rPr>
                <w:rFonts w:ascii="宋体" w:hAnsi="宋体" w:cs="宋体"/>
                <w:color w:val="auto"/>
                <w:szCs w:val="21"/>
                <w:highlight w:val="none"/>
                <w:u w:val="single"/>
              </w:rPr>
              <w:t>60</w:t>
            </w:r>
            <w:r>
              <w:rPr>
                <w:rFonts w:ascii="宋体" w:hAnsi="宋体" w:cs="宋体"/>
                <w:color w:val="auto"/>
                <w:szCs w:val="21"/>
                <w:highlight w:val="none"/>
              </w:rPr>
              <w:t>日历天</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投标保证金</w:t>
            </w:r>
          </w:p>
        </w:tc>
        <w:tc>
          <w:tcPr>
            <w:tcW w:w="6626"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auto"/>
                <w:szCs w:val="21"/>
                <w:highlight w:val="none"/>
              </w:rPr>
            </w:pPr>
            <w:r>
              <w:rPr>
                <w:rFonts w:ascii="宋体" w:hAnsi="宋体" w:cs="宋体"/>
                <w:color w:val="auto"/>
                <w:szCs w:val="21"/>
                <w:highlight w:val="none"/>
              </w:rPr>
              <w:t>无</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3.6.3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签字或盖章要求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按招标文件中投标文件格式要求签字、盖章。</w:t>
            </w:r>
          </w:p>
          <w:p>
            <w:pPr>
              <w:spacing w:line="0" w:lineRule="atLeast"/>
              <w:rPr>
                <w:rFonts w:ascii="宋体" w:hAnsi="宋体"/>
                <w:color w:val="auto"/>
                <w:szCs w:val="21"/>
                <w:highlight w:val="none"/>
              </w:rPr>
            </w:pPr>
            <w:r>
              <w:rPr>
                <w:rFonts w:ascii="宋体" w:hAnsi="宋体"/>
                <w:color w:val="auto"/>
                <w:szCs w:val="21"/>
                <w:highlight w:val="none"/>
              </w:rPr>
              <w:t>本项目不要求逐页签字盖章，但招标文件中注明签字或盖章的地方应按照要求签字或盖章以保证该项资料的有效性，否则评标委员会有权利对该项资料不予认可。如果该项资料为初步审查所必须提供的证明材料，将导致无效响应。</w:t>
            </w:r>
          </w:p>
          <w:p>
            <w:pPr>
              <w:spacing w:line="0" w:lineRule="atLeast"/>
              <w:rPr>
                <w:rFonts w:ascii="宋体" w:hAnsi="宋体" w:cs="宋体"/>
                <w:color w:val="auto"/>
                <w:szCs w:val="21"/>
                <w:highlight w:val="none"/>
              </w:rPr>
            </w:pPr>
            <w:r>
              <w:rPr>
                <w:rFonts w:ascii="宋体" w:hAnsi="宋体"/>
                <w:color w:val="auto"/>
                <w:szCs w:val="21"/>
                <w:highlight w:val="none"/>
              </w:rPr>
              <w:t>根据《中华人民共和国电子签名法》第十四条规定：可靠的电子签名与手写签名或者盖章具有同等的法律效力。</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3.6.4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投标文件份数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加密上传的电子投标文件一份</w:t>
            </w:r>
            <w:r>
              <w:rPr>
                <w:color w:val="auto"/>
                <w:szCs w:val="21"/>
                <w:highlight w:val="none"/>
              </w:rPr>
              <w:t>（投标人自行承担因上传错误、无法正常打开投标文件或投标文件上传不完整的后果）</w:t>
            </w: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4.2.2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递交投标文件地点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睢县公共资源交易中心网站</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5.1</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开标时间和地点</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详见招标公告</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5.2</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开标程序</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(1)本项目实行不见面开评标，投标人不需要再到现场（需要现场演示或样品展示的除外）关于实行全过程不见面交易的通知详见睢县公共资源交易中心网站。</w:t>
            </w:r>
          </w:p>
          <w:p>
            <w:pPr>
              <w:spacing w:line="0" w:lineRule="atLeast"/>
              <w:rPr>
                <w:rFonts w:ascii="宋体" w:hAnsi="宋体" w:cs="宋体"/>
                <w:color w:val="auto"/>
                <w:szCs w:val="21"/>
                <w:highlight w:val="none"/>
              </w:rPr>
            </w:pPr>
            <w:r>
              <w:rPr>
                <w:rFonts w:ascii="宋体" w:hAnsi="宋体" w:cs="宋体"/>
                <w:color w:val="auto"/>
                <w:szCs w:val="21"/>
                <w:highlight w:val="none"/>
              </w:rPr>
              <w:t>（2）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6.1.1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评标委员会的组建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评标委员会构成：</w:t>
            </w:r>
            <w:r>
              <w:rPr>
                <w:rFonts w:ascii="宋体" w:hAnsi="宋体" w:cs="仿宋"/>
                <w:color w:val="auto"/>
                <w:szCs w:val="21"/>
                <w:highlight w:val="none"/>
              </w:rPr>
              <w:t xml:space="preserve"> 评标委员会由采购人代表和评审专家共5人组成，其中评审专家人数不少于评标委员会成员总数的2/3。</w:t>
            </w:r>
          </w:p>
          <w:p>
            <w:pPr>
              <w:spacing w:line="0" w:lineRule="atLeast"/>
              <w:rPr>
                <w:rFonts w:ascii="宋体" w:hAnsi="宋体" w:cs="宋体"/>
                <w:color w:val="auto"/>
                <w:szCs w:val="21"/>
                <w:highlight w:val="none"/>
              </w:rPr>
            </w:pPr>
            <w:r>
              <w:rPr>
                <w:rFonts w:ascii="宋体" w:hAnsi="宋体" w:cs="宋体"/>
                <w:color w:val="auto"/>
                <w:szCs w:val="21"/>
                <w:highlight w:val="none"/>
              </w:rPr>
              <w:t>评标专家确定方式：从相关专家库中随机抽取。</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7.1</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是否授权评标委员会确定中标人</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□是，确定中标人1人。</w:t>
            </w:r>
          </w:p>
          <w:p>
            <w:pPr>
              <w:spacing w:line="0" w:lineRule="atLeast"/>
              <w:rPr>
                <w:rFonts w:ascii="宋体" w:hAnsi="宋体" w:cs="宋体"/>
                <w:color w:val="auto"/>
                <w:szCs w:val="21"/>
                <w:highlight w:val="none"/>
              </w:rPr>
            </w:pPr>
            <w:r>
              <w:rPr>
                <w:rFonts w:ascii="宋体" w:hAnsi="宋体" w:cs="宋体"/>
                <w:color w:val="auto"/>
                <w:szCs w:val="21"/>
                <w:highlight w:val="none"/>
              </w:rPr>
              <w:sym w:font="Wingdings" w:char="F0FE"/>
            </w:r>
            <w:r>
              <w:rPr>
                <w:rFonts w:ascii="宋体" w:hAnsi="宋体" w:cs="宋体"/>
                <w:color w:val="auto"/>
                <w:szCs w:val="21"/>
                <w:highlight w:val="none"/>
              </w:rPr>
              <w:t>否，推荐的中标候选人数：1－3人。</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7.2</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中标人公布媒介</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《河南省政府采购网》、《睢县公共资源交易中心网》</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履约担保</w:t>
            </w:r>
          </w:p>
        </w:tc>
        <w:tc>
          <w:tcPr>
            <w:tcW w:w="6626"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rPr>
                <w:rFonts w:ascii="宋体" w:hAnsi="宋体" w:cs="宋体"/>
                <w:color w:val="auto"/>
                <w:szCs w:val="21"/>
                <w:highlight w:val="none"/>
              </w:rPr>
            </w:pPr>
            <w:r>
              <w:rPr>
                <w:rFonts w:ascii="宋体" w:hAnsi="宋体" w:cs="宋体"/>
                <w:color w:val="auto"/>
                <w:szCs w:val="21"/>
                <w:highlight w:val="none"/>
              </w:rPr>
              <w:t>无</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7.5.1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签订合同</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中标人在《中标通知书》发出后</w:t>
            </w:r>
            <w:r>
              <w:rPr>
                <w:rFonts w:ascii="宋体" w:hAnsi="宋体" w:cs="宋体"/>
                <w:color w:val="auto"/>
                <w:szCs w:val="21"/>
                <w:highlight w:val="none"/>
                <w:u w:val="single"/>
              </w:rPr>
              <w:t>7</w:t>
            </w:r>
            <w:r>
              <w:rPr>
                <w:rFonts w:ascii="宋体" w:hAnsi="宋体" w:cs="宋体"/>
                <w:color w:val="auto"/>
                <w:szCs w:val="21"/>
                <w:highlight w:val="none"/>
              </w:rPr>
              <w:t>个日历日内，根据招标文件和中标人的投标文件与采购人签订合同。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9</w:t>
            </w:r>
          </w:p>
        </w:tc>
        <w:tc>
          <w:tcPr>
            <w:tcW w:w="83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需要补充的其他内容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解释权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构成本招标文件的各个组成文件应互为解释、互为说明，如有不明确或不一致，构成合同文件组成内容的，以合同文件约定内容为准；除招标文件中有特别规定外，在招标投标和评标阶段的优先解释顺序如下：按招标公告（投标邀请书）、供应商须知、评标办法、招标内容及商务技术要求、投标文件格式的先后顺序解释；同一组成部分中就同一事项的规定或约定不一致的，以编排顺序在后者为准；同一组成部分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同义词语</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招标文件中出现的措辞理解：“采购人”与“招标人”含意相同；“供应商”与“投标人”含意相同；“招标代理机构”与“采购代理机构”含意相同。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代理服务费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参照河南省招标投标协会关于印发《河南省招标代理服务收费指导</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意见》 的通知豫招协【2023 】002 号文件收取招标代理服务费，招标代理服务费由中标人支付。</w:t>
            </w:r>
          </w:p>
        </w:tc>
      </w:tr>
      <w:tr>
        <w:tblPrEx>
          <w:tblCellMar>
            <w:top w:w="0" w:type="dxa"/>
            <w:left w:w="108" w:type="dxa"/>
            <w:bottom w:w="0" w:type="dxa"/>
            <w:right w:w="108" w:type="dxa"/>
          </w:tblCellMar>
        </w:tblPrEx>
        <w:trPr>
          <w:trHeight w:val="115"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9.5</w:t>
            </w:r>
          </w:p>
        </w:tc>
        <w:tc>
          <w:tcPr>
            <w:tcW w:w="1719" w:type="dxa"/>
            <w:tcBorders>
              <w:top w:val="single" w:color="auto" w:sz="4" w:space="0"/>
              <w:left w:val="single" w:color="auto" w:sz="4" w:space="0"/>
              <w:bottom w:val="single" w:color="auto" w:sz="4" w:space="0"/>
              <w:right w:val="single" w:color="auto" w:sz="4" w:space="0"/>
            </w:tcBorders>
            <w:vAlign w:val="center"/>
          </w:tcPr>
          <w:p>
            <w:pPr>
              <w:pStyle w:val="141"/>
              <w:spacing w:line="0" w:lineRule="atLeast"/>
              <w:jc w:val="center"/>
              <w:rPr>
                <w:color w:val="auto"/>
                <w:szCs w:val="21"/>
                <w:highlight w:val="none"/>
              </w:rPr>
            </w:pPr>
            <w:r>
              <w:rPr>
                <w:color w:val="auto"/>
                <w:sz w:val="21"/>
                <w:szCs w:val="21"/>
                <w:highlight w:val="none"/>
              </w:rPr>
              <w:t>同一品牌多个投标人如何计算</w:t>
            </w:r>
          </w:p>
        </w:tc>
        <w:tc>
          <w:tcPr>
            <w:tcW w:w="6626" w:type="dxa"/>
            <w:tcBorders>
              <w:top w:val="single" w:color="auto" w:sz="4" w:space="0"/>
              <w:left w:val="single" w:color="auto" w:sz="4" w:space="0"/>
              <w:bottom w:val="single" w:color="auto" w:sz="4" w:space="0"/>
              <w:right w:val="single" w:color="auto" w:sz="4" w:space="0"/>
            </w:tcBorders>
            <w:vAlign w:val="center"/>
          </w:tcPr>
          <w:p>
            <w:pPr>
              <w:pStyle w:val="141"/>
              <w:spacing w:line="0" w:lineRule="atLeast"/>
              <w:rPr>
                <w:color w:val="auto"/>
                <w:sz w:val="21"/>
                <w:szCs w:val="21"/>
                <w:highlight w:val="none"/>
              </w:rPr>
            </w:pPr>
            <w:r>
              <w:rPr>
                <w:color w:val="auto"/>
                <w:sz w:val="21"/>
                <w:szCs w:val="21"/>
                <w:highlight w:val="none"/>
              </w:rPr>
              <w:t>根据87号令第三十一条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41"/>
              <w:spacing w:line="0" w:lineRule="atLeast"/>
              <w:rPr>
                <w:color w:val="auto"/>
                <w:sz w:val="21"/>
                <w:szCs w:val="21"/>
                <w:highlight w:val="none"/>
              </w:rPr>
            </w:pPr>
            <w:r>
              <w:rPr>
                <w:color w:val="auto"/>
                <w:sz w:val="21"/>
                <w:szCs w:val="21"/>
                <w:highlight w:val="none"/>
              </w:rPr>
              <w:t>使用综合评分法的采购项目，提供相同品牌产品且通过资格审查、符合性审查的不同投标人参加同一合同项下投标的，按一家投标人计算，评审后得分最高的同品牌供应商获得中标候选人推荐资格；评审得分相同的，由采购人或者采购人委托评标委员会按照招标文件规定的方式确定一个投标人获得中标人推荐资格，招标文件未规定的采取随机抽取的方式确定、其他同品牌投标人不作为中标候选人。</w:t>
            </w:r>
          </w:p>
          <w:p>
            <w:pPr>
              <w:pStyle w:val="141"/>
              <w:spacing w:line="0" w:lineRule="atLeast"/>
              <w:rPr>
                <w:color w:val="auto"/>
                <w:szCs w:val="21"/>
                <w:highlight w:val="none"/>
              </w:rPr>
            </w:pPr>
            <w:r>
              <w:rPr>
                <w:color w:val="auto"/>
                <w:sz w:val="21"/>
                <w:szCs w:val="21"/>
                <w:highlight w:val="none"/>
              </w:rPr>
              <w:t>非单一产品采购项目，采购人应当确定核心产品，并在招标文件中载明。多家投标人提供的核心产品品牌相同的，按前两款规定处理。</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9.6</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lang w:val="zh-CN"/>
              </w:rPr>
              <w:t>有关节能产品</w:t>
            </w:r>
            <w:r>
              <w:rPr>
                <w:rFonts w:ascii="宋体" w:hAnsi="宋体" w:cs="宋体"/>
                <w:color w:val="auto"/>
                <w:highlight w:val="none"/>
              </w:rPr>
              <w:t>和</w:t>
            </w:r>
            <w:r>
              <w:rPr>
                <w:rFonts w:ascii="宋体" w:hAnsi="宋体"/>
                <w:color w:val="auto"/>
                <w:highlight w:val="none"/>
                <w:lang w:val="zh-CN"/>
              </w:rPr>
              <w:t>环境标志产品问题</w:t>
            </w:r>
          </w:p>
        </w:tc>
        <w:tc>
          <w:tcPr>
            <w:tcW w:w="6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olor w:val="auto"/>
                <w:highlight w:val="none"/>
                <w:lang w:val="zh-CN"/>
              </w:rPr>
            </w:pPr>
            <w:r>
              <w:rPr>
                <w:rFonts w:ascii="宋体" w:hAnsi="宋体"/>
                <w:color w:val="auto"/>
                <w:highlight w:val="none"/>
                <w:lang w:val="zh-CN"/>
              </w:rPr>
              <w:t>1．对供应商投报环境标志产品政府采购品目清单或节能产品政府采购品目清单</w:t>
            </w:r>
          </w:p>
          <w:p>
            <w:pPr>
              <w:spacing w:line="240" w:lineRule="atLeast"/>
              <w:rPr>
                <w:rFonts w:ascii="宋体" w:hAnsi="宋体"/>
                <w:color w:val="auto"/>
                <w:highlight w:val="none"/>
                <w:lang w:val="zh-CN"/>
              </w:rPr>
            </w:pPr>
            <w:r>
              <w:rPr>
                <w:rFonts w:ascii="宋体" w:hAnsi="宋体"/>
                <w:color w:val="auto"/>
                <w:highlight w:val="none"/>
                <w:lang w:val="zh-CN"/>
              </w:rPr>
              <w:t>规定产品的（有效期内），在同等条件下评委会将优先予以加分或推荐为中标候选人。</w:t>
            </w:r>
          </w:p>
          <w:p>
            <w:pPr>
              <w:spacing w:line="240" w:lineRule="atLeast"/>
              <w:rPr>
                <w:rFonts w:ascii="宋体" w:hAnsi="宋体"/>
                <w:color w:val="auto"/>
                <w:highlight w:val="none"/>
                <w:lang w:val="zh-CN"/>
              </w:rPr>
            </w:pPr>
            <w:r>
              <w:rPr>
                <w:rFonts w:ascii="宋体" w:hAnsi="宋体"/>
                <w:color w:val="auto"/>
                <w:highlight w:val="none"/>
                <w:lang w:val="zh-CN"/>
              </w:rPr>
              <w:t>2．如本项目中涉及规定的属实行政府强制采购产品的，无论招标文件是否特别指明，供应商均必须投报节能产品政府采购品目清单规定产品，并提供相关证明材料，否则将视为无效投标。</w:t>
            </w:r>
          </w:p>
          <w:p>
            <w:pPr>
              <w:spacing w:line="0" w:lineRule="atLeast"/>
              <w:ind w:right="105" w:rightChars="50"/>
              <w:rPr>
                <w:rFonts w:ascii="宋体" w:hAnsi="宋体" w:cs="宋体"/>
                <w:color w:val="auto"/>
                <w:szCs w:val="21"/>
                <w:highlight w:val="none"/>
              </w:rPr>
            </w:pPr>
            <w:r>
              <w:rPr>
                <w:rFonts w:ascii="宋体" w:hAnsi="宋体"/>
                <w:b/>
                <w:color w:val="auto"/>
                <w:highlight w:val="none"/>
                <w:lang w:val="zh-CN"/>
              </w:rPr>
              <w:t>3. 供应商请对照附件：节能产品政府采购品目清单、环境标志产品政府采购品目清单确定投报产品是否为节能产品和环境标志产品。</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9.7</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lang w:val="zh-CN"/>
              </w:rPr>
              <w:t>有关进口产品问题</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rPr>
              <w:t>除招标文件中特别约定可以投报进口产品外，其他货物均不得投报进口产品（进口产品是指通过中国海关报关验收进入中国境内且产自关境外的产品，包括已进入中国境内的进口产品），投标人提供的产品（设备）必须是在中国境内生产的产品，否则，将视为无效投标。</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9.8</w:t>
            </w:r>
          </w:p>
        </w:tc>
        <w:tc>
          <w:tcPr>
            <w:tcW w:w="1719"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Cs w:val="21"/>
                <w:highlight w:val="none"/>
              </w:rPr>
            </w:pPr>
            <w:r>
              <w:rPr>
                <w:rFonts w:hAnsi="宋体" w:cs="宋体"/>
                <w:color w:val="auto"/>
                <w:sz w:val="21"/>
                <w:szCs w:val="21"/>
                <w:highlight w:val="none"/>
              </w:rPr>
              <w:t>合同追加问题</w:t>
            </w:r>
          </w:p>
        </w:tc>
        <w:tc>
          <w:tcPr>
            <w:tcW w:w="6626"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Cs w:val="21"/>
                <w:highlight w:val="none"/>
              </w:rPr>
            </w:pPr>
            <w:r>
              <w:rPr>
                <w:rFonts w:hAnsi="宋体" w:cs="宋体"/>
                <w:color w:val="auto"/>
                <w:sz w:val="21"/>
                <w:szCs w:val="21"/>
                <w:highlight w:val="none"/>
              </w:rPr>
              <w:t>采购人需追加与合同标的相同的货物、工程或者服务的，在不改变合同其他条款的前提下，可以与供应商协商签订补充合同，但所有补充合同的采购金额不得超过原合同采购金额的百分之十。</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9.9</w:t>
            </w:r>
          </w:p>
        </w:tc>
        <w:tc>
          <w:tcPr>
            <w:tcW w:w="1719"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 w:val="21"/>
                <w:szCs w:val="21"/>
                <w:highlight w:val="none"/>
              </w:rPr>
            </w:pPr>
            <w:r>
              <w:rPr>
                <w:rFonts w:hAnsi="宋体" w:cs="宋体"/>
                <w:color w:val="auto"/>
                <w:sz w:val="21"/>
                <w:szCs w:val="21"/>
                <w:highlight w:val="none"/>
              </w:rPr>
              <w:t>是否采用电子招标投标</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color w:val="auto"/>
                <w:highlight w:val="none"/>
              </w:rPr>
            </w:pPr>
            <w:r>
              <w:rPr>
                <w:color w:val="auto"/>
                <w:highlight w:val="none"/>
              </w:rPr>
              <w:t>是，具体要求：</w:t>
            </w:r>
          </w:p>
          <w:p>
            <w:pPr>
              <w:spacing w:line="0" w:lineRule="atLeast"/>
              <w:ind w:right="105" w:rightChars="50"/>
              <w:rPr>
                <w:color w:val="auto"/>
                <w:highlight w:val="none"/>
              </w:rPr>
            </w:pPr>
            <w:r>
              <w:rPr>
                <w:color w:val="auto"/>
                <w:highlight w:val="none"/>
              </w:rPr>
              <w:t>（一）、投标报名</w:t>
            </w:r>
          </w:p>
          <w:p>
            <w:pPr>
              <w:spacing w:line="0" w:lineRule="atLeast"/>
              <w:ind w:right="105" w:rightChars="50"/>
              <w:rPr>
                <w:rFonts w:hint="eastAsia" w:eastAsia="宋体"/>
                <w:color w:val="auto"/>
                <w:highlight w:val="none"/>
                <w:lang w:eastAsia="zh-CN"/>
              </w:rPr>
            </w:pPr>
            <w:r>
              <w:rPr>
                <w:color w:val="auto"/>
                <w:highlight w:val="none"/>
              </w:rPr>
              <w:t>1.在我中心进行开标、评标的项目均是在睢县公共资源交易电子化交易系统（以下简称“电子化交易系统”）中运行的电子化交易项目。所有项目只接受网上报名，不接受其它形式报名。中心网站：</w:t>
            </w:r>
            <w:r>
              <w:rPr>
                <w:rFonts w:hint="eastAsia"/>
                <w:color w:val="auto"/>
                <w:highlight w:val="none"/>
                <w:lang w:eastAsia="zh-CN"/>
              </w:rPr>
              <w:t>http://ggzy.suixian.gov.cn/</w:t>
            </w:r>
          </w:p>
          <w:p>
            <w:pPr>
              <w:spacing w:line="0" w:lineRule="atLeast"/>
              <w:ind w:right="105" w:rightChars="50"/>
              <w:rPr>
                <w:color w:val="auto"/>
                <w:highlight w:val="none"/>
              </w:rPr>
            </w:pPr>
            <w:r>
              <w:rPr>
                <w:color w:val="auto"/>
                <w:highlight w:val="none"/>
              </w:rPr>
              <w:t>2.潜在投标人、供应商（以下简称投标人）在报名前需先在睢县公共资源交易投标人（供应商）诚信库中注册。办理CA证书（具体步骤详见中心2019年3月30日会员入库公告），然后通过CA证书登录电子化交易系统进行报名。</w:t>
            </w:r>
          </w:p>
          <w:p>
            <w:pPr>
              <w:spacing w:line="0" w:lineRule="atLeast"/>
              <w:ind w:right="105" w:rightChars="50"/>
              <w:rPr>
                <w:color w:val="auto"/>
                <w:highlight w:val="none"/>
              </w:rPr>
            </w:pPr>
            <w:r>
              <w:rPr>
                <w:color w:val="auto"/>
                <w:highlight w:val="none"/>
              </w:rPr>
              <w:t>注：已经办理过CA证书并在有效期内的潜在投标人无需再次办理CA证书。</w:t>
            </w:r>
          </w:p>
          <w:p>
            <w:pPr>
              <w:spacing w:line="0" w:lineRule="atLeast"/>
              <w:ind w:right="105" w:rightChars="50"/>
              <w:rPr>
                <w:color w:val="auto"/>
                <w:highlight w:val="none"/>
              </w:rPr>
            </w:pPr>
            <w:r>
              <w:rPr>
                <w:color w:val="auto"/>
                <w:highlight w:val="none"/>
              </w:rPr>
              <w:t>3.投标人应充分考虑诚信库注册、CA证书办理所需时间，由此造成时间延误，造成无法报名的情况，由投标人自行承担责任。</w:t>
            </w:r>
          </w:p>
          <w:p>
            <w:pPr>
              <w:spacing w:line="0" w:lineRule="atLeast"/>
              <w:ind w:right="105" w:rightChars="50"/>
              <w:rPr>
                <w:color w:val="auto"/>
                <w:highlight w:val="none"/>
              </w:rPr>
            </w:pPr>
            <w:r>
              <w:rPr>
                <w:color w:val="auto"/>
                <w:highlight w:val="none"/>
              </w:rPr>
              <w:t>（二）、招标文件获取</w:t>
            </w:r>
          </w:p>
          <w:p>
            <w:pPr>
              <w:spacing w:line="0" w:lineRule="atLeast"/>
              <w:ind w:right="105" w:rightChars="50"/>
              <w:rPr>
                <w:color w:val="auto"/>
                <w:highlight w:val="none"/>
              </w:rPr>
            </w:pPr>
            <w:r>
              <w:rPr>
                <w:color w:val="auto"/>
                <w:highlight w:val="none"/>
              </w:rPr>
              <w:t>进入中心交易的建设工程、政府采购项目均为电子招标文件，投标人报名后自行在网上进行下载。</w:t>
            </w:r>
          </w:p>
          <w:p>
            <w:pPr>
              <w:spacing w:line="0" w:lineRule="atLeast"/>
              <w:ind w:right="105" w:rightChars="50"/>
              <w:rPr>
                <w:color w:val="auto"/>
                <w:highlight w:val="none"/>
              </w:rPr>
            </w:pPr>
            <w:r>
              <w:rPr>
                <w:color w:val="auto"/>
                <w:highlight w:val="none"/>
              </w:rPr>
              <w:t>（三）投标文件的制作、签章、上传</w:t>
            </w:r>
          </w:p>
          <w:p>
            <w:pPr>
              <w:spacing w:line="0" w:lineRule="atLeast"/>
              <w:ind w:right="105" w:rightChars="50"/>
              <w:rPr>
                <w:color w:val="auto"/>
                <w:highlight w:val="none"/>
              </w:rPr>
            </w:pPr>
            <w:r>
              <w:rPr>
                <w:color w:val="auto"/>
                <w:highlight w:val="none"/>
              </w:rPr>
              <w:t>1.电子化交易项目投标文件是投标人通过中心投标文件制作系统制作，并经过电子签章和加密后生成的电子版投标文件。投标文件是投标人通过中心投标文件制作系统制作，并经过签章和加密后生成的电子版投标文件。电子化投标文件制作教材，请通过CA证书登录睢县公共资源电子化交易系统在“组件下载”中查看。</w:t>
            </w:r>
          </w:p>
          <w:p>
            <w:pPr>
              <w:spacing w:line="0" w:lineRule="atLeast"/>
              <w:ind w:right="105" w:rightChars="50"/>
              <w:rPr>
                <w:color w:val="auto"/>
                <w:highlight w:val="none"/>
              </w:rPr>
            </w:pPr>
            <w:r>
              <w:rPr>
                <w:color w:val="auto"/>
                <w:highlight w:val="none"/>
              </w:rPr>
              <w:t>2.电子化投标文件的签章</w:t>
            </w:r>
          </w:p>
          <w:p>
            <w:pPr>
              <w:spacing w:line="0" w:lineRule="atLeast"/>
              <w:ind w:right="105" w:rightChars="50"/>
              <w:rPr>
                <w:color w:val="auto"/>
                <w:highlight w:val="none"/>
              </w:rPr>
            </w:pPr>
            <w:r>
              <w:rPr>
                <w:color w:val="auto"/>
                <w:highlight w:val="none"/>
              </w:rPr>
              <w:t>（1）投标人在生成电子化投标文件后，应对电子化投标文件进行签章，未进行签章的视为无效投标。</w:t>
            </w:r>
          </w:p>
          <w:p>
            <w:pPr>
              <w:spacing w:line="0" w:lineRule="atLeast"/>
              <w:ind w:right="105" w:rightChars="50"/>
              <w:rPr>
                <w:color w:val="auto"/>
                <w:highlight w:val="none"/>
              </w:rPr>
            </w:pPr>
            <w:r>
              <w:rPr>
                <w:color w:val="auto"/>
                <w:highlight w:val="none"/>
              </w:rPr>
              <w:t>（2）招标文件中要求法定代表人或授权委托人签字或盖章的，投标人在进行电子化投标文件签章时，以签盖法定代表人签章为准。</w:t>
            </w:r>
          </w:p>
          <w:p>
            <w:pPr>
              <w:spacing w:line="0" w:lineRule="atLeast"/>
              <w:ind w:right="105" w:rightChars="50"/>
              <w:rPr>
                <w:color w:val="auto"/>
                <w:highlight w:val="none"/>
              </w:rPr>
            </w:pPr>
            <w:r>
              <w:rPr>
                <w:color w:val="auto"/>
                <w:highlight w:val="none"/>
              </w:rPr>
              <w:t>3.电子化投标文件的格式及上传投标</w:t>
            </w:r>
          </w:p>
          <w:p>
            <w:pPr>
              <w:spacing w:line="0" w:lineRule="atLeast"/>
              <w:ind w:right="105" w:rightChars="50"/>
              <w:rPr>
                <w:color w:val="auto"/>
                <w:highlight w:val="none"/>
              </w:rPr>
            </w:pPr>
            <w:r>
              <w:rPr>
                <w:color w:val="auto"/>
                <w:highlight w:val="none"/>
              </w:rPr>
              <w:t>（1）投标人登录《全国公共资源交易平台（河南省·睢县）》公共资源交易系统，在“组件下载”栏目下载“投标文件制作系统”，按招标文件要求制作电子投标文件。同时确保PDF阅读器、Word2007、北京CA驱动已经下载安装。投标人制作生成的电子化投标文件，应是通过中心投标文件制作系统制作的，经过签章和加密后生成的电子版投标文件。其中包含用于投标文件上传的主文件（文件格式为：xxx公司 xxx号.file）和用于应急补救的投标文件备份文件（文件格式为：xxx公司_ xxx号.bin）。制作好的投标文件一个标包对应生成一个文件包,其中包含2个文件和1个文件夹。后缀名为“.file”的文件用于电子投标使用，后缀名为“.PDF”的文件用于打印纸质投标文件，“备份文件夹”使用电子介质存储，供开标现场备用。投标人应及时查看CA证书信息是否过期，从招标文件下载至开标（电子投标文件的解密）整个周期，投标人CA证书不得更换、变更、延期等（包括不能办理延期、变更、更换、丢失补锁、损坏补锁等），否则会造成开标现场无法解密，对此投标人后果自负。</w:t>
            </w:r>
          </w:p>
          <w:p>
            <w:pPr>
              <w:spacing w:line="0" w:lineRule="atLeast"/>
              <w:ind w:right="105" w:rightChars="50"/>
              <w:rPr>
                <w:color w:val="auto"/>
                <w:highlight w:val="none"/>
              </w:rPr>
            </w:pPr>
            <w:r>
              <w:rPr>
                <w:color w:val="auto"/>
                <w:highlight w:val="none"/>
              </w:rPr>
              <w:t>投标人对同一项目多个标包进行投标的，应分别下载所投标包的招标文件，按标包制作电子投标文件，并按招标文件要求在相应位置加盖投标人电子印章和法人电子印章。</w:t>
            </w:r>
          </w:p>
          <w:p>
            <w:pPr>
              <w:spacing w:line="0" w:lineRule="atLeast"/>
              <w:ind w:right="105" w:rightChars="50"/>
              <w:rPr>
                <w:color w:val="auto"/>
                <w:highlight w:val="none"/>
              </w:rPr>
            </w:pPr>
            <w:r>
              <w:rPr>
                <w:color w:val="auto"/>
                <w:highlight w:val="none"/>
              </w:rPr>
              <w:t>（2）投标人须将招标文件要求的资质、业绩、荣誉及相关人员证明材料等资料原件扫描件（或图片）制作到所提交的电子投标文件中。投标人应将电子化投标文件的主文件在投标截止时间前成功上传至睢县公共资源电子化交易系统。至投标截止时间止，仍未上传成功的电子化投标文件将不予接受。</w:t>
            </w:r>
          </w:p>
          <w:p>
            <w:pPr>
              <w:spacing w:line="0" w:lineRule="atLeast"/>
              <w:ind w:right="105" w:rightChars="50"/>
              <w:rPr>
                <w:color w:val="auto"/>
                <w:highlight w:val="none"/>
              </w:rPr>
            </w:pPr>
            <w:r>
              <w:rPr>
                <w:color w:val="auto"/>
                <w:highlight w:val="none"/>
              </w:rPr>
              <w:t>（四）项目开标、投标解密、唱标、评标</w:t>
            </w:r>
          </w:p>
          <w:p>
            <w:pPr>
              <w:spacing w:line="0" w:lineRule="atLeast"/>
              <w:ind w:right="105" w:rightChars="50"/>
              <w:rPr>
                <w:color w:val="auto"/>
                <w:highlight w:val="none"/>
              </w:rPr>
            </w:pPr>
            <w:r>
              <w:rPr>
                <w:color w:val="auto"/>
                <w:highlight w:val="none"/>
              </w:rPr>
              <w:t>1.（1）电子投标文件应在招标文件规定的投标文件提交截止时间之前提交至《全国公共资源交易平台（河南省·睢县）》公共资源交易系统。投标人应充分考虑并预留技术处理和上传数据所需时间。投标人对同一项目多个标包进行投标的，电子投标文件应按标包分别提交。</w:t>
            </w:r>
          </w:p>
          <w:p>
            <w:pPr>
              <w:spacing w:line="0" w:lineRule="atLeast"/>
              <w:ind w:right="105" w:rightChars="50"/>
              <w:rPr>
                <w:color w:val="auto"/>
                <w:highlight w:val="none"/>
              </w:rPr>
            </w:pPr>
            <w:r>
              <w:rPr>
                <w:color w:val="auto"/>
                <w:highlight w:val="none"/>
              </w:rPr>
              <w:t>2.电子投标文件成功提交后，投标人应打印“投标文件提交回执单”。3.电子化投标文件采用双重加密方式。开标时，请投标人使用CA证书登陆交易平台，进入本项目开标大厅点击解密来完成投标文件的解密工作。投标人的解密时间为开标开始后，待所有投标人全部解密完成后，再由中介服务机构使用CA证书对投标文件进行再次解密。</w:t>
            </w:r>
          </w:p>
          <w:p>
            <w:pPr>
              <w:spacing w:line="0" w:lineRule="atLeast"/>
              <w:ind w:right="105" w:rightChars="50"/>
              <w:rPr>
                <w:color w:val="auto"/>
                <w:highlight w:val="none"/>
              </w:rPr>
            </w:pPr>
            <w:r>
              <w:rPr>
                <w:color w:val="auto"/>
                <w:highlight w:val="none"/>
              </w:rPr>
              <w:t>2.电子化投标文件异常的处理</w:t>
            </w:r>
          </w:p>
          <w:p>
            <w:pPr>
              <w:spacing w:line="0" w:lineRule="atLeast"/>
              <w:ind w:right="105" w:rightChars="50"/>
              <w:rPr>
                <w:color w:val="auto"/>
                <w:highlight w:val="none"/>
              </w:rPr>
            </w:pPr>
            <w:r>
              <w:rPr>
                <w:color w:val="auto"/>
                <w:highlight w:val="none"/>
              </w:rPr>
              <w:t>如出现投标人的电子投标文件无法解密等异常的情况，投标人应及时致电中介服务机构说明。投标文件解密异常，按以下步骤进行处理：</w:t>
            </w:r>
          </w:p>
          <w:p>
            <w:pPr>
              <w:spacing w:line="0" w:lineRule="atLeast"/>
              <w:ind w:right="105" w:rightChars="50"/>
              <w:rPr>
                <w:color w:val="auto"/>
                <w:highlight w:val="none"/>
              </w:rPr>
            </w:pPr>
            <w:r>
              <w:rPr>
                <w:color w:val="auto"/>
                <w:highlight w:val="none"/>
              </w:rPr>
              <w:t>（1）首先由交易平台技术人员进行问题排查。</w:t>
            </w:r>
          </w:p>
          <w:p>
            <w:pPr>
              <w:spacing w:line="0" w:lineRule="atLeast"/>
              <w:ind w:right="105" w:rightChars="50"/>
              <w:rPr>
                <w:color w:val="auto"/>
                <w:highlight w:val="none"/>
              </w:rPr>
            </w:pPr>
            <w:r>
              <w:rPr>
                <w:color w:val="auto"/>
                <w:highlight w:val="none"/>
              </w:rPr>
              <w:t>（2）经排查后，因投标人文件自身问题导致投标文件无法解密的，该投标文件将不予接收、解密和唱标。开标会议继续进行。</w:t>
            </w:r>
          </w:p>
          <w:p>
            <w:pPr>
              <w:spacing w:line="0" w:lineRule="atLeast"/>
              <w:ind w:right="105" w:rightChars="50"/>
              <w:rPr>
                <w:color w:val="auto"/>
                <w:highlight w:val="none"/>
              </w:rPr>
            </w:pPr>
            <w:r>
              <w:rPr>
                <w:color w:val="auto"/>
                <w:highlight w:val="none"/>
              </w:rPr>
              <w:t>（3）经技术人员排查后，因电子化交易系统问题造成投标文件无法解密的，将由技术人员对问题进行处理。如短时间内问题无法解决的，将由中介服务机构向监督部门提出申请，经监督部门同意后，暂停开标会议，待问题解决后继续开标。</w:t>
            </w:r>
          </w:p>
          <w:p>
            <w:pPr>
              <w:spacing w:line="0" w:lineRule="atLeast"/>
              <w:ind w:right="105" w:rightChars="50"/>
              <w:rPr>
                <w:color w:val="auto"/>
                <w:highlight w:val="none"/>
              </w:rPr>
            </w:pPr>
            <w:r>
              <w:rPr>
                <w:color w:val="auto"/>
                <w:highlight w:val="none"/>
              </w:rPr>
              <w:t>（4）待所有投标人投标文件解密完成后，由中介服务机构操作，对所有已解密文件进行唱标。</w:t>
            </w:r>
          </w:p>
          <w:p>
            <w:pPr>
              <w:spacing w:line="0" w:lineRule="atLeast"/>
              <w:ind w:right="105" w:rightChars="50"/>
              <w:rPr>
                <w:color w:val="auto"/>
                <w:highlight w:val="none"/>
              </w:rPr>
            </w:pPr>
            <w:r>
              <w:rPr>
                <w:color w:val="auto"/>
                <w:highlight w:val="none"/>
              </w:rPr>
              <w:t>投标人应保证在开标期间电话、电脑、网络能够正常工作，未在规定的解密时间内对投标文件进行解密的，其投标文件不予接收、唱标。</w:t>
            </w:r>
          </w:p>
          <w:p>
            <w:pPr>
              <w:spacing w:line="0" w:lineRule="atLeast"/>
              <w:ind w:right="105" w:rightChars="50"/>
              <w:rPr>
                <w:color w:val="auto"/>
                <w:highlight w:val="none"/>
              </w:rPr>
            </w:pPr>
            <w:r>
              <w:rPr>
                <w:color w:val="auto"/>
                <w:highlight w:val="none"/>
              </w:rPr>
              <w:t>3.唱标结果的质疑</w:t>
            </w:r>
          </w:p>
          <w:p>
            <w:pPr>
              <w:spacing w:line="0" w:lineRule="atLeast"/>
              <w:ind w:right="105" w:rightChars="50"/>
              <w:rPr>
                <w:color w:val="auto"/>
                <w:highlight w:val="none"/>
              </w:rPr>
            </w:pPr>
            <w:r>
              <w:rPr>
                <w:color w:val="auto"/>
                <w:highlight w:val="none"/>
              </w:rPr>
              <w:t>开标时投标人可登录到交易系统中在开标大厅中点击开标一览表查看自己的投标报价。唱标时投标人如对自己的唱标内容有异议的，应在唱标内容显示后向中介服务机构进行质疑。中介服务机构应在监督人员的监督下接受投标人的质疑并做好书面记录。投标人未在规定时间内提出质疑的，视为认可唱标内容。</w:t>
            </w:r>
          </w:p>
          <w:p>
            <w:pPr>
              <w:spacing w:line="0" w:lineRule="atLeast"/>
              <w:ind w:right="105" w:rightChars="50"/>
              <w:rPr>
                <w:color w:val="auto"/>
                <w:highlight w:val="none"/>
              </w:rPr>
            </w:pPr>
            <w:r>
              <w:rPr>
                <w:color w:val="auto"/>
                <w:highlight w:val="none"/>
              </w:rPr>
              <w:t>4.评标依据。</w:t>
            </w:r>
          </w:p>
          <w:p>
            <w:pPr>
              <w:spacing w:line="0" w:lineRule="atLeast"/>
              <w:ind w:right="105" w:rightChars="50"/>
              <w:rPr>
                <w:color w:val="auto"/>
                <w:highlight w:val="none"/>
              </w:rPr>
            </w:pPr>
            <w:r>
              <w:rPr>
                <w:color w:val="auto"/>
                <w:highlight w:val="none"/>
              </w:rPr>
              <w:t>投标人应按招标文件规定下载、编制、提交电子投标文件（根据文件要求）。</w:t>
            </w:r>
          </w:p>
          <w:p>
            <w:pPr>
              <w:spacing w:line="0" w:lineRule="atLeast"/>
              <w:ind w:right="105" w:rightChars="50"/>
              <w:rPr>
                <w:color w:val="auto"/>
                <w:highlight w:val="none"/>
              </w:rPr>
            </w:pPr>
            <w:r>
              <w:rPr>
                <w:color w:val="auto"/>
                <w:highlight w:val="none"/>
              </w:rPr>
              <w:t>采用全流程电子化交易评标时，评标委员会以电子投标文件为依据评标。全流程电子化交易系统如因系统异常情况无法完成，将以人工方式进行（视情况）。</w:t>
            </w:r>
          </w:p>
          <w:p>
            <w:pPr>
              <w:spacing w:line="0" w:lineRule="atLeast"/>
              <w:ind w:right="105" w:rightChars="50"/>
              <w:rPr>
                <w:color w:val="auto"/>
                <w:highlight w:val="none"/>
              </w:rPr>
            </w:pPr>
            <w:r>
              <w:rPr>
                <w:color w:val="auto"/>
                <w:highlight w:val="none"/>
              </w:rPr>
              <w:t>（五）其他重要注意事项（常见问题解决办法）</w:t>
            </w:r>
          </w:p>
          <w:p>
            <w:pPr>
              <w:spacing w:line="0" w:lineRule="atLeast"/>
              <w:ind w:right="105" w:rightChars="50"/>
              <w:rPr>
                <w:color w:val="auto"/>
                <w:highlight w:val="none"/>
              </w:rPr>
            </w:pPr>
            <w:r>
              <w:rPr>
                <w:color w:val="auto"/>
                <w:highlight w:val="none"/>
              </w:rPr>
              <w:t>未绑定CA数字证书前忘记交易系统注册密码及绑定后CA数字证书信息发生变更无法登录交易系统需携带营业执照原件、营业执照复印件（加盖盖章）、情况说明（加盖盖章），到中心综合科重置密码</w:t>
            </w:r>
          </w:p>
          <w:p>
            <w:pPr>
              <w:spacing w:line="0" w:lineRule="atLeast"/>
              <w:ind w:right="105" w:rightChars="50"/>
              <w:rPr>
                <w:color w:val="auto"/>
                <w:highlight w:val="none"/>
              </w:rPr>
            </w:pPr>
            <w:r>
              <w:rPr>
                <w:color w:val="auto"/>
                <w:highlight w:val="none"/>
              </w:rPr>
              <w:t>投标人生成投标文件时投标函乱码如何处理：投标函乱码是电脑上安装有WPS，生成PDF投标文件时调用WPS功能导致与签章系统不兼容，建议修改WPS不是默认关联word文件格式重新生成，如果生成依然有问题，可以卸载WPS后重新生成并签章。</w:t>
            </w:r>
          </w:p>
          <w:p>
            <w:pPr>
              <w:spacing w:line="0" w:lineRule="atLeast"/>
              <w:ind w:right="105" w:rightChars="50"/>
              <w:rPr>
                <w:color w:val="auto"/>
                <w:highlight w:val="none"/>
              </w:rPr>
            </w:pPr>
            <w:r>
              <w:rPr>
                <w:color w:val="auto"/>
                <w:highlight w:val="none"/>
              </w:rPr>
              <w:t>投标人签章时企业锁可以签章，法人锁无法签章如何处理：可能是同时企业锁和法人锁都插在电脑上，或者联系CA公司法人锁中是否包含签章或者签章是否有误，最后确认CA电子锁驱动是否是最新版本。</w:t>
            </w:r>
          </w:p>
          <w:p>
            <w:pPr>
              <w:spacing w:line="0" w:lineRule="atLeast"/>
              <w:ind w:right="105" w:rightChars="50"/>
              <w:rPr>
                <w:color w:val="auto"/>
                <w:highlight w:val="none"/>
              </w:rPr>
            </w:pPr>
            <w:r>
              <w:rPr>
                <w:color w:val="auto"/>
                <w:highlight w:val="none"/>
              </w:rPr>
              <w:t>投标人需确保电脑已经下载安装PDF阅读器、Word2007、北京CA驱动。</w:t>
            </w:r>
          </w:p>
          <w:p>
            <w:pPr>
              <w:spacing w:line="0" w:lineRule="atLeast"/>
              <w:ind w:right="105" w:rightChars="50"/>
              <w:rPr>
                <w:color w:val="auto"/>
                <w:highlight w:val="none"/>
              </w:rPr>
            </w:pPr>
            <w:r>
              <w:rPr>
                <w:color w:val="auto"/>
                <w:highlight w:val="none"/>
              </w:rPr>
              <w:t>如招标文件发生变更的，投标人需重新下载招标文件（EGP版）并重新制作、上传投标文件。</w:t>
            </w:r>
          </w:p>
          <w:p>
            <w:pPr>
              <w:spacing w:line="0" w:lineRule="atLeast"/>
              <w:ind w:right="105" w:rightChars="50"/>
              <w:rPr>
                <w:color w:val="auto"/>
                <w:highlight w:val="none"/>
              </w:rPr>
            </w:pPr>
            <w:r>
              <w:rPr>
                <w:color w:val="auto"/>
                <w:highlight w:val="none"/>
              </w:rPr>
              <w:t>不同投标人使用同一台电脑、同一网络等制作、上传同一项目投标文件的，有被视为串通投标、判定为无效投标的风险。</w:t>
            </w:r>
          </w:p>
          <w:p>
            <w:pPr>
              <w:spacing w:line="0" w:lineRule="atLeast"/>
              <w:ind w:right="105" w:rightChars="50"/>
              <w:rPr>
                <w:rFonts w:ascii="宋体" w:hAnsi="宋体" w:cs="宋体"/>
                <w:color w:val="auto"/>
                <w:highlight w:val="none"/>
              </w:rPr>
            </w:pPr>
            <w:r>
              <w:rPr>
                <w:color w:val="auto"/>
                <w:highlight w:val="none"/>
              </w:rPr>
              <w:t>如遇到投标文件上传慢、上传失败等问题，请进行以下操作：查找是否是个人电脑问题；更换网络环境。</w:t>
            </w:r>
          </w:p>
        </w:tc>
      </w:tr>
      <w:tr>
        <w:tblPrEx>
          <w:tblCellMar>
            <w:top w:w="0" w:type="dxa"/>
            <w:left w:w="108" w:type="dxa"/>
            <w:bottom w:w="0" w:type="dxa"/>
            <w:right w:w="108" w:type="dxa"/>
          </w:tblCellMar>
        </w:tblPrEx>
        <w:trPr>
          <w:trHeight w:val="145"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9.1</w:t>
            </w:r>
            <w:r>
              <w:rPr>
                <w:rFonts w:hint="eastAsia" w:ascii="宋体" w:hAnsi="宋体" w:cs="宋体"/>
                <w:color w:val="auto"/>
                <w:szCs w:val="21"/>
                <w:highlight w:val="none"/>
                <w:lang w:val="en-US" w:eastAsia="zh-CN"/>
              </w:rPr>
              <w:t>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b/>
                <w:bCs/>
                <w:color w:val="auto"/>
                <w:highlight w:val="none"/>
              </w:rPr>
            </w:pPr>
            <w:r>
              <w:rPr>
                <w:rFonts w:ascii="宋体" w:hAnsi="宋体"/>
                <w:color w:val="auto"/>
                <w:szCs w:val="21"/>
                <w:highlight w:val="none"/>
              </w:rPr>
              <w:t>合同融资</w:t>
            </w:r>
          </w:p>
        </w:tc>
        <w:tc>
          <w:tcPr>
            <w:tcW w:w="6626"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ascii="宋体" w:hAnsi="宋体"/>
                <w:color w:val="auto"/>
                <w:szCs w:val="21"/>
                <w:highlight w:val="none"/>
              </w:rPr>
              <w:t>严格按照豫财办【2020】33 号河南省财政厅关于印发深入推进政府采购合同融资工作实施方案的通知执行。（格式见附件）</w:t>
            </w:r>
          </w:p>
        </w:tc>
      </w:tr>
      <w:tr>
        <w:tblPrEx>
          <w:tblCellMar>
            <w:top w:w="0" w:type="dxa"/>
            <w:left w:w="108" w:type="dxa"/>
            <w:bottom w:w="0" w:type="dxa"/>
            <w:right w:w="108" w:type="dxa"/>
          </w:tblCellMar>
        </w:tblPrEx>
        <w:trPr>
          <w:trHeight w:val="764" w:hRule="atLeast"/>
        </w:trPr>
        <w:tc>
          <w:tcPr>
            <w:tcW w:w="9339"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：中标人中标后需提供纸质投标文件一份（最终 PDF 格式并和上传的电子投标文件一致 ） ， 领中标通知书时交给业主负责人（采购人存档）！</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：参与同一个标段（包）的供应商存在下列情形之一的，其投标（响应）文件无效：</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（一）不同供应商的电子投标（响应）文件上传计算机的网卡MAC地址、CPU序列号和硬盘序列号等硬件信息相同的；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（二）不同供应商的投标（响应）文件由同一电子设备编制、打印加密或者上传；</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（三）不同供应商的投标（响应）文件由同一电子设备打印、复印；</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（四）不同供应商的投标（响应）文件由同一人送达或者分发，或者不同供应商联系人为同一人或不同联系人的联系电话一致的；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（五）不同供应商的投标（响应）文件的内容存在两处以上细节错误一致；</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（六）不同供应商的法定代表人、委托代理人、项目经理、项目负责人等由同一个单位缴纳社会保险或者领取报酬的；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（七）不同供应商投标（响应）文件中法定代表人或者负责人签字出自同一人之手；</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（八）其它涉嫌串通的情形。</w:t>
            </w:r>
          </w:p>
        </w:tc>
      </w:tr>
      <w:tr>
        <w:tblPrEx>
          <w:tblCellMar>
            <w:top w:w="0" w:type="dxa"/>
            <w:left w:w="108" w:type="dxa"/>
            <w:bottom w:w="0" w:type="dxa"/>
            <w:right w:w="108" w:type="dxa"/>
          </w:tblCellMar>
        </w:tblPrEx>
        <w:trPr>
          <w:trHeight w:val="764" w:hRule="atLeast"/>
        </w:trPr>
        <w:tc>
          <w:tcPr>
            <w:tcW w:w="9339" w:type="dxa"/>
            <w:gridSpan w:val="3"/>
            <w:tcBorders>
              <w:top w:val="single" w:color="auto" w:sz="4" w:space="0"/>
              <w:left w:val="single" w:color="auto" w:sz="4" w:space="0"/>
              <w:bottom w:val="single" w:color="auto" w:sz="4" w:space="0"/>
              <w:right w:val="single" w:color="auto" w:sz="4" w:space="0"/>
            </w:tcBorders>
            <w:vAlign w:val="center"/>
          </w:tcPr>
          <w:p>
            <w:pPr>
              <w:pStyle w:val="5"/>
              <w:spacing w:line="240" w:lineRule="auto"/>
              <w:rPr>
                <w:rFonts w:hint="eastAsia" w:ascii="宋体" w:hAnsi="宋体" w:eastAsia="宋体" w:cs="宋体"/>
                <w:color w:val="auto"/>
                <w:sz w:val="21"/>
                <w:szCs w:val="21"/>
                <w:highlight w:val="none"/>
              </w:rPr>
            </w:pPr>
            <w:r>
              <w:rPr>
                <w:rFonts w:hint="eastAsia" w:ascii="Times New Roman" w:hAnsi="Times New Roman" w:eastAsia="宋体" w:cs="Times New Roman"/>
                <w:sz w:val="21"/>
                <w:szCs w:val="21"/>
                <w:lang w:val="en-US" w:eastAsia="zh-CN"/>
              </w:rPr>
              <w:t>第1-6标包：项目所属行业：工业；第7标包：项目所属行业：其他未列明行业；</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bl>
    <w:p>
      <w:pPr>
        <w:spacing w:line="400" w:lineRule="exact"/>
        <w:rPr>
          <w:rFonts w:ascii="宋体" w:hAnsi="宋体" w:cs="宋体"/>
          <w:color w:val="auto"/>
          <w:highlight w:val="none"/>
        </w:rPr>
      </w:pPr>
      <w:r>
        <w:rPr>
          <w:rFonts w:hint="eastAsia" w:ascii="宋体" w:hAnsi="宋体" w:cs="宋体"/>
          <w:color w:val="auto"/>
          <w:highlight w:val="none"/>
        </w:rPr>
        <w:br w:type="page"/>
      </w:r>
    </w:p>
    <w:p>
      <w:pPr>
        <w:pStyle w:val="4"/>
        <w:rPr>
          <w:rFonts w:ascii="宋体" w:hAnsi="宋体" w:eastAsia="宋体" w:cs="宋体"/>
          <w:color w:val="auto"/>
          <w:highlight w:val="none"/>
        </w:rPr>
      </w:pPr>
      <w:bookmarkStart w:id="37" w:name="_Toc246996918"/>
      <w:bookmarkStart w:id="38" w:name="_Toc247085689"/>
      <w:bookmarkStart w:id="39" w:name="_Toc152042305"/>
      <w:bookmarkStart w:id="40" w:name="_Toc144974497"/>
      <w:bookmarkStart w:id="41" w:name="_Toc346523402"/>
      <w:bookmarkStart w:id="42" w:name="_Toc152045529"/>
      <w:bookmarkStart w:id="43" w:name="_Toc10453"/>
      <w:bookmarkStart w:id="44" w:name="_Toc338840481"/>
      <w:bookmarkStart w:id="45" w:name="_Toc246996175"/>
      <w:bookmarkStart w:id="46" w:name="_Toc179632546"/>
      <w:bookmarkStart w:id="47" w:name="_Toc338840187"/>
      <w:bookmarkStart w:id="48" w:name="_Toc338840442"/>
      <w:r>
        <w:rPr>
          <w:rFonts w:hint="eastAsia" w:ascii="宋体" w:hAnsi="宋体" w:eastAsia="宋体" w:cs="宋体"/>
          <w:color w:val="auto"/>
          <w:highlight w:val="none"/>
        </w:rPr>
        <w:t>1. 总则</w:t>
      </w:r>
      <w:bookmarkEnd w:id="37"/>
      <w:bookmarkEnd w:id="38"/>
      <w:bookmarkEnd w:id="39"/>
      <w:bookmarkEnd w:id="40"/>
      <w:bookmarkEnd w:id="41"/>
      <w:bookmarkEnd w:id="42"/>
      <w:bookmarkEnd w:id="43"/>
      <w:bookmarkEnd w:id="44"/>
      <w:bookmarkEnd w:id="45"/>
      <w:bookmarkEnd w:id="46"/>
      <w:bookmarkEnd w:id="47"/>
      <w:bookmarkEnd w:id="48"/>
    </w:p>
    <w:p>
      <w:pPr>
        <w:pStyle w:val="5"/>
        <w:rPr>
          <w:rFonts w:ascii="宋体" w:hAnsi="宋体" w:cs="宋体"/>
          <w:color w:val="auto"/>
          <w:highlight w:val="none"/>
        </w:rPr>
      </w:pPr>
      <w:bookmarkStart w:id="49" w:name="_Toc152045530"/>
      <w:bookmarkStart w:id="50" w:name="_Toc152042306"/>
      <w:bookmarkStart w:id="51" w:name="_Toc338840188"/>
      <w:bookmarkStart w:id="52" w:name="_Toc144974498"/>
      <w:bookmarkStart w:id="53" w:name="_Toc179632547"/>
      <w:bookmarkStart w:id="54" w:name="_Toc247085690"/>
      <w:bookmarkStart w:id="55" w:name="_Toc246996176"/>
      <w:bookmarkStart w:id="56" w:name="_Toc246996919"/>
      <w:r>
        <w:rPr>
          <w:rFonts w:hint="eastAsia" w:ascii="宋体" w:hAnsi="宋体" w:cs="宋体"/>
          <w:color w:val="auto"/>
          <w:highlight w:val="none"/>
        </w:rPr>
        <w:t>1.1 项目概况</w:t>
      </w:r>
      <w:bookmarkEnd w:id="49"/>
      <w:bookmarkEnd w:id="50"/>
      <w:bookmarkEnd w:id="51"/>
      <w:bookmarkEnd w:id="52"/>
      <w:bookmarkEnd w:id="53"/>
      <w:bookmarkEnd w:id="54"/>
      <w:bookmarkEnd w:id="55"/>
      <w:bookmarkEnd w:id="5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1.1.1根据《中华人民共和国政府采购法》、《中华人民共和国政府采购法实施条例》等有关法律、法规和规章的规定，本招标项目已具备招标条件，现对本项目进行招标。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1.1.2 本招标项目采购人：见供应商须知前附表。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1.1.3 本招标项目招标代理机构：见供应商须知前附表。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1.1.4 本招标项目名称：见供应商须知前附表。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1.1.5 本招标项目</w:t>
      </w:r>
      <w:r>
        <w:rPr>
          <w:rFonts w:hint="eastAsia" w:ascii="宋体" w:hAnsi="宋体" w:cs="宋体"/>
          <w:color w:val="auto"/>
          <w:szCs w:val="21"/>
          <w:highlight w:val="none"/>
        </w:rPr>
        <w:t>供货（服务）地点</w:t>
      </w:r>
      <w:r>
        <w:rPr>
          <w:rFonts w:hint="eastAsia" w:ascii="宋体" w:hAnsi="宋体" w:cs="宋体"/>
          <w:color w:val="auto"/>
          <w:highlight w:val="none"/>
        </w:rPr>
        <w:t>：见供应商须知前附表。</w:t>
      </w:r>
    </w:p>
    <w:p>
      <w:pPr>
        <w:pStyle w:val="5"/>
        <w:rPr>
          <w:rFonts w:ascii="宋体" w:hAnsi="宋体" w:cs="宋体"/>
          <w:color w:val="auto"/>
          <w:highlight w:val="none"/>
        </w:rPr>
      </w:pPr>
      <w:bookmarkStart w:id="57" w:name="_Toc338840189"/>
      <w:bookmarkStart w:id="58" w:name="_Toc144974499"/>
      <w:bookmarkStart w:id="59" w:name="_Toc246996177"/>
      <w:bookmarkStart w:id="60" w:name="_Toc246996920"/>
      <w:bookmarkStart w:id="61" w:name="_Toc152045531"/>
      <w:bookmarkStart w:id="62" w:name="_Toc179632548"/>
      <w:bookmarkStart w:id="63" w:name="_Toc152042307"/>
      <w:bookmarkStart w:id="64" w:name="_Toc247085691"/>
      <w:r>
        <w:rPr>
          <w:rFonts w:hint="eastAsia" w:ascii="宋体" w:hAnsi="宋体" w:cs="宋体"/>
          <w:color w:val="auto"/>
          <w:highlight w:val="none"/>
        </w:rPr>
        <w:t>1.2 资金来源和落实情况</w:t>
      </w:r>
      <w:bookmarkEnd w:id="57"/>
      <w:bookmarkEnd w:id="58"/>
      <w:bookmarkEnd w:id="59"/>
      <w:bookmarkEnd w:id="60"/>
      <w:bookmarkEnd w:id="61"/>
      <w:bookmarkEnd w:id="62"/>
      <w:bookmarkEnd w:id="63"/>
      <w:bookmarkEnd w:id="6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1.2.1 本招标项目的资金来源及出资比例：见供应商须知前附表。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1.2.2 本招标项目的资金落实情况：见供应商须知前附表。</w:t>
      </w:r>
    </w:p>
    <w:p>
      <w:pPr>
        <w:pStyle w:val="5"/>
        <w:rPr>
          <w:rFonts w:ascii="宋体" w:hAnsi="宋体" w:cs="宋体"/>
          <w:color w:val="auto"/>
          <w:highlight w:val="none"/>
        </w:rPr>
      </w:pPr>
      <w:bookmarkStart w:id="65" w:name="_Toc144974500"/>
      <w:bookmarkStart w:id="66" w:name="_Toc338840190"/>
      <w:bookmarkStart w:id="67" w:name="_Toc246996178"/>
      <w:bookmarkStart w:id="68" w:name="_Toc152045532"/>
      <w:bookmarkStart w:id="69" w:name="_Toc246996921"/>
      <w:bookmarkStart w:id="70" w:name="_Toc179632549"/>
      <w:bookmarkStart w:id="71" w:name="_Toc247085692"/>
      <w:bookmarkStart w:id="72" w:name="_Toc152042308"/>
      <w:r>
        <w:rPr>
          <w:rFonts w:hint="eastAsia" w:ascii="宋体" w:hAnsi="宋体" w:cs="宋体"/>
          <w:color w:val="auto"/>
          <w:highlight w:val="none"/>
        </w:rPr>
        <w:t>1.3 招标范围、计划供货（服务）期、质量要求</w:t>
      </w:r>
      <w:bookmarkEnd w:id="65"/>
      <w:bookmarkEnd w:id="66"/>
      <w:bookmarkEnd w:id="67"/>
      <w:bookmarkEnd w:id="68"/>
      <w:bookmarkEnd w:id="69"/>
      <w:bookmarkEnd w:id="70"/>
      <w:bookmarkEnd w:id="71"/>
      <w:bookmarkEnd w:id="7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1.3.1 本次招标范围：见供应商须知前附表。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1.3.2 本招标项目的计划供货（服务）期：见供应商须知前附表。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1.3.3 本招标项目的质量要求：见供应商须知前附表。</w:t>
      </w:r>
    </w:p>
    <w:p>
      <w:pPr>
        <w:pStyle w:val="5"/>
        <w:rPr>
          <w:rFonts w:ascii="宋体" w:hAnsi="宋体" w:cs="宋体"/>
          <w:color w:val="auto"/>
          <w:highlight w:val="none"/>
        </w:rPr>
      </w:pPr>
      <w:bookmarkStart w:id="73" w:name="_Toc144974502"/>
      <w:bookmarkStart w:id="74" w:name="_Toc247085693"/>
      <w:bookmarkStart w:id="75" w:name="_Toc152045534"/>
      <w:bookmarkStart w:id="76" w:name="_Toc338840191"/>
      <w:bookmarkStart w:id="77" w:name="_Toc246996179"/>
      <w:bookmarkStart w:id="78" w:name="_Toc179632551"/>
      <w:bookmarkStart w:id="79" w:name="_Toc152042310"/>
      <w:bookmarkStart w:id="80" w:name="_Toc246996922"/>
      <w:r>
        <w:rPr>
          <w:rFonts w:hint="eastAsia" w:ascii="宋体" w:hAnsi="宋体" w:cs="宋体"/>
          <w:color w:val="auto"/>
          <w:highlight w:val="none"/>
        </w:rPr>
        <w:t>1.4 供应商资格要求</w:t>
      </w:r>
      <w:bookmarkEnd w:id="73"/>
      <w:bookmarkEnd w:id="74"/>
      <w:bookmarkEnd w:id="75"/>
      <w:bookmarkEnd w:id="76"/>
      <w:bookmarkEnd w:id="77"/>
      <w:bookmarkEnd w:id="78"/>
      <w:bookmarkEnd w:id="79"/>
      <w:bookmarkEnd w:id="80"/>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1.4.1 供应商应具备承担本项目的资格条件。见供应商须知前附表；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1.4.2 供应商不得存在下列情形之一：</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（1）为采购人不具有独立法人资格的附属机构（单位）；</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 xml:space="preserve">（2）为本招标项目前期准备提供专业设计或咨询服务的； </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（3）为本招标项目提供招标代理服务的；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（4）被责令停业的；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（5）被暂停或取消投标资格的；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（6）财产被接管或冻结的；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（7）在最近三年内有骗取中标或严重违约或重大质量问题的。</w:t>
      </w:r>
    </w:p>
    <w:p>
      <w:pPr>
        <w:pStyle w:val="5"/>
        <w:rPr>
          <w:rFonts w:ascii="宋体" w:hAnsi="宋体" w:cs="宋体"/>
          <w:color w:val="auto"/>
          <w:highlight w:val="none"/>
        </w:rPr>
      </w:pPr>
      <w:bookmarkStart w:id="81" w:name="_Toc144974503"/>
      <w:bookmarkStart w:id="82" w:name="_Toc246996180"/>
      <w:bookmarkStart w:id="83" w:name="_Toc247085694"/>
      <w:bookmarkStart w:id="84" w:name="_Toc152042311"/>
      <w:bookmarkStart w:id="85" w:name="_Toc338840192"/>
      <w:bookmarkStart w:id="86" w:name="_Toc152045535"/>
      <w:bookmarkStart w:id="87" w:name="_Toc246996923"/>
      <w:bookmarkStart w:id="88" w:name="_Toc179632552"/>
      <w:r>
        <w:rPr>
          <w:rFonts w:hint="eastAsia" w:ascii="宋体" w:hAnsi="宋体" w:cs="宋体"/>
          <w:color w:val="auto"/>
          <w:highlight w:val="none"/>
        </w:rPr>
        <w:t>1.5 费用承担</w:t>
      </w:r>
      <w:bookmarkEnd w:id="81"/>
      <w:bookmarkEnd w:id="82"/>
      <w:bookmarkEnd w:id="83"/>
      <w:bookmarkEnd w:id="84"/>
      <w:bookmarkEnd w:id="85"/>
      <w:bookmarkEnd w:id="86"/>
      <w:bookmarkEnd w:id="87"/>
      <w:bookmarkEnd w:id="8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供应商准备和参加投标活动发生的费用自理。</w:t>
      </w:r>
    </w:p>
    <w:p>
      <w:pPr>
        <w:pStyle w:val="5"/>
        <w:rPr>
          <w:rFonts w:ascii="宋体" w:hAnsi="宋体" w:cs="宋体"/>
          <w:color w:val="auto"/>
          <w:highlight w:val="none"/>
        </w:rPr>
      </w:pPr>
      <w:bookmarkStart w:id="89" w:name="_Toc179632553"/>
      <w:bookmarkStart w:id="90" w:name="_Toc144974504"/>
      <w:bookmarkStart w:id="91" w:name="_Toc152042312"/>
      <w:bookmarkStart w:id="92" w:name="_Toc338840193"/>
      <w:bookmarkStart w:id="93" w:name="_Toc152045536"/>
      <w:bookmarkStart w:id="94" w:name="_Toc246996181"/>
      <w:bookmarkStart w:id="95" w:name="_Toc247085695"/>
      <w:bookmarkStart w:id="96" w:name="_Toc246996924"/>
      <w:r>
        <w:rPr>
          <w:rFonts w:hint="eastAsia" w:ascii="宋体" w:hAnsi="宋体" w:cs="宋体"/>
          <w:color w:val="auto"/>
          <w:highlight w:val="none"/>
        </w:rPr>
        <w:t>1.6 保密</w:t>
      </w:r>
      <w:bookmarkEnd w:id="89"/>
      <w:bookmarkEnd w:id="90"/>
      <w:bookmarkEnd w:id="91"/>
      <w:bookmarkEnd w:id="92"/>
      <w:bookmarkEnd w:id="93"/>
      <w:bookmarkEnd w:id="94"/>
      <w:bookmarkEnd w:id="95"/>
      <w:bookmarkEnd w:id="9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参与招标投标活动的各方应对招标文件和投标文件中的商业和技术等秘密保密，违者应对由此造成的后果承担法律责任。 </w:t>
      </w:r>
    </w:p>
    <w:p>
      <w:pPr>
        <w:pStyle w:val="5"/>
        <w:rPr>
          <w:rFonts w:ascii="宋体" w:hAnsi="宋体" w:cs="宋体"/>
          <w:color w:val="auto"/>
          <w:highlight w:val="none"/>
        </w:rPr>
      </w:pPr>
      <w:bookmarkStart w:id="97" w:name="_Toc144974505"/>
      <w:bookmarkStart w:id="98" w:name="_Toc152045537"/>
      <w:bookmarkStart w:id="99" w:name="_Toc338840194"/>
      <w:bookmarkStart w:id="100" w:name="_Toc152042313"/>
      <w:bookmarkStart w:id="101" w:name="_Toc246996925"/>
      <w:bookmarkStart w:id="102" w:name="_Toc246996182"/>
      <w:bookmarkStart w:id="103" w:name="_Toc247085696"/>
      <w:bookmarkStart w:id="104" w:name="_Toc179632554"/>
      <w:r>
        <w:rPr>
          <w:rFonts w:hint="eastAsia" w:ascii="宋体" w:hAnsi="宋体" w:cs="宋体"/>
          <w:color w:val="auto"/>
          <w:highlight w:val="none"/>
        </w:rPr>
        <w:t>1.7 语言</w:t>
      </w:r>
      <w:bookmarkEnd w:id="97"/>
      <w:r>
        <w:rPr>
          <w:rFonts w:hint="eastAsia" w:ascii="宋体" w:hAnsi="宋体" w:cs="宋体"/>
          <w:color w:val="auto"/>
          <w:highlight w:val="none"/>
        </w:rPr>
        <w:t>文字</w:t>
      </w:r>
      <w:bookmarkEnd w:id="98"/>
      <w:bookmarkEnd w:id="99"/>
      <w:bookmarkEnd w:id="100"/>
      <w:bookmarkEnd w:id="101"/>
      <w:bookmarkEnd w:id="102"/>
      <w:bookmarkEnd w:id="103"/>
      <w:bookmarkEnd w:id="104"/>
    </w:p>
    <w:p>
      <w:pPr>
        <w:spacing w:line="400" w:lineRule="exact"/>
        <w:ind w:firstLine="420" w:firstLineChars="200"/>
        <w:rPr>
          <w:rFonts w:ascii="宋体" w:hAnsi="宋体" w:cs="宋体"/>
          <w:color w:val="auto"/>
          <w:highlight w:val="none"/>
        </w:rPr>
      </w:pPr>
      <w:bookmarkStart w:id="105" w:name="_Toc152045538"/>
      <w:bookmarkStart w:id="106" w:name="_Toc152042314"/>
      <w:bookmarkStart w:id="107" w:name="_Toc246996183"/>
      <w:bookmarkStart w:id="108" w:name="_Toc179632555"/>
      <w:bookmarkStart w:id="109" w:name="_Toc246996926"/>
      <w:bookmarkStart w:id="110" w:name="_Toc247085697"/>
      <w:bookmarkStart w:id="111" w:name="_Toc144974506"/>
      <w:r>
        <w:rPr>
          <w:rFonts w:hint="eastAsia" w:ascii="宋体" w:hAnsi="宋体" w:cs="宋体"/>
          <w:color w:val="auto"/>
          <w:highlight w:val="none"/>
        </w:rPr>
        <w:t>招标投标文件使用的语言文字为中文。专用术语使用外文的，应附有中文注释。证书证件应使用中文版本，无中文版本的应附相应的中文注释。</w:t>
      </w:r>
    </w:p>
    <w:p>
      <w:pPr>
        <w:pStyle w:val="5"/>
        <w:rPr>
          <w:rFonts w:ascii="宋体" w:hAnsi="宋体" w:cs="宋体"/>
          <w:color w:val="auto"/>
          <w:highlight w:val="none"/>
        </w:rPr>
      </w:pPr>
      <w:bookmarkStart w:id="112" w:name="_Toc338840195"/>
      <w:r>
        <w:rPr>
          <w:rFonts w:hint="eastAsia" w:ascii="宋体" w:hAnsi="宋体" w:cs="宋体"/>
          <w:color w:val="auto"/>
          <w:highlight w:val="none"/>
        </w:rPr>
        <w:t>1.8 计量单位</w:t>
      </w:r>
      <w:bookmarkEnd w:id="105"/>
      <w:bookmarkEnd w:id="106"/>
      <w:bookmarkEnd w:id="107"/>
      <w:bookmarkEnd w:id="108"/>
      <w:bookmarkEnd w:id="109"/>
      <w:bookmarkEnd w:id="110"/>
      <w:bookmarkEnd w:id="111"/>
      <w:bookmarkEnd w:id="11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5"/>
        <w:rPr>
          <w:rFonts w:ascii="宋体" w:hAnsi="宋体" w:cs="宋体"/>
          <w:color w:val="auto"/>
          <w:highlight w:val="none"/>
        </w:rPr>
      </w:pPr>
      <w:bookmarkStart w:id="113" w:name="_Toc247592876"/>
      <w:bookmarkStart w:id="114" w:name="_Toc152045539"/>
      <w:bookmarkStart w:id="115" w:name="_Toc247527563"/>
      <w:bookmarkStart w:id="116" w:name="_Toc338840196"/>
      <w:bookmarkStart w:id="117" w:name="_Toc144974507"/>
      <w:bookmarkStart w:id="118" w:name="_Toc152042315"/>
      <w:bookmarkStart w:id="119" w:name="_Toc247513962"/>
      <w:r>
        <w:rPr>
          <w:rFonts w:hint="eastAsia" w:ascii="宋体" w:hAnsi="宋体" w:cs="宋体"/>
          <w:color w:val="auto"/>
          <w:highlight w:val="none"/>
        </w:rPr>
        <w:t>1.9 踏勘现场</w:t>
      </w:r>
      <w:bookmarkEnd w:id="113"/>
      <w:bookmarkEnd w:id="114"/>
      <w:bookmarkEnd w:id="115"/>
      <w:bookmarkEnd w:id="116"/>
      <w:bookmarkEnd w:id="117"/>
      <w:bookmarkEnd w:id="118"/>
      <w:bookmarkEnd w:id="11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1.9.1 供应商须知前附表规定组织踏勘现场的，采购人按供应商须知前附表规定的时间、地点组织供应商踏勘项目现场。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1.9.2 供应商踏勘现场发生的费用自理。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1.9.3 除采购人的原因外，供应商自行负责在踏勘现场中所发生的人员伤亡和财产损失。</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1.9.4 采购人在踏勘现场中介绍的有关情况和相关的周边环境情况，供供应商在编制投标文件时参考，采购人不对供应商据此作出的判断和决策负责。</w:t>
      </w:r>
    </w:p>
    <w:p>
      <w:pPr>
        <w:pStyle w:val="5"/>
        <w:rPr>
          <w:rFonts w:ascii="宋体" w:hAnsi="宋体" w:cs="宋体"/>
          <w:color w:val="auto"/>
          <w:highlight w:val="none"/>
        </w:rPr>
      </w:pPr>
      <w:bookmarkStart w:id="120" w:name="_Toc152045540"/>
      <w:bookmarkStart w:id="121" w:name="_Toc247527564"/>
      <w:bookmarkStart w:id="122" w:name="_Toc247513963"/>
      <w:bookmarkStart w:id="123" w:name="_Toc152042316"/>
      <w:bookmarkStart w:id="124" w:name="_Toc247592877"/>
      <w:bookmarkStart w:id="125" w:name="_Toc338840197"/>
      <w:bookmarkStart w:id="126" w:name="_Toc144974508"/>
      <w:r>
        <w:rPr>
          <w:rFonts w:hint="eastAsia" w:ascii="宋体" w:hAnsi="宋体" w:cs="宋体"/>
          <w:color w:val="auto"/>
          <w:highlight w:val="none"/>
        </w:rPr>
        <w:t>1.10 投标预备会</w:t>
      </w:r>
      <w:bookmarkEnd w:id="120"/>
      <w:bookmarkEnd w:id="121"/>
      <w:bookmarkEnd w:id="122"/>
      <w:bookmarkEnd w:id="123"/>
      <w:bookmarkEnd w:id="124"/>
      <w:bookmarkEnd w:id="125"/>
      <w:bookmarkEnd w:id="12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1.10.1 供应商须知前附表规定召开投标预备会的，采购人按供应商须知前附表规定的时间和地点召开投标预备会，澄清供应商提出的问题。</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1.10.2 供应商应在供应商须知前附表规定的时间前，以书面形式将提出的问题送达采购人，以便采购人在会议期间澄清。</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1.10.3 投标预备会后，采购人在供应商须知前附表规定的时间内，将对供应商所提问题的澄清，以书面形式通知所有购买招标文件的供应商。该澄清内容为招标文件的组成部分。</w:t>
      </w:r>
    </w:p>
    <w:p>
      <w:pPr>
        <w:pStyle w:val="5"/>
        <w:rPr>
          <w:rFonts w:ascii="宋体" w:hAnsi="宋体" w:cs="宋体"/>
          <w:color w:val="auto"/>
          <w:highlight w:val="none"/>
        </w:rPr>
      </w:pPr>
      <w:bookmarkStart w:id="127" w:name="_Toc338840198"/>
      <w:r>
        <w:rPr>
          <w:rFonts w:hint="eastAsia" w:ascii="宋体" w:hAnsi="宋体" w:cs="宋体"/>
          <w:color w:val="auto"/>
          <w:highlight w:val="none"/>
        </w:rPr>
        <w:t>1.11 偏离</w:t>
      </w:r>
      <w:bookmarkEnd w:id="12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供应商须知前附表允许投标文件偏离招标文件某些要求的，偏离应当符合招标文件规定的偏离范围和幅度。</w:t>
      </w:r>
    </w:p>
    <w:p>
      <w:pPr>
        <w:pStyle w:val="4"/>
        <w:rPr>
          <w:rFonts w:ascii="宋体" w:hAnsi="宋体" w:eastAsia="宋体" w:cs="宋体"/>
          <w:color w:val="auto"/>
          <w:highlight w:val="none"/>
        </w:rPr>
      </w:pPr>
      <w:bookmarkStart w:id="128" w:name="_Toc338840199"/>
      <w:bookmarkStart w:id="129" w:name="_Toc346523403"/>
      <w:bookmarkStart w:id="130" w:name="_Toc144974510"/>
      <w:bookmarkStart w:id="131" w:name="_Toc152042318"/>
      <w:bookmarkStart w:id="132" w:name="_Toc338840443"/>
      <w:bookmarkStart w:id="133" w:name="_Toc152045542"/>
      <w:bookmarkStart w:id="134" w:name="_Toc246996930"/>
      <w:bookmarkStart w:id="135" w:name="_Toc246996187"/>
      <w:bookmarkStart w:id="136" w:name="_Toc179632560"/>
      <w:bookmarkStart w:id="137" w:name="_Toc11232"/>
      <w:bookmarkStart w:id="138" w:name="_Toc338840482"/>
      <w:bookmarkStart w:id="139" w:name="_Toc247085701"/>
      <w:r>
        <w:rPr>
          <w:rFonts w:hint="eastAsia" w:ascii="宋体" w:hAnsi="宋体" w:eastAsia="宋体" w:cs="宋体"/>
          <w:color w:val="auto"/>
          <w:highlight w:val="none"/>
        </w:rPr>
        <w:t>2. 招标文件</w:t>
      </w:r>
      <w:bookmarkEnd w:id="128"/>
      <w:bookmarkEnd w:id="129"/>
      <w:bookmarkEnd w:id="130"/>
      <w:bookmarkEnd w:id="131"/>
      <w:bookmarkEnd w:id="132"/>
      <w:bookmarkEnd w:id="133"/>
      <w:bookmarkEnd w:id="134"/>
      <w:bookmarkEnd w:id="135"/>
      <w:bookmarkEnd w:id="136"/>
      <w:bookmarkEnd w:id="137"/>
      <w:bookmarkEnd w:id="138"/>
      <w:bookmarkEnd w:id="139"/>
    </w:p>
    <w:p>
      <w:pPr>
        <w:pStyle w:val="5"/>
        <w:rPr>
          <w:rFonts w:ascii="宋体" w:hAnsi="宋体" w:cs="宋体"/>
          <w:color w:val="auto"/>
          <w:highlight w:val="none"/>
        </w:rPr>
      </w:pPr>
      <w:bookmarkStart w:id="140" w:name="_Toc152042319"/>
      <w:bookmarkStart w:id="141" w:name="_Toc246996931"/>
      <w:bookmarkStart w:id="142" w:name="_Toc179632561"/>
      <w:bookmarkStart w:id="143" w:name="_Toc144974511"/>
      <w:bookmarkStart w:id="144" w:name="_Toc338840200"/>
      <w:bookmarkStart w:id="145" w:name="_Toc246996188"/>
      <w:bookmarkStart w:id="146" w:name="_Toc152045543"/>
      <w:bookmarkStart w:id="147" w:name="_Toc247085702"/>
      <w:r>
        <w:rPr>
          <w:rFonts w:hint="eastAsia" w:ascii="宋体" w:hAnsi="宋体" w:cs="宋体"/>
          <w:color w:val="auto"/>
          <w:highlight w:val="none"/>
        </w:rPr>
        <w:t>2.1 招标文件的组成</w:t>
      </w:r>
      <w:bookmarkEnd w:id="140"/>
      <w:bookmarkEnd w:id="141"/>
      <w:bookmarkEnd w:id="142"/>
      <w:bookmarkEnd w:id="143"/>
      <w:bookmarkEnd w:id="144"/>
      <w:bookmarkEnd w:id="145"/>
      <w:bookmarkEnd w:id="146"/>
      <w:bookmarkEnd w:id="147"/>
    </w:p>
    <w:p>
      <w:pPr>
        <w:spacing w:line="400" w:lineRule="exact"/>
        <w:rPr>
          <w:rFonts w:ascii="宋体" w:hAnsi="宋体" w:cs="宋体"/>
          <w:color w:val="auto"/>
          <w:highlight w:val="none"/>
        </w:rPr>
      </w:pPr>
      <w:r>
        <w:rPr>
          <w:rFonts w:hint="eastAsia" w:ascii="宋体" w:hAnsi="宋体" w:cs="宋体"/>
          <w:color w:val="auto"/>
          <w:highlight w:val="none"/>
        </w:rPr>
        <w:t>　　2.1.1 本招标文件包括：</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（1）招标公告；</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（2）供应商须知；</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（3）评标办法；</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（4）合同条款及格式；</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 xml:space="preserve">（5）招标内容及商务技术要求； </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（6）投标文件格式；</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（7）供应商须知前附表规定的其他材料。</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2.1.2 根据本章第1.10款、第2.2款和第2.3款对招标文件所作的澄清、修改，构成招标文件的组成部分。</w:t>
      </w:r>
    </w:p>
    <w:p>
      <w:pPr>
        <w:pStyle w:val="5"/>
        <w:rPr>
          <w:rFonts w:ascii="宋体" w:hAnsi="宋体" w:cs="宋体"/>
          <w:color w:val="auto"/>
          <w:highlight w:val="none"/>
        </w:rPr>
      </w:pPr>
      <w:bookmarkStart w:id="148" w:name="_Toc152042320"/>
      <w:bookmarkStart w:id="149" w:name="_Toc338840201"/>
      <w:bookmarkStart w:id="150" w:name="_Toc179632562"/>
      <w:bookmarkStart w:id="151" w:name="_Toc247085703"/>
      <w:bookmarkStart w:id="152" w:name="_Toc246996189"/>
      <w:bookmarkStart w:id="153" w:name="_Toc152045544"/>
      <w:bookmarkStart w:id="154" w:name="_Toc246996932"/>
      <w:bookmarkStart w:id="155" w:name="_Toc144974512"/>
      <w:r>
        <w:rPr>
          <w:rFonts w:hint="eastAsia" w:ascii="宋体" w:hAnsi="宋体" w:cs="宋体"/>
          <w:color w:val="auto"/>
          <w:highlight w:val="none"/>
        </w:rPr>
        <w:t>2.2 招标文件的澄清</w:t>
      </w:r>
      <w:bookmarkEnd w:id="148"/>
      <w:bookmarkEnd w:id="149"/>
      <w:bookmarkEnd w:id="150"/>
      <w:bookmarkEnd w:id="151"/>
      <w:bookmarkEnd w:id="152"/>
      <w:bookmarkEnd w:id="153"/>
      <w:bookmarkEnd w:id="154"/>
      <w:bookmarkEnd w:id="155"/>
      <w:r>
        <w:rPr>
          <w:rFonts w:hint="eastAsia" w:ascii="宋体" w:hAnsi="宋体" w:cs="宋体"/>
          <w:color w:val="auto"/>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供应商应仔细阅读和检查招标文件的全部内容。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如有疑问，应在供应商须知前附表规定的时间前以书面形式（包括信函、电报、传真等可以有形地表现所载内容的形式，下同），要求采购人对招标文件予以澄清。</w:t>
      </w:r>
    </w:p>
    <w:p>
      <w:pPr>
        <w:spacing w:line="400" w:lineRule="exact"/>
        <w:ind w:firstLine="420" w:firstLineChars="200"/>
        <w:rPr>
          <w:rFonts w:ascii="宋体" w:hAnsi="宋体" w:cs="宋体"/>
          <w:color w:val="auto"/>
          <w:sz w:val="32"/>
          <w:szCs w:val="32"/>
          <w:highlight w:val="none"/>
        </w:rPr>
      </w:pPr>
      <w:r>
        <w:rPr>
          <w:rFonts w:hint="eastAsia" w:ascii="宋体" w:hAnsi="宋体" w:cs="宋体"/>
          <w:color w:val="auto"/>
          <w:highlight w:val="none"/>
        </w:rPr>
        <w:t>2.2.2 招标文件的澄清将</w:t>
      </w:r>
      <w:r>
        <w:rPr>
          <w:rFonts w:hint="eastAsia" w:ascii="宋体" w:hAnsi="宋体"/>
          <w:color w:val="auto"/>
          <w:szCs w:val="21"/>
          <w:highlight w:val="none"/>
        </w:rPr>
        <w:t>在采购公告发布网站上以书面形式（更正、变更公告的方式）通知所有招标文件的收受人</w:t>
      </w:r>
      <w:r>
        <w:rPr>
          <w:rFonts w:hint="eastAsia" w:ascii="宋体" w:hAnsi="宋体" w:cs="宋体"/>
          <w:color w:val="auto"/>
          <w:highlight w:val="none"/>
        </w:rPr>
        <w:t>，但不指明澄清问题的来源。如果澄清发出的时间距供应商须知前附表规定的投标截止时间不足15天，并且澄清内容影响投标文件编制的，将相应延长投标截止时间。</w:t>
      </w:r>
      <w:r>
        <w:rPr>
          <w:rFonts w:hint="eastAsia" w:ascii="宋体" w:hAnsi="宋体" w:cs="宋体"/>
          <w:color w:val="auto"/>
          <w:sz w:val="32"/>
          <w:szCs w:val="32"/>
          <w:highlight w:val="none"/>
        </w:rPr>
        <w:t xml:space="preserve"> </w:t>
      </w:r>
    </w:p>
    <w:p>
      <w:pPr>
        <w:pStyle w:val="6"/>
        <w:spacing w:line="320" w:lineRule="atLeast"/>
        <w:ind w:firstLine="422"/>
        <w:rPr>
          <w:rFonts w:ascii="宋体" w:hAnsi="宋体"/>
          <w:b/>
          <w:bCs/>
          <w:color w:val="auto"/>
          <w:szCs w:val="21"/>
          <w:highlight w:val="none"/>
        </w:rPr>
      </w:pPr>
      <w:r>
        <w:rPr>
          <w:rFonts w:hint="eastAsia" w:ascii="宋体" w:hAnsi="宋体"/>
          <w:b/>
          <w:bCs/>
          <w:color w:val="auto"/>
          <w:szCs w:val="21"/>
          <w:highlight w:val="none"/>
        </w:rPr>
        <w:t>2.2.3因在全流程电子化政府采购活动中，采购人及招标采购代理机构均无法获取供应商信息，因此采购人及招标采购代理机构无法直接向供应商告知招标文件的澄清与修改内容，供应商应自行注意查看河南省政府采购网及睢县公共资源交易中心网站上该项目相关信息，否则产生任何不利后果由供应商自行承担。</w:t>
      </w:r>
    </w:p>
    <w:p>
      <w:pPr>
        <w:pStyle w:val="12"/>
        <w:rPr>
          <w:color w:val="auto"/>
          <w:highlight w:val="none"/>
        </w:rPr>
      </w:pPr>
    </w:p>
    <w:p>
      <w:pPr>
        <w:pStyle w:val="5"/>
        <w:rPr>
          <w:rFonts w:ascii="宋体" w:hAnsi="宋体" w:cs="宋体"/>
          <w:color w:val="auto"/>
          <w:highlight w:val="none"/>
        </w:rPr>
      </w:pPr>
      <w:bookmarkStart w:id="156" w:name="_Toc144974513"/>
      <w:bookmarkStart w:id="157" w:name="_Toc338840202"/>
      <w:bookmarkStart w:id="158" w:name="_Toc179632563"/>
      <w:bookmarkStart w:id="159" w:name="_Toc246996933"/>
      <w:bookmarkStart w:id="160" w:name="_Toc247085704"/>
      <w:bookmarkStart w:id="161" w:name="_Toc246996190"/>
      <w:bookmarkStart w:id="162" w:name="_Toc152042321"/>
      <w:bookmarkStart w:id="163" w:name="_Toc152045545"/>
      <w:r>
        <w:rPr>
          <w:rFonts w:hint="eastAsia" w:ascii="宋体" w:hAnsi="宋体" w:cs="宋体"/>
          <w:color w:val="auto"/>
          <w:highlight w:val="none"/>
        </w:rPr>
        <w:t>2.3 招标文件的修改</w:t>
      </w:r>
      <w:bookmarkEnd w:id="156"/>
      <w:bookmarkEnd w:id="157"/>
      <w:bookmarkEnd w:id="158"/>
      <w:bookmarkEnd w:id="159"/>
      <w:bookmarkEnd w:id="160"/>
      <w:bookmarkEnd w:id="161"/>
      <w:bookmarkEnd w:id="162"/>
      <w:bookmarkEnd w:id="16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2.3.1采购人可以书面形式修改招标文件，并通知所有已购买招标文件的供应商。但如果修改招标文件的时间距投标截止时间不足15天，并且修改内容影响投标文件编制的，将相应延长投标截止时间。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2.3.2 供应商收到修改内容后，应在供应商须知前附表规定的时间内以书面形式通知采购人，确认已收到该修改。</w:t>
      </w:r>
    </w:p>
    <w:p>
      <w:pPr>
        <w:pStyle w:val="4"/>
        <w:rPr>
          <w:rFonts w:ascii="宋体" w:hAnsi="宋体" w:eastAsia="宋体" w:cs="宋体"/>
          <w:color w:val="auto"/>
          <w:highlight w:val="none"/>
        </w:rPr>
      </w:pPr>
      <w:bookmarkStart w:id="164" w:name="_Toc179632564"/>
      <w:bookmarkStart w:id="165" w:name="_Toc152042322"/>
      <w:bookmarkStart w:id="166" w:name="_Toc246996191"/>
      <w:bookmarkStart w:id="167" w:name="_Toc338840203"/>
      <w:bookmarkStart w:id="168" w:name="_Toc152045546"/>
      <w:bookmarkStart w:id="169" w:name="_Toc246996934"/>
      <w:bookmarkStart w:id="170" w:name="_Toc247085705"/>
      <w:bookmarkStart w:id="171" w:name="_Toc338840483"/>
      <w:bookmarkStart w:id="172" w:name="_Toc346523404"/>
      <w:bookmarkStart w:id="173" w:name="_Toc338840444"/>
      <w:bookmarkStart w:id="174" w:name="_Toc14888"/>
      <w:bookmarkStart w:id="175" w:name="_Toc144974514"/>
      <w:r>
        <w:rPr>
          <w:rFonts w:hint="eastAsia" w:ascii="宋体" w:hAnsi="宋体" w:eastAsia="宋体" w:cs="宋体"/>
          <w:color w:val="auto"/>
          <w:highlight w:val="none"/>
        </w:rPr>
        <w:t>3. 投标文件</w:t>
      </w:r>
      <w:bookmarkEnd w:id="164"/>
      <w:bookmarkEnd w:id="165"/>
      <w:bookmarkEnd w:id="166"/>
      <w:bookmarkEnd w:id="167"/>
      <w:bookmarkEnd w:id="168"/>
      <w:bookmarkEnd w:id="169"/>
      <w:bookmarkEnd w:id="170"/>
      <w:bookmarkEnd w:id="171"/>
      <w:bookmarkEnd w:id="172"/>
      <w:bookmarkEnd w:id="173"/>
      <w:bookmarkEnd w:id="174"/>
      <w:bookmarkEnd w:id="175"/>
    </w:p>
    <w:p>
      <w:pPr>
        <w:pStyle w:val="5"/>
        <w:rPr>
          <w:rFonts w:ascii="宋体" w:hAnsi="宋体" w:cs="宋体"/>
          <w:color w:val="auto"/>
          <w:highlight w:val="none"/>
        </w:rPr>
      </w:pPr>
      <w:bookmarkStart w:id="176" w:name="_Toc152042323"/>
      <w:bookmarkStart w:id="177" w:name="_Toc247085706"/>
      <w:bookmarkStart w:id="178" w:name="_Toc152045547"/>
      <w:bookmarkStart w:id="179" w:name="_Toc338840204"/>
      <w:bookmarkStart w:id="180" w:name="_Toc144974515"/>
      <w:bookmarkStart w:id="181" w:name="_Toc246996935"/>
      <w:bookmarkStart w:id="182" w:name="_Toc246996192"/>
      <w:bookmarkStart w:id="183" w:name="_Toc179632565"/>
      <w:r>
        <w:rPr>
          <w:rFonts w:hint="eastAsia" w:ascii="宋体" w:hAnsi="宋体" w:cs="宋体"/>
          <w:color w:val="auto"/>
          <w:highlight w:val="none"/>
        </w:rPr>
        <w:t>3.1 投标文件的组成</w:t>
      </w:r>
      <w:bookmarkEnd w:id="176"/>
      <w:bookmarkEnd w:id="177"/>
      <w:bookmarkEnd w:id="178"/>
      <w:bookmarkEnd w:id="179"/>
      <w:bookmarkEnd w:id="180"/>
      <w:bookmarkEnd w:id="181"/>
      <w:bookmarkEnd w:id="182"/>
      <w:bookmarkEnd w:id="18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投标文件应包括下列内容：</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（1）投标函；</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（2）开标一览表；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w:t>
      </w:r>
      <w:r>
        <w:rPr>
          <w:rFonts w:hint="eastAsia" w:ascii="Times New Roman" w:hAnsi="Times New Roman" w:eastAsia="宋体" w:cs="Times New Roman"/>
          <w:color w:val="auto"/>
          <w:highlight w:val="none"/>
        </w:rPr>
        <w:t>法定代表人或单位负责人身份证明书或授权书（自然人投标的无需提供）</w:t>
      </w:r>
      <w:r>
        <w:rPr>
          <w:rFonts w:hint="eastAsia" w:ascii="宋体" w:hAnsi="宋体" w:cs="宋体"/>
          <w:color w:val="auto"/>
          <w:highlight w:val="none"/>
        </w:rPr>
        <w:t>；</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（4）投标</w:t>
      </w:r>
      <w:r>
        <w:rPr>
          <w:rFonts w:hint="eastAsia" w:ascii="宋体" w:hAnsi="宋体" w:cs="宋体"/>
          <w:color w:val="auto"/>
          <w:highlight w:val="none"/>
          <w:lang w:val="en-US" w:eastAsia="zh-CN"/>
        </w:rPr>
        <w:t>报价</w:t>
      </w:r>
      <w:r>
        <w:rPr>
          <w:rFonts w:hint="eastAsia" w:ascii="宋体" w:hAnsi="宋体" w:cs="宋体"/>
          <w:color w:val="auto"/>
          <w:highlight w:val="none"/>
        </w:rPr>
        <w:t>明细表；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（5）技术及商务偏差表；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技术方案及</w:t>
      </w:r>
      <w:r>
        <w:rPr>
          <w:rFonts w:hint="eastAsia" w:ascii="宋体" w:hAnsi="宋体" w:cs="宋体"/>
          <w:color w:val="auto"/>
          <w:highlight w:val="none"/>
        </w:rPr>
        <w:t>服务承诺；</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）具有良好的商业信誉和健全的财务会计制度的证明材料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w:t>
      </w:r>
      <w:r>
        <w:rPr>
          <w:rFonts w:hint="eastAsia" w:ascii="宋体" w:hAnsi="宋体" w:cs="宋体"/>
          <w:color w:val="auto"/>
          <w:highlight w:val="none"/>
        </w:rPr>
        <w:t>具有依法缴纳税收的证明材料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w:t>
      </w:r>
      <w:r>
        <w:rPr>
          <w:rFonts w:hint="eastAsia" w:ascii="宋体" w:hAnsi="宋体" w:cs="宋体"/>
          <w:color w:val="auto"/>
          <w:highlight w:val="none"/>
        </w:rPr>
        <w:t>具有依法缴纳社会保障资金的证明材料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rPr>
        <w:t>具备履行合同所必须的设备和专业技术能力的证明材料</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w:t>
      </w:r>
      <w:r>
        <w:rPr>
          <w:rFonts w:hint="eastAsia" w:ascii="宋体" w:hAnsi="宋体" w:cs="宋体"/>
          <w:color w:val="auto"/>
          <w:highlight w:val="none"/>
        </w:rPr>
        <w:t>参加政府采购活动前3年内在经营活动中没有重大违法记录的书面声明供应商基本情况表；</w:t>
      </w:r>
    </w:p>
    <w:p>
      <w:pPr>
        <w:spacing w:line="400" w:lineRule="exact"/>
        <w:ind w:firstLine="359" w:firstLineChars="171"/>
        <w:rPr>
          <w:rFonts w:hint="default" w:ascii="宋体" w:hAnsi="宋体" w:eastAsia="宋体" w:cs="宋体"/>
          <w:color w:val="auto"/>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w:t>
      </w:r>
      <w:r>
        <w:rPr>
          <w:rFonts w:hint="eastAsia" w:ascii="宋体" w:hAnsi="宋体" w:cs="宋体"/>
          <w:color w:val="auto"/>
          <w:highlight w:val="none"/>
          <w:lang w:val="en-US" w:eastAsia="zh-CN"/>
        </w:rPr>
        <w:t>供应商基本情况表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w:t>
      </w:r>
      <w:r>
        <w:rPr>
          <w:rFonts w:hint="eastAsia" w:ascii="宋体" w:hAnsi="宋体" w:cs="宋体"/>
          <w:color w:val="auto"/>
          <w:highlight w:val="none"/>
        </w:rPr>
        <w:t>其他材料。</w:t>
      </w:r>
    </w:p>
    <w:p>
      <w:pPr>
        <w:pStyle w:val="5"/>
        <w:rPr>
          <w:rFonts w:ascii="宋体" w:hAnsi="宋体" w:cs="宋体"/>
          <w:color w:val="auto"/>
          <w:sz w:val="21"/>
          <w:szCs w:val="21"/>
          <w:highlight w:val="none"/>
        </w:rPr>
      </w:pPr>
      <w:bookmarkStart w:id="184" w:name="_Toc144974516"/>
      <w:bookmarkStart w:id="185" w:name="_Toc179632566"/>
      <w:bookmarkStart w:id="186" w:name="_Toc246996936"/>
      <w:bookmarkStart w:id="187" w:name="_Toc246996193"/>
      <w:bookmarkStart w:id="188" w:name="_Toc152042324"/>
      <w:bookmarkStart w:id="189" w:name="_Toc152045548"/>
      <w:bookmarkStart w:id="190" w:name="_Toc338840205"/>
      <w:bookmarkStart w:id="191" w:name="_Toc247085707"/>
      <w:r>
        <w:rPr>
          <w:rFonts w:hint="eastAsia" w:ascii="宋体" w:hAnsi="宋体" w:cs="宋体"/>
          <w:color w:val="auto"/>
          <w:highlight w:val="none"/>
        </w:rPr>
        <w:t>3.2 投标报价</w:t>
      </w:r>
      <w:bookmarkEnd w:id="184"/>
      <w:bookmarkEnd w:id="185"/>
      <w:bookmarkEnd w:id="186"/>
      <w:bookmarkEnd w:id="187"/>
      <w:bookmarkEnd w:id="188"/>
      <w:bookmarkEnd w:id="189"/>
      <w:bookmarkEnd w:id="190"/>
      <w:bookmarkEnd w:id="19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报价范围：见供应商须知前附表。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3.2.2</w:t>
      </w:r>
      <w:r>
        <w:rPr>
          <w:rFonts w:hint="eastAsia" w:ascii="宋体" w:hAnsi="宋体" w:cs="宋体"/>
          <w:color w:val="auto"/>
          <w:szCs w:val="21"/>
          <w:highlight w:val="none"/>
        </w:rPr>
        <w:t>报价应具有唯一性，即只能有一个有效报价（要求只进行分类分项报价的项目除外）。本项目</w:t>
      </w:r>
      <w:r>
        <w:rPr>
          <w:rFonts w:hint="eastAsia" w:ascii="宋体" w:hAnsi="宋体" w:cs="宋体"/>
          <w:color w:val="auto"/>
          <w:kern w:val="0"/>
          <w:szCs w:val="21"/>
          <w:highlight w:val="none"/>
        </w:rPr>
        <w:t>不接受任何有选择性的报价</w:t>
      </w:r>
      <w:bookmarkStart w:id="192" w:name="_Toc179632567"/>
      <w:bookmarkStart w:id="193" w:name="_Toc152045549"/>
      <w:bookmarkStart w:id="194" w:name="_Toc152042325"/>
      <w:bookmarkStart w:id="195" w:name="_Toc144974517"/>
      <w:r>
        <w:rPr>
          <w:rFonts w:hint="eastAsia" w:ascii="宋体" w:hAnsi="宋体" w:cs="宋体"/>
          <w:color w:val="auto"/>
          <w:kern w:val="0"/>
          <w:szCs w:val="21"/>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采购人设有最高投标限价的，最高投标限价在供应商须知前附表中载明。</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3.2.4报价币种：见供应商须知前附表。</w:t>
      </w:r>
    </w:p>
    <w:p>
      <w:pPr>
        <w:pStyle w:val="5"/>
        <w:rPr>
          <w:rFonts w:ascii="宋体" w:hAnsi="宋体" w:cs="宋体"/>
          <w:color w:val="auto"/>
          <w:highlight w:val="none"/>
        </w:rPr>
      </w:pPr>
      <w:bookmarkStart w:id="196" w:name="_Toc246996194"/>
      <w:bookmarkStart w:id="197" w:name="_Toc247085708"/>
      <w:bookmarkStart w:id="198" w:name="_Toc246996937"/>
      <w:bookmarkStart w:id="199" w:name="_Toc338840206"/>
      <w:r>
        <w:rPr>
          <w:rFonts w:hint="eastAsia" w:ascii="宋体" w:hAnsi="宋体" w:cs="宋体"/>
          <w:color w:val="auto"/>
          <w:highlight w:val="none"/>
        </w:rPr>
        <w:t>3.3 投标有效期</w:t>
      </w:r>
      <w:bookmarkEnd w:id="192"/>
      <w:bookmarkEnd w:id="193"/>
      <w:bookmarkEnd w:id="194"/>
      <w:bookmarkEnd w:id="195"/>
      <w:bookmarkEnd w:id="196"/>
      <w:bookmarkEnd w:id="197"/>
      <w:bookmarkEnd w:id="198"/>
      <w:bookmarkEnd w:id="19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 除供应商须知前附表另有规定外，投标有效期为：</w:t>
      </w:r>
      <w:r>
        <w:rPr>
          <w:rFonts w:hint="eastAsia" w:ascii="宋体" w:hAnsi="宋体" w:cs="宋体"/>
          <w:color w:val="auto"/>
          <w:szCs w:val="21"/>
          <w:highlight w:val="none"/>
        </w:rPr>
        <w:t>自投标截止日起</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r>
        <w:rPr>
          <w:rFonts w:hint="eastAsia" w:ascii="宋体" w:hAnsi="宋体" w:cs="宋体"/>
          <w:color w:val="auto"/>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3.3.2在投标有效期内，供应商撤销或修改其投标文件的，应承担招标文件和法律规定的责任。</w:t>
      </w:r>
    </w:p>
    <w:p>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3.3.3出现特殊情况需要延长投标有效期的，采购人以书面形式通知所有供应商延长投标有效期。供应商同意延长的，但不得要求或被允许修改或撤销其投标文件。</w:t>
      </w:r>
    </w:p>
    <w:p>
      <w:pPr>
        <w:pStyle w:val="5"/>
        <w:rPr>
          <w:rFonts w:ascii="宋体" w:hAnsi="宋体" w:cs="宋体"/>
          <w:color w:val="auto"/>
          <w:highlight w:val="none"/>
        </w:rPr>
      </w:pPr>
      <w:bookmarkStart w:id="200" w:name="_Toc152042326"/>
      <w:bookmarkStart w:id="201" w:name="_Toc179632568"/>
      <w:bookmarkStart w:id="202" w:name="_Toc338840207"/>
      <w:bookmarkStart w:id="203" w:name="_Toc152045550"/>
      <w:bookmarkStart w:id="204" w:name="_Toc246996195"/>
      <w:bookmarkStart w:id="205" w:name="_Toc246996938"/>
      <w:bookmarkStart w:id="206" w:name="_Toc247085709"/>
      <w:bookmarkStart w:id="207" w:name="_Toc144974518"/>
      <w:r>
        <w:rPr>
          <w:rFonts w:hint="eastAsia" w:ascii="宋体" w:hAnsi="宋体" w:cs="宋体"/>
          <w:color w:val="auto"/>
          <w:highlight w:val="none"/>
        </w:rPr>
        <w:t>3.4 投标保证金</w:t>
      </w:r>
      <w:bookmarkEnd w:id="200"/>
      <w:bookmarkEnd w:id="201"/>
      <w:bookmarkEnd w:id="202"/>
      <w:bookmarkEnd w:id="203"/>
      <w:bookmarkEnd w:id="204"/>
      <w:bookmarkEnd w:id="205"/>
      <w:bookmarkEnd w:id="206"/>
      <w:bookmarkEnd w:id="207"/>
      <w:bookmarkStart w:id="208" w:name="_Toc144974520"/>
      <w:bookmarkStart w:id="209" w:name="_Toc152045552"/>
      <w:bookmarkStart w:id="210" w:name="_Toc152042328"/>
      <w:bookmarkStart w:id="211" w:name="_Toc246996939"/>
      <w:bookmarkStart w:id="212" w:name="_Toc247085710"/>
      <w:bookmarkStart w:id="213" w:name="_Toc179632570"/>
      <w:bookmarkStart w:id="214" w:name="_Toc246996196"/>
      <w:bookmarkStart w:id="215" w:name="_Toc33884020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无</w:t>
      </w:r>
    </w:p>
    <w:p>
      <w:pPr>
        <w:pStyle w:val="5"/>
        <w:rPr>
          <w:rFonts w:ascii="宋体" w:hAnsi="宋体" w:cs="宋体"/>
          <w:color w:val="auto"/>
          <w:highlight w:val="none"/>
        </w:rPr>
      </w:pPr>
      <w:r>
        <w:rPr>
          <w:rFonts w:hint="eastAsia" w:ascii="宋体" w:hAnsi="宋体" w:cs="宋体"/>
          <w:color w:val="auto"/>
          <w:highlight w:val="none"/>
        </w:rPr>
        <w:t>3.5 资格审查资料</w:t>
      </w:r>
      <w:bookmarkEnd w:id="208"/>
      <w:bookmarkEnd w:id="209"/>
      <w:bookmarkEnd w:id="210"/>
      <w:bookmarkEnd w:id="211"/>
      <w:bookmarkEnd w:id="212"/>
      <w:bookmarkEnd w:id="213"/>
      <w:bookmarkEnd w:id="214"/>
      <w:bookmarkEnd w:id="21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3.5.1 资格要求：见供应商须知前附表。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供应商须知前附表中要求的供应商资格审查材料应将复印件附到投标文件中。</w:t>
      </w:r>
    </w:p>
    <w:p>
      <w:pPr>
        <w:pStyle w:val="5"/>
        <w:rPr>
          <w:rFonts w:ascii="宋体" w:hAnsi="宋体" w:cs="宋体"/>
          <w:color w:val="auto"/>
          <w:highlight w:val="none"/>
        </w:rPr>
      </w:pPr>
      <w:bookmarkStart w:id="216" w:name="_Toc338840209"/>
      <w:bookmarkStart w:id="217" w:name="_Toc152042329"/>
      <w:bookmarkStart w:id="218" w:name="_Toc247085711"/>
      <w:bookmarkStart w:id="219" w:name="_Toc152045553"/>
      <w:bookmarkStart w:id="220" w:name="_Toc144974521"/>
      <w:bookmarkStart w:id="221" w:name="_Toc246996940"/>
      <w:bookmarkStart w:id="222" w:name="_Toc179632571"/>
      <w:bookmarkStart w:id="223" w:name="_Toc246996197"/>
      <w:r>
        <w:rPr>
          <w:rFonts w:hint="eastAsia" w:ascii="宋体" w:hAnsi="宋体" w:cs="宋体"/>
          <w:color w:val="auto"/>
          <w:highlight w:val="none"/>
        </w:rPr>
        <w:t>3.6投标文件的编制</w:t>
      </w:r>
      <w:bookmarkEnd w:id="216"/>
    </w:p>
    <w:bookmarkEnd w:id="217"/>
    <w:bookmarkEnd w:id="218"/>
    <w:bookmarkEnd w:id="219"/>
    <w:bookmarkEnd w:id="220"/>
    <w:bookmarkEnd w:id="221"/>
    <w:bookmarkEnd w:id="222"/>
    <w:bookmarkEnd w:id="223"/>
    <w:p>
      <w:pPr>
        <w:spacing w:line="400" w:lineRule="exact"/>
        <w:ind w:firstLine="359" w:firstLineChars="171"/>
        <w:rPr>
          <w:rFonts w:ascii="宋体" w:hAnsi="宋体" w:cs="宋体"/>
          <w:color w:val="auto"/>
          <w:highlight w:val="none"/>
        </w:rPr>
      </w:pPr>
      <w:bookmarkStart w:id="224" w:name="_Toc144974523"/>
      <w:bookmarkStart w:id="225" w:name="_Toc152042331"/>
      <w:bookmarkStart w:id="226" w:name="_Toc152045555"/>
      <w:bookmarkStart w:id="227" w:name="_Toc246996199"/>
      <w:bookmarkStart w:id="228" w:name="_Toc247085713"/>
      <w:bookmarkStart w:id="229" w:name="_Toc179632573"/>
      <w:bookmarkStart w:id="230" w:name="_Toc246996942"/>
      <w:r>
        <w:rPr>
          <w:rFonts w:hint="eastAsia" w:ascii="宋体" w:hAnsi="宋体" w:cs="宋体"/>
          <w:color w:val="auto"/>
          <w:highlight w:val="none"/>
        </w:rPr>
        <w:t>3.6.1投标文件应按第六章“投标文件格式”进行编写，如有必要，可以增加附页，作为投标文件的组成部分。在满足招标文件实质性要求的基础上，可以提出比招标文件要求更有利于采购人的承诺。</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3.6.2 投标文件应当对招标文件有关供货（服务）期、投标有效期、质量要求、技术标准和要求、招标范围等实质性内容作出响应。</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3.6.3 投标文件份数详见投标人须知前附表。</w:t>
      </w:r>
    </w:p>
    <w:p>
      <w:pPr>
        <w:pStyle w:val="4"/>
        <w:rPr>
          <w:rFonts w:ascii="宋体" w:hAnsi="宋体" w:eastAsia="宋体" w:cs="宋体"/>
          <w:color w:val="auto"/>
          <w:highlight w:val="none"/>
        </w:rPr>
      </w:pPr>
      <w:bookmarkStart w:id="231" w:name="_Toc346523405"/>
      <w:bookmarkStart w:id="232" w:name="_Toc338840445"/>
      <w:bookmarkStart w:id="233" w:name="_Toc338840484"/>
      <w:bookmarkStart w:id="234" w:name="_Toc27590"/>
      <w:bookmarkStart w:id="235" w:name="_Toc338840210"/>
      <w:r>
        <w:rPr>
          <w:rFonts w:hint="eastAsia" w:ascii="宋体" w:hAnsi="宋体" w:eastAsia="宋体" w:cs="宋体"/>
          <w:color w:val="auto"/>
          <w:highlight w:val="none"/>
        </w:rPr>
        <w:t>4. 投标</w:t>
      </w:r>
      <w:bookmarkEnd w:id="224"/>
      <w:bookmarkEnd w:id="225"/>
      <w:bookmarkEnd w:id="226"/>
      <w:bookmarkEnd w:id="227"/>
      <w:bookmarkEnd w:id="228"/>
      <w:bookmarkEnd w:id="229"/>
      <w:bookmarkEnd w:id="230"/>
      <w:bookmarkEnd w:id="231"/>
      <w:bookmarkEnd w:id="232"/>
      <w:bookmarkEnd w:id="233"/>
      <w:bookmarkEnd w:id="234"/>
      <w:bookmarkEnd w:id="235"/>
    </w:p>
    <w:p>
      <w:pPr>
        <w:pStyle w:val="5"/>
        <w:rPr>
          <w:rFonts w:ascii="宋体" w:hAnsi="宋体" w:cs="宋体"/>
          <w:color w:val="auto"/>
          <w:highlight w:val="none"/>
        </w:rPr>
      </w:pPr>
      <w:bookmarkStart w:id="236" w:name="_Toc144974524"/>
      <w:bookmarkStart w:id="237" w:name="_Toc152045556"/>
      <w:bookmarkStart w:id="238" w:name="_Toc247085714"/>
      <w:bookmarkStart w:id="239" w:name="_Toc246996200"/>
      <w:bookmarkStart w:id="240" w:name="_Toc179632574"/>
      <w:bookmarkStart w:id="241" w:name="_Toc152042332"/>
      <w:bookmarkStart w:id="242" w:name="_Toc338840211"/>
      <w:bookmarkStart w:id="243" w:name="_Toc246996943"/>
      <w:r>
        <w:rPr>
          <w:rFonts w:hint="eastAsia" w:ascii="宋体" w:hAnsi="宋体" w:cs="宋体"/>
          <w:color w:val="auto"/>
          <w:highlight w:val="none"/>
        </w:rPr>
        <w:t>4.1 投标文件的密封和标记</w:t>
      </w:r>
      <w:bookmarkEnd w:id="236"/>
      <w:bookmarkEnd w:id="237"/>
      <w:bookmarkEnd w:id="238"/>
      <w:bookmarkEnd w:id="239"/>
      <w:bookmarkEnd w:id="240"/>
      <w:bookmarkEnd w:id="241"/>
      <w:bookmarkEnd w:id="242"/>
      <w:bookmarkEnd w:id="243"/>
    </w:p>
    <w:p>
      <w:pPr>
        <w:spacing w:line="400" w:lineRule="exact"/>
        <w:ind w:firstLine="420" w:firstLineChars="200"/>
        <w:rPr>
          <w:rFonts w:ascii="宋体" w:hAnsi="宋体" w:cs="宋体"/>
          <w:color w:val="auto"/>
          <w:highlight w:val="none"/>
        </w:rPr>
      </w:pPr>
      <w:bookmarkStart w:id="244" w:name="_Toc179632575"/>
      <w:bookmarkStart w:id="245" w:name="_Toc338840212"/>
      <w:bookmarkStart w:id="246" w:name="_Toc152042333"/>
      <w:bookmarkStart w:id="247" w:name="_Toc246996201"/>
      <w:bookmarkStart w:id="248" w:name="_Toc152045557"/>
      <w:bookmarkStart w:id="249" w:name="_Toc246996944"/>
      <w:bookmarkStart w:id="250" w:name="_Toc144974525"/>
      <w:bookmarkStart w:id="251" w:name="_Toc247085715"/>
      <w:r>
        <w:rPr>
          <w:rFonts w:hint="eastAsia" w:ascii="宋体" w:hAnsi="宋体" w:cs="宋体"/>
          <w:color w:val="auto"/>
          <w:highlight w:val="none"/>
        </w:rPr>
        <w:t xml:space="preserve">本项目不适用 </w:t>
      </w:r>
    </w:p>
    <w:p>
      <w:pPr>
        <w:pStyle w:val="5"/>
        <w:rPr>
          <w:rFonts w:ascii="宋体" w:hAnsi="宋体" w:cs="宋体"/>
          <w:color w:val="auto"/>
          <w:highlight w:val="none"/>
        </w:rPr>
      </w:pPr>
      <w:r>
        <w:rPr>
          <w:rFonts w:hint="eastAsia" w:ascii="宋体" w:hAnsi="宋体" w:cs="宋体"/>
          <w:color w:val="auto"/>
          <w:highlight w:val="none"/>
        </w:rPr>
        <w:t>4.2 投标文件的递交</w:t>
      </w:r>
      <w:bookmarkEnd w:id="244"/>
      <w:bookmarkEnd w:id="245"/>
      <w:bookmarkEnd w:id="246"/>
      <w:bookmarkEnd w:id="247"/>
      <w:bookmarkEnd w:id="248"/>
      <w:bookmarkEnd w:id="249"/>
      <w:bookmarkEnd w:id="250"/>
      <w:bookmarkEnd w:id="251"/>
    </w:p>
    <w:p>
      <w:pPr>
        <w:spacing w:line="400" w:lineRule="exact"/>
        <w:ind w:firstLine="420" w:firstLineChars="200"/>
        <w:rPr>
          <w:color w:val="auto"/>
          <w:highlight w:val="none"/>
        </w:rPr>
      </w:pPr>
      <w:bookmarkStart w:id="252" w:name="_Toc179632576"/>
      <w:bookmarkStart w:id="253" w:name="_Toc144974526"/>
      <w:bookmarkStart w:id="254" w:name="_Toc247085716"/>
      <w:bookmarkStart w:id="255" w:name="_Toc338840213"/>
      <w:bookmarkStart w:id="256" w:name="_Toc152042334"/>
      <w:bookmarkStart w:id="257" w:name="_Toc246996945"/>
      <w:bookmarkStart w:id="258" w:name="_Toc152045558"/>
      <w:bookmarkStart w:id="259" w:name="_Toc246996202"/>
      <w:r>
        <w:rPr>
          <w:rFonts w:hint="eastAsia"/>
          <w:color w:val="auto"/>
          <w:highlight w:val="none"/>
        </w:rPr>
        <w:t>4.2.1 供应商应在本章第2.2.2项规定的投标截止时间前递交电子投标文件。</w:t>
      </w:r>
    </w:p>
    <w:p>
      <w:pPr>
        <w:spacing w:line="400" w:lineRule="exact"/>
        <w:ind w:firstLine="420" w:firstLineChars="200"/>
        <w:rPr>
          <w:color w:val="auto"/>
          <w:highlight w:val="none"/>
        </w:rPr>
      </w:pPr>
      <w:r>
        <w:rPr>
          <w:rFonts w:hint="eastAsia"/>
          <w:color w:val="auto"/>
          <w:highlight w:val="none"/>
        </w:rPr>
        <w:t>4.2.2 供应商递交投标文件的地点：见供应商须知前附表。</w:t>
      </w:r>
    </w:p>
    <w:p>
      <w:pPr>
        <w:spacing w:line="400" w:lineRule="exact"/>
        <w:ind w:firstLine="420" w:firstLineChars="200"/>
        <w:rPr>
          <w:color w:val="auto"/>
          <w:highlight w:val="none"/>
        </w:rPr>
      </w:pPr>
      <w:r>
        <w:rPr>
          <w:rFonts w:hint="eastAsia"/>
          <w:color w:val="auto"/>
          <w:highlight w:val="none"/>
        </w:rPr>
        <w:t>4.2.3 除供应商须知前附表另有规定外，供应商所递交的投标文件不予退还。</w:t>
      </w:r>
    </w:p>
    <w:p>
      <w:pPr>
        <w:spacing w:line="400" w:lineRule="exact"/>
        <w:ind w:firstLine="420" w:firstLineChars="200"/>
        <w:rPr>
          <w:color w:val="auto"/>
          <w:highlight w:val="none"/>
        </w:rPr>
      </w:pPr>
      <w:r>
        <w:rPr>
          <w:rFonts w:hint="eastAsia"/>
          <w:color w:val="auto"/>
          <w:highlight w:val="none"/>
        </w:rPr>
        <w:t>4.2.4 逾期未提交的电子投标文件，采购人不予受理。</w:t>
      </w:r>
    </w:p>
    <w:p>
      <w:pPr>
        <w:pStyle w:val="5"/>
        <w:rPr>
          <w:rFonts w:ascii="宋体" w:hAnsi="宋体" w:cs="宋体"/>
          <w:color w:val="auto"/>
          <w:highlight w:val="none"/>
        </w:rPr>
      </w:pPr>
      <w:r>
        <w:rPr>
          <w:rFonts w:hint="eastAsia" w:ascii="宋体" w:hAnsi="宋体" w:cs="宋体"/>
          <w:color w:val="auto"/>
          <w:highlight w:val="none"/>
        </w:rPr>
        <w:t>4.3 投标文件的修改与撤回</w:t>
      </w:r>
      <w:bookmarkEnd w:id="252"/>
      <w:bookmarkEnd w:id="253"/>
      <w:bookmarkEnd w:id="254"/>
      <w:bookmarkEnd w:id="255"/>
      <w:bookmarkEnd w:id="256"/>
      <w:bookmarkEnd w:id="257"/>
      <w:bookmarkEnd w:id="258"/>
      <w:bookmarkEnd w:id="259"/>
    </w:p>
    <w:p>
      <w:pPr>
        <w:spacing w:line="400" w:lineRule="exact"/>
        <w:ind w:firstLine="420" w:firstLineChars="200"/>
        <w:rPr>
          <w:color w:val="auto"/>
          <w:highlight w:val="none"/>
        </w:rPr>
      </w:pPr>
      <w:bookmarkStart w:id="260" w:name="_Toc338840214"/>
      <w:bookmarkStart w:id="261" w:name="_Toc179632577"/>
      <w:bookmarkStart w:id="262" w:name="_Toc144974527"/>
      <w:bookmarkStart w:id="263" w:name="_Toc346523406"/>
      <w:bookmarkStart w:id="264" w:name="_Toc246996203"/>
      <w:bookmarkStart w:id="265" w:name="_Toc246996946"/>
      <w:bookmarkStart w:id="266" w:name="_Toc152045559"/>
      <w:bookmarkStart w:id="267" w:name="_Toc338840446"/>
      <w:bookmarkStart w:id="268" w:name="_Toc247085717"/>
      <w:bookmarkStart w:id="269" w:name="_Toc338840485"/>
      <w:bookmarkStart w:id="270" w:name="_Toc152042335"/>
      <w:r>
        <w:rPr>
          <w:rFonts w:hint="eastAsia"/>
          <w:color w:val="auto"/>
          <w:highlight w:val="none"/>
        </w:rPr>
        <w:t>4.3.1 在本章规定的投标截止时间前，供应商可以修改或撤回已递交的投标文件。</w:t>
      </w:r>
    </w:p>
    <w:p>
      <w:pPr>
        <w:pStyle w:val="4"/>
        <w:rPr>
          <w:rFonts w:ascii="宋体" w:hAnsi="宋体" w:eastAsia="宋体" w:cs="宋体"/>
          <w:color w:val="auto"/>
          <w:highlight w:val="none"/>
        </w:rPr>
      </w:pPr>
      <w:bookmarkStart w:id="271" w:name="_Toc6524"/>
      <w:r>
        <w:rPr>
          <w:rFonts w:hint="eastAsia" w:ascii="宋体" w:hAnsi="宋体" w:eastAsia="宋体" w:cs="宋体"/>
          <w:color w:val="auto"/>
          <w:highlight w:val="none"/>
        </w:rPr>
        <w:t>5. 开标</w:t>
      </w:r>
      <w:bookmarkEnd w:id="260"/>
      <w:bookmarkEnd w:id="261"/>
      <w:bookmarkEnd w:id="262"/>
      <w:bookmarkEnd w:id="263"/>
      <w:bookmarkEnd w:id="264"/>
      <w:bookmarkEnd w:id="265"/>
      <w:bookmarkEnd w:id="266"/>
      <w:bookmarkEnd w:id="267"/>
      <w:bookmarkEnd w:id="268"/>
      <w:bookmarkEnd w:id="269"/>
      <w:bookmarkEnd w:id="270"/>
      <w:bookmarkEnd w:id="271"/>
    </w:p>
    <w:p>
      <w:pPr>
        <w:pStyle w:val="5"/>
        <w:rPr>
          <w:rFonts w:ascii="宋体" w:hAnsi="宋体" w:cs="宋体"/>
          <w:color w:val="auto"/>
          <w:highlight w:val="none"/>
        </w:rPr>
      </w:pPr>
      <w:bookmarkStart w:id="272" w:name="_Toc246996947"/>
      <w:bookmarkStart w:id="273" w:name="_Toc152045560"/>
      <w:bookmarkStart w:id="274" w:name="_Toc246996204"/>
      <w:bookmarkStart w:id="275" w:name="_Toc338840215"/>
      <w:bookmarkStart w:id="276" w:name="_Toc179632578"/>
      <w:bookmarkStart w:id="277" w:name="_Toc144974528"/>
      <w:bookmarkStart w:id="278" w:name="_Toc152042336"/>
      <w:bookmarkStart w:id="279" w:name="_Toc247085718"/>
      <w:r>
        <w:rPr>
          <w:rFonts w:hint="eastAsia" w:ascii="宋体" w:hAnsi="宋体" w:cs="宋体"/>
          <w:color w:val="auto"/>
          <w:highlight w:val="none"/>
        </w:rPr>
        <w:t>5.1 开标时间和地点</w:t>
      </w:r>
      <w:bookmarkEnd w:id="272"/>
      <w:bookmarkEnd w:id="273"/>
      <w:bookmarkEnd w:id="274"/>
      <w:bookmarkEnd w:id="275"/>
      <w:bookmarkEnd w:id="276"/>
      <w:bookmarkEnd w:id="277"/>
      <w:bookmarkEnd w:id="278"/>
      <w:bookmarkEnd w:id="279"/>
    </w:p>
    <w:p>
      <w:pPr>
        <w:spacing w:line="400" w:lineRule="exact"/>
        <w:ind w:firstLine="420" w:firstLineChars="200"/>
        <w:rPr>
          <w:color w:val="auto"/>
          <w:highlight w:val="none"/>
        </w:rPr>
      </w:pPr>
      <w:bookmarkStart w:id="280" w:name="_Toc144974529"/>
      <w:bookmarkStart w:id="281" w:name="_Toc247085719"/>
      <w:bookmarkStart w:id="282" w:name="_Toc246996948"/>
      <w:bookmarkStart w:id="283" w:name="_Toc338840216"/>
      <w:bookmarkStart w:id="284" w:name="_Toc179632579"/>
      <w:bookmarkStart w:id="285" w:name="_Toc246996205"/>
      <w:bookmarkStart w:id="286" w:name="_Toc152042337"/>
      <w:bookmarkStart w:id="287" w:name="_Toc152045561"/>
      <w:r>
        <w:rPr>
          <w:rFonts w:hint="eastAsia"/>
          <w:color w:val="auto"/>
          <w:highlight w:val="none"/>
        </w:rPr>
        <w:t>（1）采购人在本章规定的投标截止时间（开标时间）和供应商须知前附表规定的时间公开开标。</w:t>
      </w:r>
    </w:p>
    <w:p>
      <w:pPr>
        <w:spacing w:line="400" w:lineRule="exact"/>
        <w:ind w:firstLine="420" w:firstLineChars="200"/>
        <w:rPr>
          <w:color w:val="auto"/>
          <w:highlight w:val="none"/>
        </w:rPr>
      </w:pPr>
      <w:r>
        <w:rPr>
          <w:rFonts w:hint="eastAsia"/>
          <w:color w:val="auto"/>
          <w:highlight w:val="none"/>
        </w:rPr>
        <w:t>（2）本项目实行不见面开评标，投标人不需要再到现场（需要现场演示或样品展示的除外）关于实行全过程不见面交易的通知详见睢县公共资源交易中心网站。</w:t>
      </w:r>
    </w:p>
    <w:p>
      <w:pPr>
        <w:spacing w:line="400" w:lineRule="exact"/>
        <w:ind w:firstLine="420" w:firstLineChars="200"/>
        <w:rPr>
          <w:color w:val="auto"/>
          <w:highlight w:val="none"/>
        </w:rPr>
      </w:pPr>
      <w:r>
        <w:rPr>
          <w:rFonts w:hint="eastAsia"/>
          <w:color w:val="auto"/>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p>
      <w:pPr>
        <w:pStyle w:val="5"/>
        <w:rPr>
          <w:rFonts w:ascii="宋体" w:hAnsi="宋体" w:cs="宋体"/>
          <w:color w:val="auto"/>
          <w:highlight w:val="none"/>
        </w:rPr>
      </w:pPr>
      <w:r>
        <w:rPr>
          <w:rFonts w:hint="eastAsia" w:ascii="宋体" w:hAnsi="宋体" w:cs="宋体"/>
          <w:color w:val="auto"/>
          <w:highlight w:val="none"/>
        </w:rPr>
        <w:t>5.2 开标程序</w:t>
      </w:r>
      <w:bookmarkEnd w:id="280"/>
      <w:bookmarkEnd w:id="281"/>
      <w:bookmarkEnd w:id="282"/>
      <w:bookmarkEnd w:id="283"/>
      <w:bookmarkEnd w:id="284"/>
      <w:bookmarkEnd w:id="285"/>
      <w:bookmarkEnd w:id="286"/>
      <w:bookmarkEnd w:id="287"/>
    </w:p>
    <w:p>
      <w:pPr>
        <w:spacing w:line="400" w:lineRule="exact"/>
        <w:ind w:firstLine="420" w:firstLineChars="200"/>
        <w:rPr>
          <w:color w:val="auto"/>
          <w:highlight w:val="none"/>
        </w:rPr>
      </w:pPr>
      <w:bookmarkStart w:id="288" w:name="_Toc338840217"/>
      <w:r>
        <w:rPr>
          <w:rFonts w:hint="eastAsia"/>
          <w:color w:val="auto"/>
          <w:highlight w:val="none"/>
        </w:rPr>
        <w:t>（1）采购人在本章规定的投标截止时间（开标时间）和供应商须知前附表规定的时间公开开标。</w:t>
      </w:r>
    </w:p>
    <w:p>
      <w:pPr>
        <w:spacing w:line="400" w:lineRule="exact"/>
        <w:ind w:firstLine="420" w:firstLineChars="200"/>
        <w:rPr>
          <w:color w:val="auto"/>
          <w:highlight w:val="none"/>
        </w:rPr>
      </w:pPr>
      <w:r>
        <w:rPr>
          <w:rFonts w:hint="eastAsia"/>
          <w:color w:val="auto"/>
          <w:highlight w:val="none"/>
        </w:rPr>
        <w:t>（2）本项目实行不见面开评标，投标人不需要再到现场（需要现场演示或样品展示的除外）关于实行全过程不见面交易的通知详见睢县公共资源交易中心网站。</w:t>
      </w:r>
    </w:p>
    <w:p>
      <w:pPr>
        <w:spacing w:line="400" w:lineRule="exact"/>
        <w:ind w:firstLine="420" w:firstLineChars="200"/>
        <w:rPr>
          <w:color w:val="auto"/>
          <w:highlight w:val="none"/>
        </w:rPr>
      </w:pPr>
      <w:r>
        <w:rPr>
          <w:rFonts w:hint="eastAsia"/>
          <w:color w:val="auto"/>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p>
      <w:pPr>
        <w:pStyle w:val="5"/>
        <w:rPr>
          <w:rFonts w:ascii="宋体" w:hAnsi="宋体" w:cs="宋体"/>
          <w:color w:val="auto"/>
          <w:highlight w:val="none"/>
        </w:rPr>
      </w:pPr>
      <w:r>
        <w:rPr>
          <w:rFonts w:hint="eastAsia" w:ascii="宋体" w:hAnsi="宋体" w:cs="宋体"/>
          <w:color w:val="auto"/>
          <w:highlight w:val="none"/>
        </w:rPr>
        <w:t>5.3 开标异议</w:t>
      </w:r>
      <w:bookmarkEnd w:id="288"/>
    </w:p>
    <w:p>
      <w:pPr>
        <w:spacing w:line="400" w:lineRule="exact"/>
        <w:ind w:firstLine="359" w:firstLineChars="171"/>
        <w:rPr>
          <w:color w:val="auto"/>
          <w:highlight w:val="none"/>
        </w:rPr>
      </w:pPr>
      <w:bookmarkStart w:id="289" w:name="_Toc152042338"/>
      <w:bookmarkStart w:id="290" w:name="_Toc247085720"/>
      <w:bookmarkStart w:id="291" w:name="_Toc338840218"/>
      <w:bookmarkStart w:id="292" w:name="_Toc338840486"/>
      <w:bookmarkStart w:id="293" w:name="_Toc144974530"/>
      <w:bookmarkStart w:id="294" w:name="_Toc179632580"/>
      <w:bookmarkStart w:id="295" w:name="_Toc152045562"/>
      <w:bookmarkStart w:id="296" w:name="_Toc338840447"/>
      <w:bookmarkStart w:id="297" w:name="_Toc246996949"/>
      <w:bookmarkStart w:id="298" w:name="_Toc346523407"/>
      <w:bookmarkStart w:id="299" w:name="_Toc246996206"/>
      <w:r>
        <w:rPr>
          <w:rFonts w:hint="eastAsia"/>
          <w:color w:val="auto"/>
          <w:highlight w:val="none"/>
        </w:rPr>
        <w:t>详见投标人须知前附表。</w:t>
      </w:r>
    </w:p>
    <w:p>
      <w:pPr>
        <w:pStyle w:val="4"/>
        <w:rPr>
          <w:rFonts w:ascii="宋体" w:hAnsi="宋体" w:eastAsia="宋体" w:cs="宋体"/>
          <w:color w:val="auto"/>
          <w:highlight w:val="none"/>
        </w:rPr>
      </w:pPr>
      <w:bookmarkStart w:id="300" w:name="_Toc216"/>
      <w:r>
        <w:rPr>
          <w:rFonts w:hint="eastAsia" w:ascii="宋体" w:hAnsi="宋体" w:eastAsia="宋体" w:cs="宋体"/>
          <w:color w:val="auto"/>
          <w:highlight w:val="none"/>
        </w:rPr>
        <w:t>6. 评标</w:t>
      </w:r>
      <w:bookmarkEnd w:id="289"/>
      <w:bookmarkEnd w:id="290"/>
      <w:bookmarkEnd w:id="291"/>
      <w:bookmarkEnd w:id="292"/>
      <w:bookmarkEnd w:id="293"/>
      <w:bookmarkEnd w:id="294"/>
      <w:bookmarkEnd w:id="295"/>
      <w:bookmarkEnd w:id="296"/>
      <w:bookmarkEnd w:id="297"/>
      <w:bookmarkEnd w:id="298"/>
      <w:bookmarkEnd w:id="299"/>
      <w:bookmarkEnd w:id="300"/>
    </w:p>
    <w:p>
      <w:pPr>
        <w:pStyle w:val="5"/>
        <w:rPr>
          <w:rFonts w:ascii="宋体" w:hAnsi="宋体" w:cs="宋体"/>
          <w:color w:val="auto"/>
          <w:highlight w:val="none"/>
        </w:rPr>
      </w:pPr>
      <w:bookmarkStart w:id="301" w:name="_Toc246996207"/>
      <w:bookmarkStart w:id="302" w:name="_Toc179632581"/>
      <w:bookmarkStart w:id="303" w:name="_Toc247085721"/>
      <w:bookmarkStart w:id="304" w:name="_Toc152042339"/>
      <w:bookmarkStart w:id="305" w:name="_Toc338840219"/>
      <w:bookmarkStart w:id="306" w:name="_Toc152045563"/>
      <w:bookmarkStart w:id="307" w:name="_Toc246996950"/>
      <w:bookmarkStart w:id="308" w:name="_Toc144974531"/>
      <w:r>
        <w:rPr>
          <w:rFonts w:hint="eastAsia" w:ascii="宋体" w:hAnsi="宋体" w:cs="宋体"/>
          <w:color w:val="auto"/>
          <w:highlight w:val="none"/>
        </w:rPr>
        <w:t>6.1 评标委员会</w:t>
      </w:r>
      <w:bookmarkEnd w:id="301"/>
      <w:bookmarkEnd w:id="302"/>
      <w:bookmarkEnd w:id="303"/>
      <w:bookmarkEnd w:id="304"/>
      <w:bookmarkEnd w:id="305"/>
      <w:bookmarkEnd w:id="306"/>
      <w:bookmarkEnd w:id="307"/>
      <w:bookmarkEnd w:id="30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6.1.1 评标由采购人依法组建的评标委员会负责。评标委员会由有关技术、经济等方面的专家组成。评标委员会成员人数以及技术、经济等方面专家的确定方式见供应商须知前附表。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（1）供应商或供应商主要负责人的近亲属；</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（2）与供应商有经济利益关系；</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（3）与供应商有其他利害关系。</w:t>
      </w:r>
    </w:p>
    <w:p>
      <w:pPr>
        <w:pStyle w:val="5"/>
        <w:rPr>
          <w:rFonts w:ascii="宋体" w:hAnsi="宋体" w:cs="宋体"/>
          <w:color w:val="auto"/>
          <w:highlight w:val="none"/>
        </w:rPr>
      </w:pPr>
      <w:bookmarkStart w:id="309" w:name="_Toc152042340"/>
      <w:bookmarkStart w:id="310" w:name="_Toc152045564"/>
      <w:bookmarkStart w:id="311" w:name="_Toc144974532"/>
      <w:bookmarkStart w:id="312" w:name="_Toc246996208"/>
      <w:bookmarkStart w:id="313" w:name="_Toc247085722"/>
      <w:bookmarkStart w:id="314" w:name="_Toc338840220"/>
      <w:bookmarkStart w:id="315" w:name="_Toc246996951"/>
      <w:bookmarkStart w:id="316" w:name="_Toc179632582"/>
      <w:r>
        <w:rPr>
          <w:rFonts w:hint="eastAsia" w:ascii="宋体" w:hAnsi="宋体" w:cs="宋体"/>
          <w:color w:val="auto"/>
          <w:highlight w:val="none"/>
        </w:rPr>
        <w:t>6.2 评标原则</w:t>
      </w:r>
      <w:bookmarkEnd w:id="309"/>
      <w:bookmarkEnd w:id="310"/>
      <w:bookmarkEnd w:id="311"/>
      <w:bookmarkEnd w:id="312"/>
      <w:bookmarkEnd w:id="313"/>
      <w:bookmarkEnd w:id="314"/>
      <w:bookmarkEnd w:id="315"/>
      <w:bookmarkEnd w:id="31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5"/>
        <w:rPr>
          <w:rFonts w:ascii="宋体" w:hAnsi="宋体" w:cs="宋体"/>
          <w:color w:val="auto"/>
          <w:highlight w:val="none"/>
        </w:rPr>
      </w:pPr>
      <w:bookmarkStart w:id="317" w:name="_Toc152042341"/>
      <w:bookmarkStart w:id="318" w:name="_Toc152045565"/>
      <w:bookmarkStart w:id="319" w:name="_Toc338840221"/>
      <w:bookmarkStart w:id="320" w:name="_Toc247085723"/>
      <w:bookmarkStart w:id="321" w:name="_Toc246996209"/>
      <w:bookmarkStart w:id="322" w:name="_Toc179632583"/>
      <w:bookmarkStart w:id="323" w:name="_Toc144974533"/>
      <w:bookmarkStart w:id="324" w:name="_Toc246996952"/>
      <w:r>
        <w:rPr>
          <w:rFonts w:hint="eastAsia" w:ascii="宋体" w:hAnsi="宋体" w:cs="宋体"/>
          <w:color w:val="auto"/>
          <w:highlight w:val="none"/>
        </w:rPr>
        <w:t>6.3 评标</w:t>
      </w:r>
      <w:bookmarkEnd w:id="317"/>
      <w:bookmarkEnd w:id="318"/>
      <w:bookmarkEnd w:id="319"/>
      <w:bookmarkEnd w:id="320"/>
      <w:bookmarkEnd w:id="321"/>
      <w:bookmarkEnd w:id="322"/>
      <w:bookmarkEnd w:id="323"/>
      <w:bookmarkEnd w:id="32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评标委员会按照第三章“评标办法”规定的方法、评审因素、标准和程序对投标文件进行评审。第三章“评标办法”没有规定的方法、评审因素和标准，不作为评标依据。</w:t>
      </w:r>
    </w:p>
    <w:p>
      <w:pPr>
        <w:pStyle w:val="4"/>
        <w:rPr>
          <w:rFonts w:ascii="宋体" w:hAnsi="宋体" w:eastAsia="宋体" w:cs="宋体"/>
          <w:color w:val="auto"/>
          <w:highlight w:val="none"/>
        </w:rPr>
      </w:pPr>
      <w:bookmarkStart w:id="325" w:name="_Toc338840222"/>
      <w:bookmarkStart w:id="326" w:name="_Toc179632584"/>
      <w:bookmarkStart w:id="327" w:name="_Toc4280"/>
      <w:bookmarkStart w:id="328" w:name="_Toc246996210"/>
      <w:bookmarkStart w:id="329" w:name="_Toc338840487"/>
      <w:bookmarkStart w:id="330" w:name="_Toc144974534"/>
      <w:bookmarkStart w:id="331" w:name="_Toc247085724"/>
      <w:bookmarkStart w:id="332" w:name="_Toc346523408"/>
      <w:bookmarkStart w:id="333" w:name="_Toc152042342"/>
      <w:bookmarkStart w:id="334" w:name="_Toc152045566"/>
      <w:bookmarkStart w:id="335" w:name="_Toc338840448"/>
      <w:bookmarkStart w:id="336" w:name="_Toc246996953"/>
      <w:r>
        <w:rPr>
          <w:rFonts w:hint="eastAsia" w:ascii="宋体" w:hAnsi="宋体" w:eastAsia="宋体" w:cs="宋体"/>
          <w:color w:val="auto"/>
          <w:highlight w:val="none"/>
        </w:rPr>
        <w:t>7. 合同授予</w:t>
      </w:r>
      <w:bookmarkEnd w:id="325"/>
      <w:bookmarkEnd w:id="326"/>
      <w:bookmarkEnd w:id="327"/>
      <w:bookmarkEnd w:id="328"/>
      <w:bookmarkEnd w:id="329"/>
      <w:bookmarkEnd w:id="330"/>
      <w:bookmarkEnd w:id="331"/>
      <w:bookmarkEnd w:id="332"/>
      <w:bookmarkEnd w:id="333"/>
      <w:bookmarkEnd w:id="334"/>
      <w:bookmarkEnd w:id="335"/>
      <w:bookmarkEnd w:id="336"/>
    </w:p>
    <w:p>
      <w:pPr>
        <w:pStyle w:val="5"/>
        <w:rPr>
          <w:rFonts w:ascii="宋体" w:hAnsi="宋体" w:cs="宋体"/>
          <w:color w:val="auto"/>
          <w:highlight w:val="none"/>
        </w:rPr>
      </w:pPr>
      <w:bookmarkStart w:id="337" w:name="_Toc338840223"/>
      <w:bookmarkStart w:id="338" w:name="_Toc246996211"/>
      <w:bookmarkStart w:id="339" w:name="_Toc247085725"/>
      <w:bookmarkStart w:id="340" w:name="_Toc152042343"/>
      <w:bookmarkStart w:id="341" w:name="_Toc179632585"/>
      <w:bookmarkStart w:id="342" w:name="_Toc246996954"/>
      <w:bookmarkStart w:id="343" w:name="_Toc144974535"/>
      <w:bookmarkStart w:id="344" w:name="_Toc152045567"/>
      <w:r>
        <w:rPr>
          <w:rFonts w:hint="eastAsia" w:ascii="宋体" w:hAnsi="宋体" w:cs="宋体"/>
          <w:color w:val="auto"/>
          <w:highlight w:val="none"/>
        </w:rPr>
        <w:t>7.1 定标方式</w:t>
      </w:r>
      <w:bookmarkEnd w:id="337"/>
      <w:bookmarkEnd w:id="338"/>
      <w:bookmarkEnd w:id="339"/>
      <w:bookmarkEnd w:id="340"/>
      <w:bookmarkEnd w:id="341"/>
      <w:bookmarkEnd w:id="342"/>
      <w:bookmarkEnd w:id="343"/>
      <w:bookmarkEnd w:id="34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除供应商须知前附表规定评标委员会直接确定中标人外，采购人依据评标委员会推荐的中标候选人按排序确定中标人，评标委员会推荐中标候选人的人数见供应商须知前附表。</w:t>
      </w:r>
    </w:p>
    <w:p>
      <w:pPr>
        <w:pStyle w:val="5"/>
        <w:rPr>
          <w:rFonts w:ascii="宋体" w:hAnsi="宋体" w:cs="宋体"/>
          <w:color w:val="auto"/>
          <w:highlight w:val="none"/>
        </w:rPr>
      </w:pPr>
      <w:bookmarkStart w:id="345" w:name="_Toc338840224"/>
      <w:r>
        <w:rPr>
          <w:rFonts w:hint="eastAsia" w:ascii="宋体" w:hAnsi="宋体" w:cs="宋体"/>
          <w:color w:val="auto"/>
          <w:highlight w:val="none"/>
        </w:rPr>
        <w:t>7.2 中标人公布</w:t>
      </w:r>
      <w:bookmarkEnd w:id="34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采购人在供应商须知前附表规定的媒介公布中标人。</w:t>
      </w:r>
    </w:p>
    <w:p>
      <w:pPr>
        <w:pStyle w:val="5"/>
        <w:rPr>
          <w:rFonts w:ascii="宋体" w:hAnsi="宋体" w:cs="宋体"/>
          <w:color w:val="auto"/>
          <w:highlight w:val="none"/>
        </w:rPr>
      </w:pPr>
      <w:bookmarkStart w:id="346" w:name="_Toc246996212"/>
      <w:bookmarkStart w:id="347" w:name="_Toc152042344"/>
      <w:bookmarkStart w:id="348" w:name="_Toc152045568"/>
      <w:bookmarkStart w:id="349" w:name="_Toc144974536"/>
      <w:bookmarkStart w:id="350" w:name="_Toc246996955"/>
      <w:bookmarkStart w:id="351" w:name="_Toc338840225"/>
      <w:bookmarkStart w:id="352" w:name="_Toc179632586"/>
      <w:bookmarkStart w:id="353" w:name="_Toc247085726"/>
      <w:r>
        <w:rPr>
          <w:rFonts w:hint="eastAsia" w:ascii="宋体" w:hAnsi="宋体" w:cs="宋体"/>
          <w:color w:val="auto"/>
          <w:highlight w:val="none"/>
        </w:rPr>
        <w:t>7.3 中标通知</w:t>
      </w:r>
      <w:bookmarkEnd w:id="346"/>
      <w:bookmarkEnd w:id="347"/>
      <w:bookmarkEnd w:id="348"/>
      <w:bookmarkEnd w:id="349"/>
      <w:bookmarkEnd w:id="350"/>
      <w:bookmarkEnd w:id="351"/>
      <w:bookmarkEnd w:id="352"/>
      <w:bookmarkEnd w:id="35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在本章第3.3款规定的投标有效期内，采购人以书面形式向中标人发出中标通知书，同时将中标结果通知未中标的供应商。</w:t>
      </w:r>
    </w:p>
    <w:p>
      <w:pPr>
        <w:pStyle w:val="5"/>
        <w:rPr>
          <w:rFonts w:ascii="宋体" w:hAnsi="宋体" w:cs="宋体"/>
          <w:color w:val="auto"/>
          <w:highlight w:val="none"/>
        </w:rPr>
      </w:pPr>
      <w:bookmarkStart w:id="354" w:name="_Toc247085728"/>
      <w:bookmarkStart w:id="355" w:name="_Toc179632588"/>
      <w:bookmarkStart w:id="356" w:name="_Toc246996957"/>
      <w:bookmarkStart w:id="357" w:name="_Toc152042346"/>
      <w:bookmarkStart w:id="358" w:name="_Toc246996214"/>
      <w:bookmarkStart w:id="359" w:name="_Toc144974538"/>
      <w:bookmarkStart w:id="360" w:name="_Toc338840227"/>
      <w:bookmarkStart w:id="361" w:name="_Toc152045570"/>
      <w:r>
        <w:rPr>
          <w:rFonts w:hint="eastAsia" w:ascii="宋体" w:hAnsi="宋体" w:cs="宋体"/>
          <w:color w:val="auto"/>
          <w:highlight w:val="none"/>
        </w:rPr>
        <w:t>7.4 签订合同</w:t>
      </w:r>
      <w:bookmarkEnd w:id="354"/>
      <w:bookmarkEnd w:id="355"/>
      <w:bookmarkEnd w:id="356"/>
      <w:bookmarkEnd w:id="357"/>
      <w:bookmarkEnd w:id="358"/>
      <w:bookmarkEnd w:id="359"/>
      <w:bookmarkEnd w:id="360"/>
      <w:bookmarkEnd w:id="36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7.4.1采购人和中标人应当自中标通知书发出之日起7天内（供应商须知前附表另有规定者从其规定），根据招标文件和中标人的投标文件订立书面合同。中标人无正当理由拒签合同的，采购人取消其中标资格。</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7.4.2 发出中标通知书后，采购人无正当理由拒签合同的，给中标人造成损失的，还应当赔偿损失。</w:t>
      </w:r>
    </w:p>
    <w:p>
      <w:pPr>
        <w:pStyle w:val="4"/>
        <w:rPr>
          <w:rFonts w:ascii="宋体" w:hAnsi="宋体" w:eastAsia="宋体" w:cs="宋体"/>
          <w:color w:val="auto"/>
          <w:highlight w:val="none"/>
        </w:rPr>
      </w:pPr>
      <w:bookmarkStart w:id="362" w:name="_Toc338840228"/>
      <w:bookmarkStart w:id="363" w:name="_Toc346523409"/>
      <w:bookmarkStart w:id="364" w:name="_Toc338840449"/>
      <w:bookmarkStart w:id="365" w:name="_Toc338840488"/>
      <w:bookmarkStart w:id="366" w:name="_Toc2289"/>
      <w:r>
        <w:rPr>
          <w:rFonts w:hint="eastAsia" w:ascii="宋体" w:hAnsi="宋体" w:eastAsia="宋体" w:cs="宋体"/>
          <w:color w:val="auto"/>
          <w:highlight w:val="none"/>
        </w:rPr>
        <w:t>8. 纪律和监督</w:t>
      </w:r>
      <w:bookmarkEnd w:id="362"/>
      <w:bookmarkEnd w:id="363"/>
      <w:bookmarkEnd w:id="364"/>
      <w:bookmarkEnd w:id="365"/>
      <w:bookmarkEnd w:id="366"/>
    </w:p>
    <w:p>
      <w:pPr>
        <w:pStyle w:val="5"/>
        <w:rPr>
          <w:rFonts w:ascii="宋体" w:hAnsi="宋体" w:cs="宋体"/>
          <w:color w:val="auto"/>
          <w:highlight w:val="none"/>
        </w:rPr>
      </w:pPr>
      <w:bookmarkStart w:id="367" w:name="_Toc144974543"/>
      <w:bookmarkStart w:id="368" w:name="_Toc152042351"/>
      <w:bookmarkStart w:id="369" w:name="_Toc247085733"/>
      <w:bookmarkStart w:id="370" w:name="_Toc246996962"/>
      <w:bookmarkStart w:id="371" w:name="_Toc246996219"/>
      <w:bookmarkStart w:id="372" w:name="_Toc296590983"/>
      <w:bookmarkStart w:id="373" w:name="_Toc152045575"/>
      <w:bookmarkStart w:id="374" w:name="_Toc179632593"/>
      <w:bookmarkStart w:id="375" w:name="_Toc338840229"/>
      <w:r>
        <w:rPr>
          <w:rFonts w:hint="eastAsia" w:ascii="宋体" w:hAnsi="宋体" w:cs="宋体"/>
          <w:color w:val="auto"/>
          <w:highlight w:val="none"/>
        </w:rPr>
        <w:t>8.1 对采购人的纪律要求</w:t>
      </w:r>
      <w:bookmarkEnd w:id="367"/>
      <w:bookmarkEnd w:id="368"/>
      <w:bookmarkEnd w:id="369"/>
      <w:bookmarkEnd w:id="370"/>
      <w:bookmarkEnd w:id="371"/>
      <w:bookmarkEnd w:id="372"/>
      <w:bookmarkEnd w:id="373"/>
      <w:bookmarkEnd w:id="374"/>
      <w:bookmarkEnd w:id="37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采购人不得泄漏招标投标活动中应当保密的情况和资料，不得与供应商串通损害国家利益、社会公共利益或者他人合法权益。</w:t>
      </w:r>
    </w:p>
    <w:p>
      <w:pPr>
        <w:pStyle w:val="5"/>
        <w:rPr>
          <w:rFonts w:ascii="宋体" w:hAnsi="宋体" w:cs="宋体"/>
          <w:color w:val="auto"/>
          <w:highlight w:val="none"/>
        </w:rPr>
      </w:pPr>
      <w:bookmarkStart w:id="376" w:name="_Toc338840230"/>
      <w:bookmarkStart w:id="377" w:name="_Toc247085734"/>
      <w:bookmarkStart w:id="378" w:name="_Toc152042352"/>
      <w:bookmarkStart w:id="379" w:name="_Toc144974544"/>
      <w:bookmarkStart w:id="380" w:name="_Toc179632594"/>
      <w:bookmarkStart w:id="381" w:name="_Toc246996220"/>
      <w:bookmarkStart w:id="382" w:name="_Toc246996963"/>
      <w:bookmarkStart w:id="383" w:name="_Toc152045576"/>
      <w:r>
        <w:rPr>
          <w:rFonts w:hint="eastAsia" w:ascii="宋体" w:hAnsi="宋体" w:cs="宋体"/>
          <w:color w:val="auto"/>
          <w:highlight w:val="none"/>
        </w:rPr>
        <w:t>8.2 对供应商的纪律要求</w:t>
      </w:r>
      <w:bookmarkEnd w:id="376"/>
      <w:bookmarkEnd w:id="377"/>
      <w:bookmarkEnd w:id="378"/>
      <w:bookmarkEnd w:id="379"/>
      <w:bookmarkEnd w:id="380"/>
      <w:bookmarkEnd w:id="381"/>
      <w:bookmarkEnd w:id="382"/>
      <w:bookmarkEnd w:id="38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rPr>
          <w:rFonts w:ascii="宋体" w:hAnsi="宋体" w:cs="宋体"/>
          <w:color w:val="auto"/>
          <w:highlight w:val="none"/>
        </w:rPr>
      </w:pPr>
      <w:bookmarkStart w:id="384" w:name="_Toc144974545"/>
      <w:bookmarkStart w:id="385" w:name="_Toc246996964"/>
      <w:bookmarkStart w:id="386" w:name="_Toc179632595"/>
      <w:bookmarkStart w:id="387" w:name="_Toc152045577"/>
      <w:bookmarkStart w:id="388" w:name="_Toc246996221"/>
      <w:bookmarkStart w:id="389" w:name="_Toc338840231"/>
      <w:bookmarkStart w:id="390" w:name="_Toc247085735"/>
      <w:bookmarkStart w:id="391" w:name="_Toc152042353"/>
      <w:r>
        <w:rPr>
          <w:rFonts w:hint="eastAsia" w:ascii="宋体" w:hAnsi="宋体" w:cs="宋体"/>
          <w:color w:val="auto"/>
          <w:highlight w:val="none"/>
        </w:rPr>
        <w:t>8.3 对评标委员会成员的纪律要求</w:t>
      </w:r>
      <w:bookmarkEnd w:id="384"/>
      <w:bookmarkEnd w:id="385"/>
      <w:bookmarkEnd w:id="386"/>
      <w:bookmarkEnd w:id="387"/>
      <w:bookmarkEnd w:id="388"/>
      <w:bookmarkEnd w:id="389"/>
      <w:bookmarkEnd w:id="390"/>
      <w:bookmarkEnd w:id="39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rPr>
          <w:rFonts w:ascii="宋体" w:hAnsi="宋体" w:cs="宋体"/>
          <w:color w:val="auto"/>
          <w:highlight w:val="none"/>
        </w:rPr>
      </w:pPr>
      <w:bookmarkStart w:id="392" w:name="_Toc246996965"/>
      <w:bookmarkStart w:id="393" w:name="_Toc338840232"/>
      <w:bookmarkStart w:id="394" w:name="_Toc152042354"/>
      <w:bookmarkStart w:id="395" w:name="_Toc152045578"/>
      <w:bookmarkStart w:id="396" w:name="_Toc247085736"/>
      <w:bookmarkStart w:id="397" w:name="_Toc246996222"/>
      <w:bookmarkStart w:id="398" w:name="_Toc179632596"/>
      <w:bookmarkStart w:id="399" w:name="_Toc144974546"/>
      <w:r>
        <w:rPr>
          <w:rFonts w:hint="eastAsia" w:ascii="宋体" w:hAnsi="宋体" w:cs="宋体"/>
          <w:color w:val="auto"/>
          <w:highlight w:val="none"/>
        </w:rPr>
        <w:t>8.4 对与评标活动有关的工作人员的纪律要求</w:t>
      </w:r>
      <w:bookmarkEnd w:id="392"/>
      <w:bookmarkEnd w:id="393"/>
      <w:bookmarkEnd w:id="394"/>
      <w:bookmarkEnd w:id="395"/>
      <w:bookmarkEnd w:id="396"/>
      <w:bookmarkEnd w:id="397"/>
      <w:bookmarkEnd w:id="398"/>
    </w:p>
    <w:p>
      <w:pPr>
        <w:spacing w:line="400" w:lineRule="exact"/>
        <w:ind w:firstLine="420" w:firstLineChars="200"/>
        <w:rPr>
          <w:rFonts w:ascii="宋体" w:hAnsi="宋体" w:cs="宋体"/>
          <w:color w:val="auto"/>
          <w:highlight w:val="none"/>
        </w:rPr>
      </w:pPr>
      <w:bookmarkStart w:id="400"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0"/>
    </w:p>
    <w:p>
      <w:pPr>
        <w:pStyle w:val="5"/>
        <w:rPr>
          <w:rFonts w:ascii="宋体" w:hAnsi="宋体" w:cs="宋体"/>
          <w:color w:val="auto"/>
          <w:highlight w:val="none"/>
        </w:rPr>
      </w:pPr>
      <w:bookmarkStart w:id="401" w:name="_Toc338840233"/>
      <w:bookmarkStart w:id="402" w:name="_Toc247085737"/>
      <w:bookmarkStart w:id="403" w:name="_Toc152042356"/>
      <w:bookmarkStart w:id="404" w:name="_Toc246996966"/>
      <w:bookmarkStart w:id="405" w:name="_Toc246996223"/>
      <w:bookmarkStart w:id="406" w:name="_Toc152045579"/>
      <w:bookmarkStart w:id="407" w:name="_Toc179632597"/>
      <w:r>
        <w:rPr>
          <w:rFonts w:hint="eastAsia" w:ascii="宋体" w:hAnsi="宋体" w:cs="宋体"/>
          <w:color w:val="auto"/>
          <w:highlight w:val="none"/>
        </w:rPr>
        <w:t>8.5 质疑</w:t>
      </w:r>
      <w:bookmarkEnd w:id="40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8.5.1供应商认为招标文件、投标过程和中标结果使自己的权益受到损害的，可以根据《中华人民共和国政府采购法》、《中华人民共和国政府采购法实施条例》和《政府采购质疑和投诉办法》的有关规定，依法向采购人或其委托的招标采购代理机构提出质疑。其中，对招标文件提出质疑的，应在获取招标文件之日起7个工作日内提出。除上述法规规定材料外，还应提供在睢县公共资源交易中心网站该项目报名成功页面打印件（显示报名时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8.5.2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超出法定质疑期的、重复提出的、分次提出的或内容、形式不符合《政府采购质疑和投诉办法》的，质疑供应商将依法承担不利后果。</w:t>
      </w:r>
    </w:p>
    <w:p>
      <w:pPr>
        <w:pStyle w:val="5"/>
        <w:rPr>
          <w:rFonts w:ascii="宋体" w:hAnsi="宋体" w:cs="宋体"/>
          <w:color w:val="auto"/>
          <w:highlight w:val="none"/>
        </w:rPr>
      </w:pPr>
      <w:bookmarkStart w:id="408" w:name="_Toc338840234"/>
      <w:r>
        <w:rPr>
          <w:rFonts w:hint="eastAsia" w:ascii="宋体" w:hAnsi="宋体" w:cs="宋体"/>
          <w:color w:val="auto"/>
          <w:highlight w:val="none"/>
        </w:rPr>
        <w:t>8.6 投诉</w:t>
      </w:r>
      <w:bookmarkEnd w:id="399"/>
      <w:bookmarkEnd w:id="402"/>
      <w:bookmarkEnd w:id="403"/>
      <w:bookmarkEnd w:id="404"/>
      <w:bookmarkEnd w:id="405"/>
      <w:bookmarkEnd w:id="406"/>
      <w:bookmarkEnd w:id="407"/>
      <w:bookmarkEnd w:id="408"/>
    </w:p>
    <w:p>
      <w:pPr>
        <w:widowControl/>
        <w:spacing w:before="100" w:beforeAutospacing="1" w:after="100" w:afterAutospacing="1" w:line="33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质疑供应商对采购人、招标代理机构的答复不满意或者采购人、招标代理机构未在规定的时间内作出答复的，可以在答复期满后十五个工作日内向同级政府采购监督管理部门投诉。 </w:t>
      </w:r>
    </w:p>
    <w:p>
      <w:pPr>
        <w:pStyle w:val="4"/>
        <w:rPr>
          <w:rFonts w:ascii="宋体" w:hAnsi="宋体" w:eastAsia="宋体" w:cs="宋体"/>
          <w:color w:val="auto"/>
          <w:highlight w:val="none"/>
        </w:rPr>
      </w:pPr>
      <w:bookmarkStart w:id="409" w:name="_Toc152045580"/>
      <w:bookmarkStart w:id="410" w:name="_Toc144974547"/>
      <w:bookmarkStart w:id="411" w:name="_Toc152042357"/>
      <w:bookmarkStart w:id="412" w:name="_Toc31662"/>
      <w:bookmarkStart w:id="413" w:name="_Toc338840235"/>
      <w:bookmarkStart w:id="414" w:name="_Toc338840450"/>
      <w:bookmarkStart w:id="415" w:name="_Toc246996224"/>
      <w:bookmarkStart w:id="416" w:name="_Toc247085738"/>
      <w:bookmarkStart w:id="417" w:name="_Toc179632598"/>
      <w:bookmarkStart w:id="418" w:name="_Toc338840489"/>
      <w:bookmarkStart w:id="419" w:name="_Toc346523410"/>
      <w:bookmarkStart w:id="420" w:name="_Toc246996967"/>
      <w:r>
        <w:rPr>
          <w:rFonts w:hint="eastAsia" w:ascii="宋体" w:hAnsi="宋体" w:eastAsia="宋体" w:cs="宋体"/>
          <w:color w:val="auto"/>
          <w:highlight w:val="none"/>
        </w:rPr>
        <w:t>9. 需要补充的其他内容</w:t>
      </w:r>
      <w:bookmarkEnd w:id="409"/>
      <w:bookmarkEnd w:id="410"/>
      <w:bookmarkEnd w:id="411"/>
      <w:bookmarkEnd w:id="412"/>
      <w:bookmarkEnd w:id="413"/>
      <w:bookmarkEnd w:id="414"/>
      <w:bookmarkEnd w:id="415"/>
      <w:bookmarkEnd w:id="416"/>
      <w:bookmarkEnd w:id="417"/>
      <w:bookmarkEnd w:id="418"/>
      <w:bookmarkEnd w:id="419"/>
      <w:bookmarkEnd w:id="420"/>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需要补充的其他内容：见供应商须知前附表。</w:t>
      </w:r>
    </w:p>
    <w:p>
      <w:pPr>
        <w:spacing w:line="400" w:lineRule="exact"/>
        <w:ind w:firstLine="420" w:firstLineChars="200"/>
        <w:rPr>
          <w:rFonts w:ascii="宋体" w:hAnsi="宋体" w:cs="宋体"/>
          <w:color w:val="auto"/>
          <w:highlight w:val="none"/>
        </w:rPr>
      </w:pPr>
    </w:p>
    <w:p>
      <w:pPr>
        <w:spacing w:line="400" w:lineRule="exact"/>
        <w:rPr>
          <w:rFonts w:ascii="宋体" w:hAnsi="宋体" w:cs="宋体"/>
          <w:color w:val="auto"/>
          <w:highlight w:val="none"/>
        </w:rPr>
      </w:pPr>
    </w:p>
    <w:p>
      <w:pPr>
        <w:pStyle w:val="3"/>
        <w:spacing w:line="240" w:lineRule="auto"/>
        <w:jc w:val="center"/>
        <w:rPr>
          <w:rFonts w:ascii="宋体" w:hAnsi="宋体" w:cs="宋体"/>
          <w:color w:val="auto"/>
          <w:highlight w:val="none"/>
        </w:rPr>
      </w:pPr>
      <w:bookmarkStart w:id="421" w:name="_Toc246996984"/>
      <w:bookmarkStart w:id="422" w:name="_Toc152045598"/>
      <w:bookmarkStart w:id="423" w:name="_Toc179632616"/>
      <w:bookmarkStart w:id="424" w:name="_Toc246996241"/>
      <w:bookmarkStart w:id="425" w:name="_Toc338840237"/>
      <w:bookmarkStart w:id="426" w:name="_Toc346523412"/>
      <w:bookmarkStart w:id="427" w:name="_Toc338840452"/>
      <w:bookmarkStart w:id="428" w:name="_Toc152042375"/>
      <w:bookmarkStart w:id="429" w:name="_Toc338840491"/>
      <w:bookmarkStart w:id="430" w:name="_Toc144974565"/>
      <w:bookmarkStart w:id="431" w:name="_Toc247085756"/>
      <w:r>
        <w:rPr>
          <w:rFonts w:hint="eastAsia" w:ascii="宋体" w:hAnsi="宋体" w:cs="宋体"/>
          <w:color w:val="auto"/>
          <w:highlight w:val="none"/>
        </w:rPr>
        <w:br w:type="page"/>
      </w:r>
      <w:bookmarkStart w:id="432" w:name="_Toc22637"/>
      <w:r>
        <w:rPr>
          <w:rFonts w:hint="eastAsia" w:ascii="宋体" w:hAnsi="宋体" w:cs="宋体"/>
          <w:color w:val="auto"/>
          <w:highlight w:val="none"/>
        </w:rPr>
        <w:t>第三章 评标办法（综合评分法）</w:t>
      </w:r>
      <w:bookmarkEnd w:id="421"/>
      <w:bookmarkEnd w:id="422"/>
      <w:bookmarkEnd w:id="423"/>
      <w:bookmarkEnd w:id="424"/>
      <w:bookmarkEnd w:id="425"/>
      <w:bookmarkEnd w:id="426"/>
      <w:bookmarkEnd w:id="427"/>
      <w:bookmarkEnd w:id="428"/>
      <w:bookmarkEnd w:id="429"/>
      <w:bookmarkEnd w:id="430"/>
      <w:bookmarkEnd w:id="431"/>
      <w:bookmarkEnd w:id="432"/>
      <w:bookmarkStart w:id="433" w:name="_Toc152045599"/>
      <w:bookmarkStart w:id="434" w:name="_Toc247085757"/>
      <w:bookmarkStart w:id="435" w:name="_Toc152042376"/>
      <w:bookmarkStart w:id="436" w:name="_Toc246996985"/>
      <w:bookmarkStart w:id="437" w:name="_Toc246996242"/>
      <w:bookmarkStart w:id="438" w:name="_Toc179632617"/>
      <w:bookmarkStart w:id="439" w:name="_Toc144974566"/>
    </w:p>
    <w:bookmarkEnd w:id="433"/>
    <w:bookmarkEnd w:id="434"/>
    <w:bookmarkEnd w:id="435"/>
    <w:bookmarkEnd w:id="436"/>
    <w:bookmarkEnd w:id="437"/>
    <w:bookmarkEnd w:id="438"/>
    <w:bookmarkEnd w:id="439"/>
    <w:p>
      <w:pPr>
        <w:pStyle w:val="4"/>
        <w:spacing w:line="240" w:lineRule="auto"/>
        <w:jc w:val="center"/>
        <w:rPr>
          <w:rFonts w:hint="eastAsia" w:cs="Times New Roman"/>
          <w:color w:val="auto"/>
          <w:highlight w:val="none"/>
        </w:rPr>
      </w:pPr>
      <w:bookmarkStart w:id="440" w:name="_Toc4578"/>
      <w:bookmarkStart w:id="441" w:name="_Toc3514"/>
      <w:bookmarkStart w:id="442" w:name="_Toc144974567"/>
      <w:bookmarkStart w:id="443" w:name="_Toc246996986"/>
      <w:bookmarkStart w:id="444" w:name="_Toc346523414"/>
      <w:bookmarkStart w:id="445" w:name="_Toc338840239"/>
      <w:bookmarkStart w:id="446" w:name="_Toc247085758"/>
      <w:bookmarkStart w:id="447" w:name="_Toc179632618"/>
      <w:bookmarkStart w:id="448" w:name="_Toc152045600"/>
      <w:bookmarkStart w:id="449" w:name="_Toc246996243"/>
      <w:bookmarkStart w:id="450" w:name="_Toc338840493"/>
      <w:bookmarkStart w:id="451" w:name="_Toc152042377"/>
      <w:bookmarkStart w:id="452" w:name="_Toc338840454"/>
      <w:r>
        <w:rPr>
          <w:rFonts w:hint="eastAsia" w:cs="Times New Roman"/>
          <w:color w:val="auto"/>
          <w:highlight w:val="none"/>
        </w:rPr>
        <w:t>1、评标办法前附表</w:t>
      </w:r>
      <w:bookmarkEnd w:id="440"/>
      <w:bookmarkEnd w:id="441"/>
    </w:p>
    <w:p>
      <w:pPr>
        <w:bidi w:val="0"/>
        <w:rPr>
          <w:b/>
          <w:bCs/>
          <w:color w:val="auto"/>
          <w:sz w:val="24"/>
          <w:szCs w:val="32"/>
          <w:highlight w:val="none"/>
        </w:rPr>
      </w:pPr>
      <w:r>
        <w:rPr>
          <w:rFonts w:hint="eastAsia"/>
          <w:b/>
          <w:bCs/>
          <w:color w:val="auto"/>
          <w:sz w:val="24"/>
          <w:szCs w:val="32"/>
          <w:highlight w:val="none"/>
        </w:rPr>
        <w:t>初步审查表（资格审查由采购人或采购代理机构进行）</w:t>
      </w:r>
    </w:p>
    <w:tbl>
      <w:tblPr>
        <w:tblStyle w:val="4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664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96" w:type="dxa"/>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项</w:t>
            </w:r>
            <w:r>
              <w:rPr>
                <w:rFonts w:ascii="宋体" w:hAnsi="宋体"/>
                <w:color w:val="auto"/>
                <w:sz w:val="19"/>
                <w:szCs w:val="21"/>
                <w:highlight w:val="none"/>
              </w:rPr>
              <w:t xml:space="preserve">  </w:t>
            </w:r>
            <w:r>
              <w:rPr>
                <w:rFonts w:hint="eastAsia" w:ascii="宋体" w:hAnsi="宋体"/>
                <w:color w:val="auto"/>
                <w:sz w:val="19"/>
                <w:szCs w:val="21"/>
                <w:highlight w:val="none"/>
              </w:rPr>
              <w:t>目</w:t>
            </w:r>
          </w:p>
        </w:tc>
        <w:tc>
          <w:tcPr>
            <w:tcW w:w="7636" w:type="dxa"/>
            <w:gridSpan w:val="2"/>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项目及审核内容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96" w:type="dxa"/>
            <w:vMerge w:val="restart"/>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资格性</w:t>
            </w:r>
          </w:p>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证明材料</w:t>
            </w: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在中华人民共和国境内注册</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96" w:type="dxa"/>
            <w:vMerge w:val="continue"/>
            <w:vAlign w:val="center"/>
          </w:tcPr>
          <w:p>
            <w:pPr>
              <w:widowControl/>
              <w:spacing w:line="0" w:lineRule="atLeast"/>
              <w:jc w:val="center"/>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是否具备法人或者非法人组织的营业执照等证明文件复印件或自然人的身份证明是否满足</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是否具备法定代表人</w:t>
            </w:r>
            <w:r>
              <w:rPr>
                <w:rFonts w:hint="eastAsia" w:ascii="宋体" w:hAnsi="宋体"/>
                <w:color w:val="auto"/>
                <w:sz w:val="19"/>
                <w:szCs w:val="19"/>
                <w:highlight w:val="none"/>
              </w:rPr>
              <w:t>、</w:t>
            </w:r>
            <w:r>
              <w:rPr>
                <w:rFonts w:hint="eastAsia" w:ascii="宋体" w:hAnsi="宋体" w:cs="仿宋"/>
                <w:color w:val="auto"/>
                <w:sz w:val="19"/>
                <w:szCs w:val="19"/>
                <w:highlight w:val="none"/>
              </w:rPr>
              <w:t>单位负责人</w:t>
            </w:r>
            <w:r>
              <w:rPr>
                <w:rFonts w:hint="eastAsia" w:ascii="宋体" w:hAnsi="宋体"/>
                <w:color w:val="auto"/>
                <w:sz w:val="19"/>
                <w:szCs w:val="21"/>
                <w:highlight w:val="none"/>
              </w:rPr>
              <w:t>身份证明书或授权委托书</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是否具有良好的商业信誉和健全的财务会计制度的证明材料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说明：提供财务审计报告或银行出具的信誉良好的证明材料</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1、如提供本单位上年度经会计师事务所出具的审计报告复印件须加盖本单位章。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4、如截止到开标当天，公司成立不足6个月的或者是机关事业单位参与投标的，可以不提供该项证明材料。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olor w:val="auto"/>
                <w:sz w:val="19"/>
                <w:szCs w:val="21"/>
                <w:highlight w:val="none"/>
              </w:rPr>
              <w:t>是否</w:t>
            </w:r>
            <w:r>
              <w:rPr>
                <w:rFonts w:hint="eastAsia" w:ascii="宋体" w:hAnsi="宋体" w:cs="Lucida Sans Unicode"/>
                <w:color w:val="auto"/>
                <w:sz w:val="19"/>
                <w:szCs w:val="21"/>
                <w:highlight w:val="none"/>
              </w:rPr>
              <w:t>具备依法缴纳税收的证明材料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 xml:space="preserve">1、应提供开标前近 6 </w:t>
            </w:r>
            <w:r>
              <w:rPr>
                <w:rFonts w:hint="eastAsia" w:ascii="宋体" w:hAnsi="宋体" w:cs="Lucida Sans Unicode"/>
                <w:color w:val="auto"/>
                <w:sz w:val="19"/>
                <w:szCs w:val="21"/>
                <w:highlight w:val="none"/>
              </w:rPr>
              <w:t>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2、复印件上应加盖本单位章。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hint="eastAsia" w:ascii="宋体" w:hAnsi="宋体" w:cs="Lucida Sans Unicode"/>
                <w:color w:val="auto"/>
                <w:sz w:val="19"/>
                <w:szCs w:val="21"/>
                <w:highlight w:val="none"/>
              </w:rPr>
            </w:pPr>
            <w:r>
              <w:rPr>
                <w:rFonts w:hint="eastAsia" w:ascii="宋体" w:hAnsi="宋体"/>
                <w:color w:val="auto"/>
                <w:sz w:val="19"/>
                <w:szCs w:val="21"/>
                <w:highlight w:val="none"/>
              </w:rPr>
              <w:t>是</w:t>
            </w:r>
            <w:r>
              <w:rPr>
                <w:rFonts w:hint="eastAsia" w:ascii="宋体" w:hAnsi="宋体" w:cs="Lucida Sans Unicode"/>
                <w:color w:val="auto"/>
                <w:sz w:val="19"/>
                <w:szCs w:val="21"/>
                <w:highlight w:val="none"/>
              </w:rPr>
              <w:t>否具备依法缴纳社会保障资金的证明材料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 xml:space="preserve">1、应提供开标前近 6 </w:t>
            </w:r>
            <w:r>
              <w:rPr>
                <w:rFonts w:hint="eastAsia" w:ascii="宋体" w:hAnsi="宋体" w:cs="Lucida Sans Unicode"/>
                <w:color w:val="auto"/>
                <w:sz w:val="19"/>
                <w:szCs w:val="21"/>
                <w:highlight w:val="none"/>
              </w:rPr>
              <w:t>个月内的任意月份依法缴纳社会保险费的凭证，如符合不需提供情形的，应做书面说明和提供证明文件。</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2、复印件上应加盖本单位章。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olor w:val="auto"/>
                <w:sz w:val="19"/>
                <w:szCs w:val="21"/>
                <w:highlight w:val="none"/>
              </w:rPr>
              <w:t>是否具</w:t>
            </w:r>
            <w:r>
              <w:rPr>
                <w:rFonts w:hint="eastAsia" w:ascii="宋体" w:hAnsi="宋体" w:cs="Lucida Sans Unicode"/>
                <w:color w:val="auto"/>
                <w:sz w:val="19"/>
                <w:szCs w:val="21"/>
                <w:highlight w:val="none"/>
              </w:rPr>
              <w:t>备履行合同所必须的设备和专业技术能力的证明材料</w:t>
            </w:r>
          </w:p>
          <w:p>
            <w:pPr>
              <w:spacing w:line="0" w:lineRule="atLeast"/>
              <w:rPr>
                <w:rFonts w:ascii="宋体" w:hAnsi="宋体"/>
                <w:color w:val="auto"/>
                <w:sz w:val="19"/>
                <w:szCs w:val="21"/>
                <w:highlight w:val="none"/>
              </w:rPr>
            </w:pPr>
            <w:r>
              <w:rPr>
                <w:rFonts w:hint="eastAsia" w:ascii="宋体" w:hAnsi="宋体"/>
                <w:color w:val="auto"/>
                <w:sz w:val="19"/>
                <w:szCs w:val="21"/>
                <w:highlight w:val="none"/>
              </w:rPr>
              <w:t>说明：提供以下任意一项内容即认为具备该项证明材料。</w:t>
            </w:r>
          </w:p>
          <w:p>
            <w:pPr>
              <w:spacing w:line="0" w:lineRule="atLeast"/>
              <w:rPr>
                <w:rFonts w:ascii="宋体" w:hAnsi="宋体"/>
                <w:color w:val="auto"/>
                <w:sz w:val="19"/>
                <w:szCs w:val="21"/>
                <w:highlight w:val="none"/>
              </w:rPr>
            </w:pPr>
            <w:r>
              <w:rPr>
                <w:rFonts w:ascii="宋体" w:hAnsi="宋体"/>
                <w:color w:val="auto"/>
                <w:sz w:val="19"/>
                <w:szCs w:val="21"/>
                <w:highlight w:val="none"/>
              </w:rPr>
              <w:t>1、供应商的承诺书。</w:t>
            </w:r>
          </w:p>
          <w:p>
            <w:pPr>
              <w:spacing w:line="0" w:lineRule="atLeast"/>
              <w:rPr>
                <w:rFonts w:ascii="宋体" w:hAnsi="宋体"/>
                <w:color w:val="auto"/>
                <w:sz w:val="19"/>
                <w:szCs w:val="21"/>
                <w:highlight w:val="none"/>
              </w:rPr>
            </w:pPr>
            <w:r>
              <w:rPr>
                <w:rFonts w:ascii="宋体" w:hAnsi="宋体"/>
                <w:color w:val="auto"/>
                <w:sz w:val="19"/>
                <w:szCs w:val="21"/>
                <w:highlight w:val="none"/>
              </w:rPr>
              <w:t>2、供应商近三年内的类似业绩</w:t>
            </w:r>
          </w:p>
          <w:p>
            <w:pPr>
              <w:spacing w:line="0" w:lineRule="atLeast"/>
              <w:rPr>
                <w:rFonts w:ascii="宋体" w:hAnsi="宋体"/>
                <w:color w:val="auto"/>
                <w:sz w:val="19"/>
                <w:szCs w:val="21"/>
                <w:highlight w:val="none"/>
              </w:rPr>
            </w:pPr>
            <w:r>
              <w:rPr>
                <w:rFonts w:ascii="宋体" w:hAnsi="宋体"/>
                <w:color w:val="auto"/>
                <w:sz w:val="19"/>
                <w:szCs w:val="21"/>
                <w:highlight w:val="none"/>
              </w:rPr>
              <w:t>3、设备购置发票或设备实物照片或企业荣誉证书</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是否具备参加政府采购活动前</w:t>
            </w:r>
            <w:r>
              <w:rPr>
                <w:rFonts w:ascii="宋体" w:hAnsi="宋体"/>
                <w:color w:val="auto"/>
                <w:sz w:val="19"/>
                <w:szCs w:val="21"/>
                <w:highlight w:val="none"/>
              </w:rPr>
              <w:t>3年内在经营活动中没有重大违法记录的书面声明</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是否具备信用记录</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300" w:lineRule="auto"/>
              <w:rPr>
                <w:rFonts w:ascii="宋体" w:hAnsi="宋体"/>
                <w:color w:val="auto"/>
                <w:sz w:val="19"/>
                <w:szCs w:val="21"/>
                <w:highlight w:val="none"/>
              </w:rPr>
            </w:pPr>
            <w:r>
              <w:rPr>
                <w:rFonts w:hint="eastAsia" w:ascii="宋体" w:hAnsi="宋体"/>
                <w:color w:val="auto"/>
                <w:sz w:val="19"/>
                <w:szCs w:val="21"/>
                <w:highlight w:val="none"/>
              </w:rPr>
              <w:t>是否具备供应商须知前附表要求的其他资格证明文件</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496" w:type="dxa"/>
            <w:vMerge w:val="restart"/>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符合性</w:t>
            </w:r>
          </w:p>
          <w:p>
            <w:pPr>
              <w:widowControl/>
              <w:spacing w:line="0" w:lineRule="atLeast"/>
              <w:ind w:left="-109" w:leftChars="-52"/>
              <w:jc w:val="center"/>
              <w:rPr>
                <w:rFonts w:ascii="宋体" w:hAnsi="宋体"/>
                <w:color w:val="auto"/>
                <w:sz w:val="19"/>
                <w:szCs w:val="21"/>
                <w:highlight w:val="none"/>
              </w:rPr>
            </w:pPr>
            <w:r>
              <w:rPr>
                <w:rFonts w:hint="eastAsia" w:ascii="宋体" w:hAnsi="宋体"/>
                <w:color w:val="auto"/>
                <w:sz w:val="19"/>
                <w:szCs w:val="21"/>
                <w:highlight w:val="none"/>
              </w:rPr>
              <w:t>证明材料</w:t>
            </w: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供应商名称与营业执照一致</w:t>
            </w:r>
          </w:p>
        </w:tc>
        <w:tc>
          <w:tcPr>
            <w:tcW w:w="993" w:type="dxa"/>
            <w:vMerge w:val="restart"/>
            <w:vAlign w:val="center"/>
          </w:tcPr>
          <w:p>
            <w:pPr>
              <w:spacing w:line="0" w:lineRule="atLeast"/>
              <w:jc w:val="center"/>
              <w:rPr>
                <w:rFonts w:hint="eastAsia" w:ascii="宋体" w:hAnsi="宋体" w:eastAsia="宋体" w:cs="Times New Roman"/>
                <w:color w:val="auto"/>
                <w:sz w:val="19"/>
                <w:szCs w:val="21"/>
                <w:highlight w:val="none"/>
              </w:rPr>
            </w:pPr>
            <w:r>
              <w:rPr>
                <w:rFonts w:hint="eastAsia" w:ascii="宋体" w:hAnsi="宋体" w:eastAsia="宋体" w:cs="Times New Roman"/>
                <w:color w:val="auto"/>
                <w:sz w:val="19"/>
                <w:szCs w:val="21"/>
                <w:highlight w:val="none"/>
              </w:rPr>
              <w:t>以投标文件为准</w:t>
            </w:r>
          </w:p>
          <w:p>
            <w:pPr>
              <w:spacing w:line="0" w:lineRule="atLeast"/>
              <w:jc w:val="center"/>
              <w:rPr>
                <w:rFonts w:ascii="宋体" w:hAnsi="宋体" w:eastAsia="宋体" w:cs="Times New Roman"/>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投标文件的签署和盖章符合要求</w:t>
            </w:r>
          </w:p>
        </w:tc>
        <w:tc>
          <w:tcPr>
            <w:tcW w:w="993" w:type="dxa"/>
            <w:vMerge w:val="continue"/>
            <w:vAlign w:val="center"/>
          </w:tcPr>
          <w:p>
            <w:pPr>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投标报价≤最高限价</w:t>
            </w:r>
          </w:p>
        </w:tc>
        <w:tc>
          <w:tcPr>
            <w:tcW w:w="993" w:type="dxa"/>
            <w:vMerge w:val="continue"/>
            <w:vAlign w:val="center"/>
          </w:tcPr>
          <w:p>
            <w:pPr>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投标有效期符合采购文件要求</w:t>
            </w:r>
          </w:p>
        </w:tc>
        <w:tc>
          <w:tcPr>
            <w:tcW w:w="993" w:type="dxa"/>
            <w:vMerge w:val="continue"/>
            <w:vAlign w:val="center"/>
          </w:tcPr>
          <w:p>
            <w:pPr>
              <w:spacing w:line="0" w:lineRule="atLeast"/>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投标范围符合采购文件要求</w:t>
            </w:r>
          </w:p>
        </w:tc>
        <w:tc>
          <w:tcPr>
            <w:tcW w:w="993" w:type="dxa"/>
            <w:vMerge w:val="continue"/>
            <w:vAlign w:val="center"/>
          </w:tcPr>
          <w:p>
            <w:pPr>
              <w:spacing w:line="0" w:lineRule="atLeast"/>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供应商报价明显低于其他有效供应商报价，评标委员会认为供应商报价有可能影响产品质量或者不能诚信履约的，评标委员会应当要求其在评审现场</w:t>
            </w:r>
            <w:r>
              <w:rPr>
                <w:rFonts w:ascii="宋体" w:hAnsi="宋体" w:cs="Lucida Sans Unicode"/>
                <w:color w:val="auto"/>
                <w:sz w:val="19"/>
                <w:szCs w:val="21"/>
                <w:highlight w:val="none"/>
              </w:rPr>
              <w:t>1</w:t>
            </w:r>
            <w:r>
              <w:rPr>
                <w:rFonts w:hint="eastAsia" w:ascii="宋体" w:hAnsi="宋体" w:cs="Lucida Sans Unicode"/>
                <w:color w:val="auto"/>
                <w:sz w:val="19"/>
                <w:szCs w:val="21"/>
                <w:highlight w:val="none"/>
              </w:rPr>
              <w:t>小时内提供成本构成书面说明，必要时并提交相关证明材料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提供原件</w:t>
            </w:r>
            <w:r>
              <w:rPr>
                <w:rFonts w:ascii="宋体" w:hAnsi="宋体" w:cs="Lucida Sans Unicode"/>
                <w:color w:val="auto"/>
                <w:sz w:val="19"/>
                <w:szCs w:val="21"/>
                <w:highlight w:val="none"/>
              </w:rPr>
              <w:t>PDF版本上传系统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投标内容是否符合招标文件技术服务要求中的实质性指标要求</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以投标</w:t>
            </w:r>
          </w:p>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投标文件符合招标文件其他实质性要求</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以投标</w:t>
            </w:r>
          </w:p>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文件为准</w:t>
            </w:r>
          </w:p>
        </w:tc>
      </w:tr>
    </w:tbl>
    <w:p>
      <w:pPr>
        <w:pStyle w:val="4"/>
        <w:spacing w:line="240" w:lineRule="auto"/>
        <w:jc w:val="center"/>
        <w:rPr>
          <w:rFonts w:hint="eastAsia" w:eastAsia="黑体"/>
          <w:color w:val="auto"/>
          <w:highlight w:val="none"/>
          <w:lang w:eastAsia="zh-CN"/>
        </w:rPr>
      </w:pPr>
      <w:bookmarkStart w:id="453" w:name="_Toc3050"/>
      <w:r>
        <w:rPr>
          <w:rFonts w:hint="eastAsia"/>
          <w:color w:val="auto"/>
          <w:highlight w:val="none"/>
        </w:rPr>
        <w:t>2、评分标准</w:t>
      </w:r>
      <w:bookmarkEnd w:id="453"/>
    </w:p>
    <w:tbl>
      <w:tblPr>
        <w:tblStyle w:val="42"/>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52"/>
        <w:gridCol w:w="1116"/>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序号</w:t>
            </w:r>
          </w:p>
        </w:tc>
        <w:tc>
          <w:tcPr>
            <w:tcW w:w="852" w:type="dxa"/>
            <w:vAlign w:val="center"/>
          </w:tcPr>
          <w:p>
            <w:pPr>
              <w:jc w:val="center"/>
              <w:rPr>
                <w:rFonts w:ascii="宋体" w:hAnsi="宋体" w:cs="宋体"/>
                <w:color w:val="auto"/>
                <w:szCs w:val="21"/>
                <w:highlight w:val="none"/>
              </w:rPr>
            </w:pPr>
            <w:r>
              <w:rPr>
                <w:rFonts w:ascii="宋体" w:hAnsi="宋体" w:cs="宋体"/>
                <w:color w:val="auto"/>
                <w:szCs w:val="21"/>
                <w:highlight w:val="none"/>
              </w:rPr>
              <w:t>评审因素</w:t>
            </w:r>
          </w:p>
        </w:tc>
        <w:tc>
          <w:tcPr>
            <w:tcW w:w="1116" w:type="dxa"/>
            <w:vAlign w:val="center"/>
          </w:tcPr>
          <w:p>
            <w:pPr>
              <w:jc w:val="center"/>
              <w:rPr>
                <w:rFonts w:ascii="宋体" w:hAnsi="宋体" w:cs="宋体"/>
                <w:color w:val="auto"/>
                <w:szCs w:val="21"/>
                <w:highlight w:val="none"/>
              </w:rPr>
            </w:pPr>
            <w:r>
              <w:rPr>
                <w:rFonts w:ascii="宋体" w:hAnsi="宋体" w:cs="宋体"/>
                <w:color w:val="auto"/>
                <w:szCs w:val="21"/>
                <w:highlight w:val="none"/>
              </w:rPr>
              <w:t>分值</w:t>
            </w:r>
          </w:p>
        </w:tc>
        <w:tc>
          <w:tcPr>
            <w:tcW w:w="7763" w:type="dxa"/>
            <w:vAlign w:val="center"/>
          </w:tcPr>
          <w:p>
            <w:pPr>
              <w:jc w:val="center"/>
              <w:rPr>
                <w:rFonts w:ascii="宋体" w:hAnsi="宋体" w:cs="宋体"/>
                <w:color w:val="auto"/>
                <w:szCs w:val="21"/>
                <w:highlight w:val="none"/>
              </w:rPr>
            </w:pPr>
            <w:r>
              <w:rPr>
                <w:rFonts w:ascii="宋体" w:hAnsi="宋体" w:cs="宋体"/>
                <w:color w:val="auto"/>
                <w:szCs w:val="21"/>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1</w:t>
            </w:r>
          </w:p>
        </w:tc>
        <w:tc>
          <w:tcPr>
            <w:tcW w:w="852" w:type="dxa"/>
            <w:vAlign w:val="center"/>
          </w:tcPr>
          <w:p>
            <w:pPr>
              <w:jc w:val="center"/>
              <w:rPr>
                <w:rFonts w:ascii="宋体" w:hAnsi="宋体" w:cs="宋体"/>
                <w:color w:val="auto"/>
                <w:szCs w:val="21"/>
                <w:highlight w:val="none"/>
              </w:rPr>
            </w:pPr>
            <w:r>
              <w:rPr>
                <w:rFonts w:ascii="宋体" w:hAnsi="宋体" w:cs="宋体"/>
                <w:color w:val="auto"/>
                <w:szCs w:val="21"/>
                <w:highlight w:val="none"/>
              </w:rPr>
              <w:t>投标报价</w:t>
            </w:r>
          </w:p>
        </w:tc>
        <w:tc>
          <w:tcPr>
            <w:tcW w:w="1116" w:type="dxa"/>
            <w:vAlign w:val="center"/>
          </w:tcPr>
          <w:p>
            <w:pPr>
              <w:jc w:val="center"/>
              <w:rPr>
                <w:rFonts w:ascii="宋体" w:hAnsi="宋体" w:cs="宋体"/>
                <w:color w:val="auto"/>
                <w:szCs w:val="21"/>
                <w:highlight w:val="none"/>
              </w:rPr>
            </w:pPr>
            <w:r>
              <w:rPr>
                <w:rFonts w:ascii="宋体" w:hAnsi="宋体" w:cs="宋体"/>
                <w:color w:val="auto"/>
                <w:szCs w:val="21"/>
                <w:highlight w:val="none"/>
              </w:rPr>
              <w:t>满分</w:t>
            </w:r>
            <w:r>
              <w:rPr>
                <w:rFonts w:hint="eastAsia" w:ascii="宋体" w:hAnsi="宋体" w:cs="宋体"/>
                <w:color w:val="auto"/>
                <w:szCs w:val="21"/>
                <w:highlight w:val="none"/>
                <w:lang w:val="en-US" w:eastAsia="zh-CN"/>
              </w:rPr>
              <w:t>20</w:t>
            </w:r>
            <w:r>
              <w:rPr>
                <w:rFonts w:ascii="宋体" w:hAnsi="宋体" w:cs="宋体"/>
                <w:color w:val="auto"/>
                <w:szCs w:val="21"/>
                <w:highlight w:val="none"/>
              </w:rPr>
              <w:t>分</w:t>
            </w:r>
          </w:p>
        </w:tc>
        <w:tc>
          <w:tcPr>
            <w:tcW w:w="7763" w:type="dxa"/>
            <w:vAlign w:val="center"/>
          </w:tcPr>
          <w:p>
            <w:pPr>
              <w:jc w:val="left"/>
              <w:rPr>
                <w:rFonts w:ascii="宋体" w:hAnsi="宋体" w:cs="宋体"/>
                <w:color w:val="auto"/>
                <w:szCs w:val="21"/>
                <w:highlight w:val="none"/>
              </w:rPr>
            </w:pPr>
            <w:r>
              <w:rPr>
                <w:rFonts w:ascii="宋体" w:hAnsi="宋体" w:cs="宋体"/>
                <w:color w:val="auto"/>
                <w:szCs w:val="21"/>
                <w:highlight w:val="none"/>
              </w:rPr>
              <w:t>价格分采用低价优先法计算，即满足招标文件实质性要求且价格最低的报价为评标基准价，其价格分为满分，其它供应商的价格分统一按下列公式计算：报价得分=(评标基准价／报价)×</w:t>
            </w:r>
            <w:r>
              <w:rPr>
                <w:rFonts w:hint="eastAsia" w:ascii="宋体" w:hAnsi="宋体" w:cs="宋体"/>
                <w:color w:val="auto"/>
                <w:szCs w:val="21"/>
                <w:highlight w:val="none"/>
                <w:lang w:val="en-US" w:eastAsia="zh-CN"/>
              </w:rPr>
              <w:t>2</w:t>
            </w:r>
            <w:r>
              <w:rPr>
                <w:rFonts w:ascii="宋体" w:hAnsi="宋体" w:cs="宋体"/>
                <w:color w:val="auto"/>
                <w:szCs w:val="21"/>
                <w:highlight w:val="none"/>
              </w:rPr>
              <w:t>0×100</w:t>
            </w:r>
            <w:r>
              <w:rPr>
                <w:rFonts w:ascii="宋体" w:hAnsi="宋体" w:cs="宋体"/>
                <w:color w:val="auto"/>
                <w:szCs w:val="21"/>
                <w:highlight w:val="none"/>
              </w:rPr>
              <w:br w:type="textWrapping"/>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报价明显低于其他通过符合性审查供应商的报价，</w:t>
            </w:r>
            <w:r>
              <w:rPr>
                <w:rFonts w:hint="eastAsia" w:ascii="宋体" w:hAnsi="宋体" w:cs="Lucida Sans Unicode"/>
                <w:color w:val="auto"/>
                <w:sz w:val="19"/>
                <w:szCs w:val="21"/>
                <w:highlight w:val="none"/>
              </w:rPr>
              <w:t>评标委员会</w:t>
            </w:r>
            <w:r>
              <w:rPr>
                <w:rFonts w:hint="eastAsia" w:ascii="宋体" w:hAnsi="宋体" w:cs="宋体"/>
                <w:color w:val="auto"/>
                <w:szCs w:val="21"/>
                <w:highlight w:val="none"/>
              </w:rPr>
              <w:t>认为供应商报价有可能影响质量或者不能诚信履约的、</w:t>
            </w:r>
            <w:r>
              <w:rPr>
                <w:rFonts w:hint="eastAsia" w:ascii="宋体" w:hAnsi="宋体" w:cs="Lucida Sans Unicode"/>
                <w:color w:val="auto"/>
                <w:sz w:val="19"/>
                <w:szCs w:val="21"/>
                <w:highlight w:val="none"/>
              </w:rPr>
              <w:t>评标委员会</w:t>
            </w:r>
            <w:r>
              <w:rPr>
                <w:rFonts w:hint="eastAsia" w:ascii="宋体" w:hAnsi="宋体" w:cs="宋体"/>
                <w:color w:val="auto"/>
                <w:szCs w:val="21"/>
                <w:highlight w:val="none"/>
              </w:rPr>
              <w:t>应当要求其在评审现场 1 小时内提供成本构成书面说明，必要时并提交相关证明材料。书面说明应当按照国家财务会计制度的规定要求，逐项就供应商提供的工程、货物和服务的主成本、税金及附加、管理费用、财务费用等成本构成事项进行陈述。</w:t>
            </w:r>
            <w:r>
              <w:rPr>
                <w:rFonts w:ascii="宋体" w:hAnsi="宋体" w:cs="宋体"/>
                <w:color w:val="auto"/>
                <w:szCs w:val="21"/>
                <w:highlight w:val="none"/>
              </w:rPr>
              <w:t>经评标专家组评审通过后方可视为有效报价，否则视为报价无效，价格分按零分处理。</w:t>
            </w:r>
            <w:r>
              <w:rPr>
                <w:rFonts w:ascii="宋体" w:hAnsi="宋体" w:cs="宋体"/>
                <w:color w:val="auto"/>
                <w:szCs w:val="21"/>
                <w:highlight w:val="none"/>
              </w:rPr>
              <w:br w:type="textWrapping"/>
            </w:r>
            <w:r>
              <w:rPr>
                <w:rFonts w:ascii="宋体" w:hAnsi="宋体" w:cs="宋体"/>
                <w:b/>
                <w:bCs/>
                <w:color w:val="auto"/>
                <w:szCs w:val="21"/>
                <w:highlight w:val="none"/>
              </w:rPr>
              <w:t>价格扣除：</w:t>
            </w:r>
            <w:r>
              <w:rPr>
                <w:rFonts w:ascii="宋体" w:hAnsi="宋体" w:cs="宋体"/>
                <w:color w:val="auto"/>
                <w:szCs w:val="21"/>
                <w:highlight w:val="none"/>
              </w:rPr>
              <w:t>注：为了促进中小企业发展对小型和微型企业的投标总价给予</w:t>
            </w:r>
            <w:r>
              <w:rPr>
                <w:rFonts w:hint="eastAsia" w:ascii="宋体" w:hAnsi="宋体" w:cs="宋体"/>
                <w:color w:val="auto"/>
                <w:szCs w:val="21"/>
                <w:highlight w:val="none"/>
                <w:lang w:val="en-US" w:eastAsia="zh-CN"/>
              </w:rPr>
              <w:t>10</w:t>
            </w:r>
            <w:r>
              <w:rPr>
                <w:rFonts w:ascii="宋体" w:hAnsi="宋体" w:cs="宋体"/>
                <w:color w:val="auto"/>
                <w:szCs w:val="21"/>
                <w:highlight w:val="none"/>
              </w:rPr>
              <w:t>%的扣除，用扣除后的价格参与评审。参加本项目的中小企业应当提供《中小企业声明函》。根据《政府采购促进中小企业发展管理办法》（财库[2020]46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r>
              <w:rPr>
                <w:rFonts w:ascii="宋体" w:hAnsi="宋体" w:cs="宋体"/>
                <w:color w:val="auto"/>
                <w:szCs w:val="21"/>
                <w:highlight w:val="none"/>
              </w:rPr>
              <w:br w:type="textWrapping"/>
            </w:r>
            <w:r>
              <w:rPr>
                <w:rFonts w:ascii="宋体" w:hAnsi="宋体" w:cs="宋体"/>
                <w:color w:val="auto"/>
                <w:szCs w:val="21"/>
                <w:highlight w:val="none"/>
              </w:rPr>
              <w:t>根据财政部司法部《关于政府采购支持监狱企业发展有关问题的通知》（财库（2014）68号）规定，本项目对监狱企业作为供应商所提供的本企业提供的服务的价格给予</w:t>
            </w:r>
            <w:r>
              <w:rPr>
                <w:rFonts w:hint="eastAsia" w:ascii="宋体" w:hAnsi="宋体" w:cs="宋体"/>
                <w:color w:val="auto"/>
                <w:szCs w:val="21"/>
                <w:highlight w:val="none"/>
                <w:lang w:val="en-US" w:eastAsia="zh-CN"/>
              </w:rPr>
              <w:t>10</w:t>
            </w:r>
            <w:r>
              <w:rPr>
                <w:rFonts w:ascii="宋体" w:hAnsi="宋体" w:cs="宋体"/>
                <w:color w:val="auto"/>
                <w:szCs w:val="21"/>
                <w:highlight w:val="none"/>
              </w:rPr>
              <w:t>％的扣除。</w:t>
            </w:r>
            <w:r>
              <w:rPr>
                <w:rFonts w:ascii="宋体" w:hAnsi="宋体" w:cs="宋体"/>
                <w:color w:val="auto"/>
                <w:szCs w:val="21"/>
                <w:highlight w:val="none"/>
              </w:rPr>
              <w:br w:type="textWrapping"/>
            </w:r>
            <w:r>
              <w:rPr>
                <w:rFonts w:ascii="宋体" w:hAnsi="宋体" w:cs="宋体"/>
                <w:color w:val="auto"/>
                <w:szCs w:val="21"/>
                <w:highlight w:val="none"/>
              </w:rPr>
              <w:t>所投小微企业产品报价＝所投小微企业产品报价合计*（1－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ascii="宋体" w:hAnsi="宋体" w:cs="宋体"/>
                <w:color w:val="auto"/>
                <w:szCs w:val="21"/>
                <w:highlight w:val="none"/>
              </w:rPr>
              <w:br w:type="textWrapping"/>
            </w:r>
            <w:r>
              <w:rPr>
                <w:rFonts w:ascii="宋体" w:hAnsi="宋体" w:cs="宋体"/>
                <w:color w:val="auto"/>
                <w:szCs w:val="21"/>
                <w:highlight w:val="none"/>
              </w:rPr>
              <w:t>所投残疾人企业产品报价＝所投监狱企业产品报价合计*（1－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p>
          <w:p>
            <w:pPr>
              <w:jc w:val="left"/>
              <w:rPr>
                <w:rFonts w:ascii="宋体" w:hAnsi="宋体" w:cs="宋体"/>
                <w:color w:val="auto"/>
                <w:szCs w:val="21"/>
                <w:highlight w:val="none"/>
              </w:rPr>
            </w:pPr>
            <w:r>
              <w:rPr>
                <w:rFonts w:ascii="宋体" w:hAnsi="宋体" w:cs="宋体"/>
                <w:color w:val="auto"/>
                <w:szCs w:val="21"/>
                <w:highlight w:val="none"/>
              </w:rPr>
              <w:t>所投监狱企业产品报价＝所投监狱企业产品报价合计*（1－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ascii="宋体" w:hAnsi="宋体" w:cs="宋体"/>
                <w:color w:val="auto"/>
                <w:szCs w:val="21"/>
                <w:highlight w:val="none"/>
              </w:rPr>
              <w:br w:type="textWrapping"/>
            </w:r>
            <w:r>
              <w:rPr>
                <w:rFonts w:ascii="宋体" w:hAnsi="宋体" w:cs="宋体"/>
                <w:color w:val="auto"/>
                <w:szCs w:val="21"/>
                <w:highlight w:val="none"/>
              </w:rPr>
              <w:t>同一供应商，小微企业产品、残疾人企业产品和监狱企业产品价格扣除优惠只享受一次，不得重复享受。</w:t>
            </w:r>
          </w:p>
          <w:p>
            <w:pPr>
              <w:jc w:val="left"/>
              <w:rPr>
                <w:rFonts w:ascii="宋体" w:hAnsi="宋体" w:cs="宋体"/>
                <w:color w:val="auto"/>
                <w:szCs w:val="21"/>
                <w:highlight w:val="none"/>
              </w:rPr>
            </w:pPr>
            <w:r>
              <w:rPr>
                <w:rFonts w:hint="eastAsia" w:ascii="宋体" w:hAnsi="宋体" w:cs="宋体"/>
                <w:color w:val="auto"/>
                <w:szCs w:val="21"/>
                <w:highlight w:val="none"/>
              </w:rPr>
              <w:t>如项目为专门面向中小企业采购的项目，不再执行价格评审优惠的扶持政策。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restart"/>
            <w:vAlign w:val="center"/>
          </w:tcPr>
          <w:p>
            <w:pPr>
              <w:spacing w:before="240"/>
              <w:jc w:val="center"/>
              <w:rPr>
                <w:rFonts w:ascii="宋体" w:hAnsi="宋体" w:cs="宋体"/>
                <w:color w:val="auto"/>
                <w:szCs w:val="21"/>
                <w:highlight w:val="none"/>
              </w:rPr>
            </w:pPr>
            <w:r>
              <w:rPr>
                <w:rFonts w:ascii="宋体" w:hAnsi="宋体" w:cs="宋体"/>
                <w:color w:val="auto"/>
                <w:szCs w:val="21"/>
                <w:highlight w:val="none"/>
              </w:rPr>
              <w:t>2</w:t>
            </w:r>
          </w:p>
        </w:tc>
        <w:tc>
          <w:tcPr>
            <w:tcW w:w="852" w:type="dxa"/>
            <w:vMerge w:val="restart"/>
            <w:vAlign w:val="center"/>
          </w:tcPr>
          <w:p>
            <w:pPr>
              <w:spacing w:before="240"/>
              <w:jc w:val="center"/>
              <w:rPr>
                <w:rFonts w:ascii="宋体" w:hAnsi="宋体" w:cs="宋体"/>
                <w:bCs/>
                <w:color w:val="auto"/>
                <w:szCs w:val="21"/>
                <w:highlight w:val="none"/>
              </w:rPr>
            </w:pPr>
            <w:r>
              <w:rPr>
                <w:rFonts w:ascii="宋体" w:hAnsi="宋体" w:cs="宋体"/>
                <w:bCs/>
                <w:color w:val="auto"/>
                <w:szCs w:val="21"/>
                <w:highlight w:val="none"/>
              </w:rPr>
              <w:t>技术部分</w:t>
            </w:r>
          </w:p>
          <w:p>
            <w:pPr>
              <w:spacing w:before="240"/>
              <w:jc w:val="center"/>
              <w:rPr>
                <w:rFonts w:ascii="宋体" w:hAnsi="宋体" w:cs="宋体"/>
                <w:color w:val="auto"/>
                <w:szCs w:val="21"/>
                <w:highlight w:val="none"/>
              </w:rPr>
            </w:pPr>
            <w:r>
              <w:rPr>
                <w:rFonts w:ascii="宋体" w:hAnsi="宋体" w:cs="宋体"/>
                <w:color w:val="auto"/>
                <w:szCs w:val="21"/>
                <w:highlight w:val="none"/>
              </w:rPr>
              <w:t>满分</w:t>
            </w:r>
            <w:r>
              <w:rPr>
                <w:rFonts w:hint="eastAsia" w:ascii="宋体" w:hAnsi="宋体" w:cs="宋体"/>
                <w:color w:val="auto"/>
                <w:szCs w:val="21"/>
                <w:highlight w:val="none"/>
                <w:lang w:val="en-US" w:eastAsia="zh-CN"/>
              </w:rPr>
              <w:t>74</w:t>
            </w:r>
            <w:r>
              <w:rPr>
                <w:rFonts w:ascii="宋体" w:hAnsi="宋体" w:cs="宋体"/>
                <w:color w:val="auto"/>
                <w:szCs w:val="21"/>
                <w:highlight w:val="none"/>
              </w:rPr>
              <w:t>分</w:t>
            </w: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项目实施</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整体方案</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供应商依据本项目服务要求，协助用户完成整体实施方案。评委根据各供应商编制内容的实施方案的合理性、可行性、实施步骤、总体把控、项目管理、质量保障等方面进行综合评审：</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1.项目实施整体方案思路清晰、具体详细、科学、完善、合理、可行性强，完全满足采购需求，得10-7分；</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2.项目实施整体方案思路清晰，完善、合理、可行，基本满足采购需求，得7-4分；</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3.项目实施整体方案思路清晰，不完善、欠合理，不能完全满足采购需求，得4-0分；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实施流程</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实施流程科学，合理、可行，明确实施团队、实施过程、时间节点、实施流程等方面进行综合评审：</w:t>
            </w:r>
          </w:p>
          <w:p>
            <w:pPr>
              <w:widowControl/>
              <w:numPr>
                <w:ilvl w:val="0"/>
                <w:numId w:val="3"/>
              </w:numPr>
              <w:ind w:left="0" w:leftChars="0" w:firstLine="0" w:firstLineChars="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实施流程科学，合理、可行</w:t>
            </w:r>
            <w:r>
              <w:rPr>
                <w:rFonts w:hint="eastAsia" w:ascii="宋体" w:hAnsi="宋体" w:cs="宋体"/>
                <w:color w:val="auto"/>
                <w:kern w:val="0"/>
                <w:sz w:val="21"/>
                <w:szCs w:val="21"/>
                <w:highlight w:val="none"/>
                <w:lang w:val="en-US" w:eastAsia="zh-CN"/>
              </w:rPr>
              <w:t>性强，的</w:t>
            </w:r>
            <w:r>
              <w:rPr>
                <w:rFonts w:hint="eastAsia" w:ascii="宋体" w:hAnsi="宋体" w:eastAsia="宋体" w:cs="宋体"/>
                <w:color w:val="auto"/>
                <w:kern w:val="0"/>
                <w:sz w:val="21"/>
                <w:szCs w:val="21"/>
                <w:highlight w:val="none"/>
                <w:lang w:val="en-US" w:eastAsia="zh-CN"/>
              </w:rPr>
              <w:t>得10-7分</w:t>
            </w:r>
            <w:r>
              <w:rPr>
                <w:rFonts w:hint="eastAsia" w:ascii="宋体" w:hAnsi="宋体" w:cs="宋体"/>
                <w:color w:val="auto"/>
                <w:kern w:val="0"/>
                <w:sz w:val="21"/>
                <w:szCs w:val="21"/>
                <w:highlight w:val="none"/>
                <w:lang w:val="en-US" w:eastAsia="zh-CN"/>
              </w:rPr>
              <w:t>；</w:t>
            </w:r>
          </w:p>
          <w:p>
            <w:pPr>
              <w:widowControl/>
              <w:numPr>
                <w:ilvl w:val="0"/>
                <w:numId w:val="3"/>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实施流程</w:t>
            </w:r>
            <w:r>
              <w:rPr>
                <w:rFonts w:hint="eastAsia" w:ascii="宋体" w:hAnsi="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lang w:val="en-US" w:eastAsia="zh-CN"/>
              </w:rPr>
              <w:t>，合理、可行</w:t>
            </w:r>
            <w:r>
              <w:rPr>
                <w:rFonts w:hint="eastAsia" w:ascii="宋体" w:hAnsi="宋体" w:cs="宋体"/>
                <w:color w:val="auto"/>
                <w:kern w:val="0"/>
                <w:sz w:val="21"/>
                <w:szCs w:val="21"/>
                <w:highlight w:val="none"/>
                <w:lang w:val="en-US" w:eastAsia="zh-CN"/>
              </w:rPr>
              <w:t>性一般</w:t>
            </w:r>
            <w:r>
              <w:rPr>
                <w:rFonts w:hint="eastAsia" w:ascii="宋体" w:hAnsi="宋体" w:eastAsia="宋体" w:cs="宋体"/>
                <w:color w:val="auto"/>
                <w:kern w:val="0"/>
                <w:sz w:val="21"/>
                <w:szCs w:val="21"/>
                <w:highlight w:val="none"/>
                <w:lang w:val="en-US" w:eastAsia="zh-CN"/>
              </w:rPr>
              <w:t>得7-4分</w:t>
            </w:r>
            <w:r>
              <w:rPr>
                <w:rFonts w:hint="eastAsia" w:ascii="宋体" w:hAnsi="宋体" w:cs="宋体"/>
                <w:color w:val="auto"/>
                <w:kern w:val="0"/>
                <w:sz w:val="21"/>
                <w:szCs w:val="21"/>
                <w:highlight w:val="none"/>
                <w:lang w:val="en-US" w:eastAsia="zh-CN"/>
              </w:rPr>
              <w:t>；</w:t>
            </w:r>
          </w:p>
          <w:p>
            <w:pPr>
              <w:widowControl/>
              <w:numPr>
                <w:ilvl w:val="0"/>
                <w:numId w:val="3"/>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实施流程不完善、欠合理得4-0分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w:t>
            </w:r>
          </w:p>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质量保障方案能针对本项目特点编制，质量保障方案完整、工作进度计划控制措施等方面进行综合评审</w:t>
            </w:r>
            <w:r>
              <w:rPr>
                <w:rFonts w:hint="eastAsia" w:ascii="宋体" w:hAnsi="宋体" w:cs="宋体"/>
                <w:color w:val="auto"/>
                <w:kern w:val="0"/>
                <w:sz w:val="21"/>
                <w:szCs w:val="21"/>
                <w:highlight w:val="none"/>
                <w:lang w:val="en-US" w:eastAsia="zh-CN"/>
              </w:rPr>
              <w:t>：</w:t>
            </w:r>
          </w:p>
          <w:p>
            <w:pPr>
              <w:widowControl/>
              <w:numPr>
                <w:ilvl w:val="0"/>
                <w:numId w:val="4"/>
              </w:numPr>
              <w:ind w:left="0" w:leftChars="0" w:firstLine="0" w:firstLineChars="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质量保障方案能针对本项目特点编制，质量保障方案完整、工作进度计划控制措施得力、</w:t>
            </w:r>
            <w:r>
              <w:rPr>
                <w:rFonts w:hint="eastAsia" w:ascii="宋体" w:hAnsi="宋体" w:cs="宋体"/>
                <w:color w:val="auto"/>
                <w:kern w:val="0"/>
                <w:sz w:val="21"/>
                <w:szCs w:val="21"/>
                <w:highlight w:val="none"/>
                <w:lang w:val="en-US" w:eastAsia="zh-CN"/>
              </w:rPr>
              <w:t>非常</w:t>
            </w:r>
            <w:r>
              <w:rPr>
                <w:rFonts w:hint="eastAsia" w:ascii="宋体" w:hAnsi="宋体" w:eastAsia="宋体" w:cs="宋体"/>
                <w:color w:val="auto"/>
                <w:kern w:val="0"/>
                <w:sz w:val="21"/>
                <w:szCs w:val="21"/>
                <w:highlight w:val="none"/>
                <w:lang w:val="en-US" w:eastAsia="zh-CN"/>
              </w:rPr>
              <w:t>合理、可行</w:t>
            </w:r>
            <w:r>
              <w:rPr>
                <w:rFonts w:hint="eastAsia" w:ascii="宋体" w:hAnsi="宋体" w:cs="宋体"/>
                <w:color w:val="auto"/>
                <w:kern w:val="0"/>
                <w:sz w:val="21"/>
                <w:szCs w:val="21"/>
                <w:highlight w:val="none"/>
                <w:lang w:val="en-US" w:eastAsia="zh-CN"/>
              </w:rPr>
              <w:t>性强</w:t>
            </w:r>
            <w:r>
              <w:rPr>
                <w:rFonts w:hint="eastAsia" w:ascii="宋体" w:hAnsi="宋体" w:eastAsia="宋体" w:cs="宋体"/>
                <w:color w:val="auto"/>
                <w:kern w:val="0"/>
                <w:sz w:val="21"/>
                <w:szCs w:val="21"/>
                <w:highlight w:val="none"/>
                <w:lang w:val="en-US" w:eastAsia="zh-CN"/>
              </w:rPr>
              <w:t>得10-7分</w:t>
            </w:r>
            <w:r>
              <w:rPr>
                <w:rFonts w:hint="eastAsia" w:ascii="宋体" w:hAnsi="宋体" w:cs="宋体"/>
                <w:color w:val="auto"/>
                <w:kern w:val="0"/>
                <w:sz w:val="21"/>
                <w:szCs w:val="21"/>
                <w:highlight w:val="none"/>
                <w:lang w:val="en-US" w:eastAsia="zh-CN"/>
              </w:rPr>
              <w:t>；</w:t>
            </w:r>
          </w:p>
          <w:p>
            <w:pPr>
              <w:widowControl/>
              <w:numPr>
                <w:ilvl w:val="0"/>
                <w:numId w:val="4"/>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质量保障方案能针对本项目特点编制，质量保障方案完整、工作进度计划控制措施</w:t>
            </w:r>
            <w:r>
              <w:rPr>
                <w:rFonts w:hint="eastAsia" w:ascii="宋体" w:hAnsi="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lang w:val="en-US" w:eastAsia="zh-CN"/>
              </w:rPr>
              <w:t>得7-4分</w:t>
            </w:r>
          </w:p>
          <w:p>
            <w:pPr>
              <w:widowControl/>
              <w:numPr>
                <w:ilvl w:val="0"/>
                <w:numId w:val="4"/>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质量保障方案</w:t>
            </w:r>
            <w:r>
              <w:rPr>
                <w:rFonts w:hint="eastAsia" w:ascii="宋体" w:hAnsi="宋体" w:cs="宋体"/>
                <w:color w:val="auto"/>
                <w:kern w:val="0"/>
                <w:sz w:val="21"/>
                <w:szCs w:val="21"/>
                <w:highlight w:val="none"/>
                <w:lang w:val="en-US" w:eastAsia="zh-CN"/>
              </w:rPr>
              <w:t>有</w:t>
            </w:r>
            <w:r>
              <w:rPr>
                <w:rFonts w:hint="eastAsia" w:ascii="宋体" w:hAnsi="宋体" w:eastAsia="宋体" w:cs="宋体"/>
                <w:color w:val="auto"/>
                <w:kern w:val="0"/>
                <w:sz w:val="21"/>
                <w:szCs w:val="21"/>
                <w:highlight w:val="none"/>
                <w:lang w:val="en-US" w:eastAsia="zh-CN"/>
              </w:rPr>
              <w:t>能针对本项目特点编制，质量保障方案</w:t>
            </w:r>
            <w:r>
              <w:rPr>
                <w:rFonts w:hint="eastAsia" w:ascii="宋体" w:hAnsi="宋体" w:cs="宋体"/>
                <w:color w:val="auto"/>
                <w:kern w:val="0"/>
                <w:sz w:val="21"/>
                <w:szCs w:val="21"/>
                <w:highlight w:val="none"/>
                <w:lang w:val="en-US" w:eastAsia="zh-CN"/>
              </w:rPr>
              <w:t>有</w:t>
            </w:r>
            <w:r>
              <w:rPr>
                <w:rFonts w:hint="eastAsia" w:ascii="宋体" w:hAnsi="宋体" w:eastAsia="宋体" w:cs="宋体"/>
                <w:color w:val="auto"/>
                <w:kern w:val="0"/>
                <w:sz w:val="21"/>
                <w:szCs w:val="21"/>
                <w:highlight w:val="none"/>
                <w:lang w:val="en-US" w:eastAsia="zh-CN"/>
              </w:rPr>
              <w:t>完整、工作进度计划控制措施不完善、欠合理</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服务团队配备（8分）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供应商为本项目提供的人员配置方案的完整性、合理性和可操作性。方案详细、合理、可操作性强的得8-5分；方案较详细、较合理、可操作性一般的得5-2分；方案不详细、不合理、可操作性差的得2-0分；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安全管理体系与措施（10分）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工作期间，加强安全防护措施，确保安全工作，不发生各种安全事故且保证安全防护的技术组织措施等方面进行综合评审</w:t>
            </w:r>
            <w:r>
              <w:rPr>
                <w:rFonts w:hint="eastAsia" w:ascii="宋体" w:hAnsi="宋体" w:cs="宋体"/>
                <w:color w:val="auto"/>
                <w:kern w:val="0"/>
                <w:sz w:val="21"/>
                <w:szCs w:val="21"/>
                <w:highlight w:val="none"/>
                <w:lang w:val="en-US" w:eastAsia="zh-CN"/>
              </w:rPr>
              <w:t>：</w:t>
            </w:r>
          </w:p>
          <w:p>
            <w:pPr>
              <w:widowControl/>
              <w:numPr>
                <w:ilvl w:val="0"/>
                <w:numId w:val="5"/>
              </w:numPr>
              <w:ind w:left="0" w:leftChars="0" w:firstLine="0" w:firstLineChars="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安全管理体系与措施</w:t>
            </w:r>
            <w:r>
              <w:rPr>
                <w:rFonts w:hint="eastAsia" w:ascii="宋体" w:hAnsi="宋体" w:cs="宋体"/>
                <w:color w:val="auto"/>
                <w:kern w:val="0"/>
                <w:sz w:val="21"/>
                <w:szCs w:val="21"/>
                <w:highlight w:val="none"/>
                <w:lang w:val="en-US" w:eastAsia="zh-CN"/>
              </w:rPr>
              <w:t>完善非常</w:t>
            </w:r>
            <w:r>
              <w:rPr>
                <w:rFonts w:hint="eastAsia" w:ascii="宋体" w:hAnsi="宋体" w:eastAsia="宋体" w:cs="宋体"/>
                <w:color w:val="auto"/>
                <w:kern w:val="0"/>
                <w:sz w:val="21"/>
                <w:szCs w:val="21"/>
                <w:highlight w:val="none"/>
                <w:lang w:val="en-US" w:eastAsia="zh-CN"/>
              </w:rPr>
              <w:t>合理、可行</w:t>
            </w:r>
            <w:r>
              <w:rPr>
                <w:rFonts w:hint="eastAsia" w:ascii="宋体" w:hAnsi="宋体" w:cs="宋体"/>
                <w:color w:val="auto"/>
                <w:kern w:val="0"/>
                <w:sz w:val="21"/>
                <w:szCs w:val="21"/>
                <w:highlight w:val="none"/>
                <w:lang w:val="en-US" w:eastAsia="zh-CN"/>
              </w:rPr>
              <w:t>性强</w:t>
            </w:r>
            <w:r>
              <w:rPr>
                <w:rFonts w:hint="eastAsia" w:ascii="宋体" w:hAnsi="宋体" w:eastAsia="宋体" w:cs="宋体"/>
                <w:color w:val="auto"/>
                <w:kern w:val="0"/>
                <w:sz w:val="21"/>
                <w:szCs w:val="21"/>
                <w:highlight w:val="none"/>
                <w:lang w:val="en-US" w:eastAsia="zh-CN"/>
              </w:rPr>
              <w:t>得10-7分</w:t>
            </w:r>
            <w:r>
              <w:rPr>
                <w:rFonts w:hint="eastAsia" w:ascii="宋体" w:hAnsi="宋体" w:cs="宋体"/>
                <w:color w:val="auto"/>
                <w:kern w:val="0"/>
                <w:sz w:val="21"/>
                <w:szCs w:val="21"/>
                <w:highlight w:val="none"/>
                <w:lang w:val="en-US" w:eastAsia="zh-CN"/>
              </w:rPr>
              <w:t>；</w:t>
            </w:r>
          </w:p>
          <w:p>
            <w:pPr>
              <w:widowControl/>
              <w:numPr>
                <w:ilvl w:val="0"/>
                <w:numId w:val="5"/>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安全管理体系与措施较合理、可操作性一般得7-4分</w:t>
            </w:r>
            <w:r>
              <w:rPr>
                <w:rFonts w:hint="eastAsia" w:ascii="宋体" w:hAnsi="宋体" w:cs="宋体"/>
                <w:color w:val="auto"/>
                <w:kern w:val="0"/>
                <w:sz w:val="21"/>
                <w:szCs w:val="21"/>
                <w:highlight w:val="none"/>
                <w:lang w:val="en-US" w:eastAsia="zh-CN"/>
              </w:rPr>
              <w:t>；</w:t>
            </w:r>
          </w:p>
          <w:p>
            <w:pPr>
              <w:widowControl/>
              <w:numPr>
                <w:ilvl w:val="0"/>
                <w:numId w:val="5"/>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安全管理体系与措施</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lang w:val="en-US" w:eastAsia="zh-CN"/>
              </w:rPr>
              <w:t>合理、可操作性</w:t>
            </w:r>
            <w:r>
              <w:rPr>
                <w:rFonts w:hint="eastAsia" w:ascii="宋体" w:hAnsi="宋体" w:cs="宋体"/>
                <w:color w:val="auto"/>
                <w:kern w:val="0"/>
                <w:sz w:val="21"/>
                <w:szCs w:val="21"/>
                <w:highlight w:val="none"/>
                <w:lang w:val="en-US" w:eastAsia="zh-CN"/>
              </w:rPr>
              <w:t>差</w:t>
            </w:r>
            <w:r>
              <w:rPr>
                <w:rFonts w:hint="eastAsia" w:ascii="宋体" w:hAnsi="宋体" w:eastAsia="宋体" w:cs="宋体"/>
                <w:color w:val="auto"/>
                <w:kern w:val="0"/>
                <w:sz w:val="21"/>
                <w:szCs w:val="21"/>
                <w:highlight w:val="none"/>
                <w:lang w:val="en-US" w:eastAsia="zh-CN"/>
              </w:rPr>
              <w:t>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服务承诺（10分）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供应商对本项目的服务承诺，提供应急保障机制，应急方案合理、可行，应急处理措施全面、详尽的，并提供服务方案。方案详细切实可行的得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合理化建议（10分）</w:t>
            </w:r>
          </w:p>
        </w:tc>
        <w:tc>
          <w:tcPr>
            <w:tcW w:w="7763" w:type="dxa"/>
            <w:vAlign w:val="center"/>
          </w:tcPr>
          <w:p>
            <w:pPr>
              <w:widowControl/>
              <w:numPr>
                <w:ilvl w:val="0"/>
                <w:numId w:val="0"/>
              </w:numPr>
              <w:ind w:left="0" w:leftChars="0" w:firstLine="0" w:firstLineChars="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根据供应商提出在服务期内服从采购人的工作计划安排，能提出切实可行的合理化建议与措施，合理化建议是否科学适用等方面进行综合评审</w:t>
            </w:r>
            <w:r>
              <w:rPr>
                <w:rFonts w:hint="eastAsia" w:ascii="宋体" w:hAnsi="宋体" w:cs="宋体"/>
                <w:color w:val="auto"/>
                <w:kern w:val="0"/>
                <w:sz w:val="21"/>
                <w:szCs w:val="21"/>
                <w:highlight w:val="none"/>
                <w:lang w:val="en-US" w:eastAsia="zh-CN"/>
              </w:rPr>
              <w:t>：</w:t>
            </w:r>
          </w:p>
          <w:p>
            <w:pPr>
              <w:widowControl/>
              <w:numPr>
                <w:ilvl w:val="0"/>
                <w:numId w:val="6"/>
              </w:numPr>
              <w:ind w:left="0" w:leftChars="0" w:firstLine="0" w:firstLineChars="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合理化建议与措施</w:t>
            </w:r>
            <w:r>
              <w:rPr>
                <w:rFonts w:hint="eastAsia" w:ascii="宋体" w:hAnsi="宋体" w:cs="宋体"/>
                <w:color w:val="auto"/>
                <w:kern w:val="0"/>
                <w:sz w:val="21"/>
                <w:szCs w:val="21"/>
                <w:highlight w:val="none"/>
                <w:lang w:val="en-US" w:eastAsia="zh-CN"/>
              </w:rPr>
              <w:t>完善非常</w:t>
            </w:r>
            <w:r>
              <w:rPr>
                <w:rFonts w:hint="eastAsia" w:ascii="宋体" w:hAnsi="宋体" w:eastAsia="宋体" w:cs="宋体"/>
                <w:color w:val="auto"/>
                <w:kern w:val="0"/>
                <w:sz w:val="21"/>
                <w:szCs w:val="21"/>
                <w:highlight w:val="none"/>
                <w:lang w:val="en-US" w:eastAsia="zh-CN"/>
              </w:rPr>
              <w:t>科学合理得10-7分</w:t>
            </w:r>
            <w:r>
              <w:rPr>
                <w:rFonts w:hint="eastAsia" w:ascii="宋体" w:hAnsi="宋体" w:cs="宋体"/>
                <w:color w:val="auto"/>
                <w:kern w:val="0"/>
                <w:sz w:val="21"/>
                <w:szCs w:val="21"/>
                <w:highlight w:val="none"/>
                <w:lang w:val="en-US" w:eastAsia="zh-CN"/>
              </w:rPr>
              <w:t>；</w:t>
            </w:r>
          </w:p>
          <w:p>
            <w:pPr>
              <w:widowControl/>
              <w:numPr>
                <w:ilvl w:val="0"/>
                <w:numId w:val="6"/>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合理化建议与措施</w:t>
            </w:r>
            <w:r>
              <w:rPr>
                <w:rFonts w:hint="eastAsia" w:ascii="宋体" w:hAnsi="宋体" w:cs="宋体"/>
                <w:color w:val="auto"/>
                <w:kern w:val="0"/>
                <w:sz w:val="21"/>
                <w:szCs w:val="21"/>
                <w:highlight w:val="none"/>
                <w:lang w:val="en-US" w:eastAsia="zh-CN"/>
              </w:rPr>
              <w:t>较</w:t>
            </w:r>
            <w:r>
              <w:rPr>
                <w:rFonts w:hint="eastAsia" w:ascii="宋体" w:hAnsi="宋体" w:eastAsia="宋体" w:cs="宋体"/>
                <w:color w:val="auto"/>
                <w:kern w:val="0"/>
                <w:sz w:val="21"/>
                <w:szCs w:val="21"/>
                <w:highlight w:val="none"/>
                <w:lang w:val="en-US" w:eastAsia="zh-CN"/>
              </w:rPr>
              <w:t>合理得7-4分</w:t>
            </w:r>
            <w:r>
              <w:rPr>
                <w:rFonts w:hint="eastAsia" w:ascii="宋体" w:hAnsi="宋体" w:cs="宋体"/>
                <w:color w:val="auto"/>
                <w:kern w:val="0"/>
                <w:sz w:val="21"/>
                <w:szCs w:val="21"/>
                <w:highlight w:val="none"/>
                <w:lang w:val="en-US" w:eastAsia="zh-CN"/>
              </w:rPr>
              <w:t>；</w:t>
            </w:r>
          </w:p>
          <w:p>
            <w:pPr>
              <w:widowControl/>
              <w:numPr>
                <w:ilvl w:val="0"/>
                <w:numId w:val="6"/>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合理化建议与措施一般</w:t>
            </w:r>
            <w:r>
              <w:rPr>
                <w:rFonts w:hint="eastAsia" w:ascii="宋体" w:hAnsi="宋体" w:cs="宋体"/>
                <w:color w:val="auto"/>
                <w:kern w:val="0"/>
                <w:sz w:val="21"/>
                <w:szCs w:val="21"/>
                <w:highlight w:val="none"/>
                <w:lang w:val="en-US" w:eastAsia="zh-CN"/>
              </w:rPr>
              <w:t>，不合理</w:t>
            </w:r>
            <w:r>
              <w:rPr>
                <w:rFonts w:hint="eastAsia" w:ascii="宋体" w:hAnsi="宋体" w:eastAsia="宋体" w:cs="宋体"/>
                <w:color w:val="auto"/>
                <w:kern w:val="0"/>
                <w:sz w:val="21"/>
                <w:szCs w:val="21"/>
                <w:highlight w:val="none"/>
                <w:lang w:val="en-US" w:eastAsia="zh-CN"/>
              </w:rPr>
              <w:t>得4-0分</w:t>
            </w:r>
            <w:r>
              <w:rPr>
                <w:rFonts w:hint="eastAsia" w:ascii="宋体" w:hAnsi="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资源配置（4分）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拟投入本项目使用机械、辅助作业设备、先进技术、指挥和操作人员服务经验及技术水平、监管及实时监测及后勤服务等资源配置科学先进、可操作性强得4-2分，资源配置较可行、可操作性较强得2-1分，资源配置不可行、可操作性弱的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852" w:type="dxa"/>
            <w:vMerge w:val="continue"/>
            <w:vAlign w:val="center"/>
          </w:tcPr>
          <w:p>
            <w:pPr>
              <w:spacing w:before="240"/>
              <w:jc w:val="center"/>
              <w:rPr>
                <w:rFonts w:ascii="宋体" w:hAnsi="宋体" w:cs="宋体"/>
                <w:color w:val="auto"/>
                <w:szCs w:val="21"/>
                <w:highlight w:val="none"/>
              </w:rPr>
            </w:pPr>
          </w:p>
        </w:tc>
        <w:tc>
          <w:tcPr>
            <w:tcW w:w="1116"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响应文件及制作（2分）</w:t>
            </w:r>
          </w:p>
        </w:tc>
        <w:tc>
          <w:tcPr>
            <w:tcW w:w="7763" w:type="dxa"/>
            <w:vAlign w:val="center"/>
          </w:tcPr>
          <w:p>
            <w:pPr>
              <w:widowControl/>
              <w:numPr>
                <w:ilvl w:val="0"/>
                <w:numId w:val="0"/>
              </w:numPr>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编制完整，格式规范、编制整齐、符合采购文件要求的，得2分；响应文件有关内容前后矛盾、与招标文件要求不一致等，评标小组允许且需要通过询标等程序进行澄清的，该项不得分；响应文件存在其他错漏的，每项（次）扣0.5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3</w:t>
            </w:r>
          </w:p>
        </w:tc>
        <w:tc>
          <w:tcPr>
            <w:tcW w:w="852" w:type="dxa"/>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商务部分</w:t>
            </w:r>
          </w:p>
          <w:p>
            <w:pPr>
              <w:jc w:val="center"/>
              <w:rPr>
                <w:rFonts w:ascii="宋体" w:hAnsi="宋体" w:cs="宋体"/>
                <w:color w:val="auto"/>
                <w:sz w:val="21"/>
                <w:szCs w:val="21"/>
                <w:highlight w:val="none"/>
              </w:rPr>
            </w:pPr>
            <w:r>
              <w:rPr>
                <w:rFonts w:ascii="宋体" w:hAnsi="宋体" w:cs="宋体"/>
                <w:color w:val="auto"/>
                <w:sz w:val="21"/>
                <w:szCs w:val="21"/>
                <w:highlight w:val="none"/>
              </w:rPr>
              <w:t>满分</w:t>
            </w: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分</w:t>
            </w:r>
          </w:p>
        </w:tc>
        <w:tc>
          <w:tcPr>
            <w:tcW w:w="1116" w:type="dxa"/>
            <w:vAlign w:val="center"/>
          </w:tcPr>
          <w:p>
            <w:pPr>
              <w:spacing w:before="62" w:line="229" w:lineRule="auto"/>
              <w:jc w:val="left"/>
              <w:rPr>
                <w:rFonts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类似项目业绩（</w:t>
            </w:r>
            <w:r>
              <w:rPr>
                <w:rFonts w:hint="eastAsia" w:ascii="宋体" w:hAnsi="宋体" w:cs="宋体"/>
                <w:color w:val="auto"/>
                <w:spacing w:val="9"/>
                <w:sz w:val="21"/>
                <w:szCs w:val="21"/>
                <w:highlight w:val="none"/>
                <w:lang w:val="en-US" w:eastAsia="zh-CN"/>
              </w:rPr>
              <w:t>6</w:t>
            </w:r>
            <w:r>
              <w:rPr>
                <w:rFonts w:hint="eastAsia" w:ascii="宋体" w:hAnsi="宋体" w:eastAsia="宋体" w:cs="宋体"/>
                <w:color w:val="auto"/>
                <w:spacing w:val="9"/>
                <w:sz w:val="21"/>
                <w:szCs w:val="21"/>
                <w:highlight w:val="none"/>
                <w:lang w:val="en-US" w:eastAsia="zh-CN"/>
              </w:rPr>
              <w:t>分）</w:t>
            </w:r>
          </w:p>
        </w:tc>
        <w:tc>
          <w:tcPr>
            <w:tcW w:w="7763" w:type="dxa"/>
            <w:vAlign w:val="center"/>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供应商2020 年1月 1 日（以合同签订日为准）至今完成过类似项目业绩的每个得</w:t>
            </w:r>
            <w:r>
              <w:rPr>
                <w:rFonts w:hint="eastAsia" w:ascii="宋体" w:hAnsi="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lang w:val="en-US" w:eastAsia="zh-CN"/>
              </w:rPr>
              <w:t>分，最多得</w:t>
            </w:r>
            <w:r>
              <w:rPr>
                <w:rFonts w:hint="eastAsia" w:ascii="宋体" w:hAnsi="宋体" w:cs="宋体"/>
                <w:color w:val="auto"/>
                <w:spacing w:val="9"/>
                <w:sz w:val="21"/>
                <w:szCs w:val="21"/>
                <w:highlight w:val="none"/>
                <w:lang w:val="en-US" w:eastAsia="zh-CN"/>
              </w:rPr>
              <w:t>6</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ascii="宋体" w:hAnsi="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注：投标文件中附业绩合同(合同至少包括首页、主要内容页、双方签章页、签署日期页，否则不予认可)原件扫描件并加盖投标人公章，否则不得分。</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4"/>
        <w:spacing w:line="240" w:lineRule="auto"/>
        <w:rPr>
          <w:rFonts w:ascii="宋体" w:hAnsi="宋体" w:eastAsia="宋体" w:cs="宋体"/>
          <w:color w:val="auto"/>
          <w:highlight w:val="none"/>
        </w:rPr>
      </w:pPr>
      <w:bookmarkStart w:id="454" w:name="_Toc29956"/>
      <w:r>
        <w:rPr>
          <w:rFonts w:hint="eastAsia" w:ascii="宋体" w:hAnsi="宋体" w:eastAsia="宋体" w:cs="宋体"/>
          <w:color w:val="auto"/>
          <w:highlight w:val="none"/>
        </w:rPr>
        <w:t>1. 评标方法</w:t>
      </w:r>
      <w:bookmarkEnd w:id="442"/>
      <w:bookmarkEnd w:id="443"/>
      <w:bookmarkEnd w:id="444"/>
      <w:bookmarkEnd w:id="445"/>
      <w:bookmarkEnd w:id="446"/>
      <w:bookmarkEnd w:id="447"/>
      <w:bookmarkEnd w:id="448"/>
      <w:bookmarkEnd w:id="449"/>
      <w:bookmarkEnd w:id="450"/>
      <w:bookmarkEnd w:id="451"/>
      <w:bookmarkEnd w:id="452"/>
      <w:bookmarkEnd w:id="45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本次评标采用综合评分法。投标文件是评委评审的直接依据，评标委员会按照公平、公正、科学、择优的评标原则，对满足招标文件实质性要求的投标文件，按照本章规定的评分标准进行打分，并按得分由高到低顺序推荐中标候选人，或根据采购人授权直接确定中标人，但投标报价低于其成本的除外。得分相同的，按投标报价由低到高顺序排列。得分相同且投标报价也相同的，按技术指标优劣顺序排列。</w:t>
      </w:r>
    </w:p>
    <w:p>
      <w:pPr>
        <w:pStyle w:val="4"/>
        <w:rPr>
          <w:rFonts w:ascii="宋体" w:hAnsi="宋体" w:eastAsia="宋体" w:cs="宋体"/>
          <w:color w:val="auto"/>
          <w:highlight w:val="none"/>
        </w:rPr>
      </w:pPr>
      <w:bookmarkStart w:id="455" w:name="_Toc144974568"/>
      <w:bookmarkStart w:id="456" w:name="_Toc152045601"/>
      <w:bookmarkStart w:id="457" w:name="_Toc246996987"/>
      <w:bookmarkStart w:id="458" w:name="_Toc247085759"/>
      <w:bookmarkStart w:id="459" w:name="_Toc338840240"/>
      <w:bookmarkStart w:id="460" w:name="_Toc5346"/>
      <w:bookmarkStart w:id="461" w:name="_Toc346523415"/>
      <w:bookmarkStart w:id="462" w:name="_Toc179632619"/>
      <w:bookmarkStart w:id="463" w:name="_Toc338840494"/>
      <w:bookmarkStart w:id="464" w:name="_Toc338840455"/>
      <w:bookmarkStart w:id="465" w:name="_Toc246996244"/>
      <w:bookmarkStart w:id="466" w:name="_Toc152042378"/>
      <w:r>
        <w:rPr>
          <w:rFonts w:hint="eastAsia" w:ascii="宋体" w:hAnsi="宋体" w:eastAsia="宋体" w:cs="宋体"/>
          <w:color w:val="auto"/>
          <w:highlight w:val="none"/>
        </w:rPr>
        <w:t>2. 评审标准</w:t>
      </w:r>
      <w:bookmarkEnd w:id="455"/>
      <w:bookmarkEnd w:id="456"/>
      <w:bookmarkEnd w:id="457"/>
      <w:bookmarkEnd w:id="458"/>
      <w:bookmarkEnd w:id="459"/>
      <w:bookmarkEnd w:id="460"/>
      <w:bookmarkEnd w:id="461"/>
      <w:bookmarkEnd w:id="462"/>
      <w:bookmarkEnd w:id="463"/>
      <w:bookmarkEnd w:id="464"/>
      <w:bookmarkEnd w:id="465"/>
      <w:bookmarkEnd w:id="466"/>
    </w:p>
    <w:p>
      <w:pPr>
        <w:pStyle w:val="5"/>
        <w:rPr>
          <w:rFonts w:ascii="宋体" w:hAnsi="宋体" w:cs="宋体"/>
          <w:color w:val="auto"/>
          <w:highlight w:val="none"/>
        </w:rPr>
      </w:pPr>
      <w:bookmarkStart w:id="467" w:name="_Toc152042379"/>
      <w:bookmarkStart w:id="468" w:name="_Toc247085760"/>
      <w:bookmarkStart w:id="469" w:name="_Toc246996988"/>
      <w:bookmarkStart w:id="470" w:name="_Toc246996245"/>
      <w:bookmarkStart w:id="471" w:name="_Toc144974569"/>
      <w:bookmarkStart w:id="472" w:name="_Toc152045602"/>
      <w:bookmarkStart w:id="473" w:name="_Toc338840241"/>
      <w:bookmarkStart w:id="474" w:name="_Toc179632620"/>
      <w:r>
        <w:rPr>
          <w:rFonts w:hint="eastAsia" w:ascii="宋体" w:hAnsi="宋体" w:cs="宋体"/>
          <w:color w:val="auto"/>
          <w:highlight w:val="none"/>
        </w:rPr>
        <w:t>2.1 初步评审标准</w:t>
      </w:r>
      <w:bookmarkEnd w:id="467"/>
      <w:bookmarkEnd w:id="468"/>
      <w:bookmarkEnd w:id="469"/>
      <w:bookmarkEnd w:id="470"/>
      <w:bookmarkEnd w:id="471"/>
      <w:bookmarkEnd w:id="472"/>
      <w:bookmarkEnd w:id="473"/>
      <w:bookmarkEnd w:id="47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2.1.1资格性审查：见评标办法前附表。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2.1.2符合性审查：见评标办法前附表。</w:t>
      </w:r>
    </w:p>
    <w:p>
      <w:pPr>
        <w:pStyle w:val="5"/>
        <w:rPr>
          <w:rFonts w:ascii="宋体" w:hAnsi="宋体" w:cs="宋体"/>
          <w:color w:val="auto"/>
          <w:highlight w:val="none"/>
        </w:rPr>
      </w:pPr>
      <w:bookmarkStart w:id="475" w:name="_Toc152045603"/>
      <w:bookmarkStart w:id="476" w:name="_Toc246996246"/>
      <w:bookmarkStart w:id="477" w:name="_Toc246996989"/>
      <w:bookmarkStart w:id="478" w:name="_Toc247085761"/>
      <w:bookmarkStart w:id="479" w:name="_Toc152042380"/>
      <w:bookmarkStart w:id="480" w:name="_Toc179632621"/>
      <w:bookmarkStart w:id="481" w:name="_Toc144974570"/>
      <w:bookmarkStart w:id="482" w:name="_Toc338840242"/>
      <w:r>
        <w:rPr>
          <w:rFonts w:hint="eastAsia" w:ascii="宋体" w:hAnsi="宋体" w:cs="宋体"/>
          <w:color w:val="auto"/>
          <w:highlight w:val="none"/>
        </w:rPr>
        <w:t>2.2 分值构成与评分标准</w:t>
      </w:r>
      <w:bookmarkEnd w:id="475"/>
      <w:bookmarkEnd w:id="476"/>
      <w:bookmarkEnd w:id="477"/>
      <w:bookmarkEnd w:id="478"/>
      <w:bookmarkEnd w:id="479"/>
      <w:bookmarkEnd w:id="480"/>
      <w:bookmarkEnd w:id="481"/>
      <w:bookmarkEnd w:id="48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分值构成</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（1）投标报价：见评标办法前附表；</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（2）商务部分：见评标办法前附表；</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（3）技术部分：见评标办法前附表；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pPr>
        <w:spacing w:line="400" w:lineRule="exact"/>
        <w:ind w:firstLine="840" w:firstLineChars="400"/>
        <w:rPr>
          <w:rFonts w:ascii="宋体" w:hAnsi="宋体" w:cs="宋体"/>
          <w:color w:val="auto"/>
          <w:highlight w:val="none"/>
        </w:rPr>
      </w:pPr>
      <w:r>
        <w:rPr>
          <w:rFonts w:hint="eastAsia" w:ascii="宋体" w:hAnsi="宋体" w:cs="宋体"/>
          <w:color w:val="auto"/>
          <w:highlight w:val="none"/>
        </w:rPr>
        <w:t>评标基准价计算方法：见评标办法前附表。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2.2.3 投标报价得分的计算</w:t>
      </w:r>
    </w:p>
    <w:p>
      <w:pPr>
        <w:spacing w:line="400" w:lineRule="exact"/>
        <w:ind w:firstLine="840" w:firstLineChars="400"/>
        <w:rPr>
          <w:rFonts w:ascii="宋体" w:hAnsi="宋体" w:cs="宋体"/>
          <w:color w:val="auto"/>
          <w:highlight w:val="none"/>
        </w:rPr>
      </w:pPr>
      <w:r>
        <w:rPr>
          <w:rFonts w:hint="eastAsia" w:ascii="宋体" w:hAnsi="宋体" w:cs="宋体"/>
          <w:color w:val="auto"/>
          <w:highlight w:val="none"/>
        </w:rPr>
        <w:t>投标报价得分的计算方法：见评标办法前附表。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2.2.4 评分标准</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（1）商务部分评分标准：见评标办法前附表；</w:t>
      </w:r>
    </w:p>
    <w:p>
      <w:pPr>
        <w:spacing w:line="400" w:lineRule="exact"/>
        <w:ind w:firstLine="718" w:firstLineChars="342"/>
        <w:rPr>
          <w:rFonts w:ascii="宋体" w:hAnsi="宋体" w:cs="宋体"/>
          <w:color w:val="auto"/>
          <w:sz w:val="2"/>
          <w:szCs w:val="6"/>
          <w:highlight w:val="none"/>
        </w:rPr>
      </w:pPr>
      <w:r>
        <w:rPr>
          <w:rFonts w:hint="eastAsia" w:ascii="宋体" w:hAnsi="宋体" w:cs="宋体"/>
          <w:color w:val="auto"/>
          <w:highlight w:val="none"/>
        </w:rPr>
        <w:t>（2）技术部分评分标准：见评标办法前附表；　</w:t>
      </w:r>
      <w:r>
        <w:rPr>
          <w:rFonts w:hint="eastAsia" w:ascii="宋体" w:hAnsi="宋体" w:cs="宋体"/>
          <w:color w:val="auto"/>
          <w:sz w:val="2"/>
          <w:szCs w:val="6"/>
          <w:highlight w:val="none"/>
        </w:rPr>
        <w:t>　</w:t>
      </w:r>
    </w:p>
    <w:p>
      <w:pPr>
        <w:pStyle w:val="4"/>
        <w:rPr>
          <w:rFonts w:ascii="宋体" w:hAnsi="宋体" w:eastAsia="宋体" w:cs="宋体"/>
          <w:color w:val="auto"/>
          <w:highlight w:val="none"/>
        </w:rPr>
      </w:pPr>
      <w:bookmarkStart w:id="483" w:name="_Toc144974571"/>
      <w:bookmarkStart w:id="484" w:name="_Toc246996247"/>
      <w:bookmarkStart w:id="485" w:name="_Toc247085762"/>
      <w:bookmarkStart w:id="486" w:name="_Toc246996990"/>
      <w:bookmarkStart w:id="487" w:name="_Toc179632622"/>
      <w:bookmarkStart w:id="488" w:name="_Toc338840243"/>
      <w:bookmarkStart w:id="489" w:name="_Toc20787"/>
      <w:bookmarkStart w:id="490" w:name="_Toc152042381"/>
      <w:bookmarkStart w:id="491" w:name="_Toc338840456"/>
      <w:bookmarkStart w:id="492" w:name="_Toc346523416"/>
      <w:bookmarkStart w:id="493" w:name="_Toc152045604"/>
      <w:bookmarkStart w:id="494" w:name="_Toc338840495"/>
      <w:r>
        <w:rPr>
          <w:rFonts w:hint="eastAsia" w:ascii="宋体" w:hAnsi="宋体" w:eastAsia="宋体" w:cs="宋体"/>
          <w:color w:val="auto"/>
          <w:highlight w:val="none"/>
        </w:rPr>
        <w:t>3. 评标程序</w:t>
      </w:r>
      <w:bookmarkEnd w:id="483"/>
      <w:bookmarkEnd w:id="484"/>
      <w:bookmarkEnd w:id="485"/>
      <w:bookmarkEnd w:id="486"/>
      <w:bookmarkEnd w:id="487"/>
      <w:bookmarkEnd w:id="488"/>
      <w:bookmarkEnd w:id="489"/>
      <w:bookmarkEnd w:id="490"/>
      <w:bookmarkEnd w:id="491"/>
      <w:bookmarkEnd w:id="492"/>
      <w:bookmarkEnd w:id="493"/>
      <w:bookmarkEnd w:id="494"/>
    </w:p>
    <w:p>
      <w:pPr>
        <w:pStyle w:val="5"/>
        <w:rPr>
          <w:rFonts w:ascii="宋体" w:hAnsi="宋体" w:cs="宋体"/>
          <w:color w:val="auto"/>
          <w:highlight w:val="none"/>
        </w:rPr>
      </w:pPr>
      <w:bookmarkStart w:id="495" w:name="_Toc152045605"/>
      <w:bookmarkStart w:id="496" w:name="_Toc338840244"/>
      <w:bookmarkStart w:id="497" w:name="_Toc144974572"/>
      <w:bookmarkStart w:id="498" w:name="_Toc246996991"/>
      <w:bookmarkStart w:id="499" w:name="_Toc152042382"/>
      <w:bookmarkStart w:id="500" w:name="_Toc246996248"/>
      <w:bookmarkStart w:id="501" w:name="_Toc179632623"/>
      <w:bookmarkStart w:id="502" w:name="_Toc247085763"/>
      <w:r>
        <w:rPr>
          <w:rFonts w:hint="eastAsia" w:ascii="宋体" w:hAnsi="宋体" w:cs="宋体"/>
          <w:color w:val="auto"/>
          <w:highlight w:val="none"/>
        </w:rPr>
        <w:t>3.1 初步评审</w:t>
      </w:r>
      <w:bookmarkEnd w:id="495"/>
      <w:bookmarkEnd w:id="496"/>
      <w:bookmarkEnd w:id="497"/>
      <w:bookmarkEnd w:id="498"/>
      <w:bookmarkEnd w:id="499"/>
      <w:bookmarkEnd w:id="500"/>
      <w:bookmarkEnd w:id="501"/>
      <w:bookmarkEnd w:id="50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3.1.1 评标委员会可以要求供应商提交第二章“供应商须知”第3.5项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3.1.2 供应商有以下情形之一的，评标委员会应当否决其投标：</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（1）第二章“供应商须知”第1.4.2项规定的任何一种情形的；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（2）串通投标或弄虚作假或有其他违法行为的；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（3）不按评标委员会要求澄清、说明或补正的。</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3.1.3投标报价有算术错误的，评标委员会按以下原则对投标报价进行修正，修正的价格经供应商书面确认后具有约束力。供应商不接受修正价格的，评标委员会应当否决其投标。</w:t>
      </w:r>
    </w:p>
    <w:p>
      <w:pPr>
        <w:spacing w:line="400" w:lineRule="exact"/>
        <w:ind w:firstLine="718" w:firstLineChars="342"/>
        <w:rPr>
          <w:rFonts w:ascii="宋体" w:hAnsi="宋体" w:cs="宋体"/>
          <w:color w:val="auto"/>
          <w:highlight w:val="none"/>
        </w:rPr>
      </w:pPr>
      <w:bookmarkStart w:id="503" w:name="_Toc152042383"/>
      <w:r>
        <w:rPr>
          <w:rFonts w:hint="eastAsia" w:ascii="宋体" w:hAnsi="宋体" w:cs="宋体"/>
          <w:color w:val="auto"/>
          <w:highlight w:val="none"/>
        </w:rPr>
        <w:t>（1）投标文件中的大写金额与小写金额不一致的，以大写金额为准；</w:t>
      </w:r>
      <w:bookmarkEnd w:id="503"/>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pPr>
        <w:pStyle w:val="5"/>
        <w:rPr>
          <w:rFonts w:ascii="宋体" w:hAnsi="宋体" w:cs="宋体"/>
          <w:color w:val="auto"/>
          <w:highlight w:val="none"/>
        </w:rPr>
      </w:pPr>
      <w:bookmarkStart w:id="504" w:name="_Toc144974573"/>
      <w:bookmarkStart w:id="505" w:name="_Toc179632624"/>
      <w:bookmarkStart w:id="506" w:name="_Toc152045606"/>
      <w:bookmarkStart w:id="507" w:name="_Toc246996992"/>
      <w:bookmarkStart w:id="508" w:name="_Toc338840245"/>
      <w:bookmarkStart w:id="509" w:name="_Toc152042384"/>
      <w:bookmarkStart w:id="510" w:name="_Toc247085764"/>
      <w:bookmarkStart w:id="511" w:name="_Toc246996249"/>
      <w:r>
        <w:rPr>
          <w:rFonts w:hint="eastAsia" w:ascii="宋体" w:hAnsi="宋体" w:cs="宋体"/>
          <w:color w:val="auto"/>
          <w:highlight w:val="none"/>
        </w:rPr>
        <w:t>3.2 详细评审</w:t>
      </w:r>
      <w:bookmarkEnd w:id="504"/>
      <w:bookmarkEnd w:id="505"/>
      <w:bookmarkEnd w:id="506"/>
      <w:bookmarkEnd w:id="507"/>
      <w:bookmarkEnd w:id="508"/>
      <w:bookmarkEnd w:id="509"/>
      <w:bookmarkEnd w:id="510"/>
      <w:bookmarkEnd w:id="51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评标委员会按本章第2.2款规定的量化因素和分值进行打分，并计算出综合评分得分。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供应商得分=各评分因素得分相加。</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 评标委员会发现供应商的报价明显低于其他投标报价，使得其投标报价可能低于其个别成本的，应当要求该供应商作出书面说明并提供相应的证明材料。供应商不能合理说明或者不能提供相应证明材料的，评标委员会应当认定该供应商以低于成本报价竞标，否决其投标。详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3.2.5招标文件要求提供原件备查的项目，详见评标办法前附表。</w:t>
      </w:r>
    </w:p>
    <w:p>
      <w:pPr>
        <w:pStyle w:val="5"/>
        <w:rPr>
          <w:rFonts w:ascii="宋体" w:hAnsi="宋体" w:cs="宋体"/>
          <w:color w:val="auto"/>
          <w:highlight w:val="none"/>
        </w:rPr>
      </w:pPr>
      <w:bookmarkStart w:id="512" w:name="_Toc144974575"/>
      <w:bookmarkStart w:id="513" w:name="_Toc152045607"/>
      <w:bookmarkStart w:id="514" w:name="_Toc152042385"/>
      <w:bookmarkStart w:id="515" w:name="_Toc338840246"/>
      <w:bookmarkStart w:id="516" w:name="_Toc179632625"/>
      <w:bookmarkStart w:id="517" w:name="_Toc246996993"/>
      <w:bookmarkStart w:id="518" w:name="_Toc247085765"/>
      <w:bookmarkStart w:id="519" w:name="_Toc246996250"/>
      <w:r>
        <w:rPr>
          <w:rFonts w:hint="eastAsia" w:ascii="宋体" w:hAnsi="宋体" w:cs="宋体"/>
          <w:color w:val="auto"/>
          <w:highlight w:val="none"/>
        </w:rPr>
        <w:t>3.3 投标文件的澄清</w:t>
      </w:r>
      <w:bookmarkEnd w:id="512"/>
      <w:r>
        <w:rPr>
          <w:rFonts w:hint="eastAsia" w:ascii="宋体" w:hAnsi="宋体" w:cs="宋体"/>
          <w:color w:val="auto"/>
          <w:highlight w:val="none"/>
        </w:rPr>
        <w:t>和补正</w:t>
      </w:r>
      <w:bookmarkEnd w:id="513"/>
      <w:bookmarkEnd w:id="514"/>
      <w:bookmarkEnd w:id="515"/>
      <w:bookmarkEnd w:id="516"/>
      <w:bookmarkEnd w:id="517"/>
      <w:bookmarkEnd w:id="518"/>
      <w:bookmarkEnd w:id="51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在评标过程中，评标委员会可以书面形式要求供应商对所提交投标文件中不明确的内容进行书面澄清或说明，或者对细微偏差进行补正。评标委员会不接受供应商主动提出的澄清、说明或补正。评标委员会拒绝供应商通过修正或撤消不符合要求的偏差，使之成为具有响应性的投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 澄清、说明和补正不得改变投标文件的实质性内容。供应商的书面澄清、说明和补正属于投标文件的组成部分。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3.3.3 评标委员会对供应商提交的澄清、说明或补正有疑问的，可以要求供应商进一步澄清、说明或补正，直至满足评标委员会的要求。</w:t>
      </w:r>
    </w:p>
    <w:p>
      <w:pPr>
        <w:pStyle w:val="5"/>
        <w:rPr>
          <w:rFonts w:ascii="宋体" w:hAnsi="宋体" w:cs="宋体"/>
          <w:color w:val="auto"/>
          <w:highlight w:val="none"/>
        </w:rPr>
      </w:pPr>
      <w:bookmarkStart w:id="520" w:name="_Toc179632626"/>
      <w:bookmarkStart w:id="521" w:name="_Toc338840247"/>
      <w:bookmarkStart w:id="522" w:name="_Toc152045608"/>
      <w:bookmarkStart w:id="523" w:name="_Toc144974576"/>
      <w:bookmarkStart w:id="524" w:name="_Toc246996251"/>
      <w:bookmarkStart w:id="525" w:name="_Toc246996994"/>
      <w:bookmarkStart w:id="526" w:name="_Toc247085766"/>
      <w:bookmarkStart w:id="527" w:name="_Toc152042386"/>
      <w:r>
        <w:rPr>
          <w:rFonts w:hint="eastAsia" w:ascii="宋体" w:hAnsi="宋体" w:cs="宋体"/>
          <w:color w:val="auto"/>
          <w:highlight w:val="none"/>
        </w:rPr>
        <w:t>3.4 评标结果</w:t>
      </w:r>
      <w:bookmarkEnd w:id="520"/>
      <w:bookmarkEnd w:id="521"/>
      <w:bookmarkEnd w:id="522"/>
      <w:bookmarkEnd w:id="523"/>
      <w:bookmarkEnd w:id="524"/>
      <w:bookmarkEnd w:id="525"/>
      <w:bookmarkEnd w:id="526"/>
      <w:bookmarkEnd w:id="52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3.4.1除第二章“供应商须知”前附表授权直接确定中标人外，评标委员会按照得分由高到低的顺序推荐中标候选人。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3.4.2 评标委员会完成评标后，应当向采购人提交书面评标报告。</w:t>
      </w:r>
    </w:p>
    <w:p>
      <w:pPr>
        <w:spacing w:line="420" w:lineRule="exact"/>
        <w:outlineLvl w:val="1"/>
        <w:rPr>
          <w:rFonts w:ascii="宋体" w:hAnsi="宋体" w:cs="宋体"/>
          <w:color w:val="auto"/>
          <w:sz w:val="24"/>
          <w:highlight w:val="none"/>
        </w:rPr>
      </w:pPr>
      <w:r>
        <w:rPr>
          <w:rFonts w:hint="eastAsia" w:ascii="宋体" w:hAnsi="宋体" w:cs="宋体"/>
          <w:color w:val="auto"/>
          <w:highlight w:val="none"/>
        </w:rPr>
        <w:br w:type="page"/>
      </w:r>
      <w:bookmarkStart w:id="528" w:name="_Toc338840457"/>
      <w:bookmarkStart w:id="529" w:name="_Toc338840496"/>
      <w:bookmarkStart w:id="530" w:name="_Toc346523417"/>
      <w:bookmarkStart w:id="531" w:name="_Toc50"/>
      <w:bookmarkStart w:id="532" w:name="_Toc338840248"/>
      <w:r>
        <w:rPr>
          <w:rFonts w:hint="eastAsia" w:ascii="宋体" w:hAnsi="宋体" w:cs="宋体"/>
          <w:color w:val="auto"/>
          <w:sz w:val="24"/>
          <w:highlight w:val="none"/>
        </w:rPr>
        <w:t>附件A:评标程序补充</w:t>
      </w:r>
      <w:bookmarkEnd w:id="528"/>
      <w:bookmarkEnd w:id="529"/>
      <w:bookmarkEnd w:id="530"/>
      <w:bookmarkEnd w:id="531"/>
      <w:bookmarkEnd w:id="532"/>
    </w:p>
    <w:p>
      <w:pPr>
        <w:spacing w:beforeLines="70" w:afterLines="70" w:line="4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评标程序补充</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A0.总  则</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本附件是本章“评标办法”的组成部分，是对本章第3条所规定的评标程序的进一步</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细化补充。</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A1.基本程序</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评标活动按以下五个步骤进行：</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（1）评标准备；</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（2）初步评审；</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（3）详细评审；</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（4）澄清、说明或补正；</w:t>
      </w:r>
    </w:p>
    <w:p>
      <w:pPr>
        <w:spacing w:beforeLines="30" w:after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（5）推荐中标候选人或者直接确定中标人及提交评标报告。</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A2.评标准备</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A2.1评标委员会成员签到</w:t>
      </w:r>
    </w:p>
    <w:p>
      <w:pPr>
        <w:spacing w:line="420" w:lineRule="exact"/>
        <w:rPr>
          <w:rFonts w:ascii="宋体" w:hAnsi="宋体" w:cs="宋体"/>
          <w:b/>
          <w:color w:val="auto"/>
          <w:szCs w:val="21"/>
          <w:highlight w:val="none"/>
          <w:u w:val="single"/>
        </w:rPr>
      </w:pPr>
      <w:r>
        <w:rPr>
          <w:rFonts w:hint="eastAsia" w:ascii="宋体" w:hAnsi="宋体" w:cs="宋体"/>
          <w:color w:val="auto"/>
          <w:szCs w:val="21"/>
          <w:highlight w:val="none"/>
        </w:rPr>
        <w:t>评标委员会成员到达评标现场时应在签到表上签到以证明其出席。</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A2.2评标委员会的分工</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评标委员会首先推选一名评标委员会主任。评标委员会主任负责评标活动的组织领导工作。评标委员会主任在与其他评标委员会成员商议的基础上可以将评标委员会划分为技术组和商务组。</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A2.3熟悉文件资料</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2.3.1评标委员会主任应组织评标委员会成员认真研究招标文件，了解和熟悉招标目的、招标范围、主要合同条件、技术标准和要求、质量标准和供货（服务）期要求，掌握评标标准和方法，熟悉评标表格的使用。未在招标文件中规定的标准和方法不得作为评标的依据。</w:t>
      </w:r>
    </w:p>
    <w:p>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2.3.2采购人或招标代理机构应向评标委员会提供评标所需的信息和数据，包括招标文件、未在开标会上当场拒绝的各投标文件、开标会记录、有关的法律、法规、规章、国家标准以及采购人或评标委员会认为必要的其他信息和数据。</w:t>
      </w:r>
    </w:p>
    <w:p>
      <w:pPr>
        <w:adjustRightInd w:val="0"/>
        <w:snapToGrid w:val="0"/>
        <w:spacing w:beforeLines="20" w:line="402" w:lineRule="atLeast"/>
        <w:rPr>
          <w:rFonts w:ascii="宋体" w:hAnsi="宋体" w:cs="宋体"/>
          <w:b/>
          <w:color w:val="auto"/>
          <w:szCs w:val="21"/>
          <w:highlight w:val="none"/>
        </w:rPr>
      </w:pPr>
      <w:r>
        <w:rPr>
          <w:rFonts w:hint="eastAsia" w:ascii="宋体" w:hAnsi="宋体" w:cs="宋体"/>
          <w:b/>
          <w:color w:val="auto"/>
          <w:szCs w:val="21"/>
          <w:highlight w:val="none"/>
        </w:rPr>
        <w:t>A3初步评审</w:t>
      </w:r>
    </w:p>
    <w:p>
      <w:pPr>
        <w:adjustRightInd w:val="0"/>
        <w:snapToGrid w:val="0"/>
        <w:spacing w:line="402" w:lineRule="atLeast"/>
        <w:rPr>
          <w:rFonts w:ascii="宋体" w:hAnsi="宋体" w:cs="宋体"/>
          <w:color w:val="auto"/>
          <w:szCs w:val="21"/>
          <w:highlight w:val="none"/>
        </w:rPr>
      </w:pPr>
      <w:r>
        <w:rPr>
          <w:rFonts w:hint="eastAsia" w:ascii="宋体" w:hAnsi="宋体" w:cs="宋体"/>
          <w:b/>
          <w:color w:val="auto"/>
          <w:szCs w:val="21"/>
          <w:highlight w:val="none"/>
        </w:rPr>
        <w:t>A3.1判断投标是否为无效标</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A3.1.1 判断供应商的投标是否为无效标的全部条件(包括本章第3．1．2项中规定的条件)，在</w:t>
      </w:r>
      <w:r>
        <w:rPr>
          <w:rFonts w:hint="eastAsia" w:ascii="宋体" w:hAnsi="宋体" w:cs="宋体"/>
          <w:b/>
          <w:color w:val="auto"/>
          <w:szCs w:val="21"/>
          <w:highlight w:val="none"/>
        </w:rPr>
        <w:t>本章附件B</w:t>
      </w:r>
      <w:r>
        <w:rPr>
          <w:rFonts w:hint="eastAsia" w:ascii="宋体" w:hAnsi="宋体" w:cs="宋体"/>
          <w:color w:val="auto"/>
          <w:szCs w:val="21"/>
          <w:highlight w:val="none"/>
        </w:rPr>
        <w:t>中集中列示。</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A3.1.2本章</w:t>
      </w:r>
      <w:r>
        <w:rPr>
          <w:rFonts w:hint="eastAsia" w:ascii="宋体" w:hAnsi="宋体" w:cs="宋体"/>
          <w:b/>
          <w:color w:val="auto"/>
          <w:szCs w:val="21"/>
          <w:highlight w:val="none"/>
        </w:rPr>
        <w:t>附件B</w:t>
      </w:r>
      <w:r>
        <w:rPr>
          <w:rFonts w:hint="eastAsia" w:ascii="宋体" w:hAnsi="宋体" w:cs="宋体"/>
          <w:color w:val="auto"/>
          <w:szCs w:val="21"/>
          <w:highlight w:val="none"/>
        </w:rPr>
        <w:t>集中列示的无效标条件不应与第二章“供应商须知”和本章正文部分包括的无效标条件抵触，如果出现相互矛盾的情况，以第二章“供应商须知”和本章正文部分的规定为准。</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A3.1.3评标委员会在评标(包括初步评审和详细评审)过程中，依据本章</w:t>
      </w:r>
      <w:r>
        <w:rPr>
          <w:rFonts w:hint="eastAsia" w:ascii="宋体" w:hAnsi="宋体" w:cs="宋体"/>
          <w:b/>
          <w:color w:val="auto"/>
          <w:szCs w:val="21"/>
          <w:highlight w:val="none"/>
        </w:rPr>
        <w:t>附件B</w:t>
      </w:r>
      <w:r>
        <w:rPr>
          <w:rFonts w:hint="eastAsia" w:ascii="宋体" w:hAnsi="宋体" w:cs="宋体"/>
          <w:color w:val="auto"/>
          <w:szCs w:val="21"/>
          <w:highlight w:val="none"/>
        </w:rPr>
        <w:t>中规定的无效标条件判断供应商的投标是否为无效标。</w:t>
      </w:r>
    </w:p>
    <w:p>
      <w:pPr>
        <w:adjustRightInd w:val="0"/>
        <w:snapToGrid w:val="0"/>
        <w:spacing w:beforeLines="20" w:afterLines="20" w:line="430" w:lineRule="exact"/>
        <w:rPr>
          <w:rFonts w:ascii="宋体" w:hAnsi="宋体" w:cs="宋体"/>
          <w:b/>
          <w:color w:val="auto"/>
          <w:szCs w:val="21"/>
          <w:highlight w:val="none"/>
        </w:rPr>
      </w:pPr>
      <w:r>
        <w:rPr>
          <w:rFonts w:hint="eastAsia" w:ascii="宋体" w:hAnsi="宋体" w:cs="宋体"/>
          <w:b/>
          <w:color w:val="auto"/>
          <w:szCs w:val="21"/>
          <w:highlight w:val="none"/>
        </w:rPr>
        <w:t>A4．详细评审</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只有通过了初步评审、被判定为合格的投标方可进入详细评审。</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A5．特殊情况的处置程序</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A5.1关于评标活动暂停</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A5.1.1评标委员会应当执行连续评标的原则，按评标办法中规定的程序、内容、方法、标准完成全部评标工作。只有发生不可抗力导致评标工作无法继续时，评标活动方可暂停。</w:t>
      </w:r>
    </w:p>
    <w:p>
      <w:pPr>
        <w:adjustRightInd w:val="0"/>
        <w:snapToGrid w:val="0"/>
        <w:spacing w:beforeLines="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A5.1.2发生评标暂停情况时，评标委员会应当封存全部投标文件和评标记录，待不可抗力的影响结束且具备继续评标的条件时，由原评标委员会继续评标。</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A5.2  关于评标中途更换评委</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A5.2.1  除非发生下列情况之一，评标委员会成员不得在评标中途更换：</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因不可抗拒的客观原因，不能到场或需在评标中途退出评标活动。</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根据法律法规规定，某个或某几个评标委员会成员需要回避。</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A5.2.2退出评标的评标委员会成员，其已完成的评标行为无效。由采购人根据本招标文件规定的评标委员会成员生产方式另行确定替代者进行评标。</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A5.3 记名投票</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在任何评标环节中，需评标委员会就某项定性的评审结论做出表决的，由评标委员会全体成员按照少数服从多数的原则，以记名投票方式表决。</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A6.补充条款</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p>
    <w:p>
      <w:pPr>
        <w:adjustRightInd w:val="0"/>
        <w:snapToGrid w:val="0"/>
        <w:spacing w:line="440" w:lineRule="exact"/>
        <w:outlineLvl w:val="1"/>
        <w:rPr>
          <w:rFonts w:ascii="宋体" w:hAnsi="宋体" w:cs="宋体"/>
          <w:color w:val="auto"/>
          <w:sz w:val="24"/>
          <w:highlight w:val="none"/>
        </w:rPr>
      </w:pPr>
      <w:r>
        <w:rPr>
          <w:rFonts w:hint="eastAsia" w:ascii="宋体" w:hAnsi="宋体" w:cs="宋体"/>
          <w:color w:val="auto"/>
          <w:highlight w:val="none"/>
        </w:rPr>
        <w:br w:type="page"/>
      </w:r>
      <w:bookmarkStart w:id="533" w:name="_Toc24657"/>
      <w:bookmarkStart w:id="534" w:name="_Toc338840249"/>
      <w:bookmarkStart w:id="535" w:name="_Toc346523418"/>
      <w:bookmarkStart w:id="536" w:name="_Toc338840497"/>
      <w:bookmarkStart w:id="537" w:name="_Toc338840458"/>
      <w:r>
        <w:rPr>
          <w:rFonts w:hint="eastAsia" w:ascii="宋体" w:hAnsi="宋体" w:cs="宋体"/>
          <w:color w:val="auto"/>
          <w:sz w:val="24"/>
          <w:highlight w:val="none"/>
        </w:rPr>
        <w:t>附件</w:t>
      </w:r>
      <w:r>
        <w:rPr>
          <w:rFonts w:hint="eastAsia" w:ascii="宋体" w:hAnsi="宋体" w:cs="宋体"/>
          <w:b/>
          <w:color w:val="auto"/>
          <w:sz w:val="24"/>
          <w:highlight w:val="none"/>
        </w:rPr>
        <w:t>B</w:t>
      </w:r>
      <w:r>
        <w:rPr>
          <w:rFonts w:hint="eastAsia" w:ascii="宋体" w:hAnsi="宋体" w:cs="宋体"/>
          <w:color w:val="auto"/>
          <w:sz w:val="24"/>
          <w:highlight w:val="none"/>
        </w:rPr>
        <w:t>：无效标条件</w:t>
      </w:r>
      <w:bookmarkEnd w:id="533"/>
      <w:bookmarkEnd w:id="534"/>
      <w:bookmarkEnd w:id="535"/>
      <w:bookmarkEnd w:id="536"/>
      <w:bookmarkEnd w:id="537"/>
    </w:p>
    <w:p>
      <w:pPr>
        <w:adjustRightInd w:val="0"/>
        <w:snapToGrid w:val="0"/>
        <w:spacing w:beforeLines="100" w:afterLines="100" w:line="160" w:lineRule="exact"/>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无效标条件</w:t>
      </w:r>
    </w:p>
    <w:p>
      <w:pPr>
        <w:adjustRightInd w:val="0"/>
        <w:snapToGrid w:val="0"/>
        <w:ind w:firstLine="413" w:firstLineChars="196"/>
        <w:rPr>
          <w:rFonts w:ascii="宋体" w:hAnsi="宋体" w:cs="宋体"/>
          <w:b/>
          <w:color w:val="auto"/>
          <w:szCs w:val="21"/>
          <w:highlight w:val="none"/>
        </w:rPr>
      </w:pPr>
      <w:r>
        <w:rPr>
          <w:rFonts w:hint="eastAsia" w:ascii="宋体" w:hAnsi="宋体" w:cs="宋体"/>
          <w:b/>
          <w:color w:val="auto"/>
          <w:szCs w:val="21"/>
          <w:highlight w:val="none"/>
        </w:rPr>
        <w:t>一、总  则</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附件所集中列示的无效标条件，是本章“评标办法”的组成部分，是对第二章“供应商须知”和本章正文部分所规定的无效标条件的总结和补充，如果出现相互矛盾的情况，以第二章“供应商须知”和本章正文部分的规定为准。</w:t>
      </w:r>
    </w:p>
    <w:p>
      <w:pPr>
        <w:adjustRightInd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二、无效标条件　　供应商或其投标文件有下列情形之一的，其投标作无效标处理：</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有第二章“供应商须知”第1.4.2项规定的任何一种情形的。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有串通投标、欺诈、威胁、以行贿手段或其他弄虚作假方式谋取中标的。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不按评标委员会要求澄清、说明或补正的。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在资格性审查(适用于未进行资格预审的)、符合性审查中，评标委员会认定供应商的投标不符合评标办法前附表中规定的任何一项评审标准的。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不能按照评委会要求提供有关资格证件原件来印证其投标有效性者。</w:t>
      </w:r>
      <w:r>
        <w:rPr>
          <w:rFonts w:hint="eastAsia" w:ascii="宋体" w:hAnsi="宋体" w:cs="宋体"/>
          <w:color w:val="auto"/>
          <w:szCs w:val="21"/>
          <w:highlight w:val="none"/>
        </w:rPr>
        <w:br w:type="textWrapping"/>
      </w:r>
      <w:r>
        <w:rPr>
          <w:rFonts w:hint="eastAsia" w:ascii="宋体" w:hAnsi="宋体" w:cs="宋体"/>
          <w:color w:val="auto"/>
          <w:szCs w:val="21"/>
          <w:highlight w:val="none"/>
        </w:rPr>
        <w:t>　　6  参加政府采购活动前三年内，在经营活动中有重大违法记录的。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  投标文件未按照招标文件要求编制、签署、盖章，或签字人未经有效授权；</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 　没有法定代表人资格证明书（或授权委托书）。</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　评标委员会认定供应商以低于成本报价竞标的。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　提供虚假、伪造材料的。</w:t>
      </w:r>
    </w:p>
    <w:p>
      <w:pPr>
        <w:numPr>
          <w:ilvl w:val="0"/>
          <w:numId w:val="7"/>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招标文件要求有严重的技术偏离，不能实现招标项目要求功能的。</w:t>
      </w:r>
    </w:p>
    <w:p>
      <w:pPr>
        <w:numPr>
          <w:ilvl w:val="0"/>
          <w:numId w:val="7"/>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内容严重不全，或关键内容模糊、无法辩认，不能实质性响应招标项目要求的。</w:t>
      </w:r>
    </w:p>
    <w:p>
      <w:pPr>
        <w:numPr>
          <w:ilvl w:val="0"/>
          <w:numId w:val="7"/>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联合体投标者没有提交共同投标协议的。</w:t>
      </w:r>
    </w:p>
    <w:p>
      <w:pPr>
        <w:numPr>
          <w:ilvl w:val="0"/>
          <w:numId w:val="7"/>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附有采购人不能接受的条件的。</w:t>
      </w:r>
    </w:p>
    <w:p>
      <w:pPr>
        <w:numPr>
          <w:ilvl w:val="0"/>
          <w:numId w:val="7"/>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不符合法律、法规规定及不响应招标文件实质性要求的。</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备注：评标委员会判定为无效标的，应对无效标情况予以说明，对照招标文件规定的无效标条件指出投标文件存在的具体问题。</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p>
    <w:p>
      <w:pPr>
        <w:pStyle w:val="3"/>
        <w:jc w:val="center"/>
        <w:rPr>
          <w:rFonts w:ascii="宋体" w:hAnsi="宋体" w:cs="宋体"/>
          <w:color w:val="auto"/>
          <w:highlight w:val="none"/>
        </w:rPr>
      </w:pPr>
      <w:bookmarkStart w:id="538" w:name="_Toc338840459"/>
      <w:bookmarkStart w:id="539" w:name="_Toc246996252"/>
      <w:bookmarkStart w:id="540" w:name="_Toc338840250"/>
      <w:bookmarkStart w:id="541" w:name="_Toc338840498"/>
      <w:bookmarkStart w:id="542" w:name="_Toc246996995"/>
      <w:bookmarkStart w:id="543" w:name="_Toc28112"/>
      <w:bookmarkStart w:id="544" w:name="_Toc144974577"/>
      <w:bookmarkStart w:id="545" w:name="_Toc179632627"/>
      <w:bookmarkStart w:id="546" w:name="_Toc346523419"/>
      <w:bookmarkStart w:id="547" w:name="_Toc152042387"/>
      <w:bookmarkStart w:id="548" w:name="_Toc152045609"/>
      <w:bookmarkStart w:id="549" w:name="_Toc247085767"/>
      <w:r>
        <w:rPr>
          <w:rFonts w:hint="eastAsia" w:ascii="宋体" w:hAnsi="宋体" w:cs="宋体"/>
          <w:color w:val="auto"/>
          <w:highlight w:val="none"/>
        </w:rPr>
        <w:t>第四章 合同条款及格式</w:t>
      </w:r>
      <w:bookmarkEnd w:id="538"/>
      <w:bookmarkEnd w:id="539"/>
      <w:bookmarkEnd w:id="540"/>
      <w:bookmarkEnd w:id="541"/>
      <w:bookmarkEnd w:id="542"/>
      <w:bookmarkEnd w:id="543"/>
      <w:bookmarkEnd w:id="544"/>
      <w:bookmarkEnd w:id="545"/>
      <w:bookmarkEnd w:id="546"/>
      <w:bookmarkEnd w:id="547"/>
      <w:bookmarkEnd w:id="548"/>
      <w:bookmarkEnd w:id="549"/>
      <w:bookmarkStart w:id="550" w:name="_Toc179632786"/>
      <w:bookmarkStart w:id="551" w:name="_Toc246997080"/>
      <w:bookmarkStart w:id="552" w:name="_Toc152045768"/>
      <w:bookmarkStart w:id="553" w:name="_Toc247085852"/>
      <w:bookmarkStart w:id="554" w:name="_Toc246996337"/>
      <w:bookmarkStart w:id="555" w:name="_Toc152042547"/>
      <w:bookmarkStart w:id="556" w:name="_Toc144974827"/>
    </w:p>
    <w:bookmarkEnd w:id="550"/>
    <w:bookmarkEnd w:id="551"/>
    <w:bookmarkEnd w:id="552"/>
    <w:bookmarkEnd w:id="553"/>
    <w:bookmarkEnd w:id="554"/>
    <w:bookmarkEnd w:id="555"/>
    <w:bookmarkEnd w:id="556"/>
    <w:p>
      <w:pPr>
        <w:widowControl/>
        <w:ind w:firstLine="2618" w:firstLineChars="595"/>
        <w:rPr>
          <w:rFonts w:ascii="宋体" w:hAnsi="宋体" w:cs="宋体"/>
          <w:bCs/>
          <w:color w:val="auto"/>
          <w:kern w:val="0"/>
          <w:sz w:val="44"/>
          <w:szCs w:val="44"/>
          <w:highlight w:val="none"/>
        </w:rPr>
      </w:pPr>
      <w:bookmarkStart w:id="557" w:name="_Toc247085853"/>
      <w:bookmarkStart w:id="558" w:name="_Toc152045769"/>
      <w:bookmarkStart w:id="559" w:name="_Toc152042551"/>
      <w:bookmarkStart w:id="560" w:name="_Toc246997081"/>
      <w:bookmarkStart w:id="561" w:name="_Toc144974831"/>
      <w:bookmarkStart w:id="562" w:name="_Toc179632787"/>
      <w:bookmarkStart w:id="563" w:name="_Toc246996338"/>
    </w:p>
    <w:bookmarkEnd w:id="557"/>
    <w:bookmarkEnd w:id="558"/>
    <w:bookmarkEnd w:id="559"/>
    <w:bookmarkEnd w:id="560"/>
    <w:bookmarkEnd w:id="561"/>
    <w:bookmarkEnd w:id="562"/>
    <w:bookmarkEnd w:id="563"/>
    <w:p>
      <w:pPr>
        <w:rPr>
          <w:rFonts w:ascii="宋体" w:hAnsi="宋体"/>
          <w:color w:val="auto"/>
          <w:sz w:val="24"/>
          <w:highlight w:val="none"/>
          <w:u w:val="single"/>
        </w:rPr>
      </w:pPr>
      <w:bookmarkStart w:id="564" w:name="_Toc144974834"/>
      <w:bookmarkStart w:id="565" w:name="_Toc179632789"/>
      <w:bookmarkStart w:id="566" w:name="_Toc246996340"/>
      <w:bookmarkStart w:id="567" w:name="_Toc152045772"/>
      <w:bookmarkStart w:id="568" w:name="_Toc246997083"/>
      <w:bookmarkStart w:id="569" w:name="_Toc152042554"/>
      <w:bookmarkStart w:id="570" w:name="_Toc247085855"/>
      <w:bookmarkStart w:id="571" w:name="_Toc338840251"/>
      <w:bookmarkStart w:id="572" w:name="_Toc346523420"/>
      <w:bookmarkStart w:id="573" w:name="_Toc338840460"/>
      <w:bookmarkStart w:id="574" w:name="_Toc338840499"/>
      <w:r>
        <w:rPr>
          <w:rFonts w:hint="eastAsia" w:ascii="宋体" w:hAnsi="宋体"/>
          <w:color w:val="auto"/>
          <w:sz w:val="24"/>
          <w:highlight w:val="none"/>
        </w:rPr>
        <w:t>合同编号：</w:t>
      </w:r>
      <w:r>
        <w:rPr>
          <w:rFonts w:ascii="宋体" w:hAnsi="宋体"/>
          <w:color w:val="auto"/>
          <w:sz w:val="24"/>
          <w:highlight w:val="none"/>
          <w:u w:val="single"/>
        </w:rPr>
        <w:t xml:space="preserve">           </w:t>
      </w:r>
    </w:p>
    <w:p>
      <w:pPr>
        <w:spacing w:line="480" w:lineRule="auto"/>
        <w:jc w:val="center"/>
        <w:rPr>
          <w:rFonts w:ascii="宋体" w:hAnsi="宋体"/>
          <w:b/>
          <w:color w:val="auto"/>
          <w:sz w:val="28"/>
          <w:szCs w:val="28"/>
          <w:highlight w:val="none"/>
        </w:rPr>
      </w:pPr>
    </w:p>
    <w:p>
      <w:pPr>
        <w:spacing w:line="480" w:lineRule="auto"/>
        <w:jc w:val="center"/>
        <w:rPr>
          <w:rFonts w:ascii="宋体" w:hAnsi="宋体"/>
          <w:b/>
          <w:color w:val="auto"/>
          <w:sz w:val="28"/>
          <w:szCs w:val="28"/>
          <w:highlight w:val="none"/>
        </w:rPr>
      </w:pPr>
    </w:p>
    <w:p>
      <w:pPr>
        <w:spacing w:line="480" w:lineRule="auto"/>
        <w:jc w:val="center"/>
        <w:rPr>
          <w:rFonts w:ascii="宋体" w:hAnsi="宋体" w:cs="仿宋"/>
          <w:b/>
          <w:color w:val="auto"/>
          <w:sz w:val="44"/>
          <w:szCs w:val="44"/>
          <w:highlight w:val="none"/>
        </w:rPr>
      </w:pPr>
      <w:bookmarkStart w:id="575" w:name="_Toc7658_WPSOffice_Level1"/>
      <w:r>
        <w:rPr>
          <w:rFonts w:hint="eastAsia" w:ascii="宋体" w:hAnsi="宋体" w:cs="仿宋"/>
          <w:b/>
          <w:color w:val="auto"/>
          <w:sz w:val="44"/>
          <w:szCs w:val="44"/>
          <w:highlight w:val="none"/>
        </w:rPr>
        <w:t>政府采购合同参考范本</w:t>
      </w:r>
      <w:bookmarkEnd w:id="575"/>
    </w:p>
    <w:p>
      <w:pPr>
        <w:spacing w:line="480" w:lineRule="auto"/>
        <w:jc w:val="center"/>
        <w:rPr>
          <w:rFonts w:ascii="宋体" w:hAnsi="宋体"/>
          <w:b/>
          <w:color w:val="auto"/>
          <w:sz w:val="24"/>
          <w:highlight w:val="none"/>
        </w:rPr>
      </w:pPr>
      <w:bookmarkStart w:id="576" w:name="_Toc15077_WPSOffice_Level1"/>
      <w:r>
        <w:rPr>
          <w:rFonts w:hint="eastAsia" w:ascii="宋体" w:hAnsi="宋体"/>
          <w:b/>
          <w:color w:val="auto"/>
          <w:sz w:val="24"/>
          <w:highlight w:val="none"/>
        </w:rPr>
        <w:t>（</w:t>
      </w:r>
      <w:r>
        <w:rPr>
          <w:rFonts w:hint="eastAsia" w:ascii="宋体" w:hAnsi="宋体"/>
          <w:b/>
          <w:color w:val="auto"/>
          <w:sz w:val="24"/>
          <w:highlight w:val="none"/>
          <w:lang w:val="en-US" w:eastAsia="zh-CN"/>
        </w:rPr>
        <w:t>服务</w:t>
      </w:r>
      <w:r>
        <w:rPr>
          <w:rFonts w:hint="eastAsia" w:ascii="宋体" w:hAnsi="宋体"/>
          <w:b/>
          <w:color w:val="auto"/>
          <w:sz w:val="24"/>
          <w:highlight w:val="none"/>
        </w:rPr>
        <w:t>类）</w:t>
      </w:r>
      <w:bookmarkEnd w:id="576"/>
    </w:p>
    <w:p>
      <w:pPr>
        <w:pStyle w:val="144"/>
        <w:rPr>
          <w:rFonts w:ascii="宋体" w:hAnsi="宋体"/>
          <w:color w:val="auto"/>
          <w:highlight w:val="none"/>
        </w:rPr>
      </w:pPr>
    </w:p>
    <w:p>
      <w:pPr>
        <w:pStyle w:val="144"/>
        <w:rPr>
          <w:rFonts w:ascii="宋体" w:hAnsi="宋体"/>
          <w:color w:val="auto"/>
          <w:highlight w:val="none"/>
        </w:rPr>
      </w:pPr>
    </w:p>
    <w:p>
      <w:pPr>
        <w:pStyle w:val="144"/>
        <w:rPr>
          <w:rFonts w:ascii="宋体" w:hAnsi="宋体"/>
          <w:color w:val="auto"/>
          <w:highlight w:val="none"/>
        </w:rPr>
      </w:pPr>
    </w:p>
    <w:p>
      <w:pPr>
        <w:pStyle w:val="144"/>
        <w:ind w:firstLine="643"/>
        <w:jc w:val="center"/>
        <w:outlineLvl w:val="1"/>
        <w:rPr>
          <w:rFonts w:ascii="宋体" w:hAnsi="宋体" w:cs="仿宋"/>
          <w:b/>
          <w:color w:val="auto"/>
          <w:sz w:val="32"/>
          <w:szCs w:val="32"/>
          <w:highlight w:val="none"/>
        </w:rPr>
      </w:pPr>
      <w:bookmarkStart w:id="577" w:name="_Toc17699_WPSOffice_Level1"/>
      <w:bookmarkStart w:id="578" w:name="_Toc89373399"/>
      <w:bookmarkStart w:id="579" w:name="_Toc18588846"/>
      <w:bookmarkStart w:id="580" w:name="_Toc7213"/>
      <w:bookmarkStart w:id="581" w:name="_Toc31702"/>
      <w:r>
        <w:rPr>
          <w:rFonts w:hint="eastAsia" w:ascii="宋体" w:hAnsi="宋体" w:cs="仿宋"/>
          <w:b/>
          <w:color w:val="auto"/>
          <w:sz w:val="32"/>
          <w:szCs w:val="32"/>
          <w:highlight w:val="none"/>
        </w:rPr>
        <w:t>第一部分</w:t>
      </w:r>
      <w:r>
        <w:rPr>
          <w:rFonts w:ascii="宋体" w:hAnsi="宋体" w:cs="仿宋"/>
          <w:b/>
          <w:color w:val="auto"/>
          <w:sz w:val="32"/>
          <w:szCs w:val="32"/>
          <w:highlight w:val="none"/>
        </w:rPr>
        <w:t xml:space="preserve"> </w:t>
      </w:r>
      <w:r>
        <w:rPr>
          <w:rFonts w:hint="eastAsia" w:ascii="宋体" w:hAnsi="宋体" w:cs="仿宋"/>
          <w:b/>
          <w:color w:val="auto"/>
          <w:sz w:val="32"/>
          <w:szCs w:val="32"/>
          <w:highlight w:val="none"/>
        </w:rPr>
        <w:t>合同书</w:t>
      </w:r>
      <w:bookmarkEnd w:id="577"/>
      <w:bookmarkEnd w:id="578"/>
      <w:bookmarkEnd w:id="579"/>
      <w:bookmarkEnd w:id="580"/>
      <w:bookmarkEnd w:id="581"/>
    </w:p>
    <w:p>
      <w:pPr>
        <w:pStyle w:val="144"/>
        <w:rPr>
          <w:rFonts w:ascii="宋体" w:hAnsi="宋体" w:cs="仿宋"/>
          <w:color w:val="auto"/>
          <w:highlight w:val="none"/>
        </w:rPr>
      </w:pPr>
    </w:p>
    <w:p>
      <w:pPr>
        <w:pStyle w:val="144"/>
        <w:rPr>
          <w:rFonts w:ascii="宋体" w:hAnsi="宋体" w:cs="仿宋"/>
          <w:color w:val="auto"/>
          <w:highlight w:val="none"/>
        </w:rPr>
      </w:pPr>
    </w:p>
    <w:p>
      <w:pPr>
        <w:spacing w:before="120" w:line="22" w:lineRule="atLeast"/>
        <w:rPr>
          <w:rFonts w:ascii="宋体" w:hAnsi="宋体" w:cs="仿宋"/>
          <w:color w:val="auto"/>
          <w:sz w:val="24"/>
          <w:highlight w:val="none"/>
        </w:rPr>
      </w:pPr>
    </w:p>
    <w:p>
      <w:pPr>
        <w:spacing w:before="120" w:line="22" w:lineRule="atLeast"/>
        <w:ind w:left="960"/>
        <w:rPr>
          <w:rFonts w:ascii="宋体" w:hAnsi="宋体" w:cs="仿宋"/>
          <w:color w:val="auto"/>
          <w:sz w:val="24"/>
          <w:highlight w:val="none"/>
        </w:rPr>
      </w:pPr>
      <w:r>
        <w:rPr>
          <w:rFonts w:hint="eastAsia" w:ascii="宋体" w:hAnsi="宋体" w:cs="仿宋"/>
          <w:color w:val="auto"/>
          <w:sz w:val="24"/>
          <w:highlight w:val="none"/>
        </w:rPr>
        <w:t>项目名称：</w:t>
      </w:r>
      <w:r>
        <w:rPr>
          <w:rFonts w:ascii="宋体" w:hAnsi="宋体" w:cs="仿宋"/>
          <w:color w:val="auto"/>
          <w:sz w:val="24"/>
          <w:highlight w:val="none"/>
          <w:u w:val="single"/>
        </w:rPr>
        <w:t xml:space="preserve">                                   </w:t>
      </w:r>
    </w:p>
    <w:p>
      <w:pPr>
        <w:rPr>
          <w:rFonts w:ascii="宋体" w:hAnsi="宋体" w:cs="仿宋"/>
          <w:color w:val="auto"/>
          <w:highlight w:val="none"/>
        </w:rPr>
      </w:pPr>
    </w:p>
    <w:p>
      <w:pPr>
        <w:spacing w:before="120" w:line="22" w:lineRule="atLeast"/>
        <w:ind w:left="960"/>
        <w:rPr>
          <w:rFonts w:ascii="宋体" w:hAnsi="宋体" w:cs="仿宋"/>
          <w:color w:val="auto"/>
          <w:sz w:val="24"/>
          <w:highlight w:val="none"/>
          <w:u w:val="single"/>
        </w:rPr>
      </w:pPr>
      <w:r>
        <w:rPr>
          <w:rFonts w:hint="eastAsia" w:ascii="宋体" w:hAnsi="宋体" w:cs="仿宋"/>
          <w:color w:val="auto"/>
          <w:sz w:val="24"/>
          <w:highlight w:val="none"/>
        </w:rPr>
        <w:t>甲方：</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left="960"/>
        <w:rPr>
          <w:rFonts w:ascii="宋体" w:hAnsi="宋体" w:cs="仿宋"/>
          <w:color w:val="auto"/>
          <w:sz w:val="24"/>
          <w:highlight w:val="none"/>
          <w:u w:val="single"/>
        </w:rPr>
      </w:pPr>
      <w:r>
        <w:rPr>
          <w:rFonts w:hint="eastAsia" w:ascii="宋体" w:hAnsi="宋体" w:cs="仿宋"/>
          <w:color w:val="auto"/>
          <w:sz w:val="24"/>
          <w:highlight w:val="none"/>
        </w:rPr>
        <w:t>乙方：</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firstLine="960" w:firstLineChars="400"/>
        <w:rPr>
          <w:rFonts w:ascii="宋体" w:hAnsi="宋体" w:cs="仿宋"/>
          <w:color w:val="auto"/>
          <w:sz w:val="24"/>
          <w:highlight w:val="none"/>
          <w:u w:val="single"/>
        </w:rPr>
      </w:pPr>
      <w:r>
        <w:rPr>
          <w:rFonts w:hint="eastAsia" w:ascii="宋体" w:hAnsi="宋体" w:cs="仿宋"/>
          <w:color w:val="auto"/>
          <w:sz w:val="24"/>
          <w:highlight w:val="none"/>
        </w:rPr>
        <w:t>签订地：</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firstLine="960" w:firstLineChars="400"/>
        <w:rPr>
          <w:rFonts w:ascii="宋体" w:hAnsi="宋体" w:cs="仿宋"/>
          <w:color w:val="auto"/>
          <w:sz w:val="24"/>
          <w:highlight w:val="none"/>
          <w:u w:val="single"/>
        </w:rPr>
      </w:pPr>
      <w:r>
        <w:rPr>
          <w:rFonts w:hint="eastAsia" w:ascii="宋体" w:hAnsi="宋体" w:cs="仿宋"/>
          <w:color w:val="auto"/>
          <w:sz w:val="24"/>
          <w:highlight w:val="none"/>
        </w:rPr>
        <w:t>签订日期：</w:t>
      </w:r>
      <w:r>
        <w:rPr>
          <w:rFonts w:ascii="宋体" w:hAnsi="宋体" w:cs="仿宋"/>
          <w:color w:val="auto"/>
          <w:sz w:val="24"/>
          <w:highlight w:val="none"/>
          <w:u w:val="single"/>
        </w:rPr>
        <w:t xml:space="preserve">               </w:t>
      </w:r>
      <w:r>
        <w:rPr>
          <w:rFonts w:hint="eastAsia" w:ascii="宋体" w:hAnsi="宋体" w:cs="仿宋"/>
          <w:color w:val="auto"/>
          <w:sz w:val="24"/>
          <w:highlight w:val="none"/>
        </w:rPr>
        <w:t>年</w:t>
      </w:r>
      <w:r>
        <w:rPr>
          <w:rFonts w:ascii="宋体" w:hAnsi="宋体" w:cs="仿宋"/>
          <w:color w:val="auto"/>
          <w:sz w:val="24"/>
          <w:highlight w:val="none"/>
          <w:u w:val="single"/>
        </w:rPr>
        <w:t xml:space="preserve">       </w:t>
      </w:r>
      <w:r>
        <w:rPr>
          <w:rFonts w:hint="eastAsia" w:ascii="宋体" w:hAnsi="宋体" w:cs="仿宋"/>
          <w:color w:val="auto"/>
          <w:sz w:val="24"/>
          <w:highlight w:val="none"/>
        </w:rPr>
        <w:t>月</w:t>
      </w:r>
      <w:r>
        <w:rPr>
          <w:rFonts w:ascii="宋体" w:hAnsi="宋体" w:cs="仿宋"/>
          <w:color w:val="auto"/>
          <w:sz w:val="24"/>
          <w:highlight w:val="none"/>
          <w:u w:val="single"/>
        </w:rPr>
        <w:t xml:space="preserve">       </w:t>
      </w:r>
      <w:r>
        <w:rPr>
          <w:rFonts w:hint="eastAsia" w:ascii="宋体" w:hAnsi="宋体" w:cs="仿宋"/>
          <w:color w:val="auto"/>
          <w:sz w:val="24"/>
          <w:highlight w:val="none"/>
        </w:rPr>
        <w:t>日</w:t>
      </w:r>
    </w:p>
    <w:p>
      <w:pPr>
        <w:snapToGrid w:val="0"/>
        <w:spacing w:line="360" w:lineRule="auto"/>
        <w:jc w:val="center"/>
        <w:rPr>
          <w:rFonts w:hint="eastAsia" w:ascii="宋体" w:hAnsi="宋体" w:cs="宋体"/>
          <w:color w:val="auto"/>
          <w:sz w:val="24"/>
          <w:szCs w:val="24"/>
          <w:highlight w:val="none"/>
          <w:shd w:val="clear" w:color="auto" w:fill="FFFFFF"/>
        </w:rPr>
      </w:pPr>
      <w:r>
        <w:rPr>
          <w:rFonts w:ascii="宋体" w:hAnsi="宋体" w:cs="仿宋"/>
          <w:color w:val="auto"/>
          <w:sz w:val="24"/>
          <w:highlight w:val="none"/>
        </w:rPr>
        <w:br w:type="page"/>
      </w:r>
      <w:bookmarkStart w:id="582" w:name="_Toc331685783"/>
      <w:r>
        <w:rPr>
          <w:rFonts w:hint="eastAsia" w:ascii="宋体" w:hAnsi="宋体" w:cs="宋体"/>
          <w:color w:val="auto"/>
          <w:sz w:val="24"/>
          <w:szCs w:val="24"/>
          <w:highlight w:val="none"/>
          <w:shd w:val="clear" w:color="auto" w:fill="FFFFFF"/>
          <w:lang w:bidi="ar"/>
        </w:rPr>
        <w:t>（以实际签订合同为准）</w:t>
      </w:r>
    </w:p>
    <w:p>
      <w:pPr>
        <w:spacing w:line="360" w:lineRule="auto"/>
        <w:jc w:val="left"/>
        <w:rPr>
          <w:rFonts w:ascii="宋体" w:hAnsi="宋体" w:cs="宋体"/>
          <w:color w:val="auto"/>
          <w:sz w:val="24"/>
          <w:szCs w:val="24"/>
          <w:highlight w:val="none"/>
        </w:rPr>
      </w:pPr>
      <w:bookmarkStart w:id="583" w:name="_Toc433897220"/>
      <w:bookmarkStart w:id="584" w:name="_Toc378517648"/>
      <w:r>
        <w:rPr>
          <w:rFonts w:hint="eastAsia" w:ascii="宋体" w:hAnsi="宋体" w:cs="宋体"/>
          <w:color w:val="auto"/>
          <w:sz w:val="24"/>
          <w:szCs w:val="24"/>
          <w:highlight w:val="none"/>
        </w:rPr>
        <w:t>甲方：（以下简称“甲方”）</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乙方：（以下简称“乙方”）</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合同法》、《中华人民共和国采购法》、及其实施条例、《中华人民共和国民法通则》等有关法律规定，遵循平等、自愿、公平和诚实信用的原则，双方就项目及有关事项协商一致，共同达成如下协议：</w:t>
      </w:r>
    </w:p>
    <w:p>
      <w:pPr>
        <w:bidi w:val="0"/>
        <w:rPr>
          <w:color w:val="auto"/>
          <w:highlight w:val="none"/>
        </w:rPr>
      </w:pPr>
      <w:bookmarkStart w:id="585" w:name="_Toc512354826"/>
      <w:bookmarkStart w:id="586" w:name="_Toc30886"/>
      <w:bookmarkStart w:id="587" w:name="_Toc512247902"/>
      <w:r>
        <w:rPr>
          <w:rFonts w:hint="eastAsia"/>
          <w:color w:val="auto"/>
          <w:highlight w:val="none"/>
        </w:rPr>
        <w:t>1、合同文件</w:t>
      </w:r>
      <w:bookmarkEnd w:id="585"/>
      <w:bookmarkEnd w:id="586"/>
      <w:bookmarkEnd w:id="587"/>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1.1下列文件是构成本合同不可分割的部分（同一单位发出的文件内容如有抵触，以之后形成的文件为准）：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①采购文件：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②响应文件：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③附件：采购代理机构在招标期间发布的所有补充通知；乙方在招标答疑时及</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有效期内补充的所有书面文件；乙方参加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时随同响应文件一起递送的资料及附图；双方澄清、确认共同签字、盖章的补充文件。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④专家评审资料、成交通知书。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1.2甲方采购文件、乙方响应文件、评审资料、成交通知书均作为本合同附件，与本合同具有同等法律效力。在实际履行过程中，本合同及各附件的适用顺序如下：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①各附件规定有抵触，但本合同有规定的，按本合同执行；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②各附件有抵触的，且本合同没有规定的，按甲方采购文件执行；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③甲方采购文件未规定的，按乙方响应文件执行。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2、合同范围和条件：本合同的范围和条件应与采购文件的规定相一致。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3、合同暂定总金额、服务期、服务地点。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3.1合同暂定总金额</w:t>
      </w:r>
      <w:r>
        <w:rPr>
          <w:rFonts w:hint="eastAsia" w:ascii="宋体" w:hAnsi="宋体" w:cs="宋体"/>
          <w:color w:val="auto"/>
          <w:sz w:val="24"/>
          <w:szCs w:val="24"/>
          <w:highlight w:val="none"/>
          <w:u w:val="single"/>
        </w:rPr>
        <w:t xml:space="preserve">：（大写）：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小写：  </w:t>
      </w:r>
      <w:r>
        <w:rPr>
          <w:rFonts w:hint="eastAsia" w:ascii="宋体" w:hAnsi="宋体" w:cs="宋体"/>
          <w:color w:val="auto"/>
          <w:sz w:val="24"/>
          <w:szCs w:val="24"/>
          <w:highlight w:val="none"/>
        </w:rPr>
        <w:t xml:space="preserve"> ；暂定</w:t>
      </w:r>
      <w:r>
        <w:rPr>
          <w:rFonts w:hint="eastAsia" w:ascii="宋体" w:hAnsi="宋体" w:cs="宋体"/>
          <w:color w:val="auto"/>
          <w:sz w:val="24"/>
          <w:szCs w:val="24"/>
          <w:highlight w:val="none"/>
          <w:u w:val="single"/>
        </w:rPr>
        <w:t>单价：      元/吨。</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3.2服务期：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3.3服务地点：甲方指定地点。</w:t>
      </w:r>
    </w:p>
    <w:p>
      <w:pPr>
        <w:numPr>
          <w:ilvl w:val="0"/>
          <w:numId w:val="8"/>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付款方式：详见采购文件的具体规定和约。</w:t>
      </w:r>
    </w:p>
    <w:p>
      <w:pPr>
        <w:numPr>
          <w:ilvl w:val="0"/>
          <w:numId w:val="8"/>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甲方权利和责任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5.1甲方有权对乙方提供的服务进行监督。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5.2甲方协调其它相关单位及时、准确向乙方提供项目相关基础资料，包括前期立项、批复文件等资源以及其他乙方为履行本合同所需的文件资料。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5.3甲方为派赴现场工作人员处理有关问题，提供给乙方必要的工作条件，所需费用由乙方承担。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5.4按照本合同的约定向乙方履行付款义务。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6、乙方的权利和责任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6.1.根据工作进度，乙方有权获得本合同约定的服务报酬；</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6.2乙方应按合同规定的符合要求的服务，保证甲方的权益得到最大化的维护。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6.3乙方应及时完成本合同所述工作内容，向甲方提交包括但不限于工作计划、实施方案文件和合同文本等。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6.4乙方对提供的服务可以做必要调整补充，补充调整须经甲方同意。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6.5乙方不得向第三人泄露、转让甲方提交的产品图纸等技术经济资料。如发生以上情况并给甲方造成经济损失，甲方有权向乙方索赔。</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7、违约责任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7.1在合同履行期间，非乙方原因造成甲方单方面终止或结束合同，乙方未开始工作的，甲方不支付任何费用；已开始工作的，甲方应根据乙方已完成的实际工作量支付相应的费用。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7.2合同生效后，非甲方原因造成乙方单方面终止或解除合同，甲方不支付任何费用，乙方应承担由此给甲方造成的损失。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乙方应对服务质量负责，甲方发现并有证据证明乙方服务内容缺乏科学性、合理性、准确性和及时性，损害甲方合法权益或维护甲方合法权益有瑕疵时，或者经甲方催告后仍未能如期提供合格的服务、人员配备不符合合同约定的，甲方有权解除合同，乙方应赔偿甲方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7.4乙方对服务的结果出现的遗漏或错误负责修改或补纠。由于乙方错误造成甲方损失，乙方应承担违约责任。乙方赔偿额以具体服务损失为限。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8.1合同执行期内，甲乙双方均不得随意变更或解除合同。由于不可抗力因素致使合同无法履行时，双方应及时协商解决。</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8.2乙方应自觉接受甲方及有关部门对合同履行情况的全程监督。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8.3甲方不再另行支付乙方用工的五险费用。乙方员工社会保险由乙方自行办理，书面劳动合同的签订由乙方自行办理。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8.4乙方须严格遵守国家秘密成果的保密义务，如有违反将依据国家保密法规追究责任。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9、项目验收：（双方具体签订合时约定）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10、争议的解决方式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与本合同有关的一切争议，甲方和乙方双方应通过友好协商解决，如协商仍不能解决，双方同意提交商丘市仲裁委员会进行裁决或到项目所在地的基层人民法院提起诉讼。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10、本合同一式陆份，在甲方、乙方双方签字、盖章（含骑缝章）后生效，甲乙双方各叁份。</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甲   方：                       乙    方：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单位盖章：                      单位盖章：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代表签字：                      代表签字：                </w:t>
      </w: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bookmarkEnd w:id="583"/>
      <w:bookmarkEnd w:id="584"/>
    </w:p>
    <w:p>
      <w:pPr>
        <w:autoSpaceDE w:val="0"/>
        <w:autoSpaceDN w:val="0"/>
        <w:adjustRightInd w:val="0"/>
        <w:spacing w:line="320" w:lineRule="atLeast"/>
        <w:rPr>
          <w:rFonts w:ascii="宋体" w:hAnsi="宋体"/>
          <w:b/>
          <w:color w:val="auto"/>
          <w:szCs w:val="21"/>
          <w:highlight w:val="none"/>
        </w:rPr>
      </w:pPr>
      <w:r>
        <w:rPr>
          <w:rFonts w:hint="eastAsia" w:ascii="宋体" w:hAnsi="宋体" w:cs="宋体"/>
          <w:color w:val="auto"/>
          <w:sz w:val="24"/>
          <w:szCs w:val="24"/>
          <w:highlight w:val="none"/>
        </w:rPr>
        <w:br w:type="page"/>
      </w:r>
    </w:p>
    <w:bookmarkEnd w:id="582"/>
    <w:p>
      <w:pPr>
        <w:pStyle w:val="3"/>
        <w:spacing w:line="240" w:lineRule="auto"/>
        <w:jc w:val="center"/>
        <w:rPr>
          <w:rFonts w:ascii="宋体" w:hAnsi="宋体" w:cs="宋体"/>
          <w:color w:val="auto"/>
          <w:highlight w:val="none"/>
        </w:rPr>
      </w:pPr>
      <w:bookmarkStart w:id="588" w:name="_Toc11069"/>
      <w:r>
        <w:rPr>
          <w:rFonts w:hint="eastAsia" w:ascii="宋体" w:hAnsi="宋体" w:cs="宋体"/>
          <w:color w:val="auto"/>
          <w:highlight w:val="none"/>
        </w:rPr>
        <w:t xml:space="preserve">第五章  </w:t>
      </w:r>
      <w:bookmarkEnd w:id="564"/>
      <w:bookmarkEnd w:id="565"/>
      <w:bookmarkEnd w:id="566"/>
      <w:bookmarkEnd w:id="567"/>
      <w:bookmarkEnd w:id="568"/>
      <w:bookmarkEnd w:id="569"/>
      <w:bookmarkEnd w:id="570"/>
      <w:r>
        <w:rPr>
          <w:rFonts w:hint="eastAsia" w:ascii="宋体" w:hAnsi="宋体" w:cs="宋体"/>
          <w:color w:val="auto"/>
          <w:highlight w:val="none"/>
        </w:rPr>
        <w:t>招标内容及商务技术要求</w:t>
      </w:r>
      <w:bookmarkEnd w:id="571"/>
      <w:bookmarkEnd w:id="572"/>
      <w:bookmarkEnd w:id="573"/>
      <w:bookmarkEnd w:id="574"/>
      <w:bookmarkEnd w:id="588"/>
    </w:p>
    <w:p>
      <w:pPr>
        <w:spacing w:line="360" w:lineRule="auto"/>
        <w:rPr>
          <w:rFonts w:ascii="宋体" w:hAnsi="宋体" w:cs="宋体"/>
          <w:b/>
          <w:color w:val="auto"/>
          <w:sz w:val="32"/>
          <w:szCs w:val="32"/>
          <w:highlight w:val="none"/>
        </w:rPr>
      </w:pPr>
      <w:bookmarkStart w:id="589" w:name="_Toc152042571"/>
      <w:bookmarkStart w:id="590" w:name="_Toc247085866"/>
      <w:bookmarkStart w:id="591" w:name="_Toc246996350"/>
      <w:bookmarkStart w:id="592" w:name="_Toc179632800"/>
      <w:bookmarkStart w:id="593" w:name="_Toc144974851"/>
      <w:bookmarkStart w:id="594" w:name="_Toc246997093"/>
      <w:bookmarkStart w:id="595" w:name="_Toc247096438"/>
      <w:bookmarkStart w:id="596" w:name="_Toc152045782"/>
      <w:bookmarkStart w:id="597" w:name="_Toc338840500"/>
      <w:bookmarkStart w:id="598" w:name="_Toc338840461"/>
      <w:bookmarkStart w:id="599" w:name="_Toc338840252"/>
      <w:bookmarkStart w:id="600" w:name="_Toc346523421"/>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、商务要求</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质量要求：</w:t>
      </w:r>
      <w:r>
        <w:rPr>
          <w:rFonts w:hint="eastAsia" w:ascii="宋体" w:hAnsi="宋体" w:cs="宋体"/>
          <w:color w:val="auto"/>
          <w:kern w:val="0"/>
          <w:szCs w:val="21"/>
          <w:highlight w:val="none"/>
          <w:lang w:eastAsia="zh-CN"/>
        </w:rPr>
        <w:t>符合国家省市有关规范要求、且通过验收</w:t>
      </w:r>
      <w:r>
        <w:rPr>
          <w:rFonts w:hint="eastAsia" w:ascii="宋体" w:hAnsi="宋体" w:eastAsia="宋体" w:cs="宋体"/>
          <w:color w:val="auto"/>
          <w:kern w:val="0"/>
          <w:szCs w:val="21"/>
          <w:highlight w:val="none"/>
        </w:rPr>
        <w:t>；</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供货（</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lang w:eastAsia="zh-CN"/>
        </w:rPr>
        <w:t>）期限</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shd w:val="clear" w:color="auto" w:fill="FFFFFF"/>
          <w:lang w:val="en-US" w:eastAsia="zh-CN"/>
        </w:rPr>
        <w:t>合同签订后3日历天内</w:t>
      </w:r>
      <w:r>
        <w:rPr>
          <w:rFonts w:hint="eastAsia" w:ascii="宋体" w:hAnsi="宋体" w:eastAsia="宋体" w:cs="宋体"/>
          <w:color w:val="auto"/>
          <w:kern w:val="0"/>
          <w:szCs w:val="21"/>
          <w:highlight w:val="none"/>
        </w:rPr>
        <w:t>；</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3、供货（服务）地点</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采购人指定地点</w:t>
      </w:r>
      <w:r>
        <w:rPr>
          <w:rFonts w:hint="eastAsia" w:ascii="宋体" w:hAnsi="宋体" w:eastAsia="宋体" w:cs="宋体"/>
          <w:color w:val="auto"/>
          <w:kern w:val="0"/>
          <w:szCs w:val="21"/>
          <w:highlight w:val="none"/>
        </w:rPr>
        <w:t>；</w:t>
      </w:r>
    </w:p>
    <w:p>
      <w:pPr>
        <w:pStyle w:val="12"/>
        <w:ind w:firstLine="420" w:firstLineChars="200"/>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4、付款方式：按合同约定执行；</w:t>
      </w:r>
    </w:p>
    <w:p>
      <w:pPr>
        <w:pStyle w:val="12"/>
        <w:ind w:firstLine="420" w:firstLineChars="200"/>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b/>
          <w:bCs/>
          <w:color w:val="auto"/>
          <w:kern w:val="0"/>
          <w:szCs w:val="21"/>
          <w:highlight w:val="none"/>
          <w:lang w:val="en-US" w:eastAsia="zh-CN"/>
        </w:rPr>
        <w:t>本次采购总价不变，按单价报价！采购控制单价</w:t>
      </w:r>
      <w:r>
        <w:rPr>
          <w:rFonts w:hint="eastAsia" w:ascii="宋体" w:hAnsi="宋体" w:cs="宋体"/>
          <w:color w:val="auto"/>
          <w:kern w:val="0"/>
          <w:szCs w:val="21"/>
          <w:highlight w:val="none"/>
          <w:lang w:val="en-US" w:eastAsia="zh-CN"/>
        </w:rPr>
        <w:t>：第1标包：</w:t>
      </w:r>
      <w:r>
        <w:rPr>
          <w:rFonts w:hint="default" w:ascii="宋体" w:hAnsi="宋体" w:cs="宋体"/>
          <w:color w:val="auto"/>
          <w:kern w:val="0"/>
          <w:szCs w:val="21"/>
          <w:highlight w:val="none"/>
          <w:lang w:val="en-US" w:eastAsia="zh-CN"/>
        </w:rPr>
        <w:t>1.58元/袋（瓶）</w:t>
      </w:r>
      <w:r>
        <w:rPr>
          <w:rFonts w:hint="eastAsia" w:ascii="宋体" w:hAnsi="宋体" w:cs="宋体"/>
          <w:color w:val="auto"/>
          <w:kern w:val="0"/>
          <w:szCs w:val="21"/>
          <w:highlight w:val="none"/>
          <w:lang w:val="en-US" w:eastAsia="zh-CN"/>
        </w:rPr>
        <w:t>；第2标包：</w:t>
      </w:r>
      <w:r>
        <w:rPr>
          <w:rFonts w:hint="default" w:ascii="宋体" w:hAnsi="宋体" w:cs="宋体"/>
          <w:color w:val="auto"/>
          <w:kern w:val="0"/>
          <w:szCs w:val="21"/>
          <w:highlight w:val="none"/>
          <w:lang w:val="en-US" w:eastAsia="zh-CN"/>
        </w:rPr>
        <w:t>1.52元/袋（瓶）</w:t>
      </w:r>
      <w:r>
        <w:rPr>
          <w:rFonts w:hint="eastAsia" w:ascii="宋体" w:hAnsi="宋体" w:cs="宋体"/>
          <w:color w:val="auto"/>
          <w:kern w:val="0"/>
          <w:szCs w:val="21"/>
          <w:highlight w:val="none"/>
          <w:lang w:val="en-US" w:eastAsia="zh-CN"/>
        </w:rPr>
        <w:t>；第3标包：</w:t>
      </w:r>
      <w:r>
        <w:rPr>
          <w:rFonts w:hint="default" w:ascii="宋体" w:hAnsi="宋体" w:cs="宋体"/>
          <w:color w:val="auto"/>
          <w:kern w:val="0"/>
          <w:szCs w:val="21"/>
          <w:highlight w:val="none"/>
          <w:lang w:val="en-US" w:eastAsia="zh-CN"/>
        </w:rPr>
        <w:t>1.81元/袋（瓶）</w:t>
      </w:r>
      <w:r>
        <w:rPr>
          <w:rFonts w:hint="eastAsia" w:ascii="宋体" w:hAnsi="宋体" w:cs="宋体"/>
          <w:color w:val="auto"/>
          <w:kern w:val="0"/>
          <w:szCs w:val="21"/>
          <w:highlight w:val="none"/>
          <w:lang w:val="en-US" w:eastAsia="zh-CN"/>
        </w:rPr>
        <w:t>；第4标包：</w:t>
      </w:r>
      <w:r>
        <w:rPr>
          <w:rFonts w:hint="default" w:ascii="宋体" w:hAnsi="宋体" w:cs="宋体"/>
          <w:color w:val="auto"/>
          <w:kern w:val="0"/>
          <w:szCs w:val="21"/>
          <w:highlight w:val="none"/>
          <w:lang w:val="en-US" w:eastAsia="zh-CN"/>
        </w:rPr>
        <w:t>1.29元/袋（瓶）</w:t>
      </w:r>
      <w:r>
        <w:rPr>
          <w:rFonts w:hint="eastAsia" w:ascii="宋体" w:hAnsi="宋体" w:cs="宋体"/>
          <w:color w:val="auto"/>
          <w:kern w:val="0"/>
          <w:szCs w:val="21"/>
          <w:highlight w:val="none"/>
          <w:lang w:val="en-US" w:eastAsia="zh-CN"/>
        </w:rPr>
        <w:t>；第5标包：</w:t>
      </w:r>
      <w:r>
        <w:rPr>
          <w:rFonts w:hint="default" w:ascii="宋体" w:hAnsi="宋体" w:cs="宋体"/>
          <w:color w:val="auto"/>
          <w:kern w:val="0"/>
          <w:szCs w:val="21"/>
          <w:highlight w:val="none"/>
          <w:lang w:val="en-US" w:eastAsia="zh-CN"/>
        </w:rPr>
        <w:t>1.05元/袋（瓶）</w:t>
      </w:r>
    </w:p>
    <w:p>
      <w:pPr>
        <w:pStyle w:val="12"/>
        <w:ind w:firstLine="420" w:firstLineChars="200"/>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第6标包：</w:t>
      </w:r>
      <w:r>
        <w:rPr>
          <w:rFonts w:hint="default" w:ascii="宋体" w:hAnsi="宋体" w:cs="宋体"/>
          <w:color w:val="auto"/>
          <w:kern w:val="0"/>
          <w:szCs w:val="21"/>
          <w:highlight w:val="none"/>
          <w:lang w:val="en-US" w:eastAsia="zh-CN"/>
        </w:rPr>
        <w:t>1.25元/袋（瓶）</w:t>
      </w:r>
      <w:r>
        <w:rPr>
          <w:rFonts w:hint="eastAsia" w:ascii="宋体" w:hAnsi="宋体" w:cs="宋体"/>
          <w:color w:val="auto"/>
          <w:kern w:val="0"/>
          <w:szCs w:val="21"/>
          <w:highlight w:val="none"/>
          <w:lang w:val="en-US" w:eastAsia="zh-CN"/>
        </w:rPr>
        <w:t>；第7标包：</w:t>
      </w:r>
      <w:r>
        <w:rPr>
          <w:rFonts w:hint="default" w:ascii="宋体" w:hAnsi="宋体" w:cs="宋体"/>
          <w:color w:val="auto"/>
          <w:kern w:val="0"/>
          <w:szCs w:val="21"/>
          <w:highlight w:val="none"/>
          <w:lang w:val="en-US" w:eastAsia="zh-CN"/>
        </w:rPr>
        <w:t>14.5元/亩</w:t>
      </w:r>
    </w:p>
    <w:p>
      <w:pPr>
        <w:pStyle w:val="13"/>
        <w:rPr>
          <w:rFonts w:hint="default"/>
          <w:color w:val="auto"/>
          <w:highlight w:val="none"/>
          <w:lang w:val="en-US" w:eastAsia="zh-CN"/>
        </w:rPr>
      </w:pPr>
    </w:p>
    <w:p>
      <w:pPr>
        <w:pStyle w:val="13"/>
        <w:rPr>
          <w:rFonts w:hint="eastAsia"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rPr>
        <w:t>、</w:t>
      </w:r>
      <w:r>
        <w:rPr>
          <w:rFonts w:hint="eastAsia" w:hAnsi="宋体" w:cs="宋体"/>
          <w:b/>
          <w:color w:val="auto"/>
          <w:sz w:val="32"/>
          <w:szCs w:val="32"/>
          <w:highlight w:val="none"/>
          <w:lang w:val="en-US" w:eastAsia="zh-CN"/>
        </w:rPr>
        <w:t>技术要求</w:t>
      </w:r>
    </w:p>
    <w:p>
      <w:pPr>
        <w:rPr>
          <w:rFonts w:hint="eastAsia"/>
          <w:color w:val="auto"/>
          <w:highlight w:val="none"/>
        </w:rPr>
      </w:pP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第1标包：10%联苯.噻虫嗪悬浮剂15毫升/袋（瓶）；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第2标包：15%噻虫.高氯氟微囊悬浮—悬浮剂或悬浮剂；8毫升/袋（瓶）；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第3标包：</w:t>
      </w:r>
      <w:r>
        <w:rPr>
          <w:rFonts w:hint="eastAsia" w:ascii="宋体" w:hAnsi="宋体" w:cs="宋体"/>
          <w:color w:val="auto"/>
          <w:kern w:val="0"/>
          <w:sz w:val="21"/>
          <w:szCs w:val="21"/>
          <w:highlight w:val="none"/>
          <w:shd w:val="clear" w:color="auto" w:fill="FFFFFF"/>
          <w:lang w:val="en-US" w:eastAsia="zh-CN" w:bidi="ar-SA"/>
        </w:rPr>
        <w:t>250克/升 丙环唑  乳油  ≥30克/袋（瓶）（不能低于登记的每亩最低用量）</w:t>
      </w:r>
      <w:r>
        <w:rPr>
          <w:rFonts w:hint="eastAsia" w:ascii="宋体" w:hAnsi="宋体" w:eastAsia="宋体" w:cs="宋体"/>
          <w:color w:val="auto"/>
          <w:kern w:val="0"/>
          <w:sz w:val="21"/>
          <w:szCs w:val="21"/>
          <w:highlight w:val="none"/>
          <w:shd w:val="clear" w:color="auto" w:fill="FFFFFF"/>
          <w:lang w:val="en-US" w:eastAsia="zh-CN" w:bidi="ar-SA"/>
        </w:rPr>
        <w:t>；</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第4标包：430克/升 戊唑醇  悬浮剂  15克/袋（瓶）；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第5标包：≥ 99%磷酸二氢钾  50克/袋（瓶）；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第6标包：60%大量元素水溶肥料 25克/袋（瓶）；</w:t>
      </w:r>
    </w:p>
    <w:p>
      <w:pPr>
        <w:widowControl/>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第</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标包</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cs="宋体"/>
          <w:color w:val="auto"/>
          <w:szCs w:val="21"/>
          <w:highlight w:val="none"/>
          <w:lang w:val="en-US" w:eastAsia="zh-CN"/>
        </w:rPr>
        <w:t>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w:t>
      </w:r>
      <w:r>
        <w:rPr>
          <w:rFonts w:hint="eastAsia" w:ascii="宋体" w:hAnsi="宋体" w:eastAsia="宋体" w:cs="宋体"/>
          <w:color w:val="auto"/>
          <w:kern w:val="0"/>
          <w:szCs w:val="21"/>
          <w:highlight w:val="none"/>
          <w:lang w:val="en-US" w:eastAsia="zh-CN"/>
        </w:rPr>
        <w:br w:type="page"/>
      </w:r>
    </w:p>
    <w:p>
      <w:pPr>
        <w:pStyle w:val="3"/>
        <w:bidi w:val="0"/>
        <w:jc w:val="center"/>
        <w:rPr>
          <w:color w:val="auto"/>
          <w:highlight w:val="none"/>
        </w:rPr>
      </w:pPr>
      <w:bookmarkStart w:id="601" w:name="_Toc4997"/>
      <w:r>
        <w:rPr>
          <w:rFonts w:hint="eastAsia"/>
          <w:color w:val="auto"/>
          <w:highlight w:val="none"/>
        </w:rPr>
        <w:t xml:space="preserve">第六章  </w:t>
      </w:r>
      <w:bookmarkEnd w:id="589"/>
      <w:bookmarkEnd w:id="590"/>
      <w:bookmarkEnd w:id="591"/>
      <w:bookmarkEnd w:id="592"/>
      <w:bookmarkEnd w:id="593"/>
      <w:bookmarkEnd w:id="594"/>
      <w:bookmarkEnd w:id="595"/>
      <w:bookmarkEnd w:id="596"/>
      <w:r>
        <w:rPr>
          <w:rFonts w:hint="eastAsia"/>
          <w:color w:val="auto"/>
          <w:highlight w:val="none"/>
        </w:rPr>
        <w:t>投标文件格式</w:t>
      </w:r>
      <w:bookmarkEnd w:id="597"/>
      <w:bookmarkEnd w:id="598"/>
      <w:bookmarkEnd w:id="599"/>
      <w:bookmarkEnd w:id="600"/>
      <w:bookmarkEnd w:id="601"/>
    </w:p>
    <w:p>
      <w:pPr>
        <w:spacing w:line="600" w:lineRule="exact"/>
        <w:jc w:val="center"/>
        <w:rPr>
          <w:rFonts w:ascii="宋体" w:hAnsi="宋体" w:cs="宋体"/>
          <w:b/>
          <w:bCs/>
          <w:color w:val="auto"/>
          <w:sz w:val="32"/>
          <w:szCs w:val="32"/>
          <w:highlight w:val="none"/>
        </w:rPr>
      </w:pPr>
      <w:r>
        <w:rPr>
          <w:rFonts w:hint="eastAsia" w:ascii="宋体" w:hAnsi="宋体" w:cs="宋体"/>
          <w:color w:val="auto"/>
          <w:highlight w:val="none"/>
        </w:rPr>
        <w:br w:type="page"/>
      </w:r>
    </w:p>
    <w:p>
      <w:pPr>
        <w:spacing w:line="600" w:lineRule="exact"/>
        <w:rPr>
          <w:rFonts w:ascii="宋体" w:hAnsi="宋体" w:cs="宋体"/>
          <w:b/>
          <w:bCs/>
          <w:color w:val="auto"/>
          <w:sz w:val="32"/>
          <w:szCs w:val="32"/>
          <w:highlight w:val="none"/>
        </w:rPr>
      </w:pPr>
    </w:p>
    <w:p>
      <w:pPr>
        <w:spacing w:line="600" w:lineRule="exact"/>
        <w:ind w:firstLine="1430" w:firstLineChars="445"/>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项目</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标包</w:t>
      </w:r>
      <w:r>
        <w:rPr>
          <w:rFonts w:hint="eastAsia" w:ascii="宋体" w:hAnsi="宋体" w:cs="宋体"/>
          <w:b/>
          <w:bCs/>
          <w:color w:val="auto"/>
          <w:sz w:val="32"/>
          <w:szCs w:val="32"/>
          <w:highlight w:val="none"/>
          <w:lang w:eastAsia="zh-CN"/>
        </w:rPr>
        <w:t>）</w:t>
      </w:r>
    </w:p>
    <w:p>
      <w:pPr>
        <w:spacing w:line="800" w:lineRule="exact"/>
        <w:ind w:firstLine="2249" w:firstLineChars="7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采购编号：</w:t>
      </w:r>
      <w:r>
        <w:rPr>
          <w:rFonts w:hint="eastAsia" w:ascii="宋体" w:hAnsi="宋体" w:cs="宋体"/>
          <w:b/>
          <w:bCs/>
          <w:color w:val="auto"/>
          <w:sz w:val="32"/>
          <w:szCs w:val="32"/>
          <w:highlight w:val="none"/>
          <w:u w:val="single"/>
        </w:rPr>
        <w:t>　　　　</w:t>
      </w:r>
    </w:p>
    <w:p>
      <w:pPr>
        <w:pStyle w:val="12"/>
        <w:jc w:val="center"/>
        <w:rPr>
          <w:rFonts w:ascii="宋体" w:hAnsi="宋体" w:cs="宋体"/>
          <w:color w:val="auto"/>
          <w:highlight w:val="none"/>
        </w:rPr>
      </w:pPr>
    </w:p>
    <w:p>
      <w:pPr>
        <w:spacing w:line="800" w:lineRule="exact"/>
        <w:ind w:firstLine="2249" w:firstLineChars="700"/>
        <w:rPr>
          <w:rFonts w:ascii="宋体" w:hAnsi="宋体" w:cs="宋体"/>
          <w:b/>
          <w:bCs/>
          <w:color w:val="auto"/>
          <w:sz w:val="32"/>
          <w:szCs w:val="32"/>
          <w:highlight w:val="none"/>
          <w:u w:val="single"/>
        </w:rPr>
      </w:pPr>
    </w:p>
    <w:p>
      <w:pPr>
        <w:spacing w:line="800" w:lineRule="exact"/>
        <w:rPr>
          <w:rFonts w:ascii="宋体" w:hAnsi="宋体" w:cs="宋体"/>
          <w:b/>
          <w:bCs/>
          <w:color w:val="auto"/>
          <w:sz w:val="72"/>
          <w:szCs w:val="72"/>
          <w:highlight w:val="none"/>
        </w:rPr>
      </w:pPr>
    </w:p>
    <w:p>
      <w:pPr>
        <w:spacing w:line="800" w:lineRule="exact"/>
        <w:rPr>
          <w:rFonts w:ascii="宋体" w:hAnsi="宋体" w:cs="宋体"/>
          <w:b/>
          <w:bCs/>
          <w:color w:val="auto"/>
          <w:sz w:val="72"/>
          <w:szCs w:val="72"/>
          <w:highlight w:val="none"/>
        </w:rPr>
      </w:pPr>
    </w:p>
    <w:p>
      <w:pPr>
        <w:spacing w:line="800" w:lineRule="exact"/>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投 标 文 件</w:t>
      </w: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供应商：</w:t>
      </w:r>
      <w:r>
        <w:rPr>
          <w:rFonts w:hint="eastAsia" w:ascii="宋体" w:hAnsi="宋体" w:cs="宋体"/>
          <w:b/>
          <w:color w:val="auto"/>
          <w:sz w:val="32"/>
          <w:szCs w:val="32"/>
          <w:highlight w:val="none"/>
          <w:u w:val="single"/>
        </w:rPr>
        <w:t>　　　　　　　　　　　　　　　　　</w:t>
      </w:r>
    </w:p>
    <w:p>
      <w:pPr>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供应商地址：</w:t>
      </w:r>
      <w:r>
        <w:rPr>
          <w:rFonts w:hint="eastAsia" w:ascii="宋体" w:hAnsi="宋体" w:cs="宋体"/>
          <w:b/>
          <w:color w:val="auto"/>
          <w:sz w:val="32"/>
          <w:szCs w:val="32"/>
          <w:highlight w:val="none"/>
          <w:u w:val="single"/>
        </w:rPr>
        <w:t>　　　　　　　　　　　　　　　</w:t>
      </w:r>
    </w:p>
    <w:p>
      <w:pPr>
        <w:ind w:firstLine="3518" w:firstLineChars="1095"/>
        <w:rPr>
          <w:rFonts w:ascii="宋体" w:hAnsi="宋体" w:cs="宋体"/>
          <w:b/>
          <w:color w:val="auto"/>
          <w:sz w:val="32"/>
          <w:szCs w:val="32"/>
          <w:highlight w:val="none"/>
        </w:rPr>
      </w:pPr>
      <w:r>
        <w:rPr>
          <w:rFonts w:hint="eastAsia" w:ascii="宋体" w:hAnsi="宋体" w:cs="宋体"/>
          <w:b/>
          <w:color w:val="auto"/>
          <w:sz w:val="32"/>
          <w:szCs w:val="32"/>
          <w:highlight w:val="none"/>
        </w:rPr>
        <w:t>编制时间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日</w:t>
      </w:r>
    </w:p>
    <w:p>
      <w:pPr>
        <w:rPr>
          <w:rFonts w:ascii="宋体" w:hAnsi="宋体" w:cs="宋体"/>
          <w:color w:val="auto"/>
          <w:highlight w:val="none"/>
        </w:rPr>
      </w:pPr>
    </w:p>
    <w:p>
      <w:pPr>
        <w:jc w:val="center"/>
        <w:rPr>
          <w:rFonts w:ascii="宋体" w:hAnsi="宋体" w:cs="宋体"/>
          <w:color w:val="auto"/>
          <w:sz w:val="44"/>
          <w:szCs w:val="44"/>
          <w:highlight w:val="none"/>
        </w:rPr>
      </w:pPr>
      <w:bookmarkStart w:id="602" w:name="_Toc338840253"/>
      <w:bookmarkStart w:id="603" w:name="_Toc338840501"/>
      <w:bookmarkStart w:id="604" w:name="_Toc338840462"/>
      <w:bookmarkStart w:id="605" w:name="_Toc346523422"/>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目　　录</w:t>
      </w:r>
      <w:bookmarkEnd w:id="602"/>
      <w:bookmarkEnd w:id="603"/>
      <w:bookmarkEnd w:id="604"/>
      <w:bookmarkEnd w:id="605"/>
    </w:p>
    <w:p>
      <w:pPr>
        <w:rPr>
          <w:rFonts w:ascii="宋体" w:hAnsi="宋体" w:cs="宋体"/>
          <w:color w:val="auto"/>
          <w:sz w:val="32"/>
          <w:szCs w:val="32"/>
          <w:highlight w:val="none"/>
        </w:rPr>
      </w:pPr>
    </w:p>
    <w:p>
      <w:pPr>
        <w:rPr>
          <w:rFonts w:hint="eastAsia" w:ascii="宋体" w:hAnsi="宋体" w:cs="宋体"/>
          <w:b/>
          <w:bCs/>
          <w:color w:val="auto"/>
          <w:kern w:val="44"/>
          <w:sz w:val="44"/>
          <w:szCs w:val="44"/>
          <w:highlight w:val="none"/>
        </w:rPr>
      </w:pPr>
      <w:bookmarkStart w:id="606" w:name="_Toc338840254"/>
      <w:bookmarkStart w:id="607" w:name="_Toc338840502"/>
      <w:bookmarkStart w:id="608" w:name="_Toc338840463"/>
      <w:r>
        <w:rPr>
          <w:rFonts w:hint="eastAsia" w:ascii="宋体" w:hAnsi="宋体" w:cs="宋体"/>
          <w:b/>
          <w:bCs/>
          <w:color w:val="auto"/>
          <w:kern w:val="44"/>
          <w:sz w:val="44"/>
          <w:szCs w:val="44"/>
          <w:highlight w:val="none"/>
        </w:rPr>
        <w:br w:type="page"/>
      </w:r>
    </w:p>
    <w:p>
      <w:pPr>
        <w:pStyle w:val="5"/>
        <w:bidi w:val="0"/>
        <w:spacing w:line="240" w:lineRule="auto"/>
        <w:jc w:val="center"/>
        <w:rPr>
          <w:rFonts w:ascii="宋体" w:hAnsi="宋体" w:cs="宋体"/>
          <w:color w:val="auto"/>
          <w:kern w:val="44"/>
          <w:sz w:val="44"/>
          <w:szCs w:val="44"/>
          <w:highlight w:val="none"/>
        </w:rPr>
      </w:pPr>
      <w:r>
        <w:rPr>
          <w:rFonts w:hint="eastAsia" w:ascii="宋体" w:hAnsi="宋体" w:cs="宋体"/>
          <w:b/>
          <w:bCs/>
          <w:color w:val="auto"/>
          <w:kern w:val="44"/>
          <w:sz w:val="44"/>
          <w:szCs w:val="44"/>
          <w:highlight w:val="none"/>
        </w:rPr>
        <w:t>一、投 标 函</w:t>
      </w:r>
      <w:bookmarkEnd w:id="606"/>
      <w:bookmarkEnd w:id="607"/>
      <w:bookmarkEnd w:id="608"/>
    </w:p>
    <w:p>
      <w:pPr>
        <w:pStyle w:val="38"/>
        <w:widowControl/>
        <w:spacing w:line="360" w:lineRule="auto"/>
        <w:jc w:val="both"/>
        <w:rPr>
          <w:rFonts w:ascii="宋体" w:hAnsi="宋体" w:cs="宋体"/>
          <w:color w:val="auto"/>
          <w:highlight w:val="none"/>
        </w:rPr>
      </w:pPr>
      <w:bookmarkStart w:id="609" w:name="_Toc288115087"/>
      <w:bookmarkStart w:id="610" w:name="_Toc288115062"/>
      <w:r>
        <w:rPr>
          <w:rStyle w:val="45"/>
          <w:rFonts w:hint="eastAsia" w:ascii="宋体" w:hAnsi="宋体" w:cs="宋体"/>
          <w:color w:val="auto"/>
          <w:highlight w:val="none"/>
        </w:rPr>
        <w:t xml:space="preserve">致： </w:t>
      </w:r>
      <w:r>
        <w:rPr>
          <w:rStyle w:val="45"/>
          <w:rFonts w:hint="eastAsia" w:ascii="宋体" w:hAnsi="宋体" w:cs="宋体"/>
          <w:color w:val="auto"/>
          <w:highlight w:val="none"/>
          <w:u w:val="single"/>
        </w:rPr>
        <w:t xml:space="preserve">           </w:t>
      </w:r>
      <w:r>
        <w:rPr>
          <w:rStyle w:val="45"/>
          <w:rFonts w:hint="eastAsia" w:ascii="宋体" w:hAnsi="宋体" w:cs="宋体"/>
          <w:color w:val="auto"/>
          <w:highlight w:val="none"/>
        </w:rPr>
        <w:t>（采购人）</w:t>
      </w:r>
    </w:p>
    <w:p>
      <w:pPr>
        <w:pStyle w:val="38"/>
        <w:widowControl/>
        <w:spacing w:line="360" w:lineRule="auto"/>
        <w:ind w:firstLine="720" w:firstLineChars="300"/>
        <w:jc w:val="both"/>
        <w:rPr>
          <w:rFonts w:ascii="宋体" w:hAnsi="宋体" w:cs="宋体"/>
          <w:color w:val="auto"/>
          <w:highlight w:val="none"/>
        </w:rPr>
      </w:pPr>
      <w:r>
        <w:rPr>
          <w:rFonts w:hint="eastAsia" w:ascii="宋体" w:hAnsi="宋体" w:cs="宋体"/>
          <w:color w:val="auto"/>
          <w:highlight w:val="none"/>
        </w:rPr>
        <w:t>根据贵方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（项目名称、项目编号）采购的招标公告及投标邀请，（</w:t>
      </w:r>
      <w:r>
        <w:rPr>
          <w:rFonts w:hint="eastAsia" w:ascii="宋体" w:hAnsi="宋体" w:cs="宋体"/>
          <w:color w:val="auto"/>
          <w:highlight w:val="none"/>
          <w:u w:val="single"/>
        </w:rPr>
        <w:t xml:space="preserve">         ）</w:t>
      </w:r>
      <w:r>
        <w:rPr>
          <w:rFonts w:hint="eastAsia" w:ascii="宋体" w:hAnsi="宋体" w:cs="宋体"/>
          <w:color w:val="auto"/>
          <w:highlight w:val="none"/>
        </w:rPr>
        <w:t>姓名和职务）被正式授权并代表投标人</w:t>
      </w: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注册地址、统一社会信用代码</w:t>
      </w:r>
      <w:r>
        <w:rPr>
          <w:rFonts w:hint="eastAsia" w:ascii="宋体" w:hAnsi="宋体" w:cs="宋体"/>
          <w:color w:val="auto"/>
          <w:highlight w:val="none"/>
        </w:rPr>
        <w:t>）提交。</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的各项规定和要求，对招标文件的合理性、合法性不再有异议。</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我方已完全明白招标文件的所有条款要求，并申明如下：</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一、按招标文件</w:t>
      </w:r>
      <w:r>
        <w:rPr>
          <w:rFonts w:hint="eastAsia" w:ascii="宋体" w:hAnsi="宋体" w:cs="宋体"/>
          <w:color w:val="auto"/>
          <w:highlight w:val="none"/>
          <w:lang w:val="en-US" w:eastAsia="zh-CN"/>
        </w:rPr>
        <w:t>要求</w:t>
      </w:r>
      <w:r>
        <w:rPr>
          <w:rFonts w:hint="eastAsia" w:ascii="宋体" w:hAnsi="宋体" w:cs="宋体"/>
          <w:color w:val="auto"/>
          <w:highlight w:val="none"/>
        </w:rPr>
        <w:t>提供相关服务的投标报价大写</w:t>
      </w:r>
      <w:r>
        <w:rPr>
          <w:rFonts w:hint="eastAsia" w:ascii="宋体" w:hAnsi="宋体" w:cs="宋体"/>
          <w:color w:val="auto"/>
          <w:highlight w:val="none"/>
          <w:u w:val="single"/>
        </w:rPr>
        <w:t xml:space="preserve">         </w:t>
      </w:r>
      <w:r>
        <w:rPr>
          <w:rFonts w:hint="eastAsia" w:ascii="宋体" w:hAnsi="宋体" w:cs="宋体"/>
          <w:color w:val="auto"/>
          <w:highlight w:val="none"/>
        </w:rPr>
        <w:t> ，小写</w:t>
      </w:r>
      <w:r>
        <w:rPr>
          <w:rFonts w:hint="eastAsia" w:ascii="宋体" w:hAnsi="宋体" w:cs="宋体"/>
          <w:color w:val="auto"/>
          <w:highlight w:val="none"/>
          <w:u w:val="single"/>
        </w:rPr>
        <w:t xml:space="preserve">         </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二、本投标文件的有效期为投标截止时间起</w:t>
      </w:r>
      <w:r>
        <w:rPr>
          <w:rFonts w:hint="eastAsia" w:ascii="宋体" w:hAnsi="宋体" w:cs="宋体"/>
          <w:color w:val="auto"/>
          <w:highlight w:val="none"/>
          <w:u w:val="single"/>
        </w:rPr>
        <w:t xml:space="preserve">         </w:t>
      </w:r>
      <w:r>
        <w:rPr>
          <w:rFonts w:hint="eastAsia" w:ascii="宋体" w:hAnsi="宋体" w:cs="宋体"/>
          <w:color w:val="auto"/>
          <w:highlight w:val="none"/>
        </w:rPr>
        <w:t>天。在此提交的资格证明文件均至投标截止日有效，如有在投标有效期内失效的，我方承诺在中标后补齐一切手续，保证所有资格证明文件能在签订采购合同时直至采购合同终止日有效。</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三、我方明白并同意，在规定的开标日之后，投标有效期之内不予撤销其投标。</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四、我方同意按照贵方可能提出的要求而提供与投标有关的任何其它数据、信息或资料。</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五、我方理解贵方不一定接受最低投标价或任何贵方可能收到的投标。</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六、我方如果中标，将保证履行招标文件及其澄清、修改文件（如果有）中的全部责任和义务，按质、按量、按期完成《项目需求》及《合同书》中的全部任务。</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七、我方在此保证所提交的所有文件和全部说明是真实的和正确的。</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八、、我方具备《政府采购法》第二十二条规定的条件；承诺如下：</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（1）具有独立承担民事责任能力的在中华人民共和国境内注册的法人或其他组织或自然人，有效的营业执照（或事业法人登记证或身份证等相关证明）。</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（2）我方已依法缴纳了各项税费及社会保险费用，如有需要，可随时向采购人提供近三个月内的相关缴费证明，以便核查。</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（3）我方已依法建立健全的财务会计制度，如有需要，可随时向采购人提供相关证明材料，以便核查。</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（4）参加政府采购活动前三年内，在经营活动中没有重大违法记录。</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（5）符合法律、行政法规规定的其他条件。</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十、我方具备履行合同所必需的设备和专业技术能力。</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十一、我方对在本函及投标文件中所作</w:t>
      </w:r>
      <w:r>
        <w:rPr>
          <w:rFonts w:hint="eastAsia" w:ascii="宋体" w:hAnsi="宋体" w:cs="宋体"/>
          <w:color w:val="auto"/>
          <w:highlight w:val="none"/>
        </w:rPr>
        <w:tab/>
      </w:r>
      <w:r>
        <w:rPr>
          <w:rFonts w:hint="eastAsia" w:ascii="宋体" w:hAnsi="宋体" w:cs="宋体"/>
          <w:color w:val="auto"/>
          <w:highlight w:val="none"/>
        </w:rPr>
        <w:t>的所有承诺承担法律责任。</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十二、存在以下行为之一的愿意接受相关部门的处理：</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（一）投标有效期内撤销投标文件的；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（二）在采购人确定中标人以前放弃中标候选资格的；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（三）由于中标人的原因未能按照招标文件的规定与采购人签订合同；</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（四）在投标文件中提供虚假材料谋取中标；</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（五）与采购人、其他供应商或者采购代理机构恶意串通的；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（六）投标有效期内，投标人在政府采购活动中有违法、违规、违纪行为。</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 以上内容如有虚假或与事实不符的，评审委员会可将我方做无效投标处理，我方愿意承担相应的法律责任。我公司声明放弃对此提出任何异议和追索的权利。</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所有与本招标有关的一切正式往来请寄：</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邮政编码：</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传   真：</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投标人代表姓名：</w:t>
      </w:r>
      <w:r>
        <w:rPr>
          <w:rFonts w:hint="eastAsia" w:ascii="宋体" w:hAnsi="宋体" w:cs="宋体"/>
          <w:color w:val="auto"/>
          <w:highlight w:val="none"/>
          <w:u w:val="single"/>
        </w:rPr>
        <w:t xml:space="preserve">         </w:t>
      </w:r>
      <w:r>
        <w:rPr>
          <w:rFonts w:hint="eastAsia" w:ascii="宋体" w:hAnsi="宋体" w:cs="宋体"/>
          <w:color w:val="auto"/>
          <w:highlight w:val="none"/>
        </w:rPr>
        <w:t>         职   务：</w:t>
      </w:r>
      <w:r>
        <w:rPr>
          <w:rFonts w:hint="eastAsia" w:ascii="宋体" w:hAnsi="宋体" w:cs="宋体"/>
          <w:color w:val="auto"/>
          <w:highlight w:val="none"/>
          <w:u w:val="single"/>
        </w:rPr>
        <w:t xml:space="preserve">         </w:t>
      </w:r>
    </w:p>
    <w:p>
      <w:pPr>
        <w:pStyle w:val="38"/>
        <w:widowControl/>
        <w:spacing w:line="360" w:lineRule="auto"/>
        <w:rPr>
          <w:rFonts w:ascii="宋体" w:hAnsi="宋体" w:cs="宋体"/>
          <w:color w:val="auto"/>
          <w:highlight w:val="none"/>
        </w:rPr>
      </w:pPr>
      <w:r>
        <w:rPr>
          <w:rFonts w:hint="eastAsia" w:ascii="宋体" w:hAnsi="宋体" w:cs="宋体"/>
          <w:color w:val="auto"/>
          <w:sz w:val="18"/>
          <w:szCs w:val="18"/>
          <w:highlight w:val="none"/>
        </w:rPr>
        <w:t>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投标人法定代表人（或法定代表人授权代表）签字或盖章：</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投标人名称（盖章）：</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日期：</w:t>
      </w:r>
    </w:p>
    <w:p>
      <w:pPr>
        <w:pStyle w:val="5"/>
        <w:bidi w:val="0"/>
        <w:spacing w:line="240" w:lineRule="auto"/>
        <w:jc w:val="center"/>
        <w:rPr>
          <w:rFonts w:ascii="宋体" w:hAnsi="宋体" w:cs="宋体"/>
          <w:color w:val="auto"/>
          <w:kern w:val="44"/>
          <w:sz w:val="44"/>
          <w:szCs w:val="44"/>
          <w:highlight w:val="none"/>
        </w:rPr>
      </w:pPr>
      <w:r>
        <w:rPr>
          <w:rFonts w:hint="eastAsia" w:ascii="宋体" w:hAnsi="宋体" w:cs="宋体"/>
          <w:color w:val="auto"/>
          <w:sz w:val="24"/>
          <w:highlight w:val="none"/>
        </w:rPr>
        <w:br w:type="page"/>
      </w:r>
      <w:bookmarkStart w:id="611" w:name="_Toc338840503"/>
      <w:bookmarkStart w:id="612" w:name="_Toc338840464"/>
      <w:bookmarkStart w:id="613" w:name="_Toc338840255"/>
      <w:r>
        <w:rPr>
          <w:rFonts w:hint="eastAsia" w:ascii="宋体" w:hAnsi="宋体" w:cs="宋体"/>
          <w:b/>
          <w:bCs/>
          <w:color w:val="auto"/>
          <w:sz w:val="44"/>
          <w:szCs w:val="44"/>
          <w:highlight w:val="none"/>
        </w:rPr>
        <w:t>二、</w:t>
      </w:r>
      <w:r>
        <w:rPr>
          <w:rFonts w:hint="eastAsia" w:ascii="宋体" w:hAnsi="宋体" w:cs="宋体"/>
          <w:b/>
          <w:bCs/>
          <w:color w:val="auto"/>
          <w:kern w:val="44"/>
          <w:sz w:val="44"/>
          <w:szCs w:val="44"/>
          <w:highlight w:val="none"/>
        </w:rPr>
        <w:t>开标一览表（投标函附录）</w:t>
      </w:r>
      <w:bookmarkEnd w:id="611"/>
      <w:bookmarkEnd w:id="612"/>
      <w:bookmarkEnd w:id="613"/>
    </w:p>
    <w:tbl>
      <w:tblPr>
        <w:tblStyle w:val="42"/>
        <w:tblW w:w="0" w:type="auto"/>
        <w:jc w:val="center"/>
        <w:tblLayout w:type="fixed"/>
        <w:tblCellMar>
          <w:top w:w="0" w:type="dxa"/>
          <w:left w:w="108" w:type="dxa"/>
          <w:bottom w:w="0" w:type="dxa"/>
          <w:right w:w="108" w:type="dxa"/>
        </w:tblCellMar>
      </w:tblPr>
      <w:tblGrid>
        <w:gridCol w:w="2366"/>
        <w:gridCol w:w="6120"/>
      </w:tblGrid>
      <w:tr>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采购编号</w:t>
            </w:r>
          </w:p>
        </w:tc>
        <w:tc>
          <w:tcPr>
            <w:tcW w:w="6120" w:type="dxa"/>
            <w:tcBorders>
              <w:top w:val="single" w:color="auto" w:sz="4" w:space="0"/>
              <w:left w:val="single" w:color="auto" w:sz="4" w:space="0"/>
              <w:bottom w:val="single" w:color="auto" w:sz="4" w:space="0"/>
              <w:right w:val="single" w:color="auto" w:sz="4" w:space="0"/>
            </w:tcBorders>
            <w:vAlign w:val="center"/>
          </w:tcPr>
          <w:p>
            <w:pPr>
              <w:ind w:left="108"/>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投标单位名称</w:t>
            </w:r>
          </w:p>
        </w:tc>
        <w:tc>
          <w:tcPr>
            <w:tcW w:w="6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投标报价</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r>
              <w:rPr>
                <w:rFonts w:ascii="宋体" w:hAnsi="宋体" w:cs="宋体"/>
                <w:color w:val="auto"/>
                <w:sz w:val="24"/>
                <w:highlight w:val="none"/>
              </w:rPr>
              <w:t>大写：                　　¥：</w:t>
            </w: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评审报价</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leftChars="0" w:hanging="1440" w:hangingChars="600"/>
              <w:rPr>
                <w:rFonts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大写：                　　¥：</w:t>
            </w: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质量</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w:t>
            </w:r>
            <w:r>
              <w:rPr>
                <w:rFonts w:ascii="宋体" w:hAnsi="宋体" w:cs="宋体"/>
                <w:color w:val="auto"/>
                <w:sz w:val="24"/>
                <w:highlight w:val="none"/>
              </w:rPr>
              <w:t>期</w:t>
            </w:r>
            <w:r>
              <w:rPr>
                <w:rFonts w:hint="eastAsia" w:ascii="宋体" w:hAnsi="宋体" w:cs="宋体"/>
                <w:color w:val="auto"/>
                <w:sz w:val="24"/>
                <w:highlight w:val="none"/>
                <w:lang w:val="en-US" w:eastAsia="zh-CN"/>
              </w:rPr>
              <w:t>限</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投标有效期</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u w:val="single"/>
              </w:rPr>
            </w:pPr>
            <w:r>
              <w:rPr>
                <w:rFonts w:ascii="宋体" w:hAnsi="宋体" w:cs="宋体"/>
                <w:color w:val="auto"/>
                <w:kern w:val="0"/>
                <w:sz w:val="24"/>
                <w:highlight w:val="none"/>
              </w:rPr>
              <w:t>自投标截止之日起开始计算</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日历天</w:t>
            </w: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jc w:val="center"/>
              <w:rPr>
                <w:rFonts w:ascii="宋体" w:hAnsi="宋体" w:cs="宋体"/>
                <w:color w:val="auto"/>
                <w:highlight w:val="none"/>
              </w:rPr>
            </w:pPr>
            <w:r>
              <w:rPr>
                <w:rFonts w:ascii="宋体" w:hAnsi="宋体" w:cs="宋体"/>
                <w:color w:val="auto"/>
                <w:kern w:val="2"/>
                <w:highlight w:val="none"/>
              </w:rPr>
              <w:t>统一社会信用代码证</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注册地址</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法定代表人</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联系人及联系电话</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bl>
    <w:p>
      <w:pPr>
        <w:spacing w:line="360" w:lineRule="auto"/>
        <w:ind w:firstLine="420" w:firstLineChars="200"/>
        <w:rPr>
          <w:rFonts w:cs="仿宋" w:asciiTheme="minorEastAsia" w:hAnsiTheme="minorEastAsia" w:eastAsiaTheme="minorEastAsia"/>
          <w:color w:val="auto"/>
          <w:szCs w:val="21"/>
          <w:highlight w:val="none"/>
        </w:rPr>
      </w:pPr>
      <w:bookmarkStart w:id="614" w:name="_Hlk50327058"/>
      <w:r>
        <w:rPr>
          <w:rFonts w:hint="eastAsia" w:cs="仿宋" w:asciiTheme="minorEastAsia" w:hAnsiTheme="minorEastAsia" w:eastAsiaTheme="minorEastAsia"/>
          <w:color w:val="auto"/>
          <w:szCs w:val="21"/>
          <w:highlight w:val="none"/>
        </w:rPr>
        <w:t>说明：</w:t>
      </w:r>
    </w:p>
    <w:p>
      <w:pPr>
        <w:spacing w:line="360" w:lineRule="auto"/>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1、以上报价为项目实施</w:t>
      </w:r>
      <w:r>
        <w:rPr>
          <w:rFonts w:hint="eastAsia" w:cs="仿宋" w:asciiTheme="minorEastAsia" w:hAnsiTheme="minorEastAsia" w:eastAsiaTheme="minorEastAsia"/>
          <w:color w:val="auto"/>
          <w:szCs w:val="21"/>
          <w:highlight w:val="none"/>
          <w:lang w:val="en-US" w:eastAsia="zh-CN"/>
        </w:rPr>
        <w:t>报</w:t>
      </w:r>
      <w:r>
        <w:rPr>
          <w:rFonts w:hint="eastAsia" w:cs="仿宋" w:asciiTheme="minorEastAsia" w:hAnsiTheme="minorEastAsia" w:eastAsiaTheme="minorEastAsia"/>
          <w:color w:val="auto"/>
          <w:szCs w:val="21"/>
          <w:highlight w:val="none"/>
        </w:rPr>
        <w:t>价(含完成本项目所需的所有费用)。</w:t>
      </w:r>
    </w:p>
    <w:p>
      <w:pPr>
        <w:spacing w:line="360" w:lineRule="auto"/>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评审报价应为供应商参与报价分计算时的投标价格，即符合政府采购相关政策要求，按照本文件规定给予价格折扣后参与评审的价格。（对货物、服务项目其报价扣除10%后参与评审，对工程项目其报价扣除3%后参与评审</w:t>
      </w:r>
      <w:r>
        <w:rPr>
          <w:rFonts w:hint="eastAsia" w:cs="仿宋" w:asciiTheme="minorEastAsia" w:hAnsiTheme="minorEastAsia" w:eastAsiaTheme="minorEastAsia"/>
          <w:color w:val="auto"/>
          <w:szCs w:val="21"/>
          <w:highlight w:val="none"/>
          <w:lang w:eastAsia="zh-CN"/>
        </w:rPr>
        <w:t>，</w:t>
      </w:r>
      <w:r>
        <w:rPr>
          <w:rStyle w:val="147"/>
          <w:color w:val="auto"/>
          <w:highlight w:val="none"/>
        </w:rPr>
        <w:t>专门面向中小企业采购的项目或者采购包，不再执行价格评审优惠的扶持政策）</w:t>
      </w:r>
      <w:r>
        <w:rPr>
          <w:rFonts w:hint="eastAsia" w:cs="仿宋" w:asciiTheme="minorEastAsia" w:hAnsiTheme="minorEastAsia" w:eastAsiaTheme="minorEastAsia"/>
          <w:color w:val="auto"/>
          <w:szCs w:val="21"/>
          <w:highlight w:val="none"/>
        </w:rPr>
        <w:t>。</w:t>
      </w:r>
    </w:p>
    <w:bookmarkEnd w:id="614"/>
    <w:p>
      <w:pPr>
        <w:ind w:firstLine="1200" w:firstLineChars="400"/>
        <w:rPr>
          <w:rFonts w:ascii="宋体" w:hAnsi="宋体" w:cs="宋体"/>
          <w:color w:val="auto"/>
          <w:sz w:val="30"/>
          <w:szCs w:val="30"/>
          <w:highlight w:val="none"/>
          <w:u w:val="single"/>
        </w:rPr>
      </w:pPr>
      <w:r>
        <w:rPr>
          <w:rFonts w:hint="eastAsia" w:ascii="宋体" w:hAnsi="宋体" w:cs="宋体"/>
          <w:color w:val="auto"/>
          <w:sz w:val="30"/>
          <w:szCs w:val="30"/>
          <w:highlight w:val="none"/>
        </w:rPr>
        <w:t>投标单位：</w:t>
      </w:r>
      <w:r>
        <w:rPr>
          <w:rFonts w:hint="eastAsia" w:ascii="宋体" w:hAnsi="宋体" w:cs="宋体"/>
          <w:color w:val="auto"/>
          <w:sz w:val="30"/>
          <w:szCs w:val="30"/>
          <w:highlight w:val="none"/>
          <w:u w:val="single"/>
        </w:rPr>
        <w:t>　　　　　　　　　　　</w:t>
      </w:r>
      <w:r>
        <w:rPr>
          <w:rFonts w:hint="eastAsia" w:ascii="宋体" w:hAnsi="宋体" w:cs="宋体"/>
          <w:color w:val="auto"/>
          <w:sz w:val="30"/>
          <w:szCs w:val="30"/>
          <w:highlight w:val="none"/>
        </w:rPr>
        <w:t>（盖单位章）</w:t>
      </w:r>
    </w:p>
    <w:p>
      <w:pPr>
        <w:ind w:firstLine="1200" w:firstLineChars="400"/>
        <w:rPr>
          <w:rFonts w:ascii="宋体" w:hAnsi="宋体" w:cs="宋体"/>
          <w:color w:val="auto"/>
          <w:sz w:val="30"/>
          <w:szCs w:val="30"/>
          <w:highlight w:val="none"/>
        </w:rPr>
      </w:pPr>
      <w:r>
        <w:rPr>
          <w:rFonts w:hint="eastAsia" w:ascii="宋体" w:hAnsi="宋体" w:cs="宋体"/>
          <w:color w:val="auto"/>
          <w:sz w:val="30"/>
          <w:szCs w:val="30"/>
          <w:highlight w:val="none"/>
        </w:rPr>
        <w:t>法定代表人或其委托代理人：</w:t>
      </w:r>
      <w:r>
        <w:rPr>
          <w:rFonts w:hint="eastAsia" w:ascii="宋体" w:hAnsi="宋体" w:cs="宋体"/>
          <w:color w:val="auto"/>
          <w:sz w:val="30"/>
          <w:szCs w:val="30"/>
          <w:highlight w:val="none"/>
          <w:u w:val="single"/>
        </w:rPr>
        <w:t>　　　</w:t>
      </w:r>
      <w:r>
        <w:rPr>
          <w:rFonts w:hint="eastAsia" w:ascii="宋体" w:hAnsi="宋体" w:cs="宋体"/>
          <w:color w:val="auto"/>
          <w:sz w:val="30"/>
          <w:szCs w:val="30"/>
          <w:highlight w:val="none"/>
        </w:rPr>
        <w:t>　（签字或盖章）</w:t>
      </w:r>
    </w:p>
    <w:p>
      <w:pPr>
        <w:rPr>
          <w:rFonts w:ascii="宋体" w:hAnsi="宋体" w:cs="宋体"/>
          <w:color w:val="auto"/>
          <w:sz w:val="30"/>
          <w:szCs w:val="30"/>
          <w:highlight w:val="none"/>
        </w:rPr>
      </w:pPr>
      <w:r>
        <w:rPr>
          <w:rFonts w:hint="eastAsia" w:ascii="宋体" w:hAnsi="宋体" w:cs="宋体"/>
          <w:color w:val="auto"/>
          <w:sz w:val="30"/>
          <w:szCs w:val="30"/>
          <w:highlight w:val="none"/>
        </w:rPr>
        <w:t>　　　　　　　　　　　　　　</w:t>
      </w:r>
      <w:r>
        <w:rPr>
          <w:rFonts w:hint="eastAsia" w:ascii="宋体" w:hAnsi="宋体" w:cs="宋体"/>
          <w:color w:val="auto"/>
          <w:sz w:val="30"/>
          <w:szCs w:val="30"/>
          <w:highlight w:val="none"/>
          <w:u w:val="single"/>
        </w:rPr>
        <w:t>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w:t>
      </w:r>
      <w:r>
        <w:rPr>
          <w:rFonts w:hint="eastAsia" w:ascii="宋体" w:hAnsi="宋体" w:cs="宋体"/>
          <w:color w:val="auto"/>
          <w:sz w:val="30"/>
          <w:szCs w:val="30"/>
          <w:highlight w:val="none"/>
        </w:rPr>
        <w:t>日</w:t>
      </w:r>
    </w:p>
    <w:p>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pPr>
        <w:pStyle w:val="5"/>
        <w:bidi w:val="0"/>
        <w:jc w:val="center"/>
        <w:rPr>
          <w:rFonts w:hint="eastAsia" w:ascii="Times New Roman" w:hAnsi="Times New Roman" w:eastAsia="宋体" w:cs="Times New Roman"/>
          <w:color w:val="auto"/>
          <w:highlight w:val="none"/>
        </w:rPr>
      </w:pPr>
      <w:bookmarkStart w:id="615" w:name="_Toc338840256"/>
      <w:bookmarkStart w:id="616" w:name="_Toc338840504"/>
      <w:bookmarkStart w:id="617" w:name="_Toc338840465"/>
      <w:r>
        <w:rPr>
          <w:rFonts w:hint="eastAsia" w:ascii="Times New Roman" w:hAnsi="Times New Roman" w:eastAsia="宋体" w:cs="Times New Roman"/>
          <w:color w:val="auto"/>
          <w:highlight w:val="none"/>
        </w:rPr>
        <w:t>三、</w:t>
      </w:r>
      <w:bookmarkEnd w:id="609"/>
      <w:bookmarkEnd w:id="610"/>
      <w:bookmarkEnd w:id="615"/>
      <w:bookmarkEnd w:id="616"/>
      <w:bookmarkEnd w:id="617"/>
      <w:bookmarkStart w:id="618" w:name="_Toc289182816"/>
      <w:bookmarkStart w:id="619" w:name="_Toc289182438"/>
      <w:bookmarkStart w:id="620" w:name="_Toc289241535"/>
      <w:bookmarkStart w:id="621" w:name="_Toc288748127"/>
      <w:bookmarkStart w:id="622" w:name="_Toc289241358"/>
      <w:bookmarkStart w:id="623" w:name="_Toc289238787"/>
      <w:bookmarkStart w:id="624" w:name="_Toc289096742"/>
      <w:r>
        <w:rPr>
          <w:rFonts w:hint="eastAsia" w:ascii="Times New Roman" w:hAnsi="Times New Roman" w:eastAsia="宋体" w:cs="Times New Roman"/>
          <w:color w:val="auto"/>
          <w:highlight w:val="none"/>
        </w:rPr>
        <w:t>法定代表人或单位负责人身份证明书或授权书（自然人投标的无需提供）</w:t>
      </w:r>
    </w:p>
    <w:p>
      <w:pPr>
        <w:spacing w:line="360" w:lineRule="auto"/>
        <w:ind w:firstLine="420" w:firstLineChars="200"/>
        <w:rPr>
          <w:rFonts w:ascii="宋体" w:hAnsi="宋体" w:cs="仿宋"/>
          <w:color w:val="auto"/>
          <w:szCs w:val="21"/>
          <w:highlight w:val="none"/>
        </w:rPr>
      </w:pPr>
    </w:p>
    <w:p>
      <w:pPr>
        <w:spacing w:line="360" w:lineRule="auto"/>
        <w:jc w:val="center"/>
        <w:outlineLvl w:val="2"/>
        <w:rPr>
          <w:rFonts w:ascii="宋体" w:hAnsi="宋体" w:cs="仿宋"/>
          <w:b/>
          <w:bCs/>
          <w:color w:val="auto"/>
          <w:sz w:val="28"/>
          <w:szCs w:val="28"/>
          <w:highlight w:val="none"/>
        </w:rPr>
      </w:pPr>
      <w:bookmarkStart w:id="625" w:name="_Toc4269"/>
      <w:r>
        <w:rPr>
          <w:rFonts w:hint="eastAsia" w:ascii="宋体" w:hAnsi="宋体" w:cs="仿宋"/>
          <w:b/>
          <w:bCs/>
          <w:color w:val="auto"/>
          <w:sz w:val="28"/>
          <w:szCs w:val="28"/>
          <w:highlight w:val="none"/>
          <w:lang w:val="en-US" w:eastAsia="zh-CN"/>
        </w:rPr>
        <w:t>3-</w:t>
      </w:r>
      <w:r>
        <w:rPr>
          <w:rFonts w:ascii="宋体" w:hAnsi="宋体" w:cs="仿宋"/>
          <w:b/>
          <w:bCs/>
          <w:color w:val="auto"/>
          <w:sz w:val="28"/>
          <w:szCs w:val="28"/>
          <w:highlight w:val="none"/>
        </w:rPr>
        <w:t>1、法定代表人或单位负责人身份证明书</w:t>
      </w:r>
      <w:bookmarkEnd w:id="625"/>
    </w:p>
    <w:p>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（法定代表人或单位负责人参加投标的，出具此证明书）</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供应商名称：</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注册地址：</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成立时间：</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经营期限：</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姓名：</w:t>
      </w:r>
      <w:r>
        <w:rPr>
          <w:rFonts w:ascii="宋体" w:hAnsi="宋体" w:cs="仿宋"/>
          <w:color w:val="auto"/>
          <w:szCs w:val="21"/>
          <w:highlight w:val="none"/>
        </w:rPr>
        <w:t xml:space="preserve">      </w:t>
      </w:r>
      <w:r>
        <w:rPr>
          <w:rFonts w:hint="eastAsia" w:ascii="宋体" w:hAnsi="宋体" w:cs="仿宋"/>
          <w:color w:val="auto"/>
          <w:szCs w:val="21"/>
          <w:highlight w:val="none"/>
        </w:rPr>
        <w:t>；性别：</w:t>
      </w:r>
      <w:r>
        <w:rPr>
          <w:rFonts w:ascii="宋体" w:hAnsi="宋体" w:cs="仿宋"/>
          <w:color w:val="auto"/>
          <w:szCs w:val="21"/>
          <w:highlight w:val="none"/>
        </w:rPr>
        <w:t xml:space="preserve">     </w:t>
      </w:r>
      <w:r>
        <w:rPr>
          <w:rFonts w:hint="eastAsia" w:ascii="宋体" w:hAnsi="宋体" w:cs="仿宋"/>
          <w:color w:val="auto"/>
          <w:szCs w:val="21"/>
          <w:highlight w:val="none"/>
        </w:rPr>
        <w:t>；职务</w:t>
      </w:r>
      <w:r>
        <w:rPr>
          <w:rFonts w:ascii="宋体" w:hAnsi="宋体" w:cs="仿宋"/>
          <w:color w:val="auto"/>
          <w:szCs w:val="21"/>
          <w:highlight w:val="none"/>
        </w:rPr>
        <w:t xml:space="preserve">    </w:t>
      </w:r>
      <w:r>
        <w:rPr>
          <w:rFonts w:hint="eastAsia" w:ascii="宋体" w:hAnsi="宋体" w:cs="仿宋"/>
          <w:color w:val="auto"/>
          <w:szCs w:val="21"/>
          <w:highlight w:val="none"/>
        </w:rPr>
        <w:t>；系我单位法定代表人或单位负责人。</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特此证明。</w:t>
      </w:r>
    </w:p>
    <w:p>
      <w:pPr>
        <w:spacing w:line="360" w:lineRule="auto"/>
        <w:ind w:firstLine="420" w:firstLineChars="200"/>
        <w:rPr>
          <w:rFonts w:ascii="宋体" w:hAnsi="宋体" w:cs="仿宋"/>
          <w:color w:val="auto"/>
          <w:szCs w:val="21"/>
          <w:highlight w:val="none"/>
        </w:rPr>
      </w:pPr>
    </w:p>
    <w:p>
      <w:pPr>
        <w:spacing w:line="360" w:lineRule="auto"/>
        <w:ind w:firstLine="420" w:firstLineChars="200"/>
        <w:rPr>
          <w:rFonts w:ascii="宋体" w:hAnsi="宋体" w:cs="仿宋"/>
          <w:color w:val="auto"/>
          <w:szCs w:val="21"/>
          <w:highlight w:val="none"/>
        </w:rPr>
      </w:pPr>
    </w:p>
    <w:p>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rPr>
        <w:t xml:space="preserve">                                   </w:t>
      </w:r>
      <w:r>
        <w:rPr>
          <w:rFonts w:hint="eastAsia" w:ascii="宋体" w:hAnsi="宋体" w:cs="仿宋"/>
          <w:color w:val="auto"/>
          <w:szCs w:val="21"/>
          <w:highlight w:val="none"/>
        </w:rPr>
        <w:t>供应商名称：（盖章）</w:t>
      </w:r>
    </w:p>
    <w:p>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rPr>
        <w:t xml:space="preserve">                                    年   月   日</w:t>
      </w:r>
    </w:p>
    <w:tbl>
      <w:tblPr>
        <w:tblStyle w:val="4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法定代表人或单位负责人身份证</w:t>
            </w:r>
          </w:p>
          <w:p>
            <w:pPr>
              <w:pStyle w:val="21"/>
              <w:tabs>
                <w:tab w:val="left" w:pos="5580"/>
              </w:tabs>
              <w:spacing w:line="240" w:lineRule="atLeast"/>
              <w:jc w:val="center"/>
              <w:rPr>
                <w:rFonts w:hAnsi="宋体"/>
                <w:color w:val="auto"/>
                <w:sz w:val="24"/>
                <w:highlight w:val="none"/>
              </w:rPr>
            </w:pPr>
          </w:p>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人像面</w:t>
            </w:r>
          </w:p>
        </w:tc>
        <w:tc>
          <w:tcPr>
            <w:tcW w:w="4431" w:type="dxa"/>
            <w:vAlign w:val="center"/>
          </w:tcPr>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法定代表人或单位负责人身份证</w:t>
            </w:r>
          </w:p>
          <w:p>
            <w:pPr>
              <w:pStyle w:val="21"/>
              <w:tabs>
                <w:tab w:val="left" w:pos="5580"/>
              </w:tabs>
              <w:spacing w:line="240" w:lineRule="atLeast"/>
              <w:jc w:val="center"/>
              <w:rPr>
                <w:rFonts w:hAnsi="宋体"/>
                <w:color w:val="auto"/>
                <w:sz w:val="24"/>
                <w:highlight w:val="none"/>
              </w:rPr>
            </w:pPr>
          </w:p>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国徽面</w:t>
            </w:r>
          </w:p>
        </w:tc>
      </w:tr>
    </w:tbl>
    <w:p>
      <w:pPr>
        <w:spacing w:line="360" w:lineRule="auto"/>
        <w:ind w:firstLine="840" w:firstLineChars="400"/>
        <w:rPr>
          <w:rFonts w:ascii="宋体" w:hAnsi="宋体" w:cs="仿宋"/>
          <w:color w:val="auto"/>
          <w:szCs w:val="21"/>
          <w:highlight w:val="none"/>
        </w:rPr>
      </w:pPr>
    </w:p>
    <w:p>
      <w:pPr>
        <w:spacing w:line="360" w:lineRule="auto"/>
        <w:ind w:firstLine="4480" w:firstLineChars="1600"/>
        <w:rPr>
          <w:rFonts w:ascii="宋体" w:hAnsi="宋体" w:cs="仿宋"/>
          <w:color w:val="auto"/>
          <w:sz w:val="28"/>
          <w:szCs w:val="28"/>
          <w:highlight w:val="none"/>
        </w:rPr>
      </w:pPr>
    </w:p>
    <w:p>
      <w:pPr>
        <w:spacing w:line="360" w:lineRule="auto"/>
        <w:ind w:firstLine="4480" w:firstLineChars="1600"/>
        <w:rPr>
          <w:rFonts w:ascii="宋体" w:hAnsi="宋体" w:cs="仿宋"/>
          <w:color w:val="auto"/>
          <w:sz w:val="28"/>
          <w:szCs w:val="28"/>
          <w:highlight w:val="none"/>
        </w:rPr>
      </w:pPr>
    </w:p>
    <w:p>
      <w:pPr>
        <w:spacing w:line="360" w:lineRule="auto"/>
        <w:ind w:firstLine="4480" w:firstLineChars="1600"/>
        <w:rPr>
          <w:rFonts w:ascii="宋体" w:hAnsi="宋体" w:cs="仿宋"/>
          <w:color w:val="auto"/>
          <w:sz w:val="28"/>
          <w:szCs w:val="28"/>
          <w:highlight w:val="none"/>
        </w:rPr>
      </w:pPr>
    </w:p>
    <w:p>
      <w:pPr>
        <w:widowControl/>
        <w:jc w:val="left"/>
        <w:rPr>
          <w:rFonts w:ascii="宋体" w:hAnsi="宋体" w:cs="仿宋"/>
          <w:b/>
          <w:bCs/>
          <w:color w:val="auto"/>
          <w:sz w:val="28"/>
          <w:szCs w:val="28"/>
          <w:highlight w:val="none"/>
        </w:rPr>
      </w:pPr>
      <w:bookmarkStart w:id="626" w:name="_Toc531517340"/>
      <w:bookmarkStart w:id="627" w:name="_Toc13857_WPSOffice_Level3"/>
      <w:bookmarkStart w:id="628" w:name="_Toc8396"/>
      <w:bookmarkStart w:id="629" w:name="_Toc20190"/>
      <w:bookmarkStart w:id="630" w:name="_Toc2612"/>
      <w:r>
        <w:rPr>
          <w:rFonts w:ascii="宋体" w:hAnsi="宋体" w:cs="仿宋"/>
          <w:b/>
          <w:bCs/>
          <w:color w:val="auto"/>
          <w:sz w:val="28"/>
          <w:szCs w:val="28"/>
          <w:highlight w:val="none"/>
        </w:rPr>
        <w:br w:type="page"/>
      </w:r>
    </w:p>
    <w:p>
      <w:pPr>
        <w:pStyle w:val="21"/>
        <w:tabs>
          <w:tab w:val="left" w:pos="5580"/>
        </w:tabs>
        <w:spacing w:line="240" w:lineRule="atLeast"/>
        <w:jc w:val="center"/>
        <w:outlineLvl w:val="2"/>
        <w:rPr>
          <w:rFonts w:hAnsi="宋体" w:cs="仿宋"/>
          <w:b/>
          <w:bCs/>
          <w:color w:val="auto"/>
          <w:sz w:val="28"/>
          <w:szCs w:val="28"/>
          <w:highlight w:val="none"/>
        </w:rPr>
      </w:pPr>
      <w:bookmarkStart w:id="631" w:name="_Toc18588820"/>
      <w:bookmarkStart w:id="632" w:name="_Toc11686"/>
      <w:r>
        <w:rPr>
          <w:rFonts w:hint="eastAsia" w:hAnsi="宋体" w:cs="仿宋"/>
          <w:b/>
          <w:bCs/>
          <w:color w:val="auto"/>
          <w:sz w:val="28"/>
          <w:szCs w:val="28"/>
          <w:highlight w:val="none"/>
          <w:lang w:val="en-US" w:eastAsia="zh-CN"/>
        </w:rPr>
        <w:t>3</w:t>
      </w:r>
      <w:r>
        <w:rPr>
          <w:rFonts w:hAnsi="宋体" w:cs="仿宋"/>
          <w:b/>
          <w:bCs/>
          <w:color w:val="auto"/>
          <w:sz w:val="28"/>
          <w:szCs w:val="28"/>
          <w:highlight w:val="none"/>
        </w:rPr>
        <w:t>-2、法定代表人（或单位负责人）授权委托书</w:t>
      </w:r>
      <w:bookmarkEnd w:id="626"/>
      <w:bookmarkEnd w:id="627"/>
      <w:bookmarkEnd w:id="628"/>
      <w:bookmarkEnd w:id="629"/>
      <w:bookmarkEnd w:id="630"/>
      <w:bookmarkEnd w:id="631"/>
      <w:bookmarkEnd w:id="632"/>
    </w:p>
    <w:p>
      <w:pPr>
        <w:pStyle w:val="21"/>
        <w:spacing w:line="240" w:lineRule="atLeast"/>
        <w:ind w:left="1080" w:leftChars="257" w:hanging="540"/>
        <w:rPr>
          <w:rFonts w:hAnsi="宋体" w:cs="仿宋"/>
          <w:color w:val="auto"/>
          <w:szCs w:val="21"/>
          <w:highlight w:val="none"/>
        </w:rPr>
      </w:pPr>
      <w:r>
        <w:rPr>
          <w:rFonts w:hAnsi="宋体" w:cs="仿宋"/>
          <w:color w:val="auto"/>
          <w:sz w:val="24"/>
          <w:highlight w:val="none"/>
        </w:rPr>
        <w:t xml:space="preserve">         </w:t>
      </w:r>
      <w:r>
        <w:rPr>
          <w:rFonts w:hAnsi="宋体" w:cs="仿宋"/>
          <w:color w:val="auto"/>
          <w:szCs w:val="21"/>
          <w:highlight w:val="none"/>
        </w:rPr>
        <w:t xml:space="preserve">  （被授权人参加投标的，出具此证明书）</w:t>
      </w:r>
    </w:p>
    <w:p>
      <w:pPr>
        <w:pStyle w:val="21"/>
        <w:tabs>
          <w:tab w:val="left" w:pos="5580"/>
        </w:tabs>
        <w:spacing w:line="240" w:lineRule="atLeast"/>
        <w:rPr>
          <w:rFonts w:hAnsi="宋体" w:cs="仿宋"/>
          <w:color w:val="auto"/>
          <w:szCs w:val="21"/>
          <w:highlight w:val="none"/>
        </w:rPr>
      </w:pPr>
      <w:r>
        <w:rPr>
          <w:rFonts w:hAnsi="宋体" w:cs="仿宋"/>
          <w:color w:val="auto"/>
          <w:szCs w:val="21"/>
          <w:highlight w:val="none"/>
        </w:rPr>
        <w:t xml:space="preserve">    本授权书声明：注册于________</w:t>
      </w:r>
      <w:r>
        <w:rPr>
          <w:rFonts w:hint="eastAsia" w:hAnsi="宋体" w:cs="仿宋"/>
          <w:color w:val="auto"/>
          <w:szCs w:val="21"/>
          <w:highlight w:val="none"/>
        </w:rPr>
        <w:t>（国家或地区的名称）的</w:t>
      </w:r>
      <w:r>
        <w:rPr>
          <w:rFonts w:hAnsi="宋体" w:cs="仿宋"/>
          <w:color w:val="auto"/>
          <w:szCs w:val="21"/>
          <w:highlight w:val="none"/>
        </w:rPr>
        <w:t xml:space="preserve"> ________</w:t>
      </w:r>
      <w:r>
        <w:rPr>
          <w:rFonts w:hint="eastAsia" w:hAnsi="宋体" w:cs="仿宋"/>
          <w:color w:val="auto"/>
          <w:szCs w:val="21"/>
          <w:highlight w:val="none"/>
        </w:rPr>
        <w:t>（供应商）的在下面签字的</w:t>
      </w:r>
      <w:r>
        <w:rPr>
          <w:rFonts w:hAnsi="宋体" w:cs="仿宋"/>
          <w:color w:val="auto"/>
          <w:szCs w:val="21"/>
          <w:highlight w:val="none"/>
        </w:rPr>
        <w:t>________</w:t>
      </w:r>
      <w:r>
        <w:rPr>
          <w:rFonts w:hint="eastAsia" w:hAnsi="宋体" w:cs="仿宋"/>
          <w:color w:val="auto"/>
          <w:szCs w:val="21"/>
          <w:highlight w:val="none"/>
        </w:rPr>
        <w:t>（法人代表姓名、职务）代表我单位授权</w:t>
      </w:r>
      <w:r>
        <w:rPr>
          <w:rFonts w:hAnsi="宋体" w:cs="仿宋"/>
          <w:color w:val="auto"/>
          <w:szCs w:val="21"/>
          <w:highlight w:val="none"/>
        </w:rPr>
        <w:t xml:space="preserve">________ </w:t>
      </w:r>
      <w:r>
        <w:rPr>
          <w:rFonts w:hint="eastAsia" w:hAnsi="宋体" w:cs="仿宋"/>
          <w:color w:val="auto"/>
          <w:szCs w:val="21"/>
          <w:highlight w:val="none"/>
        </w:rPr>
        <w:t>（被授权人的姓名、职务）为我单位的合法代理人，就</w:t>
      </w:r>
      <w:r>
        <w:rPr>
          <w:rFonts w:hAnsi="宋体" w:cs="仿宋"/>
          <w:color w:val="auto"/>
          <w:szCs w:val="21"/>
          <w:highlight w:val="none"/>
        </w:rPr>
        <w:t>________</w:t>
      </w:r>
      <w:r>
        <w:rPr>
          <w:rFonts w:hint="eastAsia" w:hAnsi="宋体" w:cs="仿宋"/>
          <w:color w:val="auto"/>
          <w:szCs w:val="21"/>
          <w:highlight w:val="none"/>
        </w:rPr>
        <w:t>（项目名称）的投标，以我单位名义处理一切与之有关的事务。</w:t>
      </w:r>
    </w:p>
    <w:p>
      <w:pPr>
        <w:pStyle w:val="21"/>
        <w:tabs>
          <w:tab w:val="left" w:pos="5580"/>
        </w:tabs>
        <w:spacing w:line="240" w:lineRule="atLeast"/>
        <w:ind w:left="-540" w:leftChars="-257" w:firstLine="787" w:firstLineChars="375"/>
        <w:rPr>
          <w:rFonts w:hAnsi="宋体" w:cs="仿宋"/>
          <w:color w:val="auto"/>
          <w:szCs w:val="21"/>
          <w:highlight w:val="none"/>
        </w:rPr>
      </w:pPr>
      <w:r>
        <w:rPr>
          <w:rFonts w:hint="eastAsia" w:hAnsi="宋体" w:cs="仿宋"/>
          <w:color w:val="auto"/>
          <w:szCs w:val="21"/>
          <w:highlight w:val="none"/>
        </w:rPr>
        <w:t>本授权书于</w:t>
      </w:r>
      <w:r>
        <w:rPr>
          <w:rFonts w:hAnsi="宋体" w:cs="仿宋"/>
          <w:color w:val="auto"/>
          <w:szCs w:val="21"/>
          <w:highlight w:val="none"/>
        </w:rPr>
        <w:t xml:space="preserve">      </w:t>
      </w:r>
      <w:r>
        <w:rPr>
          <w:rFonts w:hint="eastAsia" w:hAnsi="宋体" w:cs="仿宋"/>
          <w:color w:val="auto"/>
          <w:szCs w:val="21"/>
          <w:highlight w:val="none"/>
        </w:rPr>
        <w:t>年</w:t>
      </w:r>
      <w:r>
        <w:rPr>
          <w:rFonts w:hAnsi="宋体" w:cs="仿宋"/>
          <w:color w:val="auto"/>
          <w:szCs w:val="21"/>
          <w:highlight w:val="none"/>
        </w:rPr>
        <w:t xml:space="preserve">     </w:t>
      </w:r>
      <w:r>
        <w:rPr>
          <w:rFonts w:hint="eastAsia" w:hAnsi="宋体" w:cs="仿宋"/>
          <w:color w:val="auto"/>
          <w:szCs w:val="21"/>
          <w:highlight w:val="none"/>
        </w:rPr>
        <w:t>月</w:t>
      </w:r>
      <w:r>
        <w:rPr>
          <w:rFonts w:hAnsi="宋体" w:cs="仿宋"/>
          <w:color w:val="auto"/>
          <w:szCs w:val="21"/>
          <w:highlight w:val="none"/>
        </w:rPr>
        <w:t xml:space="preserve">     </w:t>
      </w:r>
      <w:r>
        <w:rPr>
          <w:rFonts w:hint="eastAsia" w:hAnsi="宋体" w:cs="仿宋"/>
          <w:color w:val="auto"/>
          <w:szCs w:val="21"/>
          <w:highlight w:val="none"/>
        </w:rPr>
        <w:t>日签字生效</w:t>
      </w:r>
      <w:r>
        <w:rPr>
          <w:rFonts w:hAnsi="宋体" w:cs="仿宋"/>
          <w:color w:val="auto"/>
          <w:szCs w:val="21"/>
          <w:highlight w:val="none"/>
        </w:rPr>
        <w:t>,特此声明。</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供应商（盖章）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法定代表人（或单位负责人）（签字或盖章）：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身份证号码：</w:t>
      </w:r>
      <w:r>
        <w:rPr>
          <w:rFonts w:hAnsi="宋体" w:cs="仿宋"/>
          <w:color w:val="auto"/>
          <w:szCs w:val="21"/>
          <w:highlight w:val="none"/>
        </w:rPr>
        <w:t xml:space="preserve">__________________________________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委托代理人（签字或盖章）：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身份证号码：</w:t>
      </w:r>
      <w:r>
        <w:rPr>
          <w:rFonts w:hAnsi="宋体" w:cs="仿宋"/>
          <w:color w:val="auto"/>
          <w:szCs w:val="21"/>
          <w:highlight w:val="none"/>
        </w:rPr>
        <w:t xml:space="preserve">__________________________________ </w:t>
      </w:r>
    </w:p>
    <w:p>
      <w:pPr>
        <w:pStyle w:val="21"/>
        <w:tabs>
          <w:tab w:val="left" w:pos="5580"/>
        </w:tabs>
        <w:spacing w:line="240" w:lineRule="atLeast"/>
        <w:ind w:firstLine="420" w:firstLineChars="200"/>
        <w:rPr>
          <w:rFonts w:hAnsi="宋体" w:cs="仿宋"/>
          <w:color w:val="auto"/>
          <w:szCs w:val="21"/>
          <w:highlight w:val="none"/>
        </w:rPr>
      </w:pPr>
      <w:r>
        <w:rPr>
          <w:rFonts w:hAnsi="宋体" w:cs="仿宋"/>
          <w:color w:val="auto"/>
          <w:szCs w:val="21"/>
          <w:highlight w:val="none"/>
        </w:rPr>
        <w:t xml:space="preserve">                                     年    月   日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附法定代表人（或单位负责人）身份证复印件、委托代理人身份证复印件</w:t>
      </w:r>
    </w:p>
    <w:tbl>
      <w:tblPr>
        <w:tblStyle w:val="4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法定代表人（或单位负责人）或自然人身份证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人像面</w:t>
            </w:r>
          </w:p>
        </w:tc>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法定代表人（或单位负责人）或自然人身份证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委托代理人身份证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人像面</w:t>
            </w:r>
          </w:p>
        </w:tc>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委托代理人身份证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国徽面</w:t>
            </w:r>
          </w:p>
        </w:tc>
      </w:tr>
    </w:tbl>
    <w:p>
      <w:pPr>
        <w:rPr>
          <w:rFonts w:ascii="宋体" w:hAnsi="宋体" w:cs="宋体"/>
          <w:color w:val="auto"/>
          <w:sz w:val="24"/>
          <w:highlight w:val="none"/>
        </w:rPr>
      </w:pPr>
      <w:r>
        <w:rPr>
          <w:rFonts w:ascii="宋体" w:hAnsi="宋体" w:cs="仿宋"/>
          <w:color w:val="auto"/>
          <w:sz w:val="28"/>
          <w:szCs w:val="28"/>
          <w:highlight w:val="none"/>
        </w:rPr>
        <w:br w:type="page"/>
      </w:r>
    </w:p>
    <w:p>
      <w:pPr>
        <w:pStyle w:val="5"/>
        <w:bidi w:val="0"/>
        <w:jc w:val="center"/>
        <w:rPr>
          <w:color w:val="auto"/>
          <w:highlight w:val="none"/>
        </w:rPr>
      </w:pPr>
      <w:bookmarkStart w:id="633" w:name="_Toc338840470"/>
      <w:bookmarkStart w:id="634" w:name="_Toc338840509"/>
      <w:bookmarkStart w:id="635" w:name="_Toc338840261"/>
      <w:r>
        <w:rPr>
          <w:rFonts w:hint="eastAsia"/>
          <w:color w:val="auto"/>
          <w:highlight w:val="none"/>
        </w:rPr>
        <w:t>四</w:t>
      </w:r>
      <w:bookmarkStart w:id="636" w:name="_Hlk30079806"/>
      <w:r>
        <w:rPr>
          <w:rFonts w:hint="eastAsia"/>
          <w:color w:val="auto"/>
          <w:highlight w:val="none"/>
        </w:rPr>
        <w:t>、投标</w:t>
      </w:r>
      <w:r>
        <w:rPr>
          <w:rFonts w:hint="eastAsia"/>
          <w:color w:val="auto"/>
          <w:highlight w:val="none"/>
          <w:lang w:val="en-US" w:eastAsia="zh-CN"/>
        </w:rPr>
        <w:t>报价</w:t>
      </w:r>
      <w:r>
        <w:rPr>
          <w:rFonts w:hint="eastAsia"/>
          <w:color w:val="auto"/>
          <w:highlight w:val="none"/>
        </w:rPr>
        <w:t>明细表</w:t>
      </w:r>
      <w:bookmarkEnd w:id="618"/>
      <w:bookmarkEnd w:id="619"/>
      <w:bookmarkEnd w:id="620"/>
      <w:bookmarkEnd w:id="621"/>
      <w:bookmarkEnd w:id="622"/>
      <w:bookmarkEnd w:id="623"/>
      <w:bookmarkEnd w:id="624"/>
      <w:bookmarkEnd w:id="633"/>
      <w:bookmarkEnd w:id="634"/>
      <w:bookmarkEnd w:id="635"/>
    </w:p>
    <w:p>
      <w:pPr>
        <w:bidi w:val="0"/>
        <w:rPr>
          <w:rFonts w:hint="eastAsia"/>
          <w:lang w:val="en-US" w:eastAsia="zh-CN"/>
        </w:rPr>
      </w:pPr>
      <w:r>
        <w:rPr>
          <w:rFonts w:hint="eastAsia"/>
        </w:rPr>
        <w:t xml:space="preserve">  　</w:t>
      </w:r>
      <w:bookmarkEnd w:id="636"/>
    </w:p>
    <w:tbl>
      <w:tblPr>
        <w:tblStyle w:val="42"/>
        <w:tblW w:w="8997" w:type="dxa"/>
        <w:tblInd w:w="5" w:type="dxa"/>
        <w:tblLayout w:type="fixed"/>
        <w:tblCellMar>
          <w:top w:w="0" w:type="dxa"/>
          <w:left w:w="0" w:type="dxa"/>
          <w:bottom w:w="0" w:type="dxa"/>
          <w:right w:w="0" w:type="dxa"/>
        </w:tblCellMar>
      </w:tblPr>
      <w:tblGrid>
        <w:gridCol w:w="1364"/>
        <w:gridCol w:w="1940"/>
        <w:gridCol w:w="2071"/>
        <w:gridCol w:w="2095"/>
        <w:gridCol w:w="1527"/>
      </w:tblGrid>
      <w:tr>
        <w:tblPrEx>
          <w:tblCellMar>
            <w:top w:w="0" w:type="dxa"/>
            <w:left w:w="0" w:type="dxa"/>
            <w:bottom w:w="0" w:type="dxa"/>
            <w:right w:w="0" w:type="dxa"/>
          </w:tblCellMar>
        </w:tblPrEx>
        <w:trPr>
          <w:trHeight w:val="460" w:hRule="atLeast"/>
        </w:trPr>
        <w:tc>
          <w:tcPr>
            <w:tcW w:w="1364" w:type="dxa"/>
            <w:tcBorders>
              <w:top w:val="single" w:color="auto" w:sz="4" w:space="0"/>
              <w:left w:val="single" w:color="auto" w:sz="4" w:space="0"/>
              <w:bottom w:val="single" w:color="auto" w:sz="4" w:space="0"/>
              <w:right w:val="single" w:color="auto" w:sz="4" w:space="0"/>
            </w:tcBorders>
            <w:vAlign w:val="center"/>
          </w:tcPr>
          <w:p>
            <w:pPr>
              <w:pStyle w:val="21"/>
              <w:spacing w:line="240" w:lineRule="atLeas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序号</w:t>
            </w:r>
          </w:p>
        </w:tc>
        <w:tc>
          <w:tcPr>
            <w:tcW w:w="1940" w:type="dxa"/>
            <w:tcBorders>
              <w:top w:val="single" w:color="auto" w:sz="4" w:space="0"/>
              <w:left w:val="nil"/>
              <w:bottom w:val="single" w:color="auto" w:sz="4" w:space="0"/>
              <w:right w:val="single" w:color="auto" w:sz="4" w:space="0"/>
            </w:tcBorders>
            <w:vAlign w:val="center"/>
          </w:tcPr>
          <w:p>
            <w:pPr>
              <w:pStyle w:val="21"/>
              <w:spacing w:line="240" w:lineRule="atLeas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名称</w:t>
            </w:r>
          </w:p>
        </w:tc>
        <w:tc>
          <w:tcPr>
            <w:tcW w:w="2071" w:type="dxa"/>
            <w:tcBorders>
              <w:top w:val="single" w:color="auto" w:sz="4" w:space="0"/>
              <w:left w:val="nil"/>
              <w:bottom w:val="single" w:color="auto" w:sz="4" w:space="0"/>
              <w:right w:val="single" w:color="auto" w:sz="4" w:space="0"/>
            </w:tcBorders>
            <w:vAlign w:val="center"/>
          </w:tcPr>
          <w:p>
            <w:pPr>
              <w:pStyle w:val="21"/>
              <w:spacing w:line="240" w:lineRule="atLeas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单价</w:t>
            </w:r>
          </w:p>
        </w:tc>
        <w:tc>
          <w:tcPr>
            <w:tcW w:w="2095" w:type="dxa"/>
            <w:tcBorders>
              <w:top w:val="single" w:color="auto" w:sz="4" w:space="0"/>
              <w:left w:val="nil"/>
              <w:bottom w:val="single" w:color="auto" w:sz="4" w:space="0"/>
              <w:right w:val="single" w:color="auto" w:sz="4" w:space="0"/>
            </w:tcBorders>
            <w:vAlign w:val="center"/>
          </w:tcPr>
          <w:p>
            <w:pPr>
              <w:pStyle w:val="21"/>
              <w:spacing w:line="240" w:lineRule="atLeas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总价</w:t>
            </w:r>
          </w:p>
        </w:tc>
        <w:tc>
          <w:tcPr>
            <w:tcW w:w="1527" w:type="dxa"/>
            <w:tcBorders>
              <w:top w:val="single" w:color="auto" w:sz="4" w:space="0"/>
              <w:left w:val="nil"/>
              <w:bottom w:val="single" w:color="auto" w:sz="4" w:space="0"/>
              <w:right w:val="single" w:color="auto" w:sz="4" w:space="0"/>
            </w:tcBorders>
            <w:vAlign w:val="bottom"/>
          </w:tcPr>
          <w:p>
            <w:pPr>
              <w:spacing w:line="440" w:lineRule="exac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合计</w:t>
            </w:r>
          </w:p>
        </w:tc>
      </w:tr>
      <w:tr>
        <w:tblPrEx>
          <w:tblCellMar>
            <w:top w:w="0" w:type="dxa"/>
            <w:left w:w="0" w:type="dxa"/>
            <w:bottom w:w="0" w:type="dxa"/>
            <w:right w:w="0" w:type="dxa"/>
          </w:tblCellMar>
        </w:tblPrEx>
        <w:trPr>
          <w:trHeight w:val="460" w:hRule="atLeast"/>
        </w:trPr>
        <w:tc>
          <w:tcPr>
            <w:tcW w:w="1364" w:type="dxa"/>
            <w:tcBorders>
              <w:top w:val="nil"/>
              <w:left w:val="single" w:color="auto" w:sz="4" w:space="0"/>
              <w:bottom w:val="single" w:color="auto" w:sz="4" w:space="0"/>
              <w:right w:val="single" w:color="auto" w:sz="4" w:space="0"/>
            </w:tcBorders>
            <w:vAlign w:val="bottom"/>
          </w:tcPr>
          <w:p>
            <w:pPr>
              <w:spacing w:line="440" w:lineRule="exact"/>
              <w:jc w:val="center"/>
              <w:rPr>
                <w:rFonts w:hint="eastAsia" w:ascii="Times New Roman" w:hAnsi="Times New Roman" w:eastAsia="宋体" w:cs="Times New Roman"/>
                <w:b w:val="0"/>
                <w:bCs w:val="0"/>
                <w:kern w:val="2"/>
                <w:sz w:val="24"/>
                <w:szCs w:val="24"/>
                <w:lang w:val="en-US" w:eastAsia="zh-CN" w:bidi="ar-SA"/>
              </w:rPr>
            </w:pPr>
          </w:p>
        </w:tc>
        <w:tc>
          <w:tcPr>
            <w:tcW w:w="1940"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w:t>
            </w:r>
          </w:p>
        </w:tc>
        <w:tc>
          <w:tcPr>
            <w:tcW w:w="2071"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p>
        </w:tc>
        <w:tc>
          <w:tcPr>
            <w:tcW w:w="2095"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p>
        </w:tc>
        <w:tc>
          <w:tcPr>
            <w:tcW w:w="1527"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w:t>
            </w:r>
          </w:p>
        </w:tc>
      </w:tr>
      <w:tr>
        <w:tblPrEx>
          <w:tblCellMar>
            <w:top w:w="0" w:type="dxa"/>
            <w:left w:w="0" w:type="dxa"/>
            <w:bottom w:w="0" w:type="dxa"/>
            <w:right w:w="0" w:type="dxa"/>
          </w:tblCellMar>
        </w:tblPrEx>
        <w:trPr>
          <w:trHeight w:val="460" w:hRule="atLeast"/>
        </w:trPr>
        <w:tc>
          <w:tcPr>
            <w:tcW w:w="1364" w:type="dxa"/>
            <w:tcBorders>
              <w:top w:val="nil"/>
              <w:left w:val="single" w:color="auto" w:sz="4" w:space="0"/>
              <w:bottom w:val="nil"/>
              <w:right w:val="single" w:color="auto" w:sz="4" w:space="0"/>
            </w:tcBorders>
            <w:vAlign w:val="bottom"/>
          </w:tcPr>
          <w:p>
            <w:pPr>
              <w:spacing w:line="440" w:lineRule="exac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w:t>
            </w:r>
          </w:p>
        </w:tc>
        <w:tc>
          <w:tcPr>
            <w:tcW w:w="1940" w:type="dxa"/>
            <w:tcBorders>
              <w:top w:val="single" w:color="auto" w:sz="4" w:space="0"/>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w:t>
            </w:r>
          </w:p>
        </w:tc>
        <w:tc>
          <w:tcPr>
            <w:tcW w:w="2071" w:type="dxa"/>
            <w:tcBorders>
              <w:top w:val="single" w:color="auto" w:sz="4" w:space="0"/>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p>
        </w:tc>
        <w:tc>
          <w:tcPr>
            <w:tcW w:w="2095" w:type="dxa"/>
            <w:tcBorders>
              <w:top w:val="single" w:color="auto" w:sz="4" w:space="0"/>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p>
        </w:tc>
        <w:tc>
          <w:tcPr>
            <w:tcW w:w="1527"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w:t>
            </w:r>
          </w:p>
        </w:tc>
      </w:tr>
      <w:tr>
        <w:tblPrEx>
          <w:tblCellMar>
            <w:top w:w="0" w:type="dxa"/>
            <w:left w:w="0" w:type="dxa"/>
            <w:bottom w:w="0" w:type="dxa"/>
            <w:right w:w="0" w:type="dxa"/>
          </w:tblCellMar>
        </w:tblPrEx>
        <w:trPr>
          <w:trHeight w:val="470" w:hRule="atLeast"/>
        </w:trPr>
        <w:tc>
          <w:tcPr>
            <w:tcW w:w="7470" w:type="dxa"/>
            <w:gridSpan w:val="4"/>
            <w:tcBorders>
              <w:top w:val="single" w:color="auto" w:sz="4" w:space="0"/>
              <w:left w:val="single" w:color="auto" w:sz="4" w:space="0"/>
              <w:bottom w:val="single" w:color="auto" w:sz="4" w:space="0"/>
              <w:right w:val="single" w:color="000000" w:sz="4" w:space="0"/>
            </w:tcBorders>
            <w:vAlign w:val="bottom"/>
          </w:tcPr>
          <w:p>
            <w:pPr>
              <w:spacing w:line="440" w:lineRule="exact"/>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总计：</w:t>
            </w:r>
          </w:p>
        </w:tc>
        <w:tc>
          <w:tcPr>
            <w:tcW w:w="1527" w:type="dxa"/>
            <w:tcBorders>
              <w:top w:val="nil"/>
              <w:left w:val="nil"/>
              <w:bottom w:val="single" w:color="auto" w:sz="4" w:space="0"/>
              <w:right w:val="single" w:color="auto" w:sz="4" w:space="0"/>
            </w:tcBorders>
            <w:vAlign w:val="bottom"/>
          </w:tcPr>
          <w:p>
            <w:pPr>
              <w:spacing w:line="440" w:lineRule="exac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w:t>
            </w:r>
          </w:p>
        </w:tc>
      </w:tr>
    </w:tbl>
    <w:p>
      <w:pPr>
        <w:ind w:firstLine="640" w:firstLineChars="200"/>
        <w:rPr>
          <w:rFonts w:ascii="宋体" w:hAnsi="宋体" w:cs="宋体"/>
          <w:color w:val="auto"/>
          <w:sz w:val="32"/>
          <w:szCs w:val="32"/>
          <w:highlight w:val="none"/>
        </w:rPr>
      </w:pPr>
      <w:r>
        <w:rPr>
          <w:rFonts w:hint="eastAsia" w:ascii="宋体" w:hAnsi="宋体" w:cs="宋体"/>
          <w:bCs/>
          <w:color w:val="auto"/>
          <w:sz w:val="32"/>
          <w:szCs w:val="32"/>
          <w:highlight w:val="none"/>
        </w:rPr>
        <w:br w:type="page"/>
      </w:r>
      <w:bookmarkStart w:id="637" w:name="_Toc288115064"/>
      <w:bookmarkStart w:id="638" w:name="_Toc288115089"/>
      <w:bookmarkStart w:id="639" w:name="_Toc289241536"/>
      <w:bookmarkStart w:id="640" w:name="_Toc289096743"/>
      <w:bookmarkStart w:id="641" w:name="_Toc289241359"/>
      <w:bookmarkStart w:id="642" w:name="_Toc289238788"/>
      <w:bookmarkStart w:id="643" w:name="_Toc289182439"/>
      <w:bookmarkStart w:id="644" w:name="_Toc288748128"/>
      <w:bookmarkStart w:id="645" w:name="_Toc289182817"/>
    </w:p>
    <w:bookmarkEnd w:id="637"/>
    <w:bookmarkEnd w:id="638"/>
    <w:p>
      <w:pPr>
        <w:pStyle w:val="5"/>
        <w:bidi w:val="0"/>
        <w:jc w:val="center"/>
        <w:rPr>
          <w:color w:val="auto"/>
          <w:highlight w:val="none"/>
        </w:rPr>
      </w:pPr>
      <w:bookmarkStart w:id="646" w:name="_Toc338840471"/>
      <w:bookmarkStart w:id="647" w:name="_Toc338840510"/>
      <w:bookmarkStart w:id="648" w:name="_Toc338840262"/>
      <w:r>
        <w:rPr>
          <w:rFonts w:hint="eastAsia"/>
          <w:color w:val="auto"/>
          <w:highlight w:val="none"/>
        </w:rPr>
        <w:t>五、技术及商务偏差表</w:t>
      </w:r>
      <w:bookmarkEnd w:id="639"/>
      <w:bookmarkEnd w:id="640"/>
      <w:bookmarkEnd w:id="641"/>
      <w:bookmarkEnd w:id="642"/>
      <w:bookmarkEnd w:id="643"/>
      <w:bookmarkEnd w:id="644"/>
      <w:bookmarkEnd w:id="645"/>
      <w:bookmarkEnd w:id="646"/>
      <w:bookmarkEnd w:id="647"/>
      <w:bookmarkEnd w:id="648"/>
    </w:p>
    <w:p>
      <w:pPr>
        <w:rPr>
          <w:rFonts w:ascii="宋体" w:hAnsi="宋体" w:cs="宋体"/>
          <w:color w:val="auto"/>
          <w:sz w:val="28"/>
          <w:highlight w:val="none"/>
          <w:u w:val="single"/>
        </w:rPr>
      </w:pPr>
      <w:r>
        <w:rPr>
          <w:rFonts w:hint="eastAsia" w:ascii="宋体" w:hAnsi="宋体" w:cs="宋体"/>
          <w:color w:val="auto"/>
          <w:sz w:val="32"/>
          <w:szCs w:val="32"/>
          <w:highlight w:val="none"/>
        </w:rPr>
        <w:t xml:space="preserve"> </w:t>
      </w:r>
      <w:r>
        <w:rPr>
          <w:rFonts w:hint="eastAsia" w:ascii="宋体" w:hAnsi="宋体" w:cs="宋体"/>
          <w:color w:val="auto"/>
          <w:sz w:val="28"/>
          <w:highlight w:val="non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9"/>
        <w:gridCol w:w="2700"/>
        <w:gridCol w:w="25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exact"/>
          <w:jc w:val="center"/>
        </w:trPr>
        <w:tc>
          <w:tcPr>
            <w:tcW w:w="639" w:type="dxa"/>
            <w:vAlign w:val="center"/>
          </w:tcPr>
          <w:p>
            <w:pPr>
              <w:jc w:val="center"/>
              <w:rPr>
                <w:rFonts w:ascii="宋体" w:hAnsi="宋体" w:cs="宋体"/>
                <w:color w:val="auto"/>
                <w:sz w:val="24"/>
                <w:highlight w:val="none"/>
              </w:rPr>
            </w:pPr>
            <w:r>
              <w:rPr>
                <w:rFonts w:ascii="宋体" w:hAnsi="宋体" w:cs="宋体"/>
                <w:color w:val="auto"/>
                <w:sz w:val="24"/>
                <w:highlight w:val="none"/>
              </w:rPr>
              <w:t>序号</w:t>
            </w:r>
          </w:p>
        </w:tc>
        <w:tc>
          <w:tcPr>
            <w:tcW w:w="1089" w:type="dxa"/>
            <w:vAlign w:val="center"/>
          </w:tcPr>
          <w:p>
            <w:pPr>
              <w:jc w:val="center"/>
              <w:rPr>
                <w:rFonts w:ascii="宋体" w:hAnsi="宋体" w:cs="宋体"/>
                <w:color w:val="auto"/>
                <w:sz w:val="24"/>
                <w:highlight w:val="none"/>
              </w:rPr>
            </w:pPr>
            <w:r>
              <w:rPr>
                <w:rFonts w:ascii="宋体" w:hAnsi="宋体" w:cs="宋体"/>
                <w:color w:val="auto"/>
                <w:sz w:val="24"/>
                <w:highlight w:val="none"/>
              </w:rPr>
              <w:t>名称</w:t>
            </w:r>
          </w:p>
        </w:tc>
        <w:tc>
          <w:tcPr>
            <w:tcW w:w="2700" w:type="dxa"/>
            <w:vAlign w:val="center"/>
          </w:tcPr>
          <w:p>
            <w:pPr>
              <w:jc w:val="center"/>
              <w:rPr>
                <w:rFonts w:ascii="宋体" w:hAnsi="宋体" w:cs="宋体"/>
                <w:color w:val="auto"/>
                <w:sz w:val="24"/>
                <w:highlight w:val="none"/>
              </w:rPr>
            </w:pPr>
            <w:r>
              <w:rPr>
                <w:rFonts w:ascii="宋体" w:hAnsi="宋体" w:cs="宋体"/>
                <w:color w:val="auto"/>
                <w:sz w:val="24"/>
                <w:highlight w:val="none"/>
              </w:rPr>
              <w:t>招标文件要求</w:t>
            </w:r>
          </w:p>
        </w:tc>
        <w:tc>
          <w:tcPr>
            <w:tcW w:w="2520" w:type="dxa"/>
            <w:vAlign w:val="center"/>
          </w:tcPr>
          <w:p>
            <w:pPr>
              <w:jc w:val="center"/>
              <w:rPr>
                <w:rFonts w:ascii="宋体" w:hAnsi="宋体" w:cs="宋体"/>
                <w:color w:val="auto"/>
                <w:sz w:val="24"/>
                <w:highlight w:val="none"/>
              </w:rPr>
            </w:pPr>
            <w:r>
              <w:rPr>
                <w:rFonts w:ascii="宋体" w:hAnsi="宋体" w:cs="宋体"/>
                <w:color w:val="auto"/>
                <w:sz w:val="24"/>
                <w:highlight w:val="none"/>
              </w:rPr>
              <w:t>投标文件内容</w:t>
            </w:r>
          </w:p>
        </w:tc>
        <w:tc>
          <w:tcPr>
            <w:tcW w:w="1980" w:type="dxa"/>
            <w:vAlign w:val="center"/>
          </w:tcPr>
          <w:p>
            <w:pPr>
              <w:jc w:val="center"/>
              <w:rPr>
                <w:rFonts w:ascii="宋体" w:hAnsi="宋体" w:cs="宋体"/>
                <w:color w:val="auto"/>
                <w:sz w:val="24"/>
                <w:highlight w:val="none"/>
              </w:rPr>
            </w:pPr>
            <w:r>
              <w:rPr>
                <w:rFonts w:ascii="宋体" w:hAnsi="宋体" w:cs="宋体"/>
                <w:color w:val="auto"/>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bl>
    <w:p>
      <w:pPr>
        <w:rPr>
          <w:rFonts w:ascii="宋体" w:hAnsi="宋体" w:cs="宋体"/>
          <w:color w:val="auto"/>
          <w:sz w:val="28"/>
          <w:highlight w:val="none"/>
        </w:rPr>
      </w:pPr>
    </w:p>
    <w:p>
      <w:pPr>
        <w:rPr>
          <w:rFonts w:ascii="宋体" w:hAnsi="宋体" w:cs="宋体"/>
          <w:color w:val="auto"/>
          <w:sz w:val="30"/>
          <w:szCs w:val="30"/>
          <w:highlight w:val="none"/>
        </w:rPr>
      </w:pPr>
      <w:r>
        <w:rPr>
          <w:rFonts w:hint="eastAsia" w:ascii="宋体" w:hAnsi="宋体" w:cs="宋体"/>
          <w:color w:val="auto"/>
          <w:sz w:val="30"/>
          <w:szCs w:val="30"/>
          <w:highlight w:val="none"/>
        </w:rPr>
        <w:t>注：1、有偏差时应将投标文件内容与招标文件要求的不同之处分别列明，并在“偏差说明”栏内说明偏离情况。</w:t>
      </w:r>
    </w:p>
    <w:p>
      <w:pPr>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w:t>
      </w:r>
    </w:p>
    <w:p>
      <w:pPr>
        <w:rPr>
          <w:rFonts w:ascii="宋体" w:hAnsi="宋体" w:cs="宋体"/>
          <w:bCs/>
          <w:color w:val="auto"/>
          <w:kern w:val="0"/>
          <w:sz w:val="32"/>
          <w:szCs w:val="32"/>
          <w:highlight w:val="none"/>
        </w:rPr>
      </w:pPr>
      <w:r>
        <w:rPr>
          <w:rFonts w:hint="eastAsia" w:ascii="宋体" w:hAnsi="宋体" w:cs="宋体"/>
          <w:bCs/>
          <w:color w:val="auto"/>
          <w:kern w:val="0"/>
          <w:sz w:val="32"/>
          <w:szCs w:val="32"/>
          <w:highlight w:val="none"/>
        </w:rPr>
        <w:br w:type="page"/>
      </w:r>
      <w:bookmarkStart w:id="649" w:name="_Toc288115090"/>
      <w:bookmarkStart w:id="650" w:name="_Toc288115065"/>
    </w:p>
    <w:bookmarkEnd w:id="649"/>
    <w:bookmarkEnd w:id="650"/>
    <w:p>
      <w:pPr>
        <w:pStyle w:val="5"/>
        <w:bidi w:val="0"/>
        <w:jc w:val="center"/>
        <w:rPr>
          <w:rFonts w:hint="eastAsia"/>
          <w:color w:val="auto"/>
          <w:highlight w:val="none"/>
        </w:rPr>
      </w:pPr>
      <w:bookmarkStart w:id="651" w:name="_Toc289182823"/>
      <w:bookmarkStart w:id="652" w:name="_Toc338840513"/>
      <w:bookmarkStart w:id="653" w:name="_Toc289241365"/>
      <w:bookmarkStart w:id="654" w:name="_Toc289241542"/>
      <w:bookmarkStart w:id="655" w:name="_Toc338840265"/>
      <w:bookmarkStart w:id="656" w:name="_Toc289238794"/>
      <w:bookmarkStart w:id="657" w:name="_Toc289182445"/>
      <w:bookmarkStart w:id="658" w:name="_Toc338840474"/>
      <w:bookmarkStart w:id="659" w:name="_Toc289096749"/>
      <w:bookmarkStart w:id="660" w:name="_Toc288748134"/>
      <w:bookmarkStart w:id="661" w:name="_Hlk30080045"/>
      <w:r>
        <w:rPr>
          <w:rFonts w:hint="eastAsia"/>
          <w:color w:val="auto"/>
          <w:highlight w:val="none"/>
          <w:lang w:val="en-US" w:eastAsia="zh-CN"/>
        </w:rPr>
        <w:t>六</w:t>
      </w:r>
      <w:r>
        <w:rPr>
          <w:rFonts w:hint="eastAsia"/>
          <w:color w:val="auto"/>
          <w:highlight w:val="none"/>
        </w:rPr>
        <w:t>、</w:t>
      </w:r>
      <w:r>
        <w:rPr>
          <w:rFonts w:hint="eastAsia"/>
          <w:color w:val="auto"/>
          <w:highlight w:val="none"/>
          <w:lang w:val="en-US" w:eastAsia="zh-CN"/>
        </w:rPr>
        <w:t>技术方案及</w:t>
      </w:r>
      <w:r>
        <w:rPr>
          <w:rFonts w:hint="eastAsia"/>
          <w:color w:val="auto"/>
          <w:highlight w:val="none"/>
        </w:rPr>
        <w:t>服务承诺</w:t>
      </w:r>
      <w:bookmarkEnd w:id="651"/>
      <w:bookmarkEnd w:id="652"/>
      <w:bookmarkEnd w:id="653"/>
      <w:bookmarkEnd w:id="654"/>
      <w:bookmarkEnd w:id="655"/>
      <w:bookmarkEnd w:id="656"/>
      <w:bookmarkEnd w:id="657"/>
      <w:bookmarkEnd w:id="658"/>
      <w:bookmarkEnd w:id="659"/>
      <w:bookmarkEnd w:id="660"/>
    </w:p>
    <w:p>
      <w:pPr>
        <w:rPr>
          <w:rFonts w:hint="eastAsia"/>
          <w:color w:val="auto"/>
          <w:highlight w:val="none"/>
        </w:rPr>
      </w:pPr>
      <w:r>
        <w:rPr>
          <w:rFonts w:hint="eastAsia"/>
          <w:color w:val="auto"/>
          <w:highlight w:val="none"/>
        </w:rPr>
        <w:br w:type="page"/>
      </w:r>
    </w:p>
    <w:p>
      <w:pPr>
        <w:pStyle w:val="5"/>
        <w:spacing w:before="0" w:line="240" w:lineRule="atLeast"/>
        <w:jc w:val="center"/>
        <w:rPr>
          <w:rFonts w:ascii="宋体" w:hAnsi="宋体" w:cs="仿宋"/>
          <w:color w:val="auto"/>
          <w:sz w:val="28"/>
          <w:szCs w:val="28"/>
          <w:highlight w:val="none"/>
        </w:rPr>
      </w:pPr>
      <w:bookmarkStart w:id="662" w:name="_Toc24625"/>
      <w:bookmarkStart w:id="663" w:name="_Toc18588821"/>
      <w:bookmarkStart w:id="664" w:name="_Toc8820"/>
      <w:bookmarkStart w:id="665" w:name="_Toc28257"/>
      <w:bookmarkStart w:id="666" w:name="_Toc10857"/>
      <w:bookmarkStart w:id="667" w:name="_Toc7851_WPSOffice_Level3"/>
      <w:r>
        <w:rPr>
          <w:rFonts w:hint="eastAsia" w:ascii="宋体" w:hAnsi="宋体" w:cs="仿宋"/>
          <w:color w:val="auto"/>
          <w:sz w:val="28"/>
          <w:szCs w:val="28"/>
          <w:highlight w:val="none"/>
          <w:lang w:val="en-US" w:eastAsia="zh-CN"/>
        </w:rPr>
        <w:t>七</w:t>
      </w:r>
      <w:r>
        <w:rPr>
          <w:rFonts w:ascii="宋体" w:hAnsi="宋体" w:cs="仿宋"/>
          <w:color w:val="auto"/>
          <w:sz w:val="28"/>
          <w:szCs w:val="28"/>
          <w:highlight w:val="none"/>
        </w:rPr>
        <w:t>、具有良好的商业信誉和健全的财务会计制度的证明材料</w:t>
      </w:r>
      <w:bookmarkEnd w:id="662"/>
      <w:bookmarkEnd w:id="663"/>
    </w:p>
    <w:bookmarkEnd w:id="664"/>
    <w:bookmarkEnd w:id="665"/>
    <w:bookmarkEnd w:id="666"/>
    <w:bookmarkEnd w:id="667"/>
    <w:p>
      <w:pPr>
        <w:tabs>
          <w:tab w:val="left" w:pos="5580"/>
        </w:tabs>
        <w:spacing w:line="240" w:lineRule="atLeast"/>
        <w:ind w:left="1080" w:leftChars="257" w:hanging="540"/>
        <w:jc w:val="center"/>
        <w:rPr>
          <w:rFonts w:ascii="宋体" w:hAnsi="宋体" w:cs="仿宋"/>
          <w:b/>
          <w:color w:val="auto"/>
          <w:sz w:val="24"/>
          <w:highlight w:val="none"/>
        </w:rPr>
      </w:pPr>
    </w:p>
    <w:p>
      <w:pPr>
        <w:tabs>
          <w:tab w:val="left" w:pos="5580"/>
        </w:tabs>
        <w:spacing w:line="44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说明：提供财务审计报告或银行出具的信誉良好的证明材料</w:t>
      </w:r>
    </w:p>
    <w:p>
      <w:pPr>
        <w:tabs>
          <w:tab w:val="left" w:pos="5580"/>
        </w:tabs>
        <w:spacing w:line="440" w:lineRule="exact"/>
        <w:ind w:firstLine="420" w:firstLineChars="200"/>
        <w:rPr>
          <w:rFonts w:ascii="宋体" w:hAnsi="宋体" w:cs="仿宋"/>
          <w:bCs/>
          <w:color w:val="auto"/>
          <w:szCs w:val="21"/>
          <w:highlight w:val="none"/>
        </w:rPr>
      </w:pPr>
      <w:r>
        <w:rPr>
          <w:rFonts w:ascii="宋体" w:hAnsi="宋体" w:cs="仿宋"/>
          <w:color w:val="auto"/>
          <w:szCs w:val="21"/>
          <w:highlight w:val="none"/>
        </w:rPr>
        <w:t>1、如提供本单位上年度经会计师事务所出具的审计报告复印件须加盖</w:t>
      </w:r>
      <w:r>
        <w:rPr>
          <w:rFonts w:hint="eastAsia" w:ascii="宋体" w:hAnsi="宋体" w:cs="仿宋"/>
          <w:bCs/>
          <w:color w:val="auto"/>
          <w:szCs w:val="21"/>
          <w:highlight w:val="none"/>
        </w:rPr>
        <w:t>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w:t>
      </w:r>
      <w:r>
        <w:rPr>
          <w:rFonts w:hint="eastAsia" w:ascii="宋体" w:hAnsi="宋体" w:cs="仿宋"/>
          <w:color w:val="auto"/>
          <w:szCs w:val="21"/>
          <w:highlight w:val="none"/>
        </w:rPr>
        <w:t>供应商与银行之间业务往来正常，企业信誉良好等。</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 w:val="28"/>
          <w:szCs w:val="28"/>
          <w:highlight w:val="none"/>
        </w:rPr>
      </w:pPr>
      <w:r>
        <w:rPr>
          <w:rFonts w:ascii="宋体" w:hAnsi="宋体" w:cs="仿宋"/>
          <w:color w:val="auto"/>
          <w:szCs w:val="21"/>
          <w:highlight w:val="none"/>
        </w:rPr>
        <w:t>4、如截止到开标当天，公司成立不足6个月的或者是机关事业单位参与投标的，可以不提供该项证明材料。</w:t>
      </w:r>
    </w:p>
    <w:p>
      <w:pPr>
        <w:tabs>
          <w:tab w:val="left" w:pos="5580"/>
        </w:tabs>
        <w:spacing w:line="240" w:lineRule="atLeast"/>
        <w:ind w:left="1080" w:leftChars="257" w:hanging="540"/>
        <w:rPr>
          <w:rFonts w:ascii="宋体" w:hAnsi="宋体" w:cs="仿宋"/>
          <w:color w:val="auto"/>
          <w:sz w:val="28"/>
          <w:szCs w:val="28"/>
          <w:highlight w:val="none"/>
        </w:rPr>
      </w:pPr>
    </w:p>
    <w:p>
      <w:pPr>
        <w:ind w:firstLine="2520" w:firstLineChars="1050"/>
        <w:outlineLvl w:val="2"/>
        <w:rPr>
          <w:rFonts w:ascii="宋体" w:hAnsi="宋体" w:cs="仿宋"/>
          <w:b/>
          <w:color w:val="auto"/>
          <w:kern w:val="0"/>
          <w:sz w:val="28"/>
          <w:szCs w:val="28"/>
          <w:highlight w:val="none"/>
        </w:rPr>
      </w:pPr>
      <w:r>
        <w:rPr>
          <w:rFonts w:ascii="宋体" w:hAnsi="宋体" w:cs="仿宋"/>
          <w:color w:val="auto"/>
          <w:sz w:val="24"/>
          <w:highlight w:val="none"/>
        </w:rPr>
        <w:br w:type="page"/>
      </w:r>
      <w:bookmarkStart w:id="668" w:name="_Toc12252"/>
      <w:bookmarkStart w:id="669" w:name="_Toc531517342"/>
      <w:bookmarkStart w:id="670" w:name="_Toc18588822"/>
      <w:bookmarkStart w:id="671" w:name="_Toc18917"/>
      <w:bookmarkStart w:id="672" w:name="_Toc12697"/>
      <w:bookmarkStart w:id="673" w:name="_Toc1237"/>
      <w:bookmarkStart w:id="674" w:name="_Toc841_WPSOffice_Level3"/>
      <w:bookmarkStart w:id="675" w:name="_Toc19878"/>
      <w:r>
        <w:rPr>
          <w:rFonts w:hint="eastAsia" w:ascii="宋体" w:hAnsi="宋体" w:cs="仿宋"/>
          <w:b/>
          <w:color w:val="auto"/>
          <w:kern w:val="0"/>
          <w:sz w:val="28"/>
          <w:szCs w:val="28"/>
          <w:highlight w:val="none"/>
          <w:lang w:val="en-US" w:eastAsia="zh-CN"/>
        </w:rPr>
        <w:t>八</w:t>
      </w:r>
      <w:r>
        <w:rPr>
          <w:rFonts w:ascii="宋体" w:hAnsi="宋体" w:cs="仿宋"/>
          <w:b/>
          <w:color w:val="auto"/>
          <w:kern w:val="0"/>
          <w:sz w:val="28"/>
          <w:szCs w:val="28"/>
          <w:highlight w:val="none"/>
        </w:rPr>
        <w:t>、具有依法缴纳税收的证明材料</w:t>
      </w:r>
      <w:bookmarkEnd w:id="668"/>
      <w:bookmarkEnd w:id="669"/>
      <w:bookmarkEnd w:id="670"/>
      <w:bookmarkEnd w:id="671"/>
      <w:bookmarkEnd w:id="672"/>
      <w:bookmarkEnd w:id="673"/>
      <w:bookmarkEnd w:id="674"/>
      <w:bookmarkEnd w:id="675"/>
    </w:p>
    <w:p>
      <w:pPr>
        <w:rPr>
          <w:rFonts w:ascii="宋体" w:hAnsi="宋体" w:cs="仿宋"/>
          <w:b/>
          <w:color w:val="auto"/>
          <w:kern w:val="0"/>
          <w:sz w:val="24"/>
          <w:szCs w:val="20"/>
          <w:highlight w:val="none"/>
        </w:rPr>
      </w:pPr>
    </w:p>
    <w:p>
      <w:pPr>
        <w:pStyle w:val="21"/>
        <w:tabs>
          <w:tab w:val="left" w:pos="5580"/>
        </w:tabs>
        <w:spacing w:line="440" w:lineRule="exact"/>
        <w:ind w:left="540"/>
        <w:rPr>
          <w:rFonts w:hAnsi="宋体" w:cs="仿宋"/>
          <w:color w:val="auto"/>
          <w:szCs w:val="21"/>
          <w:highlight w:val="none"/>
        </w:rPr>
      </w:pPr>
      <w:r>
        <w:rPr>
          <w:rFonts w:hint="eastAsia" w:hAnsi="宋体" w:cs="仿宋"/>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1、应提供</w:t>
      </w:r>
      <w:r>
        <w:rPr>
          <w:rFonts w:hint="eastAsia" w:hAnsi="宋体" w:cs="仿宋"/>
          <w:color w:val="auto"/>
          <w:szCs w:val="21"/>
          <w:highlight w:val="none"/>
        </w:rPr>
        <w:t>供应商开标前近</w:t>
      </w:r>
      <w:r>
        <w:rPr>
          <w:rFonts w:hAnsi="宋体" w:cs="仿宋"/>
          <w:color w:val="auto"/>
          <w:szCs w:val="21"/>
          <w:highlight w:val="none"/>
        </w:rPr>
        <w:t xml:space="preserve"> 6 </w:t>
      </w:r>
      <w:r>
        <w:rPr>
          <w:rFonts w:hint="eastAsia" w:hAnsi="宋体" w:cs="仿宋"/>
          <w:color w:val="auto"/>
          <w:szCs w:val="21"/>
          <w:highlight w:val="none"/>
        </w:rPr>
        <w:t>个月内的任意月份的证明材料复印件（应提供开标前近</w:t>
      </w:r>
      <w:r>
        <w:rPr>
          <w:rFonts w:hAnsi="宋体" w:cs="仿宋"/>
          <w:color w:val="auto"/>
          <w:szCs w:val="21"/>
          <w:highlight w:val="none"/>
        </w:rPr>
        <w:t xml:space="preserve"> 6 </w:t>
      </w:r>
      <w:r>
        <w:rPr>
          <w:rFonts w:hint="eastAsia" w:hAnsi="宋体" w:cs="仿宋"/>
          <w:color w:val="auto"/>
          <w:szCs w:val="21"/>
          <w:highlight w:val="none"/>
        </w:rPr>
        <w:t>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2、复印件上应加盖本单位章。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4、如截止到开标当天，公司成立不足6个月的或机关事业单位参与投标的，可以不提供该项证明材料。</w:t>
      </w:r>
    </w:p>
    <w:p>
      <w:pPr>
        <w:tabs>
          <w:tab w:val="left" w:pos="5580"/>
        </w:tabs>
        <w:spacing w:line="440" w:lineRule="exact"/>
        <w:ind w:left="1080" w:leftChars="257" w:hanging="540"/>
        <w:rPr>
          <w:rFonts w:ascii="宋体" w:hAnsi="宋体" w:cs="仿宋"/>
          <w:color w:val="auto"/>
          <w:sz w:val="24"/>
          <w:highlight w:val="none"/>
        </w:rPr>
      </w:pPr>
    </w:p>
    <w:p>
      <w:pPr>
        <w:rPr>
          <w:rFonts w:ascii="宋体" w:hAnsi="宋体" w:cs="仿宋"/>
          <w:color w:val="auto"/>
          <w:sz w:val="24"/>
          <w:highlight w:val="none"/>
        </w:rPr>
      </w:pPr>
    </w:p>
    <w:p>
      <w:pPr>
        <w:widowControl/>
        <w:jc w:val="left"/>
        <w:rPr>
          <w:rFonts w:ascii="宋体" w:hAnsi="宋体" w:cs="仿宋"/>
          <w:b/>
          <w:bCs/>
          <w:color w:val="auto"/>
          <w:sz w:val="28"/>
          <w:szCs w:val="28"/>
          <w:highlight w:val="none"/>
        </w:rPr>
      </w:pPr>
      <w:bookmarkStart w:id="676" w:name="_Toc515647810"/>
      <w:bookmarkStart w:id="677" w:name="_Toc5710"/>
      <w:bookmarkStart w:id="678" w:name="_Toc18754"/>
      <w:bookmarkStart w:id="679" w:name="_Toc15584"/>
      <w:bookmarkStart w:id="680" w:name="_Toc531517343"/>
      <w:bookmarkStart w:id="681" w:name="_Toc18789"/>
      <w:bookmarkStart w:id="682" w:name="_Toc22952"/>
      <w:bookmarkStart w:id="683" w:name="_Toc12326"/>
      <w:r>
        <w:rPr>
          <w:rFonts w:ascii="宋体" w:hAnsi="宋体" w:cs="仿宋"/>
          <w:color w:val="auto"/>
          <w:sz w:val="28"/>
          <w:szCs w:val="28"/>
          <w:highlight w:val="none"/>
        </w:rPr>
        <w:br w:type="page"/>
      </w:r>
    </w:p>
    <w:p>
      <w:pPr>
        <w:pStyle w:val="5"/>
        <w:spacing w:before="0" w:line="240" w:lineRule="atLeast"/>
        <w:ind w:left="1080" w:leftChars="257" w:hanging="540"/>
        <w:jc w:val="center"/>
        <w:rPr>
          <w:rFonts w:ascii="宋体" w:hAnsi="宋体" w:cs="仿宋"/>
          <w:color w:val="auto"/>
          <w:sz w:val="28"/>
          <w:szCs w:val="28"/>
          <w:highlight w:val="none"/>
        </w:rPr>
      </w:pPr>
      <w:bookmarkStart w:id="684" w:name="_Toc18588823"/>
      <w:bookmarkStart w:id="685" w:name="_Toc4102"/>
      <w:r>
        <w:rPr>
          <w:rFonts w:hint="eastAsia" w:ascii="宋体" w:hAnsi="宋体" w:cs="仿宋"/>
          <w:color w:val="auto"/>
          <w:sz w:val="28"/>
          <w:szCs w:val="28"/>
          <w:highlight w:val="none"/>
          <w:lang w:val="en-US" w:eastAsia="zh-CN"/>
        </w:rPr>
        <w:t>九</w:t>
      </w:r>
      <w:r>
        <w:rPr>
          <w:rFonts w:ascii="宋体" w:hAnsi="宋体" w:cs="仿宋"/>
          <w:color w:val="auto"/>
          <w:sz w:val="28"/>
          <w:szCs w:val="28"/>
          <w:highlight w:val="none"/>
        </w:rPr>
        <w:t>、具有依法缴纳社会保障资金的</w:t>
      </w:r>
      <w:bookmarkEnd w:id="676"/>
      <w:bookmarkEnd w:id="677"/>
      <w:bookmarkEnd w:id="678"/>
      <w:r>
        <w:rPr>
          <w:rFonts w:hint="eastAsia" w:ascii="宋体" w:hAnsi="宋体" w:cs="仿宋"/>
          <w:color w:val="auto"/>
          <w:sz w:val="28"/>
          <w:szCs w:val="28"/>
          <w:highlight w:val="none"/>
        </w:rPr>
        <w:t>证明材料</w:t>
      </w:r>
      <w:bookmarkEnd w:id="679"/>
      <w:bookmarkEnd w:id="680"/>
      <w:bookmarkEnd w:id="681"/>
      <w:bookmarkEnd w:id="682"/>
      <w:bookmarkEnd w:id="683"/>
      <w:bookmarkEnd w:id="684"/>
      <w:bookmarkEnd w:id="685"/>
    </w:p>
    <w:p>
      <w:pPr>
        <w:pStyle w:val="21"/>
        <w:tabs>
          <w:tab w:val="left" w:pos="5580"/>
        </w:tabs>
        <w:spacing w:line="240" w:lineRule="atLeast"/>
        <w:ind w:left="1080" w:leftChars="257" w:hanging="540"/>
        <w:jc w:val="center"/>
        <w:rPr>
          <w:rFonts w:hAnsi="宋体" w:cs="仿宋"/>
          <w:b/>
          <w:color w:val="auto"/>
          <w:sz w:val="24"/>
          <w:highlight w:val="none"/>
        </w:rPr>
      </w:pPr>
    </w:p>
    <w:p>
      <w:pPr>
        <w:pStyle w:val="21"/>
        <w:tabs>
          <w:tab w:val="left" w:pos="5580"/>
        </w:tabs>
        <w:spacing w:line="440" w:lineRule="exact"/>
        <w:ind w:left="540"/>
        <w:rPr>
          <w:rFonts w:hAnsi="宋体" w:cs="仿宋"/>
          <w:b/>
          <w:color w:val="auto"/>
          <w:szCs w:val="21"/>
          <w:highlight w:val="none"/>
        </w:rPr>
      </w:pPr>
      <w:r>
        <w:rPr>
          <w:rFonts w:hint="eastAsia" w:hAnsi="宋体" w:cs="仿宋"/>
          <w:b/>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bookmarkStart w:id="686" w:name="_Toc515647811"/>
      <w:bookmarkStart w:id="687" w:name="_Toc24428"/>
      <w:bookmarkStart w:id="688" w:name="_Toc32670"/>
      <w:r>
        <w:rPr>
          <w:rFonts w:hAnsi="宋体" w:cs="仿宋"/>
          <w:color w:val="auto"/>
          <w:szCs w:val="21"/>
          <w:highlight w:val="none"/>
        </w:rPr>
        <w:t>1、应提供</w:t>
      </w:r>
      <w:r>
        <w:rPr>
          <w:rFonts w:hint="eastAsia" w:hAnsi="宋体" w:cs="仿宋"/>
          <w:color w:val="auto"/>
          <w:szCs w:val="21"/>
          <w:highlight w:val="none"/>
        </w:rPr>
        <w:t>供应商开标前近</w:t>
      </w:r>
      <w:r>
        <w:rPr>
          <w:rFonts w:hAnsi="宋体" w:cs="仿宋"/>
          <w:color w:val="auto"/>
          <w:szCs w:val="21"/>
          <w:highlight w:val="none"/>
        </w:rPr>
        <w:t xml:space="preserve"> 6 </w:t>
      </w:r>
      <w:r>
        <w:rPr>
          <w:rFonts w:hint="eastAsia" w:hAnsi="宋体" w:cs="仿宋"/>
          <w:color w:val="auto"/>
          <w:szCs w:val="21"/>
          <w:highlight w:val="none"/>
        </w:rPr>
        <w:t>个月内的任意月份的证明材料复印件（应提供开标前近</w:t>
      </w:r>
      <w:r>
        <w:rPr>
          <w:rFonts w:hAnsi="宋体" w:cs="仿宋"/>
          <w:color w:val="auto"/>
          <w:szCs w:val="21"/>
          <w:highlight w:val="none"/>
        </w:rPr>
        <w:t xml:space="preserve"> 6 </w:t>
      </w:r>
      <w:r>
        <w:rPr>
          <w:rFonts w:hint="eastAsia" w:hAnsi="宋体" w:cs="仿宋"/>
          <w:color w:val="auto"/>
          <w:szCs w:val="21"/>
          <w:highlight w:val="none"/>
        </w:rPr>
        <w:t>个月内的任意月份依法缴纳社会保险费的凭证，如符合不需提供情形的，应做书面说明和提供证明文件）。</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2、复印件上应加盖本单位章。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4、如截止到开标当天，公司成立不足6个月的，可以不提供该项证明材料。</w:t>
      </w:r>
    </w:p>
    <w:p>
      <w:pPr>
        <w:tabs>
          <w:tab w:val="left" w:pos="5580"/>
        </w:tabs>
        <w:spacing w:line="240" w:lineRule="atLeast"/>
        <w:ind w:left="1080" w:leftChars="257" w:hanging="540"/>
        <w:rPr>
          <w:rFonts w:ascii="宋体" w:hAnsi="宋体" w:cs="仿宋"/>
          <w:color w:val="auto"/>
          <w:sz w:val="24"/>
          <w:highlight w:val="none"/>
        </w:rPr>
      </w:pPr>
    </w:p>
    <w:p>
      <w:pPr>
        <w:rPr>
          <w:rFonts w:ascii="宋体" w:hAnsi="宋体" w:cs="仿宋"/>
          <w:color w:val="auto"/>
          <w:sz w:val="24"/>
          <w:highlight w:val="none"/>
        </w:rPr>
      </w:pPr>
    </w:p>
    <w:p>
      <w:pPr>
        <w:rPr>
          <w:rFonts w:ascii="宋体" w:hAnsi="宋体" w:cs="仿宋"/>
          <w:color w:val="auto"/>
          <w:sz w:val="24"/>
          <w:highlight w:val="none"/>
        </w:rPr>
      </w:pPr>
    </w:p>
    <w:p>
      <w:pPr>
        <w:widowControl/>
        <w:jc w:val="left"/>
        <w:rPr>
          <w:rFonts w:ascii="宋体" w:hAnsi="宋体" w:cs="仿宋"/>
          <w:b/>
          <w:bCs/>
          <w:color w:val="auto"/>
          <w:sz w:val="28"/>
          <w:szCs w:val="28"/>
          <w:highlight w:val="none"/>
        </w:rPr>
      </w:pPr>
      <w:bookmarkStart w:id="689" w:name="_Toc9130"/>
      <w:bookmarkStart w:id="690" w:name="_Toc4620"/>
      <w:bookmarkStart w:id="691" w:name="_Toc21911"/>
      <w:bookmarkStart w:id="692" w:name="_Toc531517344"/>
      <w:bookmarkStart w:id="693" w:name="_Toc22732"/>
      <w:r>
        <w:rPr>
          <w:rFonts w:ascii="宋体" w:hAnsi="宋体" w:cs="仿宋"/>
          <w:color w:val="auto"/>
          <w:sz w:val="28"/>
          <w:szCs w:val="28"/>
          <w:highlight w:val="none"/>
        </w:rPr>
        <w:br w:type="page"/>
      </w:r>
    </w:p>
    <w:p>
      <w:pPr>
        <w:pStyle w:val="5"/>
        <w:spacing w:before="0" w:line="240" w:lineRule="atLeast"/>
        <w:jc w:val="center"/>
        <w:rPr>
          <w:rFonts w:ascii="宋体" w:hAnsi="宋体" w:cs="仿宋"/>
          <w:color w:val="auto"/>
          <w:highlight w:val="none"/>
        </w:rPr>
      </w:pPr>
      <w:bookmarkStart w:id="694" w:name="_Toc18588824"/>
      <w:bookmarkStart w:id="695" w:name="_Toc1926"/>
      <w:r>
        <w:rPr>
          <w:rFonts w:hint="eastAsia" w:ascii="宋体" w:hAnsi="宋体" w:cs="仿宋"/>
          <w:color w:val="auto"/>
          <w:sz w:val="28"/>
          <w:szCs w:val="28"/>
          <w:highlight w:val="none"/>
          <w:lang w:val="en-US" w:eastAsia="zh-CN"/>
        </w:rPr>
        <w:t>十</w:t>
      </w:r>
      <w:r>
        <w:rPr>
          <w:rFonts w:ascii="宋体" w:hAnsi="宋体" w:cs="仿宋"/>
          <w:color w:val="auto"/>
          <w:sz w:val="28"/>
          <w:szCs w:val="28"/>
          <w:highlight w:val="none"/>
        </w:rPr>
        <w:t>、具备履行合同所必须的设备和专业技术能力的证明材料</w:t>
      </w:r>
      <w:bookmarkEnd w:id="689"/>
      <w:bookmarkEnd w:id="690"/>
      <w:bookmarkEnd w:id="691"/>
      <w:bookmarkEnd w:id="692"/>
      <w:bookmarkEnd w:id="693"/>
      <w:bookmarkEnd w:id="694"/>
      <w:bookmarkEnd w:id="695"/>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r>
        <w:rPr>
          <w:rFonts w:hint="eastAsia" w:ascii="宋体" w:hAnsi="宋体"/>
          <w:color w:val="auto"/>
          <w:highlight w:val="none"/>
        </w:rPr>
        <w:t>说明：提供以下任意一项内容即认为具备该项证明材料。</w:t>
      </w:r>
    </w:p>
    <w:p>
      <w:pPr>
        <w:pStyle w:val="12"/>
        <w:rPr>
          <w:rFonts w:ascii="宋体" w:hAnsi="宋体"/>
          <w:color w:val="auto"/>
          <w:highlight w:val="none"/>
        </w:rPr>
      </w:pPr>
      <w:r>
        <w:rPr>
          <w:rFonts w:ascii="宋体" w:hAnsi="宋体"/>
          <w:color w:val="auto"/>
          <w:highlight w:val="none"/>
        </w:rPr>
        <w:t>1、</w:t>
      </w:r>
      <w:r>
        <w:rPr>
          <w:rFonts w:hint="eastAsia" w:ascii="宋体" w:hAnsi="宋体"/>
          <w:color w:val="auto"/>
          <w:highlight w:val="none"/>
        </w:rPr>
        <w:t>供应商的承诺书。</w:t>
      </w:r>
    </w:p>
    <w:p>
      <w:pPr>
        <w:pStyle w:val="12"/>
        <w:rPr>
          <w:rFonts w:ascii="宋体" w:hAnsi="宋体"/>
          <w:color w:val="auto"/>
          <w:highlight w:val="none"/>
        </w:rPr>
      </w:pPr>
      <w:r>
        <w:rPr>
          <w:rFonts w:ascii="宋体" w:hAnsi="宋体"/>
          <w:color w:val="auto"/>
          <w:highlight w:val="none"/>
        </w:rPr>
        <w:t>2、</w:t>
      </w:r>
      <w:r>
        <w:rPr>
          <w:rFonts w:hint="eastAsia" w:ascii="宋体" w:hAnsi="宋体"/>
          <w:color w:val="auto"/>
          <w:highlight w:val="none"/>
        </w:rPr>
        <w:t>供应商近三年内的类似业绩。</w:t>
      </w:r>
    </w:p>
    <w:p>
      <w:pPr>
        <w:pStyle w:val="12"/>
        <w:rPr>
          <w:rFonts w:ascii="宋体" w:hAnsi="宋体"/>
          <w:color w:val="auto"/>
          <w:highlight w:val="none"/>
        </w:rPr>
      </w:pPr>
      <w:r>
        <w:rPr>
          <w:rFonts w:ascii="宋体" w:hAnsi="宋体"/>
          <w:color w:val="auto"/>
          <w:highlight w:val="none"/>
        </w:rPr>
        <w:t>3、设备购置发票或设备实物照片或企业荣誉证书</w:t>
      </w:r>
    </w:p>
    <w:p>
      <w:pPr>
        <w:pStyle w:val="151"/>
        <w:rPr>
          <w:rFonts w:ascii="宋体" w:hAnsi="宋体"/>
          <w:color w:val="auto"/>
          <w:highlight w:val="none"/>
        </w:rPr>
      </w:pPr>
    </w:p>
    <w:p>
      <w:pPr>
        <w:pStyle w:val="151"/>
        <w:rPr>
          <w:rFonts w:ascii="宋体" w:hAnsi="宋体"/>
          <w:color w:val="auto"/>
          <w:highlight w:val="none"/>
        </w:rPr>
      </w:pPr>
    </w:p>
    <w:p>
      <w:pPr>
        <w:pStyle w:val="151"/>
        <w:rPr>
          <w:rFonts w:ascii="宋体" w:hAnsi="宋体"/>
          <w:color w:val="auto"/>
          <w:highlight w:val="none"/>
        </w:rPr>
      </w:pPr>
      <w:r>
        <w:rPr>
          <w:rFonts w:ascii="宋体" w:hAnsi="宋体"/>
          <w:color w:val="auto"/>
          <w:highlight w:val="none"/>
        </w:rPr>
        <w:br w:type="page"/>
      </w:r>
      <w:bookmarkStart w:id="696" w:name="_Toc21740"/>
      <w:bookmarkStart w:id="697" w:name="_Toc10991"/>
      <w:bookmarkStart w:id="698" w:name="_Toc25904"/>
      <w:bookmarkStart w:id="699" w:name="_Toc1028"/>
      <w:bookmarkStart w:id="700" w:name="_Toc18588825"/>
      <w:bookmarkStart w:id="701" w:name="_Toc531517345"/>
    </w:p>
    <w:p>
      <w:pPr>
        <w:pStyle w:val="5"/>
        <w:spacing w:before="0" w:line="240" w:lineRule="atLeast"/>
        <w:jc w:val="left"/>
        <w:rPr>
          <w:rFonts w:ascii="宋体" w:hAnsi="宋体" w:cs="仿宋"/>
          <w:bCs w:val="0"/>
          <w:color w:val="auto"/>
          <w:sz w:val="28"/>
          <w:szCs w:val="28"/>
          <w:highlight w:val="none"/>
        </w:rPr>
      </w:pPr>
      <w:bookmarkStart w:id="702" w:name="_Toc26051"/>
      <w:r>
        <w:rPr>
          <w:rFonts w:hint="eastAsia" w:ascii="宋体" w:hAnsi="宋体" w:cs="仿宋"/>
          <w:bCs w:val="0"/>
          <w:color w:val="auto"/>
          <w:sz w:val="28"/>
          <w:szCs w:val="28"/>
          <w:highlight w:val="none"/>
          <w:lang w:val="en-US" w:eastAsia="zh-CN"/>
        </w:rPr>
        <w:t>十一</w:t>
      </w:r>
      <w:r>
        <w:rPr>
          <w:rFonts w:ascii="宋体" w:hAnsi="宋体" w:cs="仿宋"/>
          <w:bCs w:val="0"/>
          <w:color w:val="auto"/>
          <w:sz w:val="28"/>
          <w:szCs w:val="28"/>
          <w:highlight w:val="none"/>
        </w:rPr>
        <w:t>、参加政府采购活动前3年内</w:t>
      </w:r>
      <w:bookmarkEnd w:id="686"/>
      <w:bookmarkEnd w:id="687"/>
      <w:bookmarkEnd w:id="688"/>
      <w:bookmarkStart w:id="703" w:name="_Toc6008"/>
      <w:bookmarkStart w:id="704" w:name="_Toc1137"/>
      <w:bookmarkStart w:id="705" w:name="_Toc515647812"/>
      <w:r>
        <w:rPr>
          <w:rFonts w:hint="eastAsia" w:ascii="宋体" w:hAnsi="宋体" w:cs="仿宋"/>
          <w:bCs w:val="0"/>
          <w:color w:val="auto"/>
          <w:sz w:val="28"/>
          <w:szCs w:val="28"/>
          <w:highlight w:val="none"/>
        </w:rPr>
        <w:t>在经营活动中没有重大违法记录的书面声明</w:t>
      </w:r>
      <w:bookmarkEnd w:id="696"/>
      <w:bookmarkEnd w:id="697"/>
      <w:bookmarkEnd w:id="698"/>
      <w:bookmarkEnd w:id="699"/>
      <w:bookmarkEnd w:id="700"/>
      <w:bookmarkEnd w:id="701"/>
      <w:bookmarkEnd w:id="702"/>
      <w:bookmarkEnd w:id="703"/>
      <w:bookmarkEnd w:id="704"/>
      <w:bookmarkEnd w:id="705"/>
    </w:p>
    <w:p>
      <w:pPr>
        <w:pStyle w:val="21"/>
        <w:tabs>
          <w:tab w:val="left" w:pos="5580"/>
        </w:tabs>
        <w:spacing w:line="240" w:lineRule="atLeast"/>
        <w:ind w:left="1080" w:leftChars="257" w:hanging="540"/>
        <w:rPr>
          <w:rFonts w:hAnsi="宋体" w:cs="仿宋"/>
          <w:color w:val="auto"/>
          <w:szCs w:val="21"/>
          <w:highlight w:val="none"/>
        </w:rPr>
      </w:pPr>
    </w:p>
    <w:p>
      <w:pPr>
        <w:pStyle w:val="21"/>
        <w:tabs>
          <w:tab w:val="left" w:pos="5580"/>
        </w:tabs>
        <w:spacing w:line="440" w:lineRule="exact"/>
        <w:ind w:firstLine="420" w:firstLineChars="200"/>
        <w:rPr>
          <w:rFonts w:hAnsi="宋体" w:cs="仿宋"/>
          <w:color w:val="auto"/>
          <w:szCs w:val="21"/>
          <w:highlight w:val="none"/>
        </w:rPr>
      </w:pPr>
      <w:r>
        <w:rPr>
          <w:rFonts w:hint="eastAsia" w:hAnsi="宋体" w:cs="仿宋"/>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1、</w:t>
      </w:r>
      <w:r>
        <w:rPr>
          <w:rFonts w:hint="eastAsia" w:hAnsi="宋体" w:cs="仿宋"/>
          <w:color w:val="auto"/>
          <w:szCs w:val="21"/>
          <w:highlight w:val="none"/>
        </w:rPr>
        <w:t>供应商应按照相关法规规定如实作出说明。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2、按照招标文件的规定加盖单位章（自然人投标的无需盖章，需要签字）。</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3、如果是联合体投标，联合体各方均需提供上述证明。</w:t>
      </w:r>
    </w:p>
    <w:p>
      <w:pPr>
        <w:pStyle w:val="12"/>
        <w:rPr>
          <w:rFonts w:ascii="宋体" w:hAnsi="宋体"/>
          <w:color w:val="auto"/>
          <w:highlight w:val="none"/>
        </w:rPr>
      </w:pPr>
      <w:r>
        <w:rPr>
          <w:rFonts w:ascii="宋体" w:hAnsi="宋体"/>
          <w:color w:val="auto"/>
          <w:highlight w:val="none"/>
        </w:rPr>
        <w:t xml:space="preserve">   </w:t>
      </w:r>
    </w:p>
    <w:p>
      <w:pPr>
        <w:pStyle w:val="12"/>
        <w:rPr>
          <w:rFonts w:ascii="宋体" w:hAnsi="宋体"/>
          <w:color w:val="auto"/>
          <w:highlight w:val="none"/>
        </w:rPr>
      </w:pPr>
    </w:p>
    <w:p>
      <w:pPr>
        <w:pStyle w:val="12"/>
        <w:rPr>
          <w:rFonts w:ascii="宋体" w:hAnsi="宋体"/>
          <w:color w:val="auto"/>
          <w:highlight w:val="none"/>
        </w:rPr>
      </w:pPr>
    </w:p>
    <w:p>
      <w:pPr>
        <w:spacing w:line="440" w:lineRule="exact"/>
        <w:jc w:val="center"/>
        <w:rPr>
          <w:rFonts w:ascii="宋体" w:hAnsi="宋体" w:cs="仿宋"/>
          <w:color w:val="auto"/>
          <w:szCs w:val="21"/>
          <w:highlight w:val="none"/>
        </w:rPr>
      </w:pPr>
      <w:r>
        <w:rPr>
          <w:rFonts w:ascii="宋体" w:hAnsi="宋体" w:cs="仿宋"/>
          <w:color w:val="auto"/>
          <w:szCs w:val="21"/>
          <w:highlight w:val="none"/>
        </w:rPr>
        <w:t xml:space="preserve">        </w:t>
      </w:r>
      <w:bookmarkStart w:id="706" w:name="_Toc20259"/>
      <w:bookmarkStart w:id="707" w:name="_Toc9761"/>
      <w:bookmarkStart w:id="708" w:name="_Toc531517346"/>
      <w:r>
        <w:rPr>
          <w:rFonts w:ascii="宋体" w:hAnsi="宋体" w:cs="仿宋"/>
          <w:color w:val="auto"/>
          <w:szCs w:val="21"/>
          <w:highlight w:val="none"/>
        </w:rPr>
        <w:t xml:space="preserve">                    </w:t>
      </w:r>
      <w:r>
        <w:rPr>
          <w:rFonts w:hint="eastAsia" w:ascii="宋体" w:hAnsi="宋体" w:cs="仿宋"/>
          <w:color w:val="auto"/>
          <w:szCs w:val="21"/>
          <w:highlight w:val="none"/>
        </w:rPr>
        <w:t>供应商：（盖章）</w:t>
      </w:r>
      <w:bookmarkEnd w:id="706"/>
      <w:bookmarkEnd w:id="707"/>
      <w:bookmarkEnd w:id="708"/>
    </w:p>
    <w:p>
      <w:pPr>
        <w:spacing w:line="440" w:lineRule="exact"/>
        <w:ind w:firstLine="2730" w:firstLineChars="1300"/>
        <w:jc w:val="center"/>
        <w:rPr>
          <w:rFonts w:ascii="宋体" w:hAnsi="宋体" w:cs="仿宋"/>
          <w:color w:val="auto"/>
          <w:szCs w:val="21"/>
          <w:highlight w:val="none"/>
        </w:rPr>
      </w:pPr>
      <w:bookmarkStart w:id="709" w:name="_Toc531517347"/>
      <w:bookmarkStart w:id="710" w:name="_Toc15210"/>
      <w:bookmarkStart w:id="711" w:name="_Toc25158"/>
      <w:r>
        <w:rPr>
          <w:rFonts w:hint="eastAsia" w:ascii="宋体" w:hAnsi="宋体" w:cs="仿宋"/>
          <w:color w:val="auto"/>
          <w:szCs w:val="21"/>
          <w:highlight w:val="none"/>
        </w:rPr>
        <w:t>年</w:t>
      </w:r>
      <w:r>
        <w:rPr>
          <w:rFonts w:ascii="宋体" w:hAnsi="宋体" w:cs="仿宋"/>
          <w:color w:val="auto"/>
          <w:szCs w:val="21"/>
          <w:highlight w:val="none"/>
        </w:rPr>
        <w:t xml:space="preserve">   </w:t>
      </w:r>
      <w:r>
        <w:rPr>
          <w:rFonts w:hint="eastAsia" w:ascii="宋体" w:hAnsi="宋体" w:cs="仿宋"/>
          <w:color w:val="auto"/>
          <w:szCs w:val="21"/>
          <w:highlight w:val="none"/>
        </w:rPr>
        <w:t>月</w:t>
      </w:r>
      <w:r>
        <w:rPr>
          <w:rFonts w:ascii="宋体" w:hAnsi="宋体" w:cs="仿宋"/>
          <w:color w:val="auto"/>
          <w:szCs w:val="21"/>
          <w:highlight w:val="none"/>
        </w:rPr>
        <w:t xml:space="preserve">    </w:t>
      </w:r>
      <w:r>
        <w:rPr>
          <w:rFonts w:hint="eastAsia" w:ascii="宋体" w:hAnsi="宋体" w:cs="仿宋"/>
          <w:color w:val="auto"/>
          <w:szCs w:val="21"/>
          <w:highlight w:val="none"/>
        </w:rPr>
        <w:t>日</w:t>
      </w:r>
      <w:bookmarkStart w:id="712" w:name="_Toc5908"/>
      <w:bookmarkStart w:id="713" w:name="_Toc515647813"/>
      <w:bookmarkStart w:id="714" w:name="_Toc29703"/>
      <w:bookmarkStart w:id="715" w:name="_Toc531517348"/>
      <w:bookmarkStart w:id="716" w:name="_Toc17207"/>
    </w:p>
    <w:p>
      <w:pPr>
        <w:pStyle w:val="6"/>
        <w:rPr>
          <w:color w:val="auto"/>
          <w:highlight w:val="none"/>
        </w:rPr>
      </w:pPr>
      <w:r>
        <w:rPr>
          <w:rFonts w:ascii="宋体" w:hAnsi="宋体" w:cs="仿宋"/>
          <w:b/>
          <w:bCs/>
          <w:color w:val="auto"/>
          <w:sz w:val="28"/>
          <w:szCs w:val="28"/>
          <w:highlight w:val="none"/>
        </w:rPr>
        <w:br w:type="page"/>
      </w:r>
      <w:bookmarkEnd w:id="709"/>
      <w:bookmarkEnd w:id="710"/>
      <w:bookmarkEnd w:id="711"/>
      <w:bookmarkEnd w:id="712"/>
      <w:bookmarkEnd w:id="713"/>
      <w:bookmarkEnd w:id="714"/>
      <w:bookmarkEnd w:id="715"/>
      <w:bookmarkEnd w:id="716"/>
    </w:p>
    <w:bookmarkEnd w:id="661"/>
    <w:p>
      <w:pPr>
        <w:pStyle w:val="5"/>
        <w:bidi w:val="0"/>
        <w:jc w:val="center"/>
        <w:rPr>
          <w:rFonts w:hint="eastAsia" w:ascii="宋体" w:hAnsi="宋体" w:eastAsia="宋体" w:cs="仿宋"/>
          <w:b/>
          <w:bCs w:val="0"/>
          <w:color w:val="auto"/>
          <w:kern w:val="2"/>
          <w:sz w:val="28"/>
          <w:szCs w:val="28"/>
          <w:highlight w:val="none"/>
          <w:lang w:val="en-US" w:eastAsia="zh-CN" w:bidi="ar-SA"/>
        </w:rPr>
      </w:pPr>
      <w:bookmarkStart w:id="717" w:name="_Hlk30080100"/>
      <w:r>
        <w:rPr>
          <w:rFonts w:hint="eastAsia" w:ascii="宋体" w:hAnsi="宋体" w:eastAsia="宋体" w:cs="仿宋"/>
          <w:b/>
          <w:bCs w:val="0"/>
          <w:color w:val="auto"/>
          <w:kern w:val="2"/>
          <w:sz w:val="28"/>
          <w:szCs w:val="28"/>
          <w:highlight w:val="none"/>
          <w:lang w:val="en-US" w:eastAsia="zh-CN" w:bidi="ar-SA"/>
        </w:rPr>
        <w:t>十二、供应商基本情况表</w:t>
      </w: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899"/>
        <w:gridCol w:w="1802"/>
        <w:gridCol w:w="538"/>
        <w:gridCol w:w="1080"/>
        <w:gridCol w:w="1260"/>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供应商名称</w:t>
            </w:r>
          </w:p>
        </w:tc>
        <w:tc>
          <w:tcPr>
            <w:tcW w:w="6661" w:type="dxa"/>
            <w:gridSpan w:val="6"/>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注册地址</w:t>
            </w:r>
          </w:p>
        </w:tc>
        <w:tc>
          <w:tcPr>
            <w:tcW w:w="3239" w:type="dxa"/>
            <w:gridSpan w:val="3"/>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法定代表人</w:t>
            </w:r>
          </w:p>
        </w:tc>
        <w:tc>
          <w:tcPr>
            <w:tcW w:w="3239" w:type="dxa"/>
            <w:gridSpan w:val="3"/>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电话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联系方式</w:t>
            </w:r>
          </w:p>
        </w:tc>
        <w:tc>
          <w:tcPr>
            <w:tcW w:w="899"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联系人</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传真</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成立时间</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3960" w:type="dxa"/>
            <w:gridSpan w:val="4"/>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资质类别及资质等级</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restart"/>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其中</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高级职称人员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营业执照号</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中级职称人员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注册资金</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初级职称人员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开户银行</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技  工</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账号</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907" w:type="dxa"/>
            <w:tcBorders>
              <w:top w:val="single" w:color="auto" w:sz="4" w:space="0"/>
              <w:left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经营范围</w:t>
            </w:r>
          </w:p>
        </w:tc>
        <w:tc>
          <w:tcPr>
            <w:tcW w:w="6661" w:type="dxa"/>
            <w:gridSpan w:val="6"/>
            <w:tcBorders>
              <w:top w:val="single" w:color="auto" w:sz="4" w:space="0"/>
              <w:left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备注</w:t>
            </w:r>
          </w:p>
        </w:tc>
        <w:tc>
          <w:tcPr>
            <w:tcW w:w="6661" w:type="dxa"/>
            <w:gridSpan w:val="6"/>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bl>
    <w:p>
      <w:pPr>
        <w:rPr>
          <w:rFonts w:hint="eastAsia" w:ascii="宋体" w:hAnsi="宋体" w:eastAsia="宋体" w:cs="仿宋"/>
          <w:b/>
          <w:bCs w:val="0"/>
          <w:color w:val="auto"/>
          <w:kern w:val="2"/>
          <w:sz w:val="28"/>
          <w:szCs w:val="28"/>
          <w:highlight w:val="none"/>
          <w:lang w:val="en-US" w:eastAsia="zh-CN" w:bidi="ar-SA"/>
        </w:rPr>
      </w:pPr>
      <w:bookmarkStart w:id="718" w:name="_Toc23238"/>
      <w:bookmarkStart w:id="719" w:name="_Toc18588826"/>
      <w:bookmarkStart w:id="720" w:name="_Toc5827"/>
      <w:r>
        <w:rPr>
          <w:rFonts w:hint="eastAsia" w:ascii="宋体" w:hAnsi="宋体" w:eastAsia="宋体" w:cs="仿宋"/>
          <w:b/>
          <w:bCs w:val="0"/>
          <w:color w:val="auto"/>
          <w:kern w:val="2"/>
          <w:sz w:val="28"/>
          <w:szCs w:val="28"/>
          <w:highlight w:val="none"/>
          <w:lang w:val="en-US" w:eastAsia="zh-CN" w:bidi="ar-SA"/>
        </w:rPr>
        <w:br w:type="page"/>
      </w:r>
    </w:p>
    <w:p>
      <w:pPr>
        <w:pStyle w:val="5"/>
        <w:bidi w:val="0"/>
        <w:jc w:val="center"/>
        <w:rPr>
          <w:rFonts w:hint="eastAsia" w:ascii="宋体" w:hAnsi="宋体" w:eastAsia="宋体" w:cs="仿宋"/>
          <w:b/>
          <w:bCs w:val="0"/>
          <w:color w:val="auto"/>
          <w:kern w:val="2"/>
          <w:sz w:val="28"/>
          <w:szCs w:val="28"/>
          <w:highlight w:val="none"/>
          <w:lang w:val="en-US" w:eastAsia="zh-CN" w:bidi="ar-SA"/>
        </w:rPr>
      </w:pPr>
      <w:r>
        <w:rPr>
          <w:rFonts w:hint="eastAsia" w:ascii="宋体" w:hAnsi="宋体" w:eastAsia="宋体" w:cs="仿宋"/>
          <w:b/>
          <w:bCs w:val="0"/>
          <w:color w:val="auto"/>
          <w:kern w:val="2"/>
          <w:sz w:val="28"/>
          <w:szCs w:val="28"/>
          <w:highlight w:val="none"/>
          <w:lang w:val="en-US" w:eastAsia="zh-CN" w:bidi="ar-SA"/>
        </w:rPr>
        <w:t>十三、</w:t>
      </w:r>
      <w:bookmarkEnd w:id="718"/>
      <w:bookmarkEnd w:id="719"/>
      <w:bookmarkStart w:id="721" w:name="_Toc19991"/>
      <w:bookmarkStart w:id="722" w:name="_Toc3908"/>
      <w:bookmarkStart w:id="723" w:name="_Toc10901"/>
      <w:bookmarkStart w:id="724" w:name="_Toc11573_WPSOffice_Level2"/>
      <w:bookmarkStart w:id="725" w:name="_Toc531517356"/>
      <w:bookmarkStart w:id="726" w:name="_Toc18588833"/>
      <w:bookmarkStart w:id="727" w:name="_Toc1980"/>
      <w:bookmarkStart w:id="728" w:name="_Toc7179"/>
      <w:bookmarkStart w:id="729" w:name="_Toc515647821"/>
      <w:bookmarkStart w:id="730" w:name="_Toc23"/>
      <w:bookmarkStart w:id="731" w:name="_Toc216582818"/>
      <w:r>
        <w:rPr>
          <w:rFonts w:hint="eastAsia" w:ascii="宋体" w:hAnsi="宋体" w:eastAsia="宋体" w:cs="仿宋"/>
          <w:b/>
          <w:bCs w:val="0"/>
          <w:color w:val="auto"/>
          <w:kern w:val="2"/>
          <w:sz w:val="28"/>
          <w:szCs w:val="28"/>
          <w:highlight w:val="none"/>
          <w:lang w:val="en-US" w:eastAsia="zh-CN" w:bidi="ar-SA"/>
        </w:rPr>
        <w:t xml:space="preserve"> 其他材料</w:t>
      </w:r>
      <w:bookmarkEnd w:id="720"/>
      <w:bookmarkEnd w:id="721"/>
      <w:bookmarkEnd w:id="722"/>
      <w:bookmarkEnd w:id="723"/>
      <w:bookmarkEnd w:id="724"/>
      <w:bookmarkEnd w:id="725"/>
      <w:bookmarkEnd w:id="726"/>
    </w:p>
    <w:bookmarkEnd w:id="727"/>
    <w:bookmarkEnd w:id="728"/>
    <w:bookmarkEnd w:id="729"/>
    <w:bookmarkEnd w:id="730"/>
    <w:bookmarkEnd w:id="731"/>
    <w:p>
      <w:pPr>
        <w:spacing w:line="240" w:lineRule="atLeast"/>
        <w:ind w:left="1080" w:leftChars="257" w:hanging="540"/>
        <w:jc w:val="center"/>
        <w:outlineLvl w:val="2"/>
        <w:rPr>
          <w:rFonts w:ascii="宋体" w:hAnsi="宋体" w:cs="仿宋"/>
          <w:b/>
          <w:bCs/>
          <w:color w:val="auto"/>
          <w:sz w:val="28"/>
          <w:szCs w:val="28"/>
          <w:highlight w:val="none"/>
        </w:rPr>
      </w:pPr>
      <w:bookmarkStart w:id="732" w:name="_Hlt520274407"/>
      <w:bookmarkEnd w:id="732"/>
      <w:bookmarkStart w:id="733" w:name="_Hlt520274393"/>
      <w:bookmarkEnd w:id="733"/>
      <w:bookmarkStart w:id="734" w:name="_Hlt520343000"/>
      <w:bookmarkEnd w:id="734"/>
      <w:bookmarkStart w:id="735" w:name="_Hlt520274065"/>
      <w:bookmarkEnd w:id="735"/>
      <w:bookmarkStart w:id="736" w:name="_Hlt520271212"/>
      <w:bookmarkEnd w:id="736"/>
      <w:bookmarkStart w:id="737" w:name="_Hlt520273973"/>
      <w:bookmarkEnd w:id="737"/>
      <w:bookmarkStart w:id="738" w:name="_Hlt520343392"/>
      <w:bookmarkEnd w:id="738"/>
      <w:bookmarkStart w:id="739" w:name="_Hlt520350918"/>
      <w:bookmarkEnd w:id="739"/>
      <w:bookmarkStart w:id="740" w:name="_Hlt520273711"/>
      <w:bookmarkEnd w:id="740"/>
      <w:bookmarkStart w:id="741" w:name="_Hlt520274911"/>
      <w:bookmarkEnd w:id="741"/>
      <w:bookmarkStart w:id="742" w:name="_Hlt520350957"/>
      <w:bookmarkEnd w:id="742"/>
      <w:bookmarkStart w:id="743" w:name="_Toc18588832"/>
      <w:bookmarkStart w:id="744" w:name="_Toc4815"/>
      <w:bookmarkStart w:id="745" w:name="_Toc25357"/>
      <w:r>
        <w:rPr>
          <w:rFonts w:hint="eastAsia" w:ascii="宋体" w:hAnsi="宋体" w:cs="仿宋"/>
          <w:b/>
          <w:bCs/>
          <w:color w:val="auto"/>
          <w:sz w:val="28"/>
          <w:szCs w:val="28"/>
          <w:highlight w:val="none"/>
        </w:rPr>
        <w:t>1</w:t>
      </w:r>
      <w:r>
        <w:rPr>
          <w:rFonts w:ascii="宋体" w:hAnsi="宋体" w:cs="仿宋"/>
          <w:b/>
          <w:bCs/>
          <w:color w:val="auto"/>
          <w:sz w:val="28"/>
          <w:szCs w:val="28"/>
          <w:highlight w:val="none"/>
        </w:rPr>
        <w:t>、供应商关联单位的说明（格式自拟）</w:t>
      </w:r>
      <w:bookmarkEnd w:id="743"/>
      <w:bookmarkEnd w:id="744"/>
      <w:bookmarkEnd w:id="745"/>
    </w:p>
    <w:p>
      <w:pPr>
        <w:pStyle w:val="6"/>
        <w:ind w:firstLine="480"/>
        <w:jc w:val="center"/>
        <w:rPr>
          <w:rFonts w:ascii="宋体" w:hAnsi="宋体" w:cs="仿宋"/>
          <w:color w:val="auto"/>
          <w:highlight w:val="none"/>
        </w:rPr>
      </w:pPr>
    </w:p>
    <w:p>
      <w:pPr>
        <w:pStyle w:val="6"/>
        <w:rPr>
          <w:rFonts w:ascii="宋体" w:hAnsi="宋体" w:cs="仿宋"/>
          <w:color w:val="auto"/>
          <w:sz w:val="21"/>
          <w:szCs w:val="21"/>
          <w:highlight w:val="none"/>
        </w:rPr>
      </w:pPr>
      <w:r>
        <w:rPr>
          <w:rFonts w:hint="eastAsia" w:ascii="宋体" w:hAnsi="宋体" w:cs="仿宋"/>
          <w:color w:val="auto"/>
          <w:sz w:val="21"/>
          <w:szCs w:val="21"/>
          <w:highlight w:val="none"/>
        </w:rPr>
        <w:t>说明：供应商应当如实披露与本单位存在下列关联关系的单位名称：</w:t>
      </w:r>
    </w:p>
    <w:p>
      <w:pPr>
        <w:pStyle w:val="6"/>
        <w:rPr>
          <w:rFonts w:ascii="宋体" w:hAnsi="宋体" w:cs="仿宋"/>
          <w:color w:val="auto"/>
          <w:sz w:val="21"/>
          <w:szCs w:val="21"/>
          <w:highlight w:val="none"/>
        </w:rPr>
      </w:pPr>
      <w:r>
        <w:rPr>
          <w:rFonts w:hint="eastAsia" w:ascii="宋体" w:hAnsi="宋体" w:cs="仿宋"/>
          <w:color w:val="auto"/>
          <w:sz w:val="21"/>
          <w:szCs w:val="21"/>
          <w:highlight w:val="none"/>
        </w:rPr>
        <w:t>（</w:t>
      </w:r>
      <w:r>
        <w:rPr>
          <w:rFonts w:ascii="宋体" w:hAnsi="宋体" w:cs="仿宋"/>
          <w:color w:val="auto"/>
          <w:sz w:val="21"/>
          <w:szCs w:val="21"/>
          <w:highlight w:val="none"/>
        </w:rPr>
        <w:t>1）与供应商单位负责人为同一人的其他单位；</w:t>
      </w:r>
      <w:r>
        <w:rPr>
          <w:rFonts w:ascii="宋体" w:hAnsi="宋体" w:cs="仿宋"/>
          <w:color w:val="auto"/>
          <w:sz w:val="21"/>
          <w:szCs w:val="21"/>
          <w:highlight w:val="none"/>
        </w:rPr>
        <w:br w:type="textWrapping"/>
      </w:r>
      <w:r>
        <w:rPr>
          <w:rFonts w:ascii="宋体" w:hAnsi="宋体" w:cs="仿宋"/>
          <w:color w:val="auto"/>
          <w:sz w:val="21"/>
          <w:szCs w:val="21"/>
          <w:highlight w:val="none"/>
        </w:rPr>
        <w:t xml:space="preserve">    （2）与供应商存在直接控股、管理关系的其他单位。</w:t>
      </w:r>
    </w:p>
    <w:p>
      <w:pPr>
        <w:pStyle w:val="6"/>
        <w:rPr>
          <w:color w:val="auto"/>
          <w:highlight w:val="none"/>
        </w:rPr>
      </w:pPr>
      <w:r>
        <w:rPr>
          <w:rFonts w:ascii="宋体" w:hAnsi="宋体" w:cs="仿宋"/>
          <w:color w:val="auto"/>
          <w:szCs w:val="28"/>
          <w:highlight w:val="none"/>
        </w:rPr>
        <w:br w:type="page"/>
      </w:r>
    </w:p>
    <w:bookmarkEnd w:id="717"/>
    <w:p>
      <w:pPr>
        <w:pStyle w:val="5"/>
        <w:spacing w:before="0" w:line="240" w:lineRule="atLeast"/>
        <w:jc w:val="center"/>
        <w:rPr>
          <w:rFonts w:ascii="宋体" w:hAnsi="宋体" w:eastAsia="宋体" w:cs="仿宋"/>
          <w:color w:val="auto"/>
          <w:sz w:val="28"/>
          <w:szCs w:val="28"/>
          <w:highlight w:val="none"/>
        </w:rPr>
      </w:pPr>
      <w:bookmarkStart w:id="746" w:name="_Toc7882"/>
      <w:bookmarkStart w:id="747" w:name="_Toc4860"/>
      <w:bookmarkStart w:id="748" w:name="_Hlk30080178"/>
      <w:r>
        <w:rPr>
          <w:rFonts w:hint="eastAsia" w:ascii="宋体" w:hAnsi="宋体" w:eastAsia="宋体" w:cs="仿宋"/>
          <w:color w:val="auto"/>
          <w:sz w:val="28"/>
          <w:szCs w:val="28"/>
          <w:highlight w:val="none"/>
          <w:lang w:val="en-US" w:eastAsia="zh-CN"/>
        </w:rPr>
        <w:t>2-</w:t>
      </w:r>
      <w:r>
        <w:rPr>
          <w:rFonts w:hint="eastAsia" w:ascii="宋体" w:hAnsi="宋体" w:eastAsia="宋体" w:cs="仿宋"/>
          <w:color w:val="auto"/>
          <w:sz w:val="28"/>
          <w:szCs w:val="28"/>
          <w:highlight w:val="none"/>
        </w:rPr>
        <w:t>1中小企业声明函</w:t>
      </w:r>
      <w:bookmarkEnd w:id="746"/>
      <w:bookmarkEnd w:id="747"/>
    </w:p>
    <w:p>
      <w:pPr>
        <w:widowControl w:val="0"/>
        <w:adjustRightInd w:val="0"/>
        <w:spacing w:line="360" w:lineRule="auto"/>
        <w:ind w:firstLine="315" w:firstLineChars="150"/>
        <w:rPr>
          <w:rFonts w:ascii="宋体" w:hAnsi="宋体"/>
          <w:color w:val="auto"/>
          <w:kern w:val="2"/>
          <w:highlight w:val="none"/>
          <w:lang w:eastAsia="zh-CN" w:bidi="ar-SA"/>
        </w:rPr>
      </w:pPr>
      <w:r>
        <w:rPr>
          <w:rFonts w:hint="eastAsia" w:ascii="宋体" w:hAnsi="宋体"/>
          <w:color w:val="auto"/>
          <w:kern w:val="2"/>
          <w:highlight w:val="none"/>
          <w:lang w:eastAsia="zh-CN" w:bidi="ar-SA"/>
        </w:rPr>
        <w:t>本公司（联合体）郑重声明，根据《政府采购促进中小企业发展管理办法》（财库﹝</w:t>
      </w:r>
      <w:r>
        <w:rPr>
          <w:rFonts w:ascii="宋体" w:hAnsi="宋体"/>
          <w:color w:val="auto"/>
          <w:kern w:val="2"/>
          <w:highlight w:val="none"/>
          <w:lang w:eastAsia="zh-CN" w:bidi="ar-SA"/>
        </w:rPr>
        <w:t xml:space="preserve">2020﹞46 </w:t>
      </w:r>
      <w:r>
        <w:rPr>
          <w:rFonts w:hint="eastAsia" w:ascii="宋体" w:hAnsi="宋体"/>
          <w:color w:val="auto"/>
          <w:kern w:val="2"/>
          <w:highlight w:val="none"/>
          <w:lang w:eastAsia="zh-CN" w:bidi="ar-SA"/>
        </w:rPr>
        <w:t>号）的规定，本公司（联合体）参加</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（单位名称）</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的</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（项目名称）</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widowControl w:val="0"/>
        <w:adjustRightInd w:val="0"/>
        <w:spacing w:line="360" w:lineRule="auto"/>
        <w:ind w:firstLine="420" w:firstLineChars="200"/>
        <w:rPr>
          <w:rFonts w:ascii="宋体" w:hAnsi="宋体"/>
          <w:color w:val="auto"/>
          <w:kern w:val="2"/>
          <w:highlight w:val="none"/>
          <w:lang w:eastAsia="zh-CN" w:bidi="ar-SA"/>
        </w:rPr>
      </w:pPr>
      <w:r>
        <w:rPr>
          <w:rFonts w:ascii="宋体" w:hAnsi="宋体"/>
          <w:color w:val="auto"/>
          <w:kern w:val="2"/>
          <w:highlight w:val="none"/>
          <w:lang w:eastAsia="zh-CN" w:bidi="ar-SA"/>
        </w:rPr>
        <w:t>1.</w:t>
      </w:r>
      <w:r>
        <w:rPr>
          <w:rFonts w:ascii="宋体" w:hAnsi="宋体"/>
          <w:color w:val="auto"/>
          <w:kern w:val="2"/>
          <w:sz w:val="21"/>
          <w:highlight w:val="none"/>
          <w:lang w:eastAsia="zh-CN" w:bidi="ar-SA"/>
        </w:rPr>
        <w:t xml:space="preserve"> </w:t>
      </w:r>
      <w:r>
        <w:rPr>
          <w:rFonts w:hint="eastAsia" w:ascii="宋体" w:hAnsi="宋体"/>
          <w:color w:val="auto"/>
          <w:kern w:val="2"/>
          <w:highlight w:val="none"/>
          <w:u w:val="single"/>
          <w:lang w:eastAsia="zh-CN" w:bidi="ar-SA"/>
        </w:rPr>
        <w:t>（标的名称）</w:t>
      </w:r>
      <w:r>
        <w:rPr>
          <w:rFonts w:hint="eastAsia" w:ascii="宋体" w:hAnsi="宋体"/>
          <w:color w:val="auto"/>
          <w:kern w:val="2"/>
          <w:highlight w:val="none"/>
          <w:lang w:eastAsia="zh-CN" w:bidi="ar-SA"/>
        </w:rPr>
        <w:t>，属于</w:t>
      </w:r>
      <w:r>
        <w:rPr>
          <w:rFonts w:ascii="宋体" w:hAnsi="宋体"/>
          <w:color w:val="auto"/>
          <w:kern w:val="2"/>
          <w:highlight w:val="none"/>
          <w:lang w:eastAsia="zh-CN" w:bidi="ar-SA"/>
        </w:rPr>
        <w:t xml:space="preserve"> </w:t>
      </w:r>
      <w:r>
        <w:rPr>
          <w:rFonts w:hint="eastAsia" w:ascii="宋体" w:hAnsi="宋体"/>
          <w:color w:val="auto"/>
          <w:kern w:val="2"/>
          <w:highlight w:val="none"/>
          <w:u w:val="single"/>
          <w:lang w:eastAsia="zh-CN" w:bidi="ar-SA"/>
        </w:rPr>
        <w:t>（采购文件中明确的所属行业）</w:t>
      </w:r>
      <w:r>
        <w:rPr>
          <w:rFonts w:ascii="宋体" w:hAnsi="宋体"/>
          <w:color w:val="auto"/>
          <w:kern w:val="2"/>
          <w:highlight w:val="none"/>
          <w:lang w:eastAsia="zh-CN" w:bidi="ar-SA"/>
        </w:rPr>
        <w:t xml:space="preserve"> ；承建（承接）企业为 </w:t>
      </w:r>
      <w:r>
        <w:rPr>
          <w:rFonts w:hint="eastAsia" w:ascii="宋体" w:hAnsi="宋体"/>
          <w:color w:val="auto"/>
          <w:kern w:val="2"/>
          <w:highlight w:val="none"/>
          <w:u w:val="single"/>
          <w:lang w:eastAsia="zh-CN" w:bidi="ar-SA"/>
        </w:rPr>
        <w:t>（企业名称）</w:t>
      </w:r>
      <w:r>
        <w:rPr>
          <w:rFonts w:ascii="宋体" w:hAnsi="宋体"/>
          <w:color w:val="auto"/>
          <w:kern w:val="2"/>
          <w:highlight w:val="none"/>
          <w:lang w:eastAsia="zh-CN" w:bidi="ar-SA"/>
        </w:rPr>
        <w:t xml:space="preserve"> ，从业人员</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人，营业收入为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万元，资产总额为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万元属于</w:t>
      </w:r>
      <w:r>
        <w:rPr>
          <w:rFonts w:ascii="宋体" w:hAnsi="宋体"/>
          <w:color w:val="auto"/>
          <w:kern w:val="2"/>
          <w:highlight w:val="none"/>
          <w:u w:val="single"/>
          <w:lang w:eastAsia="zh-CN" w:bidi="ar-SA"/>
        </w:rPr>
        <w:t xml:space="preserve"> （中型企业、小型企业、微型企业） </w:t>
      </w:r>
      <w:r>
        <w:rPr>
          <w:rFonts w:hint="eastAsia" w:ascii="宋体" w:hAnsi="宋体"/>
          <w:color w:val="auto"/>
          <w:kern w:val="2"/>
          <w:highlight w:val="none"/>
          <w:lang w:eastAsia="zh-CN" w:bidi="ar-SA"/>
        </w:rPr>
        <w:t>；</w:t>
      </w:r>
    </w:p>
    <w:p>
      <w:pPr>
        <w:widowControl w:val="0"/>
        <w:adjustRightInd w:val="0"/>
        <w:spacing w:line="360" w:lineRule="auto"/>
        <w:ind w:firstLine="420" w:firstLineChars="200"/>
        <w:rPr>
          <w:rFonts w:ascii="宋体" w:hAnsi="宋体"/>
          <w:color w:val="auto"/>
          <w:kern w:val="2"/>
          <w:highlight w:val="none"/>
          <w:lang w:eastAsia="zh-CN" w:bidi="ar-SA"/>
        </w:rPr>
      </w:pPr>
      <w:r>
        <w:rPr>
          <w:rFonts w:ascii="宋体" w:hAnsi="宋体"/>
          <w:color w:val="auto"/>
          <w:kern w:val="2"/>
          <w:highlight w:val="none"/>
          <w:lang w:eastAsia="zh-CN" w:bidi="ar-SA"/>
        </w:rPr>
        <w:t>2.</w:t>
      </w:r>
      <w:r>
        <w:rPr>
          <w:rFonts w:ascii="宋体" w:hAnsi="宋体"/>
          <w:color w:val="auto"/>
          <w:kern w:val="2"/>
          <w:sz w:val="21"/>
          <w:highlight w:val="none"/>
          <w:lang w:eastAsia="zh-CN" w:bidi="ar-SA"/>
        </w:rPr>
        <w:t xml:space="preserve"> </w:t>
      </w:r>
      <w:r>
        <w:rPr>
          <w:rFonts w:hint="eastAsia" w:ascii="宋体" w:hAnsi="宋体"/>
          <w:color w:val="auto"/>
          <w:kern w:val="2"/>
          <w:highlight w:val="none"/>
          <w:u w:val="single"/>
          <w:lang w:eastAsia="zh-CN" w:bidi="ar-SA"/>
        </w:rPr>
        <w:t>（标的名称）</w:t>
      </w:r>
      <w:r>
        <w:rPr>
          <w:rFonts w:hint="eastAsia" w:ascii="宋体" w:hAnsi="宋体"/>
          <w:color w:val="auto"/>
          <w:kern w:val="2"/>
          <w:highlight w:val="none"/>
          <w:lang w:eastAsia="zh-CN" w:bidi="ar-SA"/>
        </w:rPr>
        <w:t>，属于</w:t>
      </w:r>
      <w:r>
        <w:rPr>
          <w:rFonts w:ascii="宋体" w:hAnsi="宋体"/>
          <w:color w:val="auto"/>
          <w:kern w:val="2"/>
          <w:highlight w:val="none"/>
          <w:lang w:eastAsia="zh-CN" w:bidi="ar-SA"/>
        </w:rPr>
        <w:t xml:space="preserve"> </w:t>
      </w:r>
      <w:r>
        <w:rPr>
          <w:rFonts w:hint="eastAsia" w:ascii="宋体" w:hAnsi="宋体"/>
          <w:color w:val="auto"/>
          <w:kern w:val="2"/>
          <w:highlight w:val="none"/>
          <w:u w:val="single"/>
          <w:lang w:eastAsia="zh-CN" w:bidi="ar-SA"/>
        </w:rPr>
        <w:t>（采购文件中明确的所属行业）</w:t>
      </w:r>
      <w:r>
        <w:rPr>
          <w:rFonts w:ascii="宋体" w:hAnsi="宋体"/>
          <w:color w:val="auto"/>
          <w:kern w:val="2"/>
          <w:highlight w:val="none"/>
          <w:lang w:eastAsia="zh-CN" w:bidi="ar-SA"/>
        </w:rPr>
        <w:t xml:space="preserve"> ；承建（承接）企业为 </w:t>
      </w:r>
      <w:r>
        <w:rPr>
          <w:rFonts w:hint="eastAsia" w:ascii="宋体" w:hAnsi="宋体"/>
          <w:color w:val="auto"/>
          <w:kern w:val="2"/>
          <w:highlight w:val="none"/>
          <w:u w:val="single"/>
          <w:lang w:eastAsia="zh-CN" w:bidi="ar-SA"/>
        </w:rPr>
        <w:t>（企业名称）</w:t>
      </w:r>
      <w:r>
        <w:rPr>
          <w:rFonts w:ascii="宋体" w:hAnsi="宋体"/>
          <w:color w:val="auto"/>
          <w:kern w:val="2"/>
          <w:highlight w:val="none"/>
          <w:lang w:eastAsia="zh-CN" w:bidi="ar-SA"/>
        </w:rPr>
        <w:t xml:space="preserve"> ，从业人员</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人，营业收入为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万元，资产总额为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万元属于</w:t>
      </w:r>
      <w:r>
        <w:rPr>
          <w:rFonts w:ascii="宋体" w:hAnsi="宋体"/>
          <w:color w:val="auto"/>
          <w:kern w:val="2"/>
          <w:highlight w:val="none"/>
          <w:u w:val="single"/>
          <w:lang w:eastAsia="zh-CN" w:bidi="ar-SA"/>
        </w:rPr>
        <w:t xml:space="preserve"> （中型企业、小型企业、微型企业） </w:t>
      </w:r>
      <w:r>
        <w:rPr>
          <w:rFonts w:hint="eastAsia" w:ascii="宋体" w:hAnsi="宋体"/>
          <w:color w:val="auto"/>
          <w:kern w:val="2"/>
          <w:highlight w:val="none"/>
          <w:lang w:eastAsia="zh-CN" w:bidi="ar-SA"/>
        </w:rPr>
        <w:t>；</w:t>
      </w:r>
    </w:p>
    <w:p>
      <w:pPr>
        <w:widowControl w:val="0"/>
        <w:adjustRightInd w:val="0"/>
        <w:spacing w:line="360" w:lineRule="auto"/>
        <w:ind w:firstLine="420" w:firstLineChars="200"/>
        <w:rPr>
          <w:rFonts w:ascii="宋体" w:hAnsi="宋体"/>
          <w:color w:val="auto"/>
          <w:kern w:val="2"/>
          <w:highlight w:val="none"/>
          <w:lang w:eastAsia="zh-CN" w:bidi="ar-SA"/>
        </w:rPr>
      </w:pPr>
      <w:r>
        <w:rPr>
          <w:rFonts w:hint="eastAsia" w:ascii="宋体" w:hAnsi="宋体"/>
          <w:color w:val="auto"/>
          <w:kern w:val="2"/>
          <w:highlight w:val="none"/>
          <w:lang w:eastAsia="zh-CN" w:bidi="ar-SA"/>
        </w:rPr>
        <w:t>……</w:t>
      </w:r>
    </w:p>
    <w:p>
      <w:pPr>
        <w:widowControl w:val="0"/>
        <w:adjustRightInd w:val="0"/>
        <w:spacing w:line="360" w:lineRule="auto"/>
        <w:ind w:firstLine="420" w:firstLineChars="200"/>
        <w:rPr>
          <w:rFonts w:ascii="宋体" w:hAnsi="宋体"/>
          <w:color w:val="auto"/>
          <w:kern w:val="2"/>
          <w:highlight w:val="none"/>
          <w:lang w:eastAsia="zh-CN" w:bidi="ar-SA"/>
        </w:rPr>
      </w:pPr>
      <w:r>
        <w:rPr>
          <w:rFonts w:hint="eastAsia" w:ascii="宋体" w:hAnsi="宋体"/>
          <w:color w:val="auto"/>
          <w:kern w:val="2"/>
          <w:highlight w:val="none"/>
          <w:lang w:eastAsia="zh-CN" w:bidi="ar-SA"/>
        </w:rPr>
        <w:t>以上企业，不属于大企业的分支机构，不存在控股股东为大企业的情形，也不存在与大企业的负责人为同一人的情形。</w:t>
      </w:r>
    </w:p>
    <w:p>
      <w:pPr>
        <w:widowControl w:val="0"/>
        <w:adjustRightInd w:val="0"/>
        <w:spacing w:line="360" w:lineRule="auto"/>
        <w:ind w:firstLine="420" w:firstLineChars="200"/>
        <w:rPr>
          <w:rFonts w:ascii="宋体" w:hAnsi="宋体"/>
          <w:color w:val="auto"/>
          <w:kern w:val="2"/>
          <w:highlight w:val="none"/>
          <w:lang w:eastAsia="zh-CN" w:bidi="ar-SA"/>
        </w:rPr>
      </w:pPr>
      <w:r>
        <w:rPr>
          <w:rFonts w:hint="eastAsia" w:ascii="宋体" w:hAnsi="宋体"/>
          <w:color w:val="auto"/>
          <w:kern w:val="2"/>
          <w:highlight w:val="none"/>
          <w:lang w:eastAsia="zh-CN" w:bidi="ar-SA"/>
        </w:rPr>
        <w:t>本企业对上述声明内容的真实性负责。如有虚假，将依法承担相应责任。</w:t>
      </w:r>
    </w:p>
    <w:p>
      <w:pPr>
        <w:widowControl w:val="0"/>
        <w:adjustRightInd w:val="0"/>
        <w:spacing w:line="360" w:lineRule="auto"/>
        <w:ind w:right="1760"/>
        <w:jc w:val="right"/>
        <w:rPr>
          <w:rFonts w:ascii="宋体" w:hAnsi="宋体"/>
          <w:color w:val="auto"/>
          <w:kern w:val="2"/>
          <w:highlight w:val="none"/>
          <w:lang w:eastAsia="zh-CN" w:bidi="ar-SA"/>
        </w:rPr>
      </w:pPr>
      <w:r>
        <w:rPr>
          <w:rFonts w:hint="eastAsia" w:ascii="宋体" w:hAnsi="宋体" w:cs="仿宋_GB2312"/>
          <w:color w:val="auto"/>
          <w:kern w:val="2"/>
          <w:highlight w:val="none"/>
          <w:lang w:eastAsia="zh-CN" w:bidi="ar-SA"/>
        </w:rPr>
        <w:t>投标人</w:t>
      </w:r>
      <w:r>
        <w:rPr>
          <w:rFonts w:hint="eastAsia" w:ascii="宋体" w:hAnsi="宋体"/>
          <w:color w:val="auto"/>
          <w:kern w:val="2"/>
          <w:highlight w:val="none"/>
          <w:lang w:eastAsia="zh-CN" w:bidi="ar-SA"/>
        </w:rPr>
        <w:t>名称（</w:t>
      </w:r>
      <w:r>
        <w:rPr>
          <w:rFonts w:hint="eastAsia" w:ascii="宋体" w:hAnsi="宋体" w:cs="仿宋_GB2312"/>
          <w:color w:val="auto"/>
          <w:kern w:val="2"/>
          <w:highlight w:val="none"/>
          <w:lang w:eastAsia="zh-CN" w:bidi="ar-SA"/>
        </w:rPr>
        <w:t>盖公章</w:t>
      </w:r>
      <w:r>
        <w:rPr>
          <w:rFonts w:hint="eastAsia" w:ascii="宋体" w:hAnsi="宋体"/>
          <w:color w:val="auto"/>
          <w:kern w:val="2"/>
          <w:highlight w:val="none"/>
          <w:lang w:eastAsia="zh-CN" w:bidi="ar-SA"/>
        </w:rPr>
        <w:t>）：</w:t>
      </w:r>
    </w:p>
    <w:p>
      <w:pPr>
        <w:widowControl w:val="0"/>
        <w:adjustRightInd w:val="0"/>
        <w:spacing w:line="360" w:lineRule="auto"/>
        <w:ind w:right="1120" w:firstLine="4725" w:firstLineChars="2250"/>
        <w:jc w:val="both"/>
        <w:rPr>
          <w:rFonts w:hint="eastAsia" w:ascii="宋体" w:hAnsi="宋体"/>
          <w:color w:val="auto"/>
          <w:kern w:val="2"/>
          <w:highlight w:val="none"/>
          <w:lang w:eastAsia="zh-CN" w:bidi="ar-SA"/>
        </w:rPr>
      </w:pPr>
      <w:r>
        <w:rPr>
          <w:rFonts w:hint="eastAsia" w:ascii="宋体" w:hAnsi="宋体"/>
          <w:color w:val="auto"/>
          <w:kern w:val="2"/>
          <w:highlight w:val="none"/>
          <w:lang w:eastAsia="zh-CN" w:bidi="ar-SA"/>
        </w:rPr>
        <w:t>日</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期：</w:t>
      </w:r>
    </w:p>
    <w:p>
      <w:pPr>
        <w:widowControl w:val="0"/>
        <w:adjustRightInd w:val="0"/>
        <w:spacing w:line="360" w:lineRule="auto"/>
        <w:ind w:firstLine="264" w:firstLineChars="147"/>
        <w:rPr>
          <w:rFonts w:ascii="宋体" w:hAnsi="宋体"/>
          <w:bCs/>
          <w:color w:val="auto"/>
          <w:kern w:val="2"/>
          <w:sz w:val="18"/>
          <w:szCs w:val="18"/>
          <w:highlight w:val="none"/>
          <w:lang w:eastAsia="zh-CN" w:bidi="ar-SA"/>
        </w:rPr>
      </w:pPr>
      <w:r>
        <w:rPr>
          <w:rFonts w:hint="eastAsia" w:ascii="宋体" w:hAnsi="宋体"/>
          <w:bCs/>
          <w:color w:val="auto"/>
          <w:kern w:val="2"/>
          <w:sz w:val="18"/>
          <w:szCs w:val="18"/>
          <w:highlight w:val="none"/>
          <w:lang w:eastAsia="zh-CN" w:bidi="ar-SA"/>
        </w:rPr>
        <w:t>从业人员、营业收入、资产总额填报上一年度数据，无上一年度数据的新成立企业可不填报。</w:t>
      </w:r>
    </w:p>
    <w:bookmarkEnd w:id="748"/>
    <w:p>
      <w:pPr>
        <w:rPr>
          <w:rFonts w:hint="eastAsia" w:ascii="宋体" w:hAnsi="宋体" w:cs="仿宋"/>
          <w:color w:val="auto"/>
          <w:sz w:val="28"/>
          <w:szCs w:val="28"/>
          <w:highlight w:val="none"/>
        </w:rPr>
      </w:pPr>
      <w:bookmarkStart w:id="749" w:name="_Toc20808"/>
      <w:bookmarkStart w:id="750" w:name="_Hlk30080222"/>
      <w:r>
        <w:rPr>
          <w:rFonts w:hint="eastAsia" w:ascii="宋体" w:hAnsi="宋体" w:cs="仿宋"/>
          <w:color w:val="auto"/>
          <w:sz w:val="28"/>
          <w:szCs w:val="28"/>
          <w:highlight w:val="none"/>
        </w:rPr>
        <w:br w:type="page"/>
      </w:r>
    </w:p>
    <w:p>
      <w:pPr>
        <w:pStyle w:val="5"/>
        <w:spacing w:before="0" w:line="240" w:lineRule="atLeast"/>
        <w:jc w:val="center"/>
        <w:rPr>
          <w:rFonts w:ascii="宋体" w:hAnsi="宋体" w:cs="仿宋"/>
          <w:color w:val="auto"/>
          <w:sz w:val="28"/>
          <w:szCs w:val="28"/>
          <w:highlight w:val="none"/>
        </w:rPr>
      </w:pPr>
      <w:r>
        <w:rPr>
          <w:rFonts w:hint="eastAsia" w:ascii="宋体" w:hAnsi="宋体" w:cs="仿宋"/>
          <w:color w:val="auto"/>
          <w:sz w:val="28"/>
          <w:szCs w:val="28"/>
          <w:highlight w:val="none"/>
        </w:rPr>
        <w:t>2</w:t>
      </w:r>
      <w:r>
        <w:rPr>
          <w:rFonts w:ascii="宋体" w:hAnsi="宋体" w:cs="仿宋"/>
          <w:color w:val="auto"/>
          <w:sz w:val="28"/>
          <w:szCs w:val="28"/>
          <w:highlight w:val="none"/>
        </w:rPr>
        <w:t>-2、残疾人福利性单位声明函</w:t>
      </w:r>
      <w:bookmarkEnd w:id="749"/>
    </w:p>
    <w:p>
      <w:pPr>
        <w:widowControl/>
        <w:spacing w:line="440" w:lineRule="exact"/>
        <w:ind w:firstLine="420"/>
        <w:jc w:val="left"/>
        <w:rPr>
          <w:rFonts w:ascii="宋体" w:hAnsi="宋体" w:cs="仿宋"/>
          <w:color w:val="auto"/>
          <w:kern w:val="0"/>
          <w:szCs w:val="21"/>
          <w:highlight w:val="none"/>
        </w:rPr>
      </w:pPr>
      <w:r>
        <w:rPr>
          <w:rFonts w:hint="eastAsia" w:ascii="宋体" w:hAnsi="宋体" w:cs="仿宋"/>
          <w:color w:val="auto"/>
          <w:kern w:val="0"/>
          <w:szCs w:val="21"/>
          <w:highlight w:val="none"/>
        </w:rPr>
        <w:t>本单位郑重声明，根据《财政部民政部中国残疾人联合会关于促进残疾人就业政府采购政策的通知》（财库〔</w:t>
      </w:r>
      <w:r>
        <w:rPr>
          <w:rFonts w:ascii="宋体" w:hAnsi="宋体" w:cs="仿宋"/>
          <w:color w:val="auto"/>
          <w:kern w:val="0"/>
          <w:szCs w:val="21"/>
          <w:highlight w:val="none"/>
        </w:rPr>
        <w:t>2017〕141号）的规定，本单位为符合条件的残疾人福利性单位，且本单位参加</w:t>
      </w:r>
      <w:r>
        <w:rPr>
          <w:rFonts w:hint="eastAsia" w:ascii="宋体" w:hAnsi="宋体" w:cs="仿宋"/>
          <w:color w:val="auto"/>
          <w:kern w:val="0"/>
          <w:szCs w:val="21"/>
          <w:highlight w:val="none"/>
          <w:u w:val="single"/>
        </w:rPr>
        <w:t xml:space="preserve">     </w:t>
      </w:r>
      <w:r>
        <w:rPr>
          <w:rFonts w:ascii="宋体" w:hAnsi="宋体" w:cs="仿宋"/>
          <w:color w:val="auto"/>
          <w:kern w:val="0"/>
          <w:szCs w:val="21"/>
          <w:highlight w:val="none"/>
        </w:rPr>
        <w:t>单位的</w:t>
      </w:r>
      <w:r>
        <w:rPr>
          <w:rFonts w:hint="eastAsia" w:ascii="宋体" w:hAnsi="宋体" w:cs="仿宋"/>
          <w:color w:val="auto"/>
          <w:kern w:val="0"/>
          <w:szCs w:val="21"/>
          <w:highlight w:val="none"/>
          <w:u w:val="single"/>
        </w:rPr>
        <w:t xml:space="preserve">     </w:t>
      </w:r>
      <w:r>
        <w:rPr>
          <w:rFonts w:ascii="宋体" w:hAnsi="宋体" w:cs="仿宋"/>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jc w:val="left"/>
        <w:rPr>
          <w:rFonts w:ascii="宋体" w:hAnsi="宋体" w:cs="仿宋"/>
          <w:color w:val="auto"/>
          <w:kern w:val="0"/>
          <w:szCs w:val="21"/>
          <w:highlight w:val="none"/>
        </w:rPr>
      </w:pPr>
      <w:r>
        <w:rPr>
          <w:rFonts w:hint="eastAsia" w:ascii="宋体" w:hAnsi="宋体" w:cs="仿宋"/>
          <w:color w:val="auto"/>
          <w:kern w:val="0"/>
          <w:szCs w:val="21"/>
          <w:highlight w:val="none"/>
        </w:rPr>
        <w:t>本单位对上述声明的真实性负责。如有虚假，将依法承担相应责任。</w:t>
      </w:r>
    </w:p>
    <w:p>
      <w:pPr>
        <w:pStyle w:val="12"/>
        <w:rPr>
          <w:rFonts w:ascii="宋体" w:hAnsi="宋体"/>
          <w:color w:val="auto"/>
          <w:highlight w:val="none"/>
        </w:rPr>
      </w:pPr>
    </w:p>
    <w:p>
      <w:pPr>
        <w:widowControl/>
        <w:spacing w:line="440" w:lineRule="exact"/>
        <w:ind w:firstLine="2730" w:firstLineChars="1300"/>
        <w:jc w:val="left"/>
        <w:rPr>
          <w:rFonts w:ascii="宋体" w:hAnsi="宋体" w:cs="仿宋"/>
          <w:color w:val="auto"/>
          <w:kern w:val="0"/>
          <w:szCs w:val="21"/>
          <w:highlight w:val="none"/>
        </w:rPr>
      </w:pPr>
      <w:r>
        <w:rPr>
          <w:rFonts w:hint="eastAsia" w:ascii="宋体" w:hAnsi="宋体" w:cs="仿宋"/>
          <w:color w:val="auto"/>
          <w:kern w:val="0"/>
          <w:szCs w:val="21"/>
          <w:highlight w:val="none"/>
        </w:rPr>
        <w:t>制造商名称（盖单位章）：</w:t>
      </w:r>
      <w:r>
        <w:rPr>
          <w:rFonts w:ascii="宋体" w:hAnsi="宋体" w:cs="仿宋"/>
          <w:color w:val="auto"/>
          <w:kern w:val="0"/>
          <w:szCs w:val="21"/>
          <w:highlight w:val="none"/>
        </w:rPr>
        <w:t xml:space="preserve">___________                 </w:t>
      </w:r>
    </w:p>
    <w:p>
      <w:pPr>
        <w:widowControl/>
        <w:spacing w:line="440" w:lineRule="exact"/>
        <w:ind w:firstLine="2730" w:firstLineChars="1300"/>
        <w:jc w:val="left"/>
        <w:rPr>
          <w:rFonts w:ascii="宋体" w:hAnsi="宋体" w:cs="仿宋"/>
          <w:color w:val="auto"/>
          <w:kern w:val="0"/>
          <w:szCs w:val="21"/>
          <w:highlight w:val="none"/>
        </w:rPr>
      </w:pPr>
      <w:r>
        <w:rPr>
          <w:rFonts w:hint="eastAsia" w:ascii="宋体" w:hAnsi="宋体" w:cs="仿宋"/>
          <w:color w:val="auto"/>
          <w:kern w:val="0"/>
          <w:szCs w:val="21"/>
          <w:highlight w:val="none"/>
        </w:rPr>
        <w:t>日期</w:t>
      </w:r>
      <w:r>
        <w:rPr>
          <w:rFonts w:ascii="宋体" w:hAnsi="宋体" w:cs="仿宋"/>
          <w:color w:val="auto"/>
          <w:kern w:val="0"/>
          <w:szCs w:val="21"/>
          <w:highlight w:val="none"/>
        </w:rPr>
        <w:t xml:space="preserve"> ：___________   </w:t>
      </w:r>
    </w:p>
    <w:p>
      <w:pPr>
        <w:pStyle w:val="12"/>
        <w:rPr>
          <w:rFonts w:ascii="宋体" w:hAnsi="宋体"/>
          <w:color w:val="auto"/>
          <w:highlight w:val="none"/>
        </w:rPr>
      </w:pPr>
    </w:p>
    <w:p>
      <w:pPr>
        <w:widowControl/>
        <w:spacing w:line="360" w:lineRule="exact"/>
        <w:jc w:val="left"/>
        <w:rPr>
          <w:rFonts w:ascii="宋体" w:hAnsi="宋体" w:cs="仿宋"/>
          <w:color w:val="auto"/>
          <w:kern w:val="0"/>
          <w:szCs w:val="21"/>
          <w:highlight w:val="none"/>
        </w:rPr>
      </w:pPr>
      <w:r>
        <w:rPr>
          <w:rFonts w:hint="eastAsia" w:ascii="宋体" w:hAnsi="宋体" w:cs="仿宋"/>
          <w:color w:val="auto"/>
          <w:kern w:val="0"/>
          <w:szCs w:val="21"/>
          <w:highlight w:val="none"/>
        </w:rPr>
        <w:t>说明：不属于残疾人福利性单位的企业可不提供。</w:t>
      </w: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rPr>
          <w:rFonts w:hint="eastAsia" w:ascii="宋体" w:hAnsi="宋体" w:cs="仿宋"/>
          <w:color w:val="auto"/>
          <w:sz w:val="28"/>
          <w:szCs w:val="28"/>
          <w:highlight w:val="none"/>
        </w:rPr>
      </w:pPr>
      <w:bookmarkStart w:id="751" w:name="_Toc14059"/>
      <w:r>
        <w:rPr>
          <w:rFonts w:hint="eastAsia" w:ascii="宋体" w:hAnsi="宋体" w:cs="仿宋"/>
          <w:color w:val="auto"/>
          <w:sz w:val="28"/>
          <w:szCs w:val="28"/>
          <w:highlight w:val="none"/>
        </w:rPr>
        <w:br w:type="page"/>
      </w:r>
    </w:p>
    <w:p>
      <w:pPr>
        <w:pStyle w:val="5"/>
        <w:spacing w:before="0" w:line="240" w:lineRule="atLeast"/>
        <w:jc w:val="center"/>
        <w:rPr>
          <w:rFonts w:ascii="宋体" w:hAnsi="宋体" w:cs="仿宋"/>
          <w:color w:val="auto"/>
          <w:sz w:val="28"/>
          <w:szCs w:val="28"/>
          <w:highlight w:val="none"/>
        </w:rPr>
      </w:pPr>
      <w:r>
        <w:rPr>
          <w:rFonts w:hint="eastAsia" w:ascii="宋体" w:hAnsi="宋体" w:cs="仿宋"/>
          <w:color w:val="auto"/>
          <w:sz w:val="28"/>
          <w:szCs w:val="28"/>
          <w:highlight w:val="none"/>
        </w:rPr>
        <w:t>2</w:t>
      </w:r>
      <w:r>
        <w:rPr>
          <w:rFonts w:ascii="宋体" w:hAnsi="宋体" w:cs="仿宋"/>
          <w:color w:val="auto"/>
          <w:sz w:val="28"/>
          <w:szCs w:val="28"/>
          <w:highlight w:val="none"/>
        </w:rPr>
        <w:t>-3、省级以上监狱管理局、戒毒管理局（含新疆生产建设兵团）出具的属于监狱企业的证明文件（格式自拟）</w:t>
      </w:r>
      <w:bookmarkEnd w:id="751"/>
    </w:p>
    <w:p>
      <w:pPr>
        <w:pStyle w:val="12"/>
        <w:rPr>
          <w:rFonts w:ascii="宋体" w:hAnsi="宋体"/>
          <w:color w:val="auto"/>
          <w:highlight w:val="none"/>
        </w:rPr>
      </w:pPr>
      <w:bookmarkStart w:id="752" w:name="_Toc27321"/>
      <w:bookmarkStart w:id="753" w:name="_Toc515647825"/>
      <w:bookmarkStart w:id="754" w:name="_Toc19284"/>
      <w:bookmarkStart w:id="755" w:name="_Toc23068"/>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widowControl/>
        <w:spacing w:line="360" w:lineRule="exact"/>
        <w:jc w:val="left"/>
        <w:rPr>
          <w:rFonts w:ascii="宋体" w:hAnsi="宋体" w:cs="仿宋"/>
          <w:color w:val="auto"/>
          <w:kern w:val="0"/>
          <w:szCs w:val="21"/>
          <w:highlight w:val="none"/>
        </w:rPr>
      </w:pPr>
      <w:r>
        <w:rPr>
          <w:rFonts w:hint="eastAsia" w:ascii="宋体" w:hAnsi="宋体" w:cs="仿宋"/>
          <w:color w:val="auto"/>
          <w:kern w:val="0"/>
          <w:szCs w:val="21"/>
          <w:highlight w:val="none"/>
        </w:rPr>
        <w:t>说明：不属于监狱企业的企业可不提供。</w:t>
      </w:r>
    </w:p>
    <w:p>
      <w:pPr>
        <w:spacing w:line="240" w:lineRule="atLeast"/>
        <w:ind w:left="1080" w:leftChars="257" w:hanging="540"/>
        <w:jc w:val="center"/>
        <w:rPr>
          <w:rFonts w:ascii="宋体" w:hAnsi="宋体" w:cs="仿宋"/>
          <w:color w:val="auto"/>
          <w:sz w:val="28"/>
          <w:szCs w:val="28"/>
          <w:highlight w:val="none"/>
        </w:rPr>
      </w:pPr>
      <w:r>
        <w:rPr>
          <w:rFonts w:ascii="宋体" w:hAnsi="宋体" w:cs="仿宋"/>
          <w:color w:val="auto"/>
          <w:sz w:val="28"/>
          <w:szCs w:val="28"/>
          <w:highlight w:val="none"/>
        </w:rPr>
        <w:br w:type="page"/>
      </w:r>
      <w:bookmarkEnd w:id="752"/>
      <w:bookmarkEnd w:id="753"/>
      <w:bookmarkEnd w:id="754"/>
      <w:bookmarkEnd w:id="755"/>
    </w:p>
    <w:p>
      <w:pPr>
        <w:pStyle w:val="5"/>
        <w:spacing w:before="0" w:line="240" w:lineRule="atLeast"/>
        <w:jc w:val="center"/>
        <w:rPr>
          <w:rFonts w:hint="eastAsia"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lang w:val="en-US" w:eastAsia="zh-CN"/>
        </w:rPr>
        <w:t>2-4招标代理服务费承诺函</w:t>
      </w:r>
    </w:p>
    <w:p>
      <w:pPr>
        <w:rPr>
          <w:rFonts w:ascii="宋体" w:hAnsi="宋体" w:cs="仿宋"/>
          <w:b/>
          <w:bCs/>
          <w:color w:val="auto"/>
          <w:sz w:val="28"/>
          <w:szCs w:val="28"/>
          <w:highlight w:val="none"/>
        </w:rPr>
      </w:pPr>
      <w:r>
        <w:rPr>
          <w:rFonts w:hint="eastAsia" w:ascii="宋体" w:hAnsi="宋体" w:cs="仿宋"/>
          <w:b/>
          <w:bCs/>
          <w:color w:val="auto"/>
          <w:sz w:val="28"/>
          <w:szCs w:val="28"/>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（采购人及采购代理机构）</w:t>
      </w:r>
      <w:r>
        <w:rPr>
          <w:rFonts w:hint="eastAsia" w:ascii="宋体" w:hAnsi="宋体" w:cs="宋体"/>
          <w:color w:val="auto"/>
          <w:sz w:val="24"/>
          <w:highlight w:val="none"/>
        </w:rPr>
        <w:t> ：</w:t>
      </w:r>
    </w:p>
    <w:p>
      <w:pPr>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我们在贵单位组织的（项目名称：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rPr>
          <w:rFonts w:ascii="宋体" w:hAnsi="宋体" w:cs="宋体"/>
          <w:color w:val="auto"/>
          <w:sz w:val="24"/>
          <w:highlight w:val="none"/>
        </w:rPr>
      </w:pPr>
      <w:r>
        <w:rPr>
          <w:rFonts w:hint="eastAsia" w:ascii="宋体" w:hAnsi="宋体" w:cs="宋体"/>
          <w:color w:val="auto"/>
          <w:sz w:val="24"/>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投标人名称： </w:t>
      </w:r>
      <w:r>
        <w:rPr>
          <w:rFonts w:hint="eastAsia" w:ascii="宋体" w:hAnsi="宋体" w:cs="宋体"/>
          <w:color w:val="auto"/>
          <w:sz w:val="24"/>
          <w:highlight w:val="none"/>
          <w:u w:val="single"/>
        </w:rPr>
        <w:t>                 </w:t>
      </w: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w:t>
      </w:r>
      <w:r>
        <w:rPr>
          <w:rFonts w:hint="eastAsia" w:ascii="宋体" w:hAnsi="宋体" w:cs="宋体"/>
          <w:color w:val="auto"/>
          <w:sz w:val="24"/>
          <w:highlight w:val="none"/>
        </w:rPr>
        <w:t>（签字或盖章）</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bookmarkEnd w:id="750"/>
    <w:p>
      <w:pPr>
        <w:tabs>
          <w:tab w:val="left" w:pos="567"/>
        </w:tabs>
        <w:spacing w:line="480" w:lineRule="exact"/>
        <w:ind w:left="708" w:leftChars="337" w:firstLine="1843" w:firstLineChars="878"/>
        <w:rPr>
          <w:rFonts w:ascii="宋体" w:hAnsi="宋体" w:cs="宋体"/>
          <w:color w:val="auto"/>
          <w:highlight w:val="none"/>
        </w:rPr>
      </w:pPr>
    </w:p>
    <w:p>
      <w:pPr>
        <w:pStyle w:val="5"/>
        <w:spacing w:before="0" w:line="240" w:lineRule="atLeast"/>
        <w:jc w:val="center"/>
        <w:rPr>
          <w:rFonts w:hint="eastAsia" w:ascii="宋体" w:hAnsi="宋体" w:eastAsia="宋体" w:cs="仿宋"/>
          <w:color w:val="auto"/>
          <w:sz w:val="28"/>
          <w:szCs w:val="28"/>
          <w:highlight w:val="none"/>
          <w:lang w:val="en-US" w:eastAsia="zh-CN"/>
        </w:rPr>
      </w:pPr>
      <w:bookmarkStart w:id="756" w:name="_Toc4110"/>
      <w:r>
        <w:rPr>
          <w:rFonts w:hint="eastAsia" w:ascii="宋体" w:hAnsi="宋体" w:eastAsia="宋体" w:cs="仿宋"/>
          <w:color w:val="auto"/>
          <w:sz w:val="28"/>
          <w:szCs w:val="28"/>
          <w:highlight w:val="none"/>
          <w:lang w:val="en-US" w:eastAsia="zh-CN"/>
        </w:rPr>
        <w:t>3、供应商认为需要提供的其他资料，包括但不限于评分项所需资料</w:t>
      </w:r>
      <w:bookmarkEnd w:id="756"/>
    </w:p>
    <w:p>
      <w:pPr>
        <w:spacing w:line="480" w:lineRule="exact"/>
        <w:ind w:firstLine="643" w:firstLineChars="200"/>
        <w:rPr>
          <w:rFonts w:ascii="宋体" w:hAnsi="宋体" w:cs="宋体"/>
          <w:b/>
          <w:color w:val="auto"/>
          <w:sz w:val="32"/>
          <w:szCs w:val="32"/>
          <w:highlight w:val="none"/>
        </w:rPr>
      </w:pPr>
    </w:p>
    <w:p>
      <w:pPr>
        <w:rPr>
          <w:rFonts w:hint="eastAsia" w:ascii="宋体" w:hAnsi="宋体"/>
          <w:color w:val="auto"/>
          <w:highlight w:val="none"/>
        </w:rPr>
      </w:pPr>
      <w:bookmarkStart w:id="757" w:name="_Toc57747269"/>
      <w:bookmarkStart w:id="758" w:name="_Toc89373402"/>
      <w:bookmarkStart w:id="759" w:name="_Toc333239766"/>
      <w:bookmarkStart w:id="760" w:name="_Toc57746576"/>
      <w:r>
        <w:rPr>
          <w:rFonts w:hint="eastAsia" w:ascii="宋体" w:hAnsi="宋体"/>
          <w:color w:val="auto"/>
          <w:highlight w:val="none"/>
        </w:rPr>
        <w:br w:type="page"/>
      </w:r>
    </w:p>
    <w:p>
      <w:pPr>
        <w:pStyle w:val="39"/>
        <w:jc w:val="left"/>
        <w:rPr>
          <w:rFonts w:ascii="宋体" w:hAnsi="宋体"/>
          <w:color w:val="auto"/>
          <w:highlight w:val="none"/>
        </w:rPr>
      </w:pPr>
      <w:bookmarkStart w:id="761" w:name="_Toc11893"/>
      <w:r>
        <w:rPr>
          <w:rFonts w:hint="eastAsia" w:ascii="宋体" w:hAnsi="宋体"/>
          <w:color w:val="auto"/>
          <w:highlight w:val="none"/>
        </w:rPr>
        <w:t>附件：</w:t>
      </w:r>
      <w:bookmarkEnd w:id="757"/>
      <w:bookmarkEnd w:id="758"/>
      <w:bookmarkEnd w:id="761"/>
    </w:p>
    <w:p>
      <w:pPr>
        <w:pStyle w:val="39"/>
        <w:rPr>
          <w:rFonts w:ascii="宋体" w:hAnsi="宋体"/>
          <w:color w:val="auto"/>
          <w:highlight w:val="none"/>
        </w:rPr>
      </w:pPr>
      <w:bookmarkStart w:id="762" w:name="_Toc26040"/>
      <w:bookmarkStart w:id="763" w:name="_Toc57747270"/>
      <w:bookmarkStart w:id="764" w:name="_Toc89373403"/>
      <w:r>
        <w:rPr>
          <w:rFonts w:hint="eastAsia" w:ascii="宋体" w:hAnsi="宋体"/>
          <w:color w:val="auto"/>
          <w:highlight w:val="none"/>
        </w:rPr>
        <w:t>河南省政府采购合同融资政策告知函</w:t>
      </w:r>
      <w:bookmarkEnd w:id="762"/>
      <w:bookmarkEnd w:id="763"/>
      <w:bookmarkEnd w:id="764"/>
    </w:p>
    <w:p>
      <w:pPr>
        <w:spacing w:line="440" w:lineRule="exact"/>
        <w:rPr>
          <w:rFonts w:ascii="宋体" w:hAnsi="宋体" w:cs="仿宋"/>
          <w:color w:val="auto"/>
          <w:szCs w:val="21"/>
          <w:highlight w:val="none"/>
        </w:rPr>
      </w:pPr>
    </w:p>
    <w:p>
      <w:pPr>
        <w:spacing w:line="360" w:lineRule="auto"/>
        <w:rPr>
          <w:rFonts w:ascii="宋体" w:hAnsi="宋体" w:cs="仿宋"/>
          <w:color w:val="auto"/>
          <w:sz w:val="24"/>
          <w:highlight w:val="none"/>
        </w:rPr>
      </w:pPr>
      <w:r>
        <w:rPr>
          <w:rFonts w:hint="eastAsia" w:ascii="宋体" w:hAnsi="宋体" w:cs="仿宋"/>
          <w:color w:val="auto"/>
          <w:sz w:val="24"/>
          <w:highlight w:val="none"/>
        </w:rPr>
        <w:t>各供应商：</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欢迎贵公司参与河南省政府采购活动！</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仿宋"/>
          <w:color w:val="auto"/>
          <w:sz w:val="24"/>
          <w:highlight w:val="none"/>
        </w:rPr>
        <w:t xml:space="preserve">2017〕10 </w:t>
      </w:r>
      <w:r>
        <w:rPr>
          <w:rFonts w:hint="eastAsia" w:ascii="宋体" w:hAnsi="宋体" w:cs="仿宋"/>
          <w:color w:val="auto"/>
          <w:sz w:val="24"/>
          <w:highlight w:val="none"/>
        </w:rPr>
        <w:t>号），按照双方自愿的原则提供便捷、优惠的贷款服务。</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贷款渠道和提供贷款的金融机构，可在河南省政府采购网“河南省政府采购合同融资平台”查询联系。</w:t>
      </w:r>
    </w:p>
    <w:p>
      <w:pPr>
        <w:spacing w:line="360" w:lineRule="auto"/>
        <w:ind w:firstLine="480" w:firstLineChars="200"/>
        <w:rPr>
          <w:rFonts w:ascii="宋体" w:hAnsi="宋体"/>
          <w:color w:val="auto"/>
          <w:highlight w:val="none"/>
        </w:rPr>
      </w:pPr>
      <w:r>
        <w:rPr>
          <w:rFonts w:ascii="宋体" w:hAnsi="宋体"/>
          <w:color w:val="auto"/>
          <w:sz w:val="24"/>
          <w:highlight w:val="none"/>
        </w:rPr>
        <w:br w:type="page"/>
      </w:r>
      <w:bookmarkEnd w:id="759"/>
      <w:bookmarkEnd w:id="760"/>
      <w:bookmarkStart w:id="765" w:name="_Toc89373404"/>
      <w:bookmarkStart w:id="766" w:name="_Toc57747271"/>
      <w:r>
        <w:rPr>
          <w:rFonts w:hint="eastAsia" w:ascii="宋体" w:hAnsi="宋体"/>
          <w:color w:val="auto"/>
          <w:highlight w:val="none"/>
        </w:rPr>
        <w:t>附件：</w:t>
      </w:r>
      <w:bookmarkEnd w:id="765"/>
      <w:bookmarkEnd w:id="766"/>
    </w:p>
    <w:p>
      <w:pPr>
        <w:pStyle w:val="39"/>
        <w:rPr>
          <w:rFonts w:ascii="宋体" w:hAnsi="宋体"/>
          <w:color w:val="auto"/>
          <w:spacing w:val="-8"/>
          <w:highlight w:val="none"/>
          <w:lang w:val="zh-CN"/>
        </w:rPr>
      </w:pPr>
      <w:bookmarkStart w:id="767" w:name="_Toc23914"/>
      <w:bookmarkStart w:id="768" w:name="_Toc23677"/>
      <w:bookmarkStart w:id="769" w:name="_Toc89373405"/>
      <w:bookmarkStart w:id="770" w:name="_Toc57747272"/>
      <w:bookmarkStart w:id="771" w:name="_Toc55477559"/>
      <w:r>
        <w:rPr>
          <w:rFonts w:hint="eastAsia" w:ascii="宋体" w:hAnsi="宋体"/>
          <w:color w:val="auto"/>
          <w:spacing w:val="-8"/>
          <w:highlight w:val="none"/>
        </w:rPr>
        <w:t>节能产品政府采购品目清单</w:t>
      </w:r>
      <w:bookmarkEnd w:id="767"/>
      <w:bookmarkEnd w:id="768"/>
      <w:bookmarkEnd w:id="769"/>
      <w:bookmarkEnd w:id="770"/>
      <w:bookmarkEnd w:id="771"/>
    </w:p>
    <w:tbl>
      <w:tblPr>
        <w:tblStyle w:val="42"/>
        <w:tblpPr w:leftFromText="180" w:rightFromText="180" w:vertAnchor="text" w:horzAnchor="page" w:tblpX="1692" w:tblpY="1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1102"/>
        <w:gridCol w:w="1701"/>
        <w:gridCol w:w="1810"/>
        <w:gridCol w:w="3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42" w:type="dxa"/>
            <w:tcBorders>
              <w:top w:val="single" w:color="000000" w:sz="4" w:space="0"/>
              <w:left w:val="single" w:color="000000" w:sz="4" w:space="0"/>
              <w:bottom w:val="single" w:color="000000" w:sz="4" w:space="0"/>
              <w:right w:val="single" w:color="000000" w:sz="4" w:space="0"/>
            </w:tcBorders>
            <w:vAlign w:val="center"/>
          </w:tcPr>
          <w:p>
            <w:pPr>
              <w:pStyle w:val="12"/>
              <w:ind w:left="63" w:right="63" w:firstLine="210"/>
              <w:rPr>
                <w:rFonts w:eastAsia="Times New Roman"/>
                <w:b/>
                <w:color w:val="auto"/>
                <w:spacing w:val="-8"/>
                <w:sz w:val="18"/>
                <w:szCs w:val="18"/>
                <w:highlight w:val="none"/>
              </w:rPr>
            </w:pPr>
            <w:r>
              <w:rPr>
                <w:rFonts w:ascii="宋体" w:hAnsi="宋体"/>
                <w:color w:val="auto"/>
                <w:highlight w:val="none"/>
              </w:rPr>
              <w:pict>
                <v:shape id="文本框 9" o:spid="_x0000_s1029" o:spt="202" type="#_x0000_t202" style="position:absolute;left:0pt;margin-left:63.6pt;margin-top:23.3pt;height:566.45pt;width:447pt;mso-position-horizontal-relative:page;z-index:251659264;mso-width-relative:page;mso-height-relative:page;" filled="f" stroked="f" coordsize="21600,21600" o:gfxdata="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BIio9kAAAAMAQAADwAAAAAAAAAB&#10;ACAAAAAiAAAAZHJzL2Rvd25yZXYueG1sUEsBAhQAFAAAAAgAh07iQAklGs4PAgAABgQAAA4AAAAA&#10;AAAAAQAgAAAAKAEAAGRycy9lMm9Eb2MueG1sUEsFBgAAAAAGAAYAWQEAAKkFAAAAAA==&#10;">
                  <v:path/>
                  <v:fill on="f" focussize="0,0"/>
                  <v:stroke on="f" joinstyle="miter"/>
                  <v:imagedata o:title=""/>
                  <o:lock v:ext="edit"/>
                  <v:textbox inset="0mm,0mm,0mm,0mm">
                    <w:txbxContent>
                      <w:p>
                        <w:pPr>
                          <w:pStyle w:val="12"/>
                          <w:ind w:left="63" w:right="63" w:firstLine="210"/>
                        </w:pPr>
                      </w:p>
                    </w:txbxContent>
                  </v:textbox>
                </v:shape>
              </w:pict>
            </w:r>
            <w:r>
              <w:rPr>
                <w:rFonts w:eastAsia="Times New Roman"/>
                <w:b/>
                <w:color w:val="auto"/>
                <w:spacing w:val="-8"/>
                <w:sz w:val="18"/>
                <w:szCs w:val="18"/>
                <w:highlight w:val="none"/>
                <w:lang w:val="en-US"/>
              </w:rPr>
              <w:t>品</w:t>
            </w:r>
            <w:r>
              <w:rPr>
                <w:rFonts w:eastAsia="Times New Roman"/>
                <w:color w:val="auto"/>
                <w:spacing w:val="-8"/>
                <w:sz w:val="18"/>
                <w:szCs w:val="18"/>
                <w:highlight w:val="none"/>
                <w:lang w:val="en-US"/>
              </w:rPr>
              <w:t>目序号</w:t>
            </w:r>
          </w:p>
        </w:tc>
        <w:tc>
          <w:tcPr>
            <w:tcW w:w="4613" w:type="dxa"/>
            <w:gridSpan w:val="3"/>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b/>
                <w:color w:val="auto"/>
                <w:spacing w:val="-8"/>
                <w:sz w:val="18"/>
                <w:szCs w:val="18"/>
                <w:highlight w:val="none"/>
              </w:rPr>
            </w:pPr>
            <w:r>
              <w:rPr>
                <w:rFonts w:eastAsia="Times New Roman"/>
                <w:b/>
                <w:color w:val="auto"/>
                <w:spacing w:val="-8"/>
                <w:sz w:val="18"/>
                <w:szCs w:val="18"/>
                <w:highlight w:val="none"/>
                <w:lang w:val="en-US"/>
              </w:rPr>
              <w:t>名称</w:t>
            </w:r>
          </w:p>
        </w:tc>
        <w:tc>
          <w:tcPr>
            <w:tcW w:w="3057" w:type="dxa"/>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b/>
                <w:color w:val="auto"/>
                <w:spacing w:val="-8"/>
                <w:sz w:val="18"/>
                <w:szCs w:val="18"/>
                <w:highlight w:val="none"/>
              </w:rPr>
            </w:pPr>
            <w:r>
              <w:rPr>
                <w:rFonts w:eastAsia="Times New Roman"/>
                <w:b/>
                <w:color w:val="auto"/>
                <w:spacing w:val="-8"/>
                <w:sz w:val="18"/>
                <w:szCs w:val="18"/>
                <w:highlight w:val="none"/>
                <w:lang w:val="en-US"/>
              </w:rPr>
              <w:t>依据的标准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 计算</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机设备</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★A02010104 台式计算机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★A02010105 便携式计算机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★A02010107 平板式微型计算机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2</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 输入</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输出设备</w:t>
            </w:r>
          </w:p>
        </w:tc>
        <w:tc>
          <w:tcPr>
            <w:tcW w:w="170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A02010601 打印设备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A0201060101 喷墨打</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A0201060102 激光</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打印机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A0201060104 针式</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打印机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A02010604 显示设备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A0201060401 液晶</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显示器</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《计算机显示器能效限定值及能效等级》（GB 21520）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A02010609 图形图像输入设备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A0201060901 扫描仪</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参照《复印机、打印机和传真机能效限定值及能效等级》（GB 21521</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中打印速度为 15 页/分的针式打</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印机相关要求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3</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A020202 投影</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仪</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《投影机能效限定值及能效等级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32028）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4</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A020204 多功</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能一体机</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5</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A020519 泵</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A02051901 离心泵</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《清水离心泵能效限定值及节能</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评价值》（GB 19762）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6</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 制冷</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空调设备</w:t>
            </w:r>
          </w:p>
        </w:tc>
        <w:tc>
          <w:tcPr>
            <w:tcW w:w="170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★A02052301 制冷压缩机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冷水机组</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《冷水机组能效限定值及能效等级》（GB 19577），《低环境温度空气源热泵（冷水）机组能效限定值及能效等级》（GB 37480）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水源热泵机组</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《水（地）源热泵机组能效限定值及能效等级》（GB 30721）</w:t>
            </w:r>
          </w:p>
        </w:tc>
      </w:tr>
    </w:tbl>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24"/>
        <w:rPr>
          <w:rFonts w:ascii="宋体" w:hAnsi="宋体"/>
          <w:color w:val="auto"/>
          <w:spacing w:val="-8"/>
          <w:sz w:val="14"/>
          <w:highlight w:val="none"/>
        </w:rPr>
      </w:pPr>
    </w:p>
    <w:p>
      <w:pPr>
        <w:spacing w:before="71"/>
        <w:ind w:right="102"/>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74"/>
        <w:rPr>
          <w:rFonts w:ascii="宋体" w:hAnsi="宋体"/>
          <w:color w:val="auto"/>
          <w:spacing w:val="-8"/>
          <w:sz w:val="19"/>
          <w:highlight w:val="none"/>
        </w:rPr>
      </w:pPr>
    </w:p>
    <w:p>
      <w:pPr>
        <w:ind w:right="150"/>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210"/>
        <w:rPr>
          <w:rFonts w:ascii="宋体" w:hAnsi="宋体"/>
          <w:color w:val="auto"/>
          <w:spacing w:val="-8"/>
          <w:highlight w:val="none"/>
        </w:rPr>
      </w:pPr>
      <w:r>
        <w:rPr>
          <w:rFonts w:ascii="宋体" w:hAnsi="宋体"/>
          <w:color w:val="auto"/>
          <w:highlight w:val="none"/>
        </w:rPr>
        <w:pict>
          <v:shape id="文本框 8" o:spid="_x0000_s1030" o:spt="202" type="#_x0000_t202" style="position:absolute;left:0pt;margin-left:74.4pt;margin-top:-0.2pt;height:713.2pt;width:462pt;mso-position-horizontal-relative:page;z-index:251660288;mso-width-relative:page;mso-height-relative:page;" filled="f" stroked="f" coordsize="21600,21600" o:gfxdata="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ibf09cAAAALAQAADwAAAAAAAAABACAA&#10;AAAiAAAAZHJzL2Rvd25yZXYueG1sUEsBAhQAFAAAAAgAh07iQETTgaEOAgAABgQAAA4AAAAAAAAA&#10;AQAgAAAAJgEAAGRycy9lMm9Eb2MueG1sUEsFBgAAAAAGAAYAWQEAAKYFAAAAAA==&#10;">
            <v:path/>
            <v:fill on="f" focussize="0,0"/>
            <v:stroke on="f" joinstyle="miter"/>
            <v:imagedata o:title=""/>
            <o:lock v:ext="edit"/>
            <v:textbox inset="0mm,0mm,0mm,0mm">
              <w:txbxContent>
                <w:p>
                  <w:pPr>
                    <w:pStyle w:val="12"/>
                    <w:ind w:left="63" w:right="63" w:firstLine="180" w:firstLineChars="86"/>
                  </w:pPr>
                </w:p>
              </w:txbxContent>
            </v:textbox>
          </v:shape>
        </w:pic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74"/>
        <w:rPr>
          <w:rFonts w:ascii="宋体" w:hAnsi="宋体"/>
          <w:color w:val="auto"/>
          <w:spacing w:val="-8"/>
          <w:sz w:val="19"/>
          <w:highlight w:val="none"/>
        </w:rPr>
      </w:pPr>
    </w:p>
    <w:p>
      <w:pPr>
        <w:spacing w:before="71"/>
        <w:ind w:right="102"/>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tbl>
      <w:tblPr>
        <w:tblStyle w:val="42"/>
        <w:tblpPr w:leftFromText="180" w:rightFromText="180" w:vertAnchor="text" w:horzAnchor="page" w:tblpX="1776" w:tblpY="2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089"/>
        <w:gridCol w:w="1681"/>
        <w:gridCol w:w="1788"/>
        <w:gridCol w:w="3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3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089"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溴化锂吸收式冷水机组</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《溴化锂吸收式冷水机组能效限定值及能效等级》（GB 29540）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★A02052305 空调机组</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组</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制</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冷量&gt;14000W)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《多联式空调（热泵）机组能效限定值及能源效率等级》（GB 21454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单元式空气调节机(制冷量&gt;14000W)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《单元式空气调节机能效限定值及能效等级》（GB 19576）《风管送风式空调机组能效限定值及能</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效等级》（GB 37479）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★A02052309 专用制冷、空调设备</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机房空调</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《单元式空气调节机能效限定值及能效等级》（GB 19576）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A02052399 其他制冷空调设备</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冷却塔</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《机械通风冷却塔 第 1 部分：中小型开式冷却塔》（GB /T 7190.1）</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《机械通风冷却塔 第 2 部分：大型开式冷却塔》（GB /T 7190.2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7</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A020601 电机</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《中小型三相异步电动机能效限定值及能效等级》（GB 18613）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8</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A020602 变压</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配电变压器</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《三相配电变压器能效限定值及能效等级》（GB 20052）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9</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★A020609 镇</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流器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管型荧光灯镇流器</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《管形荧光灯镇流器能效限定值及能效等级》（GB 17896）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3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10</w:t>
            </w:r>
          </w:p>
        </w:tc>
        <w:tc>
          <w:tcPr>
            <w:tcW w:w="1089"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 生活</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用电器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A0206180101 电冰箱</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tabs>
                <w:tab w:val="left" w:pos="1410"/>
              </w:tabs>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《家用电冰箱耗电量限定值及能效等级》（GB</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12021.2）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★A0206180203 空调</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房间空气调节器</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《转速可控型房间空气调节器能效 限 定 值 及 能 效 等 级》 （ GB 21455-2013），待 2019 年修订发布后，按《房间空气调节器能效限定值及能效等级》（GB21455-2019</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 组 （ 制 冷 量 ≤ 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《多联式空调（热泵）机组能效限定值及能源效率等级》（GB 21454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单元式空气调节机(制冷量≤14000W)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《单元式空气调节机能效限定值及能源效率等级》（GB 19576）《风管送风式空调机组能效限定值及</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能效等级》（GB 37479）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20"/>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20"/>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A0206180301 洗衣机</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《电动洗衣机能效水效限定值及</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等级》（GB 12021.4）</w:t>
            </w:r>
          </w:p>
        </w:tc>
      </w:tr>
    </w:tbl>
    <w:tbl>
      <w:tblPr>
        <w:tblStyle w:val="42"/>
        <w:tblpPr w:leftFromText="180" w:rightFromText="180" w:vertAnchor="text" w:horzAnchor="page" w:tblpX="1742" w:tblpY="2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110"/>
        <w:gridCol w:w="1845"/>
        <w:gridCol w:w="1575"/>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4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A02061808 热水器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★电热水器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tabs>
                <w:tab w:val="left" w:pos="1609"/>
              </w:tabs>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《储水式电热水器能效限定值及能效等级》（GB</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21519）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燃气热水器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《家用燃气快速热水器和燃气采暖热水炉能效限定值及能效等级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20665）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热泵热水器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《热泵热水机（器）能效限定值及能效等级》（GB 29541）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太阳能热水系统</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《家用太阳能热水系统能效限定值及能效等级》（GB 26969）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11</w:t>
            </w: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A020619 照明</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普通照明用双端荧光灯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《普通照明用双端荧光灯能效限定值及能效等级》（GB 19043）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LED 道路/隧道照明产品</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《道路和隧道照明用 LED 灯具能效限定值及能效等级》（GB 37478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LED 筒灯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《室内照明用 LED 产品能效限定值及能效等级》（GB 30255）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普通照明用非定向自镇流 LED 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《室内照明用 LED 产品能效限定值及能效等级》（GB 30255）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12</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★A020910 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视设备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A02091001 普通电视设备（电视机）</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《平板电视能效限定值及能效等级》（GB 24850）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13</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★A020911 视</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频设备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A02091107 视频监控设备</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监视器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以射频信号为主要信号输入的监视器应符合《平板电视能效限定值及能效等级》（GB 24850），</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以数字信号为主要信号输入的监</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视器应符合《计算机显示器能效限定值及能效等级》（GB 21520）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14</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A031210 饮食</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炊事机械</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商用燃气灶具</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《商用燃气灶具能效限定值及能效等级》（GB 30531）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15</w:t>
            </w: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★A060805 便</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器</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坐便器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《坐便器水效限定值及水效等级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25502）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蹲便器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《蹲便器用水效率限定值及用水效率等级》（GB 30717）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小便器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《小便器用水效率限定值及用水效率等级》（GB 28377）</w:t>
            </w:r>
          </w:p>
        </w:tc>
      </w:tr>
    </w:tbl>
    <w:tbl>
      <w:tblPr>
        <w:tblStyle w:val="42"/>
        <w:tblpPr w:leftFromText="180" w:rightFromText="180" w:vertAnchor="text" w:horzAnchor="page" w:tblpX="1752" w:tblpY="6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7"/>
        <w:gridCol w:w="1801"/>
        <w:gridCol w:w="1589"/>
        <w:gridCol w:w="3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hint="eastAsia" w:eastAsia="宋体"/>
                <w:color w:val="auto"/>
                <w:spacing w:val="-8"/>
                <w:sz w:val="18"/>
                <w:szCs w:val="18"/>
                <w:highlight w:val="none"/>
                <w:lang w:val="en-US" w:eastAsia="zh-CN"/>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16</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★A060806 水</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嘴</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《水嘴用水效率限定值及用水效率等级》（GB 25501）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17</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A060807 便器</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冲洗阀</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《便器冲洗阀用水效率限定值及用水效率等级》（GB 28379）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18</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A060810 淋浴</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器</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《淋浴器用水效率限定值及用水效率等级》（GB 28378）</w:t>
            </w:r>
          </w:p>
        </w:tc>
      </w:tr>
    </w:tbl>
    <w:p>
      <w:pPr>
        <w:pStyle w:val="12"/>
        <w:spacing w:line="264" w:lineRule="auto"/>
        <w:ind w:left="126" w:right="63" w:firstLine="194"/>
        <w:jc w:val="left"/>
        <w:rPr>
          <w:rFonts w:ascii="宋体" w:hAnsi="宋体"/>
          <w:color w:val="auto"/>
          <w:spacing w:val="-8"/>
          <w:highlight w:val="none"/>
        </w:rPr>
      </w:pPr>
      <w:r>
        <w:rPr>
          <w:rFonts w:hint="eastAsia" w:ascii="宋体" w:hAnsi="宋体"/>
          <w:color w:val="auto"/>
          <w:spacing w:val="-8"/>
          <w:highlight w:val="none"/>
        </w:rPr>
        <w:t>注：</w:t>
      </w:r>
      <w:r>
        <w:rPr>
          <w:rFonts w:ascii="宋体" w:hAnsi="宋体"/>
          <w:color w:val="auto"/>
          <w:spacing w:val="-8"/>
          <w:highlight w:val="none"/>
        </w:rPr>
        <w:t>1.</w:t>
      </w:r>
      <w:r>
        <w:rPr>
          <w:rFonts w:hint="eastAsia" w:ascii="宋体" w:hAnsi="宋体"/>
          <w:color w:val="auto"/>
          <w:spacing w:val="-8"/>
          <w:highlight w:val="none"/>
        </w:rPr>
        <w:t>节能产品认证应依据国家相关标准的最新版本，依据国家能效标准中二级能效（水效）指标。</w:t>
      </w:r>
    </w:p>
    <w:p>
      <w:pPr>
        <w:pStyle w:val="12"/>
        <w:spacing w:line="264" w:lineRule="auto"/>
        <w:ind w:left="126" w:right="63" w:firstLine="194"/>
        <w:jc w:val="left"/>
        <w:rPr>
          <w:rFonts w:ascii="宋体" w:hAnsi="宋体"/>
          <w:color w:val="auto"/>
          <w:spacing w:val="-8"/>
          <w:highlight w:val="none"/>
        </w:rPr>
      </w:pPr>
      <w:r>
        <w:rPr>
          <w:rFonts w:hint="eastAsia" w:ascii="宋体" w:hAnsi="宋体"/>
          <w:color w:val="auto"/>
          <w:spacing w:val="-8"/>
          <w:highlight w:val="none"/>
        </w:rPr>
        <w:t>以</w:t>
      </w:r>
      <w:r>
        <w:rPr>
          <w:rFonts w:ascii="宋体" w:hAnsi="宋体"/>
          <w:color w:val="auto"/>
          <w:spacing w:val="-8"/>
          <w:highlight w:val="none"/>
        </w:rPr>
        <w:t>“</w:t>
      </w:r>
      <w:r>
        <w:rPr>
          <w:rFonts w:ascii="宋体" w:hAnsi="宋体" w:cs="Segoe UI Symbol"/>
          <w:color w:val="auto"/>
          <w:spacing w:val="-8"/>
          <w:highlight w:val="none"/>
        </w:rPr>
        <w:t>★</w:t>
      </w:r>
      <w:r>
        <w:rPr>
          <w:rFonts w:ascii="宋体" w:hAnsi="宋体"/>
          <w:color w:val="auto"/>
          <w:spacing w:val="-8"/>
          <w:highlight w:val="none"/>
        </w:rPr>
        <w:t>”</w:t>
      </w:r>
      <w:r>
        <w:rPr>
          <w:rFonts w:hint="eastAsia" w:ascii="宋体" w:hAnsi="宋体"/>
          <w:color w:val="auto"/>
          <w:spacing w:val="-8"/>
          <w:highlight w:val="none"/>
        </w:rPr>
        <w:t>标注的为政府强制采购产品。</w:t>
      </w:r>
    </w:p>
    <w:p>
      <w:pPr>
        <w:pStyle w:val="12"/>
        <w:spacing w:line="264" w:lineRule="auto"/>
        <w:ind w:left="126" w:right="63" w:firstLine="194"/>
        <w:jc w:val="left"/>
        <w:rPr>
          <w:rFonts w:ascii="宋体" w:hAnsi="宋体"/>
          <w:color w:val="auto"/>
          <w:spacing w:val="-8"/>
          <w:highlight w:val="none"/>
        </w:rPr>
      </w:pPr>
    </w:p>
    <w:p>
      <w:pPr>
        <w:widowControl/>
        <w:jc w:val="left"/>
        <w:rPr>
          <w:rFonts w:ascii="宋体" w:hAnsi="宋体"/>
          <w:color w:val="auto"/>
          <w:highlight w:val="none"/>
        </w:rPr>
      </w:pPr>
      <w:r>
        <w:rPr>
          <w:rFonts w:ascii="宋体" w:hAnsi="宋体"/>
          <w:color w:val="auto"/>
          <w:highlight w:val="none"/>
        </w:rPr>
        <w:br w:type="page"/>
      </w:r>
      <w:bookmarkStart w:id="772" w:name="_Toc55477560"/>
      <w:bookmarkStart w:id="773" w:name="_Toc57747273"/>
      <w:bookmarkStart w:id="774" w:name="_Toc89373406"/>
      <w:bookmarkStart w:id="775" w:name="_Toc57746578"/>
      <w:r>
        <w:rPr>
          <w:rFonts w:hint="eastAsia" w:ascii="宋体" w:hAnsi="宋体"/>
          <w:color w:val="auto"/>
          <w:highlight w:val="none"/>
        </w:rPr>
        <w:t>附件</w:t>
      </w:r>
      <w:bookmarkEnd w:id="772"/>
      <w:bookmarkEnd w:id="773"/>
      <w:bookmarkEnd w:id="774"/>
      <w:bookmarkEnd w:id="775"/>
    </w:p>
    <w:p>
      <w:pPr>
        <w:pStyle w:val="39"/>
        <w:rPr>
          <w:rFonts w:ascii="宋体" w:hAnsi="宋体"/>
          <w:color w:val="auto"/>
          <w:sz w:val="40"/>
          <w:szCs w:val="40"/>
          <w:highlight w:val="none"/>
          <w:lang w:val="zh-CN"/>
        </w:rPr>
      </w:pPr>
      <w:bookmarkStart w:id="776" w:name="_Toc57747274"/>
      <w:bookmarkStart w:id="777" w:name="_Toc19042"/>
      <w:bookmarkStart w:id="778" w:name="_Toc89373407"/>
      <w:bookmarkStart w:id="779" w:name="_Toc55477561"/>
      <w:bookmarkStart w:id="780" w:name="_Toc15570"/>
      <w:r>
        <w:rPr>
          <w:rFonts w:hint="eastAsia" w:ascii="宋体" w:hAnsi="宋体"/>
          <w:color w:val="auto"/>
          <w:sz w:val="40"/>
          <w:szCs w:val="40"/>
          <w:highlight w:val="none"/>
        </w:rPr>
        <w:t>环境标志产品政府采购品目清单</w:t>
      </w:r>
      <w:bookmarkEnd w:id="776"/>
      <w:bookmarkEnd w:id="777"/>
      <w:bookmarkEnd w:id="778"/>
      <w:bookmarkEnd w:id="779"/>
      <w:bookmarkEnd w:id="780"/>
    </w:p>
    <w:tbl>
      <w:tblPr>
        <w:tblStyle w:val="4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
        <w:gridCol w:w="421"/>
        <w:gridCol w:w="156"/>
        <w:gridCol w:w="1"/>
        <w:gridCol w:w="1386"/>
        <w:gridCol w:w="156"/>
        <w:gridCol w:w="1"/>
        <w:gridCol w:w="2409"/>
        <w:gridCol w:w="107"/>
        <w:gridCol w:w="157"/>
        <w:gridCol w:w="1458"/>
        <w:gridCol w:w="157"/>
        <w:gridCol w:w="72"/>
        <w:gridCol w:w="4"/>
        <w:gridCol w:w="2582"/>
        <w:gridCol w:w="35"/>
        <w:gridCol w:w="122"/>
        <w:gridCol w:w="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vAlign w:val="center"/>
          </w:tcPr>
          <w:p>
            <w:pPr>
              <w:pStyle w:val="146"/>
              <w:spacing w:before="40"/>
              <w:ind w:left="107"/>
              <w:jc w:val="center"/>
              <w:rPr>
                <w:b/>
                <w:color w:val="auto"/>
                <w:sz w:val="16"/>
                <w:szCs w:val="20"/>
                <w:highlight w:val="none"/>
              </w:rPr>
            </w:pPr>
            <w:r>
              <w:rPr>
                <w:b/>
                <w:color w:val="auto"/>
                <w:sz w:val="16"/>
                <w:szCs w:val="20"/>
                <w:highlight w:val="none"/>
                <w:lang w:val="en-US"/>
              </w:rPr>
              <w:t>品目</w:t>
            </w:r>
          </w:p>
          <w:p>
            <w:pPr>
              <w:pStyle w:val="146"/>
              <w:spacing w:before="79"/>
              <w:ind w:left="107"/>
              <w:jc w:val="center"/>
              <w:rPr>
                <w:b/>
                <w:color w:val="auto"/>
                <w:sz w:val="16"/>
                <w:szCs w:val="20"/>
                <w:highlight w:val="none"/>
              </w:rPr>
            </w:pPr>
            <w:r>
              <w:rPr>
                <w:b/>
                <w:color w:val="auto"/>
                <w:sz w:val="16"/>
                <w:szCs w:val="20"/>
                <w:highlight w:val="none"/>
                <w:lang w:val="en-US"/>
              </w:rPr>
              <w:t>序号</w:t>
            </w:r>
          </w:p>
        </w:tc>
        <w:tc>
          <w:tcPr>
            <w:tcW w:w="5904" w:type="dxa"/>
            <w:gridSpan w:val="10"/>
            <w:tcBorders>
              <w:top w:val="single" w:color="000000" w:sz="4" w:space="0"/>
              <w:left w:val="single" w:color="000000" w:sz="4" w:space="0"/>
              <w:bottom w:val="single" w:color="000000" w:sz="4" w:space="0"/>
              <w:right w:val="single" w:color="000000" w:sz="4" w:space="0"/>
            </w:tcBorders>
            <w:vAlign w:val="center"/>
          </w:tcPr>
          <w:p>
            <w:pPr>
              <w:pStyle w:val="146"/>
              <w:tabs>
                <w:tab w:val="left" w:pos="2956"/>
              </w:tabs>
              <w:ind w:left="1298" w:right="669"/>
              <w:jc w:val="center"/>
              <w:rPr>
                <w:b/>
                <w:color w:val="auto"/>
                <w:sz w:val="16"/>
                <w:szCs w:val="20"/>
                <w:highlight w:val="none"/>
                <w:lang w:val="en-US"/>
              </w:rPr>
            </w:pPr>
            <w:r>
              <w:rPr>
                <w:b/>
                <w:color w:val="auto"/>
                <w:sz w:val="16"/>
                <w:szCs w:val="20"/>
                <w:highlight w:val="none"/>
                <w:lang w:val="en-US"/>
              </w:rPr>
              <w:t>名称</w:t>
            </w:r>
          </w:p>
        </w:tc>
        <w:tc>
          <w:tcPr>
            <w:tcW w:w="2586" w:type="dxa"/>
            <w:gridSpan w:val="2"/>
            <w:tcBorders>
              <w:top w:val="single" w:color="000000" w:sz="4" w:space="0"/>
              <w:left w:val="single" w:color="000000" w:sz="4" w:space="0"/>
              <w:bottom w:val="single" w:color="000000" w:sz="4" w:space="0"/>
              <w:right w:val="single" w:color="000000" w:sz="4" w:space="0"/>
            </w:tcBorders>
            <w:vAlign w:val="center"/>
          </w:tcPr>
          <w:p>
            <w:pPr>
              <w:pStyle w:val="146"/>
              <w:ind w:left="1298" w:right="669"/>
              <w:jc w:val="center"/>
              <w:rPr>
                <w:b/>
                <w:color w:val="auto"/>
                <w:sz w:val="16"/>
                <w:szCs w:val="20"/>
                <w:highlight w:val="none"/>
              </w:rPr>
            </w:pPr>
            <w:r>
              <w:rPr>
                <w:b/>
                <w:color w:val="auto"/>
                <w:sz w:val="16"/>
                <w:szCs w:val="20"/>
                <w:highlight w:val="none"/>
                <w:lang w:val="en-US"/>
              </w:rPr>
              <w:t>依据的标准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6"/>
                <w:szCs w:val="20"/>
                <w:highlight w:val="none"/>
              </w:rPr>
            </w:pPr>
            <w:r>
              <w:rPr>
                <w:color w:val="auto"/>
                <w:sz w:val="16"/>
                <w:szCs w:val="20"/>
                <w:highlight w:val="none"/>
              </w:rPr>
              <w:t>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before="40" w:line="324" w:lineRule="auto"/>
              <w:ind w:left="105" w:right="97"/>
              <w:rPr>
                <w:color w:val="auto"/>
                <w:sz w:val="16"/>
                <w:szCs w:val="20"/>
                <w:highlight w:val="none"/>
              </w:rPr>
            </w:pPr>
            <w:r>
              <w:rPr>
                <w:color w:val="auto"/>
                <w:sz w:val="16"/>
                <w:szCs w:val="20"/>
                <w:highlight w:val="none"/>
              </w:rPr>
              <w:t xml:space="preserve">A020101 </w:t>
            </w:r>
            <w:r>
              <w:rPr>
                <w:color w:val="auto"/>
                <w:sz w:val="16"/>
                <w:szCs w:val="20"/>
                <w:highlight w:val="none"/>
                <w:lang w:val="en-US"/>
              </w:rPr>
              <w:t>计算机设备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6"/>
                <w:szCs w:val="20"/>
                <w:highlight w:val="none"/>
              </w:rPr>
            </w:pPr>
            <w:r>
              <w:rPr>
                <w:color w:val="auto"/>
                <w:sz w:val="16"/>
                <w:szCs w:val="20"/>
                <w:highlight w:val="none"/>
              </w:rPr>
              <w:t xml:space="preserve">A02010103 </w:t>
            </w:r>
            <w:r>
              <w:rPr>
                <w:color w:val="auto"/>
                <w:sz w:val="16"/>
                <w:szCs w:val="20"/>
                <w:highlight w:val="none"/>
                <w:lang w:val="en-US"/>
              </w:rPr>
              <w:t>服务器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6"/>
                <w:szCs w:val="20"/>
                <w:highlight w:val="none"/>
              </w:rPr>
            </w:pPr>
            <w:r>
              <w:rPr>
                <w:color w:val="auto"/>
                <w:sz w:val="16"/>
                <w:szCs w:val="20"/>
                <w:highlight w:val="none"/>
              </w:rPr>
              <w:t xml:space="preserve">HJ2507 </w:t>
            </w:r>
            <w:r>
              <w:rPr>
                <w:color w:val="auto"/>
                <w:sz w:val="16"/>
                <w:szCs w:val="20"/>
                <w:highlight w:val="none"/>
                <w:lang w:val="en-US"/>
              </w:rPr>
              <w:t>网络服务器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A02010104 </w:t>
            </w:r>
            <w:r>
              <w:rPr>
                <w:color w:val="auto"/>
                <w:sz w:val="16"/>
                <w:szCs w:val="20"/>
                <w:highlight w:val="none"/>
                <w:lang w:val="en-US"/>
              </w:rPr>
              <w:t>台式计算机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A02010105 </w:t>
            </w:r>
            <w:r>
              <w:rPr>
                <w:color w:val="auto"/>
                <w:sz w:val="16"/>
                <w:szCs w:val="20"/>
                <w:highlight w:val="none"/>
                <w:lang w:val="en-US"/>
              </w:rPr>
              <w:t>便携式计算机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A02010107 </w:t>
            </w:r>
            <w:r>
              <w:rPr>
                <w:color w:val="auto"/>
                <w:sz w:val="16"/>
                <w:szCs w:val="20"/>
                <w:highlight w:val="none"/>
                <w:lang w:val="en-US"/>
              </w:rPr>
              <w:t>平板式微型计算机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A02010108 </w:t>
            </w:r>
            <w:r>
              <w:rPr>
                <w:color w:val="auto"/>
                <w:sz w:val="16"/>
                <w:szCs w:val="20"/>
                <w:highlight w:val="none"/>
                <w:lang w:val="en-US"/>
              </w:rPr>
              <w:t>网络计算机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A02010109 </w:t>
            </w:r>
            <w:r>
              <w:rPr>
                <w:color w:val="auto"/>
                <w:sz w:val="16"/>
                <w:szCs w:val="20"/>
                <w:highlight w:val="none"/>
                <w:lang w:val="en-US"/>
              </w:rPr>
              <w:t>计算机工作站</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A02010199 </w:t>
            </w:r>
            <w:r>
              <w:rPr>
                <w:color w:val="auto"/>
                <w:sz w:val="16"/>
                <w:szCs w:val="20"/>
                <w:highlight w:val="none"/>
                <w:lang w:val="en-US"/>
              </w:rPr>
              <w:t>其他计算机设备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6"/>
                <w:szCs w:val="20"/>
                <w:highlight w:val="none"/>
              </w:rPr>
            </w:pPr>
            <w:r>
              <w:rPr>
                <w:color w:val="auto"/>
                <w:sz w:val="16"/>
                <w:szCs w:val="20"/>
                <w:highlight w:val="none"/>
              </w:rPr>
              <w:t xml:space="preserve">A020106 </w:t>
            </w:r>
            <w:r>
              <w:rPr>
                <w:color w:val="auto"/>
                <w:sz w:val="16"/>
                <w:szCs w:val="20"/>
                <w:highlight w:val="none"/>
                <w:lang w:val="en-US"/>
              </w:rPr>
              <w:t>输入输出设备</w:t>
            </w:r>
          </w:p>
        </w:tc>
        <w:tc>
          <w:tcPr>
            <w:tcW w:w="2410"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 </w:t>
            </w:r>
            <w:r>
              <w:rPr>
                <w:color w:val="auto"/>
                <w:sz w:val="16"/>
                <w:szCs w:val="20"/>
                <w:highlight w:val="none"/>
                <w:lang w:val="en-US"/>
              </w:rPr>
              <w:t>打印设备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A0201060101 </w:t>
            </w:r>
            <w:r>
              <w:rPr>
                <w:color w:val="auto"/>
                <w:sz w:val="16"/>
                <w:szCs w:val="20"/>
                <w:highlight w:val="none"/>
                <w:lang w:val="en-US"/>
              </w:rPr>
              <w:t>喷墨打印机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A0201060102 </w:t>
            </w:r>
            <w:r>
              <w:rPr>
                <w:color w:val="auto"/>
                <w:sz w:val="16"/>
                <w:szCs w:val="20"/>
                <w:highlight w:val="none"/>
                <w:lang w:val="en-US"/>
              </w:rPr>
              <w:t>激光打印机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A0201060103 </w:t>
            </w:r>
            <w:r>
              <w:rPr>
                <w:color w:val="auto"/>
                <w:sz w:val="16"/>
                <w:szCs w:val="20"/>
                <w:highlight w:val="none"/>
                <w:lang w:val="en-US"/>
              </w:rPr>
              <w:t>热式打印机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A0201060104 </w:t>
            </w:r>
            <w:r>
              <w:rPr>
                <w:color w:val="auto"/>
                <w:sz w:val="16"/>
                <w:szCs w:val="20"/>
                <w:highlight w:val="none"/>
                <w:lang w:val="en-US"/>
              </w:rPr>
              <w:t>针式打印机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 </w:t>
            </w:r>
            <w:r>
              <w:rPr>
                <w:color w:val="auto"/>
                <w:sz w:val="16"/>
                <w:szCs w:val="20"/>
                <w:highlight w:val="none"/>
                <w:lang w:val="en-US"/>
              </w:rPr>
              <w:t>显示设备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A0201060401 </w:t>
            </w:r>
            <w:r>
              <w:rPr>
                <w:color w:val="auto"/>
                <w:sz w:val="16"/>
                <w:szCs w:val="20"/>
                <w:highlight w:val="none"/>
                <w:lang w:val="en-US"/>
              </w:rPr>
              <w:t>液晶显示器</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A0201060499 </w:t>
            </w:r>
            <w:r>
              <w:rPr>
                <w:color w:val="auto"/>
                <w:sz w:val="16"/>
                <w:szCs w:val="20"/>
                <w:highlight w:val="none"/>
                <w:lang w:val="en-US"/>
              </w:rPr>
              <w:t>其他显示器</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A02010609 </w:t>
            </w:r>
            <w:r>
              <w:rPr>
                <w:color w:val="auto"/>
                <w:sz w:val="16"/>
                <w:szCs w:val="20"/>
                <w:highlight w:val="none"/>
                <w:lang w:val="en-US"/>
              </w:rPr>
              <w:t>图形图像输入设备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A0201060901 </w:t>
            </w:r>
            <w:r>
              <w:rPr>
                <w:color w:val="auto"/>
                <w:sz w:val="16"/>
                <w:szCs w:val="20"/>
                <w:highlight w:val="none"/>
                <w:lang w:val="en-US"/>
              </w:rPr>
              <w:t>扫描仪</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HJ2517 </w:t>
            </w:r>
            <w:r>
              <w:rPr>
                <w:color w:val="auto"/>
                <w:sz w:val="16"/>
                <w:szCs w:val="20"/>
                <w:highlight w:val="none"/>
                <w:lang w:val="en-US"/>
              </w:rPr>
              <w:t>扫描仪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A020202 </w:t>
            </w:r>
            <w:r>
              <w:rPr>
                <w:color w:val="auto"/>
                <w:sz w:val="16"/>
                <w:szCs w:val="20"/>
                <w:highlight w:val="none"/>
                <w:lang w:val="en-US"/>
              </w:rPr>
              <w:t>投影仪</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HJ2516 </w:t>
            </w:r>
            <w:r>
              <w:rPr>
                <w:color w:val="auto"/>
                <w:sz w:val="16"/>
                <w:szCs w:val="20"/>
                <w:highlight w:val="none"/>
                <w:lang w:val="en-US"/>
              </w:rPr>
              <w:t>投影仪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A020201 </w:t>
            </w:r>
            <w:r>
              <w:rPr>
                <w:color w:val="auto"/>
                <w:sz w:val="16"/>
                <w:szCs w:val="20"/>
                <w:highlight w:val="none"/>
                <w:lang w:val="en-US"/>
              </w:rPr>
              <w:t>复印机</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HJ424 数字式复印（包括多功能）设备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A020204 </w:t>
            </w:r>
            <w:r>
              <w:rPr>
                <w:color w:val="auto"/>
                <w:sz w:val="16"/>
                <w:szCs w:val="20"/>
                <w:highlight w:val="none"/>
                <w:lang w:val="en-US"/>
              </w:rPr>
              <w:t>多功能</w:t>
            </w:r>
          </w:p>
          <w:p>
            <w:pPr>
              <w:pStyle w:val="146"/>
              <w:spacing w:before="81"/>
              <w:ind w:left="105"/>
              <w:rPr>
                <w:color w:val="auto"/>
                <w:sz w:val="16"/>
                <w:szCs w:val="20"/>
                <w:highlight w:val="none"/>
              </w:rPr>
            </w:pPr>
            <w:r>
              <w:rPr>
                <w:color w:val="auto"/>
                <w:sz w:val="16"/>
                <w:szCs w:val="20"/>
                <w:highlight w:val="none"/>
                <w:lang w:val="en-US"/>
              </w:rPr>
              <w:t>一体机</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HJ424 数字式复印（包括多功能）设备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A020210 </w:t>
            </w:r>
            <w:r>
              <w:rPr>
                <w:color w:val="auto"/>
                <w:sz w:val="16"/>
                <w:szCs w:val="20"/>
                <w:highlight w:val="none"/>
                <w:lang w:val="en-US"/>
              </w:rPr>
              <w:t>文印设备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A02021001 </w:t>
            </w:r>
            <w:r>
              <w:rPr>
                <w:color w:val="auto"/>
                <w:sz w:val="16"/>
                <w:szCs w:val="20"/>
                <w:highlight w:val="none"/>
                <w:lang w:val="en-US"/>
              </w:rPr>
              <w:t>速印机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HJ472 数字式一体化速印机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59"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A020301 载货汽</w:t>
            </w:r>
          </w:p>
          <w:p>
            <w:pPr>
              <w:pStyle w:val="146"/>
              <w:spacing w:before="81"/>
              <w:ind w:left="105"/>
              <w:rPr>
                <w:color w:val="auto"/>
                <w:sz w:val="16"/>
                <w:szCs w:val="20"/>
                <w:highlight w:val="none"/>
              </w:rPr>
            </w:pPr>
            <w:r>
              <w:rPr>
                <w:color w:val="auto"/>
                <w:spacing w:val="-24"/>
                <w:sz w:val="16"/>
                <w:szCs w:val="20"/>
                <w:highlight w:val="none"/>
              </w:rPr>
              <w:t>车</w:t>
            </w:r>
            <w:r>
              <w:rPr>
                <w:color w:val="auto"/>
                <w:sz w:val="16"/>
                <w:szCs w:val="20"/>
                <w:highlight w:val="none"/>
              </w:rPr>
              <w:t>（含自卸汽车）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90"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A020305 </w:t>
            </w:r>
            <w:r>
              <w:rPr>
                <w:color w:val="auto"/>
                <w:sz w:val="16"/>
                <w:szCs w:val="20"/>
                <w:highlight w:val="none"/>
                <w:lang w:val="en-US"/>
              </w:rPr>
              <w:t>乘用车</w:t>
            </w:r>
          </w:p>
          <w:p>
            <w:pPr>
              <w:pStyle w:val="146"/>
              <w:spacing w:before="81"/>
              <w:ind w:left="105"/>
              <w:rPr>
                <w:color w:val="auto"/>
                <w:sz w:val="16"/>
                <w:szCs w:val="20"/>
                <w:highlight w:val="none"/>
              </w:rPr>
            </w:pPr>
            <w:r>
              <w:rPr>
                <w:color w:val="auto"/>
                <w:sz w:val="16"/>
                <w:szCs w:val="20"/>
                <w:highlight w:val="none"/>
                <w:lang w:val="en-US"/>
              </w:rPr>
              <w:t>（轿车）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A02030501 </w:t>
            </w:r>
            <w:r>
              <w:rPr>
                <w:color w:val="auto"/>
                <w:sz w:val="16"/>
                <w:szCs w:val="20"/>
                <w:highlight w:val="none"/>
                <w:lang w:val="en-US"/>
              </w:rPr>
              <w:t>轿车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A02030599 </w:t>
            </w:r>
            <w:r>
              <w:rPr>
                <w:color w:val="auto"/>
                <w:sz w:val="16"/>
                <w:szCs w:val="20"/>
                <w:highlight w:val="none"/>
                <w:lang w:val="en-US"/>
              </w:rPr>
              <w:t>其他乘用车（轿车）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A020306 </w:t>
            </w:r>
            <w:r>
              <w:rPr>
                <w:color w:val="auto"/>
                <w:sz w:val="16"/>
                <w:szCs w:val="20"/>
                <w:highlight w:val="none"/>
                <w:lang w:val="en-US"/>
              </w:rPr>
              <w:t>客车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A02030601 </w:t>
            </w:r>
            <w:r>
              <w:rPr>
                <w:color w:val="auto"/>
                <w:sz w:val="16"/>
                <w:szCs w:val="20"/>
                <w:highlight w:val="none"/>
                <w:lang w:val="en-US"/>
              </w:rPr>
              <w:t>小型客车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69"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10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A020307 </w:t>
            </w:r>
            <w:r>
              <w:rPr>
                <w:color w:val="auto"/>
                <w:sz w:val="16"/>
                <w:szCs w:val="20"/>
                <w:highlight w:val="none"/>
                <w:lang w:val="en-US"/>
              </w:rPr>
              <w:t>专用车辆</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A02030799 </w:t>
            </w:r>
            <w:r>
              <w:rPr>
                <w:color w:val="auto"/>
                <w:sz w:val="16"/>
                <w:szCs w:val="20"/>
                <w:highlight w:val="none"/>
                <w:lang w:val="en-US"/>
              </w:rPr>
              <w:t>其他专用汽车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4"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6"/>
                <w:szCs w:val="20"/>
                <w:highlight w:val="none"/>
              </w:rPr>
            </w:pPr>
            <w:r>
              <w:rPr>
                <w:color w:val="auto"/>
                <w:sz w:val="16"/>
                <w:szCs w:val="20"/>
                <w:highlight w:val="none"/>
              </w:rPr>
              <w:t>11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before="40" w:line="324" w:lineRule="auto"/>
              <w:ind w:left="105" w:right="97"/>
              <w:rPr>
                <w:color w:val="auto"/>
                <w:sz w:val="16"/>
                <w:szCs w:val="20"/>
                <w:highlight w:val="none"/>
              </w:rPr>
            </w:pPr>
            <w:r>
              <w:rPr>
                <w:color w:val="auto"/>
                <w:sz w:val="16"/>
                <w:szCs w:val="20"/>
                <w:highlight w:val="none"/>
              </w:rPr>
              <w:t xml:space="preserve">A020523 </w:t>
            </w:r>
            <w:r>
              <w:rPr>
                <w:color w:val="auto"/>
                <w:sz w:val="16"/>
                <w:szCs w:val="20"/>
                <w:highlight w:val="none"/>
                <w:lang w:val="en-US"/>
              </w:rPr>
              <w:t>制冷空调设备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6"/>
                <w:szCs w:val="20"/>
                <w:highlight w:val="none"/>
              </w:rPr>
            </w:pPr>
            <w:r>
              <w:rPr>
                <w:color w:val="auto"/>
                <w:sz w:val="16"/>
                <w:szCs w:val="20"/>
                <w:highlight w:val="none"/>
              </w:rPr>
              <w:t xml:space="preserve">A02052301 </w:t>
            </w:r>
            <w:r>
              <w:rPr>
                <w:color w:val="auto"/>
                <w:sz w:val="16"/>
                <w:szCs w:val="20"/>
                <w:highlight w:val="none"/>
                <w:lang w:val="en-US"/>
              </w:rPr>
              <w:t>制冷压缩机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A02052305 </w:t>
            </w:r>
            <w:r>
              <w:rPr>
                <w:color w:val="auto"/>
                <w:sz w:val="16"/>
                <w:szCs w:val="20"/>
                <w:highlight w:val="none"/>
                <w:lang w:val="en-US"/>
              </w:rPr>
              <w:t>空调机组</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A02052309 专用制冷、空调设备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12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6"/>
                <w:szCs w:val="20"/>
                <w:highlight w:val="none"/>
              </w:rPr>
            </w:pPr>
            <w:r>
              <w:rPr>
                <w:color w:val="auto"/>
                <w:sz w:val="16"/>
                <w:szCs w:val="20"/>
                <w:highlight w:val="none"/>
              </w:rPr>
              <w:t xml:space="preserve">A020618 </w:t>
            </w:r>
            <w:r>
              <w:rPr>
                <w:color w:val="auto"/>
                <w:sz w:val="16"/>
                <w:szCs w:val="20"/>
                <w:highlight w:val="none"/>
                <w:lang w:val="en-US"/>
              </w:rPr>
              <w:t>生活用电器</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A02061802 </w:t>
            </w:r>
            <w:r>
              <w:rPr>
                <w:color w:val="auto"/>
                <w:sz w:val="16"/>
                <w:szCs w:val="20"/>
                <w:highlight w:val="none"/>
                <w:lang w:val="en-US"/>
              </w:rPr>
              <w:t>空气调节电器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A0206180203 </w:t>
            </w:r>
            <w:r>
              <w:rPr>
                <w:color w:val="auto"/>
                <w:sz w:val="16"/>
                <w:szCs w:val="20"/>
                <w:highlight w:val="none"/>
                <w:lang w:val="en-US"/>
              </w:rPr>
              <w:t>空调机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HJ2535 </w:t>
            </w:r>
            <w:r>
              <w:rPr>
                <w:color w:val="auto"/>
                <w:sz w:val="16"/>
                <w:szCs w:val="20"/>
                <w:highlight w:val="none"/>
                <w:lang w:val="en-US"/>
              </w:rPr>
              <w:t>房间空气调节器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A02061808 </w:t>
            </w:r>
            <w:r>
              <w:rPr>
                <w:color w:val="auto"/>
                <w:sz w:val="16"/>
                <w:szCs w:val="20"/>
                <w:highlight w:val="none"/>
                <w:lang w:val="en-US"/>
              </w:rPr>
              <w:t>热水器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HJ/T362 </w:t>
            </w:r>
            <w:r>
              <w:rPr>
                <w:color w:val="auto"/>
                <w:sz w:val="16"/>
                <w:szCs w:val="20"/>
                <w:highlight w:val="none"/>
                <w:lang w:val="en-US"/>
              </w:rPr>
              <w:t>太阳能集热器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A020619 </w:t>
            </w:r>
            <w:r>
              <w:rPr>
                <w:color w:val="auto"/>
                <w:sz w:val="14"/>
                <w:szCs w:val="18"/>
                <w:highlight w:val="none"/>
                <w:lang w:val="en-US"/>
              </w:rPr>
              <w:t>照明设备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A02061908 </w:t>
            </w:r>
            <w:r>
              <w:rPr>
                <w:color w:val="auto"/>
                <w:sz w:val="14"/>
                <w:szCs w:val="18"/>
                <w:highlight w:val="none"/>
                <w:lang w:val="en-US"/>
              </w:rPr>
              <w:t>室内照明灯具</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HJ2518 </w:t>
            </w:r>
            <w:r>
              <w:rPr>
                <w:color w:val="auto"/>
                <w:sz w:val="14"/>
                <w:szCs w:val="18"/>
                <w:highlight w:val="none"/>
                <w:lang w:val="en-US"/>
              </w:rPr>
              <w:t>照明光源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935"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A020810 传真及</w:t>
            </w:r>
          </w:p>
          <w:p>
            <w:pPr>
              <w:pStyle w:val="146"/>
              <w:spacing w:before="2" w:line="310" w:lineRule="atLeast"/>
              <w:ind w:left="105" w:right="95"/>
              <w:rPr>
                <w:color w:val="auto"/>
                <w:sz w:val="14"/>
                <w:szCs w:val="18"/>
                <w:highlight w:val="none"/>
              </w:rPr>
            </w:pPr>
            <w:r>
              <w:rPr>
                <w:color w:val="auto"/>
                <w:sz w:val="14"/>
                <w:szCs w:val="18"/>
                <w:highlight w:val="none"/>
              </w:rPr>
              <w:t>数据数字通信设备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A02081001 </w:t>
            </w:r>
            <w:r>
              <w:rPr>
                <w:color w:val="auto"/>
                <w:sz w:val="14"/>
                <w:szCs w:val="18"/>
                <w:highlight w:val="none"/>
                <w:lang w:val="en-US"/>
              </w:rPr>
              <w:t>传真通信设备</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15</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A020910 </w:t>
            </w:r>
            <w:r>
              <w:rPr>
                <w:color w:val="auto"/>
                <w:sz w:val="14"/>
                <w:szCs w:val="18"/>
                <w:highlight w:val="none"/>
                <w:lang w:val="en-US"/>
              </w:rPr>
              <w:t>电视设备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A02091001 普通电视设备（电视</w:t>
            </w:r>
          </w:p>
          <w:p>
            <w:pPr>
              <w:pStyle w:val="146"/>
              <w:spacing w:before="81"/>
              <w:ind w:left="106"/>
              <w:rPr>
                <w:color w:val="auto"/>
                <w:sz w:val="14"/>
                <w:szCs w:val="18"/>
                <w:highlight w:val="none"/>
              </w:rPr>
            </w:pPr>
            <w:r>
              <w:rPr>
                <w:color w:val="auto"/>
                <w:sz w:val="14"/>
                <w:szCs w:val="18"/>
                <w:highlight w:val="none"/>
              </w:rPr>
              <w:t>机）</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HJ2506 彩色电视广播接收机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5"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A02091003 特殊功能应用电视</w:t>
            </w:r>
          </w:p>
          <w:p>
            <w:pPr>
              <w:pStyle w:val="146"/>
              <w:spacing w:before="82"/>
              <w:ind w:left="106"/>
              <w:rPr>
                <w:color w:val="auto"/>
                <w:sz w:val="14"/>
                <w:szCs w:val="18"/>
                <w:highlight w:val="none"/>
              </w:rPr>
            </w:pPr>
            <w:r>
              <w:rPr>
                <w:color w:val="auto"/>
                <w:sz w:val="14"/>
                <w:szCs w:val="18"/>
                <w:highlight w:val="none"/>
              </w:rPr>
              <w:t>设备</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HJ2506 彩色电视广播接收机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16</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A0601 </w:t>
            </w:r>
            <w:r>
              <w:rPr>
                <w:color w:val="auto"/>
                <w:sz w:val="14"/>
                <w:szCs w:val="18"/>
                <w:highlight w:val="none"/>
                <w:lang w:val="en-US"/>
              </w:rPr>
              <w:t>床类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A060101 </w:t>
            </w:r>
            <w:r>
              <w:rPr>
                <w:color w:val="auto"/>
                <w:sz w:val="14"/>
                <w:szCs w:val="18"/>
                <w:highlight w:val="none"/>
                <w:lang w:val="en-US"/>
              </w:rPr>
              <w:t>钢木床类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378"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A060104 </w:t>
            </w:r>
            <w:r>
              <w:rPr>
                <w:color w:val="auto"/>
                <w:sz w:val="14"/>
                <w:szCs w:val="18"/>
                <w:highlight w:val="none"/>
                <w:lang w:val="en-US"/>
              </w:rPr>
              <w:t>木制床类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A060199 </w:t>
            </w:r>
            <w:r>
              <w:rPr>
                <w:color w:val="auto"/>
                <w:sz w:val="14"/>
                <w:szCs w:val="18"/>
                <w:highlight w:val="none"/>
                <w:lang w:val="en-US"/>
              </w:rPr>
              <w:t>其他床类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17</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A0602 </w:t>
            </w:r>
            <w:r>
              <w:rPr>
                <w:color w:val="auto"/>
                <w:sz w:val="14"/>
                <w:szCs w:val="18"/>
                <w:highlight w:val="none"/>
                <w:lang w:val="en-US"/>
              </w:rPr>
              <w:t>台、桌类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A060201 </w:t>
            </w:r>
            <w:r>
              <w:rPr>
                <w:color w:val="auto"/>
                <w:sz w:val="14"/>
                <w:szCs w:val="18"/>
                <w:highlight w:val="none"/>
                <w:lang w:val="en-US"/>
              </w:rPr>
              <w:t>钢木台、桌类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A060205 </w:t>
            </w:r>
            <w:r>
              <w:rPr>
                <w:color w:val="auto"/>
                <w:sz w:val="14"/>
                <w:szCs w:val="18"/>
                <w:highlight w:val="none"/>
                <w:lang w:val="en-US"/>
              </w:rPr>
              <w:t>木制台、桌类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A060299 </w:t>
            </w:r>
            <w:r>
              <w:rPr>
                <w:color w:val="auto"/>
                <w:sz w:val="14"/>
                <w:szCs w:val="18"/>
                <w:highlight w:val="none"/>
                <w:lang w:val="en-US"/>
              </w:rPr>
              <w:t>其他台、桌类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A0603 </w:t>
            </w:r>
            <w:r>
              <w:rPr>
                <w:color w:val="auto"/>
                <w:sz w:val="14"/>
                <w:szCs w:val="18"/>
                <w:highlight w:val="none"/>
                <w:lang w:val="en-US"/>
              </w:rPr>
              <w:t>椅凳类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A060301 </w:t>
            </w:r>
            <w:r>
              <w:rPr>
                <w:color w:val="auto"/>
                <w:sz w:val="14"/>
                <w:szCs w:val="18"/>
                <w:highlight w:val="none"/>
                <w:lang w:val="en-US"/>
              </w:rPr>
              <w:t>金属骨架为主的椅凳类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A060302 </w:t>
            </w:r>
            <w:r>
              <w:rPr>
                <w:color w:val="auto"/>
                <w:sz w:val="14"/>
                <w:szCs w:val="18"/>
                <w:highlight w:val="none"/>
                <w:lang w:val="en-US"/>
              </w:rPr>
              <w:t>木骨架为主的椅凳类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A060399 </w:t>
            </w:r>
            <w:r>
              <w:rPr>
                <w:color w:val="auto"/>
                <w:sz w:val="14"/>
                <w:szCs w:val="18"/>
                <w:highlight w:val="none"/>
                <w:lang w:val="en-US"/>
              </w:rPr>
              <w:t>其他椅凳类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A0604 </w:t>
            </w:r>
            <w:r>
              <w:rPr>
                <w:color w:val="auto"/>
                <w:sz w:val="14"/>
                <w:szCs w:val="18"/>
                <w:highlight w:val="none"/>
                <w:lang w:val="en-US"/>
              </w:rPr>
              <w:t>沙发类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A060499 </w:t>
            </w:r>
            <w:r>
              <w:rPr>
                <w:color w:val="auto"/>
                <w:sz w:val="14"/>
                <w:szCs w:val="18"/>
                <w:highlight w:val="none"/>
                <w:lang w:val="en-US"/>
              </w:rPr>
              <w:t>其他沙发类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20</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A0605 </w:t>
            </w:r>
            <w:r>
              <w:rPr>
                <w:color w:val="auto"/>
                <w:sz w:val="14"/>
                <w:szCs w:val="18"/>
                <w:highlight w:val="none"/>
                <w:lang w:val="en-US"/>
              </w:rPr>
              <w:t>柜类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A060501 </w:t>
            </w:r>
            <w:r>
              <w:rPr>
                <w:color w:val="auto"/>
                <w:sz w:val="14"/>
                <w:szCs w:val="18"/>
                <w:highlight w:val="none"/>
                <w:lang w:val="en-US"/>
              </w:rPr>
              <w:t>木质柜类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A060503 </w:t>
            </w:r>
            <w:r>
              <w:rPr>
                <w:color w:val="auto"/>
                <w:sz w:val="14"/>
                <w:szCs w:val="18"/>
                <w:highlight w:val="none"/>
                <w:lang w:val="en-US"/>
              </w:rPr>
              <w:t>金属质柜类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A060599 </w:t>
            </w:r>
            <w:r>
              <w:rPr>
                <w:color w:val="auto"/>
                <w:sz w:val="14"/>
                <w:szCs w:val="18"/>
                <w:highlight w:val="none"/>
                <w:lang w:val="en-US"/>
              </w:rPr>
              <w:t>其他柜类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A0606 </w:t>
            </w:r>
            <w:r>
              <w:rPr>
                <w:color w:val="auto"/>
                <w:sz w:val="14"/>
                <w:szCs w:val="18"/>
                <w:highlight w:val="none"/>
                <w:lang w:val="en-US"/>
              </w:rPr>
              <w:t>架类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A060601 </w:t>
            </w:r>
            <w:r>
              <w:rPr>
                <w:color w:val="auto"/>
                <w:sz w:val="14"/>
                <w:szCs w:val="18"/>
                <w:highlight w:val="none"/>
                <w:lang w:val="en-US"/>
              </w:rPr>
              <w:t>木质架类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A060602 </w:t>
            </w:r>
            <w:r>
              <w:rPr>
                <w:color w:val="auto"/>
                <w:sz w:val="14"/>
                <w:szCs w:val="18"/>
                <w:highlight w:val="none"/>
                <w:lang w:val="en-US"/>
              </w:rPr>
              <w:t>金属质架类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A0607 </w:t>
            </w:r>
            <w:r>
              <w:rPr>
                <w:color w:val="auto"/>
                <w:sz w:val="14"/>
                <w:szCs w:val="18"/>
                <w:highlight w:val="none"/>
                <w:lang w:val="en-US"/>
              </w:rPr>
              <w:t>屏风类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A060701 </w:t>
            </w:r>
            <w:r>
              <w:rPr>
                <w:color w:val="auto"/>
                <w:sz w:val="14"/>
                <w:szCs w:val="18"/>
                <w:highlight w:val="none"/>
                <w:lang w:val="en-US"/>
              </w:rPr>
              <w:t>木质屏风类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A060702 </w:t>
            </w:r>
            <w:r>
              <w:rPr>
                <w:color w:val="auto"/>
                <w:sz w:val="14"/>
                <w:szCs w:val="18"/>
                <w:highlight w:val="none"/>
                <w:lang w:val="en-US"/>
              </w:rPr>
              <w:t>金属质屏风类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A060804 </w:t>
            </w:r>
            <w:r>
              <w:rPr>
                <w:color w:val="auto"/>
                <w:sz w:val="14"/>
                <w:szCs w:val="18"/>
                <w:highlight w:val="none"/>
                <w:lang w:val="en-US"/>
              </w:rPr>
              <w:t>水池</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HJ/T296 </w:t>
            </w:r>
            <w:r>
              <w:rPr>
                <w:color w:val="auto"/>
                <w:sz w:val="14"/>
                <w:szCs w:val="18"/>
                <w:highlight w:val="none"/>
                <w:lang w:val="en-US"/>
              </w:rPr>
              <w:t>卫生陶瓷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A060805 </w:t>
            </w:r>
            <w:r>
              <w:rPr>
                <w:color w:val="auto"/>
                <w:sz w:val="14"/>
                <w:szCs w:val="18"/>
                <w:highlight w:val="none"/>
                <w:lang w:val="en-US"/>
              </w:rPr>
              <w:t>便器</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HJ/T296 </w:t>
            </w:r>
            <w:r>
              <w:rPr>
                <w:color w:val="auto"/>
                <w:sz w:val="14"/>
                <w:szCs w:val="18"/>
                <w:highlight w:val="none"/>
                <w:lang w:val="en-US"/>
              </w:rPr>
              <w:t>卫生陶瓷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A060806 </w:t>
            </w:r>
            <w:r>
              <w:rPr>
                <w:color w:val="auto"/>
                <w:sz w:val="14"/>
                <w:szCs w:val="18"/>
                <w:highlight w:val="none"/>
                <w:lang w:val="en-US"/>
              </w:rPr>
              <w:t>水嘴</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HJ/T411 </w:t>
            </w:r>
            <w:r>
              <w:rPr>
                <w:color w:val="auto"/>
                <w:sz w:val="14"/>
                <w:szCs w:val="18"/>
                <w:highlight w:val="none"/>
                <w:lang w:val="en-US"/>
              </w:rPr>
              <w:t>水嘴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A0609 </w:t>
            </w:r>
            <w:r>
              <w:rPr>
                <w:color w:val="auto"/>
                <w:sz w:val="14"/>
                <w:szCs w:val="18"/>
                <w:highlight w:val="none"/>
                <w:lang w:val="en-US"/>
              </w:rPr>
              <w:t>组合家具</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A0610 </w:t>
            </w:r>
            <w:r>
              <w:rPr>
                <w:color w:val="auto"/>
                <w:sz w:val="14"/>
                <w:szCs w:val="18"/>
                <w:highlight w:val="none"/>
                <w:lang w:val="en-US"/>
              </w:rPr>
              <w:t>家用家具</w:t>
            </w:r>
          </w:p>
          <w:p>
            <w:pPr>
              <w:pStyle w:val="146"/>
              <w:spacing w:before="81"/>
              <w:ind w:left="105"/>
              <w:rPr>
                <w:color w:val="auto"/>
                <w:sz w:val="14"/>
                <w:szCs w:val="18"/>
                <w:highlight w:val="none"/>
              </w:rPr>
            </w:pPr>
            <w:r>
              <w:rPr>
                <w:color w:val="auto"/>
                <w:sz w:val="14"/>
                <w:szCs w:val="18"/>
                <w:highlight w:val="none"/>
                <w:lang w:val="en-US"/>
              </w:rPr>
              <w:t>零配件</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6"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4"/>
                <w:szCs w:val="18"/>
                <w:highlight w:val="none"/>
              </w:rPr>
            </w:pPr>
            <w:r>
              <w:rPr>
                <w:color w:val="auto"/>
                <w:sz w:val="14"/>
                <w:szCs w:val="18"/>
                <w:highlight w:val="none"/>
              </w:rPr>
              <w:t>28</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5"/>
              <w:rPr>
                <w:color w:val="auto"/>
                <w:sz w:val="14"/>
                <w:szCs w:val="18"/>
                <w:highlight w:val="none"/>
              </w:rPr>
            </w:pPr>
            <w:r>
              <w:rPr>
                <w:color w:val="auto"/>
                <w:sz w:val="14"/>
                <w:szCs w:val="18"/>
                <w:highlight w:val="none"/>
              </w:rPr>
              <w:t xml:space="preserve">A0699 </w:t>
            </w:r>
            <w:r>
              <w:rPr>
                <w:color w:val="auto"/>
                <w:sz w:val="14"/>
                <w:szCs w:val="18"/>
                <w:highlight w:val="none"/>
                <w:lang w:val="en-US"/>
              </w:rPr>
              <w:t>其他家具</w:t>
            </w:r>
          </w:p>
          <w:p>
            <w:pPr>
              <w:pStyle w:val="146"/>
              <w:spacing w:before="82"/>
              <w:ind w:left="105"/>
              <w:rPr>
                <w:color w:val="auto"/>
                <w:sz w:val="14"/>
                <w:szCs w:val="18"/>
                <w:highlight w:val="none"/>
              </w:rPr>
            </w:pPr>
            <w:r>
              <w:rPr>
                <w:color w:val="auto"/>
                <w:sz w:val="14"/>
                <w:szCs w:val="18"/>
                <w:highlight w:val="none"/>
                <w:lang w:val="en-US"/>
              </w:rPr>
              <w:t>用具</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A070101</w:t>
            </w:r>
            <w:r>
              <w:rPr>
                <w:color w:val="auto"/>
                <w:spacing w:val="-24"/>
                <w:sz w:val="14"/>
                <w:szCs w:val="18"/>
                <w:highlight w:val="none"/>
              </w:rPr>
              <w:t xml:space="preserve"> </w:t>
            </w:r>
            <w:r>
              <w:rPr>
                <w:color w:val="auto"/>
                <w:spacing w:val="-24"/>
                <w:sz w:val="14"/>
                <w:szCs w:val="18"/>
                <w:highlight w:val="none"/>
                <w:lang w:val="en-US"/>
              </w:rPr>
              <w:t>棉、化纤</w:t>
            </w:r>
          </w:p>
          <w:p>
            <w:pPr>
              <w:pStyle w:val="146"/>
              <w:spacing w:before="81"/>
              <w:ind w:left="105"/>
              <w:rPr>
                <w:color w:val="auto"/>
                <w:sz w:val="14"/>
                <w:szCs w:val="18"/>
                <w:highlight w:val="none"/>
              </w:rPr>
            </w:pPr>
            <w:r>
              <w:rPr>
                <w:color w:val="auto"/>
                <w:sz w:val="14"/>
                <w:szCs w:val="18"/>
                <w:highlight w:val="none"/>
                <w:lang w:val="en-US"/>
              </w:rPr>
              <w:t>纺织及印染原料</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HJ2546 </w:t>
            </w:r>
            <w:r>
              <w:rPr>
                <w:color w:val="auto"/>
                <w:sz w:val="14"/>
                <w:szCs w:val="18"/>
                <w:highlight w:val="none"/>
                <w:lang w:val="en-US"/>
              </w:rPr>
              <w:t>纺织产品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99"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A090101 </w:t>
            </w:r>
            <w:r>
              <w:rPr>
                <w:color w:val="auto"/>
                <w:sz w:val="14"/>
                <w:szCs w:val="18"/>
                <w:highlight w:val="none"/>
                <w:lang w:val="en-US"/>
              </w:rPr>
              <w:t>复印纸</w:t>
            </w:r>
          </w:p>
          <w:p>
            <w:pPr>
              <w:pStyle w:val="146"/>
              <w:spacing w:before="2" w:line="310" w:lineRule="atLeast"/>
              <w:ind w:left="105" w:right="95"/>
              <w:rPr>
                <w:color w:val="auto"/>
                <w:sz w:val="14"/>
                <w:szCs w:val="18"/>
                <w:highlight w:val="none"/>
              </w:rPr>
            </w:pPr>
            <w:r>
              <w:rPr>
                <w:color w:val="auto"/>
                <w:sz w:val="14"/>
                <w:szCs w:val="18"/>
                <w:highlight w:val="none"/>
                <w:lang w:val="en-US"/>
              </w:rPr>
              <w:t>（包括再生复印纸）</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HJ410 </w:t>
            </w:r>
            <w:r>
              <w:rPr>
                <w:color w:val="auto"/>
                <w:sz w:val="14"/>
                <w:szCs w:val="18"/>
                <w:highlight w:val="none"/>
                <w:lang w:val="en-US"/>
              </w:rPr>
              <w:t>文化用纸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935"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31</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A090201 鼓粉盒</w:t>
            </w:r>
          </w:p>
          <w:p>
            <w:pPr>
              <w:pStyle w:val="146"/>
              <w:spacing w:before="2" w:line="310" w:lineRule="atLeast"/>
              <w:ind w:left="105" w:right="95"/>
              <w:rPr>
                <w:color w:val="auto"/>
                <w:sz w:val="14"/>
                <w:szCs w:val="18"/>
                <w:highlight w:val="none"/>
              </w:rPr>
            </w:pPr>
            <w:r>
              <w:rPr>
                <w:color w:val="auto"/>
                <w:sz w:val="14"/>
                <w:szCs w:val="18"/>
                <w:highlight w:val="none"/>
              </w:rPr>
              <w:t>（包括再生鼓粉盒）</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HJ/T413 </w:t>
            </w:r>
            <w:r>
              <w:rPr>
                <w:color w:val="auto"/>
                <w:sz w:val="14"/>
                <w:szCs w:val="18"/>
                <w:highlight w:val="none"/>
                <w:lang w:val="en-US"/>
              </w:rPr>
              <w:t>再生鼓粉盒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55"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A100203 </w:t>
            </w:r>
            <w:r>
              <w:rPr>
                <w:color w:val="auto"/>
                <w:sz w:val="14"/>
                <w:szCs w:val="18"/>
                <w:highlight w:val="none"/>
                <w:lang w:val="en-US"/>
              </w:rPr>
              <w:t>人造板</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A10020301 </w:t>
            </w:r>
            <w:r>
              <w:rPr>
                <w:color w:val="auto"/>
                <w:sz w:val="14"/>
                <w:szCs w:val="18"/>
                <w:highlight w:val="none"/>
                <w:lang w:val="en-US"/>
              </w:rPr>
              <w:t>胶合板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A10020302 </w:t>
            </w:r>
            <w:r>
              <w:rPr>
                <w:color w:val="auto"/>
                <w:sz w:val="14"/>
                <w:szCs w:val="18"/>
                <w:highlight w:val="none"/>
                <w:lang w:val="en-US"/>
              </w:rPr>
              <w:t>纤维板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A10020303 </w:t>
            </w:r>
            <w:r>
              <w:rPr>
                <w:color w:val="auto"/>
                <w:sz w:val="14"/>
                <w:szCs w:val="18"/>
                <w:highlight w:val="none"/>
                <w:lang w:val="en-US"/>
              </w:rPr>
              <w:t>刨花板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 xml:space="preserve">A10020304 </w:t>
            </w:r>
            <w:r>
              <w:rPr>
                <w:color w:val="auto"/>
                <w:sz w:val="14"/>
                <w:szCs w:val="18"/>
                <w:highlight w:val="none"/>
                <w:lang w:val="en-US"/>
              </w:rPr>
              <w:t>细木工板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A10020399 </w:t>
            </w:r>
            <w:r>
              <w:rPr>
                <w:color w:val="auto"/>
                <w:sz w:val="14"/>
                <w:szCs w:val="18"/>
                <w:highlight w:val="none"/>
                <w:lang w:val="en-US"/>
              </w:rPr>
              <w:t>其他人造板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568"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33</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A100204 </w:t>
            </w:r>
            <w:r>
              <w:rPr>
                <w:color w:val="auto"/>
                <w:sz w:val="14"/>
                <w:szCs w:val="18"/>
                <w:highlight w:val="none"/>
                <w:lang w:val="en-US"/>
              </w:rPr>
              <w:t>二次加工材</w:t>
            </w:r>
            <w:r>
              <w:rPr>
                <w:color w:val="auto"/>
                <w:sz w:val="14"/>
                <w:szCs w:val="18"/>
                <w:highlight w:val="none"/>
              </w:rPr>
              <w:t>,</w:t>
            </w:r>
            <w:r>
              <w:rPr>
                <w:color w:val="auto"/>
                <w:sz w:val="14"/>
                <w:szCs w:val="18"/>
                <w:highlight w:val="none"/>
                <w:lang w:val="en-US"/>
              </w:rPr>
              <w:t>相关板材</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A10020404 </w:t>
            </w:r>
            <w:r>
              <w:rPr>
                <w:color w:val="auto"/>
                <w:sz w:val="14"/>
                <w:szCs w:val="18"/>
                <w:highlight w:val="none"/>
                <w:lang w:val="en-US"/>
              </w:rPr>
              <w:t>人造板表面装饰板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HJ571 人造板及其制品/HJ2540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6"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 xml:space="preserve">A10020404 </w:t>
            </w:r>
            <w:r>
              <w:rPr>
                <w:color w:val="auto"/>
                <w:sz w:val="14"/>
                <w:szCs w:val="18"/>
                <w:highlight w:val="none"/>
                <w:lang w:val="en-US"/>
              </w:rPr>
              <w:t>人造板表面装饰板</w:t>
            </w:r>
          </w:p>
          <w:p>
            <w:pPr>
              <w:pStyle w:val="146"/>
              <w:spacing w:before="82"/>
              <w:ind w:left="106"/>
              <w:rPr>
                <w:color w:val="auto"/>
                <w:sz w:val="14"/>
                <w:szCs w:val="18"/>
                <w:highlight w:val="none"/>
              </w:rPr>
            </w:pPr>
            <w:r>
              <w:rPr>
                <w:color w:val="auto"/>
                <w:sz w:val="14"/>
                <w:szCs w:val="18"/>
                <w:highlight w:val="none"/>
                <w:lang w:val="en-US"/>
              </w:rPr>
              <w:t>（地板）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HJ571 人造板及其制品/HJ2540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A100301 </w:t>
            </w:r>
            <w:r>
              <w:rPr>
                <w:color w:val="auto"/>
                <w:sz w:val="14"/>
                <w:szCs w:val="18"/>
                <w:highlight w:val="none"/>
                <w:lang w:val="en-US"/>
              </w:rPr>
              <w:t>水泥熟</w:t>
            </w:r>
          </w:p>
          <w:p>
            <w:pPr>
              <w:pStyle w:val="146"/>
              <w:spacing w:before="81"/>
              <w:ind w:left="105"/>
              <w:rPr>
                <w:color w:val="auto"/>
                <w:sz w:val="14"/>
                <w:szCs w:val="18"/>
                <w:highlight w:val="none"/>
              </w:rPr>
            </w:pPr>
            <w:r>
              <w:rPr>
                <w:color w:val="auto"/>
                <w:sz w:val="14"/>
                <w:szCs w:val="18"/>
                <w:highlight w:val="none"/>
                <w:lang w:val="en-US"/>
              </w:rPr>
              <w:t>料及水泥</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A10030102 </w:t>
            </w:r>
            <w:r>
              <w:rPr>
                <w:color w:val="auto"/>
                <w:sz w:val="14"/>
                <w:szCs w:val="18"/>
                <w:highlight w:val="none"/>
                <w:lang w:val="en-US"/>
              </w:rPr>
              <w:t>水泥</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HJ2519 </w:t>
            </w:r>
            <w:r>
              <w:rPr>
                <w:color w:val="auto"/>
                <w:sz w:val="14"/>
                <w:szCs w:val="18"/>
                <w:highlight w:val="none"/>
                <w:lang w:val="en-US"/>
              </w:rPr>
              <w:t>水泥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A100303 </w:t>
            </w:r>
            <w:r>
              <w:rPr>
                <w:color w:val="auto"/>
                <w:sz w:val="14"/>
                <w:szCs w:val="18"/>
                <w:highlight w:val="none"/>
                <w:lang w:val="en-US"/>
              </w:rPr>
              <w:t>水泥混</w:t>
            </w:r>
          </w:p>
          <w:p>
            <w:pPr>
              <w:pStyle w:val="146"/>
              <w:spacing w:before="81"/>
              <w:ind w:left="105"/>
              <w:rPr>
                <w:color w:val="auto"/>
                <w:sz w:val="14"/>
                <w:szCs w:val="18"/>
                <w:highlight w:val="none"/>
              </w:rPr>
            </w:pPr>
            <w:r>
              <w:rPr>
                <w:color w:val="auto"/>
                <w:sz w:val="14"/>
                <w:szCs w:val="18"/>
                <w:highlight w:val="none"/>
                <w:lang w:val="en-US"/>
              </w:rPr>
              <w:t>凝土制品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A10030301 </w:t>
            </w:r>
            <w:r>
              <w:rPr>
                <w:color w:val="auto"/>
                <w:sz w:val="14"/>
                <w:szCs w:val="18"/>
                <w:highlight w:val="none"/>
                <w:lang w:val="en-US"/>
              </w:rPr>
              <w:t>商品混凝土</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HJ/T412 </w:t>
            </w:r>
            <w:r>
              <w:rPr>
                <w:color w:val="auto"/>
                <w:sz w:val="14"/>
                <w:szCs w:val="18"/>
                <w:highlight w:val="none"/>
                <w:lang w:val="en-US"/>
              </w:rPr>
              <w:t>预拌混凝土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36</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A100304 </w:t>
            </w:r>
            <w:r>
              <w:rPr>
                <w:color w:val="auto"/>
                <w:sz w:val="14"/>
                <w:szCs w:val="18"/>
                <w:highlight w:val="none"/>
                <w:lang w:val="en-US"/>
              </w:rPr>
              <w:t>纤维增强水泥制品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A10030402 </w:t>
            </w:r>
            <w:r>
              <w:rPr>
                <w:color w:val="auto"/>
                <w:sz w:val="14"/>
                <w:szCs w:val="18"/>
                <w:highlight w:val="none"/>
                <w:lang w:val="en-US"/>
              </w:rPr>
              <w:t>纤维增强硅酸钙板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A10030403 </w:t>
            </w:r>
            <w:r>
              <w:rPr>
                <w:color w:val="auto"/>
                <w:sz w:val="14"/>
                <w:szCs w:val="18"/>
                <w:highlight w:val="none"/>
                <w:lang w:val="en-US"/>
              </w:rPr>
              <w:t>无石棉纤维水泥制品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37</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A100305 </w:t>
            </w:r>
            <w:r>
              <w:rPr>
                <w:color w:val="auto"/>
                <w:sz w:val="14"/>
                <w:szCs w:val="18"/>
                <w:highlight w:val="none"/>
                <w:lang w:val="en-US"/>
              </w:rPr>
              <w:t>轻质建筑材料及制品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A10030501 </w:t>
            </w:r>
            <w:r>
              <w:rPr>
                <w:color w:val="auto"/>
                <w:sz w:val="14"/>
                <w:szCs w:val="18"/>
                <w:highlight w:val="none"/>
                <w:lang w:val="en-US"/>
              </w:rPr>
              <w:t>石膏板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393"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A10030503 </w:t>
            </w:r>
            <w:r>
              <w:rPr>
                <w:color w:val="auto"/>
                <w:sz w:val="14"/>
                <w:szCs w:val="18"/>
                <w:highlight w:val="none"/>
                <w:lang w:val="en-US"/>
              </w:rPr>
              <w:t>轻质隔墙条板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A100307 </w:t>
            </w:r>
            <w:r>
              <w:rPr>
                <w:color w:val="auto"/>
                <w:sz w:val="14"/>
                <w:szCs w:val="18"/>
                <w:highlight w:val="none"/>
                <w:lang w:val="en-US"/>
              </w:rPr>
              <w:t>建筑陶瓷制品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A10030701 </w:t>
            </w:r>
            <w:r>
              <w:rPr>
                <w:color w:val="auto"/>
                <w:sz w:val="14"/>
                <w:szCs w:val="18"/>
                <w:highlight w:val="none"/>
                <w:lang w:val="en-US"/>
              </w:rPr>
              <w:t>瓷质砖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A10030704 </w:t>
            </w:r>
            <w:r>
              <w:rPr>
                <w:color w:val="auto"/>
                <w:sz w:val="14"/>
                <w:szCs w:val="18"/>
                <w:highlight w:val="none"/>
                <w:lang w:val="en-US"/>
              </w:rPr>
              <w:t>炻质砖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A10030705 </w:t>
            </w:r>
            <w:r>
              <w:rPr>
                <w:color w:val="auto"/>
                <w:sz w:val="14"/>
                <w:szCs w:val="18"/>
                <w:highlight w:val="none"/>
                <w:lang w:val="en-US"/>
              </w:rPr>
              <w:t>陶质砖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A10030799 </w:t>
            </w:r>
            <w:r>
              <w:rPr>
                <w:color w:val="auto"/>
                <w:sz w:val="14"/>
                <w:szCs w:val="18"/>
                <w:highlight w:val="none"/>
                <w:lang w:val="en-US"/>
              </w:rPr>
              <w:t>其他建筑陶瓷制品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39</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lang w:val="en-US"/>
              </w:rPr>
            </w:pPr>
            <w:r>
              <w:rPr>
                <w:color w:val="auto"/>
                <w:sz w:val="14"/>
                <w:szCs w:val="18"/>
                <w:highlight w:val="none"/>
                <w:lang w:val="en-US"/>
              </w:rPr>
              <w:t>A100309 建筑防水卷材及制品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A10030901 </w:t>
            </w:r>
            <w:r>
              <w:rPr>
                <w:color w:val="auto"/>
                <w:sz w:val="14"/>
                <w:szCs w:val="18"/>
                <w:highlight w:val="none"/>
                <w:lang w:val="en-US"/>
              </w:rPr>
              <w:t>沥青和改性沥青防水</w:t>
            </w:r>
          </w:p>
          <w:p>
            <w:pPr>
              <w:pStyle w:val="146"/>
              <w:spacing w:before="81"/>
              <w:ind w:left="106"/>
              <w:rPr>
                <w:color w:val="auto"/>
                <w:sz w:val="14"/>
                <w:szCs w:val="18"/>
                <w:highlight w:val="none"/>
              </w:rPr>
            </w:pPr>
            <w:r>
              <w:rPr>
                <w:color w:val="auto"/>
                <w:sz w:val="14"/>
                <w:szCs w:val="18"/>
                <w:highlight w:val="none"/>
                <w:lang w:val="en-US"/>
              </w:rPr>
              <w:t>卷材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A10030903 </w:t>
            </w:r>
            <w:r>
              <w:rPr>
                <w:color w:val="auto"/>
                <w:sz w:val="14"/>
                <w:szCs w:val="18"/>
                <w:highlight w:val="none"/>
                <w:lang w:val="en-US"/>
              </w:rPr>
              <w:t>自粘防水卷材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lang w:val="en-US"/>
              </w:rPr>
            </w:pPr>
            <w:r>
              <w:rPr>
                <w:color w:val="auto"/>
                <w:sz w:val="14"/>
                <w:szCs w:val="18"/>
                <w:highlight w:val="none"/>
                <w:lang w:val="en-US"/>
              </w:rPr>
              <w:t>A10030906 高分子防水卷（片）</w:t>
            </w:r>
          </w:p>
          <w:p>
            <w:pPr>
              <w:pStyle w:val="146"/>
              <w:spacing w:before="81"/>
              <w:ind w:left="106"/>
              <w:rPr>
                <w:color w:val="auto"/>
                <w:sz w:val="14"/>
                <w:szCs w:val="18"/>
                <w:highlight w:val="none"/>
                <w:lang w:val="en-US"/>
              </w:rPr>
            </w:pPr>
            <w:r>
              <w:rPr>
                <w:color w:val="auto"/>
                <w:sz w:val="14"/>
                <w:szCs w:val="18"/>
                <w:highlight w:val="none"/>
                <w:lang w:val="en-US"/>
              </w:rPr>
              <w:t>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lang w:val="en-US"/>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40</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5"/>
              <w:jc w:val="both"/>
              <w:rPr>
                <w:color w:val="auto"/>
                <w:sz w:val="14"/>
                <w:szCs w:val="18"/>
                <w:highlight w:val="none"/>
              </w:rPr>
            </w:pPr>
            <w:r>
              <w:rPr>
                <w:color w:val="auto"/>
                <w:sz w:val="14"/>
                <w:szCs w:val="18"/>
                <w:highlight w:val="none"/>
              </w:rPr>
              <w:t>A100310</w:t>
            </w:r>
            <w:r>
              <w:rPr>
                <w:color w:val="auto"/>
                <w:spacing w:val="-26"/>
                <w:sz w:val="14"/>
                <w:szCs w:val="18"/>
                <w:highlight w:val="none"/>
              </w:rPr>
              <w:t xml:space="preserve"> </w:t>
            </w:r>
            <w:r>
              <w:rPr>
                <w:color w:val="auto"/>
                <w:spacing w:val="-26"/>
                <w:sz w:val="14"/>
                <w:szCs w:val="18"/>
                <w:highlight w:val="none"/>
                <w:lang w:val="en-US"/>
              </w:rPr>
              <w:t>隔热、隔</w:t>
            </w:r>
            <w:r>
              <w:rPr>
                <w:color w:val="auto"/>
                <w:spacing w:val="7"/>
                <w:sz w:val="14"/>
                <w:szCs w:val="18"/>
                <w:highlight w:val="none"/>
                <w:lang w:val="en-US"/>
              </w:rPr>
              <w:t>音人造矿物材料</w:t>
            </w:r>
            <w:r>
              <w:rPr>
                <w:color w:val="auto"/>
                <w:sz w:val="14"/>
                <w:szCs w:val="18"/>
                <w:highlight w:val="none"/>
                <w:lang w:val="en-US"/>
              </w:rPr>
              <w:t>及其制品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A10031001 矿物绝热和吸声材</w:t>
            </w:r>
          </w:p>
          <w:p>
            <w:pPr>
              <w:pStyle w:val="146"/>
              <w:spacing w:before="81"/>
              <w:ind w:left="106"/>
              <w:rPr>
                <w:color w:val="auto"/>
                <w:sz w:val="14"/>
                <w:szCs w:val="18"/>
                <w:highlight w:val="none"/>
              </w:rPr>
            </w:pPr>
            <w:r>
              <w:rPr>
                <w:color w:val="auto"/>
                <w:sz w:val="14"/>
                <w:szCs w:val="18"/>
                <w:highlight w:val="none"/>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A10031002 </w:t>
            </w:r>
            <w:r>
              <w:rPr>
                <w:color w:val="auto"/>
                <w:sz w:val="14"/>
                <w:szCs w:val="18"/>
                <w:highlight w:val="none"/>
                <w:lang w:val="en-US"/>
              </w:rPr>
              <w:t>矿物材料制品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41</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A100601 </w:t>
            </w:r>
            <w:r>
              <w:rPr>
                <w:color w:val="auto"/>
                <w:sz w:val="14"/>
                <w:szCs w:val="18"/>
                <w:highlight w:val="none"/>
                <w:lang w:val="en-US"/>
              </w:rPr>
              <w:t>功能性</w:t>
            </w:r>
          </w:p>
          <w:p>
            <w:pPr>
              <w:pStyle w:val="146"/>
              <w:spacing w:before="81"/>
              <w:ind w:left="105"/>
              <w:rPr>
                <w:color w:val="auto"/>
                <w:sz w:val="14"/>
                <w:szCs w:val="18"/>
                <w:highlight w:val="none"/>
              </w:rPr>
            </w:pPr>
            <w:r>
              <w:rPr>
                <w:color w:val="auto"/>
                <w:sz w:val="14"/>
                <w:szCs w:val="18"/>
                <w:highlight w:val="none"/>
                <w:lang w:val="en-US"/>
              </w:rPr>
              <w:t>建筑涂料</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42</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A100399 </w:t>
            </w:r>
            <w:r>
              <w:rPr>
                <w:color w:val="auto"/>
                <w:sz w:val="14"/>
                <w:szCs w:val="18"/>
                <w:highlight w:val="none"/>
                <w:lang w:val="en-US"/>
              </w:rPr>
              <w:t>其他非</w:t>
            </w:r>
          </w:p>
          <w:p>
            <w:pPr>
              <w:pStyle w:val="146"/>
              <w:spacing w:before="81"/>
              <w:ind w:left="105"/>
              <w:rPr>
                <w:color w:val="auto"/>
                <w:sz w:val="14"/>
                <w:szCs w:val="18"/>
                <w:highlight w:val="none"/>
              </w:rPr>
            </w:pPr>
            <w:r>
              <w:rPr>
                <w:color w:val="auto"/>
                <w:sz w:val="14"/>
                <w:szCs w:val="18"/>
                <w:highlight w:val="none"/>
                <w:lang w:val="en-US"/>
              </w:rPr>
              <w:t>金属矿物制品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A10039901 </w:t>
            </w:r>
            <w:r>
              <w:rPr>
                <w:color w:val="auto"/>
                <w:sz w:val="14"/>
                <w:szCs w:val="18"/>
                <w:highlight w:val="none"/>
                <w:lang w:val="en-US"/>
              </w:rPr>
              <w:t>其他非金属建筑材料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HJ456 </w:t>
            </w:r>
            <w:r>
              <w:rPr>
                <w:color w:val="auto"/>
                <w:sz w:val="14"/>
                <w:szCs w:val="18"/>
                <w:highlight w:val="none"/>
                <w:lang w:val="en-US"/>
              </w:rPr>
              <w:t>刚性防水材料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43</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ind w:left="105" w:right="97"/>
              <w:rPr>
                <w:color w:val="auto"/>
                <w:sz w:val="14"/>
                <w:szCs w:val="18"/>
                <w:highlight w:val="none"/>
              </w:rPr>
            </w:pPr>
            <w:r>
              <w:rPr>
                <w:color w:val="auto"/>
                <w:sz w:val="14"/>
                <w:szCs w:val="18"/>
                <w:highlight w:val="none"/>
              </w:rPr>
              <w:t xml:space="preserve">A100602 </w:t>
            </w:r>
            <w:r>
              <w:rPr>
                <w:color w:val="auto"/>
                <w:sz w:val="14"/>
                <w:szCs w:val="18"/>
                <w:highlight w:val="none"/>
                <w:lang w:val="en-US"/>
              </w:rPr>
              <w:t>墙面涂料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A10060202 </w:t>
            </w:r>
            <w:r>
              <w:rPr>
                <w:color w:val="auto"/>
                <w:sz w:val="14"/>
                <w:szCs w:val="18"/>
                <w:highlight w:val="none"/>
                <w:lang w:val="en-US"/>
              </w:rPr>
              <w:t>合成树脂乳液内墙涂</w:t>
            </w:r>
          </w:p>
          <w:p>
            <w:pPr>
              <w:pStyle w:val="146"/>
              <w:spacing w:line="240" w:lineRule="atLeast"/>
              <w:ind w:left="106"/>
              <w:rPr>
                <w:color w:val="auto"/>
                <w:sz w:val="14"/>
                <w:szCs w:val="18"/>
                <w:highlight w:val="none"/>
              </w:rPr>
            </w:pPr>
            <w:r>
              <w:rPr>
                <w:color w:val="auto"/>
                <w:sz w:val="14"/>
                <w:szCs w:val="18"/>
                <w:highlight w:val="none"/>
                <w:lang w:val="en-US"/>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A10060203 </w:t>
            </w:r>
            <w:r>
              <w:rPr>
                <w:color w:val="auto"/>
                <w:sz w:val="14"/>
                <w:szCs w:val="18"/>
                <w:highlight w:val="none"/>
                <w:lang w:val="en-US"/>
              </w:rPr>
              <w:t>合成树脂乳液外墙涂</w:t>
            </w:r>
          </w:p>
          <w:p>
            <w:pPr>
              <w:pStyle w:val="146"/>
              <w:spacing w:line="240" w:lineRule="atLeast"/>
              <w:ind w:left="106"/>
              <w:rPr>
                <w:color w:val="auto"/>
                <w:sz w:val="14"/>
                <w:szCs w:val="18"/>
                <w:highlight w:val="none"/>
              </w:rPr>
            </w:pPr>
            <w:r>
              <w:rPr>
                <w:color w:val="auto"/>
                <w:sz w:val="14"/>
                <w:szCs w:val="18"/>
                <w:highlight w:val="none"/>
                <w:lang w:val="en-US"/>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02"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A10060299 </w:t>
            </w:r>
            <w:r>
              <w:rPr>
                <w:color w:val="auto"/>
                <w:sz w:val="14"/>
                <w:szCs w:val="18"/>
                <w:highlight w:val="none"/>
                <w:lang w:val="en-US"/>
              </w:rPr>
              <w:t>其他墙面涂料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A100604 </w:t>
            </w:r>
            <w:r>
              <w:rPr>
                <w:color w:val="auto"/>
                <w:sz w:val="14"/>
                <w:szCs w:val="18"/>
                <w:highlight w:val="none"/>
                <w:lang w:val="en-US"/>
              </w:rPr>
              <w:t>防水涂</w:t>
            </w:r>
          </w:p>
          <w:p>
            <w:pPr>
              <w:pStyle w:val="146"/>
              <w:spacing w:line="240" w:lineRule="atLeast"/>
              <w:ind w:left="105"/>
              <w:rPr>
                <w:color w:val="auto"/>
                <w:sz w:val="14"/>
                <w:szCs w:val="18"/>
                <w:highlight w:val="none"/>
              </w:rPr>
            </w:pPr>
            <w:r>
              <w:rPr>
                <w:color w:val="auto"/>
                <w:sz w:val="14"/>
                <w:szCs w:val="18"/>
                <w:highlight w:val="none"/>
                <w:lang w:val="en-US"/>
              </w:rPr>
              <w:t>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A10060499 </w:t>
            </w:r>
            <w:r>
              <w:rPr>
                <w:color w:val="auto"/>
                <w:sz w:val="14"/>
                <w:szCs w:val="18"/>
                <w:highlight w:val="none"/>
                <w:lang w:val="en-US"/>
              </w:rPr>
              <w:t>其他防水涂料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A100699 </w:t>
            </w:r>
            <w:r>
              <w:rPr>
                <w:color w:val="auto"/>
                <w:sz w:val="14"/>
                <w:szCs w:val="18"/>
                <w:highlight w:val="none"/>
                <w:lang w:val="en-US"/>
              </w:rPr>
              <w:t>其他建</w:t>
            </w:r>
          </w:p>
          <w:p>
            <w:pPr>
              <w:pStyle w:val="146"/>
              <w:spacing w:line="240" w:lineRule="atLeast"/>
              <w:ind w:left="105"/>
              <w:rPr>
                <w:color w:val="auto"/>
                <w:sz w:val="14"/>
                <w:szCs w:val="18"/>
                <w:highlight w:val="none"/>
              </w:rPr>
            </w:pPr>
            <w:r>
              <w:rPr>
                <w:color w:val="auto"/>
                <w:sz w:val="14"/>
                <w:szCs w:val="18"/>
                <w:highlight w:val="none"/>
                <w:lang w:val="en-US"/>
              </w:rPr>
              <w:t>筑涂料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41"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A100701</w:t>
            </w:r>
            <w:r>
              <w:rPr>
                <w:color w:val="auto"/>
                <w:spacing w:val="-24"/>
                <w:sz w:val="14"/>
                <w:szCs w:val="18"/>
                <w:highlight w:val="none"/>
              </w:rPr>
              <w:t xml:space="preserve"> </w:t>
            </w:r>
            <w:r>
              <w:rPr>
                <w:color w:val="auto"/>
                <w:spacing w:val="-24"/>
                <w:sz w:val="14"/>
                <w:szCs w:val="18"/>
                <w:highlight w:val="none"/>
                <w:lang w:val="en-US"/>
              </w:rPr>
              <w:t>门、门槛</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HJ/T 237</w:t>
            </w:r>
            <w:r>
              <w:rPr>
                <w:color w:val="auto"/>
                <w:spacing w:val="-10"/>
                <w:sz w:val="14"/>
                <w:szCs w:val="18"/>
                <w:highlight w:val="none"/>
              </w:rPr>
              <w:t xml:space="preserve"> 塑料门窗</w:t>
            </w:r>
            <w:r>
              <w:rPr>
                <w:color w:val="auto"/>
                <w:sz w:val="14"/>
                <w:szCs w:val="18"/>
                <w:highlight w:val="none"/>
              </w:rPr>
              <w:t>/HJ459</w:t>
            </w:r>
            <w:r>
              <w:rPr>
                <w:color w:val="auto"/>
                <w:spacing w:val="-8"/>
                <w:sz w:val="14"/>
                <w:szCs w:val="18"/>
                <w:highlight w:val="none"/>
              </w:rPr>
              <w:t xml:space="preserve"> 木质门和钢质门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00"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A100702 </w:t>
            </w:r>
            <w:r>
              <w:rPr>
                <w:color w:val="auto"/>
                <w:sz w:val="14"/>
                <w:szCs w:val="18"/>
                <w:highlight w:val="none"/>
                <w:lang w:val="en-US"/>
              </w:rPr>
              <w:t>窗</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HJ/T237 </w:t>
            </w:r>
            <w:r>
              <w:rPr>
                <w:color w:val="auto"/>
                <w:sz w:val="14"/>
                <w:szCs w:val="18"/>
                <w:highlight w:val="none"/>
                <w:lang w:val="en-US"/>
              </w:rPr>
              <w:t>塑料门窗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6"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48</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lang w:val="en-US"/>
              </w:rPr>
            </w:pPr>
            <w:r>
              <w:rPr>
                <w:color w:val="auto"/>
                <w:sz w:val="14"/>
                <w:szCs w:val="18"/>
                <w:highlight w:val="none"/>
                <w:lang w:val="en-US"/>
              </w:rPr>
              <w:t>A170108</w:t>
            </w:r>
            <w:r>
              <w:rPr>
                <w:color w:val="auto"/>
                <w:spacing w:val="-38"/>
                <w:sz w:val="14"/>
                <w:szCs w:val="18"/>
                <w:highlight w:val="none"/>
                <w:lang w:val="en-US"/>
              </w:rPr>
              <w:t xml:space="preserve"> 涂料</w:t>
            </w:r>
            <w:r>
              <w:rPr>
                <w:color w:val="auto"/>
                <w:sz w:val="14"/>
                <w:szCs w:val="18"/>
                <w:highlight w:val="none"/>
                <w:lang w:val="en-US"/>
              </w:rPr>
              <w:t>（建</w:t>
            </w:r>
          </w:p>
          <w:p>
            <w:pPr>
              <w:pStyle w:val="146"/>
              <w:spacing w:line="240" w:lineRule="atLeast"/>
              <w:ind w:left="105"/>
              <w:rPr>
                <w:color w:val="auto"/>
                <w:sz w:val="14"/>
                <w:szCs w:val="18"/>
                <w:highlight w:val="none"/>
                <w:lang w:val="en-US"/>
              </w:rPr>
            </w:pPr>
            <w:r>
              <w:rPr>
                <w:color w:val="auto"/>
                <w:sz w:val="14"/>
                <w:szCs w:val="18"/>
                <w:highlight w:val="none"/>
                <w:lang w:val="en-US"/>
              </w:rPr>
              <w:t>筑涂料除外）</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lang w:val="en-US"/>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lang w:val="en-US"/>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A170112 </w:t>
            </w:r>
            <w:r>
              <w:rPr>
                <w:color w:val="auto"/>
                <w:sz w:val="14"/>
                <w:szCs w:val="18"/>
                <w:highlight w:val="none"/>
                <w:lang w:val="en-US"/>
              </w:rPr>
              <w:t>密封用</w:t>
            </w:r>
          </w:p>
          <w:p>
            <w:pPr>
              <w:pStyle w:val="146"/>
              <w:spacing w:line="240" w:lineRule="atLeast"/>
              <w:ind w:left="105"/>
              <w:rPr>
                <w:color w:val="auto"/>
                <w:sz w:val="14"/>
                <w:szCs w:val="18"/>
                <w:highlight w:val="none"/>
              </w:rPr>
            </w:pPr>
            <w:r>
              <w:rPr>
                <w:color w:val="auto"/>
                <w:sz w:val="14"/>
                <w:szCs w:val="18"/>
                <w:highlight w:val="none"/>
                <w:lang w:val="en-US"/>
              </w:rPr>
              <w:t>填料及类似品</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HJ2541 </w:t>
            </w:r>
            <w:r>
              <w:rPr>
                <w:color w:val="auto"/>
                <w:sz w:val="14"/>
                <w:szCs w:val="18"/>
                <w:highlight w:val="none"/>
                <w:lang w:val="en-US"/>
              </w:rPr>
              <w:t>胶粘剂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50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A180201 </w:t>
            </w:r>
            <w:r>
              <w:rPr>
                <w:color w:val="auto"/>
                <w:sz w:val="14"/>
                <w:szCs w:val="18"/>
                <w:highlight w:val="none"/>
                <w:lang w:val="en-US"/>
              </w:rPr>
              <w:t>塑料制</w:t>
            </w:r>
          </w:p>
          <w:p>
            <w:pPr>
              <w:pStyle w:val="146"/>
              <w:spacing w:line="240" w:lineRule="atLeast"/>
              <w:ind w:left="105"/>
              <w:rPr>
                <w:color w:val="auto"/>
                <w:sz w:val="14"/>
                <w:szCs w:val="18"/>
                <w:highlight w:val="none"/>
              </w:rPr>
            </w:pPr>
            <w:r>
              <w:rPr>
                <w:color w:val="auto"/>
                <w:sz w:val="14"/>
                <w:szCs w:val="18"/>
                <w:highlight w:val="none"/>
                <w:lang w:val="en-US"/>
              </w:rPr>
              <w:t>品</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HJ/T226 建筑用塑料管材/HJ/T231 再生塑</w:t>
            </w:r>
          </w:p>
          <w:p>
            <w:pPr>
              <w:pStyle w:val="146"/>
              <w:spacing w:line="240" w:lineRule="atLeast"/>
              <w:ind w:left="110"/>
              <w:rPr>
                <w:color w:val="auto"/>
                <w:sz w:val="14"/>
                <w:szCs w:val="18"/>
                <w:highlight w:val="none"/>
              </w:rPr>
            </w:pPr>
            <w:r>
              <w:rPr>
                <w:color w:val="auto"/>
                <w:sz w:val="14"/>
                <w:szCs w:val="18"/>
                <w:highlight w:val="none"/>
                <w:lang w:val="en-US"/>
              </w:rPr>
              <w:t>料制品</w:t>
            </w:r>
          </w:p>
        </w:tc>
      </w:tr>
    </w:tbl>
    <w:p>
      <w:pPr>
        <w:pStyle w:val="12"/>
        <w:ind w:left="63" w:right="63" w:firstLine="200"/>
        <w:jc w:val="left"/>
        <w:rPr>
          <w:rFonts w:ascii="宋体" w:hAnsi="宋体"/>
          <w:color w:val="auto"/>
          <w:highlight w:val="none"/>
        </w:rPr>
      </w:pPr>
      <w:r>
        <w:rPr>
          <w:rFonts w:hint="eastAsia" w:ascii="宋体" w:hAnsi="宋体"/>
          <w:color w:val="auto"/>
          <w:highlight w:val="none"/>
        </w:rPr>
        <w:t>注：环境标志产品认证应依据相关标准的最新版本</w:t>
      </w: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市场监管总局关于发布参与实施政府采购节能产品、环境标志产品</w:t>
      </w:r>
    </w:p>
    <w:p>
      <w:pPr>
        <w:pStyle w:val="39"/>
        <w:rPr>
          <w:rFonts w:ascii="宋体" w:hAnsi="宋体"/>
          <w:color w:val="auto"/>
          <w:sz w:val="40"/>
          <w:szCs w:val="40"/>
          <w:highlight w:val="none"/>
        </w:rPr>
      </w:pPr>
      <w:bookmarkStart w:id="781" w:name="_Toc11855"/>
      <w:bookmarkStart w:id="782" w:name="_Toc20744"/>
      <w:bookmarkStart w:id="783" w:name="_Toc57747275"/>
      <w:bookmarkStart w:id="784" w:name="_Toc89373408"/>
      <w:r>
        <w:rPr>
          <w:rFonts w:hint="eastAsia" w:ascii="宋体" w:hAnsi="宋体"/>
          <w:color w:val="auto"/>
          <w:sz w:val="40"/>
          <w:szCs w:val="40"/>
          <w:highlight w:val="none"/>
        </w:rPr>
        <w:t>认证机构名录的公告</w:t>
      </w:r>
      <w:bookmarkEnd w:id="781"/>
      <w:bookmarkEnd w:id="782"/>
      <w:bookmarkEnd w:id="783"/>
      <w:bookmarkEnd w:id="784"/>
    </w:p>
    <w:p>
      <w:pPr>
        <w:widowControl/>
        <w:spacing w:line="360" w:lineRule="auto"/>
        <w:jc w:val="center"/>
        <w:rPr>
          <w:rFonts w:ascii="宋体" w:hAnsi="宋体" w:cs="宋体"/>
          <w:color w:val="auto"/>
          <w:kern w:val="0"/>
          <w:highlight w:val="none"/>
        </w:rPr>
      </w:pPr>
      <w:r>
        <w:rPr>
          <w:rFonts w:ascii="宋体" w:hAnsi="宋体" w:cs="宋体"/>
          <w:color w:val="auto"/>
          <w:kern w:val="0"/>
          <w:highlight w:val="none"/>
        </w:rPr>
        <w:t>2019年第16号</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市场监管总局关于调整优化节能产品、环境标志产品政府采购执行机制的通知》</w:t>
      </w:r>
      <w:r>
        <w:rPr>
          <w:rFonts w:ascii="宋体" w:hAnsi="宋体" w:cs="宋体"/>
          <w:color w:val="auto"/>
          <w:kern w:val="0"/>
          <w:sz w:val="24"/>
          <w:highlight w:val="none"/>
        </w:rPr>
        <w:t>(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自本公告发布后，新增认证机构应尽快完成政府采购认证信息系统对接，对接完成后方可开展相关认证工作。</w:t>
      </w:r>
    </w:p>
    <w:p>
      <w:pPr>
        <w:widowControl/>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 市场监管总局</w:t>
      </w:r>
    </w:p>
    <w:p>
      <w:pPr>
        <w:widowControl/>
        <w:spacing w:line="360" w:lineRule="auto"/>
        <w:jc w:val="right"/>
        <w:rPr>
          <w:rFonts w:ascii="宋体" w:hAnsi="宋体" w:cs="宋体"/>
          <w:color w:val="auto"/>
          <w:kern w:val="0"/>
          <w:sz w:val="24"/>
          <w:highlight w:val="none"/>
        </w:rPr>
      </w:pPr>
      <w:r>
        <w:rPr>
          <w:rFonts w:ascii="宋体" w:hAnsi="宋体" w:cs="宋体"/>
          <w:color w:val="auto"/>
          <w:kern w:val="0"/>
          <w:sz w:val="24"/>
          <w:highlight w:val="none"/>
        </w:rPr>
        <w:t>2019年4月3日</w:t>
      </w:r>
    </w:p>
    <w:p>
      <w:pPr>
        <w:pStyle w:val="39"/>
        <w:rPr>
          <w:rFonts w:ascii="宋体" w:hAnsi="宋体"/>
          <w:color w:val="auto"/>
          <w:sz w:val="40"/>
          <w:szCs w:val="40"/>
          <w:highlight w:val="none"/>
        </w:rPr>
      </w:pPr>
      <w:bookmarkStart w:id="785" w:name="_Toc57747276"/>
      <w:r>
        <w:rPr>
          <w:rFonts w:ascii="宋体" w:hAnsi="宋体"/>
          <w:color w:val="auto"/>
          <w:sz w:val="40"/>
          <w:szCs w:val="40"/>
          <w:highlight w:val="none"/>
        </w:rPr>
        <w:br w:type="page"/>
      </w:r>
      <w:bookmarkStart w:id="786" w:name="_Toc16687"/>
      <w:bookmarkStart w:id="787" w:name="_Toc13196"/>
      <w:bookmarkStart w:id="788" w:name="_Toc89373409"/>
      <w:r>
        <w:rPr>
          <w:rFonts w:hint="eastAsia" w:ascii="宋体" w:hAnsi="宋体"/>
          <w:color w:val="auto"/>
          <w:sz w:val="40"/>
          <w:szCs w:val="40"/>
          <w:highlight w:val="none"/>
        </w:rPr>
        <w:t>参与实施政府采购节能产品认证机构名录</w:t>
      </w:r>
      <w:bookmarkEnd w:id="785"/>
      <w:bookmarkEnd w:id="786"/>
      <w:bookmarkEnd w:id="787"/>
      <w:bookmarkEnd w:id="788"/>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190"/>
        <w:gridCol w:w="1507"/>
        <w:gridCol w:w="1527"/>
        <w:gridCol w:w="1492"/>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序号</w:t>
            </w:r>
          </w:p>
        </w:tc>
        <w:tc>
          <w:tcPr>
            <w:tcW w:w="2697" w:type="dxa"/>
            <w:gridSpan w:val="2"/>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一级目录</w:t>
            </w:r>
          </w:p>
        </w:tc>
        <w:tc>
          <w:tcPr>
            <w:tcW w:w="3019" w:type="dxa"/>
            <w:gridSpan w:val="2"/>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二级目录</w:t>
            </w:r>
          </w:p>
        </w:tc>
        <w:tc>
          <w:tcPr>
            <w:tcW w:w="2813"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产品代码</w:t>
            </w:r>
          </w:p>
        </w:tc>
        <w:tc>
          <w:tcPr>
            <w:tcW w:w="1507"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产品名称</w:t>
            </w:r>
          </w:p>
        </w:tc>
        <w:tc>
          <w:tcPr>
            <w:tcW w:w="1527"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产品代码</w:t>
            </w:r>
          </w:p>
        </w:tc>
        <w:tc>
          <w:tcPr>
            <w:tcW w:w="149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产品名称</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计算机设备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A02010104</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台式计算机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北京赛西认证有限责任公司</w:t>
            </w:r>
          </w:p>
          <w:p>
            <w:pPr>
              <w:widowControl/>
              <w:jc w:val="left"/>
              <w:rPr>
                <w:rFonts w:ascii="宋体" w:hAnsi="宋体" w:cs="宋体"/>
                <w:color w:val="auto"/>
                <w:kern w:val="0"/>
                <w:highlight w:val="none"/>
              </w:rPr>
            </w:pPr>
            <w:r>
              <w:rPr>
                <w:rFonts w:ascii="宋体" w:hAnsi="宋体" w:cs="宋体"/>
                <w:color w:val="auto"/>
                <w:kern w:val="0"/>
                <w:highlight w:val="none"/>
              </w:rPr>
              <w:t>中国网络安全审查技术与认证中心</w:t>
            </w:r>
          </w:p>
          <w:p>
            <w:pPr>
              <w:widowControl/>
              <w:jc w:val="left"/>
              <w:rPr>
                <w:rFonts w:ascii="宋体" w:hAnsi="宋体" w:cs="宋体"/>
                <w:color w:val="auto"/>
                <w:kern w:val="0"/>
                <w:highlight w:val="none"/>
              </w:rPr>
            </w:pPr>
            <w:r>
              <w:rPr>
                <w:rFonts w:ascii="宋体" w:hAnsi="宋体" w:cs="宋体"/>
                <w:color w:val="auto"/>
                <w:kern w:val="0"/>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A02010105</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便携式计算机</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A02010107</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平板式微型计算机</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2</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输入输出设备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打印设备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A02010604</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显示设备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图形图像输入设备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3</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A020202</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投影仪</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4</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A020204</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多功能一体机</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5</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A020519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泵</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A02051901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离心泵</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6</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制冷空调设备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制冷压缩机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p>
          <w:p>
            <w:pPr>
              <w:widowControl/>
              <w:jc w:val="left"/>
              <w:rPr>
                <w:rFonts w:ascii="宋体" w:hAnsi="宋体" w:cs="宋体"/>
                <w:color w:val="auto"/>
                <w:kern w:val="0"/>
                <w:highlight w:val="none"/>
              </w:rPr>
            </w:pPr>
            <w:r>
              <w:rPr>
                <w:rFonts w:ascii="宋体" w:hAnsi="宋体" w:cs="宋体"/>
                <w:color w:val="auto"/>
                <w:kern w:val="0"/>
                <w:highlight w:val="none"/>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A02052305</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空调机组</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专用制冷、空调设备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A02052399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其他制冷空调设备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7</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A020601</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电机</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8</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A020602</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变压器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9</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镇流器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深圳市计量质量检测研究院</w:t>
            </w:r>
          </w:p>
          <w:p>
            <w:pPr>
              <w:widowControl/>
              <w:jc w:val="left"/>
              <w:rPr>
                <w:rFonts w:ascii="宋体" w:hAnsi="宋体" w:cs="宋体"/>
                <w:color w:val="auto"/>
                <w:kern w:val="0"/>
                <w:highlight w:val="none"/>
              </w:rPr>
            </w:pPr>
            <w:r>
              <w:rPr>
                <w:rFonts w:ascii="宋体" w:hAnsi="宋体" w:cs="宋体"/>
                <w:color w:val="auto"/>
                <w:kern w:val="0"/>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10</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生活用电器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A0206180101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电冰箱</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A0206180203</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空调机</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A0206180301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洗衣机</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A02061808</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热水器</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r>
              <w:rPr>
                <w:rFonts w:ascii="宋体" w:hAnsi="宋体"/>
                <w:color w:val="auto"/>
                <w:kern w:val="0"/>
                <w:highlight w:val="none"/>
              </w:rPr>
              <w:t>(</w:t>
            </w:r>
            <w:r>
              <w:rPr>
                <w:rFonts w:ascii="宋体" w:hAnsi="宋体" w:cs="宋体"/>
                <w:color w:val="auto"/>
                <w:kern w:val="0"/>
                <w:highlight w:val="none"/>
              </w:rPr>
              <w:t>范围仅限于</w:t>
            </w:r>
            <w:r>
              <w:rPr>
                <w:rFonts w:ascii="宋体" w:hAnsi="宋体"/>
                <w:color w:val="auto"/>
                <w:kern w:val="0"/>
                <w:highlight w:val="none"/>
              </w:rPr>
              <w:t>“</w:t>
            </w:r>
            <w:r>
              <w:rPr>
                <w:rFonts w:ascii="宋体" w:hAnsi="宋体" w:cs="宋体"/>
                <w:color w:val="auto"/>
                <w:kern w:val="0"/>
                <w:highlight w:val="none"/>
              </w:rPr>
              <w:t>热泵热水器</w:t>
            </w:r>
            <w:r>
              <w:rPr>
                <w:rFonts w:ascii="宋体" w:hAnsi="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11</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照明设备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深圳市计量质量检测研究院</w:t>
            </w:r>
          </w:p>
          <w:p>
            <w:pPr>
              <w:widowControl/>
              <w:jc w:val="left"/>
              <w:rPr>
                <w:rFonts w:ascii="宋体" w:hAnsi="宋体" w:cs="宋体"/>
                <w:color w:val="auto"/>
                <w:kern w:val="0"/>
                <w:highlight w:val="none"/>
              </w:rPr>
            </w:pPr>
            <w:r>
              <w:rPr>
                <w:rFonts w:ascii="宋体" w:hAnsi="宋体" w:cs="宋体"/>
                <w:color w:val="auto"/>
                <w:kern w:val="0"/>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12</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电视设备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A02091001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普通电视设备（电视机）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北京泰瑞特认证有限责任公司</w:t>
            </w:r>
          </w:p>
          <w:p>
            <w:pPr>
              <w:widowControl/>
              <w:jc w:val="left"/>
              <w:rPr>
                <w:rFonts w:ascii="宋体" w:hAnsi="宋体" w:cs="宋体"/>
                <w:color w:val="auto"/>
                <w:kern w:val="0"/>
                <w:highlight w:val="none"/>
              </w:rPr>
            </w:pPr>
            <w:r>
              <w:rPr>
                <w:rFonts w:ascii="宋体" w:hAnsi="宋体" w:cs="宋体"/>
                <w:color w:val="auto"/>
                <w:kern w:val="0"/>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13</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A020911</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视频设备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A02091107</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视频监控设备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14</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A031210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饮食炊事机械</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北京鉴衡认证中心</w:t>
            </w:r>
          </w:p>
          <w:p>
            <w:pPr>
              <w:widowControl/>
              <w:jc w:val="left"/>
              <w:rPr>
                <w:rFonts w:ascii="宋体" w:hAnsi="宋体" w:cs="宋体"/>
                <w:color w:val="auto"/>
                <w:kern w:val="0"/>
                <w:highlight w:val="none"/>
              </w:rPr>
            </w:pPr>
            <w:r>
              <w:rPr>
                <w:rFonts w:ascii="宋体" w:hAnsi="宋体" w:cs="宋体"/>
                <w:color w:val="auto"/>
                <w:kern w:val="0"/>
                <w:highlight w:val="none"/>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15</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A060805</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北京新华节水产品认证有限公司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16</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A060806</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水嘴</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17</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A060807</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便器冲洗阀</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18</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淋浴器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bl>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参与实施政府采购环境标志产品认证机构名录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2222"/>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699"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序号</w:t>
            </w:r>
          </w:p>
        </w:tc>
        <w:tc>
          <w:tcPr>
            <w:tcW w:w="222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目录</w:t>
            </w:r>
          </w:p>
        </w:tc>
        <w:tc>
          <w:tcPr>
            <w:tcW w:w="636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699"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1</w:t>
            </w:r>
          </w:p>
        </w:tc>
        <w:tc>
          <w:tcPr>
            <w:tcW w:w="222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环境标志产品</w:t>
            </w:r>
          </w:p>
        </w:tc>
        <w:tc>
          <w:tcPr>
            <w:tcW w:w="636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中环联合（北京）认证中心有限公司</w:t>
            </w:r>
          </w:p>
          <w:p>
            <w:pPr>
              <w:widowControl/>
              <w:jc w:val="center"/>
              <w:rPr>
                <w:rFonts w:ascii="宋体" w:hAnsi="宋体" w:cs="宋体"/>
                <w:color w:val="auto"/>
                <w:kern w:val="0"/>
                <w:highlight w:val="none"/>
              </w:rPr>
            </w:pPr>
            <w:r>
              <w:rPr>
                <w:rFonts w:ascii="宋体" w:hAnsi="宋体" w:cs="宋体"/>
                <w:color w:val="auto"/>
                <w:kern w:val="0"/>
                <w:highlight w:val="none"/>
              </w:rPr>
              <w:t>中标合信（北京）认证有限公司</w:t>
            </w:r>
          </w:p>
          <w:p>
            <w:pPr>
              <w:widowControl/>
              <w:jc w:val="center"/>
              <w:rPr>
                <w:rFonts w:ascii="宋体" w:hAnsi="宋体" w:cs="宋体"/>
                <w:color w:val="auto"/>
                <w:kern w:val="0"/>
                <w:highlight w:val="none"/>
              </w:rPr>
            </w:pPr>
            <w:r>
              <w:rPr>
                <w:rFonts w:ascii="宋体" w:hAnsi="宋体" w:cs="宋体"/>
                <w:color w:val="auto"/>
                <w:kern w:val="0"/>
                <w:highlight w:val="none"/>
              </w:rPr>
              <w:t>中环协（北京）认证中心</w:t>
            </w:r>
          </w:p>
          <w:p>
            <w:pPr>
              <w:widowControl/>
              <w:jc w:val="center"/>
              <w:rPr>
                <w:rFonts w:ascii="宋体" w:hAnsi="宋体" w:cs="宋体"/>
                <w:color w:val="auto"/>
                <w:kern w:val="0"/>
                <w:highlight w:val="none"/>
              </w:rPr>
            </w:pPr>
            <w:r>
              <w:rPr>
                <w:rFonts w:ascii="宋体" w:hAnsi="宋体" w:cs="宋体"/>
                <w:color w:val="auto"/>
                <w:kern w:val="0"/>
                <w:highlight w:val="none"/>
              </w:rPr>
              <w:t>天津华诚认证有限公司</w:t>
            </w:r>
          </w:p>
        </w:tc>
      </w:tr>
    </w:tbl>
    <w:p>
      <w:pPr>
        <w:pStyle w:val="39"/>
        <w:rPr>
          <w:rFonts w:ascii="宋体" w:hAnsi="宋体"/>
          <w:color w:val="auto"/>
          <w:sz w:val="40"/>
          <w:szCs w:val="40"/>
          <w:highlight w:val="none"/>
        </w:rPr>
      </w:pPr>
      <w:bookmarkStart w:id="789" w:name="_Toc20281"/>
      <w:bookmarkStart w:id="790" w:name="_Toc12874"/>
      <w:bookmarkStart w:id="791" w:name="_Toc89373410"/>
      <w:r>
        <w:rPr>
          <w:rFonts w:hint="eastAsia" w:ascii="宋体" w:hAnsi="宋体"/>
          <w:color w:val="auto"/>
          <w:sz w:val="40"/>
          <w:szCs w:val="40"/>
          <w:highlight w:val="none"/>
        </w:rPr>
        <w:t>关于印发中小企业划型标准规定的通知</w:t>
      </w:r>
      <w:bookmarkEnd w:id="789"/>
      <w:bookmarkEnd w:id="790"/>
      <w:bookmarkEnd w:id="791"/>
    </w:p>
    <w:p>
      <w:pPr>
        <w:spacing w:line="360" w:lineRule="auto"/>
        <w:jc w:val="center"/>
        <w:rPr>
          <w:color w:val="auto"/>
          <w:sz w:val="24"/>
          <w:highlight w:val="none"/>
        </w:rPr>
      </w:pPr>
      <w:r>
        <w:rPr>
          <w:rFonts w:hint="eastAsia"/>
          <w:color w:val="auto"/>
          <w:sz w:val="24"/>
          <w:highlight w:val="none"/>
        </w:rPr>
        <w:t>工信部联企业〔</w:t>
      </w:r>
      <w:r>
        <w:rPr>
          <w:color w:val="auto"/>
          <w:sz w:val="24"/>
          <w:highlight w:val="none"/>
        </w:rPr>
        <w:t>2011</w:t>
      </w:r>
      <w:r>
        <w:rPr>
          <w:rFonts w:hint="eastAsia"/>
          <w:color w:val="auto"/>
          <w:sz w:val="24"/>
          <w:highlight w:val="none"/>
        </w:rPr>
        <w:t>〕</w:t>
      </w:r>
      <w:r>
        <w:rPr>
          <w:color w:val="auto"/>
          <w:sz w:val="24"/>
          <w:highlight w:val="none"/>
        </w:rPr>
        <w:t>300</w:t>
      </w:r>
      <w:r>
        <w:rPr>
          <w:rFonts w:hint="eastAsia"/>
          <w:color w:val="auto"/>
          <w:sz w:val="24"/>
          <w:highlight w:val="none"/>
        </w:rPr>
        <w:t>号</w:t>
      </w:r>
    </w:p>
    <w:p>
      <w:pPr>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各省、自治区、直辖市人民政府，国务院各部委、各直属机构及有关单位：</w:t>
      </w:r>
    </w:p>
    <w:p>
      <w:pPr>
        <w:spacing w:line="360" w:lineRule="auto"/>
        <w:rPr>
          <w:color w:val="auto"/>
          <w:sz w:val="24"/>
          <w:highlight w:val="none"/>
        </w:rPr>
      </w:pPr>
      <w:r>
        <w:rPr>
          <w:rFonts w:hint="eastAsia"/>
          <w:color w:val="auto"/>
          <w:sz w:val="24"/>
          <w:highlight w:val="none"/>
        </w:rPr>
        <w:t>　　为贯彻落实《中华人民共和国中小企业促进法》和《国务院关于进一步促进中小企业发展的若干意见》（国发〔</w:t>
      </w:r>
      <w:r>
        <w:rPr>
          <w:color w:val="auto"/>
          <w:sz w:val="24"/>
          <w:highlight w:val="none"/>
        </w:rPr>
        <w:t>2009</w:t>
      </w:r>
      <w:r>
        <w:rPr>
          <w:rFonts w:hint="eastAsia"/>
          <w:color w:val="auto"/>
          <w:sz w:val="24"/>
          <w:highlight w:val="none"/>
        </w:rPr>
        <w:t>〕</w:t>
      </w:r>
      <w:r>
        <w:rPr>
          <w:color w:val="auto"/>
          <w:sz w:val="24"/>
          <w:highlight w:val="none"/>
        </w:rPr>
        <w:t>36</w:t>
      </w:r>
      <w:r>
        <w:rPr>
          <w:rFonts w:hint="eastAsia"/>
          <w:color w:val="auto"/>
          <w:sz w:val="24"/>
          <w:highlight w:val="none"/>
        </w:rPr>
        <w:t>号），工业和信息化部、国家统计局、发展改革委、财政部研究制定了《中小企业划型标准规定》。经国务院同意，现印发给你们，请遵照执行。</w:t>
      </w:r>
    </w:p>
    <w:p>
      <w:pPr>
        <w:spacing w:line="360" w:lineRule="auto"/>
        <w:rPr>
          <w:color w:val="auto"/>
          <w:sz w:val="24"/>
          <w:highlight w:val="none"/>
        </w:rPr>
      </w:pPr>
      <w:r>
        <w:rPr>
          <w:rFonts w:hint="eastAsia"/>
          <w:color w:val="auto"/>
          <w:sz w:val="24"/>
          <w:highlight w:val="none"/>
        </w:rPr>
        <w:t>　　　　　　　　　　　　　　　　　　　　　　</w:t>
      </w:r>
      <w:r>
        <w:rPr>
          <w:color w:val="auto"/>
          <w:sz w:val="24"/>
          <w:highlight w:val="none"/>
        </w:rPr>
        <w:t xml:space="preserve"> </w:t>
      </w:r>
      <w:r>
        <w:rPr>
          <w:rFonts w:hint="eastAsia"/>
          <w:color w:val="auto"/>
          <w:sz w:val="24"/>
          <w:highlight w:val="none"/>
        </w:rPr>
        <w:t>工业和信息化部　国家统计局</w:t>
      </w:r>
    </w:p>
    <w:p>
      <w:pPr>
        <w:spacing w:line="360" w:lineRule="auto"/>
        <w:rPr>
          <w:color w:val="auto"/>
          <w:sz w:val="24"/>
          <w:highlight w:val="none"/>
        </w:rPr>
      </w:pPr>
      <w:r>
        <w:rPr>
          <w:rFonts w:hint="eastAsia"/>
          <w:color w:val="auto"/>
          <w:sz w:val="24"/>
          <w:highlight w:val="none"/>
        </w:rPr>
        <w:t>　　　　　　　　　　　　　　　　　　　　　　国家发展和改革委员会　财政部</w:t>
      </w:r>
    </w:p>
    <w:p>
      <w:pPr>
        <w:spacing w:line="360" w:lineRule="auto"/>
        <w:rPr>
          <w:color w:val="auto"/>
          <w:sz w:val="24"/>
          <w:highlight w:val="none"/>
        </w:rPr>
      </w:pPr>
      <w:r>
        <w:rPr>
          <w:rFonts w:hint="eastAsia"/>
          <w:color w:val="auto"/>
          <w:sz w:val="24"/>
          <w:highlight w:val="none"/>
        </w:rPr>
        <w:t>　　　　　　　　　　　　　　　　　　　　　　　二○一一年六月十八日</w:t>
      </w:r>
    </w:p>
    <w:p>
      <w:pPr>
        <w:spacing w:line="360" w:lineRule="auto"/>
        <w:rPr>
          <w:color w:val="auto"/>
          <w:sz w:val="24"/>
          <w:highlight w:val="none"/>
        </w:rPr>
      </w:pPr>
    </w:p>
    <w:p>
      <w:pPr>
        <w:spacing w:line="360" w:lineRule="auto"/>
        <w:rPr>
          <w:color w:val="auto"/>
          <w:sz w:val="24"/>
          <w:highlight w:val="none"/>
        </w:rPr>
      </w:pPr>
      <w:r>
        <w:rPr>
          <w:color w:val="auto"/>
          <w:sz w:val="24"/>
          <w:highlight w:val="none"/>
        </w:rPr>
        <w:t xml:space="preserve"> </w:t>
      </w:r>
    </w:p>
    <w:p>
      <w:pPr>
        <w:spacing w:line="360" w:lineRule="auto"/>
        <w:jc w:val="center"/>
        <w:rPr>
          <w:color w:val="auto"/>
          <w:sz w:val="24"/>
          <w:highlight w:val="none"/>
        </w:rPr>
      </w:pPr>
      <w:r>
        <w:rPr>
          <w:rFonts w:hint="eastAsia"/>
          <w:color w:val="auto"/>
          <w:sz w:val="24"/>
          <w:highlight w:val="none"/>
        </w:rPr>
        <w:t>中小企业划型标准规定</w:t>
      </w:r>
    </w:p>
    <w:p>
      <w:pPr>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　　一、根据《中华人民共和国中小企业促进法》和《国务院关于进一步促进中小企业发展的若干意见》</w:t>
      </w:r>
      <w:r>
        <w:rPr>
          <w:color w:val="auto"/>
          <w:sz w:val="24"/>
          <w:highlight w:val="none"/>
        </w:rPr>
        <w:t>(</w:t>
      </w:r>
      <w:r>
        <w:rPr>
          <w:rFonts w:hint="eastAsia"/>
          <w:color w:val="auto"/>
          <w:sz w:val="24"/>
          <w:highlight w:val="none"/>
        </w:rPr>
        <w:t>国发〔</w:t>
      </w:r>
      <w:r>
        <w:rPr>
          <w:color w:val="auto"/>
          <w:sz w:val="24"/>
          <w:highlight w:val="none"/>
        </w:rPr>
        <w:t>2009</w:t>
      </w:r>
      <w:r>
        <w:rPr>
          <w:rFonts w:hint="eastAsia"/>
          <w:color w:val="auto"/>
          <w:sz w:val="24"/>
          <w:highlight w:val="none"/>
        </w:rPr>
        <w:t>〕</w:t>
      </w:r>
      <w:r>
        <w:rPr>
          <w:color w:val="auto"/>
          <w:sz w:val="24"/>
          <w:highlight w:val="none"/>
        </w:rPr>
        <w:t>36</w:t>
      </w:r>
      <w:r>
        <w:rPr>
          <w:rFonts w:hint="eastAsia"/>
          <w:color w:val="auto"/>
          <w:sz w:val="24"/>
          <w:highlight w:val="none"/>
        </w:rPr>
        <w:t>号</w:t>
      </w:r>
      <w:r>
        <w:rPr>
          <w:color w:val="auto"/>
          <w:sz w:val="24"/>
          <w:highlight w:val="none"/>
        </w:rPr>
        <w:t>)</w:t>
      </w:r>
      <w:r>
        <w:rPr>
          <w:rFonts w:hint="eastAsia"/>
          <w:color w:val="auto"/>
          <w:sz w:val="24"/>
          <w:highlight w:val="none"/>
        </w:rPr>
        <w:t>，制定本规定。</w:t>
      </w:r>
    </w:p>
    <w:p>
      <w:pPr>
        <w:spacing w:line="360" w:lineRule="auto"/>
        <w:rPr>
          <w:color w:val="auto"/>
          <w:sz w:val="24"/>
          <w:highlight w:val="none"/>
        </w:rPr>
      </w:pPr>
      <w:r>
        <w:rPr>
          <w:rFonts w:hint="eastAsia"/>
          <w:color w:val="auto"/>
          <w:sz w:val="24"/>
          <w:highlight w:val="none"/>
        </w:rPr>
        <w:t>　　二、中小企业划分为中型、小型、微型三种类型，具体标准根据企业从业人员、营业收入、资产总额等指标，结合行业特点制定。</w:t>
      </w:r>
    </w:p>
    <w:p>
      <w:pPr>
        <w:spacing w:line="360" w:lineRule="auto"/>
        <w:rPr>
          <w:color w:val="auto"/>
          <w:sz w:val="24"/>
          <w:highlight w:val="none"/>
        </w:rPr>
      </w:pPr>
      <w:r>
        <w:rPr>
          <w:rFonts w:hint="eastAsia"/>
          <w:color w:val="auto"/>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color w:val="auto"/>
          <w:sz w:val="24"/>
          <w:highlight w:val="none"/>
        </w:rPr>
      </w:pPr>
      <w:r>
        <w:rPr>
          <w:rFonts w:hint="eastAsia"/>
          <w:color w:val="auto"/>
          <w:sz w:val="24"/>
          <w:highlight w:val="none"/>
        </w:rPr>
        <w:t>　　四、各行业划型标准为：</w:t>
      </w:r>
    </w:p>
    <w:p>
      <w:pPr>
        <w:spacing w:line="360" w:lineRule="auto"/>
        <w:rPr>
          <w:color w:val="auto"/>
          <w:sz w:val="24"/>
          <w:highlight w:val="none"/>
        </w:rPr>
      </w:pPr>
      <w:r>
        <w:rPr>
          <w:rFonts w:hint="eastAsia"/>
          <w:color w:val="auto"/>
          <w:sz w:val="24"/>
          <w:highlight w:val="none"/>
        </w:rPr>
        <w:t>　　（一）农、林、牧、渔业。营业收入</w:t>
      </w:r>
      <w:r>
        <w:rPr>
          <w:color w:val="auto"/>
          <w:sz w:val="24"/>
          <w:highlight w:val="none"/>
        </w:rPr>
        <w:t>20000</w:t>
      </w:r>
      <w:r>
        <w:rPr>
          <w:rFonts w:hint="eastAsia"/>
          <w:color w:val="auto"/>
          <w:sz w:val="24"/>
          <w:highlight w:val="none"/>
        </w:rPr>
        <w:t>万元以下的为中小微型企业。其中，营业收入</w:t>
      </w:r>
      <w:r>
        <w:rPr>
          <w:color w:val="auto"/>
          <w:sz w:val="24"/>
          <w:highlight w:val="none"/>
        </w:rPr>
        <w:t>500</w:t>
      </w:r>
      <w:r>
        <w:rPr>
          <w:rFonts w:hint="eastAsia"/>
          <w:color w:val="auto"/>
          <w:sz w:val="24"/>
          <w:highlight w:val="none"/>
        </w:rPr>
        <w:t>万元及以上的为中型企业，营业收入</w:t>
      </w:r>
      <w:r>
        <w:rPr>
          <w:color w:val="auto"/>
          <w:sz w:val="24"/>
          <w:highlight w:val="none"/>
        </w:rPr>
        <w:t>50</w:t>
      </w:r>
      <w:r>
        <w:rPr>
          <w:rFonts w:hint="eastAsia"/>
          <w:color w:val="auto"/>
          <w:sz w:val="24"/>
          <w:highlight w:val="none"/>
        </w:rPr>
        <w:t>万元及以上的为小型企业，营业收入</w:t>
      </w:r>
      <w:r>
        <w:rPr>
          <w:color w:val="auto"/>
          <w:sz w:val="24"/>
          <w:highlight w:val="none"/>
        </w:rPr>
        <w:t>50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（二）工业。从业人员</w:t>
      </w:r>
      <w:r>
        <w:rPr>
          <w:color w:val="auto"/>
          <w:sz w:val="24"/>
          <w:highlight w:val="none"/>
        </w:rPr>
        <w:t>1000</w:t>
      </w:r>
      <w:r>
        <w:rPr>
          <w:rFonts w:hint="eastAsia"/>
          <w:color w:val="auto"/>
          <w:sz w:val="24"/>
          <w:highlight w:val="none"/>
        </w:rPr>
        <w:t>人以下或营业收入</w:t>
      </w:r>
      <w:r>
        <w:rPr>
          <w:color w:val="auto"/>
          <w:sz w:val="24"/>
          <w:highlight w:val="none"/>
        </w:rPr>
        <w:t>40000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300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300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（三）建筑业。营业收入</w:t>
      </w:r>
      <w:r>
        <w:rPr>
          <w:color w:val="auto"/>
          <w:sz w:val="24"/>
          <w:highlight w:val="none"/>
        </w:rPr>
        <w:t>80000</w:t>
      </w:r>
      <w:r>
        <w:rPr>
          <w:rFonts w:hint="eastAsia"/>
          <w:color w:val="auto"/>
          <w:sz w:val="24"/>
          <w:highlight w:val="none"/>
        </w:rPr>
        <w:t>万元以下或资产总额</w:t>
      </w:r>
      <w:r>
        <w:rPr>
          <w:color w:val="auto"/>
          <w:sz w:val="24"/>
          <w:highlight w:val="none"/>
        </w:rPr>
        <w:t>80000</w:t>
      </w:r>
      <w:r>
        <w:rPr>
          <w:rFonts w:hint="eastAsia"/>
          <w:color w:val="auto"/>
          <w:sz w:val="24"/>
          <w:highlight w:val="none"/>
        </w:rPr>
        <w:t>万元以下的为中小微型企业。其中，营业收入</w:t>
      </w:r>
      <w:r>
        <w:rPr>
          <w:color w:val="auto"/>
          <w:sz w:val="24"/>
          <w:highlight w:val="none"/>
        </w:rPr>
        <w:t>6000</w:t>
      </w:r>
      <w:r>
        <w:rPr>
          <w:rFonts w:hint="eastAsia"/>
          <w:color w:val="auto"/>
          <w:sz w:val="24"/>
          <w:highlight w:val="none"/>
        </w:rPr>
        <w:t>万元及以上，且资产总额</w:t>
      </w:r>
      <w:r>
        <w:rPr>
          <w:color w:val="auto"/>
          <w:sz w:val="24"/>
          <w:highlight w:val="none"/>
        </w:rPr>
        <w:t>5000</w:t>
      </w:r>
      <w:r>
        <w:rPr>
          <w:rFonts w:hint="eastAsia"/>
          <w:color w:val="auto"/>
          <w:sz w:val="24"/>
          <w:highlight w:val="none"/>
        </w:rPr>
        <w:t>万元及以上的为中型企业；营业收入</w:t>
      </w:r>
      <w:r>
        <w:rPr>
          <w:color w:val="auto"/>
          <w:sz w:val="24"/>
          <w:highlight w:val="none"/>
        </w:rPr>
        <w:t>300</w:t>
      </w:r>
      <w:r>
        <w:rPr>
          <w:rFonts w:hint="eastAsia"/>
          <w:color w:val="auto"/>
          <w:sz w:val="24"/>
          <w:highlight w:val="none"/>
        </w:rPr>
        <w:t>万元及以上，且资产总额</w:t>
      </w:r>
      <w:r>
        <w:rPr>
          <w:color w:val="auto"/>
          <w:sz w:val="24"/>
          <w:highlight w:val="none"/>
        </w:rPr>
        <w:t>300</w:t>
      </w:r>
      <w:r>
        <w:rPr>
          <w:rFonts w:hint="eastAsia"/>
          <w:color w:val="auto"/>
          <w:sz w:val="24"/>
          <w:highlight w:val="none"/>
        </w:rPr>
        <w:t>万元及以上的为小型企业；营业收入</w:t>
      </w:r>
      <w:r>
        <w:rPr>
          <w:color w:val="auto"/>
          <w:sz w:val="24"/>
          <w:highlight w:val="none"/>
        </w:rPr>
        <w:t>300</w:t>
      </w:r>
      <w:r>
        <w:rPr>
          <w:rFonts w:hint="eastAsia"/>
          <w:color w:val="auto"/>
          <w:sz w:val="24"/>
          <w:highlight w:val="none"/>
        </w:rPr>
        <w:t>万元以下或资产总额</w:t>
      </w:r>
      <w:r>
        <w:rPr>
          <w:color w:val="auto"/>
          <w:sz w:val="24"/>
          <w:highlight w:val="none"/>
        </w:rPr>
        <w:t>300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（四）批发业。从业人员</w:t>
      </w:r>
      <w:r>
        <w:rPr>
          <w:color w:val="auto"/>
          <w:sz w:val="24"/>
          <w:highlight w:val="none"/>
        </w:rPr>
        <w:t>200</w:t>
      </w:r>
      <w:r>
        <w:rPr>
          <w:rFonts w:hint="eastAsia"/>
          <w:color w:val="auto"/>
          <w:sz w:val="24"/>
          <w:highlight w:val="none"/>
        </w:rPr>
        <w:t>人以下或营业收入</w:t>
      </w:r>
      <w:r>
        <w:rPr>
          <w:color w:val="auto"/>
          <w:sz w:val="24"/>
          <w:highlight w:val="none"/>
        </w:rPr>
        <w:t>40000</w:t>
      </w:r>
      <w:r>
        <w:rPr>
          <w:rFonts w:hint="eastAsia"/>
          <w:color w:val="auto"/>
          <w:sz w:val="24"/>
          <w:highlight w:val="none"/>
        </w:rPr>
        <w:t>万元以下的为中小微型企业。其中，从业人员</w:t>
      </w:r>
      <w:r>
        <w:rPr>
          <w:color w:val="auto"/>
          <w:sz w:val="24"/>
          <w:highlight w:val="none"/>
        </w:rPr>
        <w:t>20</w:t>
      </w:r>
      <w:r>
        <w:rPr>
          <w:rFonts w:hint="eastAsia"/>
          <w:color w:val="auto"/>
          <w:sz w:val="24"/>
          <w:highlight w:val="none"/>
        </w:rPr>
        <w:t>人及以上，且营业收入</w:t>
      </w:r>
      <w:r>
        <w:rPr>
          <w:color w:val="auto"/>
          <w:sz w:val="24"/>
          <w:highlight w:val="none"/>
        </w:rPr>
        <w:t>5000</w:t>
      </w:r>
      <w:r>
        <w:rPr>
          <w:rFonts w:hint="eastAsia"/>
          <w:color w:val="auto"/>
          <w:sz w:val="24"/>
          <w:highlight w:val="none"/>
        </w:rPr>
        <w:t>万元及以上的为中型企业；从业人员</w:t>
      </w:r>
      <w:r>
        <w:rPr>
          <w:color w:val="auto"/>
          <w:sz w:val="24"/>
          <w:highlight w:val="none"/>
        </w:rPr>
        <w:t>5</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万元及以上的为小型企业；从业人员</w:t>
      </w:r>
      <w:r>
        <w:rPr>
          <w:color w:val="auto"/>
          <w:sz w:val="24"/>
          <w:highlight w:val="none"/>
        </w:rPr>
        <w:t>5</w:t>
      </w:r>
      <w:r>
        <w:rPr>
          <w:rFonts w:hint="eastAsia"/>
          <w:color w:val="auto"/>
          <w:sz w:val="24"/>
          <w:highlight w:val="none"/>
        </w:rPr>
        <w:t>人以下或营业收入</w:t>
      </w:r>
      <w:r>
        <w:rPr>
          <w:color w:val="auto"/>
          <w:sz w:val="24"/>
          <w:highlight w:val="none"/>
        </w:rPr>
        <w:t>1000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（五）零售业。从业人员</w:t>
      </w:r>
      <w:r>
        <w:rPr>
          <w:color w:val="auto"/>
          <w:sz w:val="24"/>
          <w:highlight w:val="none"/>
        </w:rPr>
        <w:t>300</w:t>
      </w:r>
      <w:r>
        <w:rPr>
          <w:rFonts w:hint="eastAsia"/>
          <w:color w:val="auto"/>
          <w:sz w:val="24"/>
          <w:highlight w:val="none"/>
        </w:rPr>
        <w:t>人以下或营业收入</w:t>
      </w:r>
      <w:r>
        <w:rPr>
          <w:color w:val="auto"/>
          <w:sz w:val="24"/>
          <w:highlight w:val="none"/>
        </w:rPr>
        <w:t>20000</w:t>
      </w:r>
      <w:r>
        <w:rPr>
          <w:rFonts w:hint="eastAsia"/>
          <w:color w:val="auto"/>
          <w:sz w:val="24"/>
          <w:highlight w:val="none"/>
        </w:rPr>
        <w:t>万元以下的为中小微型企业。其中，从业人员</w:t>
      </w:r>
      <w:r>
        <w:rPr>
          <w:color w:val="auto"/>
          <w:sz w:val="24"/>
          <w:highlight w:val="none"/>
        </w:rPr>
        <w:t>50</w:t>
      </w:r>
      <w:r>
        <w:rPr>
          <w:rFonts w:hint="eastAsia"/>
          <w:color w:val="auto"/>
          <w:sz w:val="24"/>
          <w:highlight w:val="none"/>
        </w:rPr>
        <w:t>人及以上，且营业收入</w:t>
      </w:r>
      <w:r>
        <w:rPr>
          <w:color w:val="auto"/>
          <w:sz w:val="24"/>
          <w:highlight w:val="none"/>
        </w:rPr>
        <w:t>500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（六）交通运输业。从业人员</w:t>
      </w:r>
      <w:r>
        <w:rPr>
          <w:color w:val="auto"/>
          <w:sz w:val="24"/>
          <w:highlight w:val="none"/>
        </w:rPr>
        <w:t>1000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3000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200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200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（七）仓储业。从业人员</w:t>
      </w:r>
      <w:r>
        <w:rPr>
          <w:color w:val="auto"/>
          <w:sz w:val="24"/>
          <w:highlight w:val="none"/>
        </w:rPr>
        <w:t>200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（八）邮政业。从业人员</w:t>
      </w:r>
      <w:r>
        <w:rPr>
          <w:color w:val="auto"/>
          <w:sz w:val="24"/>
          <w:highlight w:val="none"/>
        </w:rPr>
        <w:t>1000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（九）住宿业。从业人员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（十）餐饮业。从业人员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（十一）信息传输业。从业人员</w:t>
      </w:r>
      <w:r>
        <w:rPr>
          <w:color w:val="auto"/>
          <w:sz w:val="24"/>
          <w:highlight w:val="none"/>
        </w:rPr>
        <w:t>2000</w:t>
      </w:r>
      <w:r>
        <w:rPr>
          <w:rFonts w:hint="eastAsia"/>
          <w:color w:val="auto"/>
          <w:sz w:val="24"/>
          <w:highlight w:val="none"/>
        </w:rPr>
        <w:t>人以下或营业收入</w:t>
      </w:r>
      <w:r>
        <w:rPr>
          <w:color w:val="auto"/>
          <w:sz w:val="24"/>
          <w:highlight w:val="none"/>
        </w:rPr>
        <w:t>100000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（十二）软件和信息技术服务业。从业人员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50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50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（十三）房地产开发经营。营业收入</w:t>
      </w:r>
      <w:r>
        <w:rPr>
          <w:color w:val="auto"/>
          <w:sz w:val="24"/>
          <w:highlight w:val="none"/>
        </w:rPr>
        <w:t>200000</w:t>
      </w:r>
      <w:r>
        <w:rPr>
          <w:rFonts w:hint="eastAsia"/>
          <w:color w:val="auto"/>
          <w:sz w:val="24"/>
          <w:highlight w:val="none"/>
        </w:rPr>
        <w:t>万元以下或资产总额</w:t>
      </w:r>
      <w:r>
        <w:rPr>
          <w:color w:val="auto"/>
          <w:sz w:val="24"/>
          <w:highlight w:val="none"/>
        </w:rPr>
        <w:t>10000</w:t>
      </w:r>
      <w:r>
        <w:rPr>
          <w:rFonts w:hint="eastAsia"/>
          <w:color w:val="auto"/>
          <w:sz w:val="24"/>
          <w:highlight w:val="none"/>
        </w:rPr>
        <w:t>万元以下的为中小微型企业。其中，营业收入</w:t>
      </w:r>
      <w:r>
        <w:rPr>
          <w:color w:val="auto"/>
          <w:sz w:val="24"/>
          <w:highlight w:val="none"/>
        </w:rPr>
        <w:t>1000</w:t>
      </w:r>
      <w:r>
        <w:rPr>
          <w:rFonts w:hint="eastAsia"/>
          <w:color w:val="auto"/>
          <w:sz w:val="24"/>
          <w:highlight w:val="none"/>
        </w:rPr>
        <w:t>万元及以上，且资产总额</w:t>
      </w:r>
      <w:r>
        <w:rPr>
          <w:color w:val="auto"/>
          <w:sz w:val="24"/>
          <w:highlight w:val="none"/>
        </w:rPr>
        <w:t>5000</w:t>
      </w:r>
      <w:r>
        <w:rPr>
          <w:rFonts w:hint="eastAsia"/>
          <w:color w:val="auto"/>
          <w:sz w:val="24"/>
          <w:highlight w:val="none"/>
        </w:rPr>
        <w:t>万元及以上的为中型企业；营业收入</w:t>
      </w:r>
      <w:r>
        <w:rPr>
          <w:color w:val="auto"/>
          <w:sz w:val="24"/>
          <w:highlight w:val="none"/>
        </w:rPr>
        <w:t>100</w:t>
      </w:r>
      <w:r>
        <w:rPr>
          <w:rFonts w:hint="eastAsia"/>
          <w:color w:val="auto"/>
          <w:sz w:val="24"/>
          <w:highlight w:val="none"/>
        </w:rPr>
        <w:t>万元及以上，且资产总额</w:t>
      </w:r>
      <w:r>
        <w:rPr>
          <w:color w:val="auto"/>
          <w:sz w:val="24"/>
          <w:highlight w:val="none"/>
        </w:rPr>
        <w:t>2000</w:t>
      </w:r>
      <w:r>
        <w:rPr>
          <w:rFonts w:hint="eastAsia"/>
          <w:color w:val="auto"/>
          <w:sz w:val="24"/>
          <w:highlight w:val="none"/>
        </w:rPr>
        <w:t>万元及以上的为小型企业；营业收入</w:t>
      </w:r>
      <w:r>
        <w:rPr>
          <w:color w:val="auto"/>
          <w:sz w:val="24"/>
          <w:highlight w:val="none"/>
        </w:rPr>
        <w:t>100</w:t>
      </w:r>
      <w:r>
        <w:rPr>
          <w:rFonts w:hint="eastAsia"/>
          <w:color w:val="auto"/>
          <w:sz w:val="24"/>
          <w:highlight w:val="none"/>
        </w:rPr>
        <w:t>万元以下或资产总额</w:t>
      </w:r>
      <w:r>
        <w:rPr>
          <w:color w:val="auto"/>
          <w:sz w:val="24"/>
          <w:highlight w:val="none"/>
        </w:rPr>
        <w:t>2000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（十四）物业管理。从业人员</w:t>
      </w:r>
      <w:r>
        <w:rPr>
          <w:color w:val="auto"/>
          <w:sz w:val="24"/>
          <w:highlight w:val="none"/>
        </w:rPr>
        <w:t>1000</w:t>
      </w:r>
      <w:r>
        <w:rPr>
          <w:rFonts w:hint="eastAsia"/>
          <w:color w:val="auto"/>
          <w:sz w:val="24"/>
          <w:highlight w:val="none"/>
        </w:rPr>
        <w:t>人以下或营业收入</w:t>
      </w:r>
      <w:r>
        <w:rPr>
          <w:color w:val="auto"/>
          <w:sz w:val="24"/>
          <w:highlight w:val="none"/>
        </w:rPr>
        <w:t>5000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100</w:t>
      </w:r>
      <w:r>
        <w:rPr>
          <w:rFonts w:hint="eastAsia"/>
          <w:color w:val="auto"/>
          <w:sz w:val="24"/>
          <w:highlight w:val="none"/>
        </w:rPr>
        <w:t>人及以上，且营业收入</w:t>
      </w:r>
      <w:r>
        <w:rPr>
          <w:color w:val="auto"/>
          <w:sz w:val="24"/>
          <w:highlight w:val="none"/>
        </w:rPr>
        <w:t>500</w:t>
      </w:r>
      <w:r>
        <w:rPr>
          <w:rFonts w:hint="eastAsia"/>
          <w:color w:val="auto"/>
          <w:sz w:val="24"/>
          <w:highlight w:val="none"/>
        </w:rPr>
        <w:t>万元及以上的为小型企业；从业人员</w:t>
      </w:r>
      <w:r>
        <w:rPr>
          <w:color w:val="auto"/>
          <w:sz w:val="24"/>
          <w:highlight w:val="none"/>
        </w:rPr>
        <w:t>100</w:t>
      </w:r>
      <w:r>
        <w:rPr>
          <w:rFonts w:hint="eastAsia"/>
          <w:color w:val="auto"/>
          <w:sz w:val="24"/>
          <w:highlight w:val="none"/>
        </w:rPr>
        <w:t>人以下或营业收入</w:t>
      </w:r>
      <w:r>
        <w:rPr>
          <w:color w:val="auto"/>
          <w:sz w:val="24"/>
          <w:highlight w:val="none"/>
        </w:rPr>
        <w:t>500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（十五）租赁和商务服务业。从业人员</w:t>
      </w:r>
      <w:r>
        <w:rPr>
          <w:color w:val="auto"/>
          <w:sz w:val="24"/>
          <w:highlight w:val="none"/>
        </w:rPr>
        <w:t>300</w:t>
      </w:r>
      <w:r>
        <w:rPr>
          <w:rFonts w:hint="eastAsia"/>
          <w:color w:val="auto"/>
          <w:sz w:val="24"/>
          <w:highlight w:val="none"/>
        </w:rPr>
        <w:t>人以下或资产总额</w:t>
      </w:r>
      <w:r>
        <w:rPr>
          <w:color w:val="auto"/>
          <w:sz w:val="24"/>
          <w:highlight w:val="none"/>
        </w:rPr>
        <w:t>120000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人及以上，且资产总额</w:t>
      </w:r>
      <w:r>
        <w:rPr>
          <w:color w:val="auto"/>
          <w:sz w:val="24"/>
          <w:highlight w:val="none"/>
        </w:rPr>
        <w:t>8000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人及以上，且资产总额</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人以下或资产总额</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（十六）其他未列明行业。从业人员</w:t>
      </w:r>
      <w:r>
        <w:rPr>
          <w:color w:val="auto"/>
          <w:sz w:val="24"/>
          <w:highlight w:val="none"/>
        </w:rPr>
        <w:t>300</w:t>
      </w:r>
      <w:r>
        <w:rPr>
          <w:rFonts w:hint="eastAsia"/>
          <w:color w:val="auto"/>
          <w:sz w:val="24"/>
          <w:highlight w:val="none"/>
        </w:rPr>
        <w:t>人以下的为中小微型企业。其中，从业人员</w:t>
      </w:r>
      <w:r>
        <w:rPr>
          <w:color w:val="auto"/>
          <w:sz w:val="24"/>
          <w:highlight w:val="none"/>
        </w:rPr>
        <w:t>100</w:t>
      </w:r>
      <w:r>
        <w:rPr>
          <w:rFonts w:hint="eastAsia"/>
          <w:color w:val="auto"/>
          <w:sz w:val="24"/>
          <w:highlight w:val="none"/>
        </w:rPr>
        <w:t>人及以上的为中型企业；从业人员</w:t>
      </w:r>
      <w:r>
        <w:rPr>
          <w:color w:val="auto"/>
          <w:sz w:val="24"/>
          <w:highlight w:val="none"/>
        </w:rPr>
        <w:t>10</w:t>
      </w:r>
      <w:r>
        <w:rPr>
          <w:rFonts w:hint="eastAsia"/>
          <w:color w:val="auto"/>
          <w:sz w:val="24"/>
          <w:highlight w:val="none"/>
        </w:rPr>
        <w:t>人及以上的为小型企业；从业人员</w:t>
      </w:r>
      <w:r>
        <w:rPr>
          <w:color w:val="auto"/>
          <w:sz w:val="24"/>
          <w:highlight w:val="none"/>
        </w:rPr>
        <w:t>10</w:t>
      </w:r>
      <w:r>
        <w:rPr>
          <w:rFonts w:hint="eastAsia"/>
          <w:color w:val="auto"/>
          <w:sz w:val="24"/>
          <w:highlight w:val="none"/>
        </w:rPr>
        <w:t>人以下的为微型企业。</w:t>
      </w:r>
    </w:p>
    <w:p>
      <w:pPr>
        <w:spacing w:line="360" w:lineRule="auto"/>
        <w:rPr>
          <w:color w:val="auto"/>
          <w:sz w:val="24"/>
          <w:highlight w:val="none"/>
        </w:rPr>
      </w:pPr>
      <w:r>
        <w:rPr>
          <w:rFonts w:hint="eastAsia"/>
          <w:color w:val="auto"/>
          <w:sz w:val="24"/>
          <w:highlight w:val="none"/>
        </w:rPr>
        <w:t>　　五、企业类型的划分以统计部门的统计数据为依据。</w:t>
      </w:r>
    </w:p>
    <w:p>
      <w:pPr>
        <w:spacing w:line="360" w:lineRule="auto"/>
        <w:rPr>
          <w:color w:val="auto"/>
          <w:sz w:val="24"/>
          <w:highlight w:val="none"/>
        </w:rPr>
      </w:pPr>
      <w:r>
        <w:rPr>
          <w:rFonts w:hint="eastAsia"/>
          <w:color w:val="auto"/>
          <w:sz w:val="24"/>
          <w:highlight w:val="none"/>
        </w:rPr>
        <w:t>　　六、本规定适用于在中华人民共和国境内依法设立的各类所有制和各种组织形式的企业。个体工商户和本规定以外的行业，参照本规定进行划型。</w:t>
      </w:r>
    </w:p>
    <w:p>
      <w:pPr>
        <w:spacing w:line="360" w:lineRule="auto"/>
        <w:rPr>
          <w:color w:val="auto"/>
          <w:sz w:val="24"/>
          <w:highlight w:val="none"/>
        </w:rPr>
      </w:pPr>
      <w:r>
        <w:rPr>
          <w:rFonts w:hint="eastAsia"/>
          <w:color w:val="auto"/>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color w:val="auto"/>
          <w:sz w:val="24"/>
          <w:highlight w:val="none"/>
        </w:rPr>
      </w:pPr>
      <w:r>
        <w:rPr>
          <w:rFonts w:hint="eastAsia"/>
          <w:color w:val="auto"/>
          <w:sz w:val="24"/>
          <w:highlight w:val="none"/>
        </w:rPr>
        <w:t>　　八、本规定由工业和信息化部、国家统计局会同有关部门根据《国民经济行业分类》修订情况和企业发展变化情况适时修订。</w:t>
      </w:r>
    </w:p>
    <w:p>
      <w:pPr>
        <w:spacing w:line="360" w:lineRule="auto"/>
        <w:rPr>
          <w:color w:val="auto"/>
          <w:sz w:val="24"/>
          <w:highlight w:val="none"/>
        </w:rPr>
      </w:pPr>
      <w:r>
        <w:rPr>
          <w:rFonts w:hint="eastAsia"/>
          <w:color w:val="auto"/>
          <w:sz w:val="24"/>
          <w:highlight w:val="none"/>
        </w:rPr>
        <w:t>　　九、本规定由工业和信息化部、国家统计局会同有关部门负责解释。</w:t>
      </w:r>
    </w:p>
    <w:p>
      <w:pPr>
        <w:spacing w:line="360" w:lineRule="auto"/>
        <w:rPr>
          <w:color w:val="auto"/>
          <w:sz w:val="24"/>
          <w:highlight w:val="none"/>
        </w:rPr>
      </w:pPr>
      <w:r>
        <w:rPr>
          <w:rFonts w:hint="eastAsia"/>
          <w:color w:val="auto"/>
          <w:sz w:val="24"/>
          <w:highlight w:val="none"/>
        </w:rPr>
        <w:t>　　十、本规定自发布之日起执行，原国家经贸委、原国家计委、财政部和国家统计局</w:t>
      </w:r>
      <w:r>
        <w:rPr>
          <w:color w:val="auto"/>
          <w:sz w:val="24"/>
          <w:highlight w:val="none"/>
        </w:rPr>
        <w:t>2003</w:t>
      </w:r>
      <w:r>
        <w:rPr>
          <w:rFonts w:hint="eastAsia"/>
          <w:color w:val="auto"/>
          <w:sz w:val="24"/>
          <w:highlight w:val="none"/>
        </w:rPr>
        <w:t>年颁布的《中小企业标准暂行规定》同时废止。</w:t>
      </w:r>
    </w:p>
    <w:p>
      <w:pPr>
        <w:spacing w:line="360" w:lineRule="auto"/>
        <w:rPr>
          <w:color w:val="auto"/>
          <w:sz w:val="24"/>
          <w:highlight w:val="none"/>
        </w:rPr>
      </w:pPr>
    </w:p>
    <w:p>
      <w:pPr>
        <w:rPr>
          <w:color w:val="auto"/>
          <w:highlight w:val="none"/>
        </w:rPr>
      </w:pPr>
    </w:p>
    <w:p>
      <w:pPr>
        <w:widowControl/>
        <w:jc w:val="left"/>
        <w:rPr>
          <w:rFonts w:ascii="宋体" w:hAnsi="宋体"/>
          <w:color w:val="auto"/>
          <w:szCs w:val="21"/>
          <w:highlight w:val="none"/>
        </w:rPr>
      </w:pPr>
      <w:r>
        <w:rPr>
          <w:rFonts w:ascii="宋体" w:hAnsi="宋体"/>
          <w:color w:val="auto"/>
          <w:szCs w:val="21"/>
          <w:highlight w:val="none"/>
        </w:rPr>
        <w:br w:type="page"/>
      </w:r>
    </w:p>
    <w:p>
      <w:pPr>
        <w:pStyle w:val="39"/>
        <w:rPr>
          <w:rFonts w:ascii="宋体" w:hAnsi="宋体"/>
          <w:color w:val="auto"/>
          <w:sz w:val="30"/>
          <w:szCs w:val="40"/>
          <w:highlight w:val="none"/>
        </w:rPr>
      </w:pPr>
      <w:bookmarkStart w:id="792" w:name="_Toc26141"/>
      <w:bookmarkStart w:id="793" w:name="_Toc6925"/>
      <w:bookmarkStart w:id="794" w:name="_Toc89373411"/>
      <w:r>
        <w:rPr>
          <w:rFonts w:hint="eastAsia" w:ascii="宋体" w:hAnsi="宋体"/>
          <w:color w:val="auto"/>
          <w:sz w:val="30"/>
          <w:szCs w:val="40"/>
          <w:highlight w:val="none"/>
        </w:rPr>
        <w:t>关于印发《政府采购促进中小企业发展管理办法》的通知</w:t>
      </w:r>
      <w:bookmarkEnd w:id="792"/>
      <w:bookmarkEnd w:id="793"/>
      <w:bookmarkEnd w:id="794"/>
    </w:p>
    <w:p>
      <w:pPr>
        <w:shd w:val="clear" w:color="auto" w:fill="FFFFFF"/>
        <w:spacing w:line="360" w:lineRule="auto"/>
        <w:ind w:firstLine="480"/>
        <w:jc w:val="center"/>
        <w:rPr>
          <w:rFonts w:ascii="Arial" w:hAnsi="Arial" w:cs="Arial"/>
          <w:color w:val="auto"/>
          <w:sz w:val="24"/>
          <w:highlight w:val="none"/>
        </w:rPr>
      </w:pPr>
      <w:r>
        <w:rPr>
          <w:rFonts w:hint="eastAsia" w:ascii="Arial" w:hAnsi="Arial" w:cs="Arial"/>
          <w:color w:val="auto"/>
          <w:sz w:val="24"/>
          <w:highlight w:val="none"/>
        </w:rPr>
        <w:t>财库〔</w:t>
      </w:r>
      <w:r>
        <w:rPr>
          <w:rFonts w:ascii="Arial" w:hAnsi="Arial" w:cs="Arial"/>
          <w:color w:val="auto"/>
          <w:sz w:val="24"/>
          <w:highlight w:val="none"/>
        </w:rPr>
        <w:t>2020</w:t>
      </w:r>
      <w:r>
        <w:rPr>
          <w:rFonts w:hint="eastAsia" w:ascii="Arial" w:hAnsi="Arial" w:cs="Arial"/>
          <w:color w:val="auto"/>
          <w:sz w:val="24"/>
          <w:highlight w:val="none"/>
        </w:rPr>
        <w:t>〕</w:t>
      </w:r>
      <w:r>
        <w:rPr>
          <w:rFonts w:ascii="Arial" w:hAnsi="Arial" w:cs="Arial"/>
          <w:color w:val="auto"/>
          <w:sz w:val="24"/>
          <w:highlight w:val="none"/>
        </w:rPr>
        <w:t>46</w:t>
      </w:r>
      <w:r>
        <w:rPr>
          <w:rFonts w:hint="eastAsia" w:ascii="Arial" w:hAnsi="Arial" w:cs="Arial"/>
          <w:color w:val="auto"/>
          <w:sz w:val="24"/>
          <w:highlight w:val="none"/>
        </w:rPr>
        <w:t>号</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各中央预算单位办公厅（室），各省、自治区、直辖市、计划单列市财政厅（局）、工业和信息化主管部门，新疆生产建设兵团财政局、工业和信息化主管部门：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附件：政府采购促进中小企业发展管理办法</w:t>
      </w:r>
    </w:p>
    <w:p>
      <w:pPr>
        <w:shd w:val="clear" w:color="auto" w:fill="FFFFFF"/>
        <w:spacing w:line="360" w:lineRule="auto"/>
        <w:ind w:firstLine="480"/>
        <w:jc w:val="right"/>
        <w:rPr>
          <w:rFonts w:ascii="Arial" w:hAnsi="Arial" w:cs="Arial"/>
          <w:color w:val="auto"/>
          <w:sz w:val="24"/>
          <w:highlight w:val="none"/>
        </w:rPr>
      </w:pPr>
      <w:r>
        <w:rPr>
          <w:rFonts w:hint="eastAsia" w:ascii="Arial" w:hAnsi="Arial" w:cs="Arial"/>
          <w:color w:val="auto"/>
          <w:sz w:val="24"/>
          <w:highlight w:val="none"/>
        </w:rPr>
        <w:t>财</w:t>
      </w:r>
      <w:r>
        <w:rPr>
          <w:rFonts w:ascii="Arial" w:hAnsi="Arial" w:cs="Arial"/>
          <w:color w:val="auto"/>
          <w:sz w:val="24"/>
          <w:highlight w:val="none"/>
        </w:rPr>
        <w:t xml:space="preserve">  </w:t>
      </w:r>
      <w:r>
        <w:rPr>
          <w:rFonts w:hint="eastAsia" w:ascii="Arial" w:hAnsi="Arial" w:cs="Arial"/>
          <w:color w:val="auto"/>
          <w:sz w:val="24"/>
          <w:highlight w:val="none"/>
        </w:rPr>
        <w:t>政</w:t>
      </w:r>
      <w:r>
        <w:rPr>
          <w:rFonts w:ascii="Arial" w:hAnsi="Arial" w:cs="Arial"/>
          <w:color w:val="auto"/>
          <w:sz w:val="24"/>
          <w:highlight w:val="none"/>
        </w:rPr>
        <w:t xml:space="preserve">  </w:t>
      </w:r>
      <w:r>
        <w:rPr>
          <w:rFonts w:hint="eastAsia" w:ascii="Arial" w:hAnsi="Arial" w:cs="Arial"/>
          <w:color w:val="auto"/>
          <w:sz w:val="24"/>
          <w:highlight w:val="none"/>
        </w:rPr>
        <w:t>部</w:t>
      </w:r>
    </w:p>
    <w:p>
      <w:pPr>
        <w:shd w:val="clear" w:color="auto" w:fill="FFFFFF"/>
        <w:spacing w:line="360" w:lineRule="auto"/>
        <w:ind w:firstLine="480"/>
        <w:jc w:val="right"/>
        <w:rPr>
          <w:rFonts w:ascii="Arial" w:hAnsi="Arial" w:cs="Arial"/>
          <w:color w:val="auto"/>
          <w:sz w:val="24"/>
          <w:highlight w:val="none"/>
        </w:rPr>
      </w:pPr>
      <w:r>
        <w:rPr>
          <w:rFonts w:hint="eastAsia" w:ascii="Arial" w:hAnsi="Arial" w:cs="Arial"/>
          <w:color w:val="auto"/>
          <w:sz w:val="24"/>
          <w:highlight w:val="none"/>
        </w:rPr>
        <w:t>工业和信息化部</w:t>
      </w:r>
    </w:p>
    <w:p>
      <w:pPr>
        <w:shd w:val="clear" w:color="auto" w:fill="FFFFFF"/>
        <w:spacing w:line="360" w:lineRule="auto"/>
        <w:ind w:firstLine="480"/>
        <w:jc w:val="right"/>
        <w:rPr>
          <w:rFonts w:ascii="Arial" w:hAnsi="Arial" w:cs="Arial"/>
          <w:color w:val="auto"/>
          <w:sz w:val="24"/>
          <w:highlight w:val="none"/>
        </w:rPr>
      </w:pPr>
      <w:r>
        <w:rPr>
          <w:rFonts w:ascii="Arial" w:hAnsi="Arial" w:cs="Arial"/>
          <w:color w:val="auto"/>
          <w:sz w:val="24"/>
          <w:highlight w:val="none"/>
        </w:rPr>
        <w:t>2020</w:t>
      </w:r>
      <w:r>
        <w:rPr>
          <w:rFonts w:hint="eastAsia" w:ascii="Arial" w:hAnsi="Arial" w:cs="Arial"/>
          <w:color w:val="auto"/>
          <w:sz w:val="24"/>
          <w:highlight w:val="none"/>
        </w:rPr>
        <w:t>年</w:t>
      </w:r>
      <w:r>
        <w:rPr>
          <w:rFonts w:ascii="Arial" w:hAnsi="Arial" w:cs="Arial"/>
          <w:color w:val="auto"/>
          <w:sz w:val="24"/>
          <w:highlight w:val="none"/>
        </w:rPr>
        <w:t>12</w:t>
      </w:r>
      <w:r>
        <w:rPr>
          <w:rFonts w:hint="eastAsia" w:ascii="Arial" w:hAnsi="Arial" w:cs="Arial"/>
          <w:color w:val="auto"/>
          <w:sz w:val="24"/>
          <w:highlight w:val="none"/>
        </w:rPr>
        <w:t>月</w:t>
      </w:r>
      <w:r>
        <w:rPr>
          <w:rFonts w:ascii="Arial" w:hAnsi="Arial" w:cs="Arial"/>
          <w:color w:val="auto"/>
          <w:sz w:val="24"/>
          <w:highlight w:val="none"/>
        </w:rPr>
        <w:t>18</w:t>
      </w:r>
      <w:r>
        <w:rPr>
          <w:rFonts w:hint="eastAsia" w:ascii="Arial" w:hAnsi="Arial" w:cs="Arial"/>
          <w:color w:val="auto"/>
          <w:sz w:val="24"/>
          <w:highlight w:val="none"/>
        </w:rPr>
        <w:t>日</w:t>
      </w:r>
    </w:p>
    <w:p>
      <w:pPr>
        <w:pStyle w:val="12"/>
        <w:spacing w:line="360" w:lineRule="auto"/>
        <w:rPr>
          <w:color w:val="auto"/>
          <w:sz w:val="24"/>
          <w:highlight w:val="none"/>
        </w:rPr>
      </w:pPr>
    </w:p>
    <w:p>
      <w:pPr>
        <w:shd w:val="clear" w:color="auto" w:fill="FFFFFF"/>
        <w:spacing w:line="360" w:lineRule="auto"/>
        <w:ind w:firstLine="480"/>
        <w:jc w:val="center"/>
        <w:rPr>
          <w:rFonts w:ascii="Arial" w:hAnsi="Arial" w:cs="Arial"/>
          <w:color w:val="auto"/>
          <w:sz w:val="24"/>
          <w:highlight w:val="none"/>
        </w:rPr>
      </w:pPr>
      <w:r>
        <w:rPr>
          <w:rFonts w:hint="eastAsia" w:ascii="Arial" w:hAnsi="Arial" w:cs="Arial"/>
          <w:b/>
          <w:bCs/>
          <w:color w:val="auto"/>
          <w:sz w:val="24"/>
          <w:highlight w:val="none"/>
        </w:rPr>
        <w:t>政府采购促进中小企业发展管理办法</w:t>
      </w:r>
    </w:p>
    <w:p>
      <w:pPr>
        <w:shd w:val="clear" w:color="auto" w:fill="FFFFFF"/>
        <w:spacing w:line="360" w:lineRule="auto"/>
        <w:ind w:firstLine="480"/>
        <w:rPr>
          <w:rFonts w:ascii="Arial" w:hAnsi="Arial" w:cs="Arial"/>
          <w:color w:val="auto"/>
          <w:sz w:val="24"/>
          <w:highlight w:val="none"/>
        </w:rPr>
      </w:pP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第一条</w:t>
      </w:r>
      <w:r>
        <w:rPr>
          <w:rFonts w:ascii="Arial" w:hAnsi="Arial" w:cs="Arial"/>
          <w:color w:val="auto"/>
          <w:sz w:val="24"/>
          <w:highlight w:val="none"/>
        </w:rPr>
        <w:t xml:space="preserve"> </w:t>
      </w:r>
      <w:r>
        <w:rPr>
          <w:rFonts w:hint="eastAsia" w:ascii="Arial" w:hAnsi="Arial" w:cs="Arial"/>
          <w:color w:val="auto"/>
          <w:sz w:val="24"/>
          <w:highlight w:val="none"/>
        </w:rPr>
        <w:t>为了发挥政府采购的政策功能，促进中小企业健康发展，根据《中华人民共和国政府采购法》、《</w:t>
      </w:r>
      <w:r>
        <w:rPr>
          <w:color w:val="auto"/>
          <w:highlight w:val="none"/>
        </w:rPr>
        <w:fldChar w:fldCharType="begin"/>
      </w:r>
      <w:r>
        <w:rPr>
          <w:color w:val="auto"/>
          <w:highlight w:val="none"/>
        </w:rPr>
        <w:instrText xml:space="preserve"> HYPERLINK "https://baike.baidu.com/item/%E4%B8%AD%E5%8D%8E%E4%BA%BA%E6%B0%91%E5%85%B1%E5%92%8C%E5%9B%BD%E4%B8%AD%E5%B0%8F%E4%BC%81%E4%B8%9A%E4%BF%83%E8%BF%9B%E6%B3%95/7954532" \t "_blank" </w:instrText>
      </w:r>
      <w:r>
        <w:rPr>
          <w:color w:val="auto"/>
          <w:highlight w:val="none"/>
        </w:rPr>
        <w:fldChar w:fldCharType="separate"/>
      </w:r>
      <w:r>
        <w:rPr>
          <w:rStyle w:val="48"/>
          <w:rFonts w:hint="eastAsia" w:ascii="Arial" w:hAnsi="Arial" w:cs="Arial"/>
          <w:color w:val="auto"/>
          <w:sz w:val="24"/>
          <w:szCs w:val="24"/>
          <w:highlight w:val="none"/>
        </w:rPr>
        <w:t>中华人民共和国中小企业促进法</w:t>
      </w:r>
      <w:r>
        <w:rPr>
          <w:rStyle w:val="48"/>
          <w:rFonts w:hint="eastAsia" w:ascii="Arial" w:hAnsi="Arial" w:cs="Arial"/>
          <w:color w:val="auto"/>
          <w:sz w:val="24"/>
          <w:szCs w:val="24"/>
          <w:highlight w:val="none"/>
        </w:rPr>
        <w:fldChar w:fldCharType="end"/>
      </w:r>
      <w:r>
        <w:rPr>
          <w:rFonts w:hint="eastAsia" w:ascii="Arial" w:hAnsi="Arial" w:cs="Arial"/>
          <w:color w:val="auto"/>
          <w:sz w:val="24"/>
          <w:highlight w:val="none"/>
        </w:rPr>
        <w:t>》等有关法律法规，制定本办法。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第二条</w:t>
      </w:r>
      <w:r>
        <w:rPr>
          <w:rFonts w:ascii="Arial" w:hAnsi="Arial" w:cs="Arial"/>
          <w:color w:val="auto"/>
          <w:sz w:val="24"/>
          <w:highlight w:val="none"/>
        </w:rPr>
        <w:t xml:space="preserve"> </w:t>
      </w:r>
      <w:r>
        <w:rPr>
          <w:rFonts w:hint="eastAsia" w:ascii="Arial" w:hAnsi="Arial" w:cs="Arial"/>
          <w:color w:val="auto"/>
          <w:sz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第三条</w:t>
      </w:r>
      <w:r>
        <w:rPr>
          <w:rFonts w:ascii="Arial" w:hAnsi="Arial" w:cs="Arial"/>
          <w:color w:val="auto"/>
          <w:sz w:val="24"/>
          <w:highlight w:val="none"/>
        </w:rPr>
        <w:t xml:space="preserve"> </w:t>
      </w:r>
      <w:r>
        <w:rPr>
          <w:rFonts w:hint="eastAsia" w:ascii="Arial" w:hAnsi="Arial" w:cs="Arial"/>
          <w:color w:val="auto"/>
          <w:sz w:val="24"/>
          <w:highlight w:val="none"/>
        </w:rPr>
        <w:t>采购人在政府采购活动中应当通过加强采购需求管理，落实预留采购份额、价格评审优惠、优先采购等措施，提高中小企业在政府采购中的份额，支持中小企业发展。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第四条</w:t>
      </w:r>
      <w:r>
        <w:rPr>
          <w:rFonts w:ascii="Arial" w:hAnsi="Arial" w:cs="Arial"/>
          <w:color w:val="auto"/>
          <w:sz w:val="24"/>
          <w:highlight w:val="none"/>
        </w:rPr>
        <w:t xml:space="preserve"> </w:t>
      </w:r>
      <w:r>
        <w:rPr>
          <w:rFonts w:hint="eastAsia" w:ascii="Arial" w:hAnsi="Arial" w:cs="Arial"/>
          <w:color w:val="auto"/>
          <w:sz w:val="24"/>
          <w:highlight w:val="none"/>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第五条</w:t>
      </w:r>
      <w:r>
        <w:rPr>
          <w:rFonts w:ascii="Arial" w:hAnsi="Arial" w:cs="Arial"/>
          <w:color w:val="auto"/>
          <w:sz w:val="24"/>
          <w:highlight w:val="none"/>
        </w:rPr>
        <w:t xml:space="preserve"> </w:t>
      </w:r>
      <w:r>
        <w:rPr>
          <w:rFonts w:hint="eastAsia" w:ascii="Arial" w:hAnsi="Arial" w:cs="Arial"/>
          <w:color w:val="auto"/>
          <w:sz w:val="24"/>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第六条</w:t>
      </w:r>
      <w:r>
        <w:rPr>
          <w:rFonts w:ascii="Arial" w:hAnsi="Arial" w:cs="Arial"/>
          <w:color w:val="auto"/>
          <w:sz w:val="24"/>
          <w:highlight w:val="none"/>
        </w:rPr>
        <w:t xml:space="preserve"> </w:t>
      </w:r>
      <w:r>
        <w:rPr>
          <w:rFonts w:hint="eastAsia" w:ascii="Arial" w:hAnsi="Arial" w:cs="Arial"/>
          <w:color w:val="auto"/>
          <w:sz w:val="24"/>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一）法律法规和国家有关政策明确规定优先或者应当面向事业单位、社会组织等非企业主体采购的；（二）因确需使用不可替代的专利、专有技术，基础设施限制，或者提供特定公共服务等原因，只能从中小企业之外的供应商处采购的；</w:t>
      </w:r>
      <w:r>
        <w:rPr>
          <w:rFonts w:ascii="Arial" w:hAnsi="Arial" w:cs="Arial"/>
          <w:color w:val="auto"/>
          <w:sz w:val="24"/>
          <w:highlight w:val="none"/>
        </w:rPr>
        <w:t>3</w:t>
      </w:r>
      <w:r>
        <w:rPr>
          <w:rFonts w:hint="eastAsia" w:ascii="Arial" w:hAnsi="Arial" w:cs="Arial"/>
          <w:color w:val="auto"/>
          <w:sz w:val="24"/>
          <w:highlight w:val="none"/>
        </w:rPr>
        <w:t>（三）按照本办法规定预留采购份额无法确保充分供应、充分竞争，或者存在可能影响政府采购目标实现的情形；（四）框架协议采购项目；（五）省级以上人民政府财政部门规定的其他情形。除上述情形外，其他均为适宜由中小企业提供的情形。</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第七条</w:t>
      </w:r>
      <w:r>
        <w:rPr>
          <w:rFonts w:ascii="Arial" w:hAnsi="Arial" w:cs="Arial"/>
          <w:color w:val="auto"/>
          <w:sz w:val="24"/>
          <w:highlight w:val="none"/>
        </w:rPr>
        <w:t xml:space="preserve"> </w:t>
      </w:r>
      <w:r>
        <w:rPr>
          <w:rFonts w:hint="eastAsia" w:ascii="Arial" w:hAnsi="Arial" w:cs="Arial"/>
          <w:color w:val="auto"/>
          <w:sz w:val="24"/>
          <w:highlight w:val="none"/>
        </w:rPr>
        <w:t>采购限额标准以上，</w:t>
      </w:r>
      <w:r>
        <w:rPr>
          <w:rFonts w:ascii="Arial" w:hAnsi="Arial" w:cs="Arial"/>
          <w:color w:val="auto"/>
          <w:sz w:val="24"/>
          <w:highlight w:val="none"/>
        </w:rPr>
        <w:t xml:space="preserve">200 </w:t>
      </w:r>
      <w:r>
        <w:rPr>
          <w:rFonts w:hint="eastAsia" w:ascii="Arial" w:hAnsi="Arial" w:cs="Arial"/>
          <w:color w:val="auto"/>
          <w:sz w:val="24"/>
          <w:highlight w:val="none"/>
        </w:rPr>
        <w:t>万元以下的货物和服务采购项目、</w:t>
      </w:r>
      <w:r>
        <w:rPr>
          <w:rFonts w:ascii="Arial" w:hAnsi="Arial" w:cs="Arial"/>
          <w:color w:val="auto"/>
          <w:sz w:val="24"/>
          <w:highlight w:val="none"/>
        </w:rPr>
        <w:t xml:space="preserve">400 </w:t>
      </w:r>
      <w:r>
        <w:rPr>
          <w:rFonts w:hint="eastAsia" w:ascii="Arial" w:hAnsi="Arial" w:cs="Arial"/>
          <w:color w:val="auto"/>
          <w:sz w:val="24"/>
          <w:highlight w:val="none"/>
        </w:rPr>
        <w:t>万元以下的工程采购项目，适宜由中小企业提供的，采购人应当专门面向中小企业采购。</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第八条</w:t>
      </w:r>
      <w:r>
        <w:rPr>
          <w:rFonts w:ascii="Arial" w:hAnsi="Arial" w:cs="Arial"/>
          <w:color w:val="auto"/>
          <w:sz w:val="24"/>
          <w:highlight w:val="none"/>
        </w:rPr>
        <w:t xml:space="preserve"> </w:t>
      </w:r>
      <w:r>
        <w:rPr>
          <w:rFonts w:hint="eastAsia" w:ascii="Arial" w:hAnsi="Arial" w:cs="Arial"/>
          <w:color w:val="auto"/>
          <w:sz w:val="24"/>
          <w:highlight w:val="none"/>
        </w:rPr>
        <w:t>超过</w:t>
      </w:r>
      <w:r>
        <w:rPr>
          <w:rFonts w:ascii="Arial" w:hAnsi="Arial" w:cs="Arial"/>
          <w:color w:val="auto"/>
          <w:sz w:val="24"/>
          <w:highlight w:val="none"/>
        </w:rPr>
        <w:t xml:space="preserve"> 200 </w:t>
      </w:r>
      <w:r>
        <w:rPr>
          <w:rFonts w:hint="eastAsia" w:ascii="Arial" w:hAnsi="Arial" w:cs="Arial"/>
          <w:color w:val="auto"/>
          <w:sz w:val="24"/>
          <w:highlight w:val="none"/>
        </w:rPr>
        <w:t>万元的货物和服务采购项目、超过</w:t>
      </w:r>
      <w:r>
        <w:rPr>
          <w:rFonts w:ascii="Arial" w:hAnsi="Arial" w:cs="Arial"/>
          <w:color w:val="auto"/>
          <w:sz w:val="24"/>
          <w:highlight w:val="none"/>
        </w:rPr>
        <w:t xml:space="preserve">400 </w:t>
      </w:r>
      <w:r>
        <w:rPr>
          <w:rFonts w:hint="eastAsia" w:ascii="Arial" w:hAnsi="Arial" w:cs="Arial"/>
          <w:color w:val="auto"/>
          <w:sz w:val="24"/>
          <w:highlight w:val="none"/>
        </w:rPr>
        <w:t>万元的工程采购项目中适宜由中小企业提供的，预留该部分采购项目预算总额的</w:t>
      </w:r>
      <w:r>
        <w:rPr>
          <w:rFonts w:ascii="Arial" w:hAnsi="Arial" w:cs="Arial"/>
          <w:color w:val="auto"/>
          <w:sz w:val="24"/>
          <w:highlight w:val="none"/>
        </w:rPr>
        <w:t xml:space="preserve"> 30%</w:t>
      </w:r>
      <w:r>
        <w:rPr>
          <w:rFonts w:hint="eastAsia" w:ascii="Arial" w:hAnsi="Arial" w:cs="Arial"/>
          <w:color w:val="auto"/>
          <w:sz w:val="24"/>
          <w:highlight w:val="none"/>
        </w:rPr>
        <w:t>以上专门面向中小企业采购，其中预留给小微企业的比例不低于</w:t>
      </w:r>
      <w:r>
        <w:rPr>
          <w:rFonts w:ascii="Arial" w:hAnsi="Arial" w:cs="Arial"/>
          <w:color w:val="auto"/>
          <w:sz w:val="24"/>
          <w:highlight w:val="none"/>
        </w:rPr>
        <w:t xml:space="preserve"> 60%</w:t>
      </w:r>
      <w:r>
        <w:rPr>
          <w:rFonts w:hint="eastAsia" w:ascii="Arial" w:hAnsi="Arial" w:cs="Arial"/>
          <w:color w:val="auto"/>
          <w:sz w:val="24"/>
          <w:highlight w:val="none"/>
        </w:rPr>
        <w:t>。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第九条</w:t>
      </w:r>
      <w:r>
        <w:rPr>
          <w:rFonts w:ascii="Arial" w:hAnsi="Arial" w:cs="Arial"/>
          <w:color w:val="auto"/>
          <w:sz w:val="24"/>
          <w:highlight w:val="none"/>
        </w:rPr>
        <w:t xml:space="preserve"> </w:t>
      </w:r>
      <w:r>
        <w:rPr>
          <w:rFonts w:hint="eastAsia" w:ascii="Arial" w:hAnsi="Arial" w:cs="Arial"/>
          <w:color w:val="auto"/>
          <w:sz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ascii="Arial" w:hAnsi="Arial" w:cs="Arial"/>
          <w:color w:val="auto"/>
          <w:sz w:val="24"/>
          <w:highlight w:val="none"/>
        </w:rPr>
        <w:t xml:space="preserve"> 6%—10%</w:t>
      </w:r>
      <w:r>
        <w:rPr>
          <w:rFonts w:hint="eastAsia" w:ascii="Arial" w:hAnsi="Arial" w:cs="Arial"/>
          <w:color w:val="auto"/>
          <w:sz w:val="24"/>
          <w:highlight w:val="none"/>
        </w:rPr>
        <w:t>（工程项目为</w:t>
      </w:r>
      <w:r>
        <w:rPr>
          <w:rFonts w:ascii="Arial" w:hAnsi="Arial" w:cs="Arial"/>
          <w:color w:val="auto"/>
          <w:sz w:val="24"/>
          <w:highlight w:val="none"/>
        </w:rPr>
        <w:t xml:space="preserve"> 3%—5%</w:t>
      </w:r>
      <w:r>
        <w:rPr>
          <w:rFonts w:hint="eastAsia" w:ascii="Arial" w:hAnsi="Arial" w:cs="Arial"/>
          <w:color w:val="auto"/>
          <w:sz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Arial" w:hAnsi="Arial" w:cs="Arial"/>
          <w:color w:val="auto"/>
          <w:sz w:val="24"/>
          <w:highlight w:val="none"/>
        </w:rPr>
        <w:t xml:space="preserve"> 3%—5%</w:t>
      </w:r>
      <w:r>
        <w:rPr>
          <w:rFonts w:hint="eastAsia" w:ascii="Arial" w:hAnsi="Arial" w:cs="Arial"/>
          <w:color w:val="auto"/>
          <w:sz w:val="24"/>
          <w:highlight w:val="none"/>
        </w:rPr>
        <w:t>作为其价格分。接受大中型企业与小微企业组成联合体或者允许大中型企业向一家或者多家小微企业分包的采购项目，对于联合协议或者分包意向协议约定小微企业的合同份额占到合同总金额</w:t>
      </w:r>
      <w:r>
        <w:rPr>
          <w:rFonts w:ascii="Arial" w:hAnsi="Arial" w:cs="Arial"/>
          <w:color w:val="auto"/>
          <w:sz w:val="24"/>
          <w:highlight w:val="none"/>
        </w:rPr>
        <w:t xml:space="preserve"> 30%</w:t>
      </w:r>
      <w:r>
        <w:rPr>
          <w:rFonts w:hint="eastAsia" w:ascii="Arial" w:hAnsi="Arial" w:cs="Arial"/>
          <w:color w:val="auto"/>
          <w:sz w:val="24"/>
          <w:highlight w:val="none"/>
        </w:rPr>
        <w:t>以上的，采购人、采购代理机构应当对联合体或者大中型企业的报价给予</w:t>
      </w:r>
      <w:r>
        <w:rPr>
          <w:rFonts w:ascii="Arial" w:hAnsi="Arial" w:cs="Arial"/>
          <w:color w:val="auto"/>
          <w:sz w:val="24"/>
          <w:highlight w:val="none"/>
        </w:rPr>
        <w:t xml:space="preserve"> 2%-3%</w:t>
      </w:r>
      <w:r>
        <w:rPr>
          <w:rFonts w:hint="eastAsia" w:ascii="Arial" w:hAnsi="Arial" w:cs="Arial"/>
          <w:color w:val="auto"/>
          <w:sz w:val="24"/>
          <w:highlight w:val="none"/>
        </w:rPr>
        <w:t>（工程项目为</w:t>
      </w:r>
      <w:r>
        <w:rPr>
          <w:rFonts w:ascii="Arial" w:hAnsi="Arial" w:cs="Arial"/>
          <w:color w:val="auto"/>
          <w:sz w:val="24"/>
          <w:highlight w:val="none"/>
        </w:rPr>
        <w:t xml:space="preserve"> 1%—2%</w:t>
      </w:r>
      <w:r>
        <w:rPr>
          <w:rFonts w:hint="eastAsia" w:ascii="Arial" w:hAnsi="Arial" w:cs="Arial"/>
          <w:color w:val="auto"/>
          <w:sz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Arial" w:hAnsi="Arial" w:cs="Arial"/>
          <w:color w:val="auto"/>
          <w:sz w:val="24"/>
          <w:highlight w:val="none"/>
        </w:rPr>
        <w:t xml:space="preserve"> 1%—2%</w:t>
      </w:r>
      <w:r>
        <w:rPr>
          <w:rFonts w:hint="eastAsia" w:ascii="Arial" w:hAnsi="Arial" w:cs="Arial"/>
          <w:color w:val="auto"/>
          <w:sz w:val="24"/>
          <w:highlight w:val="none"/>
        </w:rPr>
        <w:t>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第十条</w:t>
      </w:r>
      <w:r>
        <w:rPr>
          <w:rFonts w:ascii="Arial" w:hAnsi="Arial" w:cs="Arial"/>
          <w:color w:val="auto"/>
          <w:sz w:val="24"/>
          <w:highlight w:val="none"/>
        </w:rPr>
        <w:t xml:space="preserve"> </w:t>
      </w:r>
      <w:r>
        <w:rPr>
          <w:rFonts w:hint="eastAsia" w:ascii="Arial" w:hAnsi="Arial" w:cs="Arial"/>
          <w:color w:val="auto"/>
          <w:sz w:val="24"/>
          <w:highlight w:val="none"/>
        </w:rPr>
        <w:t>采购人应当严格按照本办法规定和主管预算单位制定的预留采购份额具体方案开展采购活动。预留份额的采购项目或者采购包，通过发布公告方式邀请供应商后，符合资格条件的中小企业数量不足</w:t>
      </w:r>
      <w:r>
        <w:rPr>
          <w:rFonts w:ascii="Arial" w:hAnsi="Arial" w:cs="Arial"/>
          <w:color w:val="auto"/>
          <w:sz w:val="24"/>
          <w:highlight w:val="none"/>
        </w:rPr>
        <w:t xml:space="preserve"> 3 </w:t>
      </w:r>
      <w:r>
        <w:rPr>
          <w:rFonts w:hint="eastAsia" w:ascii="Arial" w:hAnsi="Arial" w:cs="Arial"/>
          <w:color w:val="auto"/>
          <w:sz w:val="24"/>
          <w:highlight w:val="none"/>
        </w:rPr>
        <w:t>家的，应当中止采购活动，视同未预留份额的采购项目或者采购包，按照本办法第九条有关规定重新组织采购活动。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第十一条</w:t>
      </w:r>
      <w:r>
        <w:rPr>
          <w:rFonts w:ascii="Arial" w:hAnsi="Arial" w:cs="Arial"/>
          <w:color w:val="auto"/>
          <w:sz w:val="24"/>
          <w:highlight w:val="none"/>
        </w:rPr>
        <w:t xml:space="preserve"> </w:t>
      </w:r>
      <w:r>
        <w:rPr>
          <w:rFonts w:hint="eastAsia" w:ascii="Arial" w:hAnsi="Arial" w:cs="Arial"/>
          <w:color w:val="auto"/>
          <w:sz w:val="24"/>
          <w:highlight w:val="none"/>
        </w:rPr>
        <w:t>中小企业参加政府采购活动，应当出具本办法规定的《中小企业声明函》（附</w:t>
      </w:r>
      <w:r>
        <w:rPr>
          <w:rFonts w:ascii="Arial" w:hAnsi="Arial" w:cs="Arial"/>
          <w:color w:val="auto"/>
          <w:sz w:val="24"/>
          <w:highlight w:val="none"/>
        </w:rPr>
        <w:t xml:space="preserve"> 1</w:t>
      </w:r>
      <w:r>
        <w:rPr>
          <w:rFonts w:hint="eastAsia" w:ascii="Arial" w:hAnsi="Arial" w:cs="Arial"/>
          <w:color w:val="auto"/>
          <w:sz w:val="24"/>
          <w:highlight w:val="none"/>
        </w:rPr>
        <w:t>），否则不得享受相关中小企业扶持政策。任何单位和个人不得要求供应商提供《中小企业声明函》之外的中小企业身份证明文件。</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第十二条</w:t>
      </w:r>
      <w:r>
        <w:rPr>
          <w:rFonts w:ascii="Arial" w:hAnsi="Arial" w:cs="Arial"/>
          <w:color w:val="auto"/>
          <w:sz w:val="24"/>
          <w:highlight w:val="none"/>
        </w:rPr>
        <w:t xml:space="preserve"> </w:t>
      </w:r>
      <w:r>
        <w:rPr>
          <w:rFonts w:hint="eastAsia" w:ascii="Arial" w:hAnsi="Arial" w:cs="Arial"/>
          <w:color w:val="auto"/>
          <w:sz w:val="24"/>
          <w:highlight w:val="none"/>
        </w:rPr>
        <w:t>采购项目涉及中小企业采购的，采购文件应当明确以下内容：（一）预留份额的采购项目或者采购包，明确该项目或相关采购包专门面向中小企业采购，以及相关标的及预算金额；（二）要求以联合体形式参加或者合同分包的，明确联合协议或者分包意向协议中中小企业合同金额应当达到的比例，并作为供应商资格条件；（三）非预留份额的采购项目或者采购包，明确有关价格扣除比例或者价格分加分比例；（四）规定依据本办法规定享受扶持政策获得政府采购合同的，小微企业不得将合同分包给大中型企业，中型企业不得将合同分包给大型企业；（五）采购人认为具备相关条件的，明确对中小企业在资金支付期限、预付款比例等方面的优惠措施；（六）明确采购标的对应的中小企业划分标准所属行业；（七）法律法规和省级以上人民政府财政部门规定的其他事项。</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第十三条</w:t>
      </w:r>
      <w:r>
        <w:rPr>
          <w:rFonts w:ascii="Arial" w:hAnsi="Arial" w:cs="Arial"/>
          <w:color w:val="auto"/>
          <w:sz w:val="24"/>
          <w:highlight w:val="none"/>
        </w:rPr>
        <w:t xml:space="preserve"> </w:t>
      </w:r>
      <w:r>
        <w:rPr>
          <w:rFonts w:hint="eastAsia" w:ascii="Arial" w:hAnsi="Arial" w:cs="Arial"/>
          <w:color w:val="auto"/>
          <w:sz w:val="24"/>
          <w:highlight w:val="none"/>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第十四条</w:t>
      </w:r>
      <w:r>
        <w:rPr>
          <w:rFonts w:ascii="Arial" w:hAnsi="Arial" w:cs="Arial"/>
          <w:color w:val="auto"/>
          <w:sz w:val="24"/>
          <w:highlight w:val="none"/>
        </w:rPr>
        <w:t xml:space="preserve"> </w:t>
      </w:r>
      <w:r>
        <w:rPr>
          <w:rFonts w:hint="eastAsia" w:ascii="Arial" w:hAnsi="Arial" w:cs="Arial"/>
          <w:color w:val="auto"/>
          <w:sz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第十五条</w:t>
      </w:r>
      <w:r>
        <w:rPr>
          <w:rFonts w:ascii="Arial" w:hAnsi="Arial" w:cs="Arial"/>
          <w:color w:val="auto"/>
          <w:sz w:val="24"/>
          <w:highlight w:val="none"/>
        </w:rPr>
        <w:t xml:space="preserve"> </w:t>
      </w:r>
      <w:r>
        <w:rPr>
          <w:rFonts w:hint="eastAsia" w:ascii="Arial" w:hAnsi="Arial" w:cs="Arial"/>
          <w:color w:val="auto"/>
          <w:sz w:val="24"/>
          <w:highlight w:val="none"/>
        </w:rPr>
        <w:t>鼓励各地区、各部门在采购活动中允许中小企业引入信用担保手段，为中小企业在投标（响应）保证、履约保证等方面提供专业化服务。鼓励中小企业依法合规通过政府采购合同融资。</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第十六条</w:t>
      </w:r>
      <w:r>
        <w:rPr>
          <w:rFonts w:ascii="Arial" w:hAnsi="Arial" w:cs="Arial"/>
          <w:color w:val="auto"/>
          <w:sz w:val="24"/>
          <w:highlight w:val="none"/>
        </w:rPr>
        <w:t xml:space="preserve"> </w:t>
      </w:r>
      <w:r>
        <w:rPr>
          <w:rFonts w:hint="eastAsia" w:ascii="Arial" w:hAnsi="Arial" w:cs="Arial"/>
          <w:color w:val="auto"/>
          <w:sz w:val="24"/>
          <w:highlight w:val="none"/>
        </w:rPr>
        <w:t>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w:t>
      </w:r>
      <w:r>
        <w:rPr>
          <w:rFonts w:ascii="Arial" w:hAnsi="Arial" w:cs="Arial"/>
          <w:color w:val="auto"/>
          <w:sz w:val="24"/>
          <w:highlight w:val="none"/>
        </w:rPr>
        <w:t xml:space="preserve"> 10 </w:t>
      </w:r>
      <w:r>
        <w:rPr>
          <w:rFonts w:hint="eastAsia" w:ascii="Arial" w:hAnsi="Arial" w:cs="Arial"/>
          <w:color w:val="auto"/>
          <w:sz w:val="24"/>
          <w:highlight w:val="none"/>
        </w:rPr>
        <w:t>个工作日内做出书面答复。</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第十七条</w:t>
      </w:r>
      <w:r>
        <w:rPr>
          <w:rFonts w:ascii="Arial" w:hAnsi="Arial" w:cs="Arial"/>
          <w:color w:val="auto"/>
          <w:sz w:val="24"/>
          <w:highlight w:val="none"/>
        </w:rPr>
        <w:t xml:space="preserve"> </w:t>
      </w:r>
      <w:r>
        <w:rPr>
          <w:rFonts w:hint="eastAsia" w:ascii="Arial" w:hAnsi="Arial" w:cs="Arial"/>
          <w:color w:val="auto"/>
          <w:sz w:val="24"/>
          <w:highlight w:val="none"/>
        </w:rPr>
        <w:t>各地区、各部门应当对涉及中小企业采购的预算项目实施全过程绩效管理，合理设置绩效目标和指标，落实扶持中小企业有关政策要求，定期开展绩效监控和评价，强化绩效评价结果应用。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第十八条</w:t>
      </w:r>
      <w:r>
        <w:rPr>
          <w:rFonts w:ascii="Arial" w:hAnsi="Arial" w:cs="Arial"/>
          <w:color w:val="auto"/>
          <w:sz w:val="24"/>
          <w:highlight w:val="none"/>
        </w:rPr>
        <w:t xml:space="preserve"> </w:t>
      </w:r>
      <w:r>
        <w:rPr>
          <w:rFonts w:hint="eastAsia" w:ascii="Arial" w:hAnsi="Arial" w:cs="Arial"/>
          <w:color w:val="auto"/>
          <w:sz w:val="24"/>
          <w:highlight w:val="none"/>
        </w:rPr>
        <w:t>主管预算单位应当自</w:t>
      </w:r>
      <w:r>
        <w:rPr>
          <w:rFonts w:ascii="Arial" w:hAnsi="Arial" w:cs="Arial"/>
          <w:color w:val="auto"/>
          <w:sz w:val="24"/>
          <w:highlight w:val="none"/>
        </w:rPr>
        <w:t xml:space="preserve"> 2022 </w:t>
      </w:r>
      <w:r>
        <w:rPr>
          <w:rFonts w:hint="eastAsia" w:ascii="Arial" w:hAnsi="Arial" w:cs="Arial"/>
          <w:color w:val="auto"/>
          <w:sz w:val="24"/>
          <w:highlight w:val="none"/>
        </w:rPr>
        <w:t>年起向同级财政部门报告本部门上一年度面向中小企业预留份额和采购的具体情况，并在中国政府采购网公开预留项目执行情况</w:t>
      </w:r>
      <w:r>
        <w:rPr>
          <w:rFonts w:ascii="Arial" w:hAnsi="Arial" w:cs="Arial"/>
          <w:color w:val="auto"/>
          <w:sz w:val="24"/>
          <w:highlight w:val="none"/>
        </w:rPr>
        <w:t>(</w:t>
      </w:r>
      <w:r>
        <w:rPr>
          <w:rFonts w:hint="eastAsia" w:ascii="Arial" w:hAnsi="Arial" w:cs="Arial"/>
          <w:color w:val="auto"/>
          <w:sz w:val="24"/>
          <w:highlight w:val="none"/>
        </w:rPr>
        <w:t>附</w:t>
      </w:r>
      <w:r>
        <w:rPr>
          <w:rFonts w:ascii="Arial" w:hAnsi="Arial" w:cs="Arial"/>
          <w:color w:val="auto"/>
          <w:sz w:val="24"/>
          <w:highlight w:val="none"/>
        </w:rPr>
        <w:t>2)</w:t>
      </w:r>
      <w:r>
        <w:rPr>
          <w:rFonts w:hint="eastAsia" w:ascii="Arial" w:hAnsi="Arial" w:cs="Arial"/>
          <w:color w:val="auto"/>
          <w:sz w:val="24"/>
          <w:highlight w:val="none"/>
        </w:rPr>
        <w:t>。未达到本办法规定的预留份额比例的，应当作出说明。</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第十九条</w:t>
      </w:r>
      <w:r>
        <w:rPr>
          <w:rFonts w:ascii="Arial" w:hAnsi="Arial" w:cs="Arial"/>
          <w:color w:val="auto"/>
          <w:sz w:val="24"/>
          <w:highlight w:val="none"/>
        </w:rPr>
        <w:t xml:space="preserve"> </w:t>
      </w:r>
      <w:r>
        <w:rPr>
          <w:rFonts w:hint="eastAsia" w:ascii="Arial" w:hAnsi="Arial" w:cs="Arial"/>
          <w:color w:val="auto"/>
          <w:sz w:val="24"/>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第二十条</w:t>
      </w:r>
      <w:r>
        <w:rPr>
          <w:rFonts w:ascii="Arial" w:hAnsi="Arial" w:cs="Arial"/>
          <w:color w:val="auto"/>
          <w:sz w:val="24"/>
          <w:highlight w:val="none"/>
        </w:rPr>
        <w:t xml:space="preserve"> </w:t>
      </w:r>
      <w:r>
        <w:rPr>
          <w:rFonts w:hint="eastAsia" w:ascii="Arial" w:hAnsi="Arial" w:cs="Arial"/>
          <w:color w:val="auto"/>
          <w:sz w:val="24"/>
          <w:highlight w:val="none"/>
        </w:rPr>
        <w:t>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第二十一条</w:t>
      </w:r>
      <w:r>
        <w:rPr>
          <w:rFonts w:ascii="Arial" w:hAnsi="Arial" w:cs="Arial"/>
          <w:color w:val="auto"/>
          <w:sz w:val="24"/>
          <w:highlight w:val="none"/>
        </w:rPr>
        <w:t xml:space="preserve"> </w:t>
      </w:r>
      <w:r>
        <w:rPr>
          <w:rFonts w:hint="eastAsia" w:ascii="Arial" w:hAnsi="Arial" w:cs="Arial"/>
          <w:color w:val="auto"/>
          <w:sz w:val="24"/>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第二十二条</w:t>
      </w:r>
      <w:r>
        <w:rPr>
          <w:rFonts w:ascii="Arial" w:hAnsi="Arial" w:cs="Arial"/>
          <w:color w:val="auto"/>
          <w:sz w:val="24"/>
          <w:highlight w:val="none"/>
        </w:rPr>
        <w:t xml:space="preserve"> </w:t>
      </w:r>
      <w:r>
        <w:rPr>
          <w:rFonts w:hint="eastAsia" w:ascii="Arial" w:hAnsi="Arial" w:cs="Arial"/>
          <w:color w:val="auto"/>
          <w:sz w:val="24"/>
          <w:highlight w:val="none"/>
        </w:rPr>
        <w:t>对外援助项目、国家相关资格或者资质管理制度另有规定的项目，不适用本办法。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第二十三条</w:t>
      </w:r>
      <w:r>
        <w:rPr>
          <w:rFonts w:ascii="Arial" w:hAnsi="Arial" w:cs="Arial"/>
          <w:color w:val="auto"/>
          <w:sz w:val="24"/>
          <w:highlight w:val="none"/>
        </w:rPr>
        <w:t xml:space="preserve"> </w:t>
      </w:r>
      <w:r>
        <w:rPr>
          <w:rFonts w:hint="eastAsia" w:ascii="Arial" w:hAnsi="Arial" w:cs="Arial"/>
          <w:color w:val="auto"/>
          <w:sz w:val="24"/>
          <w:highlight w:val="none"/>
        </w:rPr>
        <w:t>关于视同中小企业的其他主体的政府采购扶持政策，由财政部会同有关部门另行规定。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第二十四条</w:t>
      </w:r>
      <w:r>
        <w:rPr>
          <w:rFonts w:ascii="Arial" w:hAnsi="Arial" w:cs="Arial"/>
          <w:color w:val="auto"/>
          <w:sz w:val="24"/>
          <w:highlight w:val="none"/>
        </w:rPr>
        <w:t xml:space="preserve"> </w:t>
      </w:r>
      <w:r>
        <w:rPr>
          <w:rFonts w:hint="eastAsia" w:ascii="Arial" w:hAnsi="Arial" w:cs="Arial"/>
          <w:color w:val="auto"/>
          <w:sz w:val="24"/>
          <w:highlight w:val="none"/>
        </w:rPr>
        <w:t>省级财政部门可以会同中小企业主管部门根据本办法的规定制定具体实施办法。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第二十五条</w:t>
      </w:r>
      <w:r>
        <w:rPr>
          <w:rFonts w:ascii="Arial" w:hAnsi="Arial" w:cs="Arial"/>
          <w:color w:val="auto"/>
          <w:sz w:val="24"/>
          <w:highlight w:val="none"/>
        </w:rPr>
        <w:t xml:space="preserve"> </w:t>
      </w:r>
      <w:r>
        <w:rPr>
          <w:rFonts w:hint="eastAsia" w:ascii="Arial" w:hAnsi="Arial" w:cs="Arial"/>
          <w:color w:val="auto"/>
          <w:sz w:val="24"/>
          <w:highlight w:val="none"/>
        </w:rPr>
        <w:t>本办法自</w:t>
      </w:r>
      <w:r>
        <w:rPr>
          <w:rFonts w:ascii="Arial" w:hAnsi="Arial" w:cs="Arial"/>
          <w:color w:val="auto"/>
          <w:sz w:val="24"/>
          <w:highlight w:val="none"/>
        </w:rPr>
        <w:t xml:space="preserve"> 2021 </w:t>
      </w:r>
      <w:r>
        <w:rPr>
          <w:rFonts w:hint="eastAsia" w:ascii="Arial" w:hAnsi="Arial" w:cs="Arial"/>
          <w:color w:val="auto"/>
          <w:sz w:val="24"/>
          <w:highlight w:val="none"/>
        </w:rPr>
        <w:t>年</w:t>
      </w:r>
      <w:r>
        <w:rPr>
          <w:rFonts w:ascii="Arial" w:hAnsi="Arial" w:cs="Arial"/>
          <w:color w:val="auto"/>
          <w:sz w:val="24"/>
          <w:highlight w:val="none"/>
        </w:rPr>
        <w:t xml:space="preserve"> 1 </w:t>
      </w:r>
      <w:r>
        <w:rPr>
          <w:rFonts w:hint="eastAsia" w:ascii="Arial" w:hAnsi="Arial" w:cs="Arial"/>
          <w:color w:val="auto"/>
          <w:sz w:val="24"/>
          <w:highlight w:val="none"/>
        </w:rPr>
        <w:t>月</w:t>
      </w:r>
      <w:r>
        <w:rPr>
          <w:rFonts w:ascii="Arial" w:hAnsi="Arial" w:cs="Arial"/>
          <w:color w:val="auto"/>
          <w:sz w:val="24"/>
          <w:highlight w:val="none"/>
        </w:rPr>
        <w:t xml:space="preserve"> 1 </w:t>
      </w:r>
      <w:r>
        <w:rPr>
          <w:rFonts w:hint="eastAsia" w:ascii="Arial" w:hAnsi="Arial" w:cs="Arial"/>
          <w:color w:val="auto"/>
          <w:sz w:val="24"/>
          <w:highlight w:val="none"/>
        </w:rPr>
        <w:t>日起施行。《财政部</w:t>
      </w:r>
      <w:r>
        <w:rPr>
          <w:rFonts w:ascii="Arial" w:hAnsi="Arial" w:cs="Arial"/>
          <w:color w:val="auto"/>
          <w:sz w:val="24"/>
          <w:highlight w:val="none"/>
        </w:rPr>
        <w:t xml:space="preserve"> </w:t>
      </w:r>
      <w:r>
        <w:rPr>
          <w:rFonts w:hint="eastAsia" w:ascii="Arial" w:hAnsi="Arial" w:cs="Arial"/>
          <w:color w:val="auto"/>
          <w:sz w:val="24"/>
          <w:highlight w:val="none"/>
        </w:rPr>
        <w:t>工业和信息化部关于印发〈政府采购促进中小企业发展暂行办法〉的通知》（财库﹝</w:t>
      </w:r>
      <w:r>
        <w:rPr>
          <w:rFonts w:ascii="Arial" w:hAnsi="Arial" w:cs="Arial"/>
          <w:color w:val="auto"/>
          <w:sz w:val="24"/>
          <w:highlight w:val="none"/>
        </w:rPr>
        <w:t>2011</w:t>
      </w:r>
      <w:r>
        <w:rPr>
          <w:rFonts w:hint="eastAsia" w:ascii="Arial" w:hAnsi="Arial" w:cs="Arial"/>
          <w:color w:val="auto"/>
          <w:sz w:val="24"/>
          <w:highlight w:val="none"/>
        </w:rPr>
        <w:t>﹞</w:t>
      </w:r>
      <w:r>
        <w:rPr>
          <w:rFonts w:ascii="Arial" w:hAnsi="Arial" w:cs="Arial"/>
          <w:color w:val="auto"/>
          <w:sz w:val="24"/>
          <w:highlight w:val="none"/>
        </w:rPr>
        <w:t xml:space="preserve">181 </w:t>
      </w:r>
      <w:r>
        <w:rPr>
          <w:rFonts w:hint="eastAsia" w:ascii="Arial" w:hAnsi="Arial" w:cs="Arial"/>
          <w:color w:val="auto"/>
          <w:sz w:val="24"/>
          <w:highlight w:val="none"/>
        </w:rPr>
        <w:t>号）同时</w:t>
      </w:r>
      <w:r>
        <w:rPr>
          <w:rStyle w:val="79"/>
          <w:rFonts w:hint="eastAsia" w:ascii="Arial" w:hAnsi="Arial" w:cs="Arial"/>
          <w:color w:val="auto"/>
          <w:sz w:val="24"/>
          <w:highlight w:val="none"/>
        </w:rPr>
        <w:t>废止。</w:t>
      </w:r>
      <w:r>
        <w:rPr>
          <w:rFonts w:ascii="Arial" w:hAnsi="Arial" w:cs="Arial"/>
          <w:color w:val="auto"/>
          <w:sz w:val="24"/>
          <w:highlight w:val="none"/>
          <w:vertAlign w:val="superscript"/>
        </w:rPr>
        <w:t> </w:t>
      </w:r>
    </w:p>
    <w:p>
      <w:pPr>
        <w:pStyle w:val="12"/>
        <w:spacing w:line="360" w:lineRule="auto"/>
        <w:rPr>
          <w:color w:val="auto"/>
          <w:sz w:val="24"/>
          <w:highlight w:val="none"/>
        </w:rPr>
      </w:pPr>
      <w:bookmarkStart w:id="795" w:name="内容解答"/>
      <w:bookmarkEnd w:id="795"/>
      <w:bookmarkStart w:id="796" w:name="3"/>
      <w:bookmarkEnd w:id="796"/>
      <w:bookmarkStart w:id="797" w:name="sub31114866_3"/>
      <w:bookmarkEnd w:id="797"/>
    </w:p>
    <w:p>
      <w:pPr>
        <w:widowControl/>
        <w:spacing w:line="360" w:lineRule="auto"/>
        <w:rPr>
          <w:rFonts w:ascii="宋体" w:hAnsi="宋体" w:cs="宋体"/>
          <w:color w:val="auto"/>
          <w:kern w:val="0"/>
          <w:sz w:val="24"/>
          <w:highlight w:val="none"/>
        </w:rPr>
      </w:pPr>
    </w:p>
    <w:p>
      <w:pPr>
        <w:widowControl/>
        <w:spacing w:line="560" w:lineRule="atLeast"/>
        <w:jc w:val="center"/>
        <w:rPr>
          <w:rFonts w:ascii="宋体" w:hAnsi="宋体" w:cs="宋体"/>
          <w:color w:val="auto"/>
          <w:kern w:val="0"/>
          <w:sz w:val="44"/>
          <w:szCs w:val="44"/>
          <w:highlight w:val="none"/>
        </w:rPr>
      </w:pPr>
    </w:p>
    <w:p>
      <w:pPr>
        <w:widowControl/>
        <w:spacing w:line="560" w:lineRule="atLeast"/>
        <w:rPr>
          <w:rFonts w:ascii="宋体" w:hAnsi="宋体" w:cs="宋体"/>
          <w:color w:val="auto"/>
          <w:kern w:val="0"/>
          <w:sz w:val="44"/>
          <w:szCs w:val="44"/>
          <w:highlight w:val="none"/>
        </w:rPr>
      </w:pPr>
    </w:p>
    <w:p>
      <w:pPr>
        <w:widowControl/>
        <w:spacing w:line="560" w:lineRule="atLeast"/>
        <w:rPr>
          <w:rFonts w:ascii="宋体" w:hAnsi="宋体" w:cs="宋体"/>
          <w:color w:val="auto"/>
          <w:kern w:val="0"/>
          <w:sz w:val="44"/>
          <w:szCs w:val="44"/>
          <w:highlight w:val="none"/>
        </w:rPr>
      </w:pPr>
    </w:p>
    <w:sectPr>
      <w:headerReference r:id="rId3" w:type="default"/>
      <w:footerReference r:id="rId4" w:type="default"/>
      <w:pgSz w:w="11906" w:h="16838"/>
      <w:pgMar w:top="1440" w:right="1417" w:bottom="187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thinThickSmallGap" w:color="622423" w:sz="24" w:space="1"/>
      </w:pBdr>
      <w:tabs>
        <w:tab w:val="right" w:pos="9072"/>
        <w:tab w:val="clear" w:pos="4153"/>
        <w:tab w:val="clear" w:pos="8306"/>
      </w:tabs>
      <w:jc w:val="center"/>
    </w:pPr>
    <w:r>
      <w:fldChar w:fldCharType="begin"/>
    </w:r>
    <w:r>
      <w:instrText xml:space="preserve">PAGE   \* MERGEFORMAT</w:instrText>
    </w:r>
    <w:r>
      <w:fldChar w:fldCharType="separate"/>
    </w:r>
    <w:r>
      <w:rPr>
        <w:rFonts w:ascii="Cambria" w:hAnsi="Cambria"/>
        <w:lang w:val="zh-CN"/>
      </w:rPr>
      <w:t>94</w:t>
    </w:r>
    <w:r>
      <w:rPr>
        <w:rFonts w:ascii="Cambria" w:hAnsi="Cambria"/>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仿宋_GB2312" w:eastAsia="仿宋_GB2312"/>
      </w:rPr>
    </w:pPr>
    <w:r>
      <w:rPr>
        <w:rFonts w:hint="eastAsia" w:ascii="仿宋_GB2312" w:eastAsia="仿宋_GB2312"/>
        <w:lang w:eastAsia="zh-CN"/>
      </w:rPr>
      <w:t>睢县农业农村局睢县2024年小麦“一喷三防”项目</w:t>
    </w:r>
    <w:r>
      <w:rPr>
        <w:rFonts w:hint="eastAsia" w:ascii="仿宋_GB2312" w:eastAsia="仿宋_GB2312"/>
      </w:rPr>
      <w:t xml:space="preserve">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4"/>
      <w:numFmt w:val="decimal"/>
      <w:suff w:val="nothing"/>
      <w:lvlText w:val="%1、"/>
      <w:lvlJc w:val="left"/>
    </w:lvl>
  </w:abstractNum>
  <w:abstractNum w:abstractNumId="1">
    <w:nsid w:val="00B3C5DA"/>
    <w:multiLevelType w:val="singleLevel"/>
    <w:tmpl w:val="00B3C5DA"/>
    <w:lvl w:ilvl="0" w:tentative="0">
      <w:start w:val="1"/>
      <w:numFmt w:val="decimal"/>
      <w:lvlText w:val="%1."/>
      <w:lvlJc w:val="left"/>
      <w:pPr>
        <w:tabs>
          <w:tab w:val="left" w:pos="312"/>
        </w:tabs>
      </w:pPr>
    </w:lvl>
  </w:abstractNum>
  <w:abstractNum w:abstractNumId="2">
    <w:nsid w:val="0F9B4A9C"/>
    <w:multiLevelType w:val="singleLevel"/>
    <w:tmpl w:val="0F9B4A9C"/>
    <w:lvl w:ilvl="0" w:tentative="0">
      <w:start w:val="6"/>
      <w:numFmt w:val="decimal"/>
      <w:suff w:val="nothing"/>
      <w:lvlText w:val="%1、"/>
      <w:lvlJc w:val="left"/>
    </w:lvl>
  </w:abstractNum>
  <w:abstractNum w:abstractNumId="3">
    <w:nsid w:val="12A23D0B"/>
    <w:multiLevelType w:val="singleLevel"/>
    <w:tmpl w:val="12A23D0B"/>
    <w:lvl w:ilvl="0" w:tentative="0">
      <w:start w:val="1"/>
      <w:numFmt w:val="decimal"/>
      <w:lvlText w:val="%1."/>
      <w:lvlJc w:val="left"/>
      <w:pPr>
        <w:tabs>
          <w:tab w:val="left" w:pos="312"/>
        </w:tabs>
      </w:pPr>
    </w:lvl>
  </w:abstractNum>
  <w:abstractNum w:abstractNumId="4">
    <w:nsid w:val="3BE9CAD6"/>
    <w:multiLevelType w:val="singleLevel"/>
    <w:tmpl w:val="3BE9CAD6"/>
    <w:lvl w:ilvl="0" w:tentative="0">
      <w:start w:val="5"/>
      <w:numFmt w:val="chineseCounting"/>
      <w:suff w:val="nothing"/>
      <w:lvlText w:val="%1、"/>
      <w:lvlJc w:val="left"/>
      <w:rPr>
        <w:rFonts w:hint="eastAsia"/>
      </w:rPr>
    </w:lvl>
  </w:abstractNum>
  <w:abstractNum w:abstractNumId="5">
    <w:nsid w:val="4A334BE1"/>
    <w:multiLevelType w:val="singleLevel"/>
    <w:tmpl w:val="4A334BE1"/>
    <w:lvl w:ilvl="0" w:tentative="0">
      <w:start w:val="1"/>
      <w:numFmt w:val="decimal"/>
      <w:lvlText w:val="%1."/>
      <w:lvlJc w:val="left"/>
      <w:pPr>
        <w:tabs>
          <w:tab w:val="left" w:pos="312"/>
        </w:tabs>
      </w:pPr>
    </w:lvl>
  </w:abstractNum>
  <w:abstractNum w:abstractNumId="6">
    <w:nsid w:val="5B521B50"/>
    <w:multiLevelType w:val="multilevel"/>
    <w:tmpl w:val="5B521B50"/>
    <w:lvl w:ilvl="0" w:tentative="0">
      <w:start w:val="11"/>
      <w:numFmt w:val="decimal"/>
      <w:lvlText w:val="%1"/>
      <w:lvlJc w:val="left"/>
      <w:pPr>
        <w:tabs>
          <w:tab w:val="left" w:pos="857"/>
        </w:tabs>
        <w:ind w:left="857" w:hanging="435"/>
      </w:pPr>
      <w:rPr>
        <w:rFonts w:hint="default"/>
        <w:b/>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7">
    <w:nsid w:val="5F1DD066"/>
    <w:multiLevelType w:val="singleLevel"/>
    <w:tmpl w:val="5F1DD066"/>
    <w:lvl w:ilvl="0" w:tentative="0">
      <w:start w:val="1"/>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3YmVlYTNjYTEwMzE2ZTI3ZmZjMTA3MzE5ZjU4OTEifQ=="/>
  </w:docVars>
  <w:rsids>
    <w:rsidRoot w:val="00172A27"/>
    <w:rsid w:val="000150DB"/>
    <w:rsid w:val="00032FEA"/>
    <w:rsid w:val="0004783E"/>
    <w:rsid w:val="00050434"/>
    <w:rsid w:val="0005568F"/>
    <w:rsid w:val="00064510"/>
    <w:rsid w:val="000677EB"/>
    <w:rsid w:val="00070FB3"/>
    <w:rsid w:val="00075A77"/>
    <w:rsid w:val="000A31A6"/>
    <w:rsid w:val="000C2E0F"/>
    <w:rsid w:val="000D1EEB"/>
    <w:rsid w:val="000D341F"/>
    <w:rsid w:val="000F2A52"/>
    <w:rsid w:val="00102487"/>
    <w:rsid w:val="00103825"/>
    <w:rsid w:val="0012118C"/>
    <w:rsid w:val="00122620"/>
    <w:rsid w:val="0014428A"/>
    <w:rsid w:val="00144FB3"/>
    <w:rsid w:val="00145B19"/>
    <w:rsid w:val="00152464"/>
    <w:rsid w:val="00155E75"/>
    <w:rsid w:val="001609DC"/>
    <w:rsid w:val="00162530"/>
    <w:rsid w:val="00172A27"/>
    <w:rsid w:val="00172E78"/>
    <w:rsid w:val="0017631C"/>
    <w:rsid w:val="00184BCC"/>
    <w:rsid w:val="001872C9"/>
    <w:rsid w:val="001950D6"/>
    <w:rsid w:val="001963C7"/>
    <w:rsid w:val="001A4B21"/>
    <w:rsid w:val="001B068F"/>
    <w:rsid w:val="001B43CC"/>
    <w:rsid w:val="001B631C"/>
    <w:rsid w:val="001C6B31"/>
    <w:rsid w:val="001D35F6"/>
    <w:rsid w:val="001F07C1"/>
    <w:rsid w:val="001F3905"/>
    <w:rsid w:val="002027B1"/>
    <w:rsid w:val="00214237"/>
    <w:rsid w:val="002159BE"/>
    <w:rsid w:val="00217433"/>
    <w:rsid w:val="00224DD2"/>
    <w:rsid w:val="00226505"/>
    <w:rsid w:val="002305D8"/>
    <w:rsid w:val="00232419"/>
    <w:rsid w:val="00235B06"/>
    <w:rsid w:val="00247121"/>
    <w:rsid w:val="002526A2"/>
    <w:rsid w:val="00254B62"/>
    <w:rsid w:val="002559DD"/>
    <w:rsid w:val="00274524"/>
    <w:rsid w:val="002769C0"/>
    <w:rsid w:val="0028037D"/>
    <w:rsid w:val="00283BD8"/>
    <w:rsid w:val="002903B9"/>
    <w:rsid w:val="0029660F"/>
    <w:rsid w:val="002A45A9"/>
    <w:rsid w:val="002B04A7"/>
    <w:rsid w:val="002C16FA"/>
    <w:rsid w:val="002C7B15"/>
    <w:rsid w:val="002D3ADE"/>
    <w:rsid w:val="002E3553"/>
    <w:rsid w:val="002F2CC3"/>
    <w:rsid w:val="002F3647"/>
    <w:rsid w:val="002F456C"/>
    <w:rsid w:val="0030254D"/>
    <w:rsid w:val="003034CD"/>
    <w:rsid w:val="00312342"/>
    <w:rsid w:val="00363B37"/>
    <w:rsid w:val="00366EF5"/>
    <w:rsid w:val="003729DD"/>
    <w:rsid w:val="00373379"/>
    <w:rsid w:val="003752C8"/>
    <w:rsid w:val="00380C82"/>
    <w:rsid w:val="00391DCF"/>
    <w:rsid w:val="003A0E84"/>
    <w:rsid w:val="003B5768"/>
    <w:rsid w:val="003B5784"/>
    <w:rsid w:val="003C54A0"/>
    <w:rsid w:val="003C7A78"/>
    <w:rsid w:val="003D014F"/>
    <w:rsid w:val="003D6FBF"/>
    <w:rsid w:val="003E51DA"/>
    <w:rsid w:val="003F2193"/>
    <w:rsid w:val="003F6117"/>
    <w:rsid w:val="004263BB"/>
    <w:rsid w:val="00431CF2"/>
    <w:rsid w:val="00437921"/>
    <w:rsid w:val="00437E78"/>
    <w:rsid w:val="00447CC4"/>
    <w:rsid w:val="00457972"/>
    <w:rsid w:val="00460B51"/>
    <w:rsid w:val="00464CC1"/>
    <w:rsid w:val="00470B0E"/>
    <w:rsid w:val="00473765"/>
    <w:rsid w:val="00480148"/>
    <w:rsid w:val="00495276"/>
    <w:rsid w:val="004B564B"/>
    <w:rsid w:val="004B6EE5"/>
    <w:rsid w:val="004C4A72"/>
    <w:rsid w:val="004E42AC"/>
    <w:rsid w:val="004F0129"/>
    <w:rsid w:val="004F78FE"/>
    <w:rsid w:val="0050207A"/>
    <w:rsid w:val="00502AD6"/>
    <w:rsid w:val="00505E10"/>
    <w:rsid w:val="0050746F"/>
    <w:rsid w:val="00510901"/>
    <w:rsid w:val="005219C4"/>
    <w:rsid w:val="005408D7"/>
    <w:rsid w:val="0055240B"/>
    <w:rsid w:val="0055418C"/>
    <w:rsid w:val="00560463"/>
    <w:rsid w:val="005654D8"/>
    <w:rsid w:val="00574D2E"/>
    <w:rsid w:val="00575886"/>
    <w:rsid w:val="00585258"/>
    <w:rsid w:val="0058701E"/>
    <w:rsid w:val="005A34F6"/>
    <w:rsid w:val="005A5719"/>
    <w:rsid w:val="005C46E2"/>
    <w:rsid w:val="005E2622"/>
    <w:rsid w:val="005F0939"/>
    <w:rsid w:val="0060577E"/>
    <w:rsid w:val="0060768C"/>
    <w:rsid w:val="006112BF"/>
    <w:rsid w:val="00621B39"/>
    <w:rsid w:val="00623F60"/>
    <w:rsid w:val="00630839"/>
    <w:rsid w:val="006350F3"/>
    <w:rsid w:val="006356ED"/>
    <w:rsid w:val="0063719A"/>
    <w:rsid w:val="00655531"/>
    <w:rsid w:val="00681550"/>
    <w:rsid w:val="00682C8D"/>
    <w:rsid w:val="00691E33"/>
    <w:rsid w:val="00691F71"/>
    <w:rsid w:val="006951A8"/>
    <w:rsid w:val="00695A72"/>
    <w:rsid w:val="00696CAE"/>
    <w:rsid w:val="006A7CFA"/>
    <w:rsid w:val="006B6D1F"/>
    <w:rsid w:val="006C097F"/>
    <w:rsid w:val="006C39B2"/>
    <w:rsid w:val="006C70AC"/>
    <w:rsid w:val="006D64AB"/>
    <w:rsid w:val="006F0E5A"/>
    <w:rsid w:val="006F59A5"/>
    <w:rsid w:val="006F729B"/>
    <w:rsid w:val="007065BC"/>
    <w:rsid w:val="007075A3"/>
    <w:rsid w:val="0070765F"/>
    <w:rsid w:val="00713CF2"/>
    <w:rsid w:val="00735EFC"/>
    <w:rsid w:val="00757F9C"/>
    <w:rsid w:val="00760775"/>
    <w:rsid w:val="00767F6E"/>
    <w:rsid w:val="007716AA"/>
    <w:rsid w:val="007764A6"/>
    <w:rsid w:val="0079727B"/>
    <w:rsid w:val="007A4689"/>
    <w:rsid w:val="007A69AC"/>
    <w:rsid w:val="007B36E7"/>
    <w:rsid w:val="007D2377"/>
    <w:rsid w:val="007D3BDE"/>
    <w:rsid w:val="007D52FB"/>
    <w:rsid w:val="007D6B01"/>
    <w:rsid w:val="007E62BE"/>
    <w:rsid w:val="007E65F9"/>
    <w:rsid w:val="007E6C23"/>
    <w:rsid w:val="007F2815"/>
    <w:rsid w:val="00806F4F"/>
    <w:rsid w:val="00813A68"/>
    <w:rsid w:val="008206CB"/>
    <w:rsid w:val="0082276A"/>
    <w:rsid w:val="0082288B"/>
    <w:rsid w:val="00842180"/>
    <w:rsid w:val="008567C4"/>
    <w:rsid w:val="00862334"/>
    <w:rsid w:val="00862E61"/>
    <w:rsid w:val="00867ADF"/>
    <w:rsid w:val="0087333D"/>
    <w:rsid w:val="00874351"/>
    <w:rsid w:val="00883C87"/>
    <w:rsid w:val="0088412F"/>
    <w:rsid w:val="0089414C"/>
    <w:rsid w:val="008A2534"/>
    <w:rsid w:val="008A7F0E"/>
    <w:rsid w:val="008C559D"/>
    <w:rsid w:val="008F0C4D"/>
    <w:rsid w:val="008F0C97"/>
    <w:rsid w:val="008F3D05"/>
    <w:rsid w:val="008F3FB2"/>
    <w:rsid w:val="008F476E"/>
    <w:rsid w:val="009069EB"/>
    <w:rsid w:val="00916F92"/>
    <w:rsid w:val="00934B6D"/>
    <w:rsid w:val="00940952"/>
    <w:rsid w:val="009416A6"/>
    <w:rsid w:val="00943E0C"/>
    <w:rsid w:val="009507E4"/>
    <w:rsid w:val="0095619C"/>
    <w:rsid w:val="00963703"/>
    <w:rsid w:val="0096379F"/>
    <w:rsid w:val="00992042"/>
    <w:rsid w:val="009B1E91"/>
    <w:rsid w:val="009C485E"/>
    <w:rsid w:val="009C7348"/>
    <w:rsid w:val="009F1E08"/>
    <w:rsid w:val="00A02348"/>
    <w:rsid w:val="00A27447"/>
    <w:rsid w:val="00A27802"/>
    <w:rsid w:val="00A30710"/>
    <w:rsid w:val="00A32F1E"/>
    <w:rsid w:val="00A43CB0"/>
    <w:rsid w:val="00A55E39"/>
    <w:rsid w:val="00A719E8"/>
    <w:rsid w:val="00A847C7"/>
    <w:rsid w:val="00A85BC6"/>
    <w:rsid w:val="00A90218"/>
    <w:rsid w:val="00A92732"/>
    <w:rsid w:val="00A94E91"/>
    <w:rsid w:val="00AC37E1"/>
    <w:rsid w:val="00AC6B3F"/>
    <w:rsid w:val="00AE07BD"/>
    <w:rsid w:val="00AE25B8"/>
    <w:rsid w:val="00AF2BFF"/>
    <w:rsid w:val="00AF75F7"/>
    <w:rsid w:val="00B0420E"/>
    <w:rsid w:val="00B26790"/>
    <w:rsid w:val="00B43F37"/>
    <w:rsid w:val="00B57328"/>
    <w:rsid w:val="00B60AAF"/>
    <w:rsid w:val="00B6132B"/>
    <w:rsid w:val="00B66239"/>
    <w:rsid w:val="00B71AA1"/>
    <w:rsid w:val="00B83331"/>
    <w:rsid w:val="00B87047"/>
    <w:rsid w:val="00B956F1"/>
    <w:rsid w:val="00BA544E"/>
    <w:rsid w:val="00BB222A"/>
    <w:rsid w:val="00BB35C6"/>
    <w:rsid w:val="00BB7921"/>
    <w:rsid w:val="00BC753C"/>
    <w:rsid w:val="00BD03E8"/>
    <w:rsid w:val="00BD2DE9"/>
    <w:rsid w:val="00BD4B11"/>
    <w:rsid w:val="00BD650F"/>
    <w:rsid w:val="00BE67A3"/>
    <w:rsid w:val="00BE7482"/>
    <w:rsid w:val="00BE7F26"/>
    <w:rsid w:val="00BF030D"/>
    <w:rsid w:val="00BF114F"/>
    <w:rsid w:val="00C01D2C"/>
    <w:rsid w:val="00C12D17"/>
    <w:rsid w:val="00C270B2"/>
    <w:rsid w:val="00C34DC1"/>
    <w:rsid w:val="00C42D5F"/>
    <w:rsid w:val="00C60D82"/>
    <w:rsid w:val="00C63B34"/>
    <w:rsid w:val="00C711BE"/>
    <w:rsid w:val="00CB17DC"/>
    <w:rsid w:val="00CD1FCB"/>
    <w:rsid w:val="00CE4A9F"/>
    <w:rsid w:val="00CE720B"/>
    <w:rsid w:val="00CF00AF"/>
    <w:rsid w:val="00CF3C45"/>
    <w:rsid w:val="00CF6898"/>
    <w:rsid w:val="00D05D6A"/>
    <w:rsid w:val="00D13220"/>
    <w:rsid w:val="00D13767"/>
    <w:rsid w:val="00D1668D"/>
    <w:rsid w:val="00D2174E"/>
    <w:rsid w:val="00D245D9"/>
    <w:rsid w:val="00D335E0"/>
    <w:rsid w:val="00D4714E"/>
    <w:rsid w:val="00D47390"/>
    <w:rsid w:val="00D51C82"/>
    <w:rsid w:val="00D51DE0"/>
    <w:rsid w:val="00D51F43"/>
    <w:rsid w:val="00D66B47"/>
    <w:rsid w:val="00D67A9D"/>
    <w:rsid w:val="00D708B5"/>
    <w:rsid w:val="00D8437D"/>
    <w:rsid w:val="00DC1306"/>
    <w:rsid w:val="00DD5151"/>
    <w:rsid w:val="00DD7A5C"/>
    <w:rsid w:val="00DE05F9"/>
    <w:rsid w:val="00DF01F2"/>
    <w:rsid w:val="00DF615F"/>
    <w:rsid w:val="00E113D5"/>
    <w:rsid w:val="00E14717"/>
    <w:rsid w:val="00E1515A"/>
    <w:rsid w:val="00E33226"/>
    <w:rsid w:val="00E53231"/>
    <w:rsid w:val="00E57B14"/>
    <w:rsid w:val="00E77ED4"/>
    <w:rsid w:val="00E8209D"/>
    <w:rsid w:val="00E82E76"/>
    <w:rsid w:val="00E96EB5"/>
    <w:rsid w:val="00EA39C0"/>
    <w:rsid w:val="00EA7638"/>
    <w:rsid w:val="00EB09E5"/>
    <w:rsid w:val="00EB1C0E"/>
    <w:rsid w:val="00EB2E9C"/>
    <w:rsid w:val="00EC7842"/>
    <w:rsid w:val="00ED26DB"/>
    <w:rsid w:val="00ED2DFD"/>
    <w:rsid w:val="00ED537A"/>
    <w:rsid w:val="00EE1F09"/>
    <w:rsid w:val="00EE3EAC"/>
    <w:rsid w:val="00EE6822"/>
    <w:rsid w:val="00EF1625"/>
    <w:rsid w:val="00F06F41"/>
    <w:rsid w:val="00F20B41"/>
    <w:rsid w:val="00F333A1"/>
    <w:rsid w:val="00F333D9"/>
    <w:rsid w:val="00F35233"/>
    <w:rsid w:val="00F37D44"/>
    <w:rsid w:val="00F5404F"/>
    <w:rsid w:val="00F54BC3"/>
    <w:rsid w:val="00F616E6"/>
    <w:rsid w:val="00F6635B"/>
    <w:rsid w:val="00F76027"/>
    <w:rsid w:val="00F82FF7"/>
    <w:rsid w:val="00F841AC"/>
    <w:rsid w:val="00F84661"/>
    <w:rsid w:val="00F8471E"/>
    <w:rsid w:val="00FA033A"/>
    <w:rsid w:val="00FB1DC6"/>
    <w:rsid w:val="00FB79C3"/>
    <w:rsid w:val="00FC0159"/>
    <w:rsid w:val="00FC337F"/>
    <w:rsid w:val="00FD2CE1"/>
    <w:rsid w:val="00FE1807"/>
    <w:rsid w:val="00FF1A8C"/>
    <w:rsid w:val="00FF273A"/>
    <w:rsid w:val="00FF3232"/>
    <w:rsid w:val="01040D71"/>
    <w:rsid w:val="01115B19"/>
    <w:rsid w:val="01121891"/>
    <w:rsid w:val="0121075E"/>
    <w:rsid w:val="01282E62"/>
    <w:rsid w:val="012B4701"/>
    <w:rsid w:val="017D4DCB"/>
    <w:rsid w:val="018345FB"/>
    <w:rsid w:val="01A22E49"/>
    <w:rsid w:val="01AF5332"/>
    <w:rsid w:val="01BA1F34"/>
    <w:rsid w:val="01BB3A98"/>
    <w:rsid w:val="01CF1DCE"/>
    <w:rsid w:val="01E4322D"/>
    <w:rsid w:val="01EA0118"/>
    <w:rsid w:val="01EE299B"/>
    <w:rsid w:val="01F64D0F"/>
    <w:rsid w:val="022D25F8"/>
    <w:rsid w:val="025A704C"/>
    <w:rsid w:val="0264788A"/>
    <w:rsid w:val="026B695D"/>
    <w:rsid w:val="02795D13"/>
    <w:rsid w:val="029457A9"/>
    <w:rsid w:val="02AF4AAB"/>
    <w:rsid w:val="02EC21F1"/>
    <w:rsid w:val="02ED31EB"/>
    <w:rsid w:val="03093903"/>
    <w:rsid w:val="03152A2F"/>
    <w:rsid w:val="032A0888"/>
    <w:rsid w:val="03367AB9"/>
    <w:rsid w:val="034122DA"/>
    <w:rsid w:val="035447D9"/>
    <w:rsid w:val="035D39A0"/>
    <w:rsid w:val="03600D99"/>
    <w:rsid w:val="03725F44"/>
    <w:rsid w:val="037E65AC"/>
    <w:rsid w:val="03844683"/>
    <w:rsid w:val="039E0C8D"/>
    <w:rsid w:val="03C365DC"/>
    <w:rsid w:val="03E76C08"/>
    <w:rsid w:val="03ED3B2F"/>
    <w:rsid w:val="04071455"/>
    <w:rsid w:val="041A016A"/>
    <w:rsid w:val="04215254"/>
    <w:rsid w:val="045D79B7"/>
    <w:rsid w:val="046D5B57"/>
    <w:rsid w:val="047F6680"/>
    <w:rsid w:val="04977BE9"/>
    <w:rsid w:val="04A62A1C"/>
    <w:rsid w:val="04B16ECC"/>
    <w:rsid w:val="04C51662"/>
    <w:rsid w:val="04DD3BDB"/>
    <w:rsid w:val="05024970"/>
    <w:rsid w:val="05221F05"/>
    <w:rsid w:val="05224074"/>
    <w:rsid w:val="054364BD"/>
    <w:rsid w:val="054443ED"/>
    <w:rsid w:val="05543604"/>
    <w:rsid w:val="0555520B"/>
    <w:rsid w:val="05913FEA"/>
    <w:rsid w:val="05971E51"/>
    <w:rsid w:val="059C17FB"/>
    <w:rsid w:val="05A54A82"/>
    <w:rsid w:val="05CC64B2"/>
    <w:rsid w:val="05D34AFD"/>
    <w:rsid w:val="063B7863"/>
    <w:rsid w:val="065B12D5"/>
    <w:rsid w:val="066A7A79"/>
    <w:rsid w:val="066F75D9"/>
    <w:rsid w:val="0697780C"/>
    <w:rsid w:val="06AA3B8C"/>
    <w:rsid w:val="06B036DE"/>
    <w:rsid w:val="06B548A9"/>
    <w:rsid w:val="06EF496C"/>
    <w:rsid w:val="07040C58"/>
    <w:rsid w:val="072704B7"/>
    <w:rsid w:val="073C31C4"/>
    <w:rsid w:val="074B29A2"/>
    <w:rsid w:val="076C67D7"/>
    <w:rsid w:val="07713742"/>
    <w:rsid w:val="078F7B88"/>
    <w:rsid w:val="07917C6B"/>
    <w:rsid w:val="07C26FAE"/>
    <w:rsid w:val="07C420A8"/>
    <w:rsid w:val="07CF228A"/>
    <w:rsid w:val="07D5041B"/>
    <w:rsid w:val="07EE7232"/>
    <w:rsid w:val="08053EFD"/>
    <w:rsid w:val="080F2686"/>
    <w:rsid w:val="0819123D"/>
    <w:rsid w:val="0830422C"/>
    <w:rsid w:val="08331DF4"/>
    <w:rsid w:val="083F2974"/>
    <w:rsid w:val="08401415"/>
    <w:rsid w:val="085B3309"/>
    <w:rsid w:val="08A47A7C"/>
    <w:rsid w:val="08A53F51"/>
    <w:rsid w:val="08B20426"/>
    <w:rsid w:val="08C630D8"/>
    <w:rsid w:val="08E458C1"/>
    <w:rsid w:val="08E965E2"/>
    <w:rsid w:val="08ED6E6B"/>
    <w:rsid w:val="09042CD3"/>
    <w:rsid w:val="090B10A0"/>
    <w:rsid w:val="09291F81"/>
    <w:rsid w:val="093D1475"/>
    <w:rsid w:val="093F16FC"/>
    <w:rsid w:val="09541061"/>
    <w:rsid w:val="095F13EB"/>
    <w:rsid w:val="096C2E63"/>
    <w:rsid w:val="09A137B2"/>
    <w:rsid w:val="09A82D92"/>
    <w:rsid w:val="09B90D54"/>
    <w:rsid w:val="09D83FA8"/>
    <w:rsid w:val="09E047C0"/>
    <w:rsid w:val="0A005C1C"/>
    <w:rsid w:val="0A375189"/>
    <w:rsid w:val="0A450D8E"/>
    <w:rsid w:val="0A482719"/>
    <w:rsid w:val="0A7D6403"/>
    <w:rsid w:val="0A844B5D"/>
    <w:rsid w:val="0AB53767"/>
    <w:rsid w:val="0ACC0D02"/>
    <w:rsid w:val="0AE40118"/>
    <w:rsid w:val="0AF344E1"/>
    <w:rsid w:val="0B0901E7"/>
    <w:rsid w:val="0B225F20"/>
    <w:rsid w:val="0B494101"/>
    <w:rsid w:val="0B4B7C6D"/>
    <w:rsid w:val="0B5759CE"/>
    <w:rsid w:val="0B5E4D82"/>
    <w:rsid w:val="0B6251C3"/>
    <w:rsid w:val="0B6B0F6E"/>
    <w:rsid w:val="0B7D7F39"/>
    <w:rsid w:val="0B985065"/>
    <w:rsid w:val="0B99385E"/>
    <w:rsid w:val="0BA44459"/>
    <w:rsid w:val="0BA75DA2"/>
    <w:rsid w:val="0BBA2C38"/>
    <w:rsid w:val="0BCD088E"/>
    <w:rsid w:val="0C057CC9"/>
    <w:rsid w:val="0C0D15D3"/>
    <w:rsid w:val="0C161A76"/>
    <w:rsid w:val="0C161D37"/>
    <w:rsid w:val="0C365585"/>
    <w:rsid w:val="0C477092"/>
    <w:rsid w:val="0C5E64BA"/>
    <w:rsid w:val="0C662A91"/>
    <w:rsid w:val="0C7C5D4E"/>
    <w:rsid w:val="0CB33A4C"/>
    <w:rsid w:val="0CB64776"/>
    <w:rsid w:val="0CDE2403"/>
    <w:rsid w:val="0D0522AA"/>
    <w:rsid w:val="0D075586"/>
    <w:rsid w:val="0D1A5DBD"/>
    <w:rsid w:val="0D345D42"/>
    <w:rsid w:val="0D4B23B2"/>
    <w:rsid w:val="0D587C78"/>
    <w:rsid w:val="0D7A3E5F"/>
    <w:rsid w:val="0D967189"/>
    <w:rsid w:val="0DFC18FF"/>
    <w:rsid w:val="0E021C96"/>
    <w:rsid w:val="0E0917E1"/>
    <w:rsid w:val="0E3F59ED"/>
    <w:rsid w:val="0E4A4418"/>
    <w:rsid w:val="0EA261A3"/>
    <w:rsid w:val="0EBB3E86"/>
    <w:rsid w:val="0ECA0F37"/>
    <w:rsid w:val="0ED562E4"/>
    <w:rsid w:val="0F040A6B"/>
    <w:rsid w:val="0F2472A1"/>
    <w:rsid w:val="0F2A424A"/>
    <w:rsid w:val="0F551C0D"/>
    <w:rsid w:val="0F6E4D5F"/>
    <w:rsid w:val="0F7734B4"/>
    <w:rsid w:val="0F992123"/>
    <w:rsid w:val="0FA82B40"/>
    <w:rsid w:val="0FB65CA2"/>
    <w:rsid w:val="0FC63F39"/>
    <w:rsid w:val="0FE20B4C"/>
    <w:rsid w:val="0FEA53A9"/>
    <w:rsid w:val="103B1517"/>
    <w:rsid w:val="103E61FE"/>
    <w:rsid w:val="10536F13"/>
    <w:rsid w:val="108300B5"/>
    <w:rsid w:val="10923E54"/>
    <w:rsid w:val="10CC380A"/>
    <w:rsid w:val="10D3544B"/>
    <w:rsid w:val="11567578"/>
    <w:rsid w:val="1169429C"/>
    <w:rsid w:val="11816D15"/>
    <w:rsid w:val="118B7A82"/>
    <w:rsid w:val="11976812"/>
    <w:rsid w:val="11B3672E"/>
    <w:rsid w:val="11DD55A3"/>
    <w:rsid w:val="11DE59C0"/>
    <w:rsid w:val="11FD0F76"/>
    <w:rsid w:val="121027B2"/>
    <w:rsid w:val="121B7848"/>
    <w:rsid w:val="123040B4"/>
    <w:rsid w:val="12655CC4"/>
    <w:rsid w:val="129277A2"/>
    <w:rsid w:val="12A202EB"/>
    <w:rsid w:val="12C14EC5"/>
    <w:rsid w:val="12C4751B"/>
    <w:rsid w:val="12CE16EA"/>
    <w:rsid w:val="12D07106"/>
    <w:rsid w:val="12D6207D"/>
    <w:rsid w:val="12E56E05"/>
    <w:rsid w:val="130354DD"/>
    <w:rsid w:val="13050824"/>
    <w:rsid w:val="13166FBF"/>
    <w:rsid w:val="131B632D"/>
    <w:rsid w:val="133B5729"/>
    <w:rsid w:val="13480F47"/>
    <w:rsid w:val="13675A6C"/>
    <w:rsid w:val="13765CAF"/>
    <w:rsid w:val="138353D5"/>
    <w:rsid w:val="13A01A9B"/>
    <w:rsid w:val="13A520F1"/>
    <w:rsid w:val="13B914E6"/>
    <w:rsid w:val="13C7650B"/>
    <w:rsid w:val="14005ECF"/>
    <w:rsid w:val="141E17E0"/>
    <w:rsid w:val="143076BF"/>
    <w:rsid w:val="145A17F4"/>
    <w:rsid w:val="14C436AA"/>
    <w:rsid w:val="14D97E9C"/>
    <w:rsid w:val="15585495"/>
    <w:rsid w:val="155B515D"/>
    <w:rsid w:val="1560703A"/>
    <w:rsid w:val="157709B0"/>
    <w:rsid w:val="158F03B4"/>
    <w:rsid w:val="15D93FC5"/>
    <w:rsid w:val="15EE3A71"/>
    <w:rsid w:val="16066EB1"/>
    <w:rsid w:val="161377E5"/>
    <w:rsid w:val="163A08DA"/>
    <w:rsid w:val="167831E7"/>
    <w:rsid w:val="16855DBF"/>
    <w:rsid w:val="16AA011E"/>
    <w:rsid w:val="16D36F75"/>
    <w:rsid w:val="16DC3C5D"/>
    <w:rsid w:val="17011D34"/>
    <w:rsid w:val="1709363A"/>
    <w:rsid w:val="170A0BE8"/>
    <w:rsid w:val="171D45EF"/>
    <w:rsid w:val="17255A22"/>
    <w:rsid w:val="17442CF2"/>
    <w:rsid w:val="17570011"/>
    <w:rsid w:val="176D1177"/>
    <w:rsid w:val="17782DE5"/>
    <w:rsid w:val="179C380B"/>
    <w:rsid w:val="179D2009"/>
    <w:rsid w:val="17E02EAF"/>
    <w:rsid w:val="18207943"/>
    <w:rsid w:val="18233D7C"/>
    <w:rsid w:val="18240A0C"/>
    <w:rsid w:val="183C1D97"/>
    <w:rsid w:val="186F427B"/>
    <w:rsid w:val="18800FC1"/>
    <w:rsid w:val="189E7C02"/>
    <w:rsid w:val="189F5926"/>
    <w:rsid w:val="18A922AD"/>
    <w:rsid w:val="18CD37F6"/>
    <w:rsid w:val="18F8412A"/>
    <w:rsid w:val="190F0BDE"/>
    <w:rsid w:val="196900E6"/>
    <w:rsid w:val="19861894"/>
    <w:rsid w:val="199968CB"/>
    <w:rsid w:val="19B8606C"/>
    <w:rsid w:val="19C14E6A"/>
    <w:rsid w:val="1A051E47"/>
    <w:rsid w:val="1A244A84"/>
    <w:rsid w:val="1A35698F"/>
    <w:rsid w:val="1A3747E0"/>
    <w:rsid w:val="1A38642E"/>
    <w:rsid w:val="1A457511"/>
    <w:rsid w:val="1A8C0E12"/>
    <w:rsid w:val="1A92695F"/>
    <w:rsid w:val="1AA85213"/>
    <w:rsid w:val="1AB72F5C"/>
    <w:rsid w:val="1AD07379"/>
    <w:rsid w:val="1AD1768D"/>
    <w:rsid w:val="1AD7444C"/>
    <w:rsid w:val="1AE40E2D"/>
    <w:rsid w:val="1AEA7F14"/>
    <w:rsid w:val="1B031448"/>
    <w:rsid w:val="1B1F05CC"/>
    <w:rsid w:val="1B234B82"/>
    <w:rsid w:val="1B2F3DD9"/>
    <w:rsid w:val="1B5E08D6"/>
    <w:rsid w:val="1B6223A0"/>
    <w:rsid w:val="1B636B19"/>
    <w:rsid w:val="1B654726"/>
    <w:rsid w:val="1B674554"/>
    <w:rsid w:val="1B692C18"/>
    <w:rsid w:val="1B6F1962"/>
    <w:rsid w:val="1B8141AA"/>
    <w:rsid w:val="1B9936F1"/>
    <w:rsid w:val="1BAA0BF8"/>
    <w:rsid w:val="1BBE7CA1"/>
    <w:rsid w:val="1C093E12"/>
    <w:rsid w:val="1C0E653E"/>
    <w:rsid w:val="1C2036D1"/>
    <w:rsid w:val="1C7558BE"/>
    <w:rsid w:val="1C8E406A"/>
    <w:rsid w:val="1C95312B"/>
    <w:rsid w:val="1CA76EDA"/>
    <w:rsid w:val="1CAB0CC9"/>
    <w:rsid w:val="1CB02232"/>
    <w:rsid w:val="1CB36015"/>
    <w:rsid w:val="1CB56D70"/>
    <w:rsid w:val="1CB6536F"/>
    <w:rsid w:val="1CD619DC"/>
    <w:rsid w:val="1CEF7473"/>
    <w:rsid w:val="1CF814E3"/>
    <w:rsid w:val="1D3464FB"/>
    <w:rsid w:val="1D383571"/>
    <w:rsid w:val="1D5A258D"/>
    <w:rsid w:val="1D615194"/>
    <w:rsid w:val="1D7B6C46"/>
    <w:rsid w:val="1D8E20CC"/>
    <w:rsid w:val="1DA459A8"/>
    <w:rsid w:val="1DB16262"/>
    <w:rsid w:val="1DC1221D"/>
    <w:rsid w:val="1DF779ED"/>
    <w:rsid w:val="1DFD3557"/>
    <w:rsid w:val="1E1D28B3"/>
    <w:rsid w:val="1E2C7616"/>
    <w:rsid w:val="1E2D5909"/>
    <w:rsid w:val="1E330B17"/>
    <w:rsid w:val="1E3924A0"/>
    <w:rsid w:val="1E792A37"/>
    <w:rsid w:val="1E9811D0"/>
    <w:rsid w:val="1EA523D2"/>
    <w:rsid w:val="1EB8573A"/>
    <w:rsid w:val="1ED121FD"/>
    <w:rsid w:val="1ED40248"/>
    <w:rsid w:val="1EE12B77"/>
    <w:rsid w:val="1F0A3025"/>
    <w:rsid w:val="1F0F2D79"/>
    <w:rsid w:val="1F3D4F9B"/>
    <w:rsid w:val="1F476856"/>
    <w:rsid w:val="1F5C247E"/>
    <w:rsid w:val="1F653449"/>
    <w:rsid w:val="1F820888"/>
    <w:rsid w:val="1F871EE7"/>
    <w:rsid w:val="1F903C55"/>
    <w:rsid w:val="1F9F6D37"/>
    <w:rsid w:val="1FA33547"/>
    <w:rsid w:val="1FB34446"/>
    <w:rsid w:val="1FCC191A"/>
    <w:rsid w:val="1FE06C14"/>
    <w:rsid w:val="200A7EAB"/>
    <w:rsid w:val="201F0E5A"/>
    <w:rsid w:val="20433C47"/>
    <w:rsid w:val="205A4C38"/>
    <w:rsid w:val="2063242E"/>
    <w:rsid w:val="2070763E"/>
    <w:rsid w:val="207D005D"/>
    <w:rsid w:val="20801F1B"/>
    <w:rsid w:val="208C7166"/>
    <w:rsid w:val="20A12A67"/>
    <w:rsid w:val="211865F8"/>
    <w:rsid w:val="21240D04"/>
    <w:rsid w:val="21294BDD"/>
    <w:rsid w:val="212E4440"/>
    <w:rsid w:val="213F4310"/>
    <w:rsid w:val="215B0293"/>
    <w:rsid w:val="217355DC"/>
    <w:rsid w:val="218872DA"/>
    <w:rsid w:val="219263AA"/>
    <w:rsid w:val="219403B4"/>
    <w:rsid w:val="21AA3516"/>
    <w:rsid w:val="21BE2E1C"/>
    <w:rsid w:val="21E67D41"/>
    <w:rsid w:val="21EF472F"/>
    <w:rsid w:val="223977D8"/>
    <w:rsid w:val="22504E5E"/>
    <w:rsid w:val="226310F0"/>
    <w:rsid w:val="226338A3"/>
    <w:rsid w:val="226376D9"/>
    <w:rsid w:val="226D4B59"/>
    <w:rsid w:val="22A17969"/>
    <w:rsid w:val="22C152C6"/>
    <w:rsid w:val="22C55A62"/>
    <w:rsid w:val="233A7678"/>
    <w:rsid w:val="233F418B"/>
    <w:rsid w:val="23433153"/>
    <w:rsid w:val="2351194D"/>
    <w:rsid w:val="235C3345"/>
    <w:rsid w:val="236F5BDD"/>
    <w:rsid w:val="2378512C"/>
    <w:rsid w:val="23861BB3"/>
    <w:rsid w:val="238A3C26"/>
    <w:rsid w:val="23A11569"/>
    <w:rsid w:val="23A44173"/>
    <w:rsid w:val="23C02950"/>
    <w:rsid w:val="24160E5E"/>
    <w:rsid w:val="241A1100"/>
    <w:rsid w:val="24286B52"/>
    <w:rsid w:val="244B45EE"/>
    <w:rsid w:val="24654445"/>
    <w:rsid w:val="248E4BFD"/>
    <w:rsid w:val="249B154A"/>
    <w:rsid w:val="24A70A48"/>
    <w:rsid w:val="24BC201E"/>
    <w:rsid w:val="24C52A24"/>
    <w:rsid w:val="24CC3F69"/>
    <w:rsid w:val="24E72338"/>
    <w:rsid w:val="24FB7AE5"/>
    <w:rsid w:val="251263DA"/>
    <w:rsid w:val="25152221"/>
    <w:rsid w:val="251A293E"/>
    <w:rsid w:val="25687113"/>
    <w:rsid w:val="257D2D9C"/>
    <w:rsid w:val="257E77FD"/>
    <w:rsid w:val="259B03D4"/>
    <w:rsid w:val="25AB7A3A"/>
    <w:rsid w:val="25D725DE"/>
    <w:rsid w:val="25D73F42"/>
    <w:rsid w:val="25F95790"/>
    <w:rsid w:val="25F96AC1"/>
    <w:rsid w:val="25FF1B34"/>
    <w:rsid w:val="263241B7"/>
    <w:rsid w:val="263E7B56"/>
    <w:rsid w:val="263F2425"/>
    <w:rsid w:val="2668592C"/>
    <w:rsid w:val="267511C1"/>
    <w:rsid w:val="268F2EB8"/>
    <w:rsid w:val="26946721"/>
    <w:rsid w:val="26A742F1"/>
    <w:rsid w:val="26CD7321"/>
    <w:rsid w:val="26D72CE5"/>
    <w:rsid w:val="26E60D16"/>
    <w:rsid w:val="27013454"/>
    <w:rsid w:val="27281327"/>
    <w:rsid w:val="27380A55"/>
    <w:rsid w:val="274912B9"/>
    <w:rsid w:val="27492198"/>
    <w:rsid w:val="274D2EF6"/>
    <w:rsid w:val="27646F7D"/>
    <w:rsid w:val="27943CB8"/>
    <w:rsid w:val="27B45526"/>
    <w:rsid w:val="27B94C67"/>
    <w:rsid w:val="27BD02D7"/>
    <w:rsid w:val="27CC0EAF"/>
    <w:rsid w:val="280C78FC"/>
    <w:rsid w:val="280D6BC2"/>
    <w:rsid w:val="28180C8B"/>
    <w:rsid w:val="2830726E"/>
    <w:rsid w:val="28355CE1"/>
    <w:rsid w:val="28550CB4"/>
    <w:rsid w:val="286F50F7"/>
    <w:rsid w:val="28715298"/>
    <w:rsid w:val="28895D54"/>
    <w:rsid w:val="288F1B1B"/>
    <w:rsid w:val="28A2563F"/>
    <w:rsid w:val="28A4268B"/>
    <w:rsid w:val="28C354F8"/>
    <w:rsid w:val="28D502A5"/>
    <w:rsid w:val="28D60F63"/>
    <w:rsid w:val="28F725FC"/>
    <w:rsid w:val="291043E5"/>
    <w:rsid w:val="291F7400"/>
    <w:rsid w:val="29253660"/>
    <w:rsid w:val="2925675B"/>
    <w:rsid w:val="292C1B1E"/>
    <w:rsid w:val="29384712"/>
    <w:rsid w:val="2940493E"/>
    <w:rsid w:val="294354DA"/>
    <w:rsid w:val="294626C4"/>
    <w:rsid w:val="298F31CF"/>
    <w:rsid w:val="299B516E"/>
    <w:rsid w:val="29A91D42"/>
    <w:rsid w:val="29E86453"/>
    <w:rsid w:val="29F76442"/>
    <w:rsid w:val="29FE562E"/>
    <w:rsid w:val="2A06746F"/>
    <w:rsid w:val="2A272BF0"/>
    <w:rsid w:val="2A2C4C95"/>
    <w:rsid w:val="2A844C80"/>
    <w:rsid w:val="2A9D7FDB"/>
    <w:rsid w:val="2AB23619"/>
    <w:rsid w:val="2AC57D50"/>
    <w:rsid w:val="2ACF4C88"/>
    <w:rsid w:val="2AE00267"/>
    <w:rsid w:val="2AED63FF"/>
    <w:rsid w:val="2B3171C9"/>
    <w:rsid w:val="2B3409AF"/>
    <w:rsid w:val="2B3778A0"/>
    <w:rsid w:val="2B794137"/>
    <w:rsid w:val="2B7E536E"/>
    <w:rsid w:val="2B8855E7"/>
    <w:rsid w:val="2BD9794A"/>
    <w:rsid w:val="2BDA2E28"/>
    <w:rsid w:val="2BF259CE"/>
    <w:rsid w:val="2BF64A1A"/>
    <w:rsid w:val="2C0B0112"/>
    <w:rsid w:val="2C4818A3"/>
    <w:rsid w:val="2C4F5EBF"/>
    <w:rsid w:val="2C5129BE"/>
    <w:rsid w:val="2C5F4CFD"/>
    <w:rsid w:val="2C6A09C0"/>
    <w:rsid w:val="2C804360"/>
    <w:rsid w:val="2C8A4157"/>
    <w:rsid w:val="2C981739"/>
    <w:rsid w:val="2CBD7002"/>
    <w:rsid w:val="2CD930DF"/>
    <w:rsid w:val="2CEB2E12"/>
    <w:rsid w:val="2CF64966"/>
    <w:rsid w:val="2D012636"/>
    <w:rsid w:val="2D70181A"/>
    <w:rsid w:val="2D7740A4"/>
    <w:rsid w:val="2D875C39"/>
    <w:rsid w:val="2D9912D5"/>
    <w:rsid w:val="2DBD655D"/>
    <w:rsid w:val="2DED531B"/>
    <w:rsid w:val="2DFB0E33"/>
    <w:rsid w:val="2E0524C6"/>
    <w:rsid w:val="2E133539"/>
    <w:rsid w:val="2E17605E"/>
    <w:rsid w:val="2E504C42"/>
    <w:rsid w:val="2E552C39"/>
    <w:rsid w:val="2E7035CF"/>
    <w:rsid w:val="2EBC05C2"/>
    <w:rsid w:val="2EC66230"/>
    <w:rsid w:val="2EC9247C"/>
    <w:rsid w:val="2EF80CC9"/>
    <w:rsid w:val="2F0F2DE8"/>
    <w:rsid w:val="2F182C8B"/>
    <w:rsid w:val="2F1E5435"/>
    <w:rsid w:val="2F311A9A"/>
    <w:rsid w:val="2F4D23E8"/>
    <w:rsid w:val="2F573BBF"/>
    <w:rsid w:val="2F5E0CD3"/>
    <w:rsid w:val="2F602123"/>
    <w:rsid w:val="2F8635DE"/>
    <w:rsid w:val="2F9718C9"/>
    <w:rsid w:val="2FA04085"/>
    <w:rsid w:val="2FAC7BB7"/>
    <w:rsid w:val="2FAE2273"/>
    <w:rsid w:val="2FAE4DCF"/>
    <w:rsid w:val="2FB120F1"/>
    <w:rsid w:val="2FCE28D3"/>
    <w:rsid w:val="2FD80ABD"/>
    <w:rsid w:val="2FF21C50"/>
    <w:rsid w:val="3030523E"/>
    <w:rsid w:val="306526F0"/>
    <w:rsid w:val="3069679B"/>
    <w:rsid w:val="30A74287"/>
    <w:rsid w:val="30A957E4"/>
    <w:rsid w:val="30B20548"/>
    <w:rsid w:val="30B31E99"/>
    <w:rsid w:val="30E61D53"/>
    <w:rsid w:val="30F4760D"/>
    <w:rsid w:val="310216F6"/>
    <w:rsid w:val="31101099"/>
    <w:rsid w:val="31130074"/>
    <w:rsid w:val="313703D4"/>
    <w:rsid w:val="314160F4"/>
    <w:rsid w:val="314E1723"/>
    <w:rsid w:val="315E5D2D"/>
    <w:rsid w:val="316D5522"/>
    <w:rsid w:val="319475D5"/>
    <w:rsid w:val="31A30E4F"/>
    <w:rsid w:val="31D5459C"/>
    <w:rsid w:val="31EA18B2"/>
    <w:rsid w:val="32492019"/>
    <w:rsid w:val="325376ED"/>
    <w:rsid w:val="32666DBF"/>
    <w:rsid w:val="327408B1"/>
    <w:rsid w:val="327D450D"/>
    <w:rsid w:val="32951856"/>
    <w:rsid w:val="32B27712"/>
    <w:rsid w:val="32F25A9E"/>
    <w:rsid w:val="331B1D66"/>
    <w:rsid w:val="33284DED"/>
    <w:rsid w:val="334F40FB"/>
    <w:rsid w:val="3362780F"/>
    <w:rsid w:val="33BF3F35"/>
    <w:rsid w:val="33CD3316"/>
    <w:rsid w:val="33CE6E9D"/>
    <w:rsid w:val="33DC69EB"/>
    <w:rsid w:val="33F85ED1"/>
    <w:rsid w:val="341B5D8B"/>
    <w:rsid w:val="344C23E9"/>
    <w:rsid w:val="34520466"/>
    <w:rsid w:val="345C0152"/>
    <w:rsid w:val="345F7C56"/>
    <w:rsid w:val="34794576"/>
    <w:rsid w:val="34934033"/>
    <w:rsid w:val="3498562E"/>
    <w:rsid w:val="34CA77B1"/>
    <w:rsid w:val="34DA0BF7"/>
    <w:rsid w:val="34FA1E45"/>
    <w:rsid w:val="35045BD9"/>
    <w:rsid w:val="35173A7D"/>
    <w:rsid w:val="351A6043"/>
    <w:rsid w:val="35315164"/>
    <w:rsid w:val="35647C06"/>
    <w:rsid w:val="35804895"/>
    <w:rsid w:val="358463F8"/>
    <w:rsid w:val="35A30A41"/>
    <w:rsid w:val="35BA01E7"/>
    <w:rsid w:val="35C66BAB"/>
    <w:rsid w:val="35C83CF1"/>
    <w:rsid w:val="35F66AB0"/>
    <w:rsid w:val="360B281F"/>
    <w:rsid w:val="361C55FE"/>
    <w:rsid w:val="362F3964"/>
    <w:rsid w:val="366003CD"/>
    <w:rsid w:val="36682CE1"/>
    <w:rsid w:val="368D18BF"/>
    <w:rsid w:val="36956F7C"/>
    <w:rsid w:val="36A71B58"/>
    <w:rsid w:val="36A76EC9"/>
    <w:rsid w:val="36AE738B"/>
    <w:rsid w:val="36BB1AA7"/>
    <w:rsid w:val="36F7355F"/>
    <w:rsid w:val="37024AD7"/>
    <w:rsid w:val="37076A9B"/>
    <w:rsid w:val="37103BA1"/>
    <w:rsid w:val="37184804"/>
    <w:rsid w:val="371C5388"/>
    <w:rsid w:val="372D45A9"/>
    <w:rsid w:val="37347350"/>
    <w:rsid w:val="37352CE2"/>
    <w:rsid w:val="37377380"/>
    <w:rsid w:val="37452A17"/>
    <w:rsid w:val="3756532C"/>
    <w:rsid w:val="375F5DDD"/>
    <w:rsid w:val="377611D8"/>
    <w:rsid w:val="37885777"/>
    <w:rsid w:val="3794035B"/>
    <w:rsid w:val="37A22197"/>
    <w:rsid w:val="37AD4BCD"/>
    <w:rsid w:val="37B81B43"/>
    <w:rsid w:val="37BF7375"/>
    <w:rsid w:val="37F85423"/>
    <w:rsid w:val="38073D44"/>
    <w:rsid w:val="381467EE"/>
    <w:rsid w:val="382D0783"/>
    <w:rsid w:val="382E0383"/>
    <w:rsid w:val="38396EF4"/>
    <w:rsid w:val="3876113B"/>
    <w:rsid w:val="389A51BF"/>
    <w:rsid w:val="38BF5C5C"/>
    <w:rsid w:val="38D35375"/>
    <w:rsid w:val="3905525C"/>
    <w:rsid w:val="39360964"/>
    <w:rsid w:val="393F076E"/>
    <w:rsid w:val="394B07E2"/>
    <w:rsid w:val="39640BF7"/>
    <w:rsid w:val="398D4E70"/>
    <w:rsid w:val="398F0D20"/>
    <w:rsid w:val="39B30CA6"/>
    <w:rsid w:val="39C13440"/>
    <w:rsid w:val="39C42A21"/>
    <w:rsid w:val="39CD3FCC"/>
    <w:rsid w:val="39CF367A"/>
    <w:rsid w:val="39E92488"/>
    <w:rsid w:val="39EC3D26"/>
    <w:rsid w:val="39F01A68"/>
    <w:rsid w:val="39F97206"/>
    <w:rsid w:val="3A085004"/>
    <w:rsid w:val="3A2F1883"/>
    <w:rsid w:val="3A407D5B"/>
    <w:rsid w:val="3A465B2C"/>
    <w:rsid w:val="3A6B67FB"/>
    <w:rsid w:val="3A810912"/>
    <w:rsid w:val="3AA90C70"/>
    <w:rsid w:val="3AB363E3"/>
    <w:rsid w:val="3ABF760D"/>
    <w:rsid w:val="3AD33664"/>
    <w:rsid w:val="3AE32289"/>
    <w:rsid w:val="3AE856DE"/>
    <w:rsid w:val="3AE94535"/>
    <w:rsid w:val="3AF70BD4"/>
    <w:rsid w:val="3AF85078"/>
    <w:rsid w:val="3B16331F"/>
    <w:rsid w:val="3B190B4B"/>
    <w:rsid w:val="3B351EB1"/>
    <w:rsid w:val="3B394165"/>
    <w:rsid w:val="3B530501"/>
    <w:rsid w:val="3B76418A"/>
    <w:rsid w:val="3B765D91"/>
    <w:rsid w:val="3B94735B"/>
    <w:rsid w:val="3BA607A4"/>
    <w:rsid w:val="3BB37A13"/>
    <w:rsid w:val="3BC82C9D"/>
    <w:rsid w:val="3BEE5FE1"/>
    <w:rsid w:val="3BFB0C42"/>
    <w:rsid w:val="3BFC2C19"/>
    <w:rsid w:val="3C0D40A5"/>
    <w:rsid w:val="3C2763A6"/>
    <w:rsid w:val="3C2A33AD"/>
    <w:rsid w:val="3C3245BA"/>
    <w:rsid w:val="3C3A379A"/>
    <w:rsid w:val="3C3C59E3"/>
    <w:rsid w:val="3C4779C7"/>
    <w:rsid w:val="3C4C1560"/>
    <w:rsid w:val="3C8D359E"/>
    <w:rsid w:val="3CAD1E92"/>
    <w:rsid w:val="3CC66044"/>
    <w:rsid w:val="3D06102C"/>
    <w:rsid w:val="3D0B5A75"/>
    <w:rsid w:val="3D114080"/>
    <w:rsid w:val="3D493FDF"/>
    <w:rsid w:val="3D4D2D2E"/>
    <w:rsid w:val="3D5A197E"/>
    <w:rsid w:val="3D6E4574"/>
    <w:rsid w:val="3D7243B1"/>
    <w:rsid w:val="3DDE2BB0"/>
    <w:rsid w:val="3DE90CA8"/>
    <w:rsid w:val="3DF06936"/>
    <w:rsid w:val="3DFA733B"/>
    <w:rsid w:val="3E067CB9"/>
    <w:rsid w:val="3E1E5639"/>
    <w:rsid w:val="3E7A0C6A"/>
    <w:rsid w:val="3E9E240D"/>
    <w:rsid w:val="3EAA48DB"/>
    <w:rsid w:val="3EBA0082"/>
    <w:rsid w:val="3EBB73F9"/>
    <w:rsid w:val="3ED31F88"/>
    <w:rsid w:val="3EF32DD6"/>
    <w:rsid w:val="3EFC5C64"/>
    <w:rsid w:val="3F237CF0"/>
    <w:rsid w:val="3F30107F"/>
    <w:rsid w:val="3F3032D2"/>
    <w:rsid w:val="3F58057C"/>
    <w:rsid w:val="3F6E12AE"/>
    <w:rsid w:val="3F8F29E1"/>
    <w:rsid w:val="3FB253FB"/>
    <w:rsid w:val="3FE968FF"/>
    <w:rsid w:val="3FEE0A6F"/>
    <w:rsid w:val="4001677D"/>
    <w:rsid w:val="40041DC9"/>
    <w:rsid w:val="403238ED"/>
    <w:rsid w:val="403B776B"/>
    <w:rsid w:val="4041301D"/>
    <w:rsid w:val="404B77B9"/>
    <w:rsid w:val="4054245E"/>
    <w:rsid w:val="40552569"/>
    <w:rsid w:val="40784982"/>
    <w:rsid w:val="40805C3C"/>
    <w:rsid w:val="40851DD0"/>
    <w:rsid w:val="40AD27A2"/>
    <w:rsid w:val="40AD7F08"/>
    <w:rsid w:val="40B20FB6"/>
    <w:rsid w:val="41006041"/>
    <w:rsid w:val="41126768"/>
    <w:rsid w:val="4114603C"/>
    <w:rsid w:val="41160E72"/>
    <w:rsid w:val="411918A4"/>
    <w:rsid w:val="411C3F83"/>
    <w:rsid w:val="415218B5"/>
    <w:rsid w:val="41695600"/>
    <w:rsid w:val="419C186B"/>
    <w:rsid w:val="41BC3AC5"/>
    <w:rsid w:val="41E77BF5"/>
    <w:rsid w:val="42302661"/>
    <w:rsid w:val="42382854"/>
    <w:rsid w:val="42B775C7"/>
    <w:rsid w:val="42C039C6"/>
    <w:rsid w:val="43154F43"/>
    <w:rsid w:val="43162E9B"/>
    <w:rsid w:val="431C061D"/>
    <w:rsid w:val="4321426F"/>
    <w:rsid w:val="43496FA0"/>
    <w:rsid w:val="434A26B3"/>
    <w:rsid w:val="43A23DD3"/>
    <w:rsid w:val="43B43B06"/>
    <w:rsid w:val="43C90E37"/>
    <w:rsid w:val="43D4345F"/>
    <w:rsid w:val="445A00CC"/>
    <w:rsid w:val="445E5E13"/>
    <w:rsid w:val="44727C49"/>
    <w:rsid w:val="447B3818"/>
    <w:rsid w:val="44827E91"/>
    <w:rsid w:val="449000D0"/>
    <w:rsid w:val="449172F2"/>
    <w:rsid w:val="44AD6ED3"/>
    <w:rsid w:val="44AF6089"/>
    <w:rsid w:val="44CA41B3"/>
    <w:rsid w:val="44D7355A"/>
    <w:rsid w:val="45273174"/>
    <w:rsid w:val="45421516"/>
    <w:rsid w:val="457B7869"/>
    <w:rsid w:val="457D10A5"/>
    <w:rsid w:val="4592050E"/>
    <w:rsid w:val="45924EB3"/>
    <w:rsid w:val="459F3988"/>
    <w:rsid w:val="45A02E53"/>
    <w:rsid w:val="45A30A39"/>
    <w:rsid w:val="45D64208"/>
    <w:rsid w:val="45F17038"/>
    <w:rsid w:val="45F319FA"/>
    <w:rsid w:val="45FD450C"/>
    <w:rsid w:val="46024FFD"/>
    <w:rsid w:val="462463BA"/>
    <w:rsid w:val="46455915"/>
    <w:rsid w:val="46476EB4"/>
    <w:rsid w:val="468569AD"/>
    <w:rsid w:val="46992916"/>
    <w:rsid w:val="46B852BE"/>
    <w:rsid w:val="46D005FB"/>
    <w:rsid w:val="472F5BD9"/>
    <w:rsid w:val="47371E58"/>
    <w:rsid w:val="474E7DCE"/>
    <w:rsid w:val="475E2BC7"/>
    <w:rsid w:val="47813025"/>
    <w:rsid w:val="47B440D5"/>
    <w:rsid w:val="47B71E17"/>
    <w:rsid w:val="47BC567F"/>
    <w:rsid w:val="47CC5F65"/>
    <w:rsid w:val="480B2557"/>
    <w:rsid w:val="483B1CF6"/>
    <w:rsid w:val="484C6283"/>
    <w:rsid w:val="484C6A03"/>
    <w:rsid w:val="485633DE"/>
    <w:rsid w:val="48594C7C"/>
    <w:rsid w:val="486378A9"/>
    <w:rsid w:val="48820246"/>
    <w:rsid w:val="488241D3"/>
    <w:rsid w:val="48855474"/>
    <w:rsid w:val="48C34758"/>
    <w:rsid w:val="48D22655"/>
    <w:rsid w:val="48D71FE0"/>
    <w:rsid w:val="48F51259"/>
    <w:rsid w:val="490E657D"/>
    <w:rsid w:val="491773B2"/>
    <w:rsid w:val="4924528A"/>
    <w:rsid w:val="49490ACD"/>
    <w:rsid w:val="497C79E8"/>
    <w:rsid w:val="49B4579F"/>
    <w:rsid w:val="49BA6221"/>
    <w:rsid w:val="49DA6394"/>
    <w:rsid w:val="4A01681E"/>
    <w:rsid w:val="4A17094B"/>
    <w:rsid w:val="4A3B7AC9"/>
    <w:rsid w:val="4A7140CA"/>
    <w:rsid w:val="4ACD3484"/>
    <w:rsid w:val="4AD803BC"/>
    <w:rsid w:val="4AE71F4C"/>
    <w:rsid w:val="4B200CE4"/>
    <w:rsid w:val="4B2C71F2"/>
    <w:rsid w:val="4B306168"/>
    <w:rsid w:val="4B406D17"/>
    <w:rsid w:val="4B49547C"/>
    <w:rsid w:val="4B5856BF"/>
    <w:rsid w:val="4BB17234"/>
    <w:rsid w:val="4BD27D1B"/>
    <w:rsid w:val="4BE61391"/>
    <w:rsid w:val="4BEE5A54"/>
    <w:rsid w:val="4BFD7A3B"/>
    <w:rsid w:val="4C237A7B"/>
    <w:rsid w:val="4C2443E3"/>
    <w:rsid w:val="4C2B2BBA"/>
    <w:rsid w:val="4C325F10"/>
    <w:rsid w:val="4C4A0EEF"/>
    <w:rsid w:val="4C730D1B"/>
    <w:rsid w:val="4C7F084B"/>
    <w:rsid w:val="4C96649F"/>
    <w:rsid w:val="4C975D73"/>
    <w:rsid w:val="4CA74208"/>
    <w:rsid w:val="4CAC7A71"/>
    <w:rsid w:val="4CC8293C"/>
    <w:rsid w:val="4CCA390C"/>
    <w:rsid w:val="4CFF2296"/>
    <w:rsid w:val="4D116BD8"/>
    <w:rsid w:val="4D773108"/>
    <w:rsid w:val="4DAE7663"/>
    <w:rsid w:val="4DB75561"/>
    <w:rsid w:val="4DD31817"/>
    <w:rsid w:val="4DD74A8C"/>
    <w:rsid w:val="4E154813"/>
    <w:rsid w:val="4E1D36FF"/>
    <w:rsid w:val="4E234053"/>
    <w:rsid w:val="4E5100D6"/>
    <w:rsid w:val="4E565164"/>
    <w:rsid w:val="4E843DEE"/>
    <w:rsid w:val="4EA54C57"/>
    <w:rsid w:val="4EA74993"/>
    <w:rsid w:val="4EA83435"/>
    <w:rsid w:val="4F073EC1"/>
    <w:rsid w:val="4F165008"/>
    <w:rsid w:val="4F2246D5"/>
    <w:rsid w:val="4F30127D"/>
    <w:rsid w:val="4F374864"/>
    <w:rsid w:val="4F4C1097"/>
    <w:rsid w:val="4F5C0BBD"/>
    <w:rsid w:val="4F7336A7"/>
    <w:rsid w:val="4F915AFF"/>
    <w:rsid w:val="4F957476"/>
    <w:rsid w:val="4FB62DCA"/>
    <w:rsid w:val="4FCD4BA8"/>
    <w:rsid w:val="4FE40882"/>
    <w:rsid w:val="4FFD357E"/>
    <w:rsid w:val="4FFD4797"/>
    <w:rsid w:val="500A342C"/>
    <w:rsid w:val="500F3523"/>
    <w:rsid w:val="50680152"/>
    <w:rsid w:val="506904E2"/>
    <w:rsid w:val="507B1B4F"/>
    <w:rsid w:val="50967DFF"/>
    <w:rsid w:val="509E5700"/>
    <w:rsid w:val="50D37CC2"/>
    <w:rsid w:val="50D863CD"/>
    <w:rsid w:val="50E44C88"/>
    <w:rsid w:val="50EE0457"/>
    <w:rsid w:val="51025EB1"/>
    <w:rsid w:val="51316796"/>
    <w:rsid w:val="513B2B72"/>
    <w:rsid w:val="513E1EA3"/>
    <w:rsid w:val="514C1822"/>
    <w:rsid w:val="515661FD"/>
    <w:rsid w:val="5175030F"/>
    <w:rsid w:val="517C0CBD"/>
    <w:rsid w:val="51831D84"/>
    <w:rsid w:val="519E71A9"/>
    <w:rsid w:val="519F1952"/>
    <w:rsid w:val="51AC22C1"/>
    <w:rsid w:val="51CD1895"/>
    <w:rsid w:val="51E1108D"/>
    <w:rsid w:val="51FA302C"/>
    <w:rsid w:val="52236778"/>
    <w:rsid w:val="52293911"/>
    <w:rsid w:val="523C4399"/>
    <w:rsid w:val="526C18DA"/>
    <w:rsid w:val="52AF02BB"/>
    <w:rsid w:val="52B32ADC"/>
    <w:rsid w:val="52CD24EF"/>
    <w:rsid w:val="531C1158"/>
    <w:rsid w:val="53404ECC"/>
    <w:rsid w:val="53456349"/>
    <w:rsid w:val="535F5A69"/>
    <w:rsid w:val="537B63EF"/>
    <w:rsid w:val="538B54CE"/>
    <w:rsid w:val="538D6EA3"/>
    <w:rsid w:val="538E3090"/>
    <w:rsid w:val="53A401EB"/>
    <w:rsid w:val="53E52DB4"/>
    <w:rsid w:val="54187A68"/>
    <w:rsid w:val="541D7393"/>
    <w:rsid w:val="54215D8C"/>
    <w:rsid w:val="54346E13"/>
    <w:rsid w:val="5455611F"/>
    <w:rsid w:val="54615371"/>
    <w:rsid w:val="54860AC1"/>
    <w:rsid w:val="548B0FC0"/>
    <w:rsid w:val="5492076A"/>
    <w:rsid w:val="54944436"/>
    <w:rsid w:val="549829C7"/>
    <w:rsid w:val="54986ACA"/>
    <w:rsid w:val="549A44B1"/>
    <w:rsid w:val="54C508C3"/>
    <w:rsid w:val="54C92583"/>
    <w:rsid w:val="54D23DEC"/>
    <w:rsid w:val="54F12A6F"/>
    <w:rsid w:val="54FA4576"/>
    <w:rsid w:val="55211095"/>
    <w:rsid w:val="5568597E"/>
    <w:rsid w:val="556D524C"/>
    <w:rsid w:val="5591748A"/>
    <w:rsid w:val="55A35428"/>
    <w:rsid w:val="55DE2FB4"/>
    <w:rsid w:val="55E25407"/>
    <w:rsid w:val="560A163A"/>
    <w:rsid w:val="564E1B99"/>
    <w:rsid w:val="5678174F"/>
    <w:rsid w:val="56B23ED5"/>
    <w:rsid w:val="56DA1916"/>
    <w:rsid w:val="571526B6"/>
    <w:rsid w:val="57173702"/>
    <w:rsid w:val="571F4B60"/>
    <w:rsid w:val="573931F5"/>
    <w:rsid w:val="57802226"/>
    <w:rsid w:val="57931DD6"/>
    <w:rsid w:val="57BC757C"/>
    <w:rsid w:val="57C30655"/>
    <w:rsid w:val="57D53097"/>
    <w:rsid w:val="57D93C2F"/>
    <w:rsid w:val="57E26ABC"/>
    <w:rsid w:val="57ED5E8C"/>
    <w:rsid w:val="57F61CA8"/>
    <w:rsid w:val="580914DD"/>
    <w:rsid w:val="58117322"/>
    <w:rsid w:val="58272CC8"/>
    <w:rsid w:val="58350AC5"/>
    <w:rsid w:val="583A4C17"/>
    <w:rsid w:val="583D0117"/>
    <w:rsid w:val="584843C7"/>
    <w:rsid w:val="589812CD"/>
    <w:rsid w:val="58D72121"/>
    <w:rsid w:val="58D97E3F"/>
    <w:rsid w:val="59145669"/>
    <w:rsid w:val="59202D3F"/>
    <w:rsid w:val="595E0345"/>
    <w:rsid w:val="59605E6B"/>
    <w:rsid w:val="59831B59"/>
    <w:rsid w:val="59C109AB"/>
    <w:rsid w:val="59E471FC"/>
    <w:rsid w:val="59EE76D6"/>
    <w:rsid w:val="59F91E1B"/>
    <w:rsid w:val="5A182286"/>
    <w:rsid w:val="5A4F5EDF"/>
    <w:rsid w:val="5AF3193E"/>
    <w:rsid w:val="5B321A89"/>
    <w:rsid w:val="5B7776EF"/>
    <w:rsid w:val="5B8B1199"/>
    <w:rsid w:val="5BA913F1"/>
    <w:rsid w:val="5BB12F7A"/>
    <w:rsid w:val="5BB5185E"/>
    <w:rsid w:val="5BF726E0"/>
    <w:rsid w:val="5C000C6A"/>
    <w:rsid w:val="5C0276AD"/>
    <w:rsid w:val="5C0F6489"/>
    <w:rsid w:val="5C2F421A"/>
    <w:rsid w:val="5C420267"/>
    <w:rsid w:val="5C4C32C4"/>
    <w:rsid w:val="5C6519EA"/>
    <w:rsid w:val="5C8065F7"/>
    <w:rsid w:val="5CE2303B"/>
    <w:rsid w:val="5CF56A84"/>
    <w:rsid w:val="5D231633"/>
    <w:rsid w:val="5D2F017F"/>
    <w:rsid w:val="5D4A4757"/>
    <w:rsid w:val="5D5977A1"/>
    <w:rsid w:val="5D8C0E47"/>
    <w:rsid w:val="5D903810"/>
    <w:rsid w:val="5DA57EC7"/>
    <w:rsid w:val="5DD517EB"/>
    <w:rsid w:val="5DE52070"/>
    <w:rsid w:val="5E0D665D"/>
    <w:rsid w:val="5E196F30"/>
    <w:rsid w:val="5E4C1463"/>
    <w:rsid w:val="5E506CEB"/>
    <w:rsid w:val="5E56744C"/>
    <w:rsid w:val="5EB6153F"/>
    <w:rsid w:val="5EB979BC"/>
    <w:rsid w:val="5ECF75EF"/>
    <w:rsid w:val="5EF679D2"/>
    <w:rsid w:val="5F2C01C7"/>
    <w:rsid w:val="5F3C6531"/>
    <w:rsid w:val="5F4C2918"/>
    <w:rsid w:val="5F5226F9"/>
    <w:rsid w:val="5F5B5765"/>
    <w:rsid w:val="5F8E210F"/>
    <w:rsid w:val="5FAF36A8"/>
    <w:rsid w:val="5FB31623"/>
    <w:rsid w:val="5FB5196B"/>
    <w:rsid w:val="5FD532F5"/>
    <w:rsid w:val="6000600D"/>
    <w:rsid w:val="60060840"/>
    <w:rsid w:val="60070B02"/>
    <w:rsid w:val="602944F6"/>
    <w:rsid w:val="60297C51"/>
    <w:rsid w:val="60361C20"/>
    <w:rsid w:val="60483476"/>
    <w:rsid w:val="605F5EBB"/>
    <w:rsid w:val="60695F4D"/>
    <w:rsid w:val="608D16AE"/>
    <w:rsid w:val="609D1752"/>
    <w:rsid w:val="60A80DE6"/>
    <w:rsid w:val="60AB3045"/>
    <w:rsid w:val="60BD04A7"/>
    <w:rsid w:val="60EE6715"/>
    <w:rsid w:val="610C55FC"/>
    <w:rsid w:val="61111678"/>
    <w:rsid w:val="612B1454"/>
    <w:rsid w:val="613F280A"/>
    <w:rsid w:val="61477910"/>
    <w:rsid w:val="61493688"/>
    <w:rsid w:val="614D2942"/>
    <w:rsid w:val="615233BF"/>
    <w:rsid w:val="616C6100"/>
    <w:rsid w:val="61797A5E"/>
    <w:rsid w:val="619F6CE4"/>
    <w:rsid w:val="61BE4076"/>
    <w:rsid w:val="61C0167C"/>
    <w:rsid w:val="61C242DB"/>
    <w:rsid w:val="61EA44B7"/>
    <w:rsid w:val="623B56C7"/>
    <w:rsid w:val="623D1F20"/>
    <w:rsid w:val="623E6F65"/>
    <w:rsid w:val="62682F95"/>
    <w:rsid w:val="626C5880"/>
    <w:rsid w:val="626F24FE"/>
    <w:rsid w:val="626F37F1"/>
    <w:rsid w:val="627656D3"/>
    <w:rsid w:val="627A6F11"/>
    <w:rsid w:val="62821B19"/>
    <w:rsid w:val="628F4843"/>
    <w:rsid w:val="62A25746"/>
    <w:rsid w:val="62B35F38"/>
    <w:rsid w:val="62CC79A8"/>
    <w:rsid w:val="62CF628F"/>
    <w:rsid w:val="62DE3CDE"/>
    <w:rsid w:val="62E21760"/>
    <w:rsid w:val="62F24C15"/>
    <w:rsid w:val="62FD7EC7"/>
    <w:rsid w:val="63017DCD"/>
    <w:rsid w:val="631011C5"/>
    <w:rsid w:val="633B5F5A"/>
    <w:rsid w:val="634551E8"/>
    <w:rsid w:val="63685D7A"/>
    <w:rsid w:val="63A810EB"/>
    <w:rsid w:val="63EC197A"/>
    <w:rsid w:val="641868D2"/>
    <w:rsid w:val="6445282D"/>
    <w:rsid w:val="64A21A2D"/>
    <w:rsid w:val="64AA3BAD"/>
    <w:rsid w:val="64AC31D6"/>
    <w:rsid w:val="64C925FE"/>
    <w:rsid w:val="64CB27AD"/>
    <w:rsid w:val="64E105B9"/>
    <w:rsid w:val="650135F4"/>
    <w:rsid w:val="65031DA0"/>
    <w:rsid w:val="65113350"/>
    <w:rsid w:val="652608F3"/>
    <w:rsid w:val="65635D41"/>
    <w:rsid w:val="65764C68"/>
    <w:rsid w:val="65845859"/>
    <w:rsid w:val="65C33A11"/>
    <w:rsid w:val="65DB7519"/>
    <w:rsid w:val="65EB7E7E"/>
    <w:rsid w:val="6613792D"/>
    <w:rsid w:val="6663343E"/>
    <w:rsid w:val="666A3B93"/>
    <w:rsid w:val="666C7DCD"/>
    <w:rsid w:val="666D7E19"/>
    <w:rsid w:val="667E2026"/>
    <w:rsid w:val="66882EA5"/>
    <w:rsid w:val="668A09CB"/>
    <w:rsid w:val="66AB0941"/>
    <w:rsid w:val="66B912B0"/>
    <w:rsid w:val="66BF5587"/>
    <w:rsid w:val="66DB2FD4"/>
    <w:rsid w:val="66E321C6"/>
    <w:rsid w:val="671464E6"/>
    <w:rsid w:val="67656D42"/>
    <w:rsid w:val="679D29C5"/>
    <w:rsid w:val="67AE58C3"/>
    <w:rsid w:val="67E210D1"/>
    <w:rsid w:val="68040309"/>
    <w:rsid w:val="683E5EB1"/>
    <w:rsid w:val="684E1631"/>
    <w:rsid w:val="68660FC4"/>
    <w:rsid w:val="68716AF9"/>
    <w:rsid w:val="68857CF2"/>
    <w:rsid w:val="68A41DF7"/>
    <w:rsid w:val="68A52AAA"/>
    <w:rsid w:val="68F24809"/>
    <w:rsid w:val="68F331D7"/>
    <w:rsid w:val="68F4103E"/>
    <w:rsid w:val="69083562"/>
    <w:rsid w:val="69186957"/>
    <w:rsid w:val="6941113D"/>
    <w:rsid w:val="69617A81"/>
    <w:rsid w:val="696A4A9E"/>
    <w:rsid w:val="699149AC"/>
    <w:rsid w:val="69972592"/>
    <w:rsid w:val="69BB533F"/>
    <w:rsid w:val="69CE0BCF"/>
    <w:rsid w:val="69FD56BA"/>
    <w:rsid w:val="6A050D00"/>
    <w:rsid w:val="6A0B642C"/>
    <w:rsid w:val="6A4B26CE"/>
    <w:rsid w:val="6A512265"/>
    <w:rsid w:val="6A9736B6"/>
    <w:rsid w:val="6A9D7E0D"/>
    <w:rsid w:val="6AB75B07"/>
    <w:rsid w:val="6ABC311D"/>
    <w:rsid w:val="6AD205CF"/>
    <w:rsid w:val="6AED7A77"/>
    <w:rsid w:val="6B180417"/>
    <w:rsid w:val="6B2254C7"/>
    <w:rsid w:val="6B272C8C"/>
    <w:rsid w:val="6B3D73B4"/>
    <w:rsid w:val="6B5977A5"/>
    <w:rsid w:val="6B7A3F68"/>
    <w:rsid w:val="6B861160"/>
    <w:rsid w:val="6B99345E"/>
    <w:rsid w:val="6BA21F4C"/>
    <w:rsid w:val="6BC229B5"/>
    <w:rsid w:val="6BCE25F8"/>
    <w:rsid w:val="6BDD6745"/>
    <w:rsid w:val="6BE54C14"/>
    <w:rsid w:val="6C0576C7"/>
    <w:rsid w:val="6C075C03"/>
    <w:rsid w:val="6C0F1B33"/>
    <w:rsid w:val="6C116565"/>
    <w:rsid w:val="6C1C4280"/>
    <w:rsid w:val="6C210473"/>
    <w:rsid w:val="6C25711A"/>
    <w:rsid w:val="6C622F26"/>
    <w:rsid w:val="6C9D0D2C"/>
    <w:rsid w:val="6CA94CC8"/>
    <w:rsid w:val="6CAE2F39"/>
    <w:rsid w:val="6CBE15D4"/>
    <w:rsid w:val="6CCE2ABD"/>
    <w:rsid w:val="6CD31019"/>
    <w:rsid w:val="6CDE737B"/>
    <w:rsid w:val="6CEE01C9"/>
    <w:rsid w:val="6D11628A"/>
    <w:rsid w:val="6D156B14"/>
    <w:rsid w:val="6D33743D"/>
    <w:rsid w:val="6D4D5F14"/>
    <w:rsid w:val="6D4E0559"/>
    <w:rsid w:val="6D840575"/>
    <w:rsid w:val="6DA30DB9"/>
    <w:rsid w:val="6DAF51BB"/>
    <w:rsid w:val="6DD918C6"/>
    <w:rsid w:val="6E143AE0"/>
    <w:rsid w:val="6E1C46EB"/>
    <w:rsid w:val="6E2434B3"/>
    <w:rsid w:val="6E245261"/>
    <w:rsid w:val="6E751F61"/>
    <w:rsid w:val="6E80427F"/>
    <w:rsid w:val="6E877E41"/>
    <w:rsid w:val="6E9457DF"/>
    <w:rsid w:val="6EA8336F"/>
    <w:rsid w:val="6EFC4743"/>
    <w:rsid w:val="6F024900"/>
    <w:rsid w:val="6F147FB3"/>
    <w:rsid w:val="6F4E7A0D"/>
    <w:rsid w:val="6F540912"/>
    <w:rsid w:val="6F5D7B3C"/>
    <w:rsid w:val="6F8208A3"/>
    <w:rsid w:val="6F9B1553"/>
    <w:rsid w:val="6F9C5AEA"/>
    <w:rsid w:val="6FC15197"/>
    <w:rsid w:val="6FDE56C6"/>
    <w:rsid w:val="70047C7E"/>
    <w:rsid w:val="70090BAB"/>
    <w:rsid w:val="701337DF"/>
    <w:rsid w:val="7028058F"/>
    <w:rsid w:val="70372DB4"/>
    <w:rsid w:val="70910BA8"/>
    <w:rsid w:val="70940676"/>
    <w:rsid w:val="70945BB3"/>
    <w:rsid w:val="70FA404B"/>
    <w:rsid w:val="710F044A"/>
    <w:rsid w:val="711A599A"/>
    <w:rsid w:val="712612F0"/>
    <w:rsid w:val="7151012C"/>
    <w:rsid w:val="71555B92"/>
    <w:rsid w:val="71623912"/>
    <w:rsid w:val="71695D33"/>
    <w:rsid w:val="7186467B"/>
    <w:rsid w:val="71926C9A"/>
    <w:rsid w:val="71AD2632"/>
    <w:rsid w:val="71AD58DF"/>
    <w:rsid w:val="71C9200A"/>
    <w:rsid w:val="71D17178"/>
    <w:rsid w:val="71E80C9B"/>
    <w:rsid w:val="71F66F14"/>
    <w:rsid w:val="71FD64F5"/>
    <w:rsid w:val="72021D5D"/>
    <w:rsid w:val="721C5B7A"/>
    <w:rsid w:val="721E5847"/>
    <w:rsid w:val="72265A73"/>
    <w:rsid w:val="7251386F"/>
    <w:rsid w:val="72601BC4"/>
    <w:rsid w:val="726B6C30"/>
    <w:rsid w:val="72803CD1"/>
    <w:rsid w:val="728B1D53"/>
    <w:rsid w:val="72A679E5"/>
    <w:rsid w:val="72DF209E"/>
    <w:rsid w:val="72EE3AA0"/>
    <w:rsid w:val="73080FBE"/>
    <w:rsid w:val="730C2768"/>
    <w:rsid w:val="730E6343"/>
    <w:rsid w:val="7318110C"/>
    <w:rsid w:val="732439BD"/>
    <w:rsid w:val="737547B1"/>
    <w:rsid w:val="73EA478E"/>
    <w:rsid w:val="74096920"/>
    <w:rsid w:val="74163FEC"/>
    <w:rsid w:val="741C4C2C"/>
    <w:rsid w:val="745E5245"/>
    <w:rsid w:val="74795BDB"/>
    <w:rsid w:val="74870E74"/>
    <w:rsid w:val="748F3D44"/>
    <w:rsid w:val="74917CCB"/>
    <w:rsid w:val="749E1D91"/>
    <w:rsid w:val="74A272A2"/>
    <w:rsid w:val="74B51309"/>
    <w:rsid w:val="74B53145"/>
    <w:rsid w:val="750758DC"/>
    <w:rsid w:val="75340358"/>
    <w:rsid w:val="753D2A3B"/>
    <w:rsid w:val="75501031"/>
    <w:rsid w:val="75590201"/>
    <w:rsid w:val="755B2C17"/>
    <w:rsid w:val="756951F0"/>
    <w:rsid w:val="757D0F1B"/>
    <w:rsid w:val="7589364D"/>
    <w:rsid w:val="759E7FEF"/>
    <w:rsid w:val="75A54500"/>
    <w:rsid w:val="75AD1FE0"/>
    <w:rsid w:val="75B01AD0"/>
    <w:rsid w:val="75C954F3"/>
    <w:rsid w:val="7605090C"/>
    <w:rsid w:val="7618341C"/>
    <w:rsid w:val="76257DC8"/>
    <w:rsid w:val="762F11BB"/>
    <w:rsid w:val="763177BD"/>
    <w:rsid w:val="76481D09"/>
    <w:rsid w:val="765352E4"/>
    <w:rsid w:val="765E5031"/>
    <w:rsid w:val="766D176F"/>
    <w:rsid w:val="7674539D"/>
    <w:rsid w:val="768D7F04"/>
    <w:rsid w:val="76B04C7D"/>
    <w:rsid w:val="76B701FD"/>
    <w:rsid w:val="76D809AC"/>
    <w:rsid w:val="771316E8"/>
    <w:rsid w:val="77163E91"/>
    <w:rsid w:val="776475DE"/>
    <w:rsid w:val="777849BD"/>
    <w:rsid w:val="77876861"/>
    <w:rsid w:val="77CE4905"/>
    <w:rsid w:val="77EF68E0"/>
    <w:rsid w:val="77F739E6"/>
    <w:rsid w:val="782F143B"/>
    <w:rsid w:val="78387B4C"/>
    <w:rsid w:val="784864B5"/>
    <w:rsid w:val="784A6749"/>
    <w:rsid w:val="784F3822"/>
    <w:rsid w:val="78664111"/>
    <w:rsid w:val="787119EB"/>
    <w:rsid w:val="78AB6CA2"/>
    <w:rsid w:val="78B83176"/>
    <w:rsid w:val="79196258"/>
    <w:rsid w:val="795F5CE7"/>
    <w:rsid w:val="79B06B8B"/>
    <w:rsid w:val="79C800E3"/>
    <w:rsid w:val="79F331D7"/>
    <w:rsid w:val="79FF6724"/>
    <w:rsid w:val="7A0C0DCE"/>
    <w:rsid w:val="7A114759"/>
    <w:rsid w:val="7A50273A"/>
    <w:rsid w:val="7A97281C"/>
    <w:rsid w:val="7AAE75CB"/>
    <w:rsid w:val="7AD04663"/>
    <w:rsid w:val="7AE4700D"/>
    <w:rsid w:val="7AFD1314"/>
    <w:rsid w:val="7B320070"/>
    <w:rsid w:val="7B5974FC"/>
    <w:rsid w:val="7B6B06BE"/>
    <w:rsid w:val="7B7F7F7B"/>
    <w:rsid w:val="7B98139E"/>
    <w:rsid w:val="7BF32717"/>
    <w:rsid w:val="7C0E450A"/>
    <w:rsid w:val="7C2F499F"/>
    <w:rsid w:val="7C322331"/>
    <w:rsid w:val="7C422EFA"/>
    <w:rsid w:val="7C4350C2"/>
    <w:rsid w:val="7C4B2553"/>
    <w:rsid w:val="7C606325"/>
    <w:rsid w:val="7C703D67"/>
    <w:rsid w:val="7C793044"/>
    <w:rsid w:val="7C857813"/>
    <w:rsid w:val="7C953963"/>
    <w:rsid w:val="7CB06EC8"/>
    <w:rsid w:val="7CDB6813"/>
    <w:rsid w:val="7CF40427"/>
    <w:rsid w:val="7CFF196A"/>
    <w:rsid w:val="7D011C9C"/>
    <w:rsid w:val="7D1E3FE0"/>
    <w:rsid w:val="7D2D1C58"/>
    <w:rsid w:val="7D311748"/>
    <w:rsid w:val="7D453A82"/>
    <w:rsid w:val="7D581626"/>
    <w:rsid w:val="7D827436"/>
    <w:rsid w:val="7D9D7C13"/>
    <w:rsid w:val="7DA7719D"/>
    <w:rsid w:val="7DBE302D"/>
    <w:rsid w:val="7DC33B69"/>
    <w:rsid w:val="7DCB394B"/>
    <w:rsid w:val="7DCE51E9"/>
    <w:rsid w:val="7DFA692D"/>
    <w:rsid w:val="7E1042B2"/>
    <w:rsid w:val="7E2412AD"/>
    <w:rsid w:val="7E280155"/>
    <w:rsid w:val="7E2935DA"/>
    <w:rsid w:val="7E382BAB"/>
    <w:rsid w:val="7E3C33D8"/>
    <w:rsid w:val="7E4F709C"/>
    <w:rsid w:val="7E5F5192"/>
    <w:rsid w:val="7E635BDD"/>
    <w:rsid w:val="7E661464"/>
    <w:rsid w:val="7E696E0B"/>
    <w:rsid w:val="7E733439"/>
    <w:rsid w:val="7E8958DF"/>
    <w:rsid w:val="7EBF1891"/>
    <w:rsid w:val="7F053E4F"/>
    <w:rsid w:val="7F285A27"/>
    <w:rsid w:val="7F321C51"/>
    <w:rsid w:val="7F390D88"/>
    <w:rsid w:val="7F3F07EA"/>
    <w:rsid w:val="7F4E1849"/>
    <w:rsid w:val="7F507174"/>
    <w:rsid w:val="7FAC43B7"/>
    <w:rsid w:val="7FAF608A"/>
    <w:rsid w:val="7FD51F33"/>
    <w:rsid w:val="7FD768BE"/>
    <w:rsid w:val="7FE3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3"/>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autoRedefine/>
    <w:qFormat/>
    <w:uiPriority w:val="0"/>
    <w:pPr>
      <w:keepNext/>
      <w:keepLines/>
      <w:spacing w:before="260" w:after="260" w:line="415" w:lineRule="auto"/>
      <w:outlineLvl w:val="2"/>
    </w:pPr>
    <w:rPr>
      <w:b/>
      <w:bCs/>
      <w:sz w:val="32"/>
      <w:szCs w:val="32"/>
    </w:rPr>
  </w:style>
  <w:style w:type="paragraph" w:styleId="2">
    <w:name w:val="heading 4"/>
    <w:basedOn w:val="1"/>
    <w:next w:val="1"/>
    <w:autoRedefine/>
    <w:qFormat/>
    <w:uiPriority w:val="9"/>
    <w:pPr>
      <w:keepNext/>
      <w:keepLines/>
      <w:adjustRightInd w:val="0"/>
      <w:snapToGrid w:val="0"/>
      <w:ind w:firstLine="480" w:firstLineChars="200"/>
      <w:outlineLvl w:val="3"/>
    </w:pPr>
    <w:rPr>
      <w:rFonts w:ascii="Cambria" w:hAnsi="Cambria"/>
      <w:b/>
      <w:bCs/>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8">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9">
    <w:name w:val="toc 7"/>
    <w:basedOn w:val="1"/>
    <w:next w:val="1"/>
    <w:autoRedefine/>
    <w:semiHidden/>
    <w:qFormat/>
    <w:uiPriority w:val="0"/>
    <w:pPr>
      <w:ind w:left="1260"/>
      <w:jc w:val="left"/>
    </w:pPr>
    <w:rPr>
      <w:sz w:val="18"/>
      <w:szCs w:val="18"/>
    </w:rPr>
  </w:style>
  <w:style w:type="paragraph" w:styleId="10">
    <w:name w:val="annotation text"/>
    <w:basedOn w:val="1"/>
    <w:link w:val="85"/>
    <w:autoRedefine/>
    <w:semiHidden/>
    <w:qFormat/>
    <w:uiPriority w:val="0"/>
    <w:pPr>
      <w:jc w:val="left"/>
    </w:pPr>
  </w:style>
  <w:style w:type="paragraph" w:styleId="11">
    <w:name w:val="Body Text 3"/>
    <w:basedOn w:val="1"/>
    <w:autoRedefine/>
    <w:qFormat/>
    <w:uiPriority w:val="0"/>
    <w:rPr>
      <w:rFonts w:ascii="宋体"/>
      <w:sz w:val="24"/>
      <w:szCs w:val="20"/>
    </w:rPr>
  </w:style>
  <w:style w:type="paragraph" w:styleId="12">
    <w:name w:val="Body Text"/>
    <w:basedOn w:val="1"/>
    <w:next w:val="13"/>
    <w:autoRedefine/>
    <w:qFormat/>
    <w:uiPriority w:val="0"/>
    <w:pPr>
      <w:spacing w:after="120"/>
    </w:pPr>
  </w:style>
  <w:style w:type="paragraph" w:customStyle="1" w:styleId="13">
    <w:name w:val="Default"/>
    <w:next w:val="14"/>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大标题"/>
    <w:basedOn w:val="1"/>
    <w:next w:val="15"/>
    <w:autoRedefine/>
    <w:qFormat/>
    <w:uiPriority w:val="0"/>
    <w:pPr>
      <w:jc w:val="center"/>
    </w:pPr>
    <w:rPr>
      <w:rFonts w:ascii="Arial" w:hAnsi="Arial"/>
      <w:b/>
      <w:sz w:val="28"/>
    </w:rPr>
  </w:style>
  <w:style w:type="paragraph" w:styleId="15">
    <w:name w:val="Body Text First Indent 2"/>
    <w:basedOn w:val="16"/>
    <w:next w:val="1"/>
    <w:autoRedefine/>
    <w:qFormat/>
    <w:uiPriority w:val="0"/>
    <w:pPr>
      <w:ind w:firstLine="420" w:firstLineChars="200"/>
    </w:pPr>
  </w:style>
  <w:style w:type="paragraph" w:styleId="16">
    <w:name w:val="Body Text Indent"/>
    <w:basedOn w:val="1"/>
    <w:next w:val="17"/>
    <w:autoRedefine/>
    <w:qFormat/>
    <w:uiPriority w:val="0"/>
    <w:pPr>
      <w:ind w:firstLine="630"/>
    </w:pPr>
    <w:rPr>
      <w:sz w:val="32"/>
      <w:szCs w:val="20"/>
    </w:rPr>
  </w:style>
  <w:style w:type="paragraph" w:styleId="17">
    <w:name w:val="envelope return"/>
    <w:basedOn w:val="1"/>
    <w:autoRedefine/>
    <w:qFormat/>
    <w:uiPriority w:val="99"/>
    <w:pPr>
      <w:snapToGrid w:val="0"/>
    </w:pPr>
    <w:rPr>
      <w:rFonts w:ascii="Arial" w:hAnsi="Arial" w:cs="Arial"/>
    </w:rPr>
  </w:style>
  <w:style w:type="paragraph" w:styleId="18">
    <w:name w:val="index 4"/>
    <w:basedOn w:val="1"/>
    <w:next w:val="1"/>
    <w:autoRedefine/>
    <w:qFormat/>
    <w:uiPriority w:val="0"/>
    <w:pPr>
      <w:ind w:left="840" w:hanging="210"/>
      <w:jc w:val="left"/>
    </w:pPr>
    <w:rPr>
      <w:sz w:val="20"/>
      <w:szCs w:val="20"/>
    </w:rPr>
  </w:style>
  <w:style w:type="paragraph" w:styleId="19">
    <w:name w:val="toc 5"/>
    <w:basedOn w:val="1"/>
    <w:next w:val="1"/>
    <w:autoRedefine/>
    <w:semiHidden/>
    <w:qFormat/>
    <w:uiPriority w:val="0"/>
    <w:pPr>
      <w:ind w:left="840"/>
      <w:jc w:val="left"/>
    </w:pPr>
    <w:rPr>
      <w:sz w:val="18"/>
      <w:szCs w:val="18"/>
    </w:rPr>
  </w:style>
  <w:style w:type="paragraph" w:styleId="20">
    <w:name w:val="toc 3"/>
    <w:basedOn w:val="1"/>
    <w:next w:val="1"/>
    <w:autoRedefine/>
    <w:qFormat/>
    <w:uiPriority w:val="0"/>
    <w:pPr>
      <w:ind w:left="420"/>
      <w:jc w:val="left"/>
    </w:pPr>
    <w:rPr>
      <w:i/>
      <w:iCs/>
      <w:sz w:val="20"/>
      <w:szCs w:val="20"/>
    </w:rPr>
  </w:style>
  <w:style w:type="paragraph" w:styleId="21">
    <w:name w:val="Plain Text"/>
    <w:basedOn w:val="1"/>
    <w:autoRedefine/>
    <w:qFormat/>
    <w:uiPriority w:val="0"/>
    <w:rPr>
      <w:rFonts w:ascii="Courier New" w:hAnsi="Courier New"/>
      <w:szCs w:val="20"/>
    </w:rPr>
  </w:style>
  <w:style w:type="paragraph" w:styleId="22">
    <w:name w:val="toc 8"/>
    <w:basedOn w:val="1"/>
    <w:next w:val="1"/>
    <w:autoRedefine/>
    <w:semiHidden/>
    <w:qFormat/>
    <w:uiPriority w:val="0"/>
    <w:pPr>
      <w:ind w:left="1470"/>
      <w:jc w:val="left"/>
    </w:pPr>
    <w:rPr>
      <w:sz w:val="18"/>
      <w:szCs w:val="18"/>
    </w:rPr>
  </w:style>
  <w:style w:type="paragraph" w:styleId="23">
    <w:name w:val="Date"/>
    <w:basedOn w:val="1"/>
    <w:next w:val="1"/>
    <w:link w:val="87"/>
    <w:autoRedefine/>
    <w:qFormat/>
    <w:uiPriority w:val="0"/>
    <w:pPr>
      <w:ind w:left="100" w:leftChars="2500"/>
    </w:pPr>
  </w:style>
  <w:style w:type="paragraph" w:styleId="24">
    <w:name w:val="Body Text Indent 2"/>
    <w:basedOn w:val="1"/>
    <w:autoRedefine/>
    <w:qFormat/>
    <w:uiPriority w:val="0"/>
    <w:pPr>
      <w:ind w:left="1008"/>
    </w:pPr>
    <w:rPr>
      <w:rFonts w:ascii="宋体"/>
      <w:sz w:val="24"/>
      <w:szCs w:val="20"/>
    </w:rPr>
  </w:style>
  <w:style w:type="paragraph" w:styleId="25">
    <w:name w:val="Balloon Text"/>
    <w:basedOn w:val="1"/>
    <w:link w:val="89"/>
    <w:autoRedefine/>
    <w:qFormat/>
    <w:uiPriority w:val="0"/>
    <w:rPr>
      <w:sz w:val="18"/>
      <w:szCs w:val="18"/>
    </w:rPr>
  </w:style>
  <w:style w:type="paragraph" w:styleId="26">
    <w:name w:val="footer"/>
    <w:basedOn w:val="1"/>
    <w:autoRedefine/>
    <w:qFormat/>
    <w:uiPriority w:val="0"/>
    <w:pPr>
      <w:tabs>
        <w:tab w:val="center" w:pos="4153"/>
        <w:tab w:val="right" w:pos="8306"/>
      </w:tabs>
      <w:snapToGrid w:val="0"/>
      <w:jc w:val="left"/>
    </w:pPr>
    <w:rPr>
      <w:sz w:val="18"/>
      <w:szCs w:val="18"/>
    </w:rPr>
  </w:style>
  <w:style w:type="paragraph" w:styleId="27">
    <w:name w:val="header"/>
    <w:basedOn w:val="1"/>
    <w:next w:val="2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Quote"/>
    <w:basedOn w:val="1"/>
    <w:next w:val="1"/>
    <w:autoRedefine/>
    <w:qFormat/>
    <w:uiPriority w:val="99"/>
    <w:pPr>
      <w:ind w:left="864" w:right="864"/>
      <w:jc w:val="center"/>
    </w:pPr>
    <w:rPr>
      <w:i/>
      <w:iCs/>
      <w:color w:val="404040"/>
      <w:szCs w:val="21"/>
    </w:rPr>
  </w:style>
  <w:style w:type="paragraph" w:styleId="29">
    <w:name w:val="toc 1"/>
    <w:basedOn w:val="1"/>
    <w:next w:val="1"/>
    <w:autoRedefine/>
    <w:qFormat/>
    <w:uiPriority w:val="0"/>
    <w:pPr>
      <w:spacing w:before="120" w:after="120"/>
      <w:jc w:val="left"/>
    </w:pPr>
    <w:rPr>
      <w:b/>
      <w:bCs/>
      <w:caps/>
      <w:sz w:val="20"/>
      <w:szCs w:val="20"/>
    </w:rPr>
  </w:style>
  <w:style w:type="paragraph" w:styleId="30">
    <w:name w:val="toc 4"/>
    <w:basedOn w:val="1"/>
    <w:next w:val="1"/>
    <w:autoRedefine/>
    <w:semiHidden/>
    <w:qFormat/>
    <w:uiPriority w:val="0"/>
    <w:pPr>
      <w:ind w:left="630"/>
      <w:jc w:val="left"/>
    </w:pPr>
    <w:rPr>
      <w:sz w:val="18"/>
      <w:szCs w:val="18"/>
    </w:rPr>
  </w:style>
  <w:style w:type="paragraph" w:styleId="31">
    <w:name w:val="Subtitle"/>
    <w:basedOn w:val="1"/>
    <w:next w:val="1"/>
    <w:autoRedefine/>
    <w:qFormat/>
    <w:uiPriority w:val="0"/>
    <w:pPr>
      <w:widowControl/>
      <w:topLinePunct/>
      <w:adjustRightInd w:val="0"/>
      <w:snapToGrid w:val="0"/>
      <w:spacing w:afterAutospacing="1" w:line="312" w:lineRule="atLeast"/>
      <w:jc w:val="center"/>
      <w:outlineLvl w:val="1"/>
    </w:pPr>
    <w:rPr>
      <w:rFonts w:ascii="Cambria Math" w:hAnsi="Cambria Math"/>
      <w:b/>
      <w:bCs/>
      <w:kern w:val="28"/>
      <w:sz w:val="32"/>
      <w:szCs w:val="32"/>
    </w:rPr>
  </w:style>
  <w:style w:type="paragraph" w:styleId="32">
    <w:name w:val="footnote text"/>
    <w:basedOn w:val="1"/>
    <w:autoRedefine/>
    <w:qFormat/>
    <w:uiPriority w:val="99"/>
    <w:rPr>
      <w:sz w:val="20"/>
      <w:szCs w:val="20"/>
    </w:rPr>
  </w:style>
  <w:style w:type="paragraph" w:styleId="33">
    <w:name w:val="toc 6"/>
    <w:basedOn w:val="1"/>
    <w:next w:val="1"/>
    <w:autoRedefine/>
    <w:semiHidden/>
    <w:qFormat/>
    <w:uiPriority w:val="0"/>
    <w:pPr>
      <w:ind w:left="1050"/>
      <w:jc w:val="left"/>
    </w:pPr>
    <w:rPr>
      <w:sz w:val="18"/>
      <w:szCs w:val="18"/>
    </w:rPr>
  </w:style>
  <w:style w:type="paragraph" w:styleId="34">
    <w:name w:val="toc 2"/>
    <w:basedOn w:val="1"/>
    <w:next w:val="1"/>
    <w:autoRedefine/>
    <w:qFormat/>
    <w:uiPriority w:val="0"/>
    <w:pPr>
      <w:ind w:left="210"/>
      <w:jc w:val="left"/>
    </w:pPr>
    <w:rPr>
      <w:smallCaps/>
      <w:sz w:val="20"/>
      <w:szCs w:val="20"/>
    </w:rPr>
  </w:style>
  <w:style w:type="paragraph" w:styleId="35">
    <w:name w:val="toc 9"/>
    <w:basedOn w:val="1"/>
    <w:next w:val="1"/>
    <w:autoRedefine/>
    <w:semiHidden/>
    <w:qFormat/>
    <w:uiPriority w:val="0"/>
    <w:pPr>
      <w:ind w:left="1680"/>
      <w:jc w:val="left"/>
    </w:pPr>
    <w:rPr>
      <w:sz w:val="18"/>
      <w:szCs w:val="18"/>
    </w:rPr>
  </w:style>
  <w:style w:type="paragraph" w:styleId="36">
    <w:name w:val="Body Text 2"/>
    <w:basedOn w:val="1"/>
    <w:next w:val="1"/>
    <w:autoRedefine/>
    <w:qFormat/>
    <w:uiPriority w:val="0"/>
    <w:rPr>
      <w:rFonts w:ascii="宋体" w:hAnsi="宋体"/>
      <w:sz w:val="28"/>
    </w:rPr>
  </w:style>
  <w:style w:type="paragraph" w:styleId="37">
    <w:name w:val="Message Header"/>
    <w:basedOn w:val="1"/>
    <w:next w:val="1"/>
    <w:link w:val="9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38">
    <w:name w:val="Normal (Web)"/>
    <w:basedOn w:val="1"/>
    <w:autoRedefine/>
    <w:qFormat/>
    <w:uiPriority w:val="0"/>
    <w:pPr>
      <w:jc w:val="left"/>
    </w:pPr>
    <w:rPr>
      <w:kern w:val="0"/>
      <w:sz w:val="24"/>
    </w:rPr>
  </w:style>
  <w:style w:type="paragraph" w:styleId="39">
    <w:name w:val="Title"/>
    <w:basedOn w:val="1"/>
    <w:next w:val="1"/>
    <w:autoRedefine/>
    <w:qFormat/>
    <w:uiPriority w:val="0"/>
    <w:pPr>
      <w:spacing w:before="240" w:after="60"/>
      <w:jc w:val="center"/>
      <w:outlineLvl w:val="0"/>
    </w:pPr>
    <w:rPr>
      <w:rFonts w:ascii="Arial" w:hAnsi="Arial" w:cs="Arial"/>
      <w:b/>
      <w:bCs/>
      <w:sz w:val="32"/>
      <w:szCs w:val="32"/>
    </w:rPr>
  </w:style>
  <w:style w:type="paragraph" w:styleId="40">
    <w:name w:val="annotation subject"/>
    <w:basedOn w:val="10"/>
    <w:next w:val="10"/>
    <w:link w:val="93"/>
    <w:autoRedefine/>
    <w:qFormat/>
    <w:uiPriority w:val="0"/>
    <w:rPr>
      <w:b/>
      <w:bCs/>
    </w:rPr>
  </w:style>
  <w:style w:type="paragraph" w:styleId="41">
    <w:name w:val="Body Text First Indent"/>
    <w:basedOn w:val="12"/>
    <w:next w:val="15"/>
    <w:autoRedefine/>
    <w:unhideWhenUsed/>
    <w:qFormat/>
    <w:uiPriority w:val="99"/>
    <w:pPr>
      <w:spacing w:before="100" w:beforeAutospacing="1"/>
      <w:ind w:firstLine="420" w:firstLineChars="100"/>
    </w:pPr>
  </w:style>
  <w:style w:type="table" w:styleId="43">
    <w:name w:val="Table Grid"/>
    <w:basedOn w:val="4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rPr>
  </w:style>
  <w:style w:type="character" w:styleId="46">
    <w:name w:val="page number"/>
    <w:autoRedefine/>
    <w:qFormat/>
    <w:uiPriority w:val="0"/>
  </w:style>
  <w:style w:type="character" w:styleId="47">
    <w:name w:val="FollowedHyperlink"/>
    <w:autoRedefine/>
    <w:qFormat/>
    <w:uiPriority w:val="0"/>
    <w:rPr>
      <w:color w:val="333333"/>
      <w:sz w:val="18"/>
      <w:szCs w:val="18"/>
      <w:u w:val="none"/>
    </w:rPr>
  </w:style>
  <w:style w:type="character" w:styleId="48">
    <w:name w:val="Hyperlink"/>
    <w:basedOn w:val="44"/>
    <w:autoRedefine/>
    <w:qFormat/>
    <w:uiPriority w:val="0"/>
    <w:rPr>
      <w:color w:val="333333"/>
      <w:sz w:val="18"/>
      <w:szCs w:val="18"/>
      <w:u w:val="none"/>
    </w:rPr>
  </w:style>
  <w:style w:type="character" w:styleId="49">
    <w:name w:val="annotation reference"/>
    <w:autoRedefine/>
    <w:qFormat/>
    <w:uiPriority w:val="0"/>
    <w:rPr>
      <w:sz w:val="21"/>
      <w:szCs w:val="21"/>
    </w:rPr>
  </w:style>
  <w:style w:type="paragraph" w:customStyle="1" w:styleId="50">
    <w:name w:val="Char Char Char Char Char Char Char Char Char Char"/>
    <w:basedOn w:val="1"/>
    <w:next w:val="1"/>
    <w:autoRedefine/>
    <w:qFormat/>
    <w:uiPriority w:val="0"/>
    <w:pPr>
      <w:spacing w:line="360" w:lineRule="auto"/>
      <w:ind w:firstLine="200"/>
    </w:pPr>
    <w:rPr>
      <w:rFonts w:eastAsia="仿宋_GB2312"/>
      <w:sz w:val="24"/>
    </w:rPr>
  </w:style>
  <w:style w:type="paragraph" w:styleId="51">
    <w:name w:val="List Paragraph"/>
    <w:basedOn w:val="1"/>
    <w:autoRedefine/>
    <w:qFormat/>
    <w:uiPriority w:val="99"/>
    <w:pPr>
      <w:ind w:firstLine="420" w:firstLineChars="200"/>
    </w:pPr>
  </w:style>
  <w:style w:type="character" w:customStyle="1" w:styleId="52">
    <w:name w:val="font41"/>
    <w:autoRedefine/>
    <w:qFormat/>
    <w:uiPriority w:val="0"/>
    <w:rPr>
      <w:rFonts w:hint="eastAsia" w:ascii="微软雅黑" w:hAnsi="微软雅黑" w:eastAsia="微软雅黑" w:cs="微软雅黑"/>
      <w:color w:val="000000"/>
      <w:sz w:val="16"/>
      <w:szCs w:val="16"/>
      <w:u w:val="none"/>
    </w:rPr>
  </w:style>
  <w:style w:type="character" w:customStyle="1" w:styleId="53">
    <w:name w:val="l_141"/>
    <w:autoRedefine/>
    <w:qFormat/>
    <w:uiPriority w:val="0"/>
  </w:style>
  <w:style w:type="character" w:customStyle="1" w:styleId="54">
    <w:name w:val="l_12"/>
    <w:autoRedefine/>
    <w:qFormat/>
    <w:uiPriority w:val="0"/>
  </w:style>
  <w:style w:type="character" w:customStyle="1" w:styleId="55">
    <w:name w:val="l_121"/>
    <w:autoRedefine/>
    <w:qFormat/>
    <w:uiPriority w:val="0"/>
  </w:style>
  <w:style w:type="character" w:customStyle="1" w:styleId="56">
    <w:name w:val="searchclose"/>
    <w:autoRedefine/>
    <w:qFormat/>
    <w:uiPriority w:val="0"/>
  </w:style>
  <w:style w:type="character" w:customStyle="1" w:styleId="57">
    <w:name w:val="l_9"/>
    <w:autoRedefine/>
    <w:qFormat/>
    <w:uiPriority w:val="0"/>
  </w:style>
  <w:style w:type="character" w:customStyle="1" w:styleId="58">
    <w:name w:val="focus2"/>
    <w:autoRedefine/>
    <w:qFormat/>
    <w:uiPriority w:val="0"/>
    <w:rPr>
      <w:b/>
      <w:color w:val="000000"/>
    </w:rPr>
  </w:style>
  <w:style w:type="character" w:customStyle="1" w:styleId="59">
    <w:name w:val="l_6"/>
    <w:autoRedefine/>
    <w:qFormat/>
    <w:uiPriority w:val="0"/>
  </w:style>
  <w:style w:type="character" w:customStyle="1" w:styleId="60">
    <w:name w:val="font101"/>
    <w:autoRedefine/>
    <w:qFormat/>
    <w:uiPriority w:val="0"/>
    <w:rPr>
      <w:rFonts w:hint="default" w:ascii="Times New Roman" w:hAnsi="Times New Roman" w:cs="Times New Roman"/>
      <w:b/>
      <w:color w:val="000000"/>
      <w:sz w:val="20"/>
      <w:szCs w:val="20"/>
      <w:u w:val="none"/>
    </w:rPr>
  </w:style>
  <w:style w:type="character" w:customStyle="1" w:styleId="61">
    <w:name w:val="标题 1 字符1"/>
    <w:autoRedefine/>
    <w:qFormat/>
    <w:uiPriority w:val="0"/>
    <w:rPr>
      <w:rFonts w:ascii="Times New Roman" w:hAnsi="Times New Roman" w:eastAsia="宋体" w:cs="Times New Roman"/>
      <w:sz w:val="28"/>
      <w:szCs w:val="20"/>
      <w:lang w:val="zh-CN" w:eastAsia="zh-CN"/>
    </w:rPr>
  </w:style>
  <w:style w:type="character" w:customStyle="1" w:styleId="62">
    <w:name w:val="l_2"/>
    <w:autoRedefine/>
    <w:qFormat/>
    <w:uiPriority w:val="0"/>
  </w:style>
  <w:style w:type="character" w:customStyle="1" w:styleId="63">
    <w:name w:val="font22"/>
    <w:autoRedefine/>
    <w:qFormat/>
    <w:uiPriority w:val="0"/>
    <w:rPr>
      <w:rFonts w:hint="eastAsia" w:ascii="微软雅黑" w:hAnsi="微软雅黑" w:eastAsia="微软雅黑" w:cs="微软雅黑"/>
      <w:color w:val="000000"/>
      <w:sz w:val="18"/>
      <w:szCs w:val="18"/>
      <w:u w:val="none"/>
    </w:rPr>
  </w:style>
  <w:style w:type="character" w:customStyle="1" w:styleId="64">
    <w:name w:val="m-text"/>
    <w:autoRedefine/>
    <w:qFormat/>
    <w:uiPriority w:val="0"/>
  </w:style>
  <w:style w:type="character" w:customStyle="1" w:styleId="65">
    <w:name w:val="l_01"/>
    <w:autoRedefine/>
    <w:qFormat/>
    <w:uiPriority w:val="0"/>
  </w:style>
  <w:style w:type="character" w:customStyle="1" w:styleId="66">
    <w:name w:val="font91"/>
    <w:autoRedefine/>
    <w:qFormat/>
    <w:uiPriority w:val="0"/>
    <w:rPr>
      <w:rFonts w:ascii="宋体" w:hAnsi="宋体" w:eastAsia="宋体" w:cs="宋体"/>
      <w:color w:val="000000"/>
      <w:sz w:val="30"/>
      <w:szCs w:val="30"/>
      <w:u w:val="none"/>
    </w:rPr>
  </w:style>
  <w:style w:type="character" w:customStyle="1" w:styleId="67">
    <w:name w:val="font11"/>
    <w:autoRedefine/>
    <w:qFormat/>
    <w:uiPriority w:val="0"/>
    <w:rPr>
      <w:rFonts w:hint="eastAsia" w:ascii="宋体" w:hAnsi="宋体" w:eastAsia="宋体" w:cs="宋体"/>
      <w:color w:val="000000"/>
      <w:sz w:val="18"/>
      <w:szCs w:val="18"/>
      <w:u w:val="none"/>
    </w:rPr>
  </w:style>
  <w:style w:type="character" w:customStyle="1" w:styleId="68">
    <w:name w:val="icon_cxkcyry"/>
    <w:autoRedefine/>
    <w:qFormat/>
    <w:uiPriority w:val="0"/>
  </w:style>
  <w:style w:type="character" w:customStyle="1" w:styleId="69">
    <w:name w:val="l_61"/>
    <w:autoRedefine/>
    <w:qFormat/>
    <w:uiPriority w:val="0"/>
  </w:style>
  <w:style w:type="character" w:customStyle="1" w:styleId="70">
    <w:name w:val="l_14"/>
    <w:autoRedefine/>
    <w:qFormat/>
    <w:uiPriority w:val="0"/>
  </w:style>
  <w:style w:type="character" w:customStyle="1" w:styleId="71">
    <w:name w:val="icon_dljg"/>
    <w:autoRedefine/>
    <w:qFormat/>
    <w:uiPriority w:val="0"/>
  </w:style>
  <w:style w:type="character" w:customStyle="1" w:styleId="72">
    <w:name w:val="font31"/>
    <w:autoRedefine/>
    <w:qFormat/>
    <w:uiPriority w:val="0"/>
    <w:rPr>
      <w:rFonts w:hint="eastAsia" w:ascii="微软雅黑" w:hAnsi="微软雅黑" w:eastAsia="微软雅黑" w:cs="微软雅黑"/>
      <w:b/>
      <w:color w:val="000000"/>
      <w:sz w:val="16"/>
      <w:szCs w:val="16"/>
      <w:u w:val="none"/>
    </w:rPr>
  </w:style>
  <w:style w:type="character" w:customStyle="1" w:styleId="73">
    <w:name w:val="menutitle1"/>
    <w:autoRedefine/>
    <w:qFormat/>
    <w:uiPriority w:val="0"/>
    <w:rPr>
      <w:color w:val="333333"/>
      <w:sz w:val="24"/>
      <w:szCs w:val="24"/>
    </w:rPr>
  </w:style>
  <w:style w:type="character" w:customStyle="1" w:styleId="74">
    <w:name w:val="Char Char Char"/>
    <w:autoRedefine/>
    <w:qFormat/>
    <w:locked/>
    <w:uiPriority w:val="0"/>
    <w:rPr>
      <w:rFonts w:eastAsia="宋体"/>
      <w:b/>
      <w:bCs/>
      <w:kern w:val="44"/>
      <w:sz w:val="44"/>
      <w:szCs w:val="44"/>
      <w:lang w:val="en-US" w:eastAsia="zh-CN" w:bidi="ar-SA"/>
    </w:rPr>
  </w:style>
  <w:style w:type="character" w:customStyle="1" w:styleId="75">
    <w:name w:val="l_3"/>
    <w:autoRedefine/>
    <w:qFormat/>
    <w:uiPriority w:val="0"/>
  </w:style>
  <w:style w:type="character" w:customStyle="1" w:styleId="76">
    <w:name w:val="l_111"/>
    <w:autoRedefine/>
    <w:qFormat/>
    <w:uiPriority w:val="0"/>
  </w:style>
  <w:style w:type="character" w:customStyle="1" w:styleId="77">
    <w:name w:val="font191"/>
    <w:autoRedefine/>
    <w:qFormat/>
    <w:uiPriority w:val="0"/>
    <w:rPr>
      <w:rFonts w:hint="default" w:ascii="Times New Roman" w:hAnsi="Times New Roman" w:cs="Times New Roman"/>
      <w:b/>
      <w:color w:val="000000"/>
      <w:sz w:val="20"/>
      <w:szCs w:val="20"/>
      <w:u w:val="none"/>
    </w:rPr>
  </w:style>
  <w:style w:type="character" w:customStyle="1" w:styleId="78">
    <w:name w:val="swapimg4"/>
    <w:autoRedefine/>
    <w:qFormat/>
    <w:uiPriority w:val="0"/>
  </w:style>
  <w:style w:type="character" w:customStyle="1" w:styleId="79">
    <w:name w:val="ref"/>
    <w:autoRedefine/>
    <w:qFormat/>
    <w:uiPriority w:val="0"/>
  </w:style>
  <w:style w:type="character" w:customStyle="1" w:styleId="80">
    <w:name w:val="focus3"/>
    <w:autoRedefine/>
    <w:qFormat/>
    <w:uiPriority w:val="0"/>
    <w:rPr>
      <w:b/>
      <w:bCs/>
      <w:color w:val="000000"/>
    </w:rPr>
  </w:style>
  <w:style w:type="character" w:customStyle="1" w:styleId="81">
    <w:name w:val="标题 1 Char"/>
    <w:link w:val="3"/>
    <w:autoRedefine/>
    <w:qFormat/>
    <w:uiPriority w:val="0"/>
    <w:rPr>
      <w:rFonts w:eastAsia="宋体"/>
      <w:b/>
      <w:bCs/>
      <w:kern w:val="44"/>
      <w:sz w:val="44"/>
      <w:szCs w:val="44"/>
      <w:lang w:val="en-US" w:eastAsia="zh-CN" w:bidi="ar-SA"/>
    </w:rPr>
  </w:style>
  <w:style w:type="character" w:customStyle="1" w:styleId="82">
    <w:name w:val="l_7"/>
    <w:autoRedefine/>
    <w:qFormat/>
    <w:uiPriority w:val="0"/>
  </w:style>
  <w:style w:type="character" w:customStyle="1" w:styleId="83">
    <w:name w:val="标题 2 Char"/>
    <w:link w:val="4"/>
    <w:autoRedefine/>
    <w:qFormat/>
    <w:uiPriority w:val="0"/>
    <w:rPr>
      <w:rFonts w:ascii="Arial" w:hAnsi="Arial" w:eastAsia="黑体"/>
      <w:b/>
      <w:bCs/>
      <w:kern w:val="2"/>
      <w:sz w:val="32"/>
      <w:szCs w:val="32"/>
      <w:lang w:val="en-US" w:eastAsia="zh-CN" w:bidi="ar-SA"/>
    </w:rPr>
  </w:style>
  <w:style w:type="character" w:customStyle="1" w:styleId="84">
    <w:name w:val="icon_xglc"/>
    <w:autoRedefine/>
    <w:qFormat/>
    <w:uiPriority w:val="0"/>
  </w:style>
  <w:style w:type="character" w:customStyle="1" w:styleId="85">
    <w:name w:val="批注文字 Char"/>
    <w:link w:val="10"/>
    <w:autoRedefine/>
    <w:qFormat/>
    <w:uiPriority w:val="0"/>
    <w:rPr>
      <w:rFonts w:eastAsia="宋体"/>
      <w:kern w:val="2"/>
      <w:sz w:val="21"/>
      <w:szCs w:val="24"/>
      <w:lang w:val="en-US" w:eastAsia="zh-CN" w:bidi="ar-SA"/>
    </w:rPr>
  </w:style>
  <w:style w:type="character" w:customStyle="1" w:styleId="86">
    <w:name w:val="l_131"/>
    <w:autoRedefine/>
    <w:qFormat/>
    <w:uiPriority w:val="0"/>
  </w:style>
  <w:style w:type="character" w:customStyle="1" w:styleId="87">
    <w:name w:val="日期 Char"/>
    <w:link w:val="23"/>
    <w:autoRedefine/>
    <w:qFormat/>
    <w:uiPriority w:val="0"/>
    <w:rPr>
      <w:kern w:val="2"/>
      <w:sz w:val="21"/>
      <w:szCs w:val="24"/>
    </w:rPr>
  </w:style>
  <w:style w:type="character" w:customStyle="1" w:styleId="88">
    <w:name w:val="font21"/>
    <w:autoRedefine/>
    <w:qFormat/>
    <w:uiPriority w:val="0"/>
    <w:rPr>
      <w:rFonts w:hint="default" w:ascii="仿宋_GB2312" w:eastAsia="仿宋_GB2312" w:cs="仿宋_GB2312"/>
      <w:color w:val="000000"/>
      <w:sz w:val="18"/>
      <w:szCs w:val="18"/>
      <w:u w:val="none"/>
    </w:rPr>
  </w:style>
  <w:style w:type="character" w:customStyle="1" w:styleId="89">
    <w:name w:val="批注框文本 Char"/>
    <w:link w:val="25"/>
    <w:autoRedefine/>
    <w:qFormat/>
    <w:uiPriority w:val="0"/>
    <w:rPr>
      <w:kern w:val="2"/>
      <w:sz w:val="18"/>
      <w:szCs w:val="18"/>
    </w:rPr>
  </w:style>
  <w:style w:type="character" w:customStyle="1" w:styleId="90">
    <w:name w:val="l_4"/>
    <w:autoRedefine/>
    <w:qFormat/>
    <w:uiPriority w:val="0"/>
  </w:style>
  <w:style w:type="character" w:customStyle="1" w:styleId="91">
    <w:name w:val="信息标题 Char"/>
    <w:link w:val="37"/>
    <w:autoRedefine/>
    <w:qFormat/>
    <w:uiPriority w:val="0"/>
    <w:rPr>
      <w:rFonts w:ascii="等线 Light" w:hAnsi="等线 Light" w:eastAsia="等线 Light" w:cs="Times New Roman"/>
      <w:kern w:val="2"/>
      <w:sz w:val="24"/>
      <w:szCs w:val="24"/>
      <w:shd w:val="pct20" w:color="auto" w:fill="auto"/>
    </w:rPr>
  </w:style>
  <w:style w:type="character" w:customStyle="1" w:styleId="92">
    <w:name w:val="menutitle14"/>
    <w:autoRedefine/>
    <w:qFormat/>
    <w:uiPriority w:val="0"/>
    <w:rPr>
      <w:color w:val="333333"/>
      <w:sz w:val="16"/>
      <w:szCs w:val="16"/>
    </w:rPr>
  </w:style>
  <w:style w:type="character" w:customStyle="1" w:styleId="93">
    <w:name w:val="批注主题 Char"/>
    <w:link w:val="40"/>
    <w:autoRedefine/>
    <w:qFormat/>
    <w:uiPriority w:val="0"/>
    <w:rPr>
      <w:rFonts w:eastAsia="宋体"/>
      <w:b/>
      <w:bCs/>
      <w:kern w:val="2"/>
      <w:sz w:val="21"/>
      <w:szCs w:val="24"/>
      <w:lang w:val="en-US" w:eastAsia="zh-CN" w:bidi="ar-SA"/>
    </w:rPr>
  </w:style>
  <w:style w:type="character" w:customStyle="1" w:styleId="94">
    <w:name w:val="l_0"/>
    <w:autoRedefine/>
    <w:qFormat/>
    <w:uiPriority w:val="0"/>
  </w:style>
  <w:style w:type="character" w:customStyle="1" w:styleId="95">
    <w:name w:val="l_11"/>
    <w:autoRedefine/>
    <w:qFormat/>
    <w:uiPriority w:val="0"/>
  </w:style>
  <w:style w:type="character" w:customStyle="1" w:styleId="96">
    <w:name w:val="color_cdyy"/>
    <w:autoRedefine/>
    <w:qFormat/>
    <w:uiPriority w:val="0"/>
    <w:rPr>
      <w:color w:val="FFFFFF"/>
      <w:bdr w:val="single" w:color="FFFFFF" w:sz="6" w:space="0"/>
    </w:rPr>
  </w:style>
  <w:style w:type="character" w:customStyle="1" w:styleId="97">
    <w:name w:val="l_5"/>
    <w:autoRedefine/>
    <w:qFormat/>
    <w:uiPriority w:val="0"/>
  </w:style>
  <w:style w:type="character" w:customStyle="1" w:styleId="98">
    <w:name w:val="icon_cxktbr"/>
    <w:autoRedefine/>
    <w:qFormat/>
    <w:uiPriority w:val="0"/>
  </w:style>
  <w:style w:type="character" w:customStyle="1" w:styleId="99">
    <w:name w:val="menutitle"/>
    <w:autoRedefine/>
    <w:qFormat/>
    <w:uiPriority w:val="0"/>
    <w:rPr>
      <w:color w:val="333333"/>
      <w:sz w:val="24"/>
      <w:szCs w:val="24"/>
    </w:rPr>
  </w:style>
  <w:style w:type="character" w:customStyle="1" w:styleId="100">
    <w:name w:val="l_51"/>
    <w:autoRedefine/>
    <w:qFormat/>
    <w:uiPriority w:val="0"/>
  </w:style>
  <w:style w:type="character" w:customStyle="1" w:styleId="101">
    <w:name w:val="l_8"/>
    <w:autoRedefine/>
    <w:qFormat/>
    <w:uiPriority w:val="0"/>
  </w:style>
  <w:style w:type="character" w:customStyle="1" w:styleId="102">
    <w:name w:val="l_101"/>
    <w:autoRedefine/>
    <w:qFormat/>
    <w:uiPriority w:val="0"/>
  </w:style>
  <w:style w:type="character" w:customStyle="1" w:styleId="103">
    <w:name w:val="l_41"/>
    <w:autoRedefine/>
    <w:qFormat/>
    <w:uiPriority w:val="0"/>
  </w:style>
  <w:style w:type="character" w:customStyle="1" w:styleId="104">
    <w:name w:val="close"/>
    <w:autoRedefine/>
    <w:qFormat/>
    <w:uiPriority w:val="0"/>
  </w:style>
  <w:style w:type="character" w:customStyle="1" w:styleId="105">
    <w:name w:val="l_1"/>
    <w:autoRedefine/>
    <w:qFormat/>
    <w:uiPriority w:val="0"/>
  </w:style>
  <w:style w:type="character" w:customStyle="1" w:styleId="106">
    <w:name w:val="close6"/>
    <w:autoRedefine/>
    <w:qFormat/>
    <w:uiPriority w:val="0"/>
  </w:style>
  <w:style w:type="character" w:customStyle="1" w:styleId="107">
    <w:name w:val="l_31"/>
    <w:autoRedefine/>
    <w:qFormat/>
    <w:uiPriority w:val="0"/>
  </w:style>
  <w:style w:type="character" w:customStyle="1" w:styleId="108">
    <w:name w:val="menutitle13"/>
    <w:autoRedefine/>
    <w:qFormat/>
    <w:uiPriority w:val="0"/>
    <w:rPr>
      <w:color w:val="333333"/>
      <w:sz w:val="16"/>
      <w:szCs w:val="16"/>
    </w:rPr>
  </w:style>
  <w:style w:type="character" w:customStyle="1" w:styleId="109">
    <w:name w:val="icon_lzrz"/>
    <w:autoRedefine/>
    <w:qFormat/>
    <w:uiPriority w:val="0"/>
  </w:style>
  <w:style w:type="character" w:customStyle="1" w:styleId="110">
    <w:name w:val="l_21"/>
    <w:autoRedefine/>
    <w:qFormat/>
    <w:uiPriority w:val="0"/>
  </w:style>
  <w:style w:type="character" w:customStyle="1" w:styleId="111">
    <w:name w:val="l_10"/>
    <w:autoRedefine/>
    <w:qFormat/>
    <w:uiPriority w:val="0"/>
  </w:style>
  <w:style w:type="character" w:customStyle="1" w:styleId="112">
    <w:name w:val="l_15"/>
    <w:autoRedefine/>
    <w:qFormat/>
    <w:uiPriority w:val="0"/>
  </w:style>
  <w:style w:type="character" w:customStyle="1" w:styleId="113">
    <w:name w:val="icon_xzry"/>
    <w:autoRedefine/>
    <w:qFormat/>
    <w:uiPriority w:val="0"/>
  </w:style>
  <w:style w:type="character" w:customStyle="1" w:styleId="114">
    <w:name w:val="icon_gzkj"/>
    <w:autoRedefine/>
    <w:qFormat/>
    <w:uiPriority w:val="0"/>
  </w:style>
  <w:style w:type="character" w:customStyle="1" w:styleId="115">
    <w:name w:val="l_151"/>
    <w:autoRedefine/>
    <w:qFormat/>
    <w:uiPriority w:val="0"/>
  </w:style>
  <w:style w:type="character" w:customStyle="1" w:styleId="116">
    <w:name w:val="GHT-正文 Char Char"/>
    <w:link w:val="117"/>
    <w:autoRedefine/>
    <w:qFormat/>
    <w:uiPriority w:val="0"/>
    <w:rPr>
      <w:color w:val="000000"/>
      <w:spacing w:val="10"/>
      <w:sz w:val="24"/>
    </w:rPr>
  </w:style>
  <w:style w:type="paragraph" w:customStyle="1" w:styleId="117">
    <w:name w:val="GHT-正文"/>
    <w:basedOn w:val="1"/>
    <w:link w:val="116"/>
    <w:autoRedefine/>
    <w:qFormat/>
    <w:uiPriority w:val="0"/>
    <w:pPr>
      <w:adjustRightInd w:val="0"/>
      <w:spacing w:line="400" w:lineRule="exact"/>
      <w:ind w:firstLine="520" w:firstLineChars="200"/>
      <w:textAlignment w:val="baseline"/>
    </w:pPr>
    <w:rPr>
      <w:color w:val="000000"/>
      <w:spacing w:val="10"/>
      <w:kern w:val="0"/>
      <w:sz w:val="24"/>
      <w:szCs w:val="20"/>
    </w:rPr>
  </w:style>
  <w:style w:type="character" w:customStyle="1" w:styleId="118">
    <w:name w:val="font112"/>
    <w:autoRedefine/>
    <w:qFormat/>
    <w:uiPriority w:val="0"/>
    <w:rPr>
      <w:rFonts w:hint="eastAsia" w:ascii="宋体" w:hAnsi="宋体" w:eastAsia="宋体" w:cs="宋体"/>
      <w:color w:val="000000"/>
      <w:sz w:val="20"/>
      <w:szCs w:val="20"/>
      <w:u w:val="none"/>
    </w:rPr>
  </w:style>
  <w:style w:type="character" w:customStyle="1" w:styleId="119">
    <w:name w:val="searchopen"/>
    <w:autoRedefine/>
    <w:qFormat/>
    <w:uiPriority w:val="0"/>
  </w:style>
  <w:style w:type="character" w:customStyle="1" w:styleId="120">
    <w:name w:val="font01"/>
    <w:autoRedefine/>
    <w:qFormat/>
    <w:uiPriority w:val="0"/>
    <w:rPr>
      <w:rFonts w:ascii="Arial" w:hAnsi="Arial" w:cs="Arial"/>
      <w:color w:val="000000"/>
      <w:sz w:val="18"/>
      <w:szCs w:val="18"/>
      <w:u w:val="none"/>
    </w:rPr>
  </w:style>
  <w:style w:type="character" w:customStyle="1" w:styleId="121">
    <w:name w:val="l_71"/>
    <w:autoRedefine/>
    <w:qFormat/>
    <w:uiPriority w:val="0"/>
  </w:style>
  <w:style w:type="character" w:customStyle="1" w:styleId="122">
    <w:name w:val="font61"/>
    <w:autoRedefine/>
    <w:qFormat/>
    <w:uiPriority w:val="0"/>
    <w:rPr>
      <w:rFonts w:hint="eastAsia" w:ascii="微软雅黑" w:hAnsi="微软雅黑" w:eastAsia="微软雅黑" w:cs="微软雅黑"/>
      <w:color w:val="000000"/>
      <w:sz w:val="18"/>
      <w:szCs w:val="18"/>
      <w:u w:val="none"/>
    </w:rPr>
  </w:style>
  <w:style w:type="character" w:customStyle="1" w:styleId="123">
    <w:name w:val="l_13"/>
    <w:autoRedefine/>
    <w:qFormat/>
    <w:uiPriority w:val="0"/>
  </w:style>
  <w:style w:type="character" w:customStyle="1" w:styleId="124">
    <w:name w:val="l_81"/>
    <w:autoRedefine/>
    <w:qFormat/>
    <w:uiPriority w:val="0"/>
  </w:style>
  <w:style w:type="character" w:customStyle="1" w:styleId="125">
    <w:name w:val="swapimg5"/>
    <w:autoRedefine/>
    <w:qFormat/>
    <w:uiPriority w:val="0"/>
  </w:style>
  <w:style w:type="paragraph" w:customStyle="1" w:styleId="126">
    <w:name w:val="列出段落2"/>
    <w:basedOn w:val="1"/>
    <w:autoRedefine/>
    <w:qFormat/>
    <w:uiPriority w:val="99"/>
    <w:pPr>
      <w:ind w:firstLine="420" w:firstLineChars="200"/>
    </w:pPr>
  </w:style>
  <w:style w:type="paragraph" w:customStyle="1" w:styleId="127">
    <w:name w:val="列出段落1"/>
    <w:basedOn w:val="1"/>
    <w:autoRedefine/>
    <w:qFormat/>
    <w:uiPriority w:val="99"/>
    <w:pPr>
      <w:adjustRightInd w:val="0"/>
      <w:snapToGrid w:val="0"/>
      <w:spacing w:line="360" w:lineRule="auto"/>
      <w:ind w:firstLine="420" w:firstLineChars="200"/>
    </w:pPr>
    <w:rPr>
      <w:rFonts w:ascii="Calibri" w:hAnsi="Calibri"/>
    </w:rPr>
  </w:style>
  <w:style w:type="paragraph" w:customStyle="1" w:styleId="128">
    <w:name w:val="表格文字"/>
    <w:basedOn w:val="1"/>
    <w:next w:val="12"/>
    <w:autoRedefine/>
    <w:qFormat/>
    <w:uiPriority w:val="0"/>
    <w:pPr>
      <w:adjustRightInd w:val="0"/>
      <w:spacing w:line="420" w:lineRule="atLeast"/>
      <w:jc w:val="left"/>
      <w:textAlignment w:val="baseline"/>
    </w:pPr>
    <w:rPr>
      <w:kern w:val="0"/>
      <w:szCs w:val="20"/>
    </w:rPr>
  </w:style>
  <w:style w:type="paragraph" w:styleId="12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Body Text First Indent1"/>
    <w:basedOn w:val="12"/>
    <w:next w:val="131"/>
    <w:autoRedefine/>
    <w:qFormat/>
    <w:uiPriority w:val="0"/>
    <w:pPr>
      <w:ind w:firstLine="420" w:firstLineChars="100"/>
    </w:pPr>
  </w:style>
  <w:style w:type="paragraph" w:customStyle="1" w:styleId="131">
    <w:name w:val="正文首行缩进 21"/>
    <w:basedOn w:val="132"/>
    <w:autoRedefine/>
    <w:qFormat/>
    <w:uiPriority w:val="0"/>
    <w:pPr>
      <w:ind w:firstLine="420" w:firstLineChars="200"/>
    </w:pPr>
  </w:style>
  <w:style w:type="paragraph" w:customStyle="1" w:styleId="132">
    <w:name w:val="Body Text Indent1"/>
    <w:basedOn w:val="1"/>
    <w:autoRedefine/>
    <w:qFormat/>
    <w:uiPriority w:val="0"/>
    <w:pPr>
      <w:spacing w:line="360" w:lineRule="auto"/>
      <w:ind w:firstLine="482" w:firstLineChars="100"/>
      <w:jc w:val="center"/>
    </w:pPr>
    <w:rPr>
      <w:rFonts w:ascii="黑体" w:eastAsia="黑体"/>
      <w:b/>
      <w:sz w:val="48"/>
      <w:szCs w:val="28"/>
    </w:rPr>
  </w:style>
  <w:style w:type="paragraph" w:customStyle="1" w:styleId="133">
    <w:name w:val="中等深浅网格 1 - 强调文字颜色 21"/>
    <w:basedOn w:val="1"/>
    <w:autoRedefine/>
    <w:qFormat/>
    <w:uiPriority w:val="34"/>
    <w:pPr>
      <w:ind w:left="720"/>
      <w:contextualSpacing/>
    </w:pPr>
    <w:rPr>
      <w:sz w:val="28"/>
      <w:szCs w:val="22"/>
    </w:rPr>
  </w:style>
  <w:style w:type="paragraph" w:customStyle="1" w:styleId="134">
    <w:name w:val="BodyTextIndent"/>
    <w:basedOn w:val="1"/>
    <w:next w:val="135"/>
    <w:autoRedefine/>
    <w:qFormat/>
    <w:uiPriority w:val="0"/>
    <w:pPr>
      <w:spacing w:after="120"/>
      <w:ind w:left="420" w:leftChars="200"/>
    </w:pPr>
  </w:style>
  <w:style w:type="paragraph" w:customStyle="1" w:styleId="135">
    <w:name w:val="EnvelopeReturn"/>
    <w:basedOn w:val="1"/>
    <w:autoRedefine/>
    <w:qFormat/>
    <w:uiPriority w:val="0"/>
    <w:pPr>
      <w:snapToGrid w:val="0"/>
    </w:pPr>
    <w:rPr>
      <w:rFonts w:ascii="Arial" w:hAnsi="Arial"/>
      <w:szCs w:val="22"/>
    </w:rPr>
  </w:style>
  <w:style w:type="paragraph" w:customStyle="1" w:styleId="136">
    <w:name w:val="列表 21"/>
    <w:basedOn w:val="1"/>
    <w:autoRedefine/>
    <w:qFormat/>
    <w:uiPriority w:val="0"/>
    <w:pPr>
      <w:suppressAutoHyphens/>
      <w:autoSpaceDE w:val="0"/>
      <w:autoSpaceDN w:val="0"/>
      <w:ind w:left="100" w:hanging="200"/>
      <w:jc w:val="left"/>
    </w:pPr>
    <w:rPr>
      <w:rFonts w:hAnsi="宋体" w:cs="宋体"/>
      <w:kern w:val="1"/>
      <w:sz w:val="22"/>
      <w:szCs w:val="22"/>
      <w:lang w:eastAsia="en-US"/>
    </w:rPr>
  </w:style>
  <w:style w:type="paragraph" w:customStyle="1" w:styleId="137">
    <w:name w:val="_Style 2"/>
    <w:basedOn w:val="1"/>
    <w:autoRedefine/>
    <w:qFormat/>
    <w:uiPriority w:val="0"/>
    <w:pPr>
      <w:widowControl/>
      <w:ind w:firstLine="420" w:firstLineChars="200"/>
      <w:jc w:val="left"/>
    </w:pPr>
    <w:rPr>
      <w:rFonts w:ascii="宋体" w:hAnsi="宋体" w:cs="宋体"/>
      <w:kern w:val="0"/>
      <w:sz w:val="24"/>
    </w:rPr>
  </w:style>
  <w:style w:type="paragraph" w:customStyle="1" w:styleId="138">
    <w:name w:val="p0"/>
    <w:basedOn w:val="1"/>
    <w:autoRedefine/>
    <w:qFormat/>
    <w:uiPriority w:val="0"/>
    <w:pPr>
      <w:widowControl/>
    </w:pPr>
    <w:rPr>
      <w:rFonts w:cs="宋体"/>
      <w:kern w:val="0"/>
      <w:szCs w:val="21"/>
    </w:rPr>
  </w:style>
  <w:style w:type="paragraph" w:customStyle="1" w:styleId="139">
    <w:name w:val="Quote1"/>
    <w:basedOn w:val="1"/>
    <w:next w:val="1"/>
    <w:autoRedefine/>
    <w:qFormat/>
    <w:uiPriority w:val="99"/>
    <w:pPr>
      <w:widowControl/>
      <w:wordWrap w:val="0"/>
      <w:spacing w:before="200" w:after="160"/>
      <w:ind w:left="864" w:right="864"/>
      <w:jc w:val="center"/>
    </w:pPr>
    <w:rPr>
      <w:rFonts w:ascii="宋体" w:hAnsi="Calibri"/>
      <w:i/>
      <w:color w:val="404040"/>
    </w:rPr>
  </w:style>
  <w:style w:type="paragraph" w:customStyle="1" w:styleId="140">
    <w:name w:val="BodyText1I2"/>
    <w:basedOn w:val="134"/>
    <w:autoRedefine/>
    <w:qFormat/>
    <w:uiPriority w:val="0"/>
    <w:pPr>
      <w:ind w:firstLine="420" w:firstLineChars="200"/>
    </w:p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43">
    <w:name w:val="样式1"/>
    <w:basedOn w:val="1"/>
    <w:autoRedefine/>
    <w:qFormat/>
    <w:uiPriority w:val="0"/>
    <w:pPr>
      <w:tabs>
        <w:tab w:val="left" w:pos="709"/>
      </w:tabs>
      <w:adjustRightInd w:val="0"/>
      <w:ind w:left="709" w:hanging="709"/>
      <w:textAlignment w:val="baseline"/>
    </w:pPr>
    <w:rPr>
      <w:rFonts w:ascii="宋体" w:hAnsi="宋体" w:cs="宋体"/>
      <w:kern w:val="0"/>
      <w:szCs w:val="28"/>
    </w:rPr>
  </w:style>
  <w:style w:type="paragraph" w:customStyle="1" w:styleId="144">
    <w:name w:val="正文缩进1"/>
    <w:basedOn w:val="1"/>
    <w:autoRedefine/>
    <w:qFormat/>
    <w:uiPriority w:val="99"/>
    <w:pPr>
      <w:ind w:firstLine="420" w:firstLineChars="200"/>
    </w:pPr>
  </w:style>
  <w:style w:type="paragraph" w:customStyle="1" w:styleId="145">
    <w:name w:val="纯文本1"/>
    <w:basedOn w:val="1"/>
    <w:autoRedefine/>
    <w:qFormat/>
    <w:uiPriority w:val="99"/>
    <w:rPr>
      <w:rFonts w:ascii="宋体" w:hAnsi="Courier New" w:cs="Courier New"/>
      <w:szCs w:val="21"/>
    </w:rPr>
  </w:style>
  <w:style w:type="paragraph" w:customStyle="1" w:styleId="146">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147">
    <w:name w:val="fontstyle01"/>
    <w:basedOn w:val="44"/>
    <w:autoRedefine/>
    <w:qFormat/>
    <w:uiPriority w:val="0"/>
    <w:rPr>
      <w:rFonts w:hint="eastAsia" w:ascii="宋体" w:hAnsi="宋体" w:eastAsia="宋体" w:cs="宋体"/>
      <w:color w:val="000000"/>
      <w:sz w:val="22"/>
      <w:szCs w:val="22"/>
    </w:rPr>
  </w:style>
  <w:style w:type="character" w:customStyle="1" w:styleId="148">
    <w:name w:val="not([class*=suffix])"/>
    <w:basedOn w:val="44"/>
    <w:autoRedefine/>
    <w:qFormat/>
    <w:uiPriority w:val="0"/>
  </w:style>
  <w:style w:type="character" w:customStyle="1" w:styleId="149">
    <w:name w:val="not([class*=suffix])1"/>
    <w:basedOn w:val="44"/>
    <w:autoRedefine/>
    <w:qFormat/>
    <w:uiPriority w:val="0"/>
    <w:rPr>
      <w:sz w:val="9"/>
      <w:szCs w:val="9"/>
    </w:rPr>
  </w:style>
  <w:style w:type="table" w:customStyle="1" w:styleId="150">
    <w:name w:val="Table Normal"/>
    <w:autoRedefine/>
    <w:semiHidden/>
    <w:unhideWhenUsed/>
    <w:qFormat/>
    <w:uiPriority w:val="0"/>
    <w:tblPr>
      <w:tblCellMar>
        <w:top w:w="0" w:type="dxa"/>
        <w:left w:w="0" w:type="dxa"/>
        <w:bottom w:w="0" w:type="dxa"/>
        <w:right w:w="0" w:type="dxa"/>
      </w:tblCellMar>
    </w:tblPr>
  </w:style>
  <w:style w:type="paragraph" w:customStyle="1" w:styleId="151">
    <w:name w:val="Char2 Char Char Char Char Char Char"/>
    <w:basedOn w:val="1"/>
    <w:autoRedefine/>
    <w:qFormat/>
    <w:uiPriority w:val="0"/>
    <w:rPr>
      <w:rFonts w:ascii="仿宋_GB2312"/>
      <w:b/>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F4C56-0949-49C8-8520-C4F6A82567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42395</Words>
  <Characters>46341</Characters>
  <Lines>657</Lines>
  <Paragraphs>185</Paragraphs>
  <TotalTime>0</TotalTime>
  <ScaleCrop>false</ScaleCrop>
  <LinksUpToDate>false</LinksUpToDate>
  <CharactersWithSpaces>48474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2018-12-29T01:36:00Z</dcterms:created>
  <dc:creator>微软用户</dc:creator>
  <cp:lastModifiedBy>史丹</cp:lastModifiedBy>
  <cp:lastPrinted>2023-08-29T02:20:00Z</cp:lastPrinted>
  <dcterms:modified xsi:type="dcterms:W3CDTF">2024-04-01T00:44:37Z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3A7734C25EE54A3DAFF731DD53A05CE2</vt:lpwstr>
  </property>
  <property fmtid="{D5CDD505-2E9C-101B-9397-08002B2CF9AE}" pid="4" name="commondata">
    <vt:lpwstr>eyJoZGlkIjoiNDc1Nzg4NTMxOWFiZmE4NjBmNzkyMDI4ODYyZDRmODgifQ==</vt:lpwstr>
  </property>
</Properties>
</file>