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6"/>
          <w:szCs w:val="36"/>
        </w:rPr>
      </w:pPr>
      <w:bookmarkStart w:id="0" w:name="_Toc152042286"/>
      <w:bookmarkStart w:id="1" w:name="_Toc144974478"/>
    </w:p>
    <w:p>
      <w:pPr>
        <w:jc w:val="center"/>
        <w:rPr>
          <w:rFonts w:hint="eastAsia" w:ascii="宋体" w:hAnsi="宋体" w:eastAsia="宋体" w:cs="宋体"/>
          <w:b/>
          <w:bCs/>
          <w:sz w:val="44"/>
          <w:szCs w:val="44"/>
          <w:lang w:eastAsia="zh-CN"/>
        </w:rPr>
      </w:pPr>
      <w:r>
        <w:rPr>
          <w:rFonts w:hint="eastAsia" w:ascii="宋体" w:hAnsi="宋体" w:cs="宋体"/>
          <w:b/>
          <w:bCs/>
          <w:kern w:val="2"/>
          <w:sz w:val="44"/>
          <w:szCs w:val="44"/>
          <w:lang w:eastAsia="zh-CN"/>
        </w:rPr>
        <w:t>荥阳市教育局2022年义务教育薄弱环节改善与能力提升设施设备购置项目</w:t>
      </w:r>
    </w:p>
    <w:p>
      <w:pPr>
        <w:adjustRightInd w:val="0"/>
        <w:snapToGrid w:val="0"/>
        <w:spacing w:line="360" w:lineRule="auto"/>
        <w:rPr>
          <w:rFonts w:hint="eastAsia" w:ascii="宋体" w:hAnsi="宋体" w:cs="宋体"/>
          <w:b/>
          <w:sz w:val="36"/>
          <w:szCs w:val="36"/>
          <w:lang w:eastAsia="zh-CN"/>
        </w:rPr>
      </w:pPr>
    </w:p>
    <w:p>
      <w:pPr>
        <w:adjustRightInd w:val="0"/>
        <w:snapToGrid w:val="0"/>
        <w:spacing w:line="360" w:lineRule="auto"/>
        <w:jc w:val="center"/>
        <w:rPr>
          <w:rFonts w:hint="eastAsia" w:ascii="宋体" w:hAnsi="宋体" w:eastAsia="宋体" w:cs="宋体"/>
          <w:b/>
          <w:sz w:val="36"/>
          <w:szCs w:val="36"/>
          <w:lang w:eastAsia="zh-CN"/>
        </w:rPr>
      </w:pPr>
      <w:r>
        <w:rPr>
          <w:rFonts w:hint="eastAsia" w:ascii="宋体" w:hAnsi="宋体" w:cs="宋体"/>
          <w:b/>
          <w:sz w:val="36"/>
          <w:szCs w:val="36"/>
          <w:lang w:eastAsia="zh-CN"/>
        </w:rPr>
        <w:t>（</w:t>
      </w:r>
      <w:r>
        <w:rPr>
          <w:rFonts w:hint="eastAsia" w:ascii="宋体" w:hAnsi="宋体" w:cs="宋体"/>
          <w:b/>
          <w:sz w:val="36"/>
          <w:szCs w:val="36"/>
          <w:lang w:val="en-US" w:eastAsia="zh-CN"/>
        </w:rPr>
        <w:t>四标段</w:t>
      </w:r>
      <w:r>
        <w:rPr>
          <w:rFonts w:hint="eastAsia" w:ascii="宋体" w:hAnsi="宋体" w:cs="宋体"/>
          <w:b/>
          <w:sz w:val="36"/>
          <w:szCs w:val="36"/>
          <w:lang w:eastAsia="zh-CN"/>
        </w:rPr>
        <w:t>）</w:t>
      </w:r>
    </w:p>
    <w:p>
      <w:pPr>
        <w:pStyle w:val="105"/>
        <w:rPr>
          <w:rFonts w:hint="eastAsia" w:ascii="宋体" w:hAnsi="Times New Roman" w:cs="Times New Roman"/>
          <w:b w:val="0"/>
          <w:sz w:val="24"/>
          <w:szCs w:val="20"/>
        </w:rPr>
      </w:pPr>
    </w:p>
    <w:p>
      <w:pPr>
        <w:pStyle w:val="105"/>
        <w:rPr>
          <w:rFonts w:hint="eastAsia" w:ascii="宋体" w:hAnsi="Times New Roman" w:cs="Times New Roman"/>
          <w:b w:val="0"/>
          <w:sz w:val="24"/>
          <w:szCs w:val="20"/>
        </w:rPr>
      </w:pPr>
    </w:p>
    <w:p>
      <w:pPr>
        <w:adjustRightInd w:val="0"/>
        <w:snapToGrid w:val="0"/>
        <w:spacing w:line="360" w:lineRule="auto"/>
        <w:jc w:val="center"/>
        <w:rPr>
          <w:rFonts w:hint="eastAsia" w:ascii="宋体" w:hAnsi="宋体" w:cs="宋体"/>
          <w:b/>
          <w:sz w:val="30"/>
          <w:szCs w:val="30"/>
        </w:rPr>
      </w:pPr>
      <w:r>
        <w:rPr>
          <w:rFonts w:hint="eastAsia" w:ascii="宋体" w:hAnsi="宋体" w:cs="宋体"/>
          <w:b/>
          <w:sz w:val="72"/>
          <w:szCs w:val="72"/>
        </w:rPr>
        <w:t>招标文件</w:t>
      </w:r>
    </w:p>
    <w:p>
      <w:pPr>
        <w:jc w:val="center"/>
        <w:rPr>
          <w:rFonts w:hint="default" w:ascii="黑体" w:hAnsi="宋体" w:eastAsia="黑体"/>
          <w:szCs w:val="21"/>
          <w:highlight w:val="none"/>
          <w:lang w:val="en-US" w:eastAsia="zh-CN"/>
        </w:rPr>
      </w:pPr>
      <w:r>
        <w:rPr>
          <w:rFonts w:hint="eastAsia" w:ascii="黑体" w:hAnsi="宋体" w:eastAsia="黑体"/>
          <w:szCs w:val="21"/>
          <w:highlight w:val="none"/>
          <w:lang w:eastAsia="zh-CN"/>
        </w:rPr>
        <w:t>采购</w:t>
      </w:r>
      <w:r>
        <w:rPr>
          <w:rFonts w:hint="eastAsia" w:ascii="黑体" w:hAnsi="宋体" w:eastAsia="黑体"/>
          <w:szCs w:val="21"/>
          <w:highlight w:val="none"/>
        </w:rPr>
        <w:t>编号：</w:t>
      </w:r>
      <w:r>
        <w:rPr>
          <w:rFonts w:hint="eastAsia" w:ascii="黑体" w:hAnsi="宋体" w:eastAsia="黑体"/>
          <w:szCs w:val="21"/>
          <w:highlight w:val="none"/>
          <w:lang w:val="en-US" w:eastAsia="zh-CN"/>
        </w:rPr>
        <w:t>荥财公开-2024-7</w:t>
      </w:r>
    </w:p>
    <w:p>
      <w:pPr>
        <w:pStyle w:val="105"/>
        <w:rPr>
          <w:rFonts w:hint="eastAsia"/>
          <w:highlight w:val="none"/>
          <w:lang w:val="en-US" w:eastAsia="zh-CN"/>
        </w:rPr>
      </w:pPr>
    </w:p>
    <w:p>
      <w:pPr>
        <w:jc w:val="center"/>
        <w:rPr>
          <w:rFonts w:hint="eastAsia"/>
        </w:rPr>
      </w:pPr>
      <w:r>
        <w:drawing>
          <wp:inline distT="0" distB="0" distL="114300" distR="114300">
            <wp:extent cx="2465070" cy="2490470"/>
            <wp:effectExtent l="0" t="0" r="0" b="0"/>
            <wp:docPr id="1" name="图片 2" descr="lALPGojJ8c-2IrPNARvNARo_282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ALPGojJ8c-2IrPNARvNARo_282_283"/>
                    <pic:cNvPicPr>
                      <a:picLocks noChangeAspect="1"/>
                    </pic:cNvPicPr>
                  </pic:nvPicPr>
                  <pic:blipFill>
                    <a:blip r:embed="rId14"/>
                    <a:stretch>
                      <a:fillRect/>
                    </a:stretch>
                  </pic:blipFill>
                  <pic:spPr>
                    <a:xfrm>
                      <a:off x="0" y="0"/>
                      <a:ext cx="2465070" cy="2490470"/>
                    </a:xfrm>
                    <a:prstGeom prst="rect">
                      <a:avLst/>
                    </a:prstGeom>
                    <a:noFill/>
                    <a:ln>
                      <a:noFill/>
                    </a:ln>
                  </pic:spPr>
                </pic:pic>
              </a:graphicData>
            </a:graphic>
          </wp:inline>
        </w:drawing>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rPr>
          <w:rFonts w:hint="eastAsia" w:ascii="宋体" w:hAnsi="宋体" w:cs="宋体"/>
          <w:sz w:val="24"/>
        </w:rPr>
      </w:pPr>
    </w:p>
    <w:bookmarkEnd w:id="0"/>
    <w:bookmarkEnd w:id="1"/>
    <w:p>
      <w:pPr>
        <w:tabs>
          <w:tab w:val="left" w:pos="-1155"/>
          <w:tab w:val="left" w:pos="-1050"/>
        </w:tabs>
        <w:spacing w:line="520" w:lineRule="exact"/>
        <w:ind w:right="-334" w:rightChars="-159"/>
        <w:rPr>
          <w:rFonts w:hint="eastAsia"/>
          <w:b/>
          <w:bCs/>
          <w:spacing w:val="-6"/>
          <w:sz w:val="32"/>
          <w:szCs w:val="32"/>
        </w:rPr>
      </w:pP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采</w:t>
      </w:r>
      <w:r>
        <w:rPr>
          <w:rFonts w:hint="eastAsia"/>
          <w:b/>
          <w:bCs/>
          <w:spacing w:val="-6"/>
          <w:sz w:val="32"/>
          <w:szCs w:val="32"/>
          <w:lang w:val="en-US" w:eastAsia="zh-CN"/>
        </w:rPr>
        <w:t xml:space="preserve"> </w:t>
      </w:r>
      <w:r>
        <w:rPr>
          <w:rFonts w:hint="eastAsia"/>
          <w:b/>
          <w:bCs/>
          <w:spacing w:val="-6"/>
          <w:sz w:val="32"/>
          <w:szCs w:val="32"/>
        </w:rPr>
        <w:t>购</w:t>
      </w:r>
      <w:r>
        <w:rPr>
          <w:rFonts w:hint="eastAsia"/>
          <w:b/>
          <w:bCs/>
          <w:spacing w:val="-6"/>
          <w:sz w:val="32"/>
          <w:szCs w:val="32"/>
          <w:lang w:val="en-US" w:eastAsia="zh-CN"/>
        </w:rPr>
        <w:t xml:space="preserve"> </w:t>
      </w:r>
      <w:r>
        <w:rPr>
          <w:rFonts w:hint="eastAsia"/>
          <w:b/>
          <w:bCs/>
          <w:spacing w:val="-6"/>
          <w:sz w:val="32"/>
          <w:szCs w:val="32"/>
        </w:rPr>
        <w:t>人：</w:t>
      </w:r>
      <w:r>
        <w:rPr>
          <w:rFonts w:hint="eastAsia" w:cs="Times New Roman"/>
          <w:b/>
          <w:bCs/>
          <w:spacing w:val="-6"/>
          <w:kern w:val="2"/>
          <w:sz w:val="32"/>
          <w:szCs w:val="32"/>
          <w:lang w:eastAsia="zh-CN"/>
        </w:rPr>
        <w:t>荥阳市教育局</w:t>
      </w:r>
    </w:p>
    <w:p>
      <w:pPr>
        <w:tabs>
          <w:tab w:val="left" w:pos="-1155"/>
          <w:tab w:val="left" w:pos="-1050"/>
        </w:tabs>
        <w:spacing w:line="520" w:lineRule="exact"/>
        <w:ind w:right="-334" w:rightChars="-159" w:firstLine="1237" w:firstLineChars="400"/>
        <w:jc w:val="both"/>
        <w:rPr>
          <w:rFonts w:hint="eastAsia" w:eastAsia="宋体"/>
          <w:b/>
          <w:bCs/>
          <w:spacing w:val="-6"/>
          <w:sz w:val="32"/>
          <w:szCs w:val="32"/>
          <w:lang w:eastAsia="zh-CN"/>
        </w:rPr>
      </w:pPr>
      <w:r>
        <w:rPr>
          <w:rFonts w:hint="eastAsia"/>
          <w:b/>
          <w:bCs/>
          <w:spacing w:val="-6"/>
          <w:sz w:val="32"/>
          <w:szCs w:val="32"/>
        </w:rPr>
        <w:t>招标代理：</w:t>
      </w:r>
      <w:r>
        <w:rPr>
          <w:rFonts w:hint="eastAsia"/>
          <w:b/>
          <w:bCs/>
          <w:spacing w:val="-6"/>
          <w:sz w:val="32"/>
          <w:szCs w:val="32"/>
          <w:lang w:eastAsia="zh-CN"/>
        </w:rPr>
        <w:t>睿群工程咨询有限公司</w:t>
      </w:r>
    </w:p>
    <w:p>
      <w:pPr>
        <w:tabs>
          <w:tab w:val="left" w:pos="-1155"/>
          <w:tab w:val="left" w:pos="-1050"/>
        </w:tabs>
        <w:spacing w:line="520" w:lineRule="exact"/>
        <w:ind w:right="-334" w:rightChars="-159" w:firstLine="1237" w:firstLineChars="400"/>
        <w:jc w:val="both"/>
        <w:rPr>
          <w:rFonts w:hint="eastAsia"/>
          <w:b/>
          <w:bCs/>
          <w:spacing w:val="-6"/>
          <w:sz w:val="32"/>
          <w:szCs w:val="32"/>
        </w:rPr>
      </w:pPr>
      <w:r>
        <w:rPr>
          <w:rFonts w:hint="eastAsia"/>
          <w:b/>
          <w:bCs/>
          <w:spacing w:val="-6"/>
          <w:sz w:val="32"/>
          <w:szCs w:val="32"/>
        </w:rPr>
        <w:t>日    期：二〇二</w:t>
      </w:r>
      <w:r>
        <w:rPr>
          <w:rFonts w:hint="eastAsia"/>
          <w:b/>
          <w:bCs/>
          <w:spacing w:val="-6"/>
          <w:sz w:val="32"/>
          <w:szCs w:val="32"/>
          <w:lang w:val="en-US" w:eastAsia="zh-CN"/>
        </w:rPr>
        <w:t>四</w:t>
      </w:r>
      <w:r>
        <w:rPr>
          <w:rFonts w:hint="eastAsia"/>
          <w:b/>
          <w:bCs/>
          <w:spacing w:val="-6"/>
          <w:sz w:val="32"/>
          <w:szCs w:val="32"/>
        </w:rPr>
        <w:t>年</w:t>
      </w:r>
      <w:r>
        <w:rPr>
          <w:rFonts w:hint="eastAsia"/>
          <w:b/>
          <w:bCs/>
          <w:spacing w:val="-6"/>
          <w:sz w:val="32"/>
          <w:szCs w:val="32"/>
          <w:highlight w:val="none"/>
          <w:lang w:val="en-US" w:eastAsia="zh-CN"/>
        </w:rPr>
        <w:t>四</w:t>
      </w:r>
      <w:r>
        <w:rPr>
          <w:rFonts w:hint="eastAsia"/>
          <w:b/>
          <w:bCs/>
          <w:spacing w:val="-6"/>
          <w:sz w:val="32"/>
          <w:szCs w:val="32"/>
        </w:rPr>
        <w:t>月</w:t>
      </w:r>
    </w:p>
    <w:p>
      <w:pPr>
        <w:spacing w:line="400" w:lineRule="exact"/>
        <w:ind w:left="1058" w:leftChars="504"/>
        <w:jc w:val="center"/>
        <w:rPr>
          <w:rFonts w:hint="eastAsia" w:ascii="宋体" w:hAnsi="宋体" w:cs="宋体"/>
          <w:b/>
          <w:sz w:val="32"/>
        </w:rPr>
        <w:sectPr>
          <w:headerReference r:id="rId4" w:type="first"/>
          <w:footerReference r:id="rId5" w:type="first"/>
          <w:headerReference r:id="rId3" w:type="default"/>
          <w:pgSz w:w="11906" w:h="16838"/>
          <w:pgMar w:top="1440" w:right="1800" w:bottom="1440" w:left="1800" w:header="851" w:footer="992" w:gutter="0"/>
          <w:cols w:space="720" w:num="1"/>
          <w:docGrid w:type="lines" w:linePitch="312" w:charSpace="0"/>
        </w:sectPr>
      </w:pPr>
    </w:p>
    <w:p>
      <w:pPr>
        <w:spacing w:line="400" w:lineRule="exact"/>
        <w:jc w:val="center"/>
        <w:rPr>
          <w:rFonts w:hint="eastAsia" w:ascii="宋体" w:hAnsi="宋体" w:cs="宋体"/>
          <w:bCs/>
          <w:sz w:val="32"/>
        </w:rPr>
      </w:pPr>
      <w:r>
        <w:rPr>
          <w:rFonts w:hint="eastAsia" w:ascii="宋体" w:hAnsi="宋体" w:cs="宋体"/>
          <w:b/>
          <w:sz w:val="32"/>
        </w:rPr>
        <w:t>目  录</w:t>
      </w:r>
    </w:p>
    <w:p>
      <w:pPr>
        <w:pStyle w:val="28"/>
        <w:tabs>
          <w:tab w:val="right" w:leader="dot" w:pos="8312"/>
        </w:tabs>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_Toc19017 </w:instrText>
      </w:r>
      <w:r>
        <w:rPr>
          <w:rFonts w:hint="eastAsia" w:ascii="宋体" w:hAnsi="宋体" w:cs="宋体"/>
          <w:szCs w:val="28"/>
        </w:rPr>
        <w:fldChar w:fldCharType="separate"/>
      </w:r>
      <w:r>
        <w:rPr>
          <w:rFonts w:hint="eastAsia"/>
        </w:rPr>
        <w:t>第一章  招标公告</w:t>
      </w:r>
      <w:r>
        <w:tab/>
      </w:r>
      <w:r>
        <w:fldChar w:fldCharType="begin"/>
      </w:r>
      <w:r>
        <w:instrText xml:space="preserve"> PAGEREF _Toc19017 \h </w:instrText>
      </w:r>
      <w:r>
        <w:fldChar w:fldCharType="separate"/>
      </w:r>
      <w:r>
        <w:t>2</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_Toc8612 </w:instrText>
      </w:r>
      <w:r>
        <w:rPr>
          <w:rFonts w:hint="eastAsia" w:ascii="宋体" w:hAnsi="宋体" w:cs="宋体"/>
          <w:szCs w:val="28"/>
        </w:rPr>
        <w:fldChar w:fldCharType="separate"/>
      </w:r>
      <w:r>
        <w:rPr>
          <w:rFonts w:hint="eastAsia" w:ascii="宋体" w:hAnsi="宋体" w:cs="宋体"/>
          <w:szCs w:val="40"/>
        </w:rPr>
        <w:t>第二章  供应商须知</w:t>
      </w:r>
      <w:r>
        <w:tab/>
      </w:r>
      <w:r>
        <w:fldChar w:fldCharType="begin"/>
      </w:r>
      <w:r>
        <w:instrText xml:space="preserve"> PAGEREF _Toc8612 \h </w:instrText>
      </w:r>
      <w:r>
        <w:fldChar w:fldCharType="separate"/>
      </w:r>
      <w:r>
        <w:t>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_Toc26934 </w:instrText>
      </w:r>
      <w:r>
        <w:rPr>
          <w:rFonts w:hint="eastAsia" w:ascii="宋体" w:hAnsi="宋体" w:cs="宋体"/>
          <w:szCs w:val="28"/>
        </w:rPr>
        <w:fldChar w:fldCharType="separate"/>
      </w:r>
      <w:r>
        <w:rPr>
          <w:rFonts w:hint="eastAsia" w:ascii="宋体" w:hAnsi="宋体" w:eastAsia="宋体"/>
          <w:szCs w:val="24"/>
        </w:rPr>
        <w:t xml:space="preserve">1. </w:t>
      </w:r>
      <w:r>
        <w:rPr>
          <w:rFonts w:hint="eastAsia" w:ascii="宋体" w:hAnsi="宋体" w:eastAsia="宋体"/>
          <w:szCs w:val="24"/>
          <w:highlight w:val="none"/>
          <w:lang w:val="en-US" w:eastAsia="zh-CN"/>
        </w:rPr>
        <w:t>总则</w:t>
      </w:r>
      <w:r>
        <w:tab/>
      </w:r>
      <w:r>
        <w:fldChar w:fldCharType="begin"/>
      </w:r>
      <w:r>
        <w:instrText xml:space="preserve"> PAGEREF _Toc26934 \h </w:instrText>
      </w:r>
      <w:r>
        <w:fldChar w:fldCharType="separate"/>
      </w:r>
      <w:r>
        <w:t>14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_Toc5694 </w:instrText>
      </w:r>
      <w:r>
        <w:rPr>
          <w:rFonts w:hint="eastAsia" w:ascii="宋体" w:hAnsi="宋体" w:cs="宋体"/>
          <w:szCs w:val="28"/>
        </w:rPr>
        <w:fldChar w:fldCharType="separate"/>
      </w:r>
      <w:r>
        <w:rPr>
          <w:rFonts w:hint="eastAsia" w:ascii="宋体" w:hAnsi="宋体" w:eastAsia="宋体"/>
          <w:szCs w:val="24"/>
          <w:lang w:val="en-US" w:eastAsia="zh-CN"/>
        </w:rPr>
        <w:t xml:space="preserve">2. </w:t>
      </w:r>
      <w:r>
        <w:rPr>
          <w:rFonts w:hint="eastAsia" w:ascii="宋体" w:hAnsi="宋体" w:eastAsia="宋体"/>
          <w:szCs w:val="24"/>
          <w:highlight w:val="none"/>
          <w:lang w:val="en-US" w:eastAsia="zh-CN"/>
        </w:rPr>
        <w:t>招标文件</w:t>
      </w:r>
      <w:r>
        <w:tab/>
      </w:r>
      <w:r>
        <w:fldChar w:fldCharType="begin"/>
      </w:r>
      <w:r>
        <w:instrText xml:space="preserve"> PAGEREF _Toc5694 \h </w:instrText>
      </w:r>
      <w:r>
        <w:fldChar w:fldCharType="separate"/>
      </w:r>
      <w:r>
        <w:t>16</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_Toc7352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3. </w:t>
      </w:r>
      <w:r>
        <w:rPr>
          <w:rFonts w:hint="eastAsia" w:ascii="宋体" w:hAnsi="宋体" w:eastAsia="宋体"/>
          <w:bCs w:val="0"/>
          <w:szCs w:val="24"/>
          <w:highlight w:val="none"/>
          <w:lang w:val="en-US" w:eastAsia="zh-CN"/>
        </w:rPr>
        <w:t>投标文件的编写</w:t>
      </w:r>
      <w:r>
        <w:tab/>
      </w:r>
      <w:r>
        <w:fldChar w:fldCharType="begin"/>
      </w:r>
      <w:r>
        <w:instrText xml:space="preserve"> PAGEREF _Toc7352 \h </w:instrText>
      </w:r>
      <w:r>
        <w:fldChar w:fldCharType="separate"/>
      </w:r>
      <w:r>
        <w:t>18</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_Toc15032 </w:instrText>
      </w:r>
      <w:r>
        <w:rPr>
          <w:rFonts w:hint="eastAsia" w:ascii="宋体" w:hAnsi="宋体" w:cs="宋体"/>
          <w:szCs w:val="28"/>
        </w:rPr>
        <w:fldChar w:fldCharType="separate"/>
      </w:r>
      <w:r>
        <w:rPr>
          <w:rFonts w:hint="eastAsia" w:ascii="宋体" w:hAnsi="宋体" w:eastAsia="宋体"/>
          <w:szCs w:val="24"/>
          <w:lang w:val="en-US" w:eastAsia="zh-CN"/>
        </w:rPr>
        <w:t xml:space="preserve">4. </w:t>
      </w:r>
      <w:r>
        <w:rPr>
          <w:rFonts w:hint="eastAsia" w:ascii="宋体" w:hAnsi="宋体" w:eastAsia="宋体"/>
          <w:szCs w:val="24"/>
          <w:highlight w:val="none"/>
          <w:lang w:val="en-US" w:eastAsia="zh-CN"/>
        </w:rPr>
        <w:t>投标</w:t>
      </w:r>
      <w:r>
        <w:tab/>
      </w:r>
      <w:r>
        <w:fldChar w:fldCharType="begin"/>
      </w:r>
      <w:r>
        <w:instrText xml:space="preserve"> PAGEREF _Toc15032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_Toc14454 </w:instrText>
      </w:r>
      <w:r>
        <w:rPr>
          <w:rFonts w:hint="eastAsia" w:ascii="宋体" w:hAnsi="宋体" w:cs="宋体"/>
          <w:szCs w:val="28"/>
        </w:rPr>
        <w:fldChar w:fldCharType="separate"/>
      </w:r>
      <w:r>
        <w:rPr>
          <w:rFonts w:hint="eastAsia" w:ascii="宋体" w:hAnsi="宋体" w:eastAsia="宋体"/>
          <w:szCs w:val="24"/>
          <w:lang w:val="en-US" w:eastAsia="zh-CN"/>
        </w:rPr>
        <w:t xml:space="preserve">5. </w:t>
      </w:r>
      <w:r>
        <w:rPr>
          <w:rFonts w:hint="eastAsia" w:ascii="宋体" w:hAnsi="宋体" w:eastAsia="宋体"/>
          <w:szCs w:val="24"/>
          <w:highlight w:val="none"/>
          <w:lang w:val="en-US" w:eastAsia="zh-CN"/>
        </w:rPr>
        <w:t>开标、资格审查与评标</w:t>
      </w:r>
      <w:r>
        <w:tab/>
      </w:r>
      <w:r>
        <w:fldChar w:fldCharType="begin"/>
      </w:r>
      <w:r>
        <w:instrText xml:space="preserve"> PAGEREF _Toc14454 \h </w:instrText>
      </w:r>
      <w:r>
        <w:fldChar w:fldCharType="separate"/>
      </w:r>
      <w:r>
        <w:t>20</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_Toc28792 </w:instrText>
      </w:r>
      <w:r>
        <w:rPr>
          <w:rFonts w:hint="eastAsia" w:ascii="宋体" w:hAnsi="宋体" w:cs="宋体"/>
          <w:szCs w:val="28"/>
        </w:rPr>
        <w:fldChar w:fldCharType="separate"/>
      </w:r>
      <w:r>
        <w:rPr>
          <w:rFonts w:hint="eastAsia" w:ascii="宋体" w:hAnsi="宋体" w:eastAsia="宋体"/>
          <w:szCs w:val="24"/>
          <w:lang w:val="en-US" w:eastAsia="zh-CN"/>
        </w:rPr>
        <w:t xml:space="preserve">6. </w:t>
      </w:r>
      <w:r>
        <w:rPr>
          <w:rFonts w:hint="eastAsia" w:ascii="宋体" w:hAnsi="宋体" w:eastAsia="宋体"/>
          <w:szCs w:val="24"/>
          <w:highlight w:val="none"/>
          <w:lang w:val="en-US" w:eastAsia="zh-CN"/>
        </w:rPr>
        <w:t>授予合同</w:t>
      </w:r>
      <w:r>
        <w:tab/>
      </w:r>
      <w:r>
        <w:fldChar w:fldCharType="begin"/>
      </w:r>
      <w:r>
        <w:instrText xml:space="preserve"> PAGEREF _Toc28792 \h </w:instrText>
      </w:r>
      <w:r>
        <w:fldChar w:fldCharType="separate"/>
      </w:r>
      <w:r>
        <w:t>22</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_Toc15418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7. </w:t>
      </w:r>
      <w:r>
        <w:rPr>
          <w:rFonts w:hint="eastAsia" w:ascii="宋体" w:hAnsi="宋体" w:eastAsia="宋体"/>
          <w:bCs w:val="0"/>
          <w:szCs w:val="24"/>
          <w:highlight w:val="none"/>
          <w:lang w:val="en-US" w:eastAsia="zh-CN"/>
        </w:rPr>
        <w:t>信用记录</w:t>
      </w:r>
      <w:r>
        <w:tab/>
      </w:r>
      <w:r>
        <w:fldChar w:fldCharType="begin"/>
      </w:r>
      <w:r>
        <w:instrText xml:space="preserve"> PAGEREF _Toc15418 \h </w:instrText>
      </w:r>
      <w:r>
        <w:fldChar w:fldCharType="separate"/>
      </w:r>
      <w:r>
        <w:t>23</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_Toc24482 </w:instrText>
      </w:r>
      <w:r>
        <w:rPr>
          <w:rFonts w:hint="eastAsia" w:ascii="宋体" w:hAnsi="宋体" w:cs="宋体"/>
          <w:szCs w:val="28"/>
        </w:rPr>
        <w:fldChar w:fldCharType="separate"/>
      </w:r>
      <w:r>
        <w:rPr>
          <w:rFonts w:hint="eastAsia" w:ascii="宋体" w:hAnsi="宋体" w:eastAsia="宋体"/>
          <w:bCs w:val="0"/>
          <w:szCs w:val="24"/>
          <w:lang w:val="en-US" w:eastAsia="zh-CN"/>
        </w:rPr>
        <w:t xml:space="preserve">8. </w:t>
      </w:r>
      <w:r>
        <w:rPr>
          <w:rFonts w:hint="eastAsia" w:ascii="宋体" w:hAnsi="宋体" w:eastAsia="宋体"/>
          <w:bCs w:val="0"/>
          <w:szCs w:val="24"/>
          <w:highlight w:val="none"/>
          <w:lang w:val="en-US" w:eastAsia="zh-CN"/>
        </w:rPr>
        <w:t>政府采购政策</w:t>
      </w:r>
      <w:r>
        <w:tab/>
      </w:r>
      <w:r>
        <w:fldChar w:fldCharType="begin"/>
      </w:r>
      <w:r>
        <w:instrText xml:space="preserve"> PAGEREF _Toc24482 \h </w:instrText>
      </w:r>
      <w:r>
        <w:fldChar w:fldCharType="separate"/>
      </w:r>
      <w:r>
        <w:t>24</w:t>
      </w:r>
      <w:r>
        <w:fldChar w:fldCharType="end"/>
      </w:r>
      <w:r>
        <w:rPr>
          <w:rFonts w:hint="eastAsia" w:ascii="宋体" w:hAnsi="宋体" w:cs="宋体"/>
          <w:szCs w:val="28"/>
        </w:rPr>
        <w:fldChar w:fldCharType="end"/>
      </w:r>
    </w:p>
    <w:p>
      <w:pPr>
        <w:pStyle w:val="34"/>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_Toc6040 </w:instrText>
      </w:r>
      <w:r>
        <w:rPr>
          <w:rFonts w:hint="eastAsia" w:ascii="宋体" w:hAnsi="宋体" w:cs="宋体"/>
          <w:szCs w:val="28"/>
        </w:rPr>
        <w:fldChar w:fldCharType="separate"/>
      </w:r>
      <w:r>
        <w:rPr>
          <w:rFonts w:hint="eastAsia" w:ascii="宋体" w:hAnsi="宋体" w:eastAsia="宋体"/>
          <w:szCs w:val="24"/>
          <w:lang w:val="en-US" w:eastAsia="zh-CN"/>
        </w:rPr>
        <w:t xml:space="preserve">9. </w:t>
      </w:r>
      <w:r>
        <w:rPr>
          <w:rFonts w:hint="eastAsia" w:ascii="宋体" w:hAnsi="宋体" w:eastAsia="宋体"/>
          <w:szCs w:val="24"/>
          <w:highlight w:val="none"/>
          <w:lang w:val="en-US" w:eastAsia="zh-CN"/>
        </w:rPr>
        <w:t>需要补充的其他内容</w:t>
      </w:r>
      <w:r>
        <w:tab/>
      </w:r>
      <w:r>
        <w:fldChar w:fldCharType="begin"/>
      </w:r>
      <w:r>
        <w:instrText xml:space="preserve"> PAGEREF _Toc6040 \h </w:instrText>
      </w:r>
      <w:r>
        <w:fldChar w:fldCharType="separate"/>
      </w:r>
      <w:r>
        <w:t>25</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_Toc8665 </w:instrText>
      </w:r>
      <w:r>
        <w:rPr>
          <w:rFonts w:hint="eastAsia" w:ascii="宋体" w:hAnsi="宋体" w:cs="宋体"/>
          <w:szCs w:val="28"/>
        </w:rPr>
        <w:fldChar w:fldCharType="separate"/>
      </w:r>
      <w:r>
        <w:rPr>
          <w:rFonts w:hint="eastAsia"/>
        </w:rPr>
        <w:t>第三章  评标办法（综合评分法）</w:t>
      </w:r>
      <w:r>
        <w:tab/>
      </w:r>
      <w:r>
        <w:fldChar w:fldCharType="begin"/>
      </w:r>
      <w:r>
        <w:instrText xml:space="preserve"> PAGEREF _Toc8665 \h </w:instrText>
      </w:r>
      <w:r>
        <w:fldChar w:fldCharType="separate"/>
      </w:r>
      <w:r>
        <w:t>30</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_Toc23644 </w:instrText>
      </w:r>
      <w:r>
        <w:rPr>
          <w:rFonts w:hint="eastAsia" w:ascii="宋体" w:hAnsi="宋体" w:cs="宋体"/>
          <w:szCs w:val="28"/>
        </w:rPr>
        <w:fldChar w:fldCharType="separate"/>
      </w:r>
      <w:r>
        <w:rPr>
          <w:rFonts w:hint="eastAsia"/>
        </w:rPr>
        <w:t>第四章  合同条款及格式</w:t>
      </w:r>
      <w:r>
        <w:tab/>
      </w:r>
      <w:r>
        <w:fldChar w:fldCharType="begin"/>
      </w:r>
      <w:r>
        <w:instrText xml:space="preserve"> PAGEREF _Toc23644 \h </w:instrText>
      </w:r>
      <w:r>
        <w:fldChar w:fldCharType="separate"/>
      </w:r>
      <w:r>
        <w:t>39</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_Toc31309 </w:instrText>
      </w:r>
      <w:r>
        <w:rPr>
          <w:rFonts w:hint="eastAsia" w:ascii="宋体" w:hAnsi="宋体" w:cs="宋体"/>
          <w:szCs w:val="28"/>
        </w:rPr>
        <w:fldChar w:fldCharType="separate"/>
      </w:r>
      <w:r>
        <w:rPr>
          <w:rFonts w:hint="eastAsia" w:ascii="宋体" w:hAnsi="宋体" w:cs="宋体"/>
          <w:szCs w:val="40"/>
        </w:rPr>
        <w:t>第五章 采购内容及技术要求</w:t>
      </w:r>
      <w:r>
        <w:tab/>
      </w:r>
      <w:r>
        <w:fldChar w:fldCharType="begin"/>
      </w:r>
      <w:r>
        <w:instrText xml:space="preserve"> PAGEREF _Toc31309 \h </w:instrText>
      </w:r>
      <w:r>
        <w:fldChar w:fldCharType="separate"/>
      </w:r>
      <w:r>
        <w:t>44</w:t>
      </w:r>
      <w:r>
        <w:fldChar w:fldCharType="end"/>
      </w:r>
      <w:r>
        <w:rPr>
          <w:rFonts w:hint="eastAsia" w:ascii="宋体" w:hAnsi="宋体" w:cs="宋体"/>
          <w:szCs w:val="28"/>
        </w:rPr>
        <w:fldChar w:fldCharType="end"/>
      </w:r>
    </w:p>
    <w:p>
      <w:pPr>
        <w:pStyle w:val="28"/>
        <w:tabs>
          <w:tab w:val="right" w:leader="dot" w:pos="8312"/>
        </w:tabs>
      </w:pPr>
      <w:r>
        <w:rPr>
          <w:rFonts w:hint="eastAsia" w:ascii="宋体" w:hAnsi="宋体" w:cs="宋体"/>
          <w:szCs w:val="28"/>
        </w:rPr>
        <w:fldChar w:fldCharType="begin"/>
      </w:r>
      <w:r>
        <w:rPr>
          <w:rFonts w:hint="eastAsia" w:ascii="宋体" w:hAnsi="宋体" w:cs="宋体"/>
          <w:szCs w:val="28"/>
        </w:rPr>
        <w:instrText xml:space="preserve"> HYPERLINK \l _Toc9601 </w:instrText>
      </w:r>
      <w:r>
        <w:rPr>
          <w:rFonts w:hint="eastAsia" w:ascii="宋体" w:hAnsi="宋体" w:cs="宋体"/>
          <w:szCs w:val="28"/>
        </w:rPr>
        <w:fldChar w:fldCharType="separate"/>
      </w:r>
      <w:r>
        <w:rPr>
          <w:rFonts w:hint="eastAsia"/>
        </w:rPr>
        <w:t>第六章  投标文件格式</w:t>
      </w:r>
      <w:r>
        <w:tab/>
      </w:r>
      <w:r>
        <w:fldChar w:fldCharType="begin"/>
      </w:r>
      <w:r>
        <w:instrText xml:space="preserve"> PAGEREF _Toc9601 \h </w:instrText>
      </w:r>
      <w:r>
        <w:fldChar w:fldCharType="separate"/>
      </w:r>
      <w:r>
        <w:t>50</w:t>
      </w:r>
      <w:r>
        <w:fldChar w:fldCharType="end"/>
      </w:r>
      <w:r>
        <w:rPr>
          <w:rFonts w:hint="eastAsia" w:ascii="宋体" w:hAnsi="宋体" w:cs="宋体"/>
          <w:szCs w:val="28"/>
        </w:rPr>
        <w:fldChar w:fldCharType="end"/>
      </w:r>
    </w:p>
    <w:p>
      <w:pPr>
        <w:pStyle w:val="34"/>
        <w:tabs>
          <w:tab w:val="right" w:leader="dot" w:pos="8312"/>
        </w:tabs>
      </w:pPr>
    </w:p>
    <w:p>
      <w:pPr>
        <w:pStyle w:val="34"/>
        <w:tabs>
          <w:tab w:val="right" w:leader="dot" w:pos="8296"/>
        </w:tabs>
        <w:rPr>
          <w:rFonts w:hint="eastAsia" w:ascii="宋体" w:hAnsi="宋体" w:cs="宋体"/>
        </w:rPr>
        <w:sectPr>
          <w:headerReference r:id="rId7" w:type="first"/>
          <w:footerReference r:id="rId9" w:type="first"/>
          <w:headerReference r:id="rId6" w:type="default"/>
          <w:footerReference r:id="rId8" w:type="default"/>
          <w:pgSz w:w="11906" w:h="16838"/>
          <w:pgMar w:top="1440" w:right="1797" w:bottom="1440" w:left="1797" w:header="624" w:footer="850" w:gutter="0"/>
          <w:pgNumType w:start="1"/>
          <w:cols w:space="720" w:num="1"/>
          <w:titlePg/>
          <w:docGrid w:type="lines" w:linePitch="312" w:charSpace="0"/>
        </w:sectPr>
      </w:pPr>
      <w:r>
        <w:rPr>
          <w:rFonts w:hint="eastAsia" w:ascii="宋体" w:hAnsi="宋体" w:cs="宋体"/>
          <w:szCs w:val="28"/>
        </w:rPr>
        <w:fldChar w:fldCharType="end"/>
      </w:r>
      <w:bookmarkStart w:id="644" w:name="_GoBack"/>
    </w:p>
    <w:bookmarkEnd w:id="644"/>
    <w:p>
      <w:pPr>
        <w:rPr>
          <w:rFonts w:hint="eastAsia"/>
        </w:rPr>
      </w:pPr>
      <w:bookmarkStart w:id="2" w:name="_Toc144974479"/>
      <w:bookmarkStart w:id="3" w:name="_Toc152045511"/>
      <w:bookmarkStart w:id="4" w:name="_Toc152042287"/>
    </w:p>
    <w:p>
      <w:pPr>
        <w:pStyle w:val="2"/>
        <w:rPr>
          <w:rFonts w:hint="eastAsia"/>
        </w:rPr>
      </w:pPr>
      <w:bookmarkStart w:id="5" w:name="_Toc19017"/>
      <w:r>
        <w:rPr>
          <w:rFonts w:hint="eastAsia"/>
        </w:rPr>
        <w:t>第一章  招标公告</w:t>
      </w:r>
      <w:bookmarkEnd w:id="2"/>
      <w:bookmarkEnd w:id="3"/>
      <w:bookmarkEnd w:id="4"/>
      <w:bookmarkEnd w:id="5"/>
    </w:p>
    <w:p>
      <w:pPr>
        <w:jc w:val="center"/>
        <w:rPr>
          <w:rFonts w:hint="default"/>
          <w:b/>
          <w:bCs/>
          <w:highlight w:val="none"/>
          <w:lang w:val="en-US"/>
        </w:rPr>
      </w:pPr>
      <w:bookmarkStart w:id="6" w:name="_Toc152045527"/>
      <w:bookmarkStart w:id="7" w:name="_Toc152042303"/>
      <w:bookmarkStart w:id="8" w:name="_Toc144974495"/>
      <w:r>
        <w:rPr>
          <w:rFonts w:hint="eastAsia" w:ascii="仿宋" w:hAnsi="仿宋" w:cs="仿宋"/>
          <w:b/>
          <w:bCs/>
          <w:sz w:val="21"/>
          <w:szCs w:val="21"/>
          <w:highlight w:val="none"/>
          <w:lang w:eastAsia="zh-CN"/>
        </w:rPr>
        <w:t>荥阳市教育局2022年义务教育薄弱环节改善与能力提升设施设备购置项目</w:t>
      </w:r>
      <w:r>
        <w:rPr>
          <w:rFonts w:hint="eastAsia" w:ascii="仿宋" w:hAnsi="仿宋" w:cs="仿宋"/>
          <w:b/>
          <w:bCs/>
          <w:sz w:val="21"/>
          <w:szCs w:val="21"/>
          <w:highlight w:val="none"/>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的潜在投标人应在荥阳市公共资源交易平台获取招标文件，并于202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日09时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分（北京时间）前递交投标文件。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一、项目基本情况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1、项目编号：荥财公开-202</w:t>
      </w:r>
      <w:r>
        <w:rPr>
          <w:rFonts w:hint="eastAsia" w:ascii="宋体" w:hAnsi="宋体" w:cs="宋体"/>
          <w:color w:val="auto"/>
          <w:sz w:val="21"/>
          <w:szCs w:val="21"/>
          <w:highlight w:val="none"/>
          <w:lang w:val="en-US" w:eastAsia="zh-CN"/>
        </w:rPr>
        <w:t>4-7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lang w:eastAsia="zh-CN"/>
        </w:rPr>
        <w:t>荥阳市教育局2022年义务教育薄弱环节改善与能力提升设施设备购置项目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3、采购方式：公开招标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4、预算金额：</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9980000</w:t>
      </w:r>
      <w:r>
        <w:rPr>
          <w:rFonts w:hint="eastAsia" w:ascii="宋体" w:hAnsi="宋体" w:eastAsia="宋体" w:cs="宋体"/>
          <w:sz w:val="21"/>
          <w:szCs w:val="21"/>
          <w:highlight w:val="none"/>
        </w:rPr>
        <w:t>元</w:t>
      </w:r>
    </w:p>
    <w:tbl>
      <w:tblPr>
        <w:tblStyle w:val="44"/>
        <w:tblW w:w="8285"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9"/>
        <w:gridCol w:w="2867"/>
        <w:gridCol w:w="157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包号</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包名称</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包预算（元）</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荥财公开-2024-7-1</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一标段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荥财公开-2024-7-2</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二标段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荥财公开-2024-7-3</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三标段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荥财公开-2024-7-4</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荥阳市教育局2022年义务教育薄弱环节改善与能力提升设施设备购置项目</w:t>
            </w:r>
            <w:r>
              <w:rPr>
                <w:rFonts w:hint="eastAsia" w:ascii="宋体" w:hAnsi="宋体" w:eastAsia="宋体" w:cs="宋体"/>
                <w:sz w:val="21"/>
                <w:szCs w:val="21"/>
                <w:highlight w:val="none"/>
                <w:lang w:val="en-US" w:eastAsia="zh-CN"/>
              </w:rPr>
              <w:t>四标段</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1740000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5、采购需求（包括但不限于标的的名称、数量、简要技术需求或服务要求等）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5.1</w:t>
      </w:r>
      <w:r>
        <w:rPr>
          <w:rFonts w:hint="eastAsia" w:ascii="宋体" w:hAnsi="宋体" w:eastAsia="宋体" w:cs="宋体"/>
          <w:sz w:val="21"/>
          <w:szCs w:val="21"/>
          <w:highlight w:val="none"/>
          <w:lang w:val="en-US" w:eastAsia="zh-CN"/>
        </w:rPr>
        <w:t>采购内容：本项目分为四个标段</w:t>
      </w:r>
    </w:p>
    <w:p>
      <w:pPr>
        <w:pStyle w:val="42"/>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一标段：录播教室设备采购；二标段：计算机教室设备采购；三标段：人工智能创客实验室设备采购；四标段：智慧黑板。</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5.2交货地点: </w:t>
      </w:r>
      <w:r>
        <w:rPr>
          <w:rFonts w:hint="eastAsia" w:ascii="宋体" w:hAnsi="宋体" w:cs="宋体"/>
          <w:bCs/>
          <w:szCs w:val="21"/>
        </w:rPr>
        <w:t>采购人指定地点</w:t>
      </w:r>
      <w:r>
        <w:rPr>
          <w:rFonts w:hint="eastAsia" w:ascii="宋体" w:hAnsi="宋体" w:eastAsia="宋体" w:cs="宋体"/>
          <w:sz w:val="21"/>
          <w:szCs w:val="21"/>
          <w:highlight w:val="none"/>
          <w:lang w:val="en-US" w:eastAsia="zh-CN"/>
        </w:rPr>
        <w:t>；</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5.3质量标准：符合国家、行业相关规范，满足采购人要求；</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5.4交货期：合同签订后30日历天内，全部安装调试完毕并完成验收；</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5.5质保期：符合国家及行业相关标准和采购人要求，没有相关标准的不低于24个月；</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6、合同履行期限：签订合同之日至质保期结束</w:t>
      </w:r>
    </w:p>
    <w:p>
      <w:pPr>
        <w:pStyle w:val="42"/>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7、本项目是否接受联合体投标：否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9、是否专门面向中小企业：否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二、申请人资格要求：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1、满足《中华人民共和国政府采购法》第二十</w:t>
      </w:r>
      <w:r>
        <w:rPr>
          <w:rFonts w:hint="eastAsia" w:ascii="宋体" w:hAnsi="宋体" w:eastAsia="宋体" w:cs="宋体"/>
          <w:sz w:val="21"/>
          <w:szCs w:val="21"/>
        </w:rPr>
        <w:t xml:space="preserve">二条规定；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2、落</w:t>
      </w:r>
      <w:r>
        <w:rPr>
          <w:rFonts w:hint="eastAsia" w:ascii="宋体" w:hAnsi="宋体" w:eastAsia="宋体" w:cs="宋体"/>
          <w:b w:val="0"/>
          <w:kern w:val="2"/>
          <w:sz w:val="21"/>
          <w:szCs w:val="21"/>
          <w:highlight w:val="none"/>
          <w:lang w:val="en-US" w:eastAsia="zh-CN" w:bidi="ar-SA"/>
        </w:rPr>
        <w:t>实政府采购政策满足的资格要求：无。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1根据《财政部关于在政府采购活动中查询及使用信用记录有关问题的通知》（财库〔2016〕125号）的要求，</w:t>
      </w:r>
      <w:r>
        <w:rPr>
          <w:rFonts w:hint="eastAsia" w:ascii="宋体" w:hAnsi="宋体" w:eastAsia="宋体" w:cs="宋体"/>
          <w:sz w:val="21"/>
          <w:szCs w:val="21"/>
        </w:rPr>
        <w:t>采购人或采购代理机构将在递交投标文件截止时间至资格审查结束前</w:t>
      </w:r>
      <w:r>
        <w:rPr>
          <w:rFonts w:hint="eastAsia" w:ascii="宋体" w:hAnsi="宋体" w:eastAsia="宋体" w:cs="宋体"/>
          <w:sz w:val="21"/>
          <w:szCs w:val="21"/>
          <w:highlight w:val="none"/>
          <w:lang w:val="en-US" w:eastAsia="zh-CN"/>
        </w:rPr>
        <w:t>通过“信用中国”网站（www.creditchina.gov.cn）、“中国政府采购网”网站（www.ccgp.gov.cn）等渠道</w:t>
      </w:r>
      <w:r>
        <w:rPr>
          <w:rFonts w:hint="eastAsia" w:ascii="宋体" w:hAnsi="宋体" w:eastAsia="宋体" w:cs="宋体"/>
          <w:sz w:val="21"/>
          <w:szCs w:val="21"/>
        </w:rPr>
        <w:t>查询</w:t>
      </w:r>
      <w:r>
        <w:rPr>
          <w:rFonts w:hint="eastAsia" w:ascii="宋体" w:hAnsi="宋体" w:eastAsia="宋体" w:cs="宋体"/>
          <w:sz w:val="21"/>
          <w:szCs w:val="21"/>
          <w:lang w:eastAsia="zh-CN"/>
        </w:rPr>
        <w:t>供应商</w:t>
      </w:r>
      <w:r>
        <w:rPr>
          <w:rFonts w:hint="eastAsia" w:ascii="宋体" w:hAnsi="宋体" w:eastAsia="宋体" w:cs="宋体"/>
          <w:sz w:val="21"/>
          <w:szCs w:val="21"/>
        </w:rPr>
        <w:t>的信用记录</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并保存信用记录结果网页截图，拒绝列入失信被执行人名单、重大税收违法失信主体、政府采购严重违法失信行为记录名单中的供应商参加本项目的采购活动。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除单一来源采购项目外，为采购项目提供整体设计、规范编制或者项目管理、监理、检测等服务的供应商，不得再参加该采购项目的其他采购活动。</w:t>
      </w:r>
    </w:p>
    <w:p>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3.4本项目不接受联合体。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三、获取招标文件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lang w:val="en-US" w:eastAsia="zh-CN"/>
        </w:rPr>
        <w:t xml:space="preserve">日，每天上午00:00至12:00，下午12:00至23:59（北京时间，法定节假日除外。）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2.地点：荥阳市公共资源交易平台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4.售价：0元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四、投标截止时间及地点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2.地点：荥阳市公共资源交易平台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五、开标时间及地点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 xml:space="preserve">分（北京时间）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2.地点：荥阳市公共资源交易中心（荥阳市中原路与飞龙路西北角政务服务中心七楼）第</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 xml:space="preserve">开标室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六、发布公告的媒介及招标公告期限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本次招标公告在《河南省政府采购网》《荥阳市政府采购网》《荥阳市公共资源交易中心网站》上发布，招标公告期限为五个工作日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七、其他补充事宜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1.本项目落实政府采购促进中小企业、监狱企业和残疾人福利性单位发展扶持政策、政府采购鼓励采购节能环保产品等相关政府采购政策。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2.本项目支持荥阳市政府采购合同融资政策。</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3.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4.投标文件制作及上传</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4.1获取招标文件后，投标人（供应商）请登陆荥阳市公共资源交易中心网站—下载中心—下载最新版本“投标文件制作软件”制作电子投标文件（具体制作手册请查询交易中心网站-办事指南-《投标文件制作操作手册》）。</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4.2投标人（供应商）须在投标截止时间前登陆荥阳市公共资源交易平台上传加密的电子投标文件。</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5.本项目采购代理服务费收费标准：参考《河南省招标代理服务收费指导意见》（豫招协〔2023〕002号）收费规定，以预算金额为基数，由中标人向采购代理机构支付采购代理服务费。</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6.本项目监督部门为：荥阳市财政局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八、凡对本次招标提出询问，请按照以下方式联系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 采购人信息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荥阳市教育局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地址：荥阳市康泰路与荥泽大道交叉口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周女士</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 xml:space="preserve">0371-64605826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睿群工程咨询有限公司</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河南省郑州市中原区华山路105号芝麻街公园里D区10栋203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周先生</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0371-55068399</w:t>
      </w:r>
      <w:r>
        <w:rPr>
          <w:rFonts w:hint="eastAsia" w:ascii="宋体" w:hAnsi="宋体" w:eastAsia="宋体" w:cs="宋体"/>
          <w:sz w:val="21"/>
          <w:szCs w:val="21"/>
          <w:lang w:val="en-US" w:eastAsia="zh-CN"/>
        </w:rPr>
        <w:t xml:space="preserve"> </w:t>
      </w:r>
    </w:p>
    <w:p>
      <w:pPr>
        <w:pStyle w:val="2"/>
        <w:ind w:firstLine="723" w:firstLineChars="200"/>
        <w:jc w:val="center"/>
        <w:rPr>
          <w:rFonts w:hint="eastAsia" w:ascii="宋体" w:hAnsi="宋体" w:cs="宋体"/>
        </w:rPr>
      </w:pPr>
      <w:r>
        <w:rPr>
          <w:rFonts w:hint="eastAsia" w:ascii="宋体" w:hAnsi="宋体" w:cs="宋体"/>
        </w:rPr>
        <w:br w:type="page"/>
      </w:r>
      <w:bookmarkStart w:id="9" w:name="_Toc8612"/>
      <w:r>
        <w:rPr>
          <w:rFonts w:hint="eastAsia" w:ascii="宋体" w:hAnsi="宋体" w:cs="宋体"/>
          <w:sz w:val="40"/>
          <w:szCs w:val="40"/>
        </w:rPr>
        <w:t>第二章  供应商须知</w:t>
      </w:r>
      <w:bookmarkEnd w:id="6"/>
      <w:bookmarkEnd w:id="7"/>
      <w:bookmarkEnd w:id="8"/>
      <w:bookmarkEnd w:id="9"/>
      <w:bookmarkStart w:id="10" w:name="_Toc152045528"/>
      <w:bookmarkStart w:id="11" w:name="_Toc417997107"/>
      <w:bookmarkStart w:id="12" w:name="_Toc144974496"/>
      <w:bookmarkStart w:id="13" w:name="_Toc152042304"/>
    </w:p>
    <w:p>
      <w:pPr>
        <w:snapToGrid w:val="0"/>
        <w:spacing w:before="120" w:beforeLines="50" w:line="360" w:lineRule="auto"/>
        <w:jc w:val="center"/>
        <w:rPr>
          <w:rFonts w:hint="eastAsia" w:ascii="宋体" w:hAnsi="宋体" w:cs="宋体"/>
          <w:b/>
          <w:bCs/>
          <w:sz w:val="28"/>
          <w:szCs w:val="36"/>
        </w:rPr>
      </w:pPr>
      <w:bookmarkStart w:id="14" w:name="_Toc16338"/>
      <w:r>
        <w:rPr>
          <w:rFonts w:hint="eastAsia" w:ascii="宋体" w:hAnsi="宋体" w:cs="宋体"/>
          <w:b/>
          <w:bCs/>
          <w:sz w:val="28"/>
          <w:szCs w:val="36"/>
        </w:rPr>
        <w:t>供应商须知前附表</w:t>
      </w:r>
      <w:bookmarkEnd w:id="10"/>
      <w:bookmarkEnd w:id="11"/>
      <w:bookmarkEnd w:id="12"/>
      <w:bookmarkEnd w:id="13"/>
      <w:bookmarkEnd w:id="14"/>
    </w:p>
    <w:tbl>
      <w:tblPr>
        <w:tblStyle w:val="43"/>
        <w:tblW w:w="9405" w:type="dxa"/>
        <w:tblInd w:w="108" w:type="dxa"/>
        <w:tblLayout w:type="fixed"/>
        <w:tblCellMar>
          <w:top w:w="0" w:type="dxa"/>
          <w:left w:w="108" w:type="dxa"/>
          <w:bottom w:w="0" w:type="dxa"/>
          <w:right w:w="108" w:type="dxa"/>
        </w:tblCellMar>
      </w:tblPr>
      <w:tblGrid>
        <w:gridCol w:w="913"/>
        <w:gridCol w:w="1913"/>
        <w:gridCol w:w="6579"/>
      </w:tblGrid>
      <w:tr>
        <w:tblPrEx>
          <w:tblCellMar>
            <w:top w:w="0" w:type="dxa"/>
            <w:left w:w="108" w:type="dxa"/>
            <w:bottom w:w="0" w:type="dxa"/>
            <w:right w:w="108" w:type="dxa"/>
          </w:tblCellMar>
        </w:tblPrEx>
        <w:trPr>
          <w:trHeight w:val="517" w:hRule="atLeast"/>
          <w:tblHeader/>
        </w:trPr>
        <w:tc>
          <w:tcPr>
            <w:tcW w:w="913" w:type="dxa"/>
            <w:tcBorders>
              <w:top w:val="double" w:color="auto" w:sz="4"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条款号</w:t>
            </w:r>
          </w:p>
        </w:tc>
        <w:tc>
          <w:tcPr>
            <w:tcW w:w="1913" w:type="dxa"/>
            <w:tcBorders>
              <w:top w:val="double" w:color="auto" w:sz="4"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条款名称</w:t>
            </w:r>
          </w:p>
        </w:tc>
        <w:tc>
          <w:tcPr>
            <w:tcW w:w="6579" w:type="dxa"/>
            <w:tcBorders>
              <w:top w:val="double" w:color="auto" w:sz="4" w:space="0"/>
              <w:left w:val="single" w:color="auto" w:sz="6"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15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szCs w:val="21"/>
                <w:lang w:eastAsia="zh-CN"/>
              </w:rPr>
            </w:pPr>
            <w:r>
              <w:rPr>
                <w:rFonts w:hint="eastAsia" w:ascii="宋体" w:hAnsi="宋体"/>
                <w:szCs w:val="21"/>
              </w:rPr>
              <w:t>采购人名称：</w:t>
            </w:r>
            <w:r>
              <w:rPr>
                <w:rFonts w:hint="eastAsia" w:ascii="宋体" w:hAnsi="宋体"/>
                <w:szCs w:val="21"/>
                <w:lang w:eastAsia="zh-CN"/>
              </w:rPr>
              <w:t>荥阳市教育局</w:t>
            </w:r>
          </w:p>
          <w:p>
            <w:pPr>
              <w:spacing w:line="400" w:lineRule="exact"/>
              <w:rPr>
                <w:rFonts w:hint="eastAsia" w:ascii="宋体" w:hAnsi="宋体"/>
                <w:szCs w:val="21"/>
              </w:rPr>
            </w:pPr>
            <w:r>
              <w:rPr>
                <w:rFonts w:hint="eastAsia" w:ascii="宋体" w:hAnsi="宋体"/>
                <w:szCs w:val="21"/>
              </w:rPr>
              <w:t>地址：</w:t>
            </w:r>
            <w:r>
              <w:rPr>
                <w:rFonts w:hint="eastAsia" w:ascii="宋体" w:hAnsi="宋体"/>
                <w:szCs w:val="24"/>
              </w:rPr>
              <w:t>荥阳市康泰路与荥泽大道交叉口</w:t>
            </w:r>
          </w:p>
          <w:p>
            <w:pPr>
              <w:spacing w:line="360" w:lineRule="auto"/>
              <w:ind w:left="0" w:leftChars="0" w:firstLine="0" w:firstLineChars="0"/>
              <w:jc w:val="both"/>
              <w:rPr>
                <w:rFonts w:hint="eastAsia"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eastAsia="zh-CN"/>
              </w:rPr>
              <w:t>周女士</w:t>
            </w:r>
          </w:p>
          <w:p>
            <w:pPr>
              <w:spacing w:line="360" w:lineRule="auto"/>
              <w:jc w:val="left"/>
              <w:rPr>
                <w:rFonts w:ascii="宋体" w:hAnsi="宋体" w:cs="宋体"/>
              </w:rPr>
            </w:pPr>
            <w:r>
              <w:rPr>
                <w:rFonts w:hint="eastAsia" w:ascii="宋体" w:hAnsi="宋体" w:cs="宋体"/>
                <w:highlight w:val="none"/>
              </w:rPr>
              <w:t>电 话：</w:t>
            </w:r>
            <w:r>
              <w:rPr>
                <w:rFonts w:hint="eastAsia" w:ascii="宋体" w:hAnsi="宋体" w:cs="宋体"/>
                <w:highlight w:val="none"/>
                <w:lang w:val="en-US" w:eastAsia="zh-CN"/>
              </w:rPr>
              <w:t>0371</w:t>
            </w:r>
            <w:r>
              <w:rPr>
                <w:rFonts w:hint="eastAsia" w:ascii="宋体" w:hAnsi="宋体" w:cs="宋体"/>
                <w:lang w:val="en-US" w:eastAsia="zh-CN"/>
              </w:rPr>
              <w:t>-64605826</w:t>
            </w:r>
          </w:p>
        </w:tc>
      </w:tr>
      <w:tr>
        <w:tblPrEx>
          <w:tblCellMar>
            <w:top w:w="0" w:type="dxa"/>
            <w:left w:w="108" w:type="dxa"/>
            <w:bottom w:w="0" w:type="dxa"/>
            <w:right w:w="108" w:type="dxa"/>
          </w:tblCellMar>
        </w:tblPrEx>
        <w:trPr>
          <w:trHeight w:val="165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采购代理机构</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ascii="宋体" w:hAnsi="宋体" w:cs="宋体"/>
                <w:lang w:eastAsia="zh-CN"/>
              </w:rPr>
            </w:pPr>
            <w:r>
              <w:rPr>
                <w:rFonts w:hint="eastAsia" w:ascii="宋体" w:hAnsi="宋体" w:cs="宋体"/>
                <w:lang w:eastAsia="zh-CN"/>
              </w:rPr>
              <w:t>名    称：睿群工程咨询有限公司</w:t>
            </w:r>
          </w:p>
          <w:p>
            <w:pPr>
              <w:spacing w:line="360" w:lineRule="auto"/>
              <w:rPr>
                <w:rFonts w:ascii="宋体" w:hAnsi="宋体" w:cs="宋体"/>
                <w:lang w:eastAsia="zh-CN"/>
              </w:rPr>
            </w:pPr>
            <w:r>
              <w:rPr>
                <w:rFonts w:hint="eastAsia" w:ascii="宋体" w:hAnsi="宋体" w:cs="宋体"/>
                <w:lang w:eastAsia="zh-CN"/>
              </w:rPr>
              <w:t>地　　址：河南省郑州市中原区华山路105号芝麻街公园里D区10栋203</w:t>
            </w:r>
          </w:p>
          <w:p>
            <w:pPr>
              <w:spacing w:line="360" w:lineRule="auto"/>
              <w:rPr>
                <w:rFonts w:hint="default" w:ascii="宋体" w:hAnsi="宋体" w:cs="宋体"/>
                <w:lang w:val="en-US" w:eastAsia="zh-CN"/>
              </w:rPr>
            </w:pPr>
            <w:r>
              <w:rPr>
                <w:rFonts w:hint="eastAsia" w:ascii="宋体" w:hAnsi="宋体" w:cs="宋体"/>
                <w:lang w:eastAsia="zh-CN"/>
              </w:rPr>
              <w:t>联 系 人：</w:t>
            </w:r>
            <w:r>
              <w:rPr>
                <w:rFonts w:hint="eastAsia" w:ascii="宋体" w:hAnsi="宋体" w:cs="宋体"/>
                <w:lang w:val="en-US" w:eastAsia="zh-CN"/>
              </w:rPr>
              <w:t>周先生</w:t>
            </w:r>
          </w:p>
          <w:p>
            <w:pPr>
              <w:spacing w:line="360" w:lineRule="auto"/>
              <w:rPr>
                <w:rFonts w:ascii="宋体" w:hAnsi="宋体" w:cs="宋体"/>
                <w:szCs w:val="21"/>
              </w:rPr>
            </w:pPr>
            <w:r>
              <w:rPr>
                <w:rFonts w:hint="eastAsia" w:ascii="宋体" w:hAnsi="宋体" w:cs="宋体"/>
                <w:lang w:eastAsia="zh-CN"/>
              </w:rPr>
              <w:t>联系方式： 0371-55068399</w:t>
            </w:r>
          </w:p>
        </w:tc>
      </w:tr>
      <w:tr>
        <w:tblPrEx>
          <w:tblCellMar>
            <w:top w:w="0" w:type="dxa"/>
            <w:left w:w="108" w:type="dxa"/>
            <w:bottom w:w="0" w:type="dxa"/>
            <w:right w:w="108" w:type="dxa"/>
          </w:tblCellMar>
        </w:tblPrEx>
        <w:trPr>
          <w:trHeight w:val="69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项目名称</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rPr>
                <w:rFonts w:hint="eastAsia"/>
                <w:lang w:eastAsia="zh-CN"/>
              </w:rPr>
            </w:pPr>
            <w:r>
              <w:rPr>
                <w:rFonts w:hint="eastAsia"/>
                <w:lang w:eastAsia="zh-CN"/>
              </w:rPr>
              <w:t xml:space="preserve">荥阳市教育局2022年义务教育薄弱环节改善与能力提升设施设备购置项目 </w:t>
            </w:r>
          </w:p>
        </w:tc>
      </w:tr>
      <w:tr>
        <w:tblPrEx>
          <w:tblCellMar>
            <w:top w:w="0" w:type="dxa"/>
            <w:left w:w="108" w:type="dxa"/>
            <w:bottom w:w="0" w:type="dxa"/>
            <w:right w:w="108" w:type="dxa"/>
          </w:tblCellMar>
        </w:tblPrEx>
        <w:trPr>
          <w:trHeight w:val="62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1.2.4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包段划分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76" w:lineRule="auto"/>
              <w:jc w:val="left"/>
              <w:rPr>
                <w:rFonts w:hint="default" w:ascii="宋体" w:hAnsi="宋体" w:eastAsia="宋体" w:cs="宋体"/>
                <w:bCs/>
                <w:szCs w:val="21"/>
                <w:lang w:val="en-US" w:eastAsia="zh-CN"/>
              </w:rPr>
            </w:pPr>
            <w:r>
              <w:rPr>
                <w:rFonts w:hint="eastAsia" w:ascii="宋体" w:hAnsi="宋体" w:cs="宋体"/>
                <w:bCs/>
                <w:szCs w:val="21"/>
                <w:lang w:val="en-US" w:eastAsia="zh-CN"/>
              </w:rPr>
              <w:t>四个标段</w:t>
            </w:r>
          </w:p>
        </w:tc>
      </w:tr>
      <w:tr>
        <w:tblPrEx>
          <w:tblCellMar>
            <w:top w:w="0" w:type="dxa"/>
            <w:left w:w="108" w:type="dxa"/>
            <w:bottom w:w="0" w:type="dxa"/>
            <w:right w:w="108" w:type="dxa"/>
          </w:tblCellMar>
        </w:tblPrEx>
        <w:trPr>
          <w:trHeight w:val="575"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采购内容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cs="宋体"/>
                <w:kern w:val="0"/>
                <w:szCs w:val="21"/>
              </w:rPr>
            </w:pPr>
            <w:r>
              <w:rPr>
                <w:rFonts w:hint="eastAsia" w:ascii="宋体" w:hAnsi="宋体" w:cs="宋体"/>
                <w:kern w:val="0"/>
                <w:szCs w:val="21"/>
                <w:lang w:val="en-US" w:eastAsia="zh-CN"/>
              </w:rPr>
              <w:t>一标段：录播教室设备采购；二标段：计算机教室设备采购；三标段：人工智能创客实验室设备采购；四标段：智慧黑板。</w:t>
            </w:r>
          </w:p>
        </w:tc>
      </w:tr>
      <w:tr>
        <w:tblPrEx>
          <w:tblCellMar>
            <w:top w:w="0" w:type="dxa"/>
            <w:left w:w="108" w:type="dxa"/>
            <w:bottom w:w="0" w:type="dxa"/>
            <w:right w:w="108" w:type="dxa"/>
          </w:tblCellMar>
        </w:tblPrEx>
        <w:trPr>
          <w:trHeight w:val="58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交货地点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bCs/>
                <w:szCs w:val="21"/>
              </w:rPr>
              <w:t>采购人指定地点</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lang w:val="en-US" w:eastAsia="zh-CN"/>
              </w:rPr>
              <w:t>交货期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eastAsia="宋体" w:cs="宋体"/>
                <w:b w:val="0"/>
                <w:bCs w:val="0"/>
                <w:color w:val="auto"/>
                <w:sz w:val="21"/>
                <w:szCs w:val="21"/>
                <w:highlight w:val="none"/>
                <w:shd w:val="clear" w:color="auto" w:fill="FFFFFF"/>
                <w:lang w:val="en-US" w:eastAsia="zh-CN"/>
              </w:rPr>
              <w:t>签订合同后30日历天内（含安装、调试）</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4</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质量标准</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eastAsia="宋体" w:cs="宋体"/>
                <w:szCs w:val="21"/>
                <w:lang w:eastAsia="zh-CN"/>
              </w:rPr>
            </w:pPr>
            <w:r>
              <w:rPr>
                <w:rFonts w:hint="eastAsia" w:ascii="宋体" w:hAnsi="宋体" w:cs="宋体"/>
                <w:szCs w:val="21"/>
              </w:rPr>
              <w:t>1.3.</w:t>
            </w:r>
            <w:r>
              <w:rPr>
                <w:rFonts w:hint="eastAsia" w:ascii="宋体" w:hAnsi="宋体" w:cs="宋体"/>
                <w:szCs w:val="21"/>
                <w:lang w:val="en-US" w:eastAsia="zh-CN"/>
              </w:rPr>
              <w:t>5</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szCs w:val="21"/>
              </w:rPr>
              <w:t>质保期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left="0" w:leftChars="0" w:firstLine="0" w:firstLineChars="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符合国家及行业相关标准和采购人要求，没有相关标准的不低于24个月；</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szCs w:val="21"/>
              </w:rPr>
            </w:pPr>
            <w:r>
              <w:rPr>
                <w:rFonts w:hint="eastAsia" w:ascii="宋体" w:hAnsi="宋体" w:cs="宋体"/>
                <w:bCs w:val="0"/>
                <w:szCs w:val="24"/>
              </w:rPr>
              <w:t>合同履行期限</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CellMar>
            <w:top w:w="0" w:type="dxa"/>
            <w:left w:w="108" w:type="dxa"/>
            <w:bottom w:w="0" w:type="dxa"/>
            <w:right w:w="108" w:type="dxa"/>
          </w:tblCellMar>
        </w:tblPrEx>
        <w:trPr>
          <w:trHeight w:val="568"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default" w:ascii="宋体" w:hAnsi="宋体" w:cs="宋体"/>
                <w:szCs w:val="21"/>
                <w:lang w:val="en-US" w:eastAsia="zh-CN"/>
              </w:rPr>
            </w:pPr>
            <w:r>
              <w:rPr>
                <w:rFonts w:hint="eastAsia" w:ascii="宋体" w:hAnsi="宋体" w:cs="宋体"/>
                <w:szCs w:val="21"/>
                <w:lang w:val="en-US" w:eastAsia="zh-CN"/>
              </w:rPr>
              <w:t>1.3.7</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tabs>
                <w:tab w:val="left" w:pos="1425"/>
              </w:tabs>
              <w:jc w:val="center"/>
              <w:rPr>
                <w:rFonts w:hint="eastAsia" w:ascii="宋体" w:hAnsi="宋体" w:eastAsia="宋体" w:cs="宋体"/>
                <w:bCs w:val="0"/>
                <w:sz w:val="21"/>
                <w:szCs w:val="21"/>
              </w:rPr>
            </w:pPr>
            <w:r>
              <w:rPr>
                <w:rFonts w:hint="eastAsia" w:ascii="宋体" w:hAnsi="宋体" w:eastAsia="宋体" w:cs="宋体"/>
                <w:sz w:val="21"/>
                <w:szCs w:val="21"/>
              </w:rPr>
              <w:t>是否有政府强制采购的节能产品</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有，</w:t>
            </w:r>
            <w:r>
              <w:rPr>
                <w:rFonts w:hint="eastAsia" w:ascii="宋体" w:hAnsi="宋体" w:eastAsia="宋体" w:cs="宋体"/>
                <w:color w:val="auto"/>
                <w:sz w:val="21"/>
                <w:szCs w:val="21"/>
                <w:highlight w:val="none"/>
                <w:lang w:val="en-US" w:eastAsia="zh-CN"/>
              </w:rPr>
              <w:t>具体产品为</w:t>
            </w:r>
            <w:r>
              <w:rPr>
                <w:rFonts w:hint="eastAsia" w:ascii="宋体" w:hAnsi="宋体" w:eastAsia="宋体" w:cs="宋体"/>
                <w:color w:val="auto"/>
                <w:sz w:val="21"/>
                <w:szCs w:val="21"/>
                <w:highlight w:val="none"/>
                <w:u w:val="single"/>
                <w:lang w:val="en-US" w:eastAsia="zh-CN"/>
              </w:rPr>
              <w:t xml:space="preserve"> 台式计算机、便携式计算机 </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注：财政部生态环境部关于印发节能产品政府采购品目清单的通知（财库〔2019〕19号）★A02010104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空调机★电热水器★普通照明用双端荧光灯★A020910 电视设备★A020911 视频设备★A060805 便 器★A060806 水嘴等为政府强制采购产品</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招标文件第三章货物需求</w:t>
            </w:r>
            <w:r>
              <w:rPr>
                <w:rFonts w:hint="eastAsia" w:ascii="宋体" w:hAnsi="宋体" w:eastAsia="宋体" w:cs="宋体"/>
                <w:color w:val="auto"/>
                <w:sz w:val="21"/>
                <w:szCs w:val="21"/>
                <w:highlight w:val="none"/>
                <w:lang w:val="en-US" w:eastAsia="zh-CN"/>
              </w:rPr>
              <w:t>如有上述产品，供应商投报产品应当取得国家确定的认证机构出具的、处于有效期之内的节能产品认证证书，否则，其投标文件无效。</w:t>
            </w:r>
          </w:p>
        </w:tc>
      </w:tr>
      <w:tr>
        <w:tblPrEx>
          <w:tblCellMar>
            <w:top w:w="0" w:type="dxa"/>
            <w:left w:w="108" w:type="dxa"/>
            <w:bottom w:w="0" w:type="dxa"/>
            <w:right w:w="108" w:type="dxa"/>
          </w:tblCellMar>
        </w:tblPrEx>
        <w:trPr>
          <w:trHeight w:val="60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供应商资格要求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numPr>
                <w:ilvl w:val="0"/>
                <w:numId w:val="2"/>
              </w:numPr>
              <w:spacing w:line="360" w:lineRule="auto"/>
              <w:rPr>
                <w:rFonts w:hint="eastAsia"/>
              </w:rPr>
            </w:pP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spacing w:line="360" w:lineRule="auto"/>
              <w:rPr>
                <w:rFonts w:hint="eastAsia" w:ascii="宋体" w:hAnsi="宋体" w:cs="宋体"/>
                <w:szCs w:val="21"/>
              </w:rPr>
            </w:pPr>
            <w:r>
              <w:rPr>
                <w:rFonts w:hint="eastAsia"/>
                <w:lang w:val="en-US" w:eastAsia="zh-CN"/>
              </w:rPr>
              <w:t>3.4本项目不接受联合体。</w:t>
            </w:r>
            <w:r>
              <w:rPr>
                <w:rFonts w:hint="eastAsia" w:ascii="宋体" w:hAnsi="宋体" w:cs="宋体"/>
                <w:color w:val="auto"/>
                <w:szCs w:val="21"/>
                <w:highlight w:val="none"/>
              </w:rPr>
              <w:t>（提供承诺函）</w:t>
            </w:r>
          </w:p>
        </w:tc>
      </w:tr>
      <w:tr>
        <w:tblPrEx>
          <w:tblCellMar>
            <w:top w:w="0" w:type="dxa"/>
            <w:left w:w="108" w:type="dxa"/>
            <w:bottom w:w="0" w:type="dxa"/>
            <w:right w:w="108" w:type="dxa"/>
          </w:tblCellMar>
        </w:tblPrEx>
        <w:trPr>
          <w:trHeight w:val="39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1.4.2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是否接受</w:t>
            </w:r>
          </w:p>
          <w:p>
            <w:pPr>
              <w:spacing w:line="276" w:lineRule="auto"/>
              <w:jc w:val="center"/>
              <w:rPr>
                <w:rFonts w:hint="eastAsia" w:ascii="宋体" w:hAnsi="宋体" w:cs="宋体"/>
                <w:szCs w:val="21"/>
              </w:rPr>
            </w:pPr>
            <w:r>
              <w:rPr>
                <w:rFonts w:hint="eastAsia" w:ascii="宋体" w:hAnsi="宋体" w:cs="宋体"/>
                <w:szCs w:val="21"/>
              </w:rPr>
              <w:t>联合体投标</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不接受</w:t>
            </w:r>
          </w:p>
        </w:tc>
      </w:tr>
      <w:tr>
        <w:tblPrEx>
          <w:tblCellMar>
            <w:top w:w="0" w:type="dxa"/>
            <w:left w:w="108" w:type="dxa"/>
            <w:bottom w:w="0" w:type="dxa"/>
            <w:right w:w="108" w:type="dxa"/>
          </w:tblCellMar>
        </w:tblPrEx>
        <w:trPr>
          <w:trHeight w:val="56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1.9.1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投标预备会</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不召开</w:t>
            </w:r>
          </w:p>
        </w:tc>
      </w:tr>
      <w:tr>
        <w:tblPrEx>
          <w:tblCellMar>
            <w:top w:w="0" w:type="dxa"/>
            <w:left w:w="108" w:type="dxa"/>
            <w:bottom w:w="0" w:type="dxa"/>
            <w:right w:w="108" w:type="dxa"/>
          </w:tblCellMar>
        </w:tblPrEx>
        <w:trPr>
          <w:trHeight w:val="564"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分包</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构成招标文件的其他材料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除招标文件外，采购人根据本章第1.9款、第2.2款和第2.3款对招标文件所作的澄清、修改，均构成招标文件的组成部分</w:t>
            </w:r>
          </w:p>
        </w:tc>
      </w:tr>
      <w:tr>
        <w:tblPrEx>
          <w:tblCellMar>
            <w:top w:w="0" w:type="dxa"/>
            <w:left w:w="108" w:type="dxa"/>
            <w:bottom w:w="0" w:type="dxa"/>
            <w:right w:w="108" w:type="dxa"/>
          </w:tblCellMar>
        </w:tblPrEx>
        <w:trPr>
          <w:trHeight w:val="318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供应商要求澄清招标文件的截止时间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供应商如对招标文件有疑问，</w:t>
            </w:r>
            <w:r>
              <w:rPr>
                <w:rFonts w:hint="eastAsia" w:ascii="宋体" w:hAnsi="宋体" w:eastAsia="宋体" w:cs="宋体"/>
                <w:szCs w:val="21"/>
              </w:rPr>
              <w:t>应在自获取招标文件之日或招标文件公告期限届满之日起七（7）个工作日内在</w:t>
            </w:r>
            <w:r>
              <w:rPr>
                <w:rFonts w:hint="eastAsia" w:ascii="宋体" w:hAnsi="宋体" w:eastAsia="宋体" w:cs="宋体"/>
                <w:szCs w:val="21"/>
                <w:lang w:val="en-US" w:eastAsia="zh-CN"/>
              </w:rPr>
              <w:t>请登录“荥阳市公共资源交易中心网站”提出</w:t>
            </w:r>
            <w:r>
              <w:rPr>
                <w:rFonts w:hint="eastAsia" w:ascii="宋体" w:hAnsi="宋体" w:eastAsia="宋体" w:cs="宋体"/>
                <w:szCs w:val="21"/>
              </w:rPr>
              <w:t>，要求采购人对招标文件予以澄清。</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是否刊登本项目招标文件澄清文件，并自行下载，如由于供应商未看到澄清文件而带来的风险，采购人和采购代理机构不承担任何责任。</w:t>
            </w:r>
          </w:p>
        </w:tc>
      </w:tr>
      <w:tr>
        <w:tblPrEx>
          <w:tblCellMar>
            <w:top w:w="0" w:type="dxa"/>
            <w:left w:w="108" w:type="dxa"/>
            <w:bottom w:w="0" w:type="dxa"/>
            <w:right w:w="108" w:type="dxa"/>
          </w:tblCellMar>
        </w:tblPrEx>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供应商确认收到招标文件澄清的时间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384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2.3.1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招标文件修改发出的形式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ordWrap w:val="0"/>
              <w:adjustRightInd w:val="0"/>
              <w:spacing w:line="360" w:lineRule="auto"/>
              <w:jc w:val="left"/>
              <w:textAlignment w:val="baseline"/>
              <w:rPr>
                <w:rFonts w:hint="eastAsia" w:ascii="宋体" w:hAnsi="宋体" w:cs="宋体"/>
                <w:szCs w:val="21"/>
              </w:rPr>
            </w:pPr>
            <w:r>
              <w:rPr>
                <w:rFonts w:hint="eastAsia" w:ascii="宋体" w:hAnsi="宋体" w:cs="宋体"/>
                <w:szCs w:val="21"/>
              </w:rPr>
              <w:t>采购人可以对已发出的招标文件进行必要的修改。修改的内容可能影响投标文件编制的，采购人应当在投标截止时间至少15日前，上传到</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，供应商凭CA锁进行网上下载,并在原招标公告发布媒介上发布更正公告；不足15日的，采购人应当顺延提交投标文件的截止时间。</w:t>
            </w:r>
          </w:p>
          <w:p>
            <w:pPr>
              <w:adjustRightInd w:val="0"/>
              <w:spacing w:line="360" w:lineRule="auto"/>
              <w:textAlignment w:val="baseline"/>
              <w:rPr>
                <w:rFonts w:hint="eastAsia" w:ascii="宋体" w:hAnsi="宋体" w:cs="宋体"/>
                <w:szCs w:val="21"/>
              </w:rPr>
            </w:pPr>
            <w:r>
              <w:rPr>
                <w:rFonts w:hint="eastAsia" w:ascii="宋体" w:hAnsi="宋体" w:cs="宋体"/>
                <w:b/>
                <w:bCs/>
                <w:szCs w:val="21"/>
              </w:rPr>
              <w:t>备注：</w:t>
            </w:r>
            <w:r>
              <w:rPr>
                <w:rFonts w:hint="eastAsia" w:ascii="宋体" w:hAnsi="宋体" w:cs="宋体"/>
                <w:szCs w:val="21"/>
              </w:rPr>
              <w:t>供应商应在投标截止时间前每日关注“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是否刊登本项目招标文件修改文件，并自行下载，如由于供应商未看到修改文件而带来的风险，采购人和采购代理机构不承担任何责任。</w:t>
            </w:r>
          </w:p>
        </w:tc>
      </w:tr>
      <w:tr>
        <w:tblPrEx>
          <w:tblCellMar>
            <w:top w:w="0" w:type="dxa"/>
            <w:left w:w="108" w:type="dxa"/>
            <w:bottom w:w="0" w:type="dxa"/>
            <w:right w:w="108" w:type="dxa"/>
          </w:tblCellMar>
        </w:tblPrEx>
        <w:trPr>
          <w:trHeight w:val="80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2.3.2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供应商确认收到招标文件修改的时间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无需确认</w:t>
            </w:r>
          </w:p>
        </w:tc>
      </w:tr>
      <w:tr>
        <w:tblPrEx>
          <w:tblCellMar>
            <w:top w:w="0" w:type="dxa"/>
            <w:left w:w="108" w:type="dxa"/>
            <w:bottom w:w="0" w:type="dxa"/>
            <w:right w:w="108" w:type="dxa"/>
          </w:tblCellMar>
        </w:tblPrEx>
        <w:trPr>
          <w:trHeight w:val="81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构成投标文件的其他材料</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供应商认为需要提交的其他证明材料</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投标报价</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报价唯一</w:t>
            </w:r>
          </w:p>
        </w:tc>
      </w:tr>
      <w:tr>
        <w:tblPrEx>
          <w:tblCellMar>
            <w:top w:w="0" w:type="dxa"/>
            <w:left w:w="108" w:type="dxa"/>
            <w:bottom w:w="0" w:type="dxa"/>
            <w:right w:w="108" w:type="dxa"/>
          </w:tblCellMar>
        </w:tblPrEx>
        <w:trPr>
          <w:trHeight w:val="53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3.3.1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投标有效期</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投标文件递交截止之日起 60 日历天</w:t>
            </w:r>
          </w:p>
        </w:tc>
      </w:tr>
      <w:tr>
        <w:tblPrEx>
          <w:tblCellMar>
            <w:top w:w="0" w:type="dxa"/>
            <w:left w:w="108" w:type="dxa"/>
            <w:bottom w:w="0" w:type="dxa"/>
            <w:right w:w="108" w:type="dxa"/>
          </w:tblCellMar>
        </w:tblPrEx>
        <w:trPr>
          <w:trHeight w:val="872"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3.4.1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cs="宋体"/>
                <w:color w:val="000000"/>
                <w:szCs w:val="21"/>
              </w:rPr>
            </w:pPr>
            <w:r>
              <w:rPr>
                <w:rFonts w:hint="eastAsia" w:ascii="宋体" w:hAnsi="宋体" w:cs="宋体"/>
                <w:color w:val="000000"/>
                <w:szCs w:val="21"/>
              </w:rPr>
              <w:t>投标保证金</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根据《河南省财政厅关于优化政府采购营商环境有关问题的 通知》【豫财购[2019]4号】文件的要求，本项目不收取投标保证金。</w:t>
            </w:r>
          </w:p>
        </w:tc>
      </w:tr>
      <w:tr>
        <w:tblPrEx>
          <w:tblCellMar>
            <w:top w:w="0" w:type="dxa"/>
            <w:left w:w="108" w:type="dxa"/>
            <w:bottom w:w="0" w:type="dxa"/>
            <w:right w:w="108" w:type="dxa"/>
          </w:tblCellMar>
        </w:tblPrEx>
        <w:trPr>
          <w:trHeight w:val="9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3.6</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是否允许递交</w:t>
            </w:r>
          </w:p>
          <w:p>
            <w:pPr>
              <w:spacing w:line="276" w:lineRule="auto"/>
              <w:jc w:val="center"/>
              <w:rPr>
                <w:rFonts w:hint="eastAsia" w:ascii="宋体" w:hAnsi="宋体" w:cs="宋体"/>
                <w:szCs w:val="21"/>
              </w:rPr>
            </w:pPr>
            <w:r>
              <w:rPr>
                <w:rFonts w:hint="eastAsia" w:ascii="宋体" w:hAnsi="宋体" w:cs="宋体"/>
                <w:szCs w:val="21"/>
              </w:rPr>
              <w:t>备选投标方案</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不允许</w:t>
            </w:r>
          </w:p>
        </w:tc>
      </w:tr>
      <w:tr>
        <w:tblPrEx>
          <w:tblCellMar>
            <w:top w:w="0" w:type="dxa"/>
            <w:left w:w="108" w:type="dxa"/>
            <w:bottom w:w="0" w:type="dxa"/>
            <w:right w:w="108" w:type="dxa"/>
          </w:tblCellMar>
        </w:tblPrEx>
        <w:trPr>
          <w:trHeight w:val="2713"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3.7.3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签字或盖章要求</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38" w:leftChars="18"/>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szCs w:val="21"/>
              </w:rPr>
              <w:t>（1）</w:t>
            </w:r>
            <w:r>
              <w:rPr>
                <w:rFonts w:hint="eastAsia" w:ascii="宋体" w:hAnsi="宋体" w:eastAsia="宋体" w:cs="宋体"/>
                <w:color w:val="auto"/>
                <w:sz w:val="21"/>
                <w:szCs w:val="21"/>
                <w:highlight w:val="none"/>
                <w:shd w:val="clear" w:color="auto" w:fill="auto"/>
                <w:lang w:val="en-US" w:eastAsia="zh-CN"/>
              </w:rPr>
              <w:t>所有要求投标人加盖公章的地方均用投标人的CA锁进行电子签章。</w:t>
            </w:r>
          </w:p>
          <w:p>
            <w:pPr>
              <w:spacing w:line="360" w:lineRule="auto"/>
              <w:jc w:val="left"/>
              <w:rPr>
                <w:rFonts w:hint="eastAsia" w:ascii="宋体" w:hAnsi="宋体" w:cs="宋体"/>
                <w:szCs w:val="21"/>
              </w:rPr>
            </w:pPr>
            <w:r>
              <w:rPr>
                <w:rFonts w:hint="eastAsia" w:ascii="宋体" w:hAnsi="宋体" w:cs="宋体"/>
                <w:szCs w:val="21"/>
              </w:rPr>
              <w:t>（2）所有要求法定代表人（单位负责人）或其委托代理人签字（或盖章）的地方都须加盖法定代表人（单位负责人）或其委托代理人的CA印章。（若未加盖法定代表人（单位负责人）或其委托代理人CA印章，可在纸质文件上签字（或盖章）后扫描上传）。</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投标文件上传/递交截止时间</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288" w:lineRule="auto"/>
              <w:ind w:firstLine="170" w:firstLineChars="81"/>
              <w:rPr>
                <w:rFonts w:hint="eastAsia" w:ascii="宋体" w:hAnsi="宋体" w:cs="宋体"/>
                <w:color w:val="FF0000"/>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tblPrEx>
          <w:tblCellMar>
            <w:top w:w="0" w:type="dxa"/>
            <w:left w:w="108" w:type="dxa"/>
            <w:bottom w:w="0" w:type="dxa"/>
            <w:right w:w="108" w:type="dxa"/>
          </w:tblCellMar>
        </w:tblPrEx>
        <w:trPr>
          <w:trHeight w:val="37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88" w:lineRule="auto"/>
              <w:jc w:val="center"/>
              <w:rPr>
                <w:rFonts w:hint="eastAsia" w:ascii="宋体" w:hAnsi="宋体" w:cs="宋体"/>
                <w:szCs w:val="21"/>
              </w:rPr>
            </w:pPr>
            <w:r>
              <w:rPr>
                <w:rFonts w:hint="eastAsia" w:ascii="宋体" w:hAnsi="宋体" w:cs="宋体"/>
                <w:spacing w:val="1"/>
                <w:kern w:val="0"/>
                <w:szCs w:val="21"/>
              </w:rPr>
              <w:t>投标文件上传/递交地点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default" w:ascii="宋体" w:hAnsi="宋体" w:cs="宋体"/>
                <w:szCs w:val="21"/>
                <w:highlight w:val="none"/>
                <w:lang w:val="en-US"/>
              </w:rPr>
            </w:pPr>
            <w:r>
              <w:rPr>
                <w:rFonts w:hint="eastAsia" w:ascii="宋体" w:hAnsi="宋体" w:eastAsia="宋体" w:cs="宋体"/>
                <w:b w:val="0"/>
                <w:bCs w:val="0"/>
                <w:color w:val="auto"/>
                <w:sz w:val="21"/>
                <w:szCs w:val="21"/>
                <w:highlight w:val="none"/>
                <w:lang w:eastAsia="zh-CN"/>
              </w:rPr>
              <w:t>加密电子投标文件须</w:t>
            </w:r>
            <w:r>
              <w:rPr>
                <w:rFonts w:hint="eastAsia" w:ascii="宋体" w:hAnsi="宋体" w:eastAsia="宋体" w:cs="宋体"/>
                <w:b w:val="0"/>
                <w:bCs w:val="0"/>
                <w:color w:val="auto"/>
                <w:sz w:val="21"/>
                <w:szCs w:val="21"/>
                <w:highlight w:val="none"/>
              </w:rPr>
              <w:t>通过</w:t>
            </w:r>
            <w:r>
              <w:rPr>
                <w:rFonts w:hint="eastAsia" w:ascii="宋体" w:hAnsi="宋体" w:eastAsia="宋体" w:cs="宋体"/>
                <w:color w:val="auto"/>
                <w:sz w:val="21"/>
                <w:szCs w:val="21"/>
                <w:highlight w:val="none"/>
                <w:lang w:val="en-US" w:eastAsia="zh-CN"/>
              </w:rPr>
              <w:t>荥阳市公共资源交易中心平台</w:t>
            </w:r>
            <w:r>
              <w:rPr>
                <w:rFonts w:hint="eastAsia" w:ascii="宋体" w:hAnsi="宋体" w:eastAsia="宋体" w:cs="宋体"/>
                <w:b w:val="0"/>
                <w:bCs w:val="0"/>
                <w:color w:val="auto"/>
                <w:sz w:val="21"/>
                <w:szCs w:val="21"/>
                <w:highlight w:val="none"/>
                <w:lang w:eastAsia="zh-CN"/>
              </w:rPr>
              <w:t>加密上传。</w:t>
            </w:r>
          </w:p>
          <w:p>
            <w:pPr>
              <w:spacing w:line="360" w:lineRule="auto"/>
              <w:ind w:right="105" w:rightChars="50"/>
              <w:jc w:val="left"/>
              <w:rPr>
                <w:rFonts w:hint="eastAsia"/>
                <w:highlight w:val="none"/>
              </w:rPr>
            </w:pPr>
            <w:r>
              <w:rPr>
                <w:rFonts w:hint="eastAsia" w:ascii="宋体" w:hAnsi="宋体" w:cs="宋体"/>
                <w:b/>
                <w:bCs/>
                <w:szCs w:val="21"/>
                <w:highlight w:val="none"/>
              </w:rPr>
              <w:t>特别提醒：</w:t>
            </w:r>
            <w:r>
              <w:rPr>
                <w:rFonts w:hint="eastAsia" w:ascii="宋体" w:hAnsi="宋体" w:cs="宋体"/>
                <w:szCs w:val="21"/>
                <w:highlight w:val="none"/>
              </w:rPr>
              <w:t>上传文件建议在截止日前1-2日内完成，以避免网络拥堵或其他原因造成上传失败，由于投标文件未按时提交所造成的后果由供应商自行承担。</w:t>
            </w:r>
          </w:p>
        </w:tc>
      </w:tr>
      <w:tr>
        <w:tblPrEx>
          <w:tblCellMar>
            <w:top w:w="0" w:type="dxa"/>
            <w:left w:w="108" w:type="dxa"/>
            <w:bottom w:w="0" w:type="dxa"/>
            <w:right w:w="108" w:type="dxa"/>
          </w:tblCellMar>
        </w:tblPrEx>
        <w:trPr>
          <w:trHeight w:val="67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4.2.3</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是否退还投标文件</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6"/>
              <w:topLinePunct/>
              <w:adjustRightInd w:val="0"/>
              <w:spacing w:line="276" w:lineRule="auto"/>
              <w:textAlignment w:val="baseline"/>
              <w:rPr>
                <w:rFonts w:hint="eastAsia" w:ascii="宋体" w:hAnsi="宋体" w:cs="宋体"/>
                <w:sz w:val="21"/>
                <w:szCs w:val="21"/>
              </w:rPr>
            </w:pPr>
            <w:r>
              <w:rPr>
                <w:rFonts w:hint="eastAsia" w:ascii="宋体" w:hAnsi="宋体" w:cs="宋体"/>
                <w:sz w:val="21"/>
                <w:szCs w:val="21"/>
              </w:rPr>
              <w:t>否</w:t>
            </w:r>
          </w:p>
        </w:tc>
      </w:tr>
      <w:tr>
        <w:tblPrEx>
          <w:tblCellMar>
            <w:top w:w="0" w:type="dxa"/>
            <w:left w:w="108" w:type="dxa"/>
            <w:bottom w:w="0" w:type="dxa"/>
            <w:right w:w="108" w:type="dxa"/>
          </w:tblCellMar>
        </w:tblPrEx>
        <w:trPr>
          <w:trHeight w:val="1387"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开标时间和地点</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ind w:right="105" w:rightChars="50"/>
              <w:jc w:val="left"/>
              <w:rPr>
                <w:rFonts w:hint="eastAsia" w:ascii="宋体" w:hAnsi="宋体" w:cs="宋体"/>
                <w:szCs w:val="21"/>
                <w:highlight w:val="none"/>
              </w:rPr>
            </w:pPr>
            <w:r>
              <w:rPr>
                <w:rFonts w:hint="eastAsia" w:ascii="宋体" w:hAnsi="宋体" w:cs="宋体"/>
                <w:szCs w:val="21"/>
                <w:highlight w:val="none"/>
              </w:rPr>
              <w:t>开标时间：同投标文件上传/递交截止时间</w:t>
            </w:r>
          </w:p>
          <w:p>
            <w:pPr>
              <w:wordWrap w:val="0"/>
              <w:spacing w:line="276" w:lineRule="auto"/>
              <w:rPr>
                <w:rFonts w:hint="eastAsia" w:ascii="宋体" w:hAnsi="宋体" w:cs="宋体"/>
                <w:szCs w:val="21"/>
                <w:highlight w:val="none"/>
              </w:rPr>
            </w:pPr>
            <w:r>
              <w:rPr>
                <w:rFonts w:hint="eastAsia" w:ascii="宋体" w:hAnsi="宋体" w:cs="宋体"/>
                <w:szCs w:val="21"/>
                <w:highlight w:val="none"/>
              </w:rPr>
              <w:t>开标地点：</w:t>
            </w:r>
            <w:r>
              <w:rPr>
                <w:rFonts w:hint="eastAsia" w:ascii="宋体" w:hAnsi="宋体" w:eastAsia="宋体" w:cs="宋体"/>
                <w:color w:val="auto"/>
                <w:sz w:val="21"/>
                <w:szCs w:val="21"/>
                <w:highlight w:val="none"/>
                <w:shd w:val="clear" w:color="auto" w:fill="FFFFFF"/>
                <w:lang w:val="en-US" w:eastAsia="zh-CN"/>
              </w:rPr>
              <w:t>（远程开标机位）荥阳市公共资源交易中心（荥阳市中原路与飞龙路西北角政务服务中心七楼）第</w:t>
            </w:r>
            <w:r>
              <w:rPr>
                <w:rFonts w:hint="eastAsia" w:ascii="宋体" w:hAnsi="宋体" w:cs="宋体"/>
                <w:color w:val="auto"/>
                <w:sz w:val="21"/>
                <w:szCs w:val="21"/>
                <w:highlight w:val="none"/>
                <w:shd w:val="clear" w:color="auto" w:fill="FFFFFF"/>
                <w:lang w:val="en-US" w:eastAsia="zh-CN"/>
              </w:rPr>
              <w:t>二</w:t>
            </w:r>
            <w:r>
              <w:rPr>
                <w:rFonts w:hint="eastAsia" w:ascii="宋体" w:hAnsi="宋体" w:eastAsia="宋体" w:cs="宋体"/>
                <w:color w:val="auto"/>
                <w:sz w:val="21"/>
                <w:szCs w:val="21"/>
                <w:highlight w:val="none"/>
                <w:shd w:val="clear" w:color="auto" w:fill="FFFFFF"/>
                <w:lang w:val="en-US" w:eastAsia="zh-CN"/>
              </w:rPr>
              <w:t>开标室</w:t>
            </w:r>
          </w:p>
        </w:tc>
      </w:tr>
      <w:tr>
        <w:tblPrEx>
          <w:tblCellMar>
            <w:top w:w="0" w:type="dxa"/>
            <w:left w:w="108" w:type="dxa"/>
            <w:bottom w:w="0" w:type="dxa"/>
            <w:right w:w="108" w:type="dxa"/>
          </w:tblCellMar>
        </w:tblPrEx>
        <w:trPr>
          <w:trHeight w:val="749"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5.2</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开标程序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adjustRightInd w:val="0"/>
              <w:spacing w:line="276" w:lineRule="auto"/>
              <w:textAlignment w:val="baseline"/>
              <w:rPr>
                <w:rFonts w:hint="eastAsia" w:ascii="宋体" w:hAnsi="宋体" w:cs="宋体"/>
                <w:szCs w:val="21"/>
              </w:rPr>
            </w:pPr>
            <w:r>
              <w:rPr>
                <w:rFonts w:hint="eastAsia" w:ascii="宋体" w:hAnsi="宋体" w:cs="宋体"/>
                <w:szCs w:val="21"/>
              </w:rPr>
              <w:t>开标时，各供应商应在规定时间内对本单位的加密投标文件解密。</w:t>
            </w:r>
          </w:p>
        </w:tc>
      </w:tr>
      <w:tr>
        <w:tblPrEx>
          <w:tblCellMar>
            <w:top w:w="0" w:type="dxa"/>
            <w:left w:w="108" w:type="dxa"/>
            <w:bottom w:w="0" w:type="dxa"/>
            <w:right w:w="108" w:type="dxa"/>
          </w:tblCellMar>
        </w:tblPrEx>
        <w:trPr>
          <w:trHeight w:val="106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7.1.1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spacing w:line="276" w:lineRule="auto"/>
              <w:jc w:val="center"/>
              <w:rPr>
                <w:rFonts w:hint="eastAsia" w:ascii="宋体" w:hAnsi="宋体" w:cs="宋体"/>
                <w:szCs w:val="21"/>
              </w:rPr>
            </w:pPr>
            <w:r>
              <w:rPr>
                <w:rFonts w:hint="eastAsia" w:ascii="宋体" w:hAnsi="宋体" w:cs="宋体"/>
                <w:szCs w:val="21"/>
              </w:rPr>
              <w:t>评标委员会的组建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评标委员会构成：共5人组成，由采购人和相关经济、技术等方面的专家组成；</w:t>
            </w:r>
          </w:p>
          <w:p>
            <w:pPr>
              <w:spacing w:line="360" w:lineRule="auto"/>
              <w:jc w:val="left"/>
              <w:rPr>
                <w:rFonts w:hint="eastAsia" w:ascii="宋体" w:hAnsi="宋体" w:cs="宋体"/>
                <w:szCs w:val="21"/>
              </w:rPr>
            </w:pPr>
            <w:r>
              <w:rPr>
                <w:rFonts w:hint="eastAsia" w:ascii="宋体" w:hAnsi="宋体" w:cs="宋体"/>
                <w:szCs w:val="21"/>
              </w:rPr>
              <w:t>评标专家确定方式：从河南省政府采购专家库中随机抽取。</w:t>
            </w:r>
          </w:p>
        </w:tc>
      </w:tr>
      <w:tr>
        <w:tblPrEx>
          <w:tblCellMar>
            <w:top w:w="0" w:type="dxa"/>
            <w:left w:w="108" w:type="dxa"/>
            <w:bottom w:w="0" w:type="dxa"/>
            <w:right w:w="108" w:type="dxa"/>
          </w:tblCellMar>
        </w:tblPrEx>
        <w:trPr>
          <w:trHeight w:val="880"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8.1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是否授权评标委员会确定中标人</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pStyle w:val="15"/>
              <w:rPr>
                <w:rFonts w:hint="eastAsia" w:ascii="宋体" w:hAnsi="宋体" w:cs="宋体"/>
                <w:szCs w:val="21"/>
              </w:rPr>
            </w:pPr>
            <w:r>
              <w:rPr>
                <w:rFonts w:hint="eastAsia" w:ascii="宋体" w:hAnsi="宋体" w:cs="宋体"/>
                <w:szCs w:val="21"/>
              </w:rPr>
              <w:t>否，推荐的中标候选人数：3名。</w:t>
            </w:r>
          </w:p>
        </w:tc>
      </w:tr>
      <w:tr>
        <w:tblPrEx>
          <w:tblCellMar>
            <w:top w:w="0" w:type="dxa"/>
            <w:left w:w="108" w:type="dxa"/>
            <w:bottom w:w="0" w:type="dxa"/>
            <w:right w:w="108" w:type="dxa"/>
          </w:tblCellMar>
        </w:tblPrEx>
        <w:trPr>
          <w:trHeight w:val="1151" w:hRule="atLeast"/>
        </w:trPr>
        <w:tc>
          <w:tcPr>
            <w:tcW w:w="913" w:type="dxa"/>
            <w:tcBorders>
              <w:top w:val="single" w:color="auto" w:sz="6" w:space="0"/>
              <w:left w:val="double" w:color="auto" w:sz="4" w:space="0"/>
              <w:bottom w:val="single" w:color="auto" w:sz="6" w:space="0"/>
              <w:right w:val="single" w:color="auto" w:sz="6" w:space="0"/>
            </w:tcBorders>
            <w:noWrap w:val="0"/>
            <w:vAlign w:val="center"/>
          </w:tcPr>
          <w:p>
            <w:pPr>
              <w:adjustRightInd w:val="0"/>
              <w:spacing w:line="276" w:lineRule="auto"/>
              <w:jc w:val="center"/>
              <w:textAlignment w:val="baseline"/>
              <w:rPr>
                <w:rFonts w:ascii="宋体" w:hAnsi="宋体" w:cs="宋体"/>
                <w:szCs w:val="21"/>
              </w:rPr>
            </w:pPr>
            <w:r>
              <w:rPr>
                <w:rFonts w:hint="eastAsia" w:ascii="宋体" w:hAnsi="宋体" w:cs="宋体"/>
                <w:szCs w:val="21"/>
              </w:rPr>
              <w:t>10.1</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276" w:lineRule="auto"/>
              <w:jc w:val="center"/>
              <w:textAlignment w:val="baseline"/>
              <w:rPr>
                <w:rFonts w:hint="eastAsia" w:ascii="宋体" w:hAnsi="宋体" w:cs="宋体"/>
                <w:bCs/>
                <w:color w:val="auto"/>
                <w:szCs w:val="21"/>
              </w:rPr>
            </w:pPr>
            <w:r>
              <w:rPr>
                <w:rFonts w:hint="eastAsia" w:ascii="宋体" w:hAnsi="宋体" w:cs="宋体"/>
                <w:bCs/>
                <w:color w:val="auto"/>
                <w:szCs w:val="21"/>
              </w:rPr>
              <w:t>付款方式</w:t>
            </w:r>
          </w:p>
        </w:tc>
        <w:tc>
          <w:tcPr>
            <w:tcW w:w="6579" w:type="dxa"/>
            <w:tcBorders>
              <w:top w:val="single" w:color="auto" w:sz="6" w:space="0"/>
              <w:left w:val="single" w:color="auto" w:sz="6" w:space="0"/>
              <w:bottom w:val="single" w:color="auto" w:sz="6" w:space="0"/>
              <w:right w:val="double" w:color="auto" w:sz="4" w:space="0"/>
            </w:tcBorders>
            <w:noWrap w:val="0"/>
            <w:vAlign w:val="center"/>
          </w:tcPr>
          <w:p>
            <w:pPr>
              <w:widowControl/>
              <w:spacing w:line="360" w:lineRule="auto"/>
              <w:rPr>
                <w:rFonts w:hint="eastAsia" w:ascii="Times New Roman" w:hAnsi="Times New Roman" w:cs="Times New Roman"/>
                <w:bCs w:val="0"/>
                <w:color w:val="auto"/>
                <w:szCs w:val="24"/>
              </w:rPr>
            </w:pPr>
            <w:r>
              <w:rPr>
                <w:rFonts w:hint="eastAsia" w:ascii="Times New Roman" w:hAnsi="Times New Roman" w:cs="Times New Roman"/>
                <w:bCs w:val="0"/>
                <w:color w:val="auto"/>
                <w:szCs w:val="24"/>
              </w:rPr>
              <w:t>1、采购货物安装调试完毕，经第三方验收合格，乙方须提供合同总价100%金额的正规发票后，甲方支付合同价款的80%，余款20%一年后付清。</w:t>
            </w:r>
          </w:p>
          <w:p>
            <w:pPr>
              <w:widowControl/>
              <w:spacing w:line="360" w:lineRule="auto"/>
              <w:rPr>
                <w:rFonts w:ascii="Times New Roman" w:hAnsi="Times New Roman" w:cs="Times New Roman"/>
                <w:bCs w:val="0"/>
                <w:color w:val="auto"/>
                <w:szCs w:val="24"/>
              </w:rPr>
            </w:pPr>
            <w:r>
              <w:rPr>
                <w:rFonts w:hint="eastAsia" w:ascii="Times New Roman" w:hAnsi="Times New Roman" w:cs="Times New Roman"/>
                <w:bCs w:val="0"/>
                <w:color w:val="auto"/>
                <w:szCs w:val="24"/>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CellMar>
            <w:top w:w="0" w:type="dxa"/>
            <w:left w:w="108" w:type="dxa"/>
            <w:bottom w:w="0" w:type="dxa"/>
            <w:right w:w="108" w:type="dxa"/>
          </w:tblCellMar>
        </w:tblPrEx>
        <w:trPr>
          <w:trHeight w:val="53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adjustRightInd w:val="0"/>
              <w:spacing w:line="276" w:lineRule="auto"/>
              <w:jc w:val="center"/>
              <w:textAlignment w:val="baseline"/>
              <w:rPr>
                <w:rFonts w:hint="eastAsia" w:ascii="宋体" w:hAnsi="宋体" w:cs="宋体"/>
                <w:szCs w:val="21"/>
              </w:rPr>
            </w:pPr>
            <w:r>
              <w:rPr>
                <w:rFonts w:hint="eastAsia" w:ascii="宋体" w:hAnsi="宋体" w:cs="宋体"/>
                <w:szCs w:val="21"/>
              </w:rPr>
              <w:t>11.需要补充的其他内容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bookmarkStart w:id="15" w:name="_Toc144974497"/>
            <w:bookmarkStart w:id="16" w:name="_Toc152045529"/>
            <w:bookmarkStart w:id="17" w:name="_Toc152042305"/>
            <w:r>
              <w:rPr>
                <w:rFonts w:hint="eastAsia" w:ascii="宋体" w:hAnsi="宋体" w:cs="宋体"/>
                <w:szCs w:val="21"/>
              </w:rPr>
              <w:t>11.1中标公告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97"/>
              <w:rPr>
                <w:rFonts w:hint="eastAsia" w:ascii="宋体" w:hAnsi="宋体" w:eastAsia="宋体" w:cs="宋体"/>
                <w:szCs w:val="21"/>
                <w:lang w:val="en-US" w:eastAsia="zh-CN"/>
              </w:rPr>
            </w:pPr>
            <w:r>
              <w:rPr>
                <w:rFonts w:hint="eastAsia" w:ascii="宋体" w:hAnsi="宋体" w:cs="宋体"/>
                <w:szCs w:val="21"/>
              </w:rPr>
              <w:t>中标公告的发布媒介：</w:t>
            </w:r>
            <w:r>
              <w:rPr>
                <w:rFonts w:hint="eastAsia" w:ascii="宋体" w:hAnsi="宋体" w:eastAsia="宋体" w:cs="宋体"/>
                <w:color w:val="auto"/>
                <w:sz w:val="21"/>
                <w:szCs w:val="21"/>
                <w:highlight w:val="none"/>
                <w:shd w:val="clear" w:color="auto" w:fill="FFFFFF"/>
              </w:rPr>
              <w:t>《河南省政府采购网》</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《荥阳市政府采购网》、《荥阳市公共资源交易中心网站》、</w:t>
            </w:r>
            <w:r>
              <w:rPr>
                <w:rFonts w:hint="eastAsia" w:ascii="宋体" w:hAnsi="宋体" w:eastAsia="宋体" w:cs="宋体"/>
                <w:color w:val="000000"/>
                <w:sz w:val="21"/>
                <w:szCs w:val="21"/>
                <w:shd w:val="clear" w:color="auto" w:fill="FFFFFF"/>
              </w:rPr>
              <w:t>《</w:t>
            </w:r>
            <w:r>
              <w:rPr>
                <w:rFonts w:hint="eastAsia"/>
                <w:sz w:val="21"/>
                <w:szCs w:val="21"/>
                <w:shd w:val="clear" w:color="auto" w:fill="FFFFFF"/>
                <w:lang w:val="en-US" w:eastAsia="zh-CN"/>
              </w:rPr>
              <w:t>河南省电子招标投标公共服务平台</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108"/>
              <w:jc w:val="left"/>
              <w:rPr>
                <w:rFonts w:hint="eastAsia" w:ascii="宋体" w:hAnsi="宋体" w:cs="宋体"/>
                <w:szCs w:val="21"/>
              </w:rPr>
            </w:pPr>
            <w:r>
              <w:rPr>
                <w:rFonts w:hint="eastAsia" w:ascii="宋体" w:hAnsi="宋体" w:cs="宋体"/>
                <w:szCs w:val="21"/>
              </w:rPr>
              <w:t>11.2知识产权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各个组成部分的文件，未经采购人书面同意，供应商不得擅自复印和用于非本招标项目所需的其他目的。采购人可全部或者部分使用未中标人投标文件中的技术成果或技术方案时，需征得其书面同意，并不得擅自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11.3解释权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276" w:lineRule="auto"/>
              <w:ind w:right="420"/>
              <w:jc w:val="left"/>
              <w:rPr>
                <w:rFonts w:hint="eastAsia" w:ascii="宋体" w:hAnsi="宋体" w:cs="宋体"/>
                <w:szCs w:val="21"/>
              </w:rPr>
            </w:pPr>
            <w:r>
              <w:rPr>
                <w:rFonts w:hint="eastAsia" w:ascii="宋体" w:hAnsi="宋体" w:cs="宋体"/>
                <w:szCs w:val="21"/>
              </w:rPr>
              <w:t>11.4采购人声明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ind w:right="-108"/>
              <w:jc w:val="left"/>
              <w:rPr>
                <w:rFonts w:hint="eastAsia" w:ascii="宋体" w:hAnsi="宋体" w:cs="宋体"/>
                <w:szCs w:val="21"/>
              </w:rPr>
            </w:pPr>
            <w:r>
              <w:rPr>
                <w:rFonts w:hint="eastAsia" w:ascii="宋体" w:hAnsi="宋体" w:cs="宋体"/>
                <w:szCs w:val="21"/>
              </w:rPr>
              <w:t>（1）供应商因参与投标活动而涉及的人身伤害、财产损害、侵犯他人权益、仲裁或诉讼等，应当责任自负、费用自担，采购人和采购代理机构免于承担上述责任或者其他不良影响。</w:t>
            </w:r>
          </w:p>
          <w:p>
            <w:pPr>
              <w:spacing w:line="360" w:lineRule="auto"/>
              <w:ind w:right="-108"/>
              <w:jc w:val="left"/>
              <w:rPr>
                <w:rFonts w:hint="eastAsia" w:ascii="宋体" w:hAnsi="宋体" w:cs="宋体"/>
                <w:szCs w:val="21"/>
              </w:rPr>
            </w:pPr>
            <w:r>
              <w:rPr>
                <w:rFonts w:hint="eastAsia" w:ascii="宋体" w:hAnsi="宋体" w:cs="宋体"/>
                <w:szCs w:val="21"/>
              </w:rPr>
              <w:t>（2）采购人声明招标文件中附带的参考资料是以诚信的态度提供的，是采购人现有的和客观的信息。采购人不对供应商由此做出的任何理解、推论、判断、结论和决策进行负责。</w:t>
            </w:r>
          </w:p>
          <w:p>
            <w:pPr>
              <w:spacing w:line="360" w:lineRule="auto"/>
              <w:ind w:right="-108"/>
              <w:jc w:val="left"/>
              <w:rPr>
                <w:rFonts w:hint="eastAsia" w:ascii="宋体" w:hAnsi="宋体" w:cs="宋体"/>
                <w:szCs w:val="21"/>
              </w:rPr>
            </w:pPr>
            <w:r>
              <w:rPr>
                <w:rFonts w:hint="eastAsia" w:ascii="宋体" w:hAnsi="宋体" w:cs="宋体"/>
                <w:szCs w:val="21"/>
              </w:rPr>
              <w:t>（3）严禁供应商挂靠资质投标，一经查出取消入围资格，列入采购人采购黑名单，并上报上级主管部门，对采购人造成损失的应赔偿因此造成的经济损失。</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11.5电子招标的有关说明</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pStyle w:val="106"/>
              <w:spacing w:line="360" w:lineRule="auto"/>
              <w:rPr>
                <w:rFonts w:hint="eastAsia"/>
                <w:szCs w:val="21"/>
                <w:lang w:val="en-US" w:bidi="ar-SA"/>
              </w:rPr>
            </w:pPr>
            <w:r>
              <w:rPr>
                <w:rFonts w:hint="eastAsia"/>
                <w:szCs w:val="21"/>
                <w:lang w:val="en-US" w:bidi="ar-SA"/>
              </w:rPr>
              <w:t>1）投标文件制作要求：获取招标文件后，供应商通过</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szCs w:val="21"/>
                <w:lang w:val="en-US" w:bidi="ar-SA"/>
              </w:rPr>
              <w:t xml:space="preserve">“办事指南”栏目下载电子招投标操作手册、电子投标文件制作工具，并使用安装后的投标文件制作工具制作电子投标文件。 </w:t>
            </w:r>
          </w:p>
          <w:p>
            <w:pPr>
              <w:pStyle w:val="42"/>
              <w:spacing w:after="0" w:line="360" w:lineRule="auto"/>
              <w:ind w:left="0" w:leftChars="0" w:firstLine="0" w:firstLineChars="0"/>
              <w:rPr>
                <w:rFonts w:hint="eastAsia" w:ascii="宋体" w:hAnsi="宋体" w:cs="宋体"/>
                <w:szCs w:val="21"/>
              </w:rPr>
            </w:pPr>
            <w:r>
              <w:rPr>
                <w:rFonts w:hint="eastAsia" w:ascii="宋体" w:hAnsi="宋体" w:cs="宋体"/>
                <w:szCs w:val="21"/>
              </w:rPr>
              <w:t>2）开标时，供应商必须用企业 CA 密钥对本单位的加密电子投标文件进行解密。</w:t>
            </w:r>
          </w:p>
          <w:p>
            <w:pPr>
              <w:spacing w:line="360" w:lineRule="auto"/>
              <w:rPr>
                <w:rFonts w:hint="eastAsia" w:ascii="宋体" w:hAnsi="宋体" w:cs="宋体"/>
                <w:szCs w:val="21"/>
              </w:rPr>
            </w:pPr>
            <w:r>
              <w:rPr>
                <w:rFonts w:hint="eastAsia" w:ascii="宋体" w:hAnsi="宋体" w:cs="宋体"/>
                <w:szCs w:val="21"/>
              </w:rPr>
              <w:t>（说明：1、供应商选择 CA 证书登录方式进入电子招投标交易系统，进行网上下载等操作。2、本项目将实行电子开标，请供应商在</w:t>
            </w:r>
            <w:r>
              <w:rPr>
                <w:rFonts w:hint="eastAsia" w:ascii="宋体" w:hAnsi="宋体" w:eastAsia="宋体" w:cs="宋体"/>
                <w:szCs w:val="21"/>
                <w:lang w:val="en-US" w:eastAsia="zh-CN"/>
              </w:rPr>
              <w:t>“荥阳市公共资源交易中心网站</w:t>
            </w:r>
            <w:r>
              <w:rPr>
                <w:rFonts w:hint="eastAsia" w:ascii="宋体" w:hAnsi="宋体" w:cs="宋体"/>
                <w:szCs w:val="21"/>
              </w:rPr>
              <w:t>”</w:t>
            </w:r>
            <w:r>
              <w:rPr>
                <w:rFonts w:hint="eastAsia" w:ascii="宋体" w:hAnsi="宋体" w:eastAsia="宋体" w:cs="宋体"/>
                <w:color w:val="auto"/>
                <w:sz w:val="21"/>
                <w:szCs w:val="21"/>
                <w:highlight w:val="none"/>
                <w:lang w:val="en-US" w:eastAsia="zh-CN"/>
              </w:rPr>
              <w:t>（www.xyggzyjyzx.com)</w:t>
            </w:r>
            <w:r>
              <w:rPr>
                <w:rFonts w:hint="eastAsia" w:ascii="宋体" w:hAnsi="宋体" w:cs="宋体"/>
                <w:szCs w:val="21"/>
              </w:rPr>
              <w:t>首页“办事指南”栏目中下载最新版本的“新点投标文件制作软件（</w:t>
            </w:r>
            <w:r>
              <w:rPr>
                <w:rFonts w:hint="eastAsia" w:ascii="宋体" w:hAnsi="宋体" w:cs="宋体"/>
                <w:szCs w:val="21"/>
                <w:lang w:val="en-US" w:eastAsia="zh-CN"/>
              </w:rPr>
              <w:t>河南省</w:t>
            </w:r>
            <w:r>
              <w:rPr>
                <w:rFonts w:hint="eastAsia" w:ascii="宋体" w:hAnsi="宋体" w:cs="宋体"/>
                <w:szCs w:val="21"/>
              </w:rPr>
              <w:t>版）”及“</w:t>
            </w:r>
            <w:r>
              <w:rPr>
                <w:rFonts w:hint="eastAsia" w:ascii="宋体" w:hAnsi="宋体" w:cs="宋体"/>
                <w:szCs w:val="21"/>
                <w:lang w:val="en-US" w:eastAsia="zh-CN"/>
              </w:rPr>
              <w:t>荥阳公共资源</w:t>
            </w:r>
            <w:r>
              <w:rPr>
                <w:rFonts w:hint="eastAsia" w:ascii="宋体" w:hAnsi="宋体" w:cs="宋体"/>
                <w:szCs w:val="21"/>
              </w:rPr>
              <w:t>-投标文件制作</w:t>
            </w:r>
            <w:r>
              <w:rPr>
                <w:rFonts w:hint="eastAsia" w:ascii="宋体" w:hAnsi="宋体" w:cs="宋体"/>
                <w:szCs w:val="21"/>
                <w:lang w:val="en-US" w:eastAsia="zh-CN"/>
              </w:rPr>
              <w:t>软件操作说明</w:t>
            </w:r>
            <w:r>
              <w:rPr>
                <w:rFonts w:hint="eastAsia" w:ascii="宋体" w:hAnsi="宋体" w:cs="宋体"/>
                <w:szCs w:val="21"/>
              </w:rPr>
              <w:t>”，安装工具软件后，使用“文件查看工具”打开竞争性招标文件认真阅读。制作电子投标文件时必须使用“投标文件制作软件（</w:t>
            </w:r>
            <w:r>
              <w:rPr>
                <w:rFonts w:hint="eastAsia" w:ascii="宋体" w:hAnsi="宋体" w:cs="宋体"/>
                <w:szCs w:val="21"/>
                <w:lang w:val="en-US" w:eastAsia="zh-CN"/>
              </w:rPr>
              <w:t>河南省</w:t>
            </w:r>
            <w:r>
              <w:rPr>
                <w:rFonts w:hint="eastAsia" w:ascii="宋体" w:hAnsi="宋体" w:cs="宋体"/>
                <w:szCs w:val="21"/>
              </w:rPr>
              <w:t>版）”）</w:t>
            </w:r>
          </w:p>
          <w:p>
            <w:pPr>
              <w:widowControl/>
              <w:snapToGrid w:val="0"/>
              <w:spacing w:line="360" w:lineRule="auto"/>
              <w:jc w:val="left"/>
              <w:rPr>
                <w:rFonts w:hint="eastAsia" w:ascii="宋体" w:hAnsi="宋体" w:cs="宋体"/>
                <w:kern w:val="0"/>
                <w:szCs w:val="21"/>
              </w:rPr>
            </w:pPr>
            <w:r>
              <w:rPr>
                <w:rFonts w:hint="eastAsia" w:ascii="宋体" w:hAnsi="宋体" w:cs="宋体"/>
                <w:szCs w:val="21"/>
              </w:rPr>
              <w:t>3）供应商在制作电子标书过程中，如遇到电子交易系统的软件操作问题时，可通过热线电话（4009980000）进行咨询。</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kern w:val="0"/>
                <w:szCs w:val="21"/>
              </w:rPr>
              <w:t>11.6政府采购政策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widowControl/>
              <w:snapToGrid w:val="0"/>
              <w:spacing w:line="276" w:lineRule="auto"/>
              <w:jc w:val="left"/>
              <w:rPr>
                <w:rFonts w:hint="eastAsia" w:ascii="宋体" w:hAnsi="宋体" w:cs="宋体"/>
                <w:kern w:val="0"/>
                <w:szCs w:val="21"/>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tc>
      </w:tr>
      <w:tr>
        <w:tblPrEx>
          <w:tblCellMar>
            <w:top w:w="0" w:type="dxa"/>
            <w:left w:w="108" w:type="dxa"/>
            <w:bottom w:w="0" w:type="dxa"/>
            <w:right w:w="108" w:type="dxa"/>
          </w:tblCellMar>
        </w:tblPrEx>
        <w:trPr>
          <w:trHeight w:val="523"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widowControl/>
              <w:snapToGrid w:val="0"/>
              <w:spacing w:line="276" w:lineRule="auto"/>
              <w:jc w:val="left"/>
              <w:rPr>
                <w:rFonts w:hint="eastAsia" w:ascii="宋体" w:hAnsi="宋体" w:cs="宋体"/>
                <w:kern w:val="0"/>
                <w:szCs w:val="21"/>
              </w:rPr>
            </w:pPr>
            <w:r>
              <w:rPr>
                <w:rFonts w:hint="eastAsia" w:ascii="宋体" w:hAnsi="宋体" w:cs="宋体"/>
                <w:sz w:val="24"/>
              </w:rPr>
              <w:t>11.</w:t>
            </w:r>
            <w:r>
              <w:rPr>
                <w:rFonts w:hint="eastAsia" w:ascii="宋体" w:hAnsi="宋体" w:cs="宋体"/>
                <w:szCs w:val="21"/>
              </w:rPr>
              <w:t>7其他说明</w:t>
            </w:r>
          </w:p>
        </w:tc>
      </w:tr>
      <w:tr>
        <w:tblPrEx>
          <w:tblCellMar>
            <w:top w:w="0" w:type="dxa"/>
            <w:left w:w="108" w:type="dxa"/>
            <w:bottom w:w="0" w:type="dxa"/>
            <w:right w:w="108" w:type="dxa"/>
          </w:tblCellMar>
        </w:tblPrEx>
        <w:trPr>
          <w:trHeight w:val="90"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rPr>
                <w:rFonts w:hint="eastAsia"/>
                <w:lang w:eastAsia="zh-CN"/>
              </w:rPr>
            </w:pPr>
            <w:r>
              <w:rPr>
                <w:rFonts w:hint="eastAsia"/>
                <w:lang w:val="en-US" w:eastAsia="zh-CN"/>
              </w:rPr>
              <w:t>1、</w:t>
            </w:r>
            <w:r>
              <w:rPr>
                <w:rFonts w:hint="eastAsia"/>
                <w:lang w:eastAsia="zh-CN"/>
              </w:rPr>
              <w:t>投标人</w:t>
            </w:r>
            <w:r>
              <w:rPr>
                <w:rFonts w:hint="eastAsia"/>
              </w:rPr>
              <w:t>认为采购文件、采购过程和中标结果使自己的权益受到损害的, 可以在知道或者应知其权益受到损害之日起七个工作日内，按照</w:t>
            </w:r>
            <w:r>
              <w:rPr>
                <w:rFonts w:hint="eastAsia"/>
                <w:lang w:eastAsia="zh-CN"/>
              </w:rPr>
              <w:t>《政府采购质疑和投诉办法》</w:t>
            </w:r>
            <w:r>
              <w:rPr>
                <w:rFonts w:hint="eastAsia"/>
                <w:lang w:val="en-US" w:eastAsia="zh-CN"/>
              </w:rPr>
              <w:t>（中华人民共和国财政部令94号）</w:t>
            </w:r>
            <w:r>
              <w:rPr>
                <w:rFonts w:hint="eastAsia"/>
              </w:rPr>
              <w:t>以书面形式向采购人</w:t>
            </w:r>
            <w:r>
              <w:rPr>
                <w:rFonts w:hint="eastAsia"/>
                <w:lang w:eastAsia="zh-CN"/>
              </w:rPr>
              <w:t>或采购代理机构</w:t>
            </w:r>
            <w:r>
              <w:rPr>
                <w:rFonts w:hint="eastAsia"/>
              </w:rPr>
              <w:t>提出质疑（邮寄件、传真件不予受理），逾期不再</w:t>
            </w:r>
            <w:r>
              <w:rPr>
                <w:rFonts w:hint="eastAsia"/>
                <w:lang w:eastAsia="zh-CN"/>
              </w:rPr>
              <w:t>接收。接收质疑函的方式：接收加盖单位公章的书面质疑函</w:t>
            </w:r>
          </w:p>
          <w:p>
            <w:pPr>
              <w:spacing w:line="360" w:lineRule="auto"/>
              <w:rPr>
                <w:rFonts w:hint="eastAsia"/>
                <w:lang w:eastAsia="zh-CN"/>
              </w:rPr>
            </w:pPr>
            <w:r>
              <w:rPr>
                <w:rFonts w:hint="eastAsia"/>
                <w:lang w:eastAsia="zh-CN"/>
              </w:rPr>
              <w:t xml:space="preserve">采购人信息 </w:t>
            </w:r>
          </w:p>
          <w:p>
            <w:pPr>
              <w:spacing w:line="360" w:lineRule="auto"/>
              <w:rPr>
                <w:rFonts w:hint="eastAsia"/>
                <w:lang w:eastAsia="zh-CN"/>
              </w:rPr>
            </w:pPr>
            <w:r>
              <w:rPr>
                <w:rFonts w:hint="eastAsia"/>
                <w:lang w:eastAsia="zh-CN"/>
              </w:rPr>
              <w:t>名称：</w:t>
            </w:r>
            <w:r>
              <w:rPr>
                <w:rFonts w:hint="eastAsia"/>
                <w:lang w:val="en-US" w:eastAsia="zh-CN"/>
              </w:rPr>
              <w:t>荥阳市教育局</w:t>
            </w:r>
          </w:p>
          <w:p>
            <w:pPr>
              <w:spacing w:line="360" w:lineRule="auto"/>
              <w:rPr>
                <w:rFonts w:hint="eastAsia"/>
                <w:lang w:eastAsia="zh-CN"/>
              </w:rPr>
            </w:pPr>
            <w:r>
              <w:rPr>
                <w:rFonts w:hint="eastAsia"/>
                <w:lang w:eastAsia="zh-CN"/>
              </w:rPr>
              <w:t>地址：荥阳市康泰路与荥泽大道交叉口</w:t>
            </w:r>
          </w:p>
          <w:p>
            <w:pPr>
              <w:spacing w:line="360" w:lineRule="auto"/>
              <w:rPr>
                <w:rFonts w:hint="eastAsia"/>
                <w:lang w:eastAsia="zh-CN"/>
              </w:rPr>
            </w:pPr>
            <w:r>
              <w:rPr>
                <w:rFonts w:hint="eastAsia"/>
                <w:lang w:eastAsia="zh-CN"/>
              </w:rPr>
              <w:t>联系人：</w:t>
            </w:r>
            <w:r>
              <w:rPr>
                <w:rFonts w:hint="eastAsia"/>
                <w:lang w:val="en-US" w:eastAsia="zh-CN"/>
              </w:rPr>
              <w:t>周女士</w:t>
            </w:r>
            <w:r>
              <w:rPr>
                <w:rFonts w:hint="eastAsia"/>
                <w:lang w:eastAsia="zh-CN"/>
              </w:rPr>
              <w:t xml:space="preserve"> </w:t>
            </w:r>
          </w:p>
          <w:p>
            <w:pPr>
              <w:spacing w:line="360" w:lineRule="auto"/>
              <w:rPr>
                <w:rFonts w:hint="eastAsia"/>
                <w:lang w:eastAsia="zh-CN"/>
              </w:rPr>
            </w:pPr>
            <w:r>
              <w:rPr>
                <w:rFonts w:hint="eastAsia"/>
                <w:lang w:eastAsia="zh-CN"/>
              </w:rPr>
              <w:t>联系方式：</w:t>
            </w:r>
            <w:r>
              <w:rPr>
                <w:rFonts w:hint="eastAsia"/>
                <w:lang w:val="en-US" w:eastAsia="zh-CN"/>
              </w:rPr>
              <w:t xml:space="preserve">0371-64605826 </w:t>
            </w:r>
          </w:p>
          <w:p>
            <w:pPr>
              <w:spacing w:line="360" w:lineRule="auto"/>
              <w:rPr>
                <w:rFonts w:hint="eastAsia"/>
                <w:lang w:eastAsia="zh-CN"/>
              </w:rPr>
            </w:pPr>
            <w:r>
              <w:rPr>
                <w:rFonts w:hint="eastAsia"/>
                <w:lang w:eastAsia="zh-CN"/>
              </w:rPr>
              <w:t xml:space="preserve">采购代理机构信息（如有） </w:t>
            </w:r>
          </w:p>
          <w:p>
            <w:pPr>
              <w:spacing w:line="360" w:lineRule="auto"/>
              <w:rPr>
                <w:rFonts w:hint="eastAsia"/>
                <w:lang w:eastAsia="zh-CN"/>
              </w:rPr>
            </w:pPr>
            <w:r>
              <w:rPr>
                <w:rFonts w:hint="eastAsia"/>
                <w:lang w:eastAsia="zh-CN"/>
              </w:rPr>
              <w:t xml:space="preserve">名称：睿群工程咨询有限公司 </w:t>
            </w:r>
          </w:p>
          <w:p>
            <w:pPr>
              <w:spacing w:line="360" w:lineRule="auto"/>
              <w:rPr>
                <w:rFonts w:hint="eastAsia"/>
                <w:lang w:eastAsia="zh-CN"/>
              </w:rPr>
            </w:pPr>
            <w:r>
              <w:rPr>
                <w:rFonts w:hint="eastAsia"/>
                <w:lang w:eastAsia="zh-CN"/>
              </w:rPr>
              <w:t>地址：河南省郑州市中原区华山路105号芝麻街公园里D区10栋203</w:t>
            </w:r>
          </w:p>
          <w:p>
            <w:pPr>
              <w:spacing w:line="360" w:lineRule="auto"/>
              <w:rPr>
                <w:rFonts w:hint="eastAsia"/>
                <w:lang w:eastAsia="zh-CN"/>
              </w:rPr>
            </w:pPr>
            <w:r>
              <w:rPr>
                <w:rFonts w:hint="eastAsia"/>
                <w:lang w:eastAsia="zh-CN"/>
              </w:rPr>
              <w:t>联系人：周帅</w:t>
            </w:r>
            <w:r>
              <w:rPr>
                <w:rFonts w:hint="eastAsia"/>
                <w:lang w:val="en-US" w:eastAsia="zh-CN"/>
              </w:rPr>
              <w:t xml:space="preserve"> </w:t>
            </w:r>
          </w:p>
          <w:p>
            <w:pPr>
              <w:spacing w:line="360" w:lineRule="auto"/>
              <w:rPr>
                <w:rFonts w:hint="eastAsia"/>
                <w:lang w:val="en-US" w:eastAsia="zh-CN"/>
              </w:rPr>
            </w:pPr>
            <w:r>
              <w:rPr>
                <w:rFonts w:hint="eastAsia"/>
                <w:lang w:eastAsia="zh-CN"/>
              </w:rPr>
              <w:t>联系方式：0371-55068399</w:t>
            </w:r>
          </w:p>
          <w:p>
            <w:pPr>
              <w:spacing w:line="360" w:lineRule="auto"/>
              <w:rPr>
                <w:rFonts w:hint="eastAsia"/>
              </w:rPr>
            </w:pPr>
            <w:r>
              <w:rPr>
                <w:rFonts w:hint="eastAsia"/>
                <w:lang w:val="en-US" w:eastAsia="zh-CN"/>
              </w:rPr>
              <w:t>通讯地址：</w:t>
            </w:r>
            <w:r>
              <w:rPr>
                <w:rFonts w:hint="eastAsia"/>
                <w:lang w:eastAsia="zh-CN"/>
              </w:rPr>
              <w:t>河南省郑州市中原区华山路105号芝麻街公园里D区10栋203</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lang w:val="en-US" w:eastAsia="zh-CN"/>
              </w:rPr>
            </w:pPr>
            <w:r>
              <w:rPr>
                <w:rFonts w:hint="eastAsia"/>
                <w:lang w:val="en-US" w:eastAsia="zh-CN"/>
              </w:rPr>
              <w:t>2、</w:t>
            </w:r>
            <w:r>
              <w:rPr>
                <w:rFonts w:hint="eastAsia"/>
                <w:lang w:eastAsia="zh-CN"/>
              </w:rPr>
              <w:t>本项目中标公告将</w:t>
            </w:r>
            <w:r>
              <w:rPr>
                <w:rFonts w:hint="eastAsia"/>
              </w:rPr>
              <w:t>同时在《河南省政府采购网》</w:t>
            </w:r>
            <w:r>
              <w:rPr>
                <w:rFonts w:hint="eastAsia"/>
                <w:lang w:eastAsia="zh-CN"/>
              </w:rPr>
              <w:t>、</w:t>
            </w:r>
            <w:r>
              <w:rPr>
                <w:rFonts w:hint="eastAsia"/>
                <w:lang w:val="en-US" w:eastAsia="zh-CN"/>
              </w:rPr>
              <w:t>《荥阳市政府采购网》、《荥阳市公共资源交易中心网站》、</w:t>
            </w:r>
            <w:r>
              <w:rPr>
                <w:rFonts w:hint="eastAsia"/>
              </w:rPr>
              <w:t>《</w:t>
            </w:r>
            <w:r>
              <w:rPr>
                <w:rFonts w:hint="eastAsia"/>
                <w:lang w:val="en-US" w:eastAsia="zh-CN"/>
              </w:rPr>
              <w:t>河南省电子招标投标公共服务平台</w:t>
            </w:r>
            <w:r>
              <w:rPr>
                <w:rFonts w:hint="eastAsia"/>
              </w:rPr>
              <w:t>》上发布</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rPr>
            </w:pPr>
            <w:r>
              <w:rPr>
                <w:rFonts w:hint="eastAsia"/>
                <w:lang w:val="en-US" w:eastAsia="zh-CN"/>
              </w:rPr>
              <w:t>3、</w:t>
            </w:r>
            <w:r>
              <w:rPr>
                <w:rFonts w:hint="eastAsia"/>
                <w:lang w:eastAsia="zh-CN"/>
              </w:rPr>
              <w:t>中标人</w:t>
            </w:r>
            <w:r>
              <w:rPr>
                <w:rFonts w:hint="eastAsia"/>
              </w:rPr>
              <w:t>与采购人签订合同后，将合同副本原件报采购代理机构备案。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4、郑财购【2022】5号，自成交通知书发出之日起 2个工作日内签订合同，签订合同后 1 个工作日内在政府采购网进行合同备案</w:t>
            </w:r>
            <w:r>
              <w:rPr>
                <w:rFonts w:hint="eastAsia"/>
                <w:lang w:eastAsia="zh-CN"/>
              </w:rPr>
              <w:t>，但政府采购合同中涉及国家秘密、商业秘密的内容除外。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5、为落实荥阳市财政局关于深入推进政府采购合同融资工作的通知（荥财字﹝2020﹞89号），中标人可以持政府采购合同向融资机构申请贷款，在荥阳市政府采购网“荥阳市政府采购合同融资入口”或工作动态栏获取融资渠道和方式，具体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lang w:val="en-US" w:eastAsia="zh-CN"/>
              </w:rPr>
            </w:pPr>
            <w:r>
              <w:rPr>
                <w:rFonts w:hint="eastAsia"/>
                <w:lang w:val="en-US" w:eastAsia="zh-CN"/>
              </w:rPr>
              <w:t>6、商品包装和快递包装应符合《商品包装政府采购需求标准（试行）》和《快递包装政府采购需求标准（试行）》规定。</w:t>
            </w:r>
          </w:p>
          <w:p>
            <w:pPr>
              <w:pStyle w:val="105"/>
              <w:numPr>
                <w:ilvl w:val="0"/>
                <w:numId w:val="0"/>
              </w:numPr>
              <w:rPr>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b/>
                <w:bCs/>
                <w:color w:val="auto"/>
                <w:sz w:val="21"/>
                <w:szCs w:val="21"/>
                <w:highlight w:val="none"/>
              </w:rPr>
              <w:t>本项</w:t>
            </w:r>
            <w:r>
              <w:rPr>
                <w:rFonts w:hint="eastAsia" w:ascii="Times New Roman" w:hAnsi="Times New Roman" w:eastAsia="宋体" w:cs="Times New Roman"/>
                <w:b/>
                <w:bCs/>
                <w:color w:val="auto"/>
                <w:kern w:val="2"/>
                <w:sz w:val="21"/>
                <w:szCs w:val="24"/>
                <w:highlight w:val="none"/>
                <w:lang w:val="en-US" w:eastAsia="zh-CN" w:bidi="ar-SA"/>
              </w:rPr>
              <w:t>目行业划分：本项目采购标的对应的中小企业划分标准所属行业为：工业。</w:t>
            </w:r>
          </w:p>
          <w:p>
            <w:pPr>
              <w:pStyle w:val="42"/>
              <w:rPr>
                <w:rFonts w:hint="default"/>
                <w:lang w:val="en-US"/>
              </w:rPr>
            </w:pPr>
          </w:p>
        </w:tc>
      </w:tr>
      <w:tr>
        <w:tblPrEx>
          <w:tblCellMar>
            <w:top w:w="0" w:type="dxa"/>
            <w:left w:w="108" w:type="dxa"/>
            <w:bottom w:w="0" w:type="dxa"/>
            <w:right w:w="108" w:type="dxa"/>
          </w:tblCellMar>
        </w:tblPrEx>
        <w:trPr>
          <w:trHeight w:val="77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cs="宋体"/>
                <w:szCs w:val="21"/>
              </w:rPr>
            </w:pPr>
            <w:r>
              <w:rPr>
                <w:rFonts w:hint="eastAsia" w:ascii="宋体" w:hAnsi="宋体" w:cs="宋体"/>
                <w:szCs w:val="21"/>
              </w:rPr>
              <w:t>11.8招标代理费：</w:t>
            </w:r>
            <w:r>
              <w:rPr>
                <w:rFonts w:hint="eastAsia" w:ascii="宋体" w:hAnsi="宋体" w:cs="宋体"/>
                <w:szCs w:val="21"/>
                <w:lang w:val="en-US" w:eastAsia="zh-CN"/>
              </w:rPr>
              <w:t>服务费参照河南省招标投标协会关于印发《河南省招标代理服务收费指导意见》（豫招协〔2023〕002号）规定的收费标准收取中标服务费，向中标供应商收取中标服务费。</w:t>
            </w:r>
          </w:p>
        </w:tc>
      </w:tr>
      <w:tr>
        <w:tblPrEx>
          <w:tblCellMar>
            <w:top w:w="0" w:type="dxa"/>
            <w:left w:w="108" w:type="dxa"/>
            <w:bottom w:w="0" w:type="dxa"/>
            <w:right w:w="108" w:type="dxa"/>
          </w:tblCellMar>
        </w:tblPrEx>
        <w:trPr>
          <w:trHeight w:val="628" w:hRule="atLeast"/>
        </w:trPr>
        <w:tc>
          <w:tcPr>
            <w:tcW w:w="9405" w:type="dxa"/>
            <w:gridSpan w:val="3"/>
            <w:tcBorders>
              <w:top w:val="single" w:color="auto" w:sz="6" w:space="0"/>
              <w:left w:val="double" w:color="auto" w:sz="4" w:space="0"/>
              <w:bottom w:val="single" w:color="auto" w:sz="6" w:space="0"/>
              <w:right w:val="double" w:color="auto" w:sz="4" w:space="0"/>
            </w:tcBorders>
            <w:noWrap w:val="0"/>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11.9预算金额：</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一标段：4620000元；二标段：2640000元；三标段：980000元；四标段：1740000元。</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最高限价：</w:t>
            </w:r>
          </w:p>
          <w:p>
            <w:pPr>
              <w:spacing w:line="360" w:lineRule="auto"/>
              <w:jc w:val="left"/>
              <w:rPr>
                <w:rFonts w:hint="eastAsia" w:ascii="宋体" w:hAnsi="宋体" w:cs="宋体"/>
                <w:szCs w:val="21"/>
              </w:rPr>
            </w:pPr>
            <w:r>
              <w:rPr>
                <w:rFonts w:hint="eastAsia" w:ascii="宋体" w:hAnsi="宋体" w:eastAsia="宋体" w:cs="宋体"/>
                <w:szCs w:val="21"/>
                <w:lang w:val="en-US" w:eastAsia="zh-CN"/>
              </w:rPr>
              <w:t>一标段：4620000元；二标段：2640000元；三标段：980000元；四标段：1740000元。</w:t>
            </w:r>
          </w:p>
        </w:tc>
      </w:tr>
    </w:tbl>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rPr>
      </w:pPr>
      <w:bookmarkStart w:id="18" w:name="_Toc417997108"/>
      <w:r>
        <w:rPr>
          <w:rFonts w:hint="eastAsia" w:ascii="宋体" w:hAnsi="宋体"/>
          <w:b/>
          <w:bCs/>
          <w:sz w:val="24"/>
          <w:szCs w:val="24"/>
        </w:rPr>
        <w:br w:type="page"/>
      </w:r>
      <w:bookmarkEnd w:id="15"/>
      <w:bookmarkEnd w:id="16"/>
      <w:bookmarkEnd w:id="17"/>
      <w:bookmarkEnd w:id="18"/>
      <w:bookmarkStart w:id="19" w:name="_Toc26934"/>
      <w:bookmarkStart w:id="20" w:name="_Toc8969"/>
      <w:r>
        <w:rPr>
          <w:rFonts w:hint="eastAsia" w:ascii="宋体" w:hAnsi="宋体" w:eastAsia="宋体"/>
          <w:color w:val="000000"/>
          <w:sz w:val="24"/>
          <w:szCs w:val="24"/>
          <w:highlight w:val="none"/>
          <w:lang w:val="en-US" w:eastAsia="zh-CN"/>
        </w:rPr>
        <w:t>总则</w:t>
      </w:r>
      <w:bookmarkEnd w:id="19"/>
      <w:bookmarkEnd w:id="20"/>
    </w:p>
    <w:p>
      <w:pPr>
        <w:pStyle w:val="4"/>
        <w:numPr>
          <w:ilvl w:val="1"/>
          <w:numId w:val="4"/>
        </w:numPr>
        <w:jc w:val="left"/>
        <w:rPr>
          <w:rFonts w:hint="eastAsia"/>
          <w:highlight w:val="none"/>
        </w:rPr>
      </w:pPr>
      <w:bookmarkStart w:id="21" w:name="_Toc30513"/>
      <w:bookmarkStart w:id="22" w:name="_Toc6492"/>
      <w:bookmarkStart w:id="23" w:name="_Toc2427"/>
      <w:bookmarkStart w:id="24" w:name="_Toc28377"/>
      <w:bookmarkStart w:id="25" w:name="_Toc20743"/>
      <w:bookmarkStart w:id="26" w:name="_Toc14496"/>
      <w:bookmarkStart w:id="27" w:name="_Toc288232109"/>
      <w:bookmarkStart w:id="28" w:name="_Toc2081"/>
      <w:bookmarkStart w:id="29" w:name="_Toc27597"/>
      <w:bookmarkStart w:id="30" w:name="_Toc5358"/>
      <w:bookmarkStart w:id="31" w:name="_Toc30432"/>
      <w:bookmarkStart w:id="32" w:name="_Toc28200"/>
      <w:bookmarkStart w:id="33" w:name="_Toc15062"/>
      <w:bookmarkStart w:id="34" w:name="_Toc4828"/>
      <w:bookmarkStart w:id="35" w:name="_Toc28267"/>
      <w:r>
        <w:rPr>
          <w:rFonts w:hint="eastAsia"/>
          <w:highlight w:val="none"/>
        </w:rPr>
        <w:t>适用范围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lang w:eastAsia="zh-CN"/>
        </w:rPr>
        <w:t>根据《中华人民共和国政府采购法》、《中华人民共和国政府采购法实施条例》等有关法律、法规和规章的规定，本项目已具备招标条件，现对本项目进行公开招标，本招标文件仅适用</w:t>
      </w:r>
      <w:r>
        <w:rPr>
          <w:rFonts w:hint="eastAsia" w:ascii="宋体" w:hAnsi="宋体"/>
          <w:color w:val="000000"/>
          <w:szCs w:val="21"/>
          <w:highlight w:val="none"/>
        </w:rPr>
        <w:t>于本次</w:t>
      </w:r>
      <w:r>
        <w:rPr>
          <w:rFonts w:hint="eastAsia" w:ascii="宋体" w:hAnsi="宋体"/>
          <w:color w:val="000000"/>
          <w:szCs w:val="21"/>
          <w:highlight w:val="none"/>
          <w:lang w:eastAsia="zh-CN"/>
        </w:rPr>
        <w:t>招标文件中</w:t>
      </w:r>
      <w:r>
        <w:rPr>
          <w:rFonts w:hint="eastAsia" w:ascii="宋体" w:hAnsi="宋体"/>
          <w:color w:val="000000"/>
          <w:szCs w:val="21"/>
          <w:highlight w:val="none"/>
        </w:rPr>
        <w:t>所述的货物</w:t>
      </w:r>
      <w:r>
        <w:rPr>
          <w:rFonts w:hint="eastAsia" w:ascii="宋体" w:hAnsi="宋体"/>
          <w:color w:val="000000"/>
          <w:szCs w:val="21"/>
          <w:highlight w:val="none"/>
          <w:lang w:eastAsia="zh-CN"/>
        </w:rPr>
        <w:t>及其伴随的服务</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olor w:val="000000"/>
          <w:szCs w:val="21"/>
          <w:highlight w:val="none"/>
        </w:rPr>
      </w:pPr>
      <w:r>
        <w:rPr>
          <w:rFonts w:hint="eastAsia" w:ascii="宋体" w:hAnsi="宋体"/>
          <w:color w:val="000000"/>
          <w:szCs w:val="21"/>
          <w:highlight w:val="none"/>
        </w:rPr>
        <w:t>本</w:t>
      </w:r>
      <w:r>
        <w:rPr>
          <w:rFonts w:hint="eastAsia" w:ascii="宋体" w:hAnsi="宋体"/>
          <w:color w:val="000000"/>
          <w:szCs w:val="21"/>
          <w:highlight w:val="none"/>
          <w:lang w:eastAsia="zh-CN"/>
        </w:rPr>
        <w:t>招标</w:t>
      </w:r>
      <w:r>
        <w:rPr>
          <w:rFonts w:hint="eastAsia" w:ascii="宋体" w:hAnsi="宋体"/>
          <w:color w:val="000000"/>
          <w:szCs w:val="21"/>
          <w:highlight w:val="none"/>
        </w:rPr>
        <w:t>文件的解释权归采购人所有。</w:t>
      </w:r>
    </w:p>
    <w:p>
      <w:pPr>
        <w:pStyle w:val="4"/>
        <w:numPr>
          <w:ilvl w:val="1"/>
          <w:numId w:val="4"/>
        </w:numPr>
        <w:jc w:val="left"/>
        <w:rPr>
          <w:rFonts w:hint="eastAsia"/>
          <w:highlight w:val="none"/>
          <w:lang w:eastAsia="zh-CN"/>
        </w:rPr>
      </w:pPr>
      <w:bookmarkStart w:id="36" w:name="_Toc30850892"/>
      <w:bookmarkStart w:id="37" w:name="_Toc13654"/>
      <w:bookmarkStart w:id="38" w:name="_Toc29424"/>
      <w:bookmarkStart w:id="39" w:name="_Toc8062"/>
      <w:bookmarkStart w:id="40" w:name="_Toc16716"/>
      <w:bookmarkStart w:id="41" w:name="_Toc19192"/>
      <w:bookmarkStart w:id="42" w:name="_Toc8365"/>
      <w:bookmarkStart w:id="43" w:name="_Toc18955"/>
      <w:r>
        <w:rPr>
          <w:rFonts w:hint="eastAsia"/>
          <w:highlight w:val="none"/>
          <w:lang w:eastAsia="zh-CN"/>
        </w:rPr>
        <w:t>招标项目概况</w:t>
      </w:r>
      <w:bookmarkEnd w:id="36"/>
      <w:bookmarkEnd w:id="37"/>
      <w:bookmarkEnd w:id="38"/>
      <w:bookmarkEnd w:id="39"/>
      <w:bookmarkEnd w:id="40"/>
      <w:bookmarkEnd w:id="41"/>
      <w:bookmarkEnd w:id="42"/>
      <w:bookmarkEnd w:id="4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中所述的、依法进行政府采购的国家机关、事业单位、团体组织。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采购代理机构：受采购人委托组织招标活动，在招标过程中负有相应责任的社会中介组织。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项目名称及</w:t>
      </w:r>
      <w:r>
        <w:rPr>
          <w:rFonts w:hint="eastAsia" w:ascii="宋体" w:hAnsi="宋体"/>
          <w:color w:val="000000"/>
          <w:szCs w:val="21"/>
          <w:highlight w:val="none"/>
          <w:lang w:eastAsia="zh-CN"/>
        </w:rPr>
        <w:t>采购</w:t>
      </w:r>
      <w:r>
        <w:rPr>
          <w:rFonts w:hint="eastAsia" w:ascii="宋体" w:hAnsi="宋体"/>
          <w:color w:val="000000"/>
          <w:szCs w:val="21"/>
          <w:highlight w:val="none"/>
        </w:rPr>
        <w:t>编号：见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本次采购范围：</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资金来源及</w:t>
      </w:r>
      <w:r>
        <w:rPr>
          <w:rFonts w:hint="eastAsia" w:ascii="宋体" w:hAnsi="宋体"/>
          <w:color w:val="000000"/>
          <w:szCs w:val="21"/>
          <w:highlight w:val="none"/>
        </w:rPr>
        <w:t>预算</w:t>
      </w:r>
      <w:r>
        <w:rPr>
          <w:rFonts w:hint="eastAsia" w:ascii="宋体" w:hAnsi="宋体"/>
          <w:color w:val="000000"/>
          <w:szCs w:val="21"/>
          <w:highlight w:val="none"/>
          <w:lang w:eastAsia="zh-CN"/>
        </w:rPr>
        <w:t>金额</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交货及安装期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交货地点：见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质保期：</w:t>
      </w:r>
      <w:r>
        <w:rPr>
          <w:rFonts w:hint="eastAsia" w:ascii="宋体" w:hAnsi="宋体"/>
          <w:color w:val="000000"/>
          <w:szCs w:val="21"/>
          <w:highlight w:val="none"/>
        </w:rPr>
        <w:t>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质量标准：见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合格投标人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具有独立承担民事责任能力的法人、其他组织或者自然人；</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具有良好的商业信誉和健全的财务会计制度；</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具有履行合同所必需的设备和专业技术能力；</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有依法缴纳税收和社会保障资金的良好记录；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参加政府采购活动前三年内，在经营活动中没有重大违法记录；</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具有完善的售后服务体系，并能承担招标项目的供货和相关服务的企业；</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已</w:t>
      </w:r>
      <w:r>
        <w:rPr>
          <w:rFonts w:hint="eastAsia" w:ascii="宋体" w:hAnsi="宋体" w:cs="微软雅黑"/>
          <w:kern w:val="0"/>
          <w:szCs w:val="21"/>
          <w:highlight w:val="none"/>
          <w:lang w:eastAsia="zh-CN"/>
        </w:rPr>
        <w:t>通过正规渠道获得本项目的招标文件</w:t>
      </w:r>
      <w:r>
        <w:rPr>
          <w:rFonts w:hint="eastAsia" w:ascii="宋体" w:hAnsi="宋体" w:eastAsia="宋体" w:cs="微软雅黑"/>
          <w:kern w:val="0"/>
          <w:szCs w:val="21"/>
          <w:highlight w:val="none"/>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未被依法暂停或者取消投标资格；</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未被责令停产停业、暂扣或者吊销许可证、暂扣或者吊销执照；</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法律、行政法规规定的其他条件。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投标人须知前附表规定的其他条件。</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投标人须知前附表规定接受联合体投标的，联合体除应符合本章第1.</w:t>
      </w:r>
      <w:r>
        <w:rPr>
          <w:rFonts w:hint="eastAsia" w:ascii="宋体" w:hAnsi="宋体"/>
          <w:color w:val="000000"/>
          <w:szCs w:val="21"/>
          <w:highlight w:val="none"/>
          <w:lang w:val="en-US" w:eastAsia="zh-CN"/>
        </w:rPr>
        <w:t>2</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项和投标人 须知前附表的要求外，还应遵守以下规定：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联合体各方均应符合《中华人民共和国政府采购法》第二十二条规定的条件。</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采购人根据采购项目对投标人的特殊要求，联合体中至少应当有一方符合相关规定。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联合体各方应签订</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，明确约定联合体各方承担的工作和相应的责任，并将</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作为投标文件</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一部分内容提交。</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大中型企业、其他自然人、法人或者非法人组织与小型、微型企业组成联合体共同参加投标</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w:t>
      </w:r>
      <w:r>
        <w:rPr>
          <w:rFonts w:hint="eastAsia" w:ascii="宋体" w:hAnsi="宋体" w:cs="微软雅黑"/>
          <w:kern w:val="0"/>
          <w:szCs w:val="21"/>
          <w:highlight w:val="none"/>
          <w:lang w:eastAsia="zh-CN"/>
        </w:rPr>
        <w:t>联合体协议书</w:t>
      </w:r>
      <w:r>
        <w:rPr>
          <w:rFonts w:hint="eastAsia" w:ascii="宋体" w:hAnsi="宋体" w:eastAsia="宋体" w:cs="微软雅黑"/>
          <w:kern w:val="0"/>
          <w:szCs w:val="21"/>
          <w:highlight w:val="none"/>
        </w:rPr>
        <w:t>中应</w:t>
      </w:r>
      <w:r>
        <w:rPr>
          <w:rFonts w:hint="eastAsia" w:ascii="宋体" w:hAnsi="宋体" w:cs="微软雅黑"/>
          <w:kern w:val="0"/>
          <w:szCs w:val="21"/>
          <w:highlight w:val="none"/>
          <w:lang w:eastAsia="zh-CN"/>
        </w:rPr>
        <w:t>明确</w:t>
      </w:r>
      <w:r>
        <w:rPr>
          <w:rFonts w:hint="eastAsia" w:ascii="宋体" w:hAnsi="宋体" w:eastAsia="宋体" w:cs="微软雅黑"/>
          <w:kern w:val="0"/>
          <w:szCs w:val="21"/>
          <w:highlight w:val="none"/>
        </w:rPr>
        <w:t>小型、微型企业</w:t>
      </w:r>
      <w:r>
        <w:rPr>
          <w:rFonts w:hint="eastAsia" w:ascii="宋体" w:hAnsi="宋体" w:cs="微软雅黑"/>
          <w:kern w:val="0"/>
          <w:szCs w:val="21"/>
          <w:highlight w:val="none"/>
          <w:lang w:eastAsia="zh-CN"/>
        </w:rPr>
        <w:t>在联合体</w:t>
      </w:r>
      <w:r>
        <w:rPr>
          <w:rFonts w:hint="eastAsia" w:ascii="宋体" w:hAnsi="宋体" w:eastAsia="宋体" w:cs="微软雅黑"/>
          <w:kern w:val="0"/>
          <w:szCs w:val="21"/>
          <w:highlight w:val="none"/>
        </w:rPr>
        <w:t>投标</w:t>
      </w:r>
      <w:r>
        <w:rPr>
          <w:rFonts w:hint="eastAsia" w:ascii="宋体" w:hAnsi="宋体" w:cs="微软雅黑"/>
          <w:kern w:val="0"/>
          <w:szCs w:val="21"/>
          <w:highlight w:val="none"/>
          <w:lang w:eastAsia="zh-CN"/>
        </w:rPr>
        <w:t>中所占合同</w:t>
      </w:r>
      <w:r>
        <w:rPr>
          <w:rFonts w:hint="eastAsia" w:ascii="宋体" w:hAnsi="宋体" w:eastAsia="宋体" w:cs="微软雅黑"/>
          <w:kern w:val="0"/>
          <w:szCs w:val="21"/>
          <w:highlight w:val="none"/>
        </w:rPr>
        <w:t>总金额</w:t>
      </w:r>
      <w:r>
        <w:rPr>
          <w:rFonts w:hint="eastAsia" w:ascii="宋体" w:hAnsi="宋体" w:cs="微软雅黑"/>
          <w:kern w:val="0"/>
          <w:szCs w:val="21"/>
          <w:highlight w:val="none"/>
          <w:lang w:eastAsia="zh-CN"/>
        </w:rPr>
        <w:t>的</w:t>
      </w:r>
      <w:r>
        <w:rPr>
          <w:rFonts w:hint="eastAsia" w:ascii="宋体" w:hAnsi="宋体" w:eastAsia="宋体" w:cs="微软雅黑"/>
          <w:kern w:val="0"/>
          <w:szCs w:val="21"/>
          <w:highlight w:val="none"/>
        </w:rPr>
        <w:t>比例。</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联合体中有同类资质的</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按照联合体分工承担相同工作的，按照较低的资质等级确定联合体的资质等级。</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 xml:space="preserve"> 以联合体形式参加政府采购活动的，联合体各方不得再单独参加或者与其他</w:t>
      </w:r>
      <w:r>
        <w:rPr>
          <w:rFonts w:hint="eastAsia" w:ascii="宋体" w:hAnsi="宋体" w:cs="微软雅黑"/>
          <w:kern w:val="0"/>
          <w:szCs w:val="21"/>
          <w:highlight w:val="none"/>
          <w:lang w:eastAsia="zh-CN"/>
        </w:rPr>
        <w:t>投标人</w:t>
      </w:r>
      <w:r>
        <w:rPr>
          <w:rFonts w:hint="eastAsia" w:ascii="宋体" w:hAnsi="宋体" w:eastAsia="宋体" w:cs="微软雅黑"/>
          <w:kern w:val="0"/>
          <w:szCs w:val="21"/>
          <w:highlight w:val="none"/>
        </w:rPr>
        <w:t>另外组成联合体参加本项目投标，否则相关投标将被认定为</w:t>
      </w:r>
      <w:r>
        <w:rPr>
          <w:rFonts w:hint="eastAsia" w:ascii="宋体" w:hAnsi="宋体" w:eastAsia="宋体" w:cs="微软雅黑"/>
          <w:b/>
          <w:bCs/>
          <w:kern w:val="0"/>
          <w:szCs w:val="21"/>
          <w:highlight w:val="none"/>
        </w:rPr>
        <w:t>投标无效</w:t>
      </w:r>
      <w:r>
        <w:rPr>
          <w:rFonts w:hint="eastAsia" w:ascii="宋体" w:hAnsi="宋体" w:eastAsia="宋体" w:cs="微软雅黑"/>
          <w:kern w:val="0"/>
          <w:szCs w:val="21"/>
          <w:highlight w:val="none"/>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val="en-US" w:eastAsia="zh-CN"/>
        </w:rPr>
        <w:t>若联合体各方均为中小企业的，联合体视同中小企业。若联合体各方均为小微企业的，联合体视同小微企业。</w:t>
      </w:r>
      <w:r>
        <w:rPr>
          <w:rFonts w:hint="eastAsia" w:ascii="宋体" w:hAnsi="宋体" w:eastAsia="宋体" w:cs="微软雅黑"/>
          <w:b/>
          <w:bCs/>
          <w:color w:val="auto"/>
          <w:kern w:val="0"/>
          <w:szCs w:val="21"/>
          <w:highlight w:val="none"/>
          <w:lang w:val="en-US" w:eastAsia="zh-CN"/>
        </w:rPr>
        <w:t xml:space="preserve"> </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投标人不得存在下列情形之一：</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与采购人存在利害关系且可能影响招标公正性；</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与本招标项目的其他投标人为同一个单位负责人；</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与本招标项目的其他投标人存在控股、管理关系；</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为本招标项目提供过</w:t>
      </w:r>
      <w:r>
        <w:rPr>
          <w:rFonts w:hint="eastAsia" w:ascii="宋体" w:hAnsi="宋体" w:eastAsia="宋体" w:cs="微软雅黑"/>
          <w:kern w:val="0"/>
          <w:szCs w:val="21"/>
          <w:highlight w:val="none"/>
          <w:lang w:eastAsia="zh-CN"/>
        </w:rPr>
        <w:t>整体</w:t>
      </w:r>
      <w:r>
        <w:rPr>
          <w:rFonts w:hint="eastAsia" w:ascii="宋体" w:hAnsi="宋体" w:eastAsia="宋体" w:cs="微软雅黑"/>
          <w:kern w:val="0"/>
          <w:szCs w:val="21"/>
          <w:highlight w:val="none"/>
        </w:rPr>
        <w:t>设计、</w:t>
      </w:r>
      <w:r>
        <w:rPr>
          <w:rFonts w:hint="eastAsia" w:ascii="宋体" w:hAnsi="宋体" w:eastAsia="宋体" w:cs="微软雅黑"/>
          <w:kern w:val="0"/>
          <w:szCs w:val="21"/>
          <w:highlight w:val="none"/>
          <w:lang w:eastAsia="zh-CN"/>
        </w:rPr>
        <w:t>规范</w:t>
      </w:r>
      <w:r>
        <w:rPr>
          <w:rFonts w:hint="eastAsia" w:ascii="宋体" w:hAnsi="宋体" w:eastAsia="宋体" w:cs="微软雅黑"/>
          <w:kern w:val="0"/>
          <w:szCs w:val="21"/>
          <w:highlight w:val="none"/>
        </w:rPr>
        <w:t>编制</w:t>
      </w:r>
      <w:r>
        <w:rPr>
          <w:rFonts w:hint="eastAsia" w:ascii="宋体" w:hAnsi="宋体" w:eastAsia="宋体" w:cs="微软雅黑"/>
          <w:kern w:val="0"/>
          <w:szCs w:val="21"/>
          <w:highlight w:val="none"/>
          <w:lang w:eastAsia="zh-CN"/>
        </w:rPr>
        <w:t>或者项目管理、监理、检测等服务</w:t>
      </w:r>
      <w:r>
        <w:rPr>
          <w:rFonts w:hint="eastAsia" w:ascii="宋体" w:hAnsi="宋体" w:eastAsia="宋体" w:cs="微软雅黑"/>
          <w:kern w:val="0"/>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为本招标项目的招标代理机构；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投标人以他人名义投标、串通投标、以行贿手段牟取中标，或在投标中弄虚作假的；</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法律法规规定的其他情形。</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中标人：接到并接受中标通知，最终被授予合同的投标人。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投标文件：指投标人根据招标文件提交的所有文件。</w:t>
      </w:r>
    </w:p>
    <w:p>
      <w:pPr>
        <w:pStyle w:val="4"/>
        <w:numPr>
          <w:ilvl w:val="1"/>
          <w:numId w:val="4"/>
        </w:numPr>
        <w:jc w:val="left"/>
        <w:rPr>
          <w:rFonts w:hint="eastAsia"/>
          <w:highlight w:val="none"/>
          <w:lang w:eastAsia="zh-CN"/>
        </w:rPr>
      </w:pPr>
      <w:bookmarkStart w:id="44" w:name="_Toc9501"/>
      <w:bookmarkStart w:id="45" w:name="_Toc25850"/>
      <w:bookmarkStart w:id="46" w:name="_Toc31273"/>
      <w:bookmarkStart w:id="47" w:name="_Toc4927"/>
      <w:bookmarkStart w:id="48" w:name="_Toc778151319"/>
      <w:bookmarkStart w:id="49" w:name="_Toc3299"/>
      <w:bookmarkStart w:id="50" w:name="_Toc24972"/>
      <w:bookmarkStart w:id="51" w:name="_Toc8166"/>
      <w:r>
        <w:rPr>
          <w:rFonts w:hint="eastAsia"/>
          <w:highlight w:val="none"/>
          <w:lang w:eastAsia="zh-CN"/>
        </w:rPr>
        <w:t>投标费用</w:t>
      </w:r>
      <w:bookmarkEnd w:id="44"/>
      <w:bookmarkEnd w:id="45"/>
      <w:bookmarkEnd w:id="46"/>
      <w:bookmarkEnd w:id="47"/>
      <w:bookmarkEnd w:id="48"/>
      <w:bookmarkEnd w:id="49"/>
      <w:bookmarkEnd w:id="50"/>
      <w:bookmarkEnd w:id="51"/>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52" w:name="_Toc22953398"/>
      <w:bookmarkEnd w:id="52"/>
      <w:bookmarkStart w:id="53" w:name="_Toc312133544"/>
      <w:r>
        <w:rPr>
          <w:rFonts w:hint="eastAsia" w:ascii="宋体" w:hAnsi="宋体"/>
          <w:color w:val="000000"/>
          <w:szCs w:val="21"/>
          <w:highlight w:val="none"/>
        </w:rPr>
        <w:t>投标人准备和参加投标活动发生的费用自理。</w:t>
      </w:r>
    </w:p>
    <w:p>
      <w:pPr>
        <w:pStyle w:val="4"/>
        <w:numPr>
          <w:ilvl w:val="1"/>
          <w:numId w:val="4"/>
        </w:numPr>
        <w:jc w:val="left"/>
        <w:rPr>
          <w:rFonts w:hint="eastAsia"/>
          <w:highlight w:val="none"/>
        </w:rPr>
      </w:pPr>
      <w:bookmarkStart w:id="54" w:name="_Toc1130"/>
      <w:bookmarkStart w:id="55" w:name="_Toc13179"/>
      <w:bookmarkStart w:id="56" w:name="_Toc12301"/>
      <w:bookmarkStart w:id="57" w:name="_Toc6502"/>
      <w:bookmarkStart w:id="58" w:name="_Toc30990"/>
      <w:bookmarkStart w:id="59" w:name="_Toc28829"/>
      <w:bookmarkStart w:id="60" w:name="_Toc18613"/>
      <w:bookmarkStart w:id="61" w:name="_Toc13660"/>
      <w:bookmarkStart w:id="62" w:name="_Toc15052"/>
      <w:bookmarkStart w:id="63" w:name="_Toc1538835494"/>
      <w:bookmarkStart w:id="64" w:name="_Toc7192"/>
      <w:bookmarkStart w:id="65" w:name="_Toc31440"/>
      <w:bookmarkStart w:id="66" w:name="_Toc27047"/>
      <w:bookmarkStart w:id="67" w:name="_Toc28577"/>
      <w:bookmarkStart w:id="68" w:name="_Toc23865"/>
      <w:r>
        <w:rPr>
          <w:rFonts w:hint="eastAsia"/>
          <w:highlight w:val="none"/>
        </w:rPr>
        <w:t>现场考察或答疑会</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现场考察：投标人须知前附表规定组织现场</w:t>
      </w:r>
      <w:r>
        <w:rPr>
          <w:rFonts w:hint="eastAsia" w:ascii="宋体" w:hAnsi="宋体"/>
          <w:color w:val="000000"/>
          <w:szCs w:val="21"/>
          <w:highlight w:val="none"/>
          <w:lang w:eastAsia="zh-CN"/>
        </w:rPr>
        <w:t>考察</w:t>
      </w:r>
      <w:r>
        <w:rPr>
          <w:rFonts w:hint="eastAsia" w:ascii="宋体" w:hAnsi="宋体"/>
          <w:color w:val="000000"/>
          <w:szCs w:val="21"/>
          <w:highlight w:val="none"/>
        </w:rPr>
        <w:t>的，</w:t>
      </w:r>
      <w:r>
        <w:rPr>
          <w:rFonts w:hint="eastAsia" w:ascii="宋体" w:hAnsi="宋体"/>
          <w:color w:val="000000"/>
          <w:szCs w:val="21"/>
          <w:highlight w:val="none"/>
          <w:lang w:eastAsia="zh-CN"/>
        </w:rPr>
        <w:t>采购人</w:t>
      </w:r>
      <w:r>
        <w:rPr>
          <w:rFonts w:hint="eastAsia" w:ascii="宋体" w:hAnsi="宋体"/>
          <w:color w:val="000000"/>
          <w:szCs w:val="21"/>
          <w:highlight w:val="none"/>
        </w:rPr>
        <w:t>按投标人须知前附表规定的时间、地点组织投标人</w:t>
      </w:r>
      <w:r>
        <w:rPr>
          <w:rFonts w:hint="eastAsia" w:ascii="宋体" w:hAnsi="宋体"/>
          <w:color w:val="000000"/>
          <w:szCs w:val="21"/>
          <w:highlight w:val="none"/>
          <w:lang w:eastAsia="zh-CN"/>
        </w:rPr>
        <w:t>考察</w:t>
      </w:r>
      <w:r>
        <w:rPr>
          <w:rFonts w:hint="eastAsia" w:ascii="宋体" w:hAnsi="宋体"/>
          <w:color w:val="000000"/>
          <w:szCs w:val="21"/>
          <w:highlight w:val="none"/>
        </w:rPr>
        <w:t>项目现场。部分投标人未按时参加现场</w:t>
      </w:r>
      <w:r>
        <w:rPr>
          <w:rFonts w:hint="eastAsia" w:ascii="宋体" w:hAnsi="宋体"/>
          <w:color w:val="000000"/>
          <w:szCs w:val="21"/>
          <w:highlight w:val="none"/>
          <w:lang w:eastAsia="zh-CN"/>
        </w:rPr>
        <w:t>考察</w:t>
      </w:r>
      <w:r>
        <w:rPr>
          <w:rFonts w:hint="eastAsia" w:ascii="宋体" w:hAnsi="宋体"/>
          <w:color w:val="000000"/>
          <w:szCs w:val="21"/>
          <w:highlight w:val="none"/>
        </w:rPr>
        <w:t>的，不影响现场</w:t>
      </w:r>
      <w:r>
        <w:rPr>
          <w:rFonts w:hint="eastAsia" w:ascii="宋体" w:hAnsi="宋体"/>
          <w:color w:val="000000"/>
          <w:szCs w:val="21"/>
          <w:highlight w:val="none"/>
          <w:lang w:eastAsia="zh-CN"/>
        </w:rPr>
        <w:t>考察</w:t>
      </w:r>
      <w:r>
        <w:rPr>
          <w:rFonts w:hint="eastAsia" w:ascii="宋体" w:hAnsi="宋体"/>
          <w:color w:val="000000"/>
          <w:szCs w:val="21"/>
          <w:highlight w:val="none"/>
        </w:rPr>
        <w:t>的正常进行。</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投标人现场</w:t>
      </w:r>
      <w:r>
        <w:rPr>
          <w:rFonts w:hint="eastAsia" w:ascii="宋体" w:hAnsi="宋体"/>
          <w:color w:val="000000"/>
          <w:szCs w:val="21"/>
          <w:highlight w:val="none"/>
          <w:lang w:eastAsia="zh-CN"/>
        </w:rPr>
        <w:t>考察</w:t>
      </w:r>
      <w:r>
        <w:rPr>
          <w:rFonts w:hint="eastAsia" w:ascii="宋体" w:hAnsi="宋体"/>
          <w:color w:val="000000"/>
          <w:szCs w:val="21"/>
          <w:highlight w:val="none"/>
        </w:rPr>
        <w:t>发生的费用自理。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w:t>
      </w:r>
      <w:r>
        <w:rPr>
          <w:rFonts w:hint="eastAsia" w:ascii="宋体" w:hAnsi="宋体"/>
          <w:color w:val="000000"/>
          <w:szCs w:val="21"/>
          <w:highlight w:val="none"/>
          <w:lang w:eastAsia="zh-CN"/>
        </w:rPr>
        <w:t>采购人</w:t>
      </w:r>
      <w:r>
        <w:rPr>
          <w:rFonts w:hint="eastAsia" w:ascii="宋体" w:hAnsi="宋体"/>
          <w:color w:val="000000"/>
          <w:szCs w:val="21"/>
          <w:highlight w:val="none"/>
        </w:rPr>
        <w:t>的原因外，投标人自行负责在现场</w:t>
      </w:r>
      <w:r>
        <w:rPr>
          <w:rFonts w:hint="eastAsia" w:ascii="宋体" w:hAnsi="宋体"/>
          <w:color w:val="000000"/>
          <w:szCs w:val="21"/>
          <w:highlight w:val="none"/>
          <w:lang w:eastAsia="zh-CN"/>
        </w:rPr>
        <w:t>考察</w:t>
      </w:r>
      <w:r>
        <w:rPr>
          <w:rFonts w:hint="eastAsia" w:ascii="宋体" w:hAnsi="宋体"/>
          <w:color w:val="000000"/>
          <w:szCs w:val="21"/>
          <w:highlight w:val="none"/>
        </w:rPr>
        <w:t>中所发生的人员伤亡和财产损失。</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采购人</w:t>
      </w:r>
      <w:r>
        <w:rPr>
          <w:rFonts w:hint="eastAsia" w:ascii="宋体" w:hAnsi="宋体"/>
          <w:color w:val="000000"/>
          <w:szCs w:val="21"/>
          <w:highlight w:val="none"/>
        </w:rPr>
        <w:t>在现场</w:t>
      </w:r>
      <w:r>
        <w:rPr>
          <w:rFonts w:hint="eastAsia" w:ascii="宋体" w:hAnsi="宋体"/>
          <w:color w:val="000000"/>
          <w:szCs w:val="21"/>
          <w:highlight w:val="none"/>
          <w:lang w:eastAsia="zh-CN"/>
        </w:rPr>
        <w:t>考察</w:t>
      </w:r>
      <w:r>
        <w:rPr>
          <w:rFonts w:hint="eastAsia" w:ascii="宋体" w:hAnsi="宋体"/>
          <w:color w:val="000000"/>
          <w:szCs w:val="21"/>
          <w:highlight w:val="none"/>
        </w:rPr>
        <w:t>中介绍的</w:t>
      </w:r>
      <w:r>
        <w:rPr>
          <w:rFonts w:hint="eastAsia" w:ascii="宋体" w:hAnsi="宋体"/>
          <w:color w:val="000000"/>
          <w:szCs w:val="21"/>
          <w:highlight w:val="none"/>
          <w:lang w:eastAsia="zh-CN"/>
        </w:rPr>
        <w:t>项目</w:t>
      </w:r>
      <w:r>
        <w:rPr>
          <w:rFonts w:hint="eastAsia" w:ascii="宋体" w:hAnsi="宋体"/>
          <w:color w:val="000000"/>
          <w:szCs w:val="21"/>
          <w:highlight w:val="none"/>
        </w:rPr>
        <w:t>场地和相关的周边环境情况，供投标人在编制投标文件时参考，</w:t>
      </w:r>
      <w:r>
        <w:rPr>
          <w:rFonts w:hint="eastAsia" w:ascii="宋体" w:hAnsi="宋体"/>
          <w:color w:val="000000"/>
          <w:szCs w:val="21"/>
          <w:highlight w:val="none"/>
          <w:lang w:eastAsia="zh-CN"/>
        </w:rPr>
        <w:t>采购人</w:t>
      </w:r>
      <w:r>
        <w:rPr>
          <w:rFonts w:hint="eastAsia" w:ascii="宋体" w:hAnsi="宋体"/>
          <w:color w:val="000000"/>
          <w:szCs w:val="21"/>
          <w:highlight w:val="none"/>
        </w:rPr>
        <w:t>不对投标人据此作出的判断和决策负责。</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答疑会：见</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w:t>
      </w:r>
    </w:p>
    <w:p>
      <w:pPr>
        <w:pStyle w:val="4"/>
        <w:numPr>
          <w:ilvl w:val="1"/>
          <w:numId w:val="4"/>
        </w:numPr>
        <w:jc w:val="left"/>
        <w:rPr>
          <w:rFonts w:hint="eastAsia"/>
          <w:highlight w:val="none"/>
        </w:rPr>
      </w:pPr>
      <w:bookmarkStart w:id="69" w:name="_Toc7448"/>
      <w:bookmarkStart w:id="70" w:name="_Toc227728134"/>
      <w:bookmarkStart w:id="71" w:name="_Toc27635"/>
      <w:bookmarkStart w:id="72" w:name="_Toc28493"/>
      <w:bookmarkStart w:id="73" w:name="_Toc9110"/>
      <w:bookmarkStart w:id="74" w:name="_Toc9561"/>
      <w:bookmarkStart w:id="75" w:name="_Toc10737"/>
      <w:bookmarkStart w:id="76" w:name="_Toc11040"/>
      <w:bookmarkStart w:id="77" w:name="_Toc9977"/>
      <w:bookmarkStart w:id="78" w:name="_Toc6051"/>
      <w:bookmarkStart w:id="79" w:name="_Toc26711"/>
      <w:bookmarkStart w:id="80" w:name="_Toc9989"/>
      <w:bookmarkStart w:id="81" w:name="_Toc20467"/>
      <w:bookmarkStart w:id="82" w:name="_Toc8265"/>
      <w:bookmarkStart w:id="83" w:name="_Toc17829"/>
      <w:r>
        <w:rPr>
          <w:rFonts w:hint="eastAsia"/>
          <w:highlight w:val="none"/>
        </w:rPr>
        <w:t>分包</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84" w:name="_Toc20874"/>
      <w:bookmarkStart w:id="85" w:name="_Toc28651"/>
      <w:r>
        <w:rPr>
          <w:rFonts w:hint="eastAsia" w:ascii="宋体" w:hAnsi="宋体"/>
          <w:color w:val="000000"/>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中标人不得向他人转让中标项目，接受分包的人不得再次分包。中标人应当就分包项目向</w:t>
      </w:r>
      <w:r>
        <w:rPr>
          <w:rFonts w:hint="eastAsia" w:ascii="宋体" w:hAnsi="宋体"/>
          <w:color w:val="000000"/>
          <w:szCs w:val="21"/>
          <w:highlight w:val="none"/>
          <w:lang w:eastAsia="zh-CN"/>
        </w:rPr>
        <w:t>采购人</w:t>
      </w:r>
      <w:r>
        <w:rPr>
          <w:rFonts w:hint="eastAsia" w:ascii="宋体" w:hAnsi="宋体"/>
          <w:color w:val="000000"/>
          <w:szCs w:val="21"/>
          <w:highlight w:val="none"/>
        </w:rPr>
        <w:t>负责，接受分包的人就分包项目承担连带责任。</w:t>
      </w:r>
      <w:r>
        <w:rPr>
          <w:rFonts w:hint="eastAsia" w:ascii="宋体" w:hAnsi="宋体"/>
          <w:color w:val="000000"/>
          <w:szCs w:val="21"/>
          <w:highlight w:val="none"/>
          <w:lang w:val="en-US" w:eastAsia="zh-CN"/>
        </w:rPr>
        <w:t xml:space="preserve"> </w:t>
      </w:r>
    </w:p>
    <w:p>
      <w:pPr>
        <w:pStyle w:val="105"/>
        <w:keepNext w:val="0"/>
        <w:keepLines w:val="0"/>
        <w:pageBreakBefore w:val="0"/>
        <w:widowControl w:val="0"/>
        <w:numPr>
          <w:ilvl w:val="2"/>
          <w:numId w:val="4"/>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微软雅黑"/>
          <w:color w:val="auto"/>
          <w:kern w:val="0"/>
          <w:sz w:val="21"/>
          <w:szCs w:val="21"/>
          <w:highlight w:val="none"/>
          <w:lang w:val="en-US" w:eastAsia="zh-CN" w:bidi="ar-SA"/>
        </w:rPr>
      </w:pPr>
      <w:r>
        <w:rPr>
          <w:rFonts w:hint="eastAsia" w:ascii="宋体" w:hAnsi="宋体" w:eastAsia="宋体" w:cs="微软雅黑"/>
          <w:color w:val="auto"/>
          <w:kern w:val="0"/>
          <w:sz w:val="21"/>
          <w:szCs w:val="21"/>
          <w:highlight w:val="none"/>
          <w:lang w:val="en-US" w:eastAsia="zh-CN" w:bidi="ar-SA"/>
        </w:rPr>
        <w:t>依据《政府采购促进中小企业发展管理办法》规定享受扶持政策获得政府采购合同的小微企业不得将合同分包给大中型企业，中型企业不得将合同分包给大型企业。</w:t>
      </w:r>
    </w:p>
    <w:bookmarkEnd w:id="84"/>
    <w:bookmarkEnd w:id="85"/>
    <w:p>
      <w:pPr>
        <w:pStyle w:val="4"/>
        <w:numPr>
          <w:ilvl w:val="1"/>
          <w:numId w:val="4"/>
        </w:numPr>
        <w:jc w:val="left"/>
        <w:rPr>
          <w:rFonts w:hint="eastAsia"/>
          <w:highlight w:val="none"/>
        </w:rPr>
      </w:pPr>
      <w:bookmarkStart w:id="86" w:name="_Toc10772"/>
      <w:bookmarkStart w:id="87" w:name="_Toc21622"/>
      <w:bookmarkStart w:id="88" w:name="_Toc1044"/>
      <w:bookmarkStart w:id="89" w:name="_Toc14380"/>
      <w:bookmarkStart w:id="90" w:name="_Toc1076215629"/>
      <w:bookmarkStart w:id="91" w:name="_Toc15352"/>
      <w:bookmarkStart w:id="92" w:name="_Toc20927"/>
      <w:bookmarkStart w:id="93" w:name="_Toc11842"/>
      <w:r>
        <w:rPr>
          <w:rFonts w:hint="eastAsia"/>
          <w:highlight w:val="none"/>
        </w:rPr>
        <w:t>样品</w:t>
      </w:r>
      <w:bookmarkEnd w:id="86"/>
      <w:bookmarkEnd w:id="87"/>
      <w:bookmarkEnd w:id="88"/>
      <w:bookmarkEnd w:id="89"/>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olor w:val="000000"/>
          <w:szCs w:val="21"/>
          <w:highlight w:val="none"/>
          <w:lang w:val="en-US" w:eastAsia="zh-CN"/>
        </w:rPr>
      </w:pPr>
      <w:r>
        <w:rPr>
          <w:rFonts w:hint="eastAsia" w:ascii="宋体" w:hAnsi="宋体"/>
          <w:color w:val="000000"/>
          <w:szCs w:val="21"/>
          <w:highlight w:val="none"/>
          <w:lang w:eastAsia="zh-CN"/>
        </w:rPr>
        <w:t>投标人须知前附表规定要求投标人提供样品的，</w:t>
      </w:r>
      <w:r>
        <w:rPr>
          <w:rFonts w:hint="eastAsia" w:ascii="宋体" w:hAnsi="宋体" w:eastAsia="宋体" w:cs="宋体"/>
          <w:sz w:val="21"/>
          <w:szCs w:val="21"/>
          <w:highlight w:val="none"/>
        </w:rPr>
        <w:t>样品制作的标准和要求、是否需要随样品提交相关检测报告、检测机构</w:t>
      </w:r>
      <w:r>
        <w:rPr>
          <w:rFonts w:hint="eastAsia" w:ascii="宋体" w:hAnsi="宋体" w:cs="宋体"/>
          <w:sz w:val="21"/>
          <w:szCs w:val="21"/>
          <w:highlight w:val="none"/>
          <w:lang w:eastAsia="zh-CN"/>
        </w:rPr>
        <w:t>的要求</w:t>
      </w:r>
      <w:r>
        <w:rPr>
          <w:rFonts w:hint="eastAsia" w:ascii="宋体" w:hAnsi="宋体" w:eastAsia="宋体" w:cs="宋体"/>
          <w:sz w:val="21"/>
          <w:szCs w:val="21"/>
          <w:highlight w:val="none"/>
        </w:rPr>
        <w:t>、检测内容</w:t>
      </w:r>
      <w:r>
        <w:rPr>
          <w:rFonts w:hint="eastAsia" w:ascii="宋体" w:hAnsi="宋体" w:cs="宋体"/>
          <w:sz w:val="21"/>
          <w:szCs w:val="21"/>
          <w:highlight w:val="none"/>
          <w:lang w:eastAsia="zh-CN"/>
        </w:rPr>
        <w:t>及样品的保管、封存等见投标人须知前附表。样品的评审方法和评审标准以评标办法为准。</w:t>
      </w:r>
    </w:p>
    <w:p>
      <w:pPr>
        <w:pStyle w:val="4"/>
        <w:numPr>
          <w:ilvl w:val="1"/>
          <w:numId w:val="4"/>
        </w:numPr>
        <w:jc w:val="left"/>
        <w:rPr>
          <w:rFonts w:hint="eastAsia"/>
          <w:highlight w:val="none"/>
        </w:rPr>
      </w:pPr>
      <w:bookmarkStart w:id="94" w:name="_Toc9147"/>
      <w:bookmarkStart w:id="95" w:name="_Toc15630"/>
      <w:bookmarkStart w:id="96" w:name="_Toc1316067445"/>
      <w:bookmarkStart w:id="97" w:name="_Toc25924"/>
      <w:bookmarkStart w:id="98" w:name="_Toc29202"/>
      <w:bookmarkStart w:id="99" w:name="_Toc29855"/>
      <w:bookmarkStart w:id="100" w:name="_Toc14740"/>
      <w:bookmarkStart w:id="101" w:name="_Toc12963"/>
      <w:bookmarkStart w:id="102" w:name="_Toc11845"/>
      <w:bookmarkStart w:id="103" w:name="_Toc9588"/>
      <w:bookmarkStart w:id="104" w:name="_Toc17536"/>
      <w:bookmarkStart w:id="105" w:name="_Toc16595"/>
      <w:bookmarkStart w:id="106" w:name="_Toc7441"/>
      <w:bookmarkStart w:id="107" w:name="_Toc5477"/>
      <w:bookmarkStart w:id="108" w:name="_Toc29163"/>
      <w:r>
        <w:rPr>
          <w:rFonts w:hint="eastAsia"/>
          <w:highlight w:val="none"/>
        </w:rPr>
        <w:t>投标语言</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招标</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使</w:t>
      </w:r>
      <w:r>
        <w:rPr>
          <w:rFonts w:hint="eastAsia" w:ascii="宋体" w:hAnsi="宋体" w:cs="宋体"/>
          <w:kern w:val="0"/>
          <w:szCs w:val="21"/>
          <w:highlight w:val="none"/>
        </w:rPr>
        <w:t>用</w:t>
      </w:r>
      <w:r>
        <w:rPr>
          <w:rFonts w:hint="eastAsia" w:ascii="宋体" w:hAnsi="宋体" w:cs="宋体"/>
          <w:spacing w:val="-2"/>
          <w:kern w:val="0"/>
          <w:szCs w:val="21"/>
          <w:highlight w:val="none"/>
        </w:rPr>
        <w:t>的</w:t>
      </w:r>
      <w:r>
        <w:rPr>
          <w:rFonts w:hint="eastAsia" w:ascii="宋体" w:hAnsi="宋体" w:cs="宋体"/>
          <w:kern w:val="0"/>
          <w:szCs w:val="21"/>
          <w:highlight w:val="none"/>
        </w:rPr>
        <w:t>语</w:t>
      </w:r>
      <w:r>
        <w:rPr>
          <w:rFonts w:hint="eastAsia" w:ascii="宋体" w:hAnsi="宋体" w:cs="宋体"/>
          <w:spacing w:val="-2"/>
          <w:kern w:val="0"/>
          <w:szCs w:val="21"/>
          <w:highlight w:val="none"/>
        </w:rPr>
        <w:t>言</w:t>
      </w:r>
      <w:r>
        <w:rPr>
          <w:rFonts w:hint="eastAsia" w:ascii="宋体" w:hAnsi="宋体" w:cs="宋体"/>
          <w:kern w:val="0"/>
          <w:szCs w:val="21"/>
          <w:highlight w:val="none"/>
        </w:rPr>
        <w:t>文字</w:t>
      </w:r>
      <w:r>
        <w:rPr>
          <w:rFonts w:hint="eastAsia" w:ascii="宋体" w:hAnsi="宋体" w:cs="宋体"/>
          <w:spacing w:val="-2"/>
          <w:kern w:val="0"/>
          <w:szCs w:val="21"/>
          <w:highlight w:val="none"/>
        </w:rPr>
        <w:t>为</w:t>
      </w:r>
      <w:r>
        <w:rPr>
          <w:rFonts w:hint="eastAsia" w:ascii="宋体" w:hAnsi="宋体" w:cs="宋体"/>
          <w:kern w:val="0"/>
          <w:szCs w:val="21"/>
          <w:highlight w:val="none"/>
        </w:rPr>
        <w:t>中</w:t>
      </w:r>
      <w:r>
        <w:rPr>
          <w:rFonts w:hint="eastAsia" w:ascii="宋体" w:hAnsi="宋体" w:cs="宋体"/>
          <w:spacing w:val="-2"/>
          <w:kern w:val="0"/>
          <w:szCs w:val="21"/>
          <w:highlight w:val="none"/>
        </w:rPr>
        <w:t>文</w:t>
      </w:r>
      <w:r>
        <w:rPr>
          <w:rFonts w:hint="eastAsia" w:ascii="宋体" w:hAnsi="宋体" w:cs="宋体"/>
          <w:kern w:val="0"/>
          <w:szCs w:val="21"/>
          <w:highlight w:val="none"/>
        </w:rPr>
        <w:t>。</w:t>
      </w:r>
      <w:r>
        <w:rPr>
          <w:rFonts w:hint="eastAsia" w:ascii="宋体" w:hAnsi="宋体" w:cs="宋体"/>
          <w:spacing w:val="-2"/>
          <w:kern w:val="0"/>
          <w:szCs w:val="21"/>
          <w:highlight w:val="none"/>
        </w:rPr>
        <w:t>专</w:t>
      </w:r>
      <w:r>
        <w:rPr>
          <w:rFonts w:hint="eastAsia" w:ascii="宋体" w:hAnsi="宋体" w:cs="宋体"/>
          <w:kern w:val="0"/>
          <w:szCs w:val="21"/>
          <w:highlight w:val="none"/>
        </w:rPr>
        <w:t>用</w:t>
      </w:r>
      <w:r>
        <w:rPr>
          <w:rFonts w:hint="eastAsia" w:ascii="宋体" w:hAnsi="宋体" w:cs="宋体"/>
          <w:spacing w:val="-2"/>
          <w:kern w:val="0"/>
          <w:szCs w:val="21"/>
          <w:highlight w:val="none"/>
        </w:rPr>
        <w:t>术</w:t>
      </w:r>
      <w:r>
        <w:rPr>
          <w:rFonts w:hint="eastAsia" w:ascii="宋体" w:hAnsi="宋体" w:cs="宋体"/>
          <w:kern w:val="0"/>
          <w:szCs w:val="21"/>
          <w:highlight w:val="none"/>
        </w:rPr>
        <w:t>语</w:t>
      </w:r>
      <w:r>
        <w:rPr>
          <w:rFonts w:hint="eastAsia" w:ascii="宋体" w:hAnsi="宋体" w:cs="宋体"/>
          <w:spacing w:val="-2"/>
          <w:kern w:val="0"/>
          <w:szCs w:val="21"/>
          <w:highlight w:val="none"/>
        </w:rPr>
        <w:t>使</w:t>
      </w:r>
      <w:r>
        <w:rPr>
          <w:rFonts w:hint="eastAsia" w:ascii="宋体" w:hAnsi="宋体" w:cs="宋体"/>
          <w:kern w:val="0"/>
          <w:szCs w:val="21"/>
          <w:highlight w:val="none"/>
        </w:rPr>
        <w:t>用外</w:t>
      </w:r>
      <w:r>
        <w:rPr>
          <w:rFonts w:hint="eastAsia" w:ascii="宋体" w:hAnsi="宋体" w:cs="宋体"/>
          <w:spacing w:val="-2"/>
          <w:kern w:val="0"/>
          <w:szCs w:val="21"/>
          <w:highlight w:val="none"/>
        </w:rPr>
        <w:t>文</w:t>
      </w:r>
      <w:r>
        <w:rPr>
          <w:rFonts w:hint="eastAsia" w:ascii="宋体" w:hAnsi="宋体" w:cs="宋体"/>
          <w:kern w:val="0"/>
          <w:szCs w:val="21"/>
          <w:highlight w:val="none"/>
        </w:rPr>
        <w:t>的</w:t>
      </w:r>
      <w:r>
        <w:rPr>
          <w:rFonts w:hint="eastAsia" w:ascii="宋体" w:hAnsi="宋体" w:cs="宋体"/>
          <w:spacing w:val="-2"/>
          <w:kern w:val="0"/>
          <w:szCs w:val="21"/>
          <w:highlight w:val="none"/>
        </w:rPr>
        <w:t>，</w:t>
      </w:r>
      <w:r>
        <w:rPr>
          <w:rFonts w:hint="eastAsia" w:ascii="宋体" w:hAnsi="宋体" w:cs="宋体"/>
          <w:kern w:val="0"/>
          <w:szCs w:val="21"/>
          <w:highlight w:val="none"/>
        </w:rPr>
        <w:t>应</w:t>
      </w:r>
      <w:r>
        <w:rPr>
          <w:rFonts w:hint="eastAsia" w:ascii="宋体" w:hAnsi="宋体" w:cs="宋体"/>
          <w:spacing w:val="-2"/>
          <w:kern w:val="0"/>
          <w:szCs w:val="21"/>
          <w:highlight w:val="none"/>
        </w:rPr>
        <w:t>附</w:t>
      </w:r>
      <w:r>
        <w:rPr>
          <w:rFonts w:hint="eastAsia" w:ascii="宋体" w:hAnsi="宋体" w:cs="宋体"/>
          <w:kern w:val="0"/>
          <w:szCs w:val="21"/>
          <w:highlight w:val="none"/>
        </w:rPr>
        <w:t>有</w:t>
      </w:r>
      <w:r>
        <w:rPr>
          <w:rFonts w:hint="eastAsia" w:ascii="宋体" w:hAnsi="宋体" w:cs="宋体"/>
          <w:spacing w:val="-2"/>
          <w:kern w:val="0"/>
          <w:szCs w:val="21"/>
          <w:highlight w:val="none"/>
        </w:rPr>
        <w:t>中</w:t>
      </w:r>
      <w:r>
        <w:rPr>
          <w:rFonts w:hint="eastAsia" w:ascii="宋体" w:hAnsi="宋体" w:cs="宋体"/>
          <w:kern w:val="0"/>
          <w:szCs w:val="21"/>
          <w:highlight w:val="none"/>
        </w:rPr>
        <w:t>文</w:t>
      </w:r>
      <w:r>
        <w:rPr>
          <w:rFonts w:hint="eastAsia" w:ascii="宋体" w:hAnsi="宋体" w:cs="宋体"/>
          <w:spacing w:val="-2"/>
          <w:kern w:val="0"/>
          <w:szCs w:val="21"/>
          <w:highlight w:val="none"/>
        </w:rPr>
        <w:t>注</w:t>
      </w:r>
      <w:r>
        <w:rPr>
          <w:rFonts w:hint="eastAsia" w:ascii="宋体" w:hAnsi="宋体" w:cs="宋体"/>
          <w:kern w:val="0"/>
          <w:szCs w:val="21"/>
          <w:highlight w:val="none"/>
        </w:rPr>
        <w:t>释</w:t>
      </w:r>
      <w:r>
        <w:rPr>
          <w:rFonts w:hint="eastAsia" w:ascii="宋体" w:hAnsi="宋体"/>
          <w:color w:val="000000"/>
          <w:szCs w:val="21"/>
          <w:highlight w:val="none"/>
        </w:rPr>
        <w:t>。</w:t>
      </w:r>
    </w:p>
    <w:p>
      <w:pPr>
        <w:pStyle w:val="4"/>
        <w:numPr>
          <w:ilvl w:val="1"/>
          <w:numId w:val="4"/>
        </w:numPr>
        <w:jc w:val="left"/>
        <w:rPr>
          <w:rFonts w:hint="eastAsia"/>
          <w:highlight w:val="none"/>
        </w:rPr>
      </w:pPr>
      <w:bookmarkStart w:id="109" w:name="_Toc1637423126"/>
      <w:bookmarkStart w:id="110" w:name="_Toc22466"/>
      <w:bookmarkStart w:id="111" w:name="_Toc14812"/>
      <w:bookmarkStart w:id="112" w:name="_Toc20418"/>
      <w:bookmarkStart w:id="113" w:name="_Toc5019"/>
      <w:bookmarkStart w:id="114" w:name="_Toc6099"/>
      <w:bookmarkStart w:id="115" w:name="_Toc19599"/>
      <w:bookmarkStart w:id="116" w:name="_Toc21374"/>
      <w:bookmarkStart w:id="117" w:name="_Toc30395"/>
      <w:bookmarkStart w:id="118" w:name="_Toc14186"/>
      <w:bookmarkStart w:id="119" w:name="_Toc4690"/>
      <w:bookmarkStart w:id="120" w:name="_Toc22605"/>
      <w:bookmarkStart w:id="121" w:name="_Toc9167"/>
      <w:bookmarkStart w:id="122" w:name="_Toc26242"/>
      <w:bookmarkStart w:id="123" w:name="_Toc7785"/>
      <w:r>
        <w:rPr>
          <w:rFonts w:hint="eastAsia"/>
          <w:highlight w:val="none"/>
        </w:rPr>
        <w:t>投标文件计量单位</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除在招标文件的技术文件中另有规定外，计量单位均使用中华人民共和国法定计量标准单位。</w:t>
      </w:r>
    </w:p>
    <w:p>
      <w:pPr>
        <w:pStyle w:val="4"/>
        <w:numPr>
          <w:ilvl w:val="1"/>
          <w:numId w:val="4"/>
        </w:numPr>
        <w:jc w:val="left"/>
        <w:rPr>
          <w:rFonts w:hint="eastAsia"/>
          <w:highlight w:val="none"/>
        </w:rPr>
      </w:pPr>
      <w:bookmarkStart w:id="124" w:name="_Toc1951578324"/>
      <w:bookmarkStart w:id="125" w:name="_Toc15754"/>
      <w:bookmarkStart w:id="126" w:name="_Toc4326"/>
      <w:bookmarkStart w:id="127" w:name="_Toc26769"/>
      <w:bookmarkStart w:id="128" w:name="_Toc23957"/>
      <w:bookmarkStart w:id="129" w:name="_Toc2806"/>
      <w:bookmarkStart w:id="130" w:name="_Toc19923"/>
      <w:bookmarkStart w:id="131" w:name="_Toc23880"/>
      <w:bookmarkStart w:id="132" w:name="_Toc13516"/>
      <w:bookmarkStart w:id="133" w:name="_Toc24747"/>
      <w:bookmarkStart w:id="134" w:name="_Toc9975"/>
      <w:bookmarkStart w:id="135" w:name="_Toc10045"/>
      <w:bookmarkStart w:id="136" w:name="_Toc16602"/>
      <w:bookmarkStart w:id="137" w:name="_Toc4717"/>
      <w:bookmarkStart w:id="138" w:name="_Toc12071"/>
      <w:r>
        <w:rPr>
          <w:rFonts w:hint="eastAsia"/>
          <w:highlight w:val="none"/>
        </w:rPr>
        <w:t>投标货币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除非另有规定，投标人提供的所有服务用人民币报价。</w:t>
      </w:r>
    </w:p>
    <w:p>
      <w:pPr>
        <w:pStyle w:val="4"/>
        <w:numPr>
          <w:ilvl w:val="1"/>
          <w:numId w:val="4"/>
        </w:numPr>
        <w:jc w:val="left"/>
        <w:rPr>
          <w:rFonts w:hint="eastAsia"/>
          <w:highlight w:val="none"/>
        </w:rPr>
      </w:pPr>
      <w:bookmarkStart w:id="139" w:name="_Toc16853"/>
      <w:bookmarkStart w:id="140" w:name="_Toc28184"/>
      <w:bookmarkStart w:id="141" w:name="_Toc26021"/>
      <w:bookmarkStart w:id="142" w:name="_Toc8957"/>
      <w:bookmarkStart w:id="143" w:name="_Toc32032"/>
      <w:bookmarkStart w:id="144" w:name="_Toc19335"/>
      <w:bookmarkStart w:id="145" w:name="_Toc11598"/>
      <w:bookmarkStart w:id="146" w:name="_Toc14764"/>
      <w:bookmarkStart w:id="147" w:name="_Toc12030"/>
      <w:bookmarkStart w:id="148" w:name="_Toc27760"/>
      <w:bookmarkStart w:id="149" w:name="_Toc13340"/>
      <w:bookmarkStart w:id="150" w:name="_Toc24561"/>
      <w:bookmarkStart w:id="151" w:name="_Toc141"/>
      <w:bookmarkStart w:id="152" w:name="_Toc1855253372"/>
      <w:bookmarkStart w:id="153" w:name="_Toc4030"/>
      <w:bookmarkStart w:id="154" w:name="_Toc31058"/>
      <w:bookmarkStart w:id="155" w:name="_Toc29095"/>
      <w:r>
        <w:rPr>
          <w:rFonts w:hint="eastAsia"/>
          <w:highlight w:val="none"/>
        </w:rPr>
        <w:t>保密</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参与招标投标活动的各方应对招标文件和投标文件中的商业和技术等秘密保密，否则应承担相应的法律责任。</w:t>
      </w:r>
    </w:p>
    <w:p>
      <w:pPr>
        <w:pStyle w:val="4"/>
        <w:numPr>
          <w:ilvl w:val="1"/>
          <w:numId w:val="4"/>
        </w:numPr>
        <w:jc w:val="left"/>
        <w:rPr>
          <w:rFonts w:hint="eastAsia"/>
          <w:highlight w:val="none"/>
        </w:rPr>
      </w:pPr>
      <w:bookmarkStart w:id="156" w:name="_Toc9963"/>
      <w:bookmarkStart w:id="157" w:name="_Toc26863"/>
      <w:bookmarkStart w:id="158" w:name="_Toc21582"/>
      <w:bookmarkStart w:id="159" w:name="_Toc6725"/>
      <w:bookmarkStart w:id="160" w:name="_Toc6977"/>
      <w:bookmarkStart w:id="161" w:name="_Toc10914"/>
      <w:bookmarkStart w:id="162" w:name="_Toc25995"/>
      <w:bookmarkStart w:id="163" w:name="_Toc2167"/>
      <w:bookmarkStart w:id="164" w:name="_Toc11063"/>
      <w:bookmarkStart w:id="165" w:name="_Toc31207"/>
      <w:bookmarkStart w:id="166" w:name="_Toc11954"/>
      <w:bookmarkStart w:id="167" w:name="_Toc1670630265"/>
      <w:bookmarkStart w:id="168" w:name="_Toc26753"/>
      <w:bookmarkStart w:id="169" w:name="_Toc18743"/>
      <w:bookmarkStart w:id="170" w:name="_Toc8611"/>
      <w:r>
        <w:rPr>
          <w:rFonts w:hint="eastAsia"/>
          <w:highlight w:val="none"/>
        </w:rPr>
        <w:t>响应和偏差</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投标文件应当对招标文件的实质性要求和条件作出满足性或更有利于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的响应，否则，投标人的投标将被否决。实质性要求和条件见投标人须知前附表。</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允许投标文件偏离招标文件某些要求的，偏差应当符合招标文件规定的偏差范围和幅度。</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投标</w:t>
      </w:r>
      <w:r>
        <w:rPr>
          <w:rFonts w:hint="eastAsia" w:ascii="宋体" w:hAnsi="宋体" w:cs="宋体"/>
          <w:spacing w:val="-2"/>
          <w:kern w:val="0"/>
          <w:szCs w:val="21"/>
          <w:highlight w:val="none"/>
        </w:rPr>
        <w:t>文</w:t>
      </w:r>
      <w:r>
        <w:rPr>
          <w:rFonts w:hint="eastAsia" w:ascii="宋体" w:hAnsi="宋体" w:cs="宋体"/>
          <w:kern w:val="0"/>
          <w:szCs w:val="21"/>
          <w:highlight w:val="none"/>
        </w:rPr>
        <w:t>件对招标</w:t>
      </w:r>
      <w:r>
        <w:rPr>
          <w:rFonts w:hint="eastAsia" w:ascii="宋体" w:hAnsi="宋体" w:cs="宋体"/>
          <w:spacing w:val="-2"/>
          <w:kern w:val="0"/>
          <w:szCs w:val="21"/>
          <w:highlight w:val="none"/>
        </w:rPr>
        <w:t>文</w:t>
      </w:r>
      <w:r>
        <w:rPr>
          <w:rFonts w:hint="eastAsia" w:ascii="宋体" w:hAnsi="宋体" w:cs="宋体"/>
          <w:kern w:val="0"/>
          <w:szCs w:val="21"/>
          <w:highlight w:val="none"/>
        </w:rPr>
        <w:t>件的全部偏差，均应在</w:t>
      </w:r>
      <w:r>
        <w:rPr>
          <w:rFonts w:hint="eastAsia" w:ascii="宋体" w:hAnsi="宋体" w:cs="宋体"/>
          <w:spacing w:val="-2"/>
          <w:kern w:val="0"/>
          <w:szCs w:val="21"/>
          <w:highlight w:val="none"/>
        </w:rPr>
        <w:t>投</w:t>
      </w:r>
      <w:r>
        <w:rPr>
          <w:rFonts w:hint="eastAsia" w:ascii="宋体" w:hAnsi="宋体" w:cs="宋体"/>
          <w:kern w:val="0"/>
          <w:szCs w:val="21"/>
          <w:highlight w:val="none"/>
        </w:rPr>
        <w:t>标文件</w:t>
      </w:r>
      <w:r>
        <w:rPr>
          <w:rFonts w:hint="eastAsia" w:ascii="宋体" w:hAnsi="宋体" w:cs="宋体"/>
          <w:spacing w:val="1"/>
          <w:kern w:val="0"/>
          <w:szCs w:val="21"/>
          <w:highlight w:val="none"/>
        </w:rPr>
        <w:t>的</w:t>
      </w:r>
      <w:r>
        <w:rPr>
          <w:rFonts w:hint="eastAsia" w:ascii="宋体" w:hAnsi="宋体" w:cs="宋体"/>
          <w:kern w:val="0"/>
          <w:szCs w:val="21"/>
          <w:highlight w:val="none"/>
        </w:rPr>
        <w:t>商务和技术偏</w:t>
      </w:r>
      <w:r>
        <w:rPr>
          <w:rFonts w:hint="eastAsia" w:ascii="宋体" w:hAnsi="宋体" w:cs="宋体"/>
          <w:spacing w:val="-2"/>
          <w:kern w:val="0"/>
          <w:szCs w:val="21"/>
          <w:highlight w:val="none"/>
        </w:rPr>
        <w:t>差</w:t>
      </w:r>
      <w:r>
        <w:rPr>
          <w:rFonts w:hint="eastAsia" w:ascii="宋体" w:hAnsi="宋体" w:cs="宋体"/>
          <w:kern w:val="0"/>
          <w:szCs w:val="21"/>
          <w:highlight w:val="none"/>
        </w:rPr>
        <w:t>表中列明，除列明</w:t>
      </w:r>
      <w:r>
        <w:rPr>
          <w:rFonts w:hint="eastAsia" w:ascii="宋体" w:hAnsi="宋体" w:cs="宋体"/>
          <w:spacing w:val="-2"/>
          <w:kern w:val="0"/>
          <w:szCs w:val="21"/>
          <w:highlight w:val="none"/>
        </w:rPr>
        <w:t>的</w:t>
      </w:r>
      <w:r>
        <w:rPr>
          <w:rFonts w:hint="eastAsia" w:ascii="宋体" w:hAnsi="宋体" w:cs="宋体"/>
          <w:kern w:val="0"/>
          <w:szCs w:val="21"/>
          <w:highlight w:val="none"/>
        </w:rPr>
        <w:t>内</w:t>
      </w:r>
      <w:r>
        <w:rPr>
          <w:rFonts w:hint="eastAsia" w:ascii="宋体" w:hAnsi="宋体" w:cs="宋体"/>
          <w:spacing w:val="-2"/>
          <w:kern w:val="0"/>
          <w:szCs w:val="21"/>
          <w:highlight w:val="none"/>
        </w:rPr>
        <w:t>容</w:t>
      </w:r>
      <w:r>
        <w:rPr>
          <w:rFonts w:hint="eastAsia" w:ascii="宋体" w:hAnsi="宋体" w:cs="宋体"/>
          <w:kern w:val="0"/>
          <w:szCs w:val="21"/>
          <w:highlight w:val="none"/>
        </w:rPr>
        <w:t>外</w:t>
      </w:r>
      <w:r>
        <w:rPr>
          <w:rFonts w:hint="eastAsia" w:ascii="宋体" w:hAnsi="宋体" w:cs="宋体"/>
          <w:spacing w:val="-2"/>
          <w:kern w:val="0"/>
          <w:szCs w:val="21"/>
          <w:highlight w:val="none"/>
        </w:rPr>
        <w:t>，</w:t>
      </w:r>
      <w:r>
        <w:rPr>
          <w:rFonts w:hint="eastAsia" w:ascii="宋体" w:hAnsi="宋体" w:cs="宋体"/>
          <w:kern w:val="0"/>
          <w:szCs w:val="21"/>
          <w:highlight w:val="none"/>
        </w:rPr>
        <w:t>视</w:t>
      </w:r>
      <w:r>
        <w:rPr>
          <w:rFonts w:hint="eastAsia" w:ascii="宋体" w:hAnsi="宋体" w:cs="宋体"/>
          <w:spacing w:val="-2"/>
          <w:kern w:val="0"/>
          <w:szCs w:val="21"/>
          <w:highlight w:val="none"/>
        </w:rPr>
        <w:t>为</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人响</w:t>
      </w:r>
      <w:r>
        <w:rPr>
          <w:rFonts w:hint="eastAsia" w:ascii="宋体" w:hAnsi="宋体" w:cs="宋体"/>
          <w:spacing w:val="-2"/>
          <w:kern w:val="0"/>
          <w:szCs w:val="21"/>
          <w:highlight w:val="none"/>
        </w:rPr>
        <w:t>应</w:t>
      </w:r>
      <w:r>
        <w:rPr>
          <w:rFonts w:hint="eastAsia" w:ascii="宋体" w:hAnsi="宋体" w:cs="宋体"/>
          <w:kern w:val="0"/>
          <w:szCs w:val="21"/>
          <w:highlight w:val="none"/>
        </w:rPr>
        <w:t>招</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的</w:t>
      </w:r>
      <w:r>
        <w:rPr>
          <w:rFonts w:hint="eastAsia" w:ascii="宋体" w:hAnsi="宋体" w:cs="宋体"/>
          <w:spacing w:val="-2"/>
          <w:kern w:val="0"/>
          <w:szCs w:val="21"/>
          <w:highlight w:val="none"/>
        </w:rPr>
        <w:t>全</w:t>
      </w:r>
      <w:r>
        <w:rPr>
          <w:rFonts w:hint="eastAsia" w:ascii="宋体" w:hAnsi="宋体" w:cs="宋体"/>
          <w:kern w:val="0"/>
          <w:szCs w:val="21"/>
          <w:highlight w:val="none"/>
        </w:rPr>
        <w:t>部</w:t>
      </w:r>
      <w:r>
        <w:rPr>
          <w:rFonts w:hint="eastAsia" w:ascii="宋体" w:hAnsi="宋体" w:cs="宋体"/>
          <w:spacing w:val="-2"/>
          <w:kern w:val="0"/>
          <w:szCs w:val="21"/>
          <w:highlight w:val="none"/>
        </w:rPr>
        <w:t>要</w:t>
      </w:r>
      <w:r>
        <w:rPr>
          <w:rFonts w:hint="eastAsia" w:ascii="宋体" w:hAnsi="宋体" w:cs="宋体"/>
          <w:kern w:val="0"/>
          <w:szCs w:val="21"/>
          <w:highlight w:val="none"/>
        </w:rPr>
        <w:t>求。</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171" w:name="_Toc24341"/>
      <w:bookmarkStart w:id="172" w:name="_Toc5694"/>
      <w:r>
        <w:rPr>
          <w:rFonts w:hint="eastAsia" w:ascii="宋体" w:hAnsi="宋体" w:eastAsia="宋体"/>
          <w:color w:val="000000"/>
          <w:sz w:val="24"/>
          <w:szCs w:val="24"/>
          <w:highlight w:val="none"/>
          <w:lang w:val="en-US" w:eastAsia="zh-CN"/>
        </w:rPr>
        <w:t>招标文件</w:t>
      </w:r>
      <w:bookmarkEnd w:id="53"/>
      <w:bookmarkEnd w:id="171"/>
      <w:bookmarkEnd w:id="172"/>
    </w:p>
    <w:p>
      <w:pPr>
        <w:pStyle w:val="4"/>
        <w:numPr>
          <w:ilvl w:val="1"/>
          <w:numId w:val="3"/>
        </w:numPr>
        <w:spacing w:before="140" w:after="140" w:line="240" w:lineRule="auto"/>
        <w:jc w:val="left"/>
        <w:rPr>
          <w:rFonts w:hint="eastAsia"/>
          <w:highlight w:val="none"/>
        </w:rPr>
      </w:pPr>
      <w:bookmarkStart w:id="173" w:name="_Toc20236"/>
      <w:bookmarkStart w:id="174" w:name="_Toc20524"/>
      <w:bookmarkStart w:id="175" w:name="_Toc8008"/>
      <w:bookmarkStart w:id="176" w:name="_Toc28051"/>
      <w:bookmarkStart w:id="177" w:name="_Toc14801"/>
      <w:bookmarkStart w:id="178" w:name="_Toc8707"/>
      <w:bookmarkStart w:id="179" w:name="_Toc1520710345"/>
      <w:bookmarkStart w:id="180" w:name="_Toc3764"/>
      <w:r>
        <w:rPr>
          <w:rFonts w:hint="eastAsia"/>
          <w:highlight w:val="none"/>
        </w:rPr>
        <w:t>招标文件的构成</w:t>
      </w:r>
      <w:bookmarkEnd w:id="173"/>
      <w:bookmarkEnd w:id="174"/>
      <w:bookmarkEnd w:id="175"/>
      <w:bookmarkEnd w:id="176"/>
      <w:bookmarkEnd w:id="177"/>
      <w:bookmarkEnd w:id="178"/>
      <w:bookmarkEnd w:id="179"/>
      <w:bookmarkEnd w:id="18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招标文件用以阐明本次招标的货物</w:t>
      </w:r>
      <w:r>
        <w:rPr>
          <w:rFonts w:hint="eastAsia" w:ascii="宋体" w:hAnsi="宋体"/>
          <w:color w:val="000000"/>
          <w:szCs w:val="21"/>
          <w:highlight w:val="none"/>
          <w:lang w:eastAsia="zh-CN"/>
        </w:rPr>
        <w:t>及其伴随的服务</w:t>
      </w:r>
      <w:r>
        <w:rPr>
          <w:rFonts w:hint="eastAsia" w:ascii="宋体" w:hAnsi="宋体" w:eastAsia="宋体"/>
          <w:color w:val="000000"/>
          <w:szCs w:val="21"/>
          <w:highlight w:val="none"/>
        </w:rPr>
        <w:t>要求、招标投标程序和合同条件。</w:t>
      </w:r>
    </w:p>
    <w:p>
      <w:pPr>
        <w:pStyle w:val="32"/>
        <w:tabs>
          <w:tab w:val="left" w:pos="720"/>
          <w:tab w:val="left" w:pos="1080"/>
        </w:tabs>
        <w:spacing w:line="360" w:lineRule="auto"/>
        <w:ind w:left="720" w:firstLine="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 xml:space="preserve">招标文件由下述部分组成： </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投标邀请</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投标人须知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资格审查</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评标办法</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fldChar w:fldCharType="begin"/>
      </w:r>
      <w:r>
        <w:rPr>
          <w:rFonts w:hint="eastAsia" w:ascii="宋体" w:hAnsi="宋体"/>
          <w:color w:val="000000"/>
          <w:sz w:val="21"/>
          <w:szCs w:val="21"/>
          <w:highlight w:val="none"/>
        </w:rPr>
        <w:instrText xml:space="preserve"> HYPERLINK  \l "_合同条款" </w:instrText>
      </w:r>
      <w:r>
        <w:rPr>
          <w:rFonts w:hint="eastAsia" w:ascii="宋体" w:hAnsi="宋体"/>
          <w:color w:val="000000"/>
          <w:sz w:val="21"/>
          <w:szCs w:val="21"/>
          <w:highlight w:val="none"/>
        </w:rPr>
        <w:fldChar w:fldCharType="separate"/>
      </w:r>
      <w:r>
        <w:rPr>
          <w:rFonts w:hint="eastAsia" w:ascii="宋体" w:hAnsi="宋体"/>
          <w:color w:val="000000"/>
          <w:sz w:val="21"/>
          <w:szCs w:val="21"/>
          <w:highlight w:val="none"/>
        </w:rPr>
        <w:t>合同</w:t>
      </w:r>
      <w:r>
        <w:rPr>
          <w:rFonts w:hint="eastAsia" w:ascii="宋体" w:hAnsi="宋体"/>
          <w:color w:val="000000"/>
          <w:sz w:val="21"/>
          <w:szCs w:val="21"/>
          <w:highlight w:val="none"/>
        </w:rPr>
        <w:fldChar w:fldCharType="end"/>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auto"/>
          <w:sz w:val="21"/>
          <w:szCs w:val="21"/>
          <w:highlight w:val="none"/>
          <w:lang w:eastAsia="zh-CN"/>
        </w:rPr>
        <w:t>招标项目需求及技术要求</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lang w:eastAsia="zh-CN"/>
        </w:rPr>
        <w:t>投标文件</w:t>
      </w:r>
      <w:r>
        <w:rPr>
          <w:rFonts w:hint="eastAsia" w:ascii="宋体" w:hAnsi="宋体"/>
          <w:color w:val="000000"/>
          <w:sz w:val="21"/>
          <w:szCs w:val="21"/>
          <w:highlight w:val="none"/>
        </w:rPr>
        <w:t>资格审查文件</w:t>
      </w:r>
      <w:r>
        <w:rPr>
          <w:rFonts w:hint="eastAsia" w:ascii="宋体" w:hAnsi="宋体"/>
          <w:color w:val="000000"/>
          <w:sz w:val="21"/>
          <w:szCs w:val="21"/>
          <w:highlight w:val="none"/>
          <w:lang w:eastAsia="zh-CN"/>
        </w:rPr>
        <w:t>册</w:t>
      </w:r>
      <w:r>
        <w:rPr>
          <w:rFonts w:hint="eastAsia" w:ascii="宋体" w:hAnsi="宋体"/>
          <w:color w:val="000000"/>
          <w:sz w:val="21"/>
          <w:szCs w:val="21"/>
          <w:highlight w:val="none"/>
        </w:rPr>
        <w:t>通用格式</w:t>
      </w:r>
    </w:p>
    <w:p>
      <w:pPr>
        <w:pStyle w:val="24"/>
        <w:numPr>
          <w:ilvl w:val="0"/>
          <w:numId w:val="8"/>
        </w:numPr>
        <w:tabs>
          <w:tab w:val="left" w:pos="1080"/>
        </w:tabs>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投标文件通用格式</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000000"/>
          <w:szCs w:val="21"/>
          <w:highlight w:val="none"/>
        </w:rPr>
      </w:pPr>
      <w:r>
        <w:rPr>
          <w:rFonts w:hint="eastAsia" w:ascii="宋体" w:hAnsi="宋体" w:eastAsia="宋体"/>
          <w:color w:val="000000"/>
          <w:szCs w:val="21"/>
          <w:highlight w:val="none"/>
        </w:rPr>
        <w:t>投标人应仔细阅读招标文件中投标人须知、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b/>
          <w:bCs/>
          <w:color w:val="000000"/>
          <w:szCs w:val="21"/>
          <w:highlight w:val="none"/>
        </w:rPr>
        <w:t>投标被拒绝或认定为投标无效的风险</w:t>
      </w:r>
      <w:r>
        <w:rPr>
          <w:rFonts w:hint="eastAsia" w:ascii="宋体" w:hAnsi="宋体" w:eastAsia="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投标人制作投标文件时应充分完整理解招标文件的整体要求。</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根据本章第</w:t>
      </w:r>
      <w:r>
        <w:rPr>
          <w:rFonts w:hint="eastAsia" w:ascii="宋体" w:hAnsi="宋体"/>
          <w:color w:val="000000"/>
          <w:szCs w:val="21"/>
          <w:highlight w:val="none"/>
          <w:lang w:val="en-US" w:eastAsia="zh-CN"/>
        </w:rPr>
        <w:t>1.4款、第2.2款和第2.3款对招标文件所做的澄清和修改，构成招标文件的组成部分。</w:t>
      </w:r>
    </w:p>
    <w:p>
      <w:pPr>
        <w:pStyle w:val="4"/>
        <w:numPr>
          <w:ilvl w:val="1"/>
          <w:numId w:val="3"/>
        </w:numPr>
        <w:spacing w:before="140" w:after="140" w:line="240" w:lineRule="auto"/>
        <w:jc w:val="left"/>
        <w:rPr>
          <w:rFonts w:hint="eastAsia"/>
          <w:highlight w:val="none"/>
        </w:rPr>
      </w:pPr>
      <w:bookmarkStart w:id="181" w:name="_Toc18660"/>
      <w:bookmarkStart w:id="182" w:name="_Toc3944"/>
      <w:bookmarkStart w:id="183" w:name="_Toc7923"/>
      <w:bookmarkStart w:id="184" w:name="_Toc3408"/>
      <w:bookmarkStart w:id="185" w:name="_Toc6978"/>
      <w:bookmarkStart w:id="186" w:name="_Toc18984"/>
      <w:bookmarkStart w:id="187" w:name="_Toc23431"/>
      <w:bookmarkStart w:id="188" w:name="_Toc1155357552"/>
      <w:r>
        <w:rPr>
          <w:rFonts w:hint="eastAsia"/>
          <w:highlight w:val="none"/>
        </w:rPr>
        <w:t>招标文件的澄清</w:t>
      </w:r>
      <w:bookmarkEnd w:id="181"/>
      <w:bookmarkEnd w:id="182"/>
      <w:bookmarkEnd w:id="183"/>
      <w:bookmarkEnd w:id="184"/>
      <w:bookmarkEnd w:id="185"/>
      <w:bookmarkEnd w:id="186"/>
      <w:bookmarkEnd w:id="187"/>
      <w:bookmarkEnd w:id="188"/>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投标人应仔细阅读和检查招标文件的全部内容。如发现缺页或附件不全，应及时向</w:t>
      </w:r>
      <w:r>
        <w:rPr>
          <w:rFonts w:hint="eastAsia" w:ascii="宋体" w:hAnsi="宋体"/>
          <w:color w:val="000000"/>
          <w:szCs w:val="21"/>
          <w:highlight w:val="none"/>
          <w:lang w:eastAsia="zh-CN"/>
        </w:rPr>
        <w:t>采购人</w:t>
      </w:r>
      <w:r>
        <w:rPr>
          <w:rFonts w:hint="eastAsia" w:ascii="宋体" w:hAnsi="宋体"/>
          <w:color w:val="000000"/>
          <w:szCs w:val="21"/>
          <w:highlight w:val="none"/>
        </w:rPr>
        <w:t>提出，以便补齐。如有疑问，应按投标人须知前附表规定的时间和形式将提出的问题送达</w:t>
      </w:r>
      <w:r>
        <w:rPr>
          <w:rFonts w:hint="eastAsia" w:ascii="宋体" w:hAnsi="宋体"/>
          <w:color w:val="000000"/>
          <w:szCs w:val="21"/>
          <w:highlight w:val="none"/>
          <w:lang w:eastAsia="zh-CN"/>
        </w:rPr>
        <w:t>采购人</w:t>
      </w:r>
      <w:r>
        <w:rPr>
          <w:rFonts w:hint="eastAsia" w:ascii="宋体" w:hAnsi="宋体"/>
          <w:color w:val="000000"/>
          <w:szCs w:val="21"/>
          <w:highlight w:val="none"/>
        </w:rPr>
        <w:t>，要求</w:t>
      </w:r>
      <w:r>
        <w:rPr>
          <w:rFonts w:hint="eastAsia" w:ascii="宋体" w:hAnsi="宋体"/>
          <w:color w:val="000000"/>
          <w:szCs w:val="21"/>
          <w:highlight w:val="none"/>
          <w:lang w:eastAsia="zh-CN"/>
        </w:rPr>
        <w:t>采购人</w:t>
      </w:r>
      <w:r>
        <w:rPr>
          <w:rFonts w:hint="eastAsia" w:ascii="宋体" w:hAnsi="宋体"/>
          <w:color w:val="000000"/>
          <w:szCs w:val="21"/>
          <w:highlight w:val="none"/>
        </w:rPr>
        <w:t>对招标文件予以澄清。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招标文件的澄清以投标人须知前附表规定的形式发给所有购买招标文件的投标人，</w:t>
      </w:r>
      <w:r>
        <w:rPr>
          <w:rFonts w:hint="eastAsia" w:ascii="宋体" w:hAnsi="宋体"/>
          <w:color w:val="000000"/>
          <w:szCs w:val="21"/>
          <w:highlight w:val="none"/>
          <w:lang w:eastAsia="zh-CN"/>
        </w:rPr>
        <w:t>同时在原公告媒体发布澄清公告，</w:t>
      </w:r>
      <w:r>
        <w:rPr>
          <w:rFonts w:hint="eastAsia" w:ascii="宋体" w:hAnsi="宋体"/>
          <w:color w:val="000000"/>
          <w:szCs w:val="21"/>
          <w:highlight w:val="none"/>
        </w:rPr>
        <w:t>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投标人在收到澄清后，应按投标人须知前附表规定的时间和形式通知</w:t>
      </w:r>
      <w:r>
        <w:rPr>
          <w:rFonts w:hint="eastAsia" w:ascii="宋体" w:hAnsi="宋体"/>
          <w:color w:val="000000"/>
          <w:szCs w:val="21"/>
          <w:highlight w:val="none"/>
          <w:lang w:eastAsia="zh-CN"/>
        </w:rPr>
        <w:t>采购人</w:t>
      </w:r>
      <w:r>
        <w:rPr>
          <w:rFonts w:hint="eastAsia" w:ascii="宋体" w:hAnsi="宋体"/>
          <w:color w:val="000000"/>
          <w:szCs w:val="21"/>
          <w:highlight w:val="none"/>
        </w:rPr>
        <w:t>，确认已收到该澄清。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除非</w:t>
      </w:r>
      <w:r>
        <w:rPr>
          <w:rFonts w:hint="eastAsia" w:ascii="宋体" w:hAnsi="宋体"/>
          <w:color w:val="000000"/>
          <w:szCs w:val="21"/>
          <w:highlight w:val="none"/>
          <w:lang w:eastAsia="zh-CN"/>
        </w:rPr>
        <w:t>采购人</w:t>
      </w:r>
      <w:r>
        <w:rPr>
          <w:rFonts w:hint="eastAsia" w:ascii="宋体" w:hAnsi="宋体"/>
          <w:color w:val="000000"/>
          <w:szCs w:val="21"/>
          <w:highlight w:val="none"/>
        </w:rPr>
        <w:t>认为确有必要答复，否则，</w:t>
      </w:r>
      <w:r>
        <w:rPr>
          <w:rFonts w:hint="eastAsia" w:ascii="宋体" w:hAnsi="宋体"/>
          <w:color w:val="000000"/>
          <w:szCs w:val="21"/>
          <w:highlight w:val="none"/>
          <w:lang w:eastAsia="zh-CN"/>
        </w:rPr>
        <w:t>采购人</w:t>
      </w:r>
      <w:r>
        <w:rPr>
          <w:rFonts w:hint="eastAsia" w:ascii="宋体" w:hAnsi="宋体"/>
          <w:color w:val="000000"/>
          <w:szCs w:val="21"/>
          <w:highlight w:val="none"/>
        </w:rPr>
        <w:t>有权拒绝回复投标人在本章第</w:t>
      </w:r>
      <w:r>
        <w:rPr>
          <w:rFonts w:hint="eastAsia" w:ascii="宋体" w:hAnsi="宋体"/>
          <w:b w:val="0"/>
          <w:bCs w:val="0"/>
          <w:color w:val="auto"/>
          <w:szCs w:val="21"/>
          <w:highlight w:val="none"/>
        </w:rPr>
        <w:t>2.2.1</w:t>
      </w:r>
      <w:r>
        <w:rPr>
          <w:rFonts w:hint="eastAsia" w:ascii="宋体" w:hAnsi="宋体"/>
          <w:color w:val="000000"/>
          <w:szCs w:val="21"/>
          <w:highlight w:val="none"/>
        </w:rPr>
        <w:t>项规定的时间后的任何澄清要求。在规定的时间内未提出疑问的，将被视为对招标文件完全认可。</w:t>
      </w:r>
    </w:p>
    <w:p>
      <w:pPr>
        <w:pStyle w:val="4"/>
        <w:numPr>
          <w:ilvl w:val="1"/>
          <w:numId w:val="3"/>
        </w:numPr>
        <w:spacing w:before="140" w:after="140" w:line="240" w:lineRule="auto"/>
        <w:jc w:val="left"/>
        <w:rPr>
          <w:rFonts w:hint="eastAsia"/>
          <w:highlight w:val="none"/>
        </w:rPr>
      </w:pPr>
      <w:bookmarkStart w:id="189" w:name="_Toc25801"/>
      <w:bookmarkStart w:id="190" w:name="_Toc28742"/>
      <w:bookmarkStart w:id="191" w:name="_Toc225399024"/>
      <w:bookmarkStart w:id="192" w:name="_Toc28686"/>
      <w:bookmarkStart w:id="193" w:name="_Toc27858"/>
      <w:bookmarkStart w:id="194" w:name="_Toc30928"/>
      <w:bookmarkStart w:id="195" w:name="_Toc12162"/>
      <w:bookmarkStart w:id="196" w:name="_Toc32510"/>
      <w:r>
        <w:rPr>
          <w:rFonts w:hint="eastAsia"/>
          <w:highlight w:val="none"/>
        </w:rPr>
        <w:t>招标文件的修改</w:t>
      </w:r>
      <w:bookmarkEnd w:id="189"/>
      <w:bookmarkEnd w:id="190"/>
      <w:bookmarkEnd w:id="191"/>
      <w:bookmarkEnd w:id="192"/>
      <w:bookmarkEnd w:id="193"/>
      <w:bookmarkEnd w:id="194"/>
      <w:bookmarkEnd w:id="195"/>
      <w:bookmarkEnd w:id="196"/>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采购人或者采购代理机构可以对已发出的招标文件进行必要的修改，但不得改变采购标的和资格条件</w:t>
      </w:r>
      <w:r>
        <w:rPr>
          <w:rFonts w:hint="eastAsia" w:ascii="宋体" w:hAnsi="宋体"/>
          <w:color w:val="000000"/>
          <w:szCs w:val="21"/>
          <w:highlight w:val="none"/>
          <w:lang w:eastAsia="zh-CN"/>
        </w:rPr>
        <w:t>，</w:t>
      </w:r>
      <w:r>
        <w:rPr>
          <w:rFonts w:hint="eastAsia" w:ascii="宋体" w:hAnsi="宋体"/>
          <w:color w:val="000000"/>
          <w:szCs w:val="21"/>
          <w:highlight w:val="none"/>
        </w:rPr>
        <w:t>修改的内容为招标文件的组成部分</w:t>
      </w:r>
      <w:r>
        <w:rPr>
          <w:rFonts w:hint="eastAsia" w:ascii="宋体" w:hAnsi="宋体"/>
          <w:color w:val="000000"/>
          <w:szCs w:val="21"/>
          <w:highlight w:val="none"/>
          <w:lang w:eastAsia="zh-CN"/>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lang w:eastAsia="zh-CN"/>
        </w:rPr>
        <w:t>采购人或采购代理机构</w:t>
      </w:r>
      <w:r>
        <w:rPr>
          <w:rFonts w:hint="eastAsia" w:ascii="宋体" w:hAnsi="宋体"/>
          <w:b w:val="0"/>
          <w:bCs w:val="0"/>
          <w:color w:val="000000"/>
          <w:szCs w:val="21"/>
          <w:highlight w:val="none"/>
        </w:rPr>
        <w:t>以投标人须知前附表规定的形式修改招标文件，并通知所有已购买招标文件的投标人</w:t>
      </w:r>
      <w:r>
        <w:rPr>
          <w:rFonts w:hint="eastAsia" w:ascii="宋体" w:hAnsi="宋体"/>
          <w:b w:val="0"/>
          <w:bCs w:val="0"/>
          <w:color w:val="000000"/>
          <w:szCs w:val="21"/>
          <w:highlight w:val="none"/>
          <w:lang w:eastAsia="zh-CN"/>
        </w:rPr>
        <w:t>，</w:t>
      </w:r>
      <w:r>
        <w:rPr>
          <w:rFonts w:hint="eastAsia" w:ascii="宋体" w:hAnsi="宋体"/>
          <w:color w:val="000000"/>
          <w:szCs w:val="21"/>
          <w:highlight w:val="none"/>
          <w:lang w:eastAsia="zh-CN"/>
        </w:rPr>
        <w:t>同时在原公告媒体发布变更公告</w:t>
      </w:r>
      <w:r>
        <w:rPr>
          <w:rFonts w:hint="eastAsia" w:ascii="宋体" w:hAnsi="宋体"/>
          <w:b w:val="0"/>
          <w:bCs w:val="0"/>
          <w:color w:val="000000"/>
          <w:szCs w:val="21"/>
          <w:highlight w:val="none"/>
        </w:rPr>
        <w:t>。修改招标文件的时间距本章第</w:t>
      </w:r>
      <w:r>
        <w:rPr>
          <w:rFonts w:hint="eastAsia" w:ascii="宋体" w:hAnsi="宋体"/>
          <w:b w:val="0"/>
          <w:bCs w:val="0"/>
          <w:color w:val="auto"/>
          <w:szCs w:val="21"/>
          <w:highlight w:val="none"/>
        </w:rPr>
        <w:t>4.2.1</w:t>
      </w:r>
      <w:r>
        <w:rPr>
          <w:rFonts w:hint="eastAsia" w:ascii="宋体" w:hAnsi="宋体"/>
          <w:b w:val="0"/>
          <w:bCs w:val="0"/>
          <w:color w:val="000000"/>
          <w:szCs w:val="21"/>
          <w:highlight w:val="none"/>
        </w:rPr>
        <w:t>项规定的投标截止时间不足15日的，并且修改内容可能影响投标文件编制的，将相应延长投标截止时间。</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投标人收到修改内容后，应按投标人须知前附表规定的时间和形式通知</w:t>
      </w:r>
      <w:r>
        <w:rPr>
          <w:rFonts w:hint="eastAsia" w:ascii="宋体" w:hAnsi="宋体"/>
          <w:b w:val="0"/>
          <w:bCs w:val="0"/>
          <w:color w:val="000000"/>
          <w:szCs w:val="21"/>
          <w:highlight w:val="none"/>
          <w:lang w:eastAsia="zh-CN"/>
        </w:rPr>
        <w:t>采购人</w:t>
      </w:r>
      <w:r>
        <w:rPr>
          <w:rFonts w:hint="eastAsia" w:ascii="宋体" w:hAnsi="宋体"/>
          <w:b w:val="0"/>
          <w:bCs w:val="0"/>
          <w:color w:val="000000"/>
          <w:szCs w:val="21"/>
          <w:highlight w:val="none"/>
          <w:lang w:val="en-US" w:eastAsia="zh-CN"/>
        </w:rPr>
        <w:t xml:space="preserve"> </w:t>
      </w:r>
      <w:r>
        <w:rPr>
          <w:rFonts w:hint="eastAsia" w:ascii="宋体" w:hAnsi="宋体"/>
          <w:b w:val="0"/>
          <w:bCs w:val="0"/>
          <w:color w:val="000000"/>
          <w:szCs w:val="21"/>
          <w:highlight w:val="none"/>
        </w:rPr>
        <w:t>，确认已收到该修改。</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197" w:name="_Toc24740"/>
      <w:bookmarkStart w:id="198" w:name="_Toc312133545"/>
      <w:bookmarkStart w:id="199" w:name="_Toc7352"/>
      <w:r>
        <w:rPr>
          <w:rFonts w:hint="eastAsia" w:ascii="宋体" w:hAnsi="宋体" w:eastAsia="宋体"/>
          <w:b/>
          <w:bCs w:val="0"/>
          <w:color w:val="000000"/>
          <w:sz w:val="24"/>
          <w:szCs w:val="24"/>
          <w:highlight w:val="none"/>
          <w:lang w:val="en-US" w:eastAsia="zh-CN"/>
        </w:rPr>
        <w:t>投标文件的编写</w:t>
      </w:r>
      <w:bookmarkEnd w:id="197"/>
      <w:bookmarkEnd w:id="198"/>
      <w:bookmarkEnd w:id="199"/>
    </w:p>
    <w:p>
      <w:pPr>
        <w:pStyle w:val="4"/>
        <w:numPr>
          <w:ilvl w:val="1"/>
          <w:numId w:val="3"/>
        </w:numPr>
        <w:spacing w:before="140" w:after="140" w:line="240" w:lineRule="auto"/>
        <w:jc w:val="left"/>
        <w:rPr>
          <w:rFonts w:hint="eastAsia"/>
          <w:highlight w:val="none"/>
        </w:rPr>
      </w:pPr>
      <w:bookmarkStart w:id="200" w:name="_Toc144931648"/>
      <w:bookmarkStart w:id="201" w:name="_Toc27498"/>
      <w:bookmarkStart w:id="202" w:name="_Toc9605"/>
      <w:bookmarkStart w:id="203" w:name="_Toc17591"/>
      <w:bookmarkStart w:id="204" w:name="_Toc21879"/>
      <w:bookmarkStart w:id="205" w:name="_Toc4757"/>
      <w:bookmarkStart w:id="206" w:name="_Toc17436"/>
      <w:bookmarkStart w:id="207" w:name="_Toc18890"/>
      <w:r>
        <w:rPr>
          <w:rFonts w:hint="eastAsia"/>
          <w:highlight w:val="none"/>
        </w:rPr>
        <w:t>投标文件的组成</w:t>
      </w:r>
      <w:bookmarkEnd w:id="200"/>
      <w:bookmarkEnd w:id="201"/>
      <w:bookmarkEnd w:id="202"/>
      <w:bookmarkEnd w:id="203"/>
      <w:bookmarkEnd w:id="204"/>
      <w:bookmarkEnd w:id="205"/>
      <w:bookmarkEnd w:id="206"/>
      <w:bookmarkEnd w:id="20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投标文件包括下列部分：</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投标文件资格审查文件</w:t>
      </w:r>
      <w:r>
        <w:rPr>
          <w:rFonts w:hint="eastAsia" w:ascii="宋体" w:hAnsi="宋体"/>
          <w:color w:val="000000"/>
          <w:szCs w:val="21"/>
          <w:highlight w:val="none"/>
          <w:lang w:eastAsia="zh-CN"/>
        </w:rPr>
        <w:t>册</w:t>
      </w:r>
      <w:r>
        <w:rPr>
          <w:rFonts w:hint="eastAsia" w:ascii="宋体" w:hAnsi="宋体"/>
          <w:color w:val="000000"/>
          <w:szCs w:val="21"/>
          <w:highlight w:val="none"/>
        </w:rPr>
        <w:t>组成</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投标人资格声明函</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投标人基本情况</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投标人资格证明文件</w:t>
      </w:r>
    </w:p>
    <w:p>
      <w:pPr>
        <w:keepNext w:val="0"/>
        <w:keepLines w:val="0"/>
        <w:pageBreakBefore w:val="0"/>
        <w:widowControl w:val="0"/>
        <w:numPr>
          <w:ilvl w:val="0"/>
          <w:numId w:val="0"/>
        </w:numPr>
        <w:tabs>
          <w:tab w:val="left" w:pos="720"/>
        </w:tabs>
        <w:kinsoku/>
        <w:wordWrap/>
        <w:overflowPunct/>
        <w:topLinePunct w:val="0"/>
        <w:bidi w:val="0"/>
        <w:snapToGrid/>
        <w:spacing w:line="360" w:lineRule="auto"/>
        <w:ind w:left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投标文件组成</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法定代表人</w:t>
      </w:r>
      <w:r>
        <w:rPr>
          <w:rFonts w:hint="eastAsia" w:ascii="宋体" w:hAnsi="宋体" w:cs="微软雅黑"/>
          <w:kern w:val="0"/>
          <w:szCs w:val="21"/>
          <w:highlight w:val="none"/>
          <w:lang w:eastAsia="zh-CN"/>
        </w:rPr>
        <w:t>身份证明或</w:t>
      </w:r>
      <w:r>
        <w:rPr>
          <w:rFonts w:hint="eastAsia" w:ascii="宋体" w:hAnsi="宋体" w:cs="微软雅黑"/>
          <w:kern w:val="0"/>
          <w:szCs w:val="21"/>
          <w:highlight w:val="none"/>
        </w:rPr>
        <w:t>授权</w:t>
      </w:r>
      <w:r>
        <w:rPr>
          <w:rFonts w:hint="eastAsia" w:ascii="宋体" w:hAnsi="宋体" w:cs="微软雅黑"/>
          <w:kern w:val="0"/>
          <w:szCs w:val="21"/>
          <w:highlight w:val="none"/>
          <w:lang w:eastAsia="zh-CN"/>
        </w:rPr>
        <w:t>委托</w:t>
      </w:r>
      <w:r>
        <w:rPr>
          <w:rFonts w:hint="eastAsia" w:ascii="宋体" w:hAnsi="宋体" w:cs="微软雅黑"/>
          <w:kern w:val="0"/>
          <w:szCs w:val="21"/>
          <w:highlight w:val="none"/>
        </w:rPr>
        <w:t>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val="en-US" w:eastAsia="zh-CN"/>
        </w:rPr>
        <w:t>投标承诺函</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投标报价表格</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1）开标一览表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2）投标报价一览表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3）备件、</w:t>
      </w:r>
      <w:r>
        <w:rPr>
          <w:rFonts w:hint="eastAsia" w:ascii="宋体" w:hAnsi="宋体"/>
          <w:color w:val="000000"/>
          <w:szCs w:val="21"/>
          <w:highlight w:val="none"/>
          <w:lang w:eastAsia="zh-CN"/>
        </w:rPr>
        <w:t>专用工具</w:t>
      </w:r>
      <w:r>
        <w:rPr>
          <w:rFonts w:hint="eastAsia" w:ascii="宋体" w:hAnsi="宋体"/>
          <w:color w:val="000000"/>
          <w:szCs w:val="21"/>
          <w:highlight w:val="none"/>
        </w:rPr>
        <w:t>和消耗品价格表</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420" w:leftChars="20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4）货物分项报价一览表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商务和技术偏差表</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售后服务计划</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投标人及投标产品简介</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投标人提供的其他优惠条件</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反商业贿赂承诺书</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lang w:eastAsia="zh-CN"/>
        </w:rPr>
        <w:t>中小</w:t>
      </w:r>
      <w:r>
        <w:rPr>
          <w:rFonts w:hint="eastAsia" w:ascii="宋体" w:hAnsi="宋体" w:eastAsia="宋体" w:cs="微软雅黑"/>
          <w:kern w:val="0"/>
          <w:szCs w:val="21"/>
          <w:highlight w:val="none"/>
        </w:rPr>
        <w:t>企业声明函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rPr>
        <w:t>残疾人福利性单位声明函</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eastAsia="zh-CN"/>
        </w:rPr>
      </w:pPr>
      <w:r>
        <w:rPr>
          <w:rFonts w:hint="eastAsia" w:ascii="宋体" w:hAnsi="宋体" w:eastAsia="宋体" w:cs="微软雅黑"/>
          <w:kern w:val="0"/>
          <w:szCs w:val="21"/>
          <w:highlight w:val="none"/>
          <w:lang w:eastAsia="zh-CN"/>
        </w:rPr>
        <w:t>监狱企业证明材料（如有）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lang w:val="en-GB"/>
        </w:rPr>
      </w:pPr>
      <w:r>
        <w:rPr>
          <w:rFonts w:hint="eastAsia" w:ascii="宋体" w:hAnsi="宋体" w:eastAsia="宋体" w:cs="微软雅黑"/>
          <w:kern w:val="0"/>
          <w:szCs w:val="21"/>
          <w:highlight w:val="none"/>
          <w:lang w:val="en-GB"/>
        </w:rPr>
        <w:t>节能产品、环境标志产品明细表</w:t>
      </w:r>
      <w:r>
        <w:rPr>
          <w:rFonts w:hint="eastAsia" w:ascii="宋体" w:hAnsi="宋体" w:eastAsia="宋体" w:cs="微软雅黑"/>
          <w:kern w:val="0"/>
          <w:szCs w:val="21"/>
          <w:highlight w:val="none"/>
          <w:lang w:eastAsia="zh-CN"/>
        </w:rPr>
        <w:t>（如有）</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其他</w:t>
      </w:r>
      <w:r>
        <w:rPr>
          <w:rFonts w:hint="eastAsia" w:ascii="宋体" w:hAnsi="宋体" w:eastAsia="宋体" w:cs="微软雅黑"/>
          <w:kern w:val="0"/>
          <w:szCs w:val="21"/>
          <w:highlight w:val="none"/>
          <w:lang w:eastAsia="zh-CN"/>
        </w:rPr>
        <w:t>资</w:t>
      </w:r>
      <w:r>
        <w:rPr>
          <w:rFonts w:hint="eastAsia" w:ascii="宋体" w:hAnsi="宋体" w:cs="微软雅黑"/>
          <w:kern w:val="0"/>
          <w:szCs w:val="21"/>
          <w:highlight w:val="none"/>
          <w:lang w:eastAsia="zh-CN"/>
        </w:rPr>
        <w:t>料</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投标文件应与招标文件的投标文件格式次序一一对应。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招标文件中的每个分包，是项目招标不可拆分的最小投标单元，投标人必须按此分包编制投标文件，提交相应的文件资料，拆包投标将视为漏项或非实质性响应予以认定为</w:t>
      </w:r>
      <w:r>
        <w:rPr>
          <w:rFonts w:hint="eastAsia" w:ascii="宋体" w:hAnsi="宋体"/>
          <w:b/>
          <w:bCs/>
          <w:color w:val="000000"/>
          <w:szCs w:val="21"/>
          <w:highlight w:val="none"/>
        </w:rPr>
        <w:t>投标无效</w:t>
      </w:r>
      <w:r>
        <w:rPr>
          <w:rFonts w:hint="eastAsia" w:ascii="宋体" w:hAnsi="宋体"/>
          <w:b w:val="0"/>
          <w:bCs w:val="0"/>
          <w:color w:val="000000"/>
          <w:szCs w:val="21"/>
          <w:highlight w:val="none"/>
        </w:rPr>
        <w:t>。</w:t>
      </w:r>
    </w:p>
    <w:p>
      <w:pPr>
        <w:pStyle w:val="4"/>
        <w:numPr>
          <w:ilvl w:val="1"/>
          <w:numId w:val="3"/>
        </w:numPr>
        <w:spacing w:before="140" w:after="140" w:line="240" w:lineRule="auto"/>
        <w:jc w:val="left"/>
        <w:rPr>
          <w:rFonts w:hint="eastAsia"/>
          <w:highlight w:val="none"/>
        </w:rPr>
      </w:pPr>
      <w:bookmarkStart w:id="208" w:name="_Toc1833"/>
      <w:bookmarkStart w:id="209" w:name="_Toc1449703685"/>
      <w:bookmarkStart w:id="210" w:name="_Toc28885"/>
      <w:bookmarkStart w:id="211" w:name="_Toc4073"/>
      <w:bookmarkStart w:id="212" w:name="_Toc32754"/>
      <w:bookmarkStart w:id="213" w:name="_Toc3251"/>
      <w:bookmarkStart w:id="214" w:name="_Toc4941"/>
      <w:bookmarkStart w:id="215" w:name="_Toc2826"/>
      <w:r>
        <w:rPr>
          <w:rFonts w:hint="eastAsia"/>
          <w:highlight w:val="none"/>
        </w:rPr>
        <w:t>投标报价</w:t>
      </w:r>
      <w:bookmarkEnd w:id="208"/>
      <w:bookmarkEnd w:id="209"/>
      <w:bookmarkEnd w:id="210"/>
      <w:bookmarkEnd w:id="211"/>
      <w:bookmarkEnd w:id="212"/>
      <w:bookmarkEnd w:id="213"/>
      <w:bookmarkEnd w:id="214"/>
      <w:bookmarkEnd w:id="21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highlight w:val="none"/>
          <w:shd w:val="clear" w:color="auto" w:fill="auto"/>
        </w:rPr>
        <w:t>投标报价为目的地交货价（含货物运输、安装调试培训、售后服务费用等所有费用）</w:t>
      </w:r>
      <w:r>
        <w:rPr>
          <w:rFonts w:hint="eastAsia" w:ascii="宋体" w:hAnsi="宋体"/>
          <w:color w:val="000000"/>
          <w:highlight w:val="none"/>
          <w:shd w:val="clear" w:color="auto" w:fill="auto"/>
          <w:lang w:eastAsia="zh-CN"/>
        </w:rPr>
        <w:t>。</w:t>
      </w:r>
      <w:r>
        <w:rPr>
          <w:rFonts w:hint="eastAsia" w:ascii="宋体" w:hAnsi="宋体"/>
          <w:b w:val="0"/>
          <w:bCs w:val="0"/>
          <w:color w:val="000000"/>
          <w:szCs w:val="21"/>
          <w:highlight w:val="none"/>
        </w:rPr>
        <w:t>投标人应按照招标文件提供的投标报价表格式填写提供各项货物及服务的单价、分项总价和总投标价。</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投标总报价应是采购人指定地点交货的，包括基于交货或提供服务前发生的各种税费、运费及保险费、运杂费、安装费、检验费以及伴随的消耗材料、备品备件和其它服务费总报价。</w:t>
      </w:r>
      <w:r>
        <w:rPr>
          <w:rFonts w:hint="eastAsia" w:ascii="宋体" w:hAnsi="宋体"/>
          <w:b w:val="0"/>
          <w:bCs w:val="0"/>
          <w:color w:val="000000"/>
          <w:szCs w:val="21"/>
          <w:highlight w:val="none"/>
          <w:lang w:eastAsia="zh-CN"/>
        </w:rPr>
        <w:t>投标报价一览表是将总报价进行分解，</w:t>
      </w:r>
      <w:r>
        <w:rPr>
          <w:rFonts w:hint="eastAsia" w:ascii="宋体" w:hAnsi="宋体"/>
          <w:b w:val="0"/>
          <w:bCs w:val="0"/>
          <w:color w:val="000000"/>
          <w:szCs w:val="21"/>
          <w:highlight w:val="none"/>
        </w:rPr>
        <w:t>各项报价应准确填入投标报价</w:t>
      </w:r>
      <w:r>
        <w:rPr>
          <w:rFonts w:hint="eastAsia" w:ascii="宋体" w:hAnsi="宋体"/>
          <w:b w:val="0"/>
          <w:bCs w:val="0"/>
          <w:color w:val="000000"/>
          <w:szCs w:val="21"/>
          <w:highlight w:val="none"/>
          <w:lang w:eastAsia="zh-CN"/>
        </w:rPr>
        <w:t>一览</w:t>
      </w:r>
      <w:r>
        <w:rPr>
          <w:rFonts w:hint="eastAsia" w:ascii="宋体" w:hAnsi="宋体"/>
          <w:b w:val="0"/>
          <w:bCs w:val="0"/>
          <w:color w:val="000000"/>
          <w:szCs w:val="21"/>
          <w:highlight w:val="none"/>
        </w:rPr>
        <w:t>表相应栏内。未填入报价项目评标委员会可以认定为已包含在总报价，也可能做出对投标人不利的判断，后果由投标人自行承担。</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投标人根据上述规定所作分项报价的目的只是为了评标时对投标文件进行比较的方便，但并不限制采购人订立合同的权力。</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投标报价应完全包括招标文件规定的全部货物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服务范围，不得任意分割或合并所规定的货物</w:t>
      </w:r>
      <w:r>
        <w:rPr>
          <w:rFonts w:hint="eastAsia" w:ascii="宋体" w:hAnsi="宋体"/>
          <w:b w:val="0"/>
          <w:bCs w:val="0"/>
          <w:color w:val="000000"/>
          <w:szCs w:val="21"/>
          <w:highlight w:val="none"/>
          <w:lang w:eastAsia="zh-CN"/>
        </w:rPr>
        <w:t>及其伴随的</w:t>
      </w:r>
      <w:r>
        <w:rPr>
          <w:rFonts w:hint="eastAsia" w:ascii="宋体" w:hAnsi="宋体"/>
          <w:b w:val="0"/>
          <w:bCs w:val="0"/>
          <w:color w:val="000000"/>
          <w:szCs w:val="21"/>
          <w:highlight w:val="none"/>
        </w:rPr>
        <w:t>服务分项。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投标人对每种货物只允许有一个报价，采购人和采购代理机构不接受有任何选择报价的投标。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b w:val="0"/>
          <w:bCs w:val="0"/>
          <w:color w:val="000000"/>
          <w:szCs w:val="21"/>
          <w:highlight w:val="none"/>
        </w:rPr>
        <w:t>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4"/>
        <w:numPr>
          <w:ilvl w:val="1"/>
          <w:numId w:val="3"/>
        </w:numPr>
        <w:spacing w:before="140" w:after="140" w:line="240" w:lineRule="auto"/>
        <w:jc w:val="left"/>
        <w:rPr>
          <w:rFonts w:hint="eastAsia"/>
          <w:highlight w:val="none"/>
        </w:rPr>
      </w:pPr>
      <w:bookmarkStart w:id="216" w:name="_Toc26916"/>
      <w:bookmarkStart w:id="217" w:name="_Toc13817"/>
      <w:bookmarkStart w:id="218" w:name="_Toc12323"/>
      <w:bookmarkStart w:id="219" w:name="_Toc25999"/>
      <w:bookmarkStart w:id="220" w:name="_Toc9288"/>
      <w:bookmarkStart w:id="221" w:name="_Toc28543"/>
      <w:bookmarkStart w:id="222" w:name="_Toc38952918"/>
      <w:bookmarkStart w:id="223" w:name="_Toc31023"/>
      <w:r>
        <w:rPr>
          <w:rFonts w:hint="eastAsia"/>
          <w:highlight w:val="none"/>
        </w:rPr>
        <w:t>投标人资格的证明文件</w:t>
      </w:r>
      <w:bookmarkEnd w:id="216"/>
      <w:bookmarkEnd w:id="217"/>
      <w:bookmarkEnd w:id="218"/>
      <w:bookmarkEnd w:id="219"/>
      <w:bookmarkEnd w:id="220"/>
      <w:bookmarkEnd w:id="221"/>
      <w:bookmarkEnd w:id="222"/>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bookmarkStart w:id="224" w:name="_Toc28461"/>
      <w:bookmarkStart w:id="225" w:name="_Toc30002"/>
      <w:r>
        <w:rPr>
          <w:rFonts w:hint="eastAsia" w:ascii="宋体" w:hAnsi="宋体"/>
          <w:color w:val="000000"/>
          <w:szCs w:val="21"/>
          <w:highlight w:val="none"/>
        </w:rPr>
        <w:t>依据</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中的要求提交相应的资格证明文件，作为投标文件资格审查册的一部分，以证明其有资格进行投标和有能力履行合同。如果投标人是联合体，联合体协议应标明</w:t>
      </w:r>
      <w:r>
        <w:rPr>
          <w:rFonts w:hint="eastAsia" w:ascii="宋体" w:hAnsi="宋体"/>
          <w:color w:val="000000"/>
          <w:szCs w:val="21"/>
          <w:highlight w:val="none"/>
          <w:lang w:eastAsia="zh-CN"/>
        </w:rPr>
        <w:t>联合体牵头人</w:t>
      </w:r>
      <w:r>
        <w:rPr>
          <w:rFonts w:hint="eastAsia" w:ascii="宋体" w:hAnsi="宋体"/>
          <w:color w:val="000000"/>
          <w:szCs w:val="21"/>
          <w:highlight w:val="none"/>
        </w:rPr>
        <w:t>。</w:t>
      </w:r>
    </w:p>
    <w:p>
      <w:pPr>
        <w:pStyle w:val="4"/>
        <w:numPr>
          <w:ilvl w:val="1"/>
          <w:numId w:val="3"/>
        </w:numPr>
        <w:spacing w:before="140" w:after="140" w:line="240" w:lineRule="auto"/>
        <w:jc w:val="left"/>
        <w:rPr>
          <w:rFonts w:hint="eastAsia"/>
          <w:highlight w:val="none"/>
        </w:rPr>
      </w:pPr>
      <w:bookmarkStart w:id="226" w:name="_Toc1250359825"/>
      <w:bookmarkStart w:id="227" w:name="_Toc7564"/>
      <w:bookmarkStart w:id="228" w:name="_Toc16520"/>
      <w:bookmarkStart w:id="229" w:name="_Toc23240"/>
      <w:bookmarkStart w:id="230" w:name="_Toc13866"/>
      <w:bookmarkStart w:id="231" w:name="_Toc20933"/>
      <w:r>
        <w:rPr>
          <w:rFonts w:hint="eastAsia"/>
          <w:highlight w:val="none"/>
          <w:lang w:eastAsia="zh-CN"/>
        </w:rPr>
        <w:t>投标人技术证明文件</w:t>
      </w:r>
      <w:bookmarkEnd w:id="224"/>
      <w:bookmarkEnd w:id="225"/>
      <w:bookmarkEnd w:id="226"/>
      <w:bookmarkEnd w:id="227"/>
      <w:bookmarkEnd w:id="228"/>
      <w:bookmarkEnd w:id="229"/>
      <w:bookmarkEnd w:id="230"/>
      <w:bookmarkEnd w:id="23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32" w:name="_Toc14418"/>
      <w:bookmarkStart w:id="233" w:name="_Toc26009"/>
      <w:bookmarkStart w:id="234" w:name="_Toc26473"/>
      <w:r>
        <w:rPr>
          <w:rFonts w:hint="eastAsia" w:ascii="宋体" w:hAnsi="宋体"/>
          <w:color w:val="000000"/>
          <w:szCs w:val="21"/>
          <w:highlight w:val="none"/>
        </w:rPr>
        <w:t>投标人应提交证明其拟供</w:t>
      </w:r>
      <w:r>
        <w:rPr>
          <w:rFonts w:hint="eastAsia" w:ascii="宋体" w:hAnsi="宋体"/>
          <w:color w:val="000000"/>
          <w:szCs w:val="21"/>
          <w:highlight w:val="none"/>
          <w:lang w:eastAsia="zh-CN"/>
        </w:rPr>
        <w:t>货物及伴随服务</w:t>
      </w:r>
      <w:r>
        <w:rPr>
          <w:rFonts w:hint="eastAsia" w:ascii="宋体" w:hAnsi="宋体"/>
          <w:color w:val="000000"/>
          <w:szCs w:val="21"/>
          <w:highlight w:val="none"/>
        </w:rPr>
        <w:t>符合招标文件规定的技术</w:t>
      </w:r>
      <w:r>
        <w:rPr>
          <w:rFonts w:hint="eastAsia" w:ascii="宋体" w:hAnsi="宋体"/>
          <w:color w:val="000000"/>
          <w:szCs w:val="21"/>
          <w:highlight w:val="none"/>
          <w:lang w:eastAsia="zh-CN"/>
        </w:rPr>
        <w:t>证明</w:t>
      </w:r>
      <w:r>
        <w:rPr>
          <w:rFonts w:hint="eastAsia" w:ascii="宋体" w:hAnsi="宋体"/>
          <w:color w:val="000000"/>
          <w:szCs w:val="21"/>
          <w:highlight w:val="none"/>
        </w:rPr>
        <w:t>文件，作为投标文件的一部分。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eastAsia="zh-CN"/>
        </w:rPr>
        <w:t>投标文件</w:t>
      </w:r>
      <w:r>
        <w:rPr>
          <w:rFonts w:hint="eastAsia" w:ascii="宋体" w:hAnsi="宋体"/>
          <w:color w:val="000000"/>
          <w:szCs w:val="21"/>
          <w:highlight w:val="none"/>
        </w:rPr>
        <w:t>中应说明</w:t>
      </w:r>
      <w:r>
        <w:rPr>
          <w:rFonts w:hint="eastAsia" w:ascii="宋体" w:hAnsi="宋体"/>
          <w:color w:val="000000"/>
          <w:szCs w:val="21"/>
          <w:highlight w:val="none"/>
          <w:lang w:eastAsia="zh-CN"/>
        </w:rPr>
        <w:t>各项货物名称、数量、单价、规格型号等</w:t>
      </w:r>
      <w:r>
        <w:rPr>
          <w:rFonts w:hint="eastAsia" w:ascii="宋体" w:hAnsi="宋体"/>
          <w:color w:val="00000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证明文件可以是文字资料、图纸和数据</w:t>
      </w:r>
      <w:r>
        <w:rPr>
          <w:rFonts w:hint="eastAsia" w:ascii="宋体" w:hAnsi="宋体"/>
          <w:color w:val="000000"/>
          <w:szCs w:val="21"/>
          <w:highlight w:val="none"/>
          <w:lang w:eastAsia="zh-CN"/>
        </w:rPr>
        <w:t>。</w:t>
      </w:r>
    </w:p>
    <w:p>
      <w:pPr>
        <w:pStyle w:val="4"/>
        <w:numPr>
          <w:ilvl w:val="1"/>
          <w:numId w:val="3"/>
        </w:numPr>
        <w:spacing w:before="140" w:after="140" w:line="240" w:lineRule="auto"/>
        <w:jc w:val="left"/>
        <w:rPr>
          <w:rFonts w:hint="eastAsia"/>
          <w:highlight w:val="none"/>
        </w:rPr>
      </w:pPr>
      <w:bookmarkStart w:id="235" w:name="_Toc17700"/>
      <w:bookmarkStart w:id="236" w:name="_Toc30459"/>
      <w:bookmarkStart w:id="237" w:name="_Toc23963"/>
      <w:bookmarkStart w:id="238" w:name="_Toc47437809"/>
      <w:bookmarkStart w:id="239" w:name="_Toc20716"/>
      <w:r>
        <w:rPr>
          <w:rFonts w:hint="eastAsia"/>
          <w:highlight w:val="none"/>
        </w:rPr>
        <w:t>投标保证金</w:t>
      </w:r>
      <w:bookmarkEnd w:id="232"/>
      <w:bookmarkEnd w:id="233"/>
      <w:bookmarkEnd w:id="234"/>
      <w:bookmarkEnd w:id="235"/>
      <w:bookmarkEnd w:id="236"/>
      <w:bookmarkEnd w:id="237"/>
      <w:bookmarkEnd w:id="238"/>
      <w:bookmarkEnd w:id="239"/>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jc w:val="left"/>
        <w:textAlignment w:val="auto"/>
        <w:outlineLvl w:val="9"/>
        <w:rPr>
          <w:rFonts w:hint="eastAsia" w:ascii="宋体" w:hAnsi="宋体"/>
          <w:color w:val="000000"/>
          <w:szCs w:val="21"/>
          <w:highlight w:val="none"/>
        </w:rPr>
      </w:pPr>
      <w:r>
        <w:rPr>
          <w:rFonts w:hint="eastAsia" w:ascii="宋体" w:hAnsi="宋体" w:cs="微软雅黑"/>
          <w:kern w:val="0"/>
          <w:szCs w:val="21"/>
          <w:highlight w:val="none"/>
          <w:lang w:eastAsia="zh-CN"/>
        </w:rPr>
        <w:t>不要求</w:t>
      </w:r>
      <w:r>
        <w:rPr>
          <w:rFonts w:hint="eastAsia" w:ascii="宋体" w:hAnsi="宋体" w:cs="微软雅黑"/>
          <w:kern w:val="0"/>
          <w:szCs w:val="21"/>
          <w:highlight w:val="none"/>
        </w:rPr>
        <w:t>。</w:t>
      </w:r>
    </w:p>
    <w:p>
      <w:pPr>
        <w:pStyle w:val="4"/>
        <w:numPr>
          <w:ilvl w:val="1"/>
          <w:numId w:val="3"/>
        </w:numPr>
        <w:spacing w:before="140" w:after="140" w:line="240" w:lineRule="auto"/>
        <w:jc w:val="left"/>
        <w:rPr>
          <w:rFonts w:hint="eastAsia"/>
          <w:highlight w:val="none"/>
        </w:rPr>
      </w:pPr>
      <w:bookmarkStart w:id="240" w:name="_Toc878"/>
      <w:bookmarkStart w:id="241" w:name="_Toc11749"/>
      <w:bookmarkStart w:id="242" w:name="_Toc22418"/>
      <w:bookmarkStart w:id="243" w:name="_Toc1470895369"/>
      <w:bookmarkStart w:id="244" w:name="_Toc1189"/>
      <w:bookmarkStart w:id="245" w:name="_Toc29010"/>
      <w:bookmarkStart w:id="246" w:name="_Toc21883"/>
      <w:bookmarkStart w:id="247" w:name="_Toc11525"/>
      <w:r>
        <w:rPr>
          <w:rFonts w:hint="eastAsia"/>
          <w:highlight w:val="none"/>
        </w:rPr>
        <w:t>投标有效期</w:t>
      </w:r>
      <w:bookmarkEnd w:id="240"/>
      <w:bookmarkEnd w:id="241"/>
      <w:bookmarkEnd w:id="242"/>
      <w:bookmarkEnd w:id="243"/>
      <w:bookmarkEnd w:id="244"/>
      <w:bookmarkEnd w:id="245"/>
      <w:bookmarkEnd w:id="246"/>
      <w:bookmarkEnd w:id="24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000000"/>
          <w:szCs w:val="21"/>
          <w:highlight w:val="none"/>
        </w:rPr>
      </w:pPr>
      <w:r>
        <w:rPr>
          <w:rFonts w:hint="eastAsia" w:ascii="宋体" w:hAnsi="宋体"/>
          <w:color w:val="000000"/>
          <w:szCs w:val="21"/>
          <w:highlight w:val="none"/>
        </w:rPr>
        <w:t>投标有效期</w:t>
      </w:r>
      <w:r>
        <w:rPr>
          <w:rFonts w:hint="eastAsia" w:ascii="宋体" w:hAnsi="宋体"/>
          <w:color w:val="000000"/>
          <w:szCs w:val="21"/>
          <w:highlight w:val="none"/>
          <w:lang w:eastAsia="zh-CN"/>
        </w:rPr>
        <w:t>见投标人须知前附表，</w:t>
      </w:r>
      <w:r>
        <w:rPr>
          <w:rFonts w:hint="eastAsia" w:ascii="宋体" w:hAnsi="宋体"/>
          <w:color w:val="000000"/>
          <w:szCs w:val="21"/>
          <w:highlight w:val="none"/>
        </w:rPr>
        <w:t>从</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w:t>
      </w:r>
      <w:r>
        <w:rPr>
          <w:rFonts w:hint="eastAsia" w:ascii="宋体" w:hAnsi="宋体"/>
          <w:b w:val="0"/>
          <w:bCs w:val="0"/>
          <w:color w:val="000000"/>
          <w:szCs w:val="21"/>
          <w:highlight w:val="none"/>
        </w:rPr>
        <w:t>起算。</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投标文件应自</w:t>
      </w:r>
      <w:r>
        <w:rPr>
          <w:rFonts w:hint="eastAsia" w:ascii="宋体" w:hAnsi="宋体"/>
          <w:color w:val="000000"/>
          <w:szCs w:val="21"/>
          <w:highlight w:val="none"/>
          <w:lang w:eastAsia="zh-CN"/>
        </w:rPr>
        <w:t>递交</w:t>
      </w:r>
      <w:r>
        <w:rPr>
          <w:rFonts w:hint="eastAsia" w:ascii="宋体" w:hAnsi="宋体"/>
          <w:color w:val="000000"/>
          <w:szCs w:val="21"/>
          <w:highlight w:val="none"/>
        </w:rPr>
        <w:t>投标文件的截止之日起，在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规定的时间内保持有效。投标有效期不足的将被视为非响应投标而予以拒绝。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color w:val="000000"/>
          <w:szCs w:val="21"/>
          <w:highlight w:val="none"/>
        </w:rPr>
        <w:t>在特殊情况下，在原投标有效期截止之前，采购人和采购代理机构可征求投标人同意延长投标有效期。这种要求与答复均应以书面形</w:t>
      </w:r>
      <w:r>
        <w:rPr>
          <w:rFonts w:hint="eastAsia" w:ascii="宋体" w:hAnsi="宋体" w:eastAsia="宋体" w:cs="Times New Roman"/>
          <w:color w:val="000000"/>
          <w:szCs w:val="21"/>
          <w:highlight w:val="none"/>
        </w:rPr>
        <w:t>式提交。投标人可以拒绝这种要求。同意延期的投标人将不会被要求也不允许修改其投标。</w:t>
      </w:r>
    </w:p>
    <w:p>
      <w:pPr>
        <w:pStyle w:val="4"/>
        <w:numPr>
          <w:ilvl w:val="1"/>
          <w:numId w:val="3"/>
        </w:numPr>
        <w:spacing w:before="140" w:after="140" w:line="240" w:lineRule="auto"/>
        <w:jc w:val="left"/>
        <w:rPr>
          <w:rFonts w:hint="eastAsia"/>
          <w:highlight w:val="none"/>
        </w:rPr>
      </w:pPr>
      <w:bookmarkStart w:id="248" w:name="_Toc8140"/>
      <w:bookmarkStart w:id="249" w:name="_Toc309075063"/>
      <w:bookmarkStart w:id="250" w:name="_Toc20982"/>
      <w:bookmarkStart w:id="251" w:name="_Toc5773"/>
      <w:bookmarkStart w:id="252" w:name="_Toc2592"/>
      <w:bookmarkStart w:id="253" w:name="_Toc10777"/>
      <w:bookmarkStart w:id="254" w:name="_Toc9753"/>
      <w:bookmarkStart w:id="255" w:name="_Toc25251"/>
      <w:r>
        <w:rPr>
          <w:rFonts w:hint="eastAsia"/>
          <w:highlight w:val="none"/>
        </w:rPr>
        <w:t>投标文件</w:t>
      </w:r>
      <w:r>
        <w:rPr>
          <w:rFonts w:hint="eastAsia"/>
          <w:highlight w:val="none"/>
          <w:lang w:eastAsia="zh-CN"/>
        </w:rPr>
        <w:t>编制</w:t>
      </w:r>
      <w:bookmarkEnd w:id="248"/>
      <w:bookmarkEnd w:id="249"/>
      <w:bookmarkEnd w:id="250"/>
      <w:bookmarkEnd w:id="251"/>
      <w:bookmarkEnd w:id="252"/>
      <w:bookmarkEnd w:id="253"/>
      <w:bookmarkEnd w:id="254"/>
      <w:bookmarkEnd w:id="25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256" w:name="_Toc312133546"/>
      <w:r>
        <w:rPr>
          <w:rFonts w:hint="eastAsia" w:ascii="宋体" w:hAnsi="宋体"/>
          <w:color w:val="000000"/>
          <w:szCs w:val="21"/>
          <w:highlight w:val="none"/>
        </w:rPr>
        <w:t>投标文件应按第</w:t>
      </w:r>
      <w:r>
        <w:rPr>
          <w:rFonts w:hint="eastAsia" w:ascii="宋体" w:hAnsi="宋体"/>
          <w:color w:val="000000"/>
          <w:szCs w:val="21"/>
          <w:highlight w:val="none"/>
          <w:lang w:eastAsia="zh-CN"/>
        </w:rPr>
        <w:t>七</w:t>
      </w:r>
      <w:r>
        <w:rPr>
          <w:rFonts w:hint="eastAsia" w:ascii="宋体" w:hAnsi="宋体"/>
          <w:color w:val="000000"/>
          <w:szCs w:val="21"/>
          <w:highlight w:val="none"/>
        </w:rPr>
        <w:t>章</w:t>
      </w:r>
      <w:r>
        <w:rPr>
          <w:rFonts w:hint="eastAsia" w:ascii="宋体" w:hAnsi="宋体"/>
          <w:color w:val="000000"/>
          <w:szCs w:val="21"/>
          <w:highlight w:val="none"/>
          <w:lang w:eastAsia="zh-CN"/>
        </w:rPr>
        <w:t>“投标文件资格审查册通用格式”、第八章</w:t>
      </w:r>
      <w:r>
        <w:rPr>
          <w:rFonts w:hint="eastAsia" w:ascii="宋体" w:hAnsi="宋体"/>
          <w:color w:val="000000"/>
          <w:szCs w:val="21"/>
          <w:highlight w:val="none"/>
        </w:rPr>
        <w:t>“投标文件</w:t>
      </w:r>
      <w:r>
        <w:rPr>
          <w:rFonts w:hint="eastAsia" w:ascii="宋体" w:hAnsi="宋体"/>
          <w:color w:val="000000"/>
          <w:szCs w:val="21"/>
          <w:highlight w:val="none"/>
          <w:lang w:eastAsia="zh-CN"/>
        </w:rPr>
        <w:t>通用</w:t>
      </w:r>
      <w:r>
        <w:rPr>
          <w:rFonts w:hint="eastAsia" w:ascii="宋体" w:hAnsi="宋体"/>
          <w:color w:val="000000"/>
          <w:szCs w:val="21"/>
          <w:highlight w:val="none"/>
        </w:rPr>
        <w:t>格式”进行编写，如有必要，可以增加附页，作为投标文件的组成部分。</w:t>
      </w:r>
      <w:r>
        <w:rPr>
          <w:rFonts w:hint="eastAsia" w:ascii="宋体" w:hAnsi="宋体"/>
          <w:color w:val="000000"/>
          <w:szCs w:val="21"/>
          <w:highlight w:val="none"/>
          <w:lang w:eastAsia="zh-CN"/>
        </w:rPr>
        <w:t>其中，开标一览表</w:t>
      </w:r>
      <w:r>
        <w:rPr>
          <w:rFonts w:hint="eastAsia" w:ascii="宋体" w:hAnsi="宋体"/>
          <w:color w:val="000000"/>
          <w:szCs w:val="21"/>
          <w:highlight w:val="none"/>
        </w:rPr>
        <w:t>在满足招标文件实质性要求的基础上，可以提出比招标文件要求更有利于</w:t>
      </w:r>
      <w:r>
        <w:rPr>
          <w:rFonts w:hint="eastAsia" w:ascii="宋体" w:hAnsi="宋体"/>
          <w:color w:val="000000"/>
          <w:szCs w:val="21"/>
          <w:highlight w:val="none"/>
          <w:lang w:eastAsia="zh-CN"/>
        </w:rPr>
        <w:t>采购人</w:t>
      </w:r>
      <w:r>
        <w:rPr>
          <w:rFonts w:hint="eastAsia" w:ascii="宋体" w:hAnsi="宋体"/>
          <w:color w:val="000000"/>
          <w:szCs w:val="21"/>
          <w:highlight w:val="none"/>
        </w:rPr>
        <w:t>的承诺。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投标文件应当对招标文件有关投标有效期、</w:t>
      </w:r>
      <w:r>
        <w:rPr>
          <w:rFonts w:hint="eastAsia" w:ascii="宋体" w:hAnsi="宋体"/>
          <w:color w:val="000000"/>
          <w:szCs w:val="21"/>
          <w:highlight w:val="none"/>
          <w:lang w:eastAsia="zh-CN"/>
        </w:rPr>
        <w:t>采购</w:t>
      </w:r>
      <w:r>
        <w:rPr>
          <w:rFonts w:hint="eastAsia" w:ascii="宋体" w:hAnsi="宋体"/>
          <w:color w:val="000000"/>
          <w:szCs w:val="21"/>
          <w:highlight w:val="none"/>
        </w:rPr>
        <w:t>范围等实质性内容作出响应。</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电报、电传和传真投标文件一律不接受。</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257" w:name="_Toc31860"/>
      <w:bookmarkStart w:id="258" w:name="_Toc15032"/>
      <w:r>
        <w:rPr>
          <w:rFonts w:hint="eastAsia" w:ascii="宋体" w:hAnsi="宋体" w:eastAsia="宋体"/>
          <w:color w:val="000000"/>
          <w:sz w:val="24"/>
          <w:szCs w:val="24"/>
          <w:highlight w:val="none"/>
          <w:lang w:val="en-US" w:eastAsia="zh-CN"/>
        </w:rPr>
        <w:t>投标</w:t>
      </w:r>
      <w:bookmarkEnd w:id="256"/>
      <w:bookmarkEnd w:id="257"/>
      <w:bookmarkEnd w:id="258"/>
    </w:p>
    <w:p>
      <w:pPr>
        <w:pStyle w:val="4"/>
        <w:numPr>
          <w:ilvl w:val="1"/>
          <w:numId w:val="3"/>
        </w:numPr>
        <w:jc w:val="both"/>
        <w:rPr>
          <w:rFonts w:hint="eastAsia"/>
          <w:highlight w:val="none"/>
        </w:rPr>
      </w:pPr>
      <w:bookmarkStart w:id="259" w:name="_Toc17190"/>
      <w:bookmarkStart w:id="260" w:name="_Toc24770"/>
      <w:bookmarkStart w:id="261" w:name="_Toc25558"/>
      <w:bookmarkStart w:id="262" w:name="_Toc15515"/>
      <w:bookmarkStart w:id="263" w:name="_Toc24089"/>
      <w:bookmarkStart w:id="264" w:name="_Toc9486"/>
      <w:bookmarkStart w:id="265" w:name="_Toc2541"/>
      <w:bookmarkStart w:id="266" w:name="_Toc7201"/>
      <w:bookmarkStart w:id="267" w:name="_Toc22690"/>
      <w:bookmarkStart w:id="268" w:name="_Toc25740"/>
      <w:bookmarkStart w:id="269" w:name="_Toc65770251"/>
      <w:bookmarkStart w:id="270" w:name="_Toc7004"/>
      <w:bookmarkStart w:id="271" w:name="_Toc16522"/>
      <w:bookmarkStart w:id="272" w:name="_Toc32620"/>
      <w:bookmarkStart w:id="273" w:name="_Toc23777"/>
      <w:bookmarkStart w:id="274" w:name="_Toc312133547"/>
      <w:r>
        <w:rPr>
          <w:rFonts w:hint="eastAsia"/>
          <w:highlight w:val="none"/>
        </w:rPr>
        <w:t>投标文件的密封</w:t>
      </w:r>
      <w:r>
        <w:rPr>
          <w:rFonts w:hint="eastAsia"/>
          <w:highlight w:val="none"/>
          <w:lang w:eastAsia="zh-CN"/>
        </w:rPr>
        <w:t>、签署和盖章</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4.1.1</w:t>
      </w:r>
      <w:r>
        <w:rPr>
          <w:rFonts w:hint="eastAsia" w:ascii="宋体" w:hAnsi="宋体" w:eastAsia="宋体" w:cs="宋体"/>
          <w:color w:val="auto"/>
          <w:kern w:val="2"/>
          <w:sz w:val="21"/>
          <w:szCs w:val="21"/>
          <w:highlight w:val="none"/>
          <w:lang w:val="en-US" w:eastAsia="zh-CN" w:bidi="ar-SA"/>
        </w:rPr>
        <w:t>签字或盖章的具体要求见投标人须知前附表。</w:t>
      </w:r>
      <w:r>
        <w:rPr>
          <w:rFonts w:hint="eastAsia" w:ascii="宋体" w:hAnsi="宋体" w:eastAsia="宋体" w:cs="宋体"/>
          <w:color w:val="auto"/>
          <w:szCs w:val="21"/>
          <w:highlight w:val="none"/>
          <w:lang w:val="en-US" w:eastAsia="zh-CN"/>
        </w:rPr>
        <w:t xml:space="preserve">投标人应当按照招标文件和电子招标投标交易平台的要求加密投标文件，具体要求见投标人须知前附表。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4.1.2</w:t>
      </w:r>
      <w:r>
        <w:rPr>
          <w:rFonts w:hint="eastAsia" w:ascii="宋体" w:hAnsi="宋体" w:eastAsia="宋体" w:cs="宋体"/>
          <w:color w:val="auto"/>
          <w:szCs w:val="21"/>
          <w:highlight w:val="none"/>
        </w:rPr>
        <w:t>未按本章第4.1.1项要求</w:t>
      </w:r>
      <w:r>
        <w:rPr>
          <w:rFonts w:hint="eastAsia" w:ascii="宋体" w:hAnsi="宋体" w:eastAsia="宋体" w:cs="宋体"/>
          <w:color w:val="auto"/>
          <w:szCs w:val="21"/>
          <w:highlight w:val="none"/>
          <w:lang w:eastAsia="zh-CN"/>
        </w:rPr>
        <w:t>加密、签署和盖章</w:t>
      </w:r>
      <w:r>
        <w:rPr>
          <w:rFonts w:hint="eastAsia" w:ascii="宋体" w:hAnsi="宋体" w:eastAsia="宋体" w:cs="宋体"/>
          <w:color w:val="auto"/>
          <w:szCs w:val="21"/>
          <w:highlight w:val="none"/>
        </w:rPr>
        <w:t>的投标文件，</w:t>
      </w:r>
      <w:r>
        <w:rPr>
          <w:rFonts w:hint="eastAsia" w:ascii="宋体" w:hAnsi="宋体" w:eastAsia="宋体" w:cs="宋体"/>
          <w:color w:val="auto"/>
          <w:sz w:val="21"/>
          <w:szCs w:val="21"/>
          <w:highlight w:val="none"/>
        </w:rPr>
        <w:t>电子招标投标交易平台将予以拒收</w:t>
      </w:r>
      <w:r>
        <w:rPr>
          <w:rFonts w:hint="eastAsia" w:ascii="宋体" w:hAnsi="宋体" w:eastAsia="宋体" w:cs="宋体"/>
          <w:color w:val="auto"/>
          <w:szCs w:val="21"/>
          <w:highlight w:val="none"/>
        </w:rPr>
        <w:t>。</w:t>
      </w:r>
    </w:p>
    <w:p>
      <w:pPr>
        <w:pStyle w:val="4"/>
        <w:numPr>
          <w:ilvl w:val="1"/>
          <w:numId w:val="3"/>
        </w:numPr>
        <w:jc w:val="left"/>
        <w:rPr>
          <w:rFonts w:hint="eastAsia"/>
          <w:highlight w:val="none"/>
        </w:rPr>
      </w:pPr>
      <w:bookmarkStart w:id="275" w:name="_Toc27621"/>
      <w:bookmarkStart w:id="276" w:name="_Toc25206"/>
      <w:bookmarkStart w:id="277" w:name="_Toc24207"/>
      <w:bookmarkStart w:id="278" w:name="_Toc8642"/>
      <w:bookmarkStart w:id="279" w:name="_Toc14647"/>
      <w:bookmarkStart w:id="280" w:name="_Toc24802"/>
      <w:bookmarkStart w:id="281" w:name="_Toc2882"/>
      <w:bookmarkStart w:id="282" w:name="_Toc17234"/>
      <w:bookmarkStart w:id="283" w:name="_Toc27859"/>
      <w:bookmarkStart w:id="284" w:name="_Toc20161"/>
      <w:bookmarkStart w:id="285" w:name="_Toc28937"/>
      <w:bookmarkStart w:id="286" w:name="_Toc7858"/>
      <w:bookmarkStart w:id="287" w:name="_Toc17164"/>
      <w:bookmarkStart w:id="288" w:name="_Toc10849"/>
      <w:bookmarkStart w:id="289" w:name="_Toc1506063679"/>
      <w:r>
        <w:rPr>
          <w:rFonts w:hint="eastAsia"/>
          <w:highlight w:val="none"/>
          <w:lang w:eastAsia="zh-CN"/>
        </w:rPr>
        <w:t>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w:t>
      </w:r>
      <w:r>
        <w:rPr>
          <w:rFonts w:hint="eastAsia" w:ascii="宋体" w:hAnsi="宋体" w:cs="宋体"/>
          <w:spacing w:val="-2"/>
          <w:kern w:val="0"/>
          <w:szCs w:val="21"/>
          <w:highlight w:val="none"/>
        </w:rPr>
        <w:t>应</w:t>
      </w:r>
      <w:r>
        <w:rPr>
          <w:rFonts w:hint="eastAsia" w:ascii="宋体" w:hAnsi="宋体" w:cs="宋体"/>
          <w:kern w:val="0"/>
          <w:szCs w:val="21"/>
          <w:highlight w:val="none"/>
        </w:rPr>
        <w:t>在</w:t>
      </w:r>
      <w:r>
        <w:rPr>
          <w:rFonts w:hint="eastAsia" w:ascii="宋体" w:hAnsi="宋体" w:cs="宋体"/>
          <w:spacing w:val="-2"/>
          <w:kern w:val="0"/>
          <w:szCs w:val="21"/>
          <w:highlight w:val="none"/>
        </w:rPr>
        <w:t>投</w:t>
      </w:r>
      <w:r>
        <w:rPr>
          <w:rFonts w:hint="eastAsia" w:ascii="宋体" w:hAnsi="宋体" w:cs="宋体"/>
          <w:kern w:val="0"/>
          <w:szCs w:val="21"/>
          <w:highlight w:val="none"/>
        </w:rPr>
        <w:t>标</w:t>
      </w:r>
      <w:r>
        <w:rPr>
          <w:rFonts w:hint="eastAsia" w:ascii="宋体" w:hAnsi="宋体" w:cs="宋体"/>
          <w:spacing w:val="-2"/>
          <w:kern w:val="0"/>
          <w:szCs w:val="21"/>
          <w:highlight w:val="none"/>
        </w:rPr>
        <w:t>人须</w:t>
      </w:r>
      <w:r>
        <w:rPr>
          <w:rFonts w:hint="eastAsia" w:ascii="宋体" w:hAnsi="宋体" w:cs="宋体"/>
          <w:kern w:val="0"/>
          <w:szCs w:val="21"/>
          <w:highlight w:val="none"/>
        </w:rPr>
        <w:t>知前</w:t>
      </w:r>
      <w:r>
        <w:rPr>
          <w:rFonts w:hint="eastAsia" w:ascii="宋体" w:hAnsi="宋体" w:cs="宋体"/>
          <w:spacing w:val="-2"/>
          <w:kern w:val="0"/>
          <w:szCs w:val="21"/>
          <w:highlight w:val="none"/>
        </w:rPr>
        <w:t>附</w:t>
      </w:r>
      <w:r>
        <w:rPr>
          <w:rFonts w:hint="eastAsia" w:ascii="宋体" w:hAnsi="宋体" w:cs="宋体"/>
          <w:kern w:val="0"/>
          <w:szCs w:val="21"/>
          <w:highlight w:val="none"/>
        </w:rPr>
        <w:t>表</w:t>
      </w:r>
      <w:r>
        <w:rPr>
          <w:rFonts w:hint="eastAsia" w:ascii="宋体" w:hAnsi="宋体" w:cs="宋体"/>
          <w:spacing w:val="-2"/>
          <w:kern w:val="0"/>
          <w:szCs w:val="21"/>
          <w:highlight w:val="none"/>
        </w:rPr>
        <w:t>规</w:t>
      </w:r>
      <w:r>
        <w:rPr>
          <w:rFonts w:hint="eastAsia" w:ascii="宋体" w:hAnsi="宋体" w:cs="宋体"/>
          <w:kern w:val="0"/>
          <w:szCs w:val="21"/>
          <w:highlight w:val="none"/>
        </w:rPr>
        <w:t>定</w:t>
      </w:r>
      <w:r>
        <w:rPr>
          <w:rFonts w:hint="eastAsia" w:ascii="宋体" w:hAnsi="宋体" w:cs="宋体"/>
          <w:spacing w:val="-2"/>
          <w:kern w:val="0"/>
          <w:szCs w:val="21"/>
          <w:highlight w:val="none"/>
        </w:rPr>
        <w:t>的</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截</w:t>
      </w:r>
      <w:r>
        <w:rPr>
          <w:rFonts w:hint="eastAsia" w:ascii="宋体" w:hAnsi="宋体" w:cs="宋体"/>
          <w:spacing w:val="-2"/>
          <w:kern w:val="0"/>
          <w:szCs w:val="21"/>
          <w:highlight w:val="none"/>
        </w:rPr>
        <w:t>止</w:t>
      </w:r>
      <w:r>
        <w:rPr>
          <w:rFonts w:hint="eastAsia" w:ascii="宋体" w:hAnsi="宋体" w:cs="宋体"/>
          <w:kern w:val="0"/>
          <w:szCs w:val="21"/>
          <w:highlight w:val="none"/>
        </w:rPr>
        <w:t>时间</w:t>
      </w:r>
      <w:r>
        <w:rPr>
          <w:rFonts w:hint="eastAsia" w:ascii="宋体" w:hAnsi="宋体" w:cs="宋体"/>
          <w:spacing w:val="-2"/>
          <w:kern w:val="0"/>
          <w:szCs w:val="21"/>
          <w:highlight w:val="none"/>
        </w:rPr>
        <w:t>前</w:t>
      </w:r>
      <w:r>
        <w:rPr>
          <w:rFonts w:hint="eastAsia" w:ascii="宋体" w:hAnsi="宋体" w:cs="宋体"/>
          <w:kern w:val="0"/>
          <w:szCs w:val="21"/>
          <w:highlight w:val="none"/>
        </w:rPr>
        <w:t>递</w:t>
      </w:r>
      <w:r>
        <w:rPr>
          <w:rFonts w:hint="eastAsia" w:ascii="宋体" w:hAnsi="宋体" w:cs="宋体"/>
          <w:spacing w:val="-2"/>
          <w:kern w:val="0"/>
          <w:szCs w:val="21"/>
          <w:highlight w:val="none"/>
        </w:rPr>
        <w:t>交</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文</w:t>
      </w:r>
      <w:r>
        <w:rPr>
          <w:rFonts w:hint="eastAsia" w:ascii="宋体" w:hAnsi="宋体" w:cs="宋体"/>
          <w:spacing w:val="-2"/>
          <w:kern w:val="0"/>
          <w:szCs w:val="21"/>
          <w:highlight w:val="none"/>
        </w:rPr>
        <w:t>件</w:t>
      </w:r>
      <w:r>
        <w:rPr>
          <w:rFonts w:hint="eastAsia" w:ascii="宋体" w:hAnsi="宋体" w:cs="宋体"/>
          <w:kern w:val="0"/>
          <w:szCs w:val="21"/>
          <w:highlight w:val="none"/>
        </w:rPr>
        <w:t>。</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投标人通过下载招标文件的电子招标投标交易平台递交电子投标文件</w:t>
      </w:r>
      <w:r>
        <w:rPr>
          <w:rFonts w:hint="eastAsia" w:ascii="宋体" w:hAnsi="宋体" w:eastAsia="宋体" w:cs="宋体"/>
          <w:spacing w:val="-2"/>
          <w:kern w:val="0"/>
          <w:szCs w:val="21"/>
          <w:highlight w:val="none"/>
          <w:lang w:eastAsia="zh-CN"/>
        </w:rPr>
        <w:t>，</w:t>
      </w:r>
      <w:r>
        <w:rPr>
          <w:rFonts w:hint="eastAsia" w:ascii="宋体" w:hAnsi="宋体" w:eastAsia="宋体" w:cs="宋体"/>
          <w:spacing w:val="-2"/>
          <w:kern w:val="0"/>
          <w:szCs w:val="21"/>
          <w:highlight w:val="none"/>
        </w:rPr>
        <w:t>具体要求见投标人须知前附表。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投标人完成电子投标文件上传后，电子招标投标交易平台即时向投标人发出递交回执通知。递交时间以递交回执通知载明的传输完成时间为准。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12" w:firstLineChars="200"/>
        <w:textAlignment w:val="auto"/>
        <w:outlineLvl w:val="9"/>
        <w:rPr>
          <w:rFonts w:hint="eastAsia" w:ascii="宋体" w:hAnsi="宋体" w:eastAsia="宋体" w:cs="宋体"/>
          <w:spacing w:val="-2"/>
          <w:kern w:val="0"/>
          <w:szCs w:val="21"/>
          <w:highlight w:val="none"/>
        </w:rPr>
      </w:pPr>
      <w:r>
        <w:rPr>
          <w:rFonts w:hint="eastAsia" w:ascii="宋体" w:hAnsi="宋体" w:eastAsia="宋体" w:cs="宋体"/>
          <w:spacing w:val="-2"/>
          <w:kern w:val="0"/>
          <w:szCs w:val="21"/>
          <w:highlight w:val="none"/>
        </w:rPr>
        <w:t>逾期送达的投标文件</w:t>
      </w:r>
      <w:r>
        <w:rPr>
          <w:rFonts w:hint="eastAsia" w:ascii="宋体" w:hAnsi="宋体" w:eastAsia="宋体" w:cs="宋体"/>
          <w:spacing w:val="-2"/>
          <w:kern w:val="0"/>
          <w:szCs w:val="21"/>
          <w:highlight w:val="none"/>
          <w:lang w:eastAsia="zh-CN"/>
        </w:rPr>
        <w:t>或</w:t>
      </w:r>
      <w:r>
        <w:rPr>
          <w:rFonts w:hint="eastAsia" w:ascii="宋体" w:hAnsi="宋体" w:eastAsia="宋体" w:cs="宋体"/>
          <w:spacing w:val="-2"/>
          <w:kern w:val="0"/>
          <w:szCs w:val="21"/>
          <w:highlight w:val="none"/>
          <w:lang w:val="en-US" w:eastAsia="zh-CN"/>
        </w:rPr>
        <w:t>未按规定加密的投标文件</w:t>
      </w:r>
      <w:r>
        <w:rPr>
          <w:rFonts w:hint="eastAsia" w:ascii="宋体" w:hAnsi="宋体" w:eastAsia="宋体" w:cs="宋体"/>
          <w:spacing w:val="-2"/>
          <w:kern w:val="0"/>
          <w:szCs w:val="21"/>
          <w:highlight w:val="none"/>
        </w:rPr>
        <w:t>，电子招标投标交易平台将予以拒收。</w:t>
      </w:r>
    </w:p>
    <w:p>
      <w:pPr>
        <w:pStyle w:val="4"/>
        <w:numPr>
          <w:ilvl w:val="1"/>
          <w:numId w:val="3"/>
        </w:numPr>
        <w:jc w:val="left"/>
        <w:rPr>
          <w:rFonts w:hint="eastAsia"/>
          <w:highlight w:val="none"/>
        </w:rPr>
      </w:pPr>
      <w:bookmarkStart w:id="290" w:name="_Toc8025"/>
      <w:bookmarkStart w:id="291" w:name="_Toc7628"/>
      <w:bookmarkStart w:id="292" w:name="_Toc27084"/>
      <w:bookmarkStart w:id="293" w:name="_Toc31018"/>
      <w:bookmarkStart w:id="294" w:name="_Toc32365"/>
      <w:bookmarkStart w:id="295" w:name="_Toc7423"/>
      <w:bookmarkStart w:id="296" w:name="_Toc27900"/>
      <w:bookmarkStart w:id="297" w:name="_Toc23125"/>
      <w:bookmarkStart w:id="298" w:name="_Toc13886"/>
      <w:bookmarkStart w:id="299" w:name="_Toc22212"/>
      <w:bookmarkStart w:id="300" w:name="_Toc3471"/>
      <w:bookmarkStart w:id="301" w:name="_Toc21005"/>
      <w:bookmarkStart w:id="302" w:name="_Toc27509"/>
      <w:bookmarkStart w:id="303" w:name="_Toc304814584"/>
      <w:bookmarkStart w:id="304" w:name="_Toc19554"/>
      <w:r>
        <w:rPr>
          <w:rFonts w:hint="eastAsia"/>
          <w:highlight w:val="none"/>
        </w:rPr>
        <w:t>投标文件的修改和撤回</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在投标截止</w:t>
      </w:r>
      <w:r>
        <w:rPr>
          <w:rFonts w:hint="eastAsia" w:ascii="宋体" w:hAnsi="宋体"/>
          <w:color w:val="000000"/>
          <w:szCs w:val="21"/>
          <w:highlight w:val="none"/>
          <w:lang w:eastAsia="zh-CN"/>
        </w:rPr>
        <w:t>时间</w:t>
      </w:r>
      <w:r>
        <w:rPr>
          <w:rFonts w:hint="eastAsia" w:ascii="宋体" w:hAnsi="宋体"/>
          <w:color w:val="000000"/>
          <w:szCs w:val="21"/>
          <w:highlight w:val="none"/>
        </w:rPr>
        <w:t>之后，投标人不得对其投标</w:t>
      </w:r>
      <w:r>
        <w:rPr>
          <w:rFonts w:hint="eastAsia" w:ascii="宋体" w:hAnsi="宋体"/>
          <w:color w:val="000000"/>
          <w:szCs w:val="21"/>
          <w:highlight w:val="none"/>
          <w:lang w:eastAsia="zh-CN"/>
        </w:rPr>
        <w:t>文件</w:t>
      </w:r>
      <w:r>
        <w:rPr>
          <w:rFonts w:hint="eastAsia" w:ascii="宋体" w:hAnsi="宋体"/>
          <w:color w:val="000000"/>
          <w:szCs w:val="21"/>
          <w:highlight w:val="none"/>
        </w:rPr>
        <w:t>做任何修改。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rPr>
        <w:t>从投标截止</w:t>
      </w:r>
      <w:r>
        <w:rPr>
          <w:rFonts w:hint="eastAsia" w:ascii="宋体" w:hAnsi="宋体"/>
          <w:color w:val="000000"/>
          <w:szCs w:val="21"/>
          <w:highlight w:val="none"/>
          <w:lang w:eastAsia="zh-CN"/>
        </w:rPr>
        <w:t>时间</w:t>
      </w:r>
      <w:r>
        <w:rPr>
          <w:rFonts w:hint="eastAsia" w:ascii="宋体" w:hAnsi="宋体"/>
          <w:color w:val="000000"/>
          <w:szCs w:val="21"/>
          <w:highlight w:val="none"/>
        </w:rPr>
        <w:t>至投标人在投标文件中载明的投标有效期满期间，投标人不得撤回其投标</w:t>
      </w:r>
      <w:r>
        <w:rPr>
          <w:rFonts w:hint="eastAsia" w:ascii="宋体" w:hAnsi="宋体"/>
          <w:color w:val="000000"/>
          <w:szCs w:val="21"/>
          <w:highlight w:val="none"/>
          <w:lang w:eastAsia="zh-CN"/>
        </w:rPr>
        <w:t>文件</w:t>
      </w:r>
      <w:r>
        <w:rPr>
          <w:rFonts w:hint="eastAsia" w:ascii="宋体" w:hAnsi="宋体"/>
          <w:color w:val="000000"/>
          <w:szCs w:val="21"/>
          <w:highlight w:val="none"/>
        </w:rPr>
        <w:t>。</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05" w:name="_Toc14454"/>
      <w:bookmarkStart w:id="306" w:name="_Toc24197"/>
      <w:r>
        <w:rPr>
          <w:rFonts w:hint="eastAsia" w:ascii="宋体" w:hAnsi="宋体" w:eastAsia="宋体"/>
          <w:color w:val="000000"/>
          <w:sz w:val="24"/>
          <w:szCs w:val="24"/>
          <w:highlight w:val="none"/>
          <w:lang w:val="en-US" w:eastAsia="zh-CN"/>
        </w:rPr>
        <w:t>开标、资格审查与评标</w:t>
      </w:r>
      <w:bookmarkEnd w:id="274"/>
      <w:bookmarkEnd w:id="305"/>
      <w:bookmarkEnd w:id="306"/>
    </w:p>
    <w:p>
      <w:pPr>
        <w:pStyle w:val="4"/>
        <w:numPr>
          <w:ilvl w:val="1"/>
          <w:numId w:val="3"/>
        </w:numPr>
        <w:jc w:val="left"/>
        <w:rPr>
          <w:rFonts w:hint="eastAsia"/>
          <w:highlight w:val="none"/>
        </w:rPr>
      </w:pPr>
      <w:bookmarkStart w:id="307" w:name="_Toc28821"/>
      <w:bookmarkStart w:id="308" w:name="_Toc17726"/>
      <w:bookmarkStart w:id="309" w:name="_Toc30917"/>
      <w:bookmarkStart w:id="310" w:name="_Toc1051"/>
      <w:bookmarkStart w:id="311" w:name="_Toc10372"/>
      <w:bookmarkStart w:id="312" w:name="_Toc2359"/>
      <w:bookmarkStart w:id="313" w:name="_Toc21689"/>
      <w:bookmarkStart w:id="314" w:name="_Toc22058"/>
      <w:bookmarkStart w:id="315" w:name="_Toc10066"/>
      <w:bookmarkStart w:id="316" w:name="_Toc24837"/>
      <w:bookmarkStart w:id="317" w:name="_Toc3484"/>
      <w:bookmarkStart w:id="318" w:name="_Toc2082669263"/>
      <w:bookmarkStart w:id="319" w:name="_Toc3802"/>
      <w:bookmarkStart w:id="320" w:name="_Toc18834"/>
      <w:bookmarkStart w:id="321" w:name="_Toc1532"/>
      <w:bookmarkStart w:id="322" w:name="_Toc312133548"/>
      <w:r>
        <w:rPr>
          <w:rFonts w:hint="eastAsia"/>
          <w:highlight w:val="none"/>
        </w:rPr>
        <w:t>开标</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采购代理机构在</w:t>
      </w:r>
      <w:r>
        <w:rPr>
          <w:rFonts w:hint="eastAsia" w:ascii="宋体" w:hAnsi="宋体"/>
          <w:color w:val="000000"/>
          <w:szCs w:val="21"/>
          <w:highlight w:val="none"/>
          <w:lang w:eastAsia="zh-CN"/>
        </w:rPr>
        <w:t>投标人须知前附表</w:t>
      </w:r>
      <w:r>
        <w:rPr>
          <w:rFonts w:hint="eastAsia" w:ascii="宋体" w:hAnsi="宋体"/>
          <w:color w:val="000000"/>
          <w:szCs w:val="21"/>
          <w:highlight w:val="none"/>
        </w:rPr>
        <w:t>中规定的时间和地点组织公开开标。投标人不足3家的，不得开标。开标由采购人或者采购代理机构主持，邀请</w:t>
      </w:r>
      <w:r>
        <w:rPr>
          <w:rFonts w:hint="eastAsia" w:ascii="宋体" w:hAnsi="宋体"/>
          <w:color w:val="000000"/>
          <w:szCs w:val="21"/>
          <w:highlight w:val="none"/>
          <w:lang w:eastAsia="zh-CN"/>
        </w:rPr>
        <w:t>所有</w:t>
      </w:r>
      <w:r>
        <w:rPr>
          <w:rFonts w:hint="eastAsia" w:ascii="宋体" w:hAnsi="宋体"/>
          <w:color w:val="000000"/>
          <w:szCs w:val="21"/>
          <w:highlight w:val="none"/>
        </w:rPr>
        <w:t>投标人</w:t>
      </w:r>
      <w:r>
        <w:rPr>
          <w:rFonts w:hint="eastAsia" w:ascii="宋体" w:hAnsi="宋体"/>
          <w:color w:val="000000"/>
          <w:szCs w:val="21"/>
          <w:highlight w:val="none"/>
          <w:lang w:eastAsia="zh-CN"/>
        </w:rPr>
        <w:t>的法定代表人或委托代理人</w:t>
      </w:r>
      <w:r>
        <w:rPr>
          <w:rFonts w:hint="eastAsia" w:ascii="宋体" w:hAnsi="宋体"/>
          <w:color w:val="000000"/>
          <w:szCs w:val="21"/>
          <w:highlight w:val="none"/>
        </w:rPr>
        <w:t>参加。</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开标程序：</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宣布开标纪律；</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cs="微软雅黑"/>
          <w:kern w:val="0"/>
          <w:szCs w:val="21"/>
          <w:highlight w:val="none"/>
        </w:rPr>
        <w:t>公布在投标截止</w:t>
      </w:r>
      <w:r>
        <w:rPr>
          <w:rFonts w:hint="eastAsia" w:ascii="宋体" w:hAnsi="宋体" w:eastAsia="宋体" w:cs="微软雅黑"/>
          <w:kern w:val="0"/>
          <w:szCs w:val="21"/>
          <w:highlight w:val="none"/>
        </w:rPr>
        <w:t>时间前递交投标文件的投标人名称；</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lang w:val="en-US" w:eastAsia="zh-CN"/>
        </w:rPr>
      </w:pPr>
      <w:r>
        <w:rPr>
          <w:rFonts w:hint="eastAsia" w:ascii="宋体" w:hAnsi="宋体" w:eastAsia="宋体" w:cs="微软雅黑"/>
          <w:kern w:val="0"/>
          <w:szCs w:val="21"/>
          <w:highlight w:val="none"/>
          <w:lang w:val="en-US" w:eastAsia="zh-CN"/>
        </w:rPr>
        <w:t>投标人通过电子招标投标交易平台对已递交的电子投标文件进行解密；</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由采购人或者采购代理机构工作人员</w:t>
      </w:r>
      <w:r>
        <w:rPr>
          <w:rFonts w:hint="eastAsia" w:ascii="宋体" w:hAnsi="宋体" w:eastAsia="宋体" w:cs="微软雅黑"/>
          <w:kern w:val="0"/>
          <w:szCs w:val="21"/>
          <w:highlight w:val="none"/>
          <w:lang w:eastAsia="zh-CN"/>
        </w:rPr>
        <w:t>按</w:t>
      </w:r>
      <w:r>
        <w:rPr>
          <w:rFonts w:hint="eastAsia" w:ascii="宋体" w:hAnsi="宋体" w:eastAsia="宋体" w:cs="微软雅黑"/>
          <w:kern w:val="0"/>
          <w:szCs w:val="21"/>
          <w:highlight w:val="none"/>
        </w:rPr>
        <w:t>递交投标文件的逆顺序当众拆封投标文件，宣布投标人名称、投标价格以及其他采购人和采购代理机构认为必要的内容，并记录在案；</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参加开标的各投标人代表和相关工作人员</w:t>
      </w:r>
      <w:r>
        <w:rPr>
          <w:rFonts w:hint="eastAsia" w:ascii="宋体" w:hAnsi="宋体" w:eastAsia="宋体" w:cs="微软雅黑"/>
          <w:kern w:val="0"/>
          <w:szCs w:val="21"/>
          <w:highlight w:val="none"/>
          <w:lang w:val="en-US" w:eastAsia="zh-CN"/>
        </w:rPr>
        <w:t>使用本人的电子印章在开标记录上签字确认；</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kern w:val="0"/>
          <w:szCs w:val="21"/>
          <w:highlight w:val="none"/>
        </w:rPr>
      </w:pPr>
      <w:r>
        <w:rPr>
          <w:rFonts w:hint="eastAsia" w:ascii="宋体" w:hAnsi="宋体" w:eastAsia="宋体" w:cs="微软雅黑"/>
          <w:kern w:val="0"/>
          <w:szCs w:val="21"/>
          <w:highlight w:val="none"/>
        </w:rPr>
        <w:t>开标结束。</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投标人未参加开标的，视同认可开标结果。</w:t>
      </w:r>
    </w:p>
    <w:p>
      <w:pPr>
        <w:pStyle w:val="4"/>
        <w:numPr>
          <w:ilvl w:val="1"/>
          <w:numId w:val="3"/>
        </w:numPr>
        <w:jc w:val="left"/>
        <w:rPr>
          <w:rFonts w:hint="eastAsia"/>
          <w:highlight w:val="none"/>
        </w:rPr>
      </w:pPr>
      <w:bookmarkStart w:id="323" w:name="_Toc22131"/>
      <w:bookmarkStart w:id="324" w:name="_Toc11192"/>
      <w:bookmarkStart w:id="325" w:name="_Toc29955"/>
      <w:bookmarkStart w:id="326" w:name="_Toc2033797509"/>
      <w:bookmarkStart w:id="327" w:name="_Toc3031"/>
      <w:bookmarkStart w:id="328" w:name="_Toc22209"/>
      <w:bookmarkStart w:id="329" w:name="_Toc29637"/>
      <w:bookmarkStart w:id="330" w:name="_Toc11443"/>
      <w:bookmarkStart w:id="331" w:name="_Toc24277"/>
      <w:bookmarkStart w:id="332" w:name="_Toc13168"/>
      <w:bookmarkStart w:id="333" w:name="_Toc21659"/>
      <w:bookmarkStart w:id="334" w:name="_Toc18862"/>
      <w:bookmarkStart w:id="335" w:name="_Toc29315"/>
      <w:bookmarkStart w:id="336" w:name="_Toc29588"/>
      <w:bookmarkStart w:id="337" w:name="_Toc27074"/>
      <w:r>
        <w:rPr>
          <w:rFonts w:hint="eastAsia"/>
          <w:highlight w:val="none"/>
        </w:rPr>
        <w:t>资格审查工作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开标结束后，采购人或者采购代理机构应当依法对投标人的资格进行审查。合格投标人不足3家的，不得评标。</w:t>
      </w:r>
    </w:p>
    <w:p>
      <w:pPr>
        <w:pStyle w:val="4"/>
        <w:numPr>
          <w:ilvl w:val="1"/>
          <w:numId w:val="3"/>
        </w:numPr>
        <w:jc w:val="left"/>
        <w:rPr>
          <w:rFonts w:hint="eastAsia"/>
          <w:highlight w:val="none"/>
        </w:rPr>
      </w:pPr>
      <w:bookmarkStart w:id="338" w:name="_Toc24379"/>
      <w:bookmarkStart w:id="339" w:name="_Toc31474"/>
      <w:bookmarkStart w:id="340" w:name="_Toc26746"/>
      <w:bookmarkStart w:id="341" w:name="_Toc8092"/>
      <w:bookmarkStart w:id="342" w:name="_Toc22105"/>
      <w:bookmarkStart w:id="343" w:name="_Toc2042"/>
      <w:bookmarkStart w:id="344" w:name="_Toc19513"/>
      <w:bookmarkStart w:id="345" w:name="_Toc16180"/>
      <w:bookmarkStart w:id="346" w:name="_Toc22233"/>
      <w:bookmarkStart w:id="347" w:name="_Toc2099935997"/>
      <w:bookmarkStart w:id="348" w:name="_Toc22789"/>
      <w:bookmarkStart w:id="349" w:name="_Toc32305"/>
      <w:bookmarkStart w:id="350" w:name="_Toc26844"/>
      <w:bookmarkStart w:id="351" w:name="_Toc31129"/>
      <w:bookmarkStart w:id="352" w:name="_Toc12598"/>
      <w:r>
        <w:rPr>
          <w:rFonts w:hint="eastAsia"/>
          <w:highlight w:val="none"/>
        </w:rPr>
        <w:t>评标工作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评标工作由</w:t>
      </w:r>
      <w:r>
        <w:rPr>
          <w:rFonts w:hint="eastAsia" w:ascii="宋体" w:hAnsi="宋体" w:cs="微软雅黑"/>
          <w:kern w:val="0"/>
          <w:szCs w:val="21"/>
          <w:highlight w:val="none"/>
          <w:lang w:eastAsia="zh-CN"/>
        </w:rPr>
        <w:t>采购人依法组建的</w:t>
      </w:r>
      <w:r>
        <w:rPr>
          <w:rFonts w:hint="eastAsia" w:ascii="宋体" w:hAnsi="宋体" w:cs="微软雅黑"/>
          <w:kern w:val="0"/>
          <w:szCs w:val="21"/>
          <w:highlight w:val="none"/>
        </w:rPr>
        <w:t>评标委员会</w:t>
      </w:r>
      <w:r>
        <w:rPr>
          <w:rFonts w:hint="eastAsia" w:ascii="宋体" w:hAnsi="宋体" w:cs="微软雅黑"/>
          <w:kern w:val="0"/>
          <w:szCs w:val="21"/>
          <w:highlight w:val="none"/>
          <w:lang w:eastAsia="zh-CN"/>
        </w:rPr>
        <w:t>负责，</w:t>
      </w:r>
      <w:r>
        <w:rPr>
          <w:rFonts w:hint="eastAsia" w:ascii="宋体" w:hAnsi="宋体" w:cs="微软雅黑"/>
          <w:kern w:val="0"/>
          <w:szCs w:val="21"/>
          <w:highlight w:val="none"/>
        </w:rPr>
        <w:t>对所有投标人的投标文件进行审评，并按</w:t>
      </w:r>
      <w:r>
        <w:rPr>
          <w:rFonts w:hint="eastAsia" w:ascii="宋体" w:hAnsi="宋体" w:cs="微软雅黑"/>
          <w:kern w:val="0"/>
          <w:szCs w:val="21"/>
          <w:highlight w:val="none"/>
          <w:lang w:eastAsia="zh-CN"/>
        </w:rPr>
        <w:t>评标办法规定的方式</w:t>
      </w:r>
      <w:r>
        <w:rPr>
          <w:rFonts w:hint="eastAsia" w:ascii="宋体" w:hAnsi="宋体" w:cs="微软雅黑"/>
          <w:kern w:val="0"/>
          <w:szCs w:val="21"/>
          <w:highlight w:val="none"/>
        </w:rPr>
        <w:t>推荐出</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中载明数量的中标候选人。</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由采购人代表和评审专家组成，成员人数应当为5人以上单数，其中评审专家不得少于成员总数的三分之二。对采购预算金额在1000万元以上或技术复杂或社会影响较大的采购项目，评标委员会成员人数应当为7人以上单数。</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评审专家对本单位的采购项目只能作为采购人代表参与评标，对技术复杂、专业性强的采购项目，通过随机方式难以确定合适评审专家的情形除外。</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采购代理机构工作人员不得参加由本机构代理的政府采购项目的评标。</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评标委员会成员名单在评标结果公告前应当保密。</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评标委员会及其成员不得有下列行为：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确定参与评标至评标结束前私自接触投标人；</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r>
        <w:rPr>
          <w:rFonts w:hint="eastAsia" w:ascii="宋体" w:hAnsi="宋体" w:cs="微软雅黑"/>
          <w:kern w:val="0"/>
          <w:szCs w:val="21"/>
          <w:highlight w:val="none"/>
          <w:lang w:eastAsia="zh-CN"/>
        </w:rPr>
        <w:t>；</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违反评标纪律发表倾向性意见或者征询采购人的倾向性意见；</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对需要专业判断的主观评审因素协商评分；</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在评标过程中擅离职守，影响评标程序正常进行的；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记录、复制或者带走任何评标资料；</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其他不遵守评标纪律的行为。</w:t>
      </w:r>
    </w:p>
    <w:p>
      <w:pPr>
        <w:tabs>
          <w:tab w:val="left" w:pos="72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评标委员会成员有</w:t>
      </w:r>
      <w:r>
        <w:rPr>
          <w:rFonts w:hint="eastAsia" w:ascii="宋体" w:hAnsi="宋体"/>
          <w:color w:val="000000"/>
          <w:szCs w:val="21"/>
          <w:highlight w:val="none"/>
          <w:lang w:eastAsia="zh-CN"/>
        </w:rPr>
        <w:t>本章第</w:t>
      </w:r>
      <w:r>
        <w:rPr>
          <w:rFonts w:hint="eastAsia" w:ascii="宋体" w:hAnsi="宋体"/>
          <w:color w:val="000000"/>
          <w:szCs w:val="21"/>
          <w:highlight w:val="none"/>
          <w:lang w:val="en-US" w:eastAsia="zh-CN"/>
        </w:rPr>
        <w:t>5.3.2项</w:t>
      </w:r>
      <w:r>
        <w:rPr>
          <w:rFonts w:hint="eastAsia" w:ascii="宋体" w:hAnsi="宋体"/>
          <w:color w:val="000000"/>
          <w:szCs w:val="21"/>
          <w:highlight w:val="none"/>
        </w:rPr>
        <w:t>第</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至</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）目</w:t>
      </w:r>
      <w:r>
        <w:rPr>
          <w:rFonts w:hint="eastAsia" w:ascii="宋体" w:hAnsi="宋体"/>
          <w:color w:val="000000"/>
          <w:szCs w:val="21"/>
          <w:highlight w:val="none"/>
        </w:rPr>
        <w:t>行为之一的，其评审意见无效，并不得获取评审劳务报酬和报销异地评审差旅费。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评标委员会按照第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章评标办法规定的方法、评审因素、标准和程序对投标文件进行评审。第</w:t>
      </w:r>
      <w:r>
        <w:rPr>
          <w:rFonts w:hint="eastAsia" w:ascii="宋体" w:hAnsi="宋体" w:cs="微软雅黑"/>
          <w:kern w:val="0"/>
          <w:szCs w:val="21"/>
          <w:highlight w:val="none"/>
          <w:lang w:eastAsia="zh-CN"/>
        </w:rPr>
        <w:t>四</w:t>
      </w:r>
      <w:r>
        <w:rPr>
          <w:rFonts w:hint="eastAsia" w:ascii="宋体" w:hAnsi="宋体" w:cs="微软雅黑"/>
          <w:kern w:val="0"/>
          <w:szCs w:val="21"/>
          <w:highlight w:val="none"/>
        </w:rPr>
        <w:t>章评标办法没有规定的方法、评审因素和标准，不作为评标依据。</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kern w:val="0"/>
          <w:szCs w:val="21"/>
          <w:highlight w:val="none"/>
        </w:rPr>
      </w:pPr>
      <w:r>
        <w:rPr>
          <w:rFonts w:hint="eastAsia" w:ascii="宋体" w:hAnsi="宋体" w:cs="微软雅黑"/>
          <w:kern w:val="0"/>
          <w:szCs w:val="21"/>
          <w:highlight w:val="none"/>
        </w:rPr>
        <w:t>评标完成后，评标委员会应当向采购人提交书面评标报告和中标候选人名单。评标委员会推荐中标候选人的人数见</w:t>
      </w:r>
      <w:r>
        <w:rPr>
          <w:rFonts w:hint="eastAsia" w:ascii="宋体" w:hAnsi="宋体" w:cs="微软雅黑"/>
          <w:kern w:val="0"/>
          <w:szCs w:val="21"/>
          <w:highlight w:val="none"/>
          <w:lang w:eastAsia="zh-CN"/>
        </w:rPr>
        <w:t>投标人须知前附表</w:t>
      </w:r>
      <w:r>
        <w:rPr>
          <w:rFonts w:hint="eastAsia" w:ascii="宋体" w:hAnsi="宋体" w:cs="微软雅黑"/>
          <w:kern w:val="0"/>
          <w:szCs w:val="21"/>
          <w:highlight w:val="none"/>
        </w:rPr>
        <w:t>。</w:t>
      </w:r>
    </w:p>
    <w:p>
      <w:pPr>
        <w:pStyle w:val="4"/>
        <w:numPr>
          <w:ilvl w:val="1"/>
          <w:numId w:val="3"/>
        </w:numPr>
        <w:jc w:val="left"/>
        <w:rPr>
          <w:rFonts w:hint="eastAsia"/>
          <w:highlight w:val="none"/>
        </w:rPr>
      </w:pPr>
      <w:bookmarkStart w:id="353" w:name="_Toc25755"/>
      <w:bookmarkStart w:id="354" w:name="_Toc5830"/>
      <w:bookmarkStart w:id="355" w:name="_Toc12131"/>
      <w:bookmarkStart w:id="356" w:name="_Toc7396"/>
      <w:bookmarkStart w:id="357" w:name="_Toc10927"/>
      <w:bookmarkStart w:id="358" w:name="_Toc12609"/>
      <w:bookmarkStart w:id="359" w:name="_Toc22420"/>
      <w:bookmarkStart w:id="360" w:name="_Toc396"/>
      <w:bookmarkStart w:id="361" w:name="_Toc608"/>
      <w:bookmarkStart w:id="362" w:name="_Toc223417724"/>
      <w:bookmarkStart w:id="363" w:name="_Toc25509"/>
      <w:bookmarkStart w:id="364" w:name="_Toc2746"/>
      <w:bookmarkStart w:id="365" w:name="_Toc5485"/>
      <w:bookmarkStart w:id="366" w:name="_Toc8996"/>
      <w:bookmarkStart w:id="367" w:name="_Toc25530"/>
      <w:r>
        <w:rPr>
          <w:rFonts w:hint="eastAsia"/>
          <w:highlight w:val="none"/>
        </w:rPr>
        <w:t>保密及其它注意事项</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评标是招标工作的重要环节，评标工作在</w:t>
      </w:r>
      <w:r>
        <w:rPr>
          <w:rFonts w:hint="eastAsia" w:ascii="宋体" w:hAnsi="宋体"/>
          <w:color w:val="000000"/>
          <w:szCs w:val="21"/>
          <w:highlight w:val="none"/>
          <w:lang w:eastAsia="zh-CN"/>
        </w:rPr>
        <w:t>评标委员会</w:t>
      </w:r>
      <w:r>
        <w:rPr>
          <w:rFonts w:hint="eastAsia" w:ascii="宋体" w:hAnsi="宋体"/>
          <w:color w:val="000000"/>
          <w:szCs w:val="21"/>
          <w:highlight w:val="none"/>
        </w:rPr>
        <w:t>内独立进行。</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评标委员会</w:t>
      </w:r>
      <w:r>
        <w:rPr>
          <w:rFonts w:hint="eastAsia" w:ascii="宋体" w:hAnsi="宋体"/>
          <w:color w:val="000000"/>
          <w:szCs w:val="21"/>
          <w:highlight w:val="none"/>
        </w:rPr>
        <w:t>将遵照规定的评标方法，公正、平等地对待所有投标人。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在开标、评标期间，投标人不得向评委询问评标情况，不得进行旨在影响评标结果的活动。否则其投标可能被拒绝。</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为保证评标的公正性，开标后直至授予投标人合同，评委不得与投标人私下交换意见。</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在评标工作结束后，凡与评标情况有接触的任何人不得擅自将评标情况扩散出评标人员之外。</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eastAsia="zh-CN"/>
        </w:rPr>
        <w:t>评标结束后，</w:t>
      </w:r>
      <w:r>
        <w:rPr>
          <w:rFonts w:hint="eastAsia" w:ascii="宋体" w:hAnsi="宋体"/>
          <w:color w:val="000000"/>
          <w:szCs w:val="21"/>
          <w:highlight w:val="none"/>
        </w:rPr>
        <w:t>投标文件</w:t>
      </w:r>
      <w:r>
        <w:rPr>
          <w:rFonts w:hint="eastAsia" w:ascii="宋体" w:hAnsi="宋体"/>
          <w:color w:val="000000"/>
          <w:szCs w:val="21"/>
          <w:highlight w:val="none"/>
          <w:lang w:eastAsia="zh-CN"/>
        </w:rPr>
        <w:t>概</w:t>
      </w:r>
      <w:r>
        <w:rPr>
          <w:rFonts w:hint="eastAsia" w:ascii="宋体" w:hAnsi="宋体"/>
          <w:color w:val="000000"/>
          <w:szCs w:val="21"/>
          <w:highlight w:val="none"/>
        </w:rPr>
        <w:t>不退还。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000000"/>
          <w:sz w:val="24"/>
          <w:szCs w:val="24"/>
          <w:highlight w:val="none"/>
          <w:lang w:val="en-US" w:eastAsia="zh-CN"/>
        </w:rPr>
      </w:pPr>
      <w:bookmarkStart w:id="368" w:name="_Toc8629"/>
      <w:bookmarkStart w:id="369" w:name="_Toc28792"/>
      <w:r>
        <w:rPr>
          <w:rFonts w:hint="eastAsia" w:ascii="宋体" w:hAnsi="宋体" w:eastAsia="宋体"/>
          <w:color w:val="000000"/>
          <w:sz w:val="24"/>
          <w:szCs w:val="24"/>
          <w:highlight w:val="none"/>
          <w:lang w:val="en-US" w:eastAsia="zh-CN"/>
        </w:rPr>
        <w:t>授予合同</w:t>
      </w:r>
      <w:bookmarkEnd w:id="322"/>
      <w:bookmarkEnd w:id="368"/>
      <w:bookmarkEnd w:id="369"/>
    </w:p>
    <w:p>
      <w:pPr>
        <w:pStyle w:val="4"/>
        <w:numPr>
          <w:ilvl w:val="1"/>
          <w:numId w:val="3"/>
        </w:numPr>
        <w:jc w:val="left"/>
        <w:rPr>
          <w:rFonts w:hint="eastAsia"/>
          <w:highlight w:val="none"/>
        </w:rPr>
      </w:pPr>
      <w:bookmarkStart w:id="370" w:name="_Toc730603668"/>
      <w:bookmarkStart w:id="371" w:name="_Toc16230"/>
      <w:bookmarkStart w:id="372" w:name="_Toc32241"/>
      <w:bookmarkStart w:id="373" w:name="_Toc22245"/>
      <w:bookmarkStart w:id="374" w:name="_Toc21756"/>
      <w:bookmarkStart w:id="375" w:name="_Toc15637"/>
      <w:bookmarkStart w:id="376" w:name="_Toc27126"/>
      <w:bookmarkStart w:id="377" w:name="_Toc13599"/>
      <w:bookmarkStart w:id="378" w:name="_Toc6320"/>
      <w:bookmarkStart w:id="379" w:name="_Toc7404"/>
      <w:bookmarkStart w:id="380" w:name="_Toc22971"/>
      <w:bookmarkStart w:id="381" w:name="_Toc7898"/>
      <w:bookmarkStart w:id="382" w:name="_Toc3574"/>
      <w:bookmarkStart w:id="383" w:name="_Toc15873"/>
      <w:bookmarkStart w:id="384" w:name="_Toc26509"/>
      <w:bookmarkStart w:id="385" w:name="_Toc23900"/>
      <w:bookmarkStart w:id="386" w:name="_Toc22088"/>
      <w:bookmarkStart w:id="387" w:name="_Toc30644"/>
      <w:bookmarkStart w:id="388" w:name="_Toc22457"/>
      <w:bookmarkStart w:id="389" w:name="_Toc17818"/>
      <w:bookmarkStart w:id="390" w:name="_Toc26604"/>
      <w:r>
        <w:rPr>
          <w:rFonts w:hint="eastAsia"/>
          <w:highlight w:val="none"/>
          <w:lang w:eastAsia="zh-CN"/>
        </w:rPr>
        <w:t>中标</w:t>
      </w:r>
      <w:r>
        <w:rPr>
          <w:rFonts w:hint="eastAsia"/>
          <w:highlight w:val="none"/>
        </w:rPr>
        <w:t>公告</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采购代理机构应当在评标结束后</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个工作日内将评标报告送采购人。采购人应</w:t>
      </w:r>
      <w:r>
        <w:rPr>
          <w:rFonts w:hint="eastAsia" w:ascii="宋体" w:hAnsi="宋体"/>
          <w:color w:val="000000"/>
          <w:sz w:val="21"/>
          <w:szCs w:val="21"/>
          <w:highlight w:val="none"/>
          <w:lang w:eastAsia="zh-CN"/>
        </w:rPr>
        <w:t>自</w:t>
      </w:r>
      <w:r>
        <w:rPr>
          <w:rFonts w:hint="eastAsia" w:ascii="宋体" w:hAnsi="宋体"/>
          <w:color w:val="000000"/>
          <w:sz w:val="21"/>
          <w:szCs w:val="21"/>
          <w:highlight w:val="none"/>
        </w:rPr>
        <w:t>收到评标报告</w:t>
      </w:r>
      <w:r>
        <w:rPr>
          <w:rFonts w:hint="eastAsia" w:ascii="宋体" w:hAnsi="宋体"/>
          <w:color w:val="000000"/>
          <w:sz w:val="21"/>
          <w:szCs w:val="21"/>
          <w:highlight w:val="none"/>
          <w:lang w:eastAsia="zh-CN"/>
        </w:rPr>
        <w:t>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个工作日内，在评标报告确定的中标候选人名单中按顺序确定中标人。中标候选人并列的，由采购人采取随机抽取的方式确定中标人。</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采购代理机构应当自中标人确定之日起</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个工作日内，在省级以上财政部门指定的媒体上公告中标结果，招标文件应当随中标结果同时公告</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公告期限为1个工作日。</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中标通知书发出后，采购人不得违法改变中标结果，中标人无正当理由不得放弃中标。</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中标人为残疾人福利性单位的，采购代理机构将随中标结果同时公告其《残疾人福利性单位声明函》，接受社会监督。</w:t>
      </w:r>
      <w:r>
        <w:rPr>
          <w:rFonts w:hint="eastAsia" w:ascii="宋体" w:hAnsi="宋体" w:eastAsia="宋体" w:cs="Times New Roman"/>
          <w:color w:val="000000"/>
          <w:szCs w:val="21"/>
          <w:highlight w:val="none"/>
          <w:lang w:val="en-US" w:eastAsia="zh-CN"/>
        </w:rPr>
        <w:t>中标供应商享受《政府采购促进中小企业发展管理办法》规定的中小企业扶持政策的，采购人、采购代理机构应当随中标结果公开中标供应商的《中小企业声明函》。</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各有关当事人对中标结果有异议的，可以在成交结果公告期限届满之日起七个工作日内，</w:t>
      </w:r>
      <w:r>
        <w:rPr>
          <w:rFonts w:hint="eastAsia" w:ascii="宋体" w:hAnsi="宋体"/>
          <w:color w:val="000000"/>
          <w:szCs w:val="21"/>
          <w:highlight w:val="none"/>
          <w:lang w:eastAsia="zh-CN"/>
        </w:rPr>
        <w:t>按</w:t>
      </w:r>
      <w:r>
        <w:rPr>
          <w:rFonts w:hint="eastAsia"/>
          <w:color w:val="000000"/>
          <w:szCs w:val="21"/>
          <w:highlight w:val="none"/>
          <w:lang w:eastAsia="zh-CN"/>
        </w:rPr>
        <w:t>《</w:t>
      </w:r>
      <w:r>
        <w:rPr>
          <w:rFonts w:hint="eastAsia" w:ascii="宋体" w:hAnsi="宋体" w:eastAsia="宋体"/>
          <w:color w:val="000000"/>
          <w:szCs w:val="21"/>
          <w:highlight w:val="none"/>
          <w:lang w:eastAsia="zh-CN"/>
        </w:rPr>
        <w:t>政府采购质疑和投诉办法</w:t>
      </w:r>
      <w:r>
        <w:rPr>
          <w:rFonts w:hint="eastAsia"/>
          <w:color w:val="000000"/>
          <w:szCs w:val="21"/>
          <w:highlight w:val="none"/>
          <w:lang w:eastAsia="zh-CN"/>
        </w:rPr>
        <w:t>》</w:t>
      </w:r>
      <w:r>
        <w:rPr>
          <w:rFonts w:hint="eastAsia" w:ascii="宋体" w:hAnsi="宋体"/>
          <w:color w:val="000000"/>
          <w:szCs w:val="21"/>
          <w:highlight w:val="none"/>
          <w:lang w:eastAsia="zh-CN"/>
        </w:rPr>
        <w:t>（中华人民共和国财政部令第</w:t>
      </w:r>
      <w:r>
        <w:rPr>
          <w:rFonts w:hint="eastAsia" w:ascii="宋体" w:hAnsi="宋体"/>
          <w:color w:val="000000"/>
          <w:szCs w:val="21"/>
          <w:highlight w:val="none"/>
          <w:lang w:val="en-US" w:eastAsia="zh-CN"/>
        </w:rPr>
        <w:t>94号</w:t>
      </w:r>
      <w:r>
        <w:rPr>
          <w:rFonts w:hint="eastAsia" w:ascii="宋体" w:hAnsi="宋体"/>
          <w:color w:val="000000"/>
          <w:szCs w:val="21"/>
          <w:highlight w:val="none"/>
          <w:lang w:eastAsia="zh-CN"/>
        </w:rPr>
        <w:t>）要求</w:t>
      </w:r>
      <w:r>
        <w:rPr>
          <w:rFonts w:hint="eastAsia" w:ascii="宋体" w:hAnsi="宋体"/>
          <w:color w:val="000000"/>
          <w:szCs w:val="21"/>
          <w:highlight w:val="none"/>
        </w:rPr>
        <w:t>以书面形式同时向采购人和采购代理机构提出质疑</w:t>
      </w:r>
      <w:r>
        <w:rPr>
          <w:rFonts w:hint="eastAsia" w:ascii="宋体" w:hAnsi="宋体"/>
          <w:color w:val="000000"/>
          <w:szCs w:val="21"/>
          <w:highlight w:val="none"/>
          <w:lang w:eastAsia="zh-CN"/>
        </w:rPr>
        <w:t>，</w:t>
      </w:r>
      <w:r>
        <w:rPr>
          <w:rFonts w:hint="eastAsia" w:ascii="宋体" w:hAnsi="宋体"/>
          <w:color w:val="000000"/>
          <w:szCs w:val="21"/>
          <w:highlight w:val="none"/>
        </w:rPr>
        <w:t>逾期提交或未按照要求提交的质疑函将不予受理。</w:t>
      </w:r>
    </w:p>
    <w:bookmarkEnd w:id="385"/>
    <w:bookmarkEnd w:id="386"/>
    <w:bookmarkEnd w:id="387"/>
    <w:bookmarkEnd w:id="388"/>
    <w:bookmarkEnd w:id="389"/>
    <w:bookmarkEnd w:id="390"/>
    <w:p>
      <w:pPr>
        <w:pStyle w:val="4"/>
        <w:numPr>
          <w:ilvl w:val="1"/>
          <w:numId w:val="3"/>
        </w:numPr>
        <w:jc w:val="left"/>
        <w:rPr>
          <w:rFonts w:hint="eastAsia"/>
          <w:highlight w:val="none"/>
        </w:rPr>
      </w:pPr>
      <w:bookmarkStart w:id="391" w:name="_Toc119"/>
      <w:bookmarkStart w:id="392" w:name="_Toc30096"/>
      <w:bookmarkStart w:id="393" w:name="_Toc17426"/>
      <w:bookmarkStart w:id="394" w:name="_Toc1762253218"/>
      <w:bookmarkStart w:id="395" w:name="_Toc7497"/>
      <w:r>
        <w:rPr>
          <w:rFonts w:hint="eastAsia"/>
          <w:highlight w:val="none"/>
        </w:rPr>
        <w:t>采购任务取消</w:t>
      </w:r>
      <w:bookmarkEnd w:id="391"/>
      <w:bookmarkEnd w:id="392"/>
      <w:bookmarkEnd w:id="393"/>
      <w:bookmarkEnd w:id="394"/>
      <w:bookmarkEnd w:id="3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因重大变故采购任务取消时，采购人有权拒绝任何投标人中标，且对受影响的投标人不承担任何责任。</w:t>
      </w:r>
    </w:p>
    <w:p>
      <w:pPr>
        <w:pStyle w:val="4"/>
        <w:numPr>
          <w:ilvl w:val="1"/>
          <w:numId w:val="3"/>
        </w:numPr>
        <w:jc w:val="left"/>
        <w:rPr>
          <w:rFonts w:hint="eastAsia"/>
          <w:highlight w:val="none"/>
        </w:rPr>
      </w:pPr>
      <w:bookmarkStart w:id="396" w:name="_Toc5799"/>
      <w:bookmarkStart w:id="397" w:name="_Toc12305"/>
      <w:bookmarkStart w:id="398" w:name="_Toc31017"/>
      <w:bookmarkStart w:id="399" w:name="_Toc21282"/>
      <w:bookmarkStart w:id="400" w:name="_Toc12174"/>
      <w:bookmarkStart w:id="401" w:name="_Toc19825"/>
      <w:bookmarkStart w:id="402" w:name="_Toc3846"/>
      <w:bookmarkStart w:id="403" w:name="_Toc25326"/>
      <w:bookmarkStart w:id="404" w:name="_Toc144892887"/>
      <w:bookmarkStart w:id="405" w:name="_Toc2554"/>
      <w:bookmarkStart w:id="406" w:name="_Toc1468"/>
      <w:bookmarkStart w:id="407" w:name="_Toc24223"/>
      <w:bookmarkStart w:id="408" w:name="_Toc29785"/>
      <w:bookmarkStart w:id="409" w:name="_Toc23214"/>
      <w:bookmarkStart w:id="410" w:name="_Toc14610"/>
      <w:r>
        <w:rPr>
          <w:rFonts w:hint="eastAsia"/>
          <w:highlight w:val="none"/>
        </w:rPr>
        <w:t>中标通知书</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在公告中标结果的同时，采购人或者采购代理机构应当向中标人发出中标通知书</w:t>
      </w:r>
      <w:r>
        <w:rPr>
          <w:rFonts w:hint="eastAsia" w:ascii="宋体" w:hAnsi="宋体"/>
          <w:color w:val="000000"/>
          <w:szCs w:val="21"/>
          <w:highlight w:val="none"/>
          <w:lang w:eastAsia="zh-CN"/>
        </w:rPr>
        <w:t>，</w:t>
      </w:r>
      <w:r>
        <w:rPr>
          <w:rFonts w:hint="eastAsia" w:ascii="宋体" w:hAnsi="宋体"/>
          <w:color w:val="000000"/>
          <w:szCs w:val="21"/>
          <w:highlight w:val="none"/>
        </w:rPr>
        <w:t>中标通知书将作为进行合同谈判和签订合同的依据。</w:t>
      </w:r>
    </w:p>
    <w:p>
      <w:pPr>
        <w:pStyle w:val="4"/>
        <w:numPr>
          <w:ilvl w:val="1"/>
          <w:numId w:val="3"/>
        </w:numPr>
        <w:jc w:val="left"/>
        <w:rPr>
          <w:rFonts w:hint="eastAsia"/>
          <w:highlight w:val="none"/>
        </w:rPr>
      </w:pPr>
      <w:bookmarkStart w:id="411" w:name="_Toc3979"/>
      <w:bookmarkStart w:id="412" w:name="_Toc11448"/>
      <w:bookmarkStart w:id="413" w:name="_Toc25990"/>
      <w:bookmarkStart w:id="414" w:name="_Toc31317"/>
      <w:bookmarkStart w:id="415" w:name="_Toc9865"/>
      <w:bookmarkStart w:id="416" w:name="_Toc20517"/>
      <w:bookmarkStart w:id="417" w:name="_Toc26111"/>
      <w:bookmarkStart w:id="418" w:name="_Toc25686"/>
      <w:bookmarkStart w:id="419" w:name="_Toc14397"/>
      <w:bookmarkStart w:id="420" w:name="_Toc1806819297"/>
      <w:bookmarkStart w:id="421" w:name="_Toc22004"/>
      <w:bookmarkStart w:id="422" w:name="_Toc9428"/>
      <w:bookmarkStart w:id="423" w:name="_Toc21924"/>
      <w:bookmarkStart w:id="424" w:name="_Toc15209"/>
      <w:bookmarkStart w:id="425" w:name="_Toc30193"/>
      <w:bookmarkStart w:id="426" w:name="_Toc12530"/>
      <w:bookmarkStart w:id="427" w:name="_Toc15061"/>
      <w:bookmarkStart w:id="428" w:name="_Toc3376"/>
      <w:bookmarkStart w:id="429" w:name="_Toc11221"/>
      <w:bookmarkStart w:id="430" w:name="_Toc1226"/>
      <w:bookmarkStart w:id="431" w:name="_Toc26471"/>
      <w:r>
        <w:rPr>
          <w:rFonts w:hint="eastAsia"/>
          <w:highlight w:val="none"/>
        </w:rPr>
        <w:t>履约保证金</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bookmarkStart w:id="432" w:name="_Toc24299"/>
      <w:bookmarkStart w:id="433" w:name="_Toc13295"/>
      <w:bookmarkStart w:id="434" w:name="_Toc22384"/>
      <w:bookmarkStart w:id="435" w:name="_Toc1508"/>
      <w:r>
        <w:rPr>
          <w:rFonts w:hint="eastAsia" w:ascii="宋体" w:hAnsi="宋体"/>
          <w:color w:val="000000"/>
          <w:szCs w:val="21"/>
          <w:highlight w:val="none"/>
        </w:rPr>
        <w:t>中标人应按投标人须知前附表规定的形式、金额和招标文件第</w:t>
      </w:r>
      <w:r>
        <w:rPr>
          <w:rFonts w:hint="eastAsia" w:ascii="宋体" w:hAnsi="宋体"/>
          <w:color w:val="000000"/>
          <w:szCs w:val="21"/>
          <w:highlight w:val="none"/>
          <w:lang w:eastAsia="zh-CN"/>
        </w:rPr>
        <w:t>五</w:t>
      </w:r>
      <w:r>
        <w:rPr>
          <w:rFonts w:hint="eastAsia" w:ascii="宋体" w:hAnsi="宋体"/>
          <w:color w:val="000000"/>
          <w:szCs w:val="21"/>
          <w:highlight w:val="none"/>
        </w:rPr>
        <w:t>章“合同”规定的履约保证金格式向招标人提交履约保证金。履约保证金</w:t>
      </w:r>
      <w:r>
        <w:rPr>
          <w:rFonts w:hint="eastAsia" w:ascii="宋体" w:hAnsi="宋体"/>
          <w:color w:val="000000"/>
          <w:szCs w:val="21"/>
          <w:highlight w:val="none"/>
          <w:lang w:eastAsia="zh-CN"/>
        </w:rPr>
        <w:t>不超过采购</w:t>
      </w:r>
      <w:r>
        <w:rPr>
          <w:rFonts w:hint="eastAsia" w:ascii="宋体" w:hAnsi="宋体"/>
          <w:color w:val="000000"/>
          <w:szCs w:val="21"/>
          <w:highlight w:val="none"/>
        </w:rPr>
        <w:t>合同金额的10%。联合体中标的，其履约保证金以联合体各方或者联合体中牵头人的名义提交。</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中标人不能按本章第</w:t>
      </w:r>
      <w:r>
        <w:rPr>
          <w:rFonts w:hint="eastAsia" w:ascii="宋体" w:hAnsi="宋体"/>
          <w:color w:val="000000"/>
          <w:szCs w:val="21"/>
          <w:highlight w:val="none"/>
          <w:lang w:val="en-US" w:eastAsia="zh-CN"/>
        </w:rPr>
        <w:t>6.4.1</w:t>
      </w:r>
      <w:r>
        <w:rPr>
          <w:rFonts w:hint="eastAsia" w:ascii="宋体" w:hAnsi="宋体"/>
          <w:color w:val="000000"/>
          <w:szCs w:val="21"/>
          <w:highlight w:val="none"/>
        </w:rPr>
        <w:t>项要求提交履约保证金的，视为放弃中标，其投标保证金不予退还，给招标人造成的损失超过投标保证金数额的，中标人还应当对超过部分予以赔偿。</w:t>
      </w:r>
      <w:bookmarkStart w:id="436" w:name="_Toc20184"/>
    </w:p>
    <w:p>
      <w:pPr>
        <w:pStyle w:val="4"/>
        <w:numPr>
          <w:ilvl w:val="1"/>
          <w:numId w:val="3"/>
        </w:numPr>
        <w:jc w:val="left"/>
        <w:rPr>
          <w:rFonts w:hint="eastAsia"/>
          <w:highlight w:val="none"/>
        </w:rPr>
      </w:pPr>
      <w:bookmarkStart w:id="437" w:name="_Toc26360"/>
      <w:bookmarkStart w:id="438" w:name="_Toc2117"/>
      <w:bookmarkStart w:id="439" w:name="_Toc2048"/>
      <w:bookmarkStart w:id="440" w:name="_Toc930837016"/>
      <w:r>
        <w:rPr>
          <w:rFonts w:hint="eastAsia"/>
          <w:highlight w:val="none"/>
        </w:rPr>
        <w:t>签订合同</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采购人应当</w:t>
      </w:r>
      <w:r>
        <w:rPr>
          <w:rFonts w:hint="eastAsia" w:ascii="宋体" w:hAnsi="宋体" w:cs="Times New Roman"/>
          <w:color w:val="000000"/>
          <w:szCs w:val="21"/>
          <w:highlight w:val="none"/>
        </w:rPr>
        <w:t>自</w:t>
      </w:r>
      <w:r>
        <w:rPr>
          <w:rFonts w:hint="eastAsia" w:ascii="宋体" w:hAnsi="宋体" w:cs="Times New Roman"/>
          <w:color w:val="000000"/>
          <w:szCs w:val="21"/>
          <w:highlight w:val="none"/>
          <w:lang w:eastAsia="zh-CN"/>
        </w:rPr>
        <w:t>中标</w:t>
      </w:r>
      <w:r>
        <w:rPr>
          <w:rFonts w:hint="eastAsia" w:ascii="宋体" w:hAnsi="宋体" w:cs="Times New Roman"/>
          <w:color w:val="000000"/>
          <w:szCs w:val="21"/>
          <w:highlight w:val="none"/>
        </w:rPr>
        <w:t>通知书发出之日起2日内，按照采购文件确定的事项签订政府采购合同。</w:t>
      </w:r>
      <w:r>
        <w:rPr>
          <w:rFonts w:hint="eastAsia" w:ascii="宋体" w:hAnsi="宋体"/>
          <w:color w:val="000000"/>
          <w:szCs w:val="21"/>
          <w:highlight w:val="none"/>
        </w:rPr>
        <w:t>按照招标文件和中标人投标文件的规定，与中标人签订书面合同。所签订的合同不得对招标文件确定的事项和中标人投标文件作实质性修改。</w:t>
      </w:r>
      <w:r>
        <w:rPr>
          <w:rFonts w:hint="eastAsia" w:ascii="宋体" w:hAnsi="宋体" w:cs="Times New Roman"/>
          <w:color w:val="000000"/>
          <w:szCs w:val="21"/>
          <w:highlight w:val="none"/>
        </w:rPr>
        <w:t>政府采购项目的采购合同自签订之日起</w:t>
      </w: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rPr>
        <w:t>个工作日内，发布采购合同公告并进行备案。在项目结束验收后，及时发布履约验收公告。</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lang w:val="en-US"/>
        </w:rPr>
        <w:t>中标</w:t>
      </w:r>
      <w:r>
        <w:rPr>
          <w:rFonts w:hint="eastAsia" w:ascii="宋体" w:hAnsi="宋体"/>
          <w:color w:val="000000"/>
          <w:szCs w:val="21"/>
          <w:highlight w:val="none"/>
          <w:lang w:val="en-US" w:eastAsia="zh-CN"/>
        </w:rPr>
        <w:t>人</w:t>
      </w:r>
      <w:r>
        <w:rPr>
          <w:rFonts w:hint="eastAsia" w:ascii="宋体" w:hAnsi="宋体"/>
          <w:color w:val="000000"/>
          <w:szCs w:val="21"/>
          <w:highlight w:val="none"/>
          <w:lang w:val="en-US"/>
        </w:rPr>
        <w:t>拒绝与采购人签订合同的，采购人可以按照评审报告推荐的中标或者成交候选人名单排序，确定下一候选人为中标或者成交</w:t>
      </w:r>
      <w:r>
        <w:rPr>
          <w:rFonts w:hint="eastAsia" w:ascii="宋体" w:hAnsi="宋体"/>
          <w:color w:val="000000"/>
          <w:szCs w:val="21"/>
          <w:highlight w:val="none"/>
          <w:lang w:val="en-US" w:eastAsia="zh-CN"/>
        </w:rPr>
        <w:t>投标人</w:t>
      </w:r>
      <w:r>
        <w:rPr>
          <w:rFonts w:hint="eastAsia" w:ascii="宋体" w:hAnsi="宋体"/>
          <w:color w:val="000000"/>
          <w:szCs w:val="21"/>
          <w:highlight w:val="none"/>
          <w:lang w:val="en-US"/>
        </w:rPr>
        <w:t>，也可以重新开展政府采购活动。</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招标文件、中标人的投标文件和澄清文件等，均应作为签约的合同文本的基础。</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如采购人或中标人拒签合同，则按违约处理。对违约方收取中标金额2%的违约金。</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rPr>
      </w:pPr>
      <w:r>
        <w:rPr>
          <w:rFonts w:hint="eastAsia" w:ascii="宋体" w:hAnsi="宋体"/>
          <w:color w:val="000000"/>
          <w:szCs w:val="21"/>
          <w:highlight w:val="none"/>
        </w:rPr>
        <w:t>如中标人不按</w:t>
      </w:r>
      <w:r>
        <w:rPr>
          <w:rFonts w:hint="eastAsia" w:ascii="宋体" w:hAnsi="宋体"/>
          <w:color w:val="000000"/>
          <w:szCs w:val="21"/>
          <w:highlight w:val="none"/>
          <w:lang w:eastAsia="zh-CN"/>
        </w:rPr>
        <w:t>本章</w:t>
      </w:r>
      <w:r>
        <w:rPr>
          <w:rFonts w:hint="eastAsia" w:ascii="宋体" w:hAnsi="宋体"/>
          <w:color w:val="000000"/>
          <w:szCs w:val="21"/>
          <w:highlight w:val="none"/>
        </w:rPr>
        <w:t>第</w:t>
      </w:r>
      <w:r>
        <w:rPr>
          <w:rFonts w:hint="eastAsia" w:ascii="宋体" w:hAnsi="宋体"/>
          <w:color w:val="000000"/>
          <w:szCs w:val="21"/>
          <w:highlight w:val="none"/>
          <w:lang w:val="en-US" w:eastAsia="zh-CN"/>
        </w:rPr>
        <w:t>6.5.1项</w:t>
      </w:r>
      <w:r>
        <w:rPr>
          <w:rFonts w:hint="eastAsia" w:ascii="宋体" w:hAnsi="宋体"/>
          <w:color w:val="000000"/>
          <w:szCs w:val="21"/>
          <w:highlight w:val="none"/>
        </w:rPr>
        <w:t>约定签订合同，采购人将报请取消其中标决定。采购人可在中标候选人中重新选定</w:t>
      </w:r>
      <w:r>
        <w:rPr>
          <w:rFonts w:hint="eastAsia" w:ascii="宋体" w:hAnsi="宋体"/>
          <w:color w:val="000000"/>
          <w:szCs w:val="21"/>
          <w:highlight w:val="none"/>
          <w:lang w:eastAsia="zh-CN"/>
        </w:rPr>
        <w:t>中标人</w:t>
      </w:r>
      <w:r>
        <w:rPr>
          <w:rFonts w:hint="eastAsia" w:ascii="宋体" w:hAnsi="宋体"/>
          <w:color w:val="000000"/>
          <w:szCs w:val="21"/>
          <w:highlight w:val="none"/>
        </w:rPr>
        <w:t>或者重新招标。</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1" w:name="_Toc18892"/>
      <w:bookmarkStart w:id="442" w:name="_Toc15418"/>
      <w:r>
        <w:rPr>
          <w:rFonts w:hint="eastAsia" w:ascii="宋体" w:hAnsi="宋体" w:eastAsia="宋体"/>
          <w:b/>
          <w:bCs w:val="0"/>
          <w:color w:val="000000"/>
          <w:sz w:val="24"/>
          <w:szCs w:val="24"/>
          <w:highlight w:val="none"/>
          <w:lang w:val="en-US" w:eastAsia="zh-CN"/>
        </w:rPr>
        <w:t>信用记录</w:t>
      </w:r>
      <w:bookmarkEnd w:id="441"/>
      <w:bookmarkEnd w:id="4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lang w:val="en-US" w:eastAsia="zh-CN"/>
        </w:rPr>
        <w:t>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pStyle w:val="3"/>
        <w:keepNext/>
        <w:keepLines/>
        <w:pageBreakBefore w:val="0"/>
        <w:widowControl w:val="0"/>
        <w:numPr>
          <w:ilvl w:val="0"/>
          <w:numId w:val="3"/>
        </w:numPr>
        <w:tabs>
          <w:tab w:val="left" w:pos="721"/>
          <w:tab w:val="left" w:pos="840"/>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000000"/>
          <w:sz w:val="24"/>
          <w:szCs w:val="24"/>
          <w:highlight w:val="none"/>
          <w:lang w:val="en-US" w:eastAsia="zh-CN"/>
        </w:rPr>
      </w:pPr>
      <w:bookmarkStart w:id="443" w:name="_Toc16776"/>
      <w:bookmarkStart w:id="444" w:name="_Toc24482"/>
      <w:r>
        <w:rPr>
          <w:rFonts w:hint="eastAsia" w:ascii="宋体" w:hAnsi="宋体" w:eastAsia="宋体"/>
          <w:b/>
          <w:bCs w:val="0"/>
          <w:color w:val="000000"/>
          <w:sz w:val="24"/>
          <w:szCs w:val="24"/>
          <w:highlight w:val="none"/>
          <w:lang w:val="en-US" w:eastAsia="zh-CN"/>
        </w:rPr>
        <w:t>政府采购政策</w:t>
      </w:r>
      <w:bookmarkEnd w:id="443"/>
      <w:bookmarkEnd w:id="4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投标产品符合国家环保、节能标准，并载入财政部、</w:t>
      </w:r>
      <w:r>
        <w:rPr>
          <w:rFonts w:hint="eastAsia" w:ascii="宋体" w:hAnsi="宋体" w:eastAsia="宋体" w:cs="宋体"/>
          <w:color w:val="auto"/>
          <w:sz w:val="21"/>
          <w:szCs w:val="21"/>
          <w:highlight w:val="none"/>
          <w:lang w:eastAsia="zh-CN"/>
        </w:rPr>
        <w:t>国家发改委、国家环保总局</w:t>
      </w:r>
      <w:r>
        <w:rPr>
          <w:rFonts w:hint="eastAsia" w:ascii="宋体" w:hAnsi="宋体" w:eastAsia="宋体" w:cs="宋体"/>
          <w:color w:val="auto"/>
          <w:sz w:val="21"/>
          <w:szCs w:val="21"/>
          <w:highlight w:val="none"/>
        </w:rPr>
        <w:t>发布的《环境标志产品政府采购品目清单》、《节能产品政府采购品目清单》内，且具国家确定的认证机构出具的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eastAsia="宋体" w:cs="宋体"/>
          <w:color w:val="auto"/>
          <w:sz w:val="21"/>
          <w:szCs w:val="21"/>
          <w:highlight w:val="none"/>
          <w:lang w:eastAsia="zh-CN"/>
        </w:rPr>
        <w:t>加分</w:t>
      </w:r>
      <w:r>
        <w:rPr>
          <w:rFonts w:hint="eastAsia" w:ascii="宋体" w:hAnsi="宋体" w:eastAsia="宋体" w:cs="宋体"/>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如投标产品属于财政部和国家发展改革委发布的《节能产品政府采购品目清单》中要求的</w:t>
      </w:r>
      <w:r>
        <w:rPr>
          <w:rFonts w:hint="eastAsia" w:ascii="宋体" w:hAnsi="宋体" w:eastAsia="宋体" w:cs="宋体"/>
          <w:color w:val="auto"/>
          <w:sz w:val="21"/>
          <w:szCs w:val="21"/>
          <w:highlight w:val="none"/>
          <w:lang w:eastAsia="zh-CN"/>
        </w:rPr>
        <w:t>政府强制采购节能</w:t>
      </w:r>
      <w:r>
        <w:rPr>
          <w:rFonts w:hint="eastAsia" w:ascii="宋体" w:hAnsi="宋体" w:eastAsia="宋体" w:cs="宋体"/>
          <w:color w:val="auto"/>
          <w:sz w:val="21"/>
          <w:szCs w:val="21"/>
          <w:highlight w:val="none"/>
        </w:rPr>
        <w:t>产品的，投标人必须提供所投产品</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rPr>
        <w:t>国家确定的认证机构出具的、处于有效期之内的《国家节能产品认证证书》复印件，如</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《节能产品政府采购品目清单》中要求的政府强制采购</w:t>
      </w:r>
      <w:r>
        <w:rPr>
          <w:rFonts w:hint="eastAsia" w:ascii="宋体" w:hAnsi="宋体" w:eastAsia="宋体" w:cs="宋体"/>
          <w:color w:val="auto"/>
          <w:sz w:val="21"/>
          <w:szCs w:val="21"/>
          <w:highlight w:val="none"/>
          <w:lang w:eastAsia="zh-CN"/>
        </w:rPr>
        <w:t>节能</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及认证证书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则认定其</w:t>
      </w:r>
      <w:r>
        <w:rPr>
          <w:rFonts w:hint="eastAsia" w:ascii="宋体" w:hAnsi="宋体" w:eastAsia="宋体" w:cs="宋体"/>
          <w:color w:val="auto"/>
          <w:sz w:val="21"/>
          <w:szCs w:val="21"/>
          <w:highlight w:val="none"/>
        </w:rPr>
        <w:t>投标文件无效。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8.3、投标人所投产品列入《无限局域网认证产品政府采购清单》的，应提供相关证明，在评标时予以优先采购，将给予投标人在评标办法中规定的标准分值进行加分评审。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采购货物为国家强制性认证产品的，必须符合强制性标准</w:t>
      </w:r>
      <w:r>
        <w:rPr>
          <w:rFonts w:hint="eastAsia" w:ascii="宋体" w:hAnsi="宋体" w:eastAsia="宋体" w:cs="宋体"/>
          <w:color w:val="auto"/>
          <w:sz w:val="21"/>
          <w:szCs w:val="21"/>
          <w:highlight w:val="none"/>
          <w:lang w:eastAsia="zh-CN"/>
        </w:rPr>
        <w:t>，并提供相关证明材料，否则认定其投标文件无效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优先采购本国产品。采购进口产品应符合《中华人民共和国政府采购法》并依法办理论证、审批手续。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采购信息安全产品的，应当采购经国家认证的信息安全产品，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应提供由中国信息安全认证中心按国家标准颁发的有效认证证书</w:t>
      </w:r>
      <w:r>
        <w:rPr>
          <w:rFonts w:hint="eastAsia" w:ascii="宋体" w:hAnsi="宋体" w:eastAsia="宋体" w:cs="宋体"/>
          <w:color w:val="auto"/>
          <w:sz w:val="21"/>
          <w:szCs w:val="21"/>
          <w:highlight w:val="none"/>
          <w:lang w:eastAsia="zh-CN"/>
        </w:rPr>
        <w:t>，否则认定其投标文件无效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8.8</w:t>
      </w:r>
      <w:r>
        <w:rPr>
          <w:rFonts w:hint="eastAsia" w:ascii="宋体" w:hAnsi="宋体" w:eastAsia="宋体" w:cs="宋体"/>
          <w:color w:val="auto"/>
          <w:sz w:val="21"/>
          <w:szCs w:val="21"/>
          <w:highlight w:val="none"/>
          <w:u w:val="none"/>
        </w:rPr>
        <w:t>、根据《政府采购促进中小企业发展管理办法》（财库﹝2020﹞46 号）</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财库2022年19号）文件</w:t>
      </w:r>
      <w:r>
        <w:rPr>
          <w:rFonts w:hint="eastAsia" w:ascii="宋体" w:hAnsi="宋体" w:eastAsia="宋体" w:cs="宋体"/>
          <w:color w:val="auto"/>
          <w:sz w:val="21"/>
          <w:szCs w:val="21"/>
          <w:highlight w:val="none"/>
          <w:u w:val="none"/>
        </w:rPr>
        <w:t>的规定</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cs="宋体"/>
          <w:color w:val="auto"/>
          <w:sz w:val="21"/>
          <w:szCs w:val="21"/>
          <w:highlight w:val="none"/>
          <w:u w:val="none"/>
          <w:lang w:val="en-US" w:eastAsia="zh-CN"/>
        </w:rPr>
        <w:t>一定比例</w:t>
      </w:r>
      <w:r>
        <w:rPr>
          <w:rFonts w:hint="eastAsia" w:ascii="宋体" w:hAnsi="宋体" w:eastAsia="宋体" w:cs="宋体"/>
          <w:color w:val="auto"/>
          <w:sz w:val="21"/>
          <w:szCs w:val="21"/>
          <w:highlight w:val="none"/>
          <w:u w:val="none"/>
        </w:rPr>
        <w:t>的扣除，监狱企业扣除</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残疾人福利性单位扣除</w:t>
      </w:r>
      <w:r>
        <w:rPr>
          <w:rFonts w:hint="eastAsia" w:ascii="宋体" w:hAnsi="宋体" w:cs="宋体"/>
          <w:color w:val="auto"/>
          <w:sz w:val="21"/>
          <w:szCs w:val="21"/>
          <w:highlight w:val="none"/>
          <w:u w:val="none"/>
          <w:lang w:val="en-US" w:eastAsia="zh-CN"/>
        </w:rPr>
        <w:t>同小微企业</w:t>
      </w:r>
      <w:r>
        <w:rPr>
          <w:rFonts w:hint="eastAsia" w:ascii="宋体" w:hAnsi="宋体" w:eastAsia="宋体" w:cs="宋体"/>
          <w:color w:val="auto"/>
          <w:sz w:val="21"/>
          <w:szCs w:val="21"/>
          <w:highlight w:val="none"/>
          <w:u w:val="none"/>
        </w:rPr>
        <w:t>，用扣除后的价格参加评审。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8.9</w:t>
      </w:r>
      <w:r>
        <w:rPr>
          <w:rFonts w:hint="eastAsia" w:ascii="宋体" w:hAnsi="宋体" w:eastAsia="宋体" w:cs="宋体"/>
          <w:color w:val="auto"/>
          <w:sz w:val="21"/>
          <w:szCs w:val="21"/>
          <w:highlight w:val="none"/>
          <w:u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pPr>
        <w:spacing w:line="360" w:lineRule="auto"/>
        <w:rPr>
          <w:rFonts w:hint="eastAsia"/>
          <w:lang w:val="en-US" w:eastAsia="zh-CN"/>
        </w:rPr>
      </w:pPr>
      <w:r>
        <w:rPr>
          <w:rFonts w:hint="eastAsia" w:ascii="宋体" w:hAnsi="宋体" w:eastAsia="宋体" w:cs="宋体"/>
          <w:color w:val="auto"/>
          <w:sz w:val="21"/>
          <w:szCs w:val="21"/>
          <w:highlight w:val="none"/>
          <w:u w:val="none"/>
          <w:lang w:val="en-US" w:eastAsia="zh-CN"/>
        </w:rPr>
        <w:t>8.10</w:t>
      </w:r>
      <w:r>
        <w:rPr>
          <w:rFonts w:hint="eastAsia" w:ascii="宋体" w:hAnsi="宋体" w:eastAsia="宋体" w:cs="宋体"/>
          <w:color w:val="auto"/>
          <w:sz w:val="21"/>
          <w:szCs w:val="21"/>
          <w:highlight w:val="none"/>
          <w:u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pPr>
        <w:pStyle w:val="3"/>
        <w:keepNext/>
        <w:keepLines/>
        <w:pageBreakBefore w:val="0"/>
        <w:widowControl w:val="0"/>
        <w:numPr>
          <w:ilvl w:val="0"/>
          <w:numId w:val="3"/>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000000"/>
          <w:sz w:val="24"/>
          <w:szCs w:val="24"/>
          <w:highlight w:val="none"/>
          <w:lang w:val="en-US" w:eastAsia="zh-CN"/>
        </w:rPr>
      </w:pPr>
      <w:bookmarkStart w:id="445" w:name="_Toc29658"/>
      <w:bookmarkStart w:id="446" w:name="_Toc6040"/>
      <w:bookmarkStart w:id="447" w:name="_Toc16339"/>
      <w:r>
        <w:rPr>
          <w:rFonts w:hint="eastAsia" w:ascii="宋体" w:hAnsi="宋体" w:eastAsia="宋体"/>
          <w:b/>
          <w:color w:val="000000"/>
          <w:sz w:val="24"/>
          <w:szCs w:val="24"/>
          <w:highlight w:val="none"/>
          <w:lang w:val="en-US" w:eastAsia="zh-CN"/>
        </w:rPr>
        <w:t>需要补充的其他内容</w:t>
      </w:r>
      <w:bookmarkEnd w:id="445"/>
      <w:bookmarkEnd w:id="446"/>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需要补充的其他内容：见投标人须知前附表。</w:t>
      </w:r>
      <w:bookmarkEnd w:id="447"/>
      <w:r>
        <w:rPr>
          <w:rFonts w:hint="eastAsia" w:ascii="宋体" w:hAnsi="宋体"/>
          <w:color w:val="000000"/>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0"/>
          <w:sz w:val="24"/>
          <w:szCs w:val="21"/>
          <w:highlight w:val="none"/>
          <w:lang w:val="en-US" w:eastAsia="zh-CN" w:bidi="ar"/>
        </w:rPr>
      </w:pPr>
      <w:r>
        <w:rPr>
          <w:rFonts w:hint="eastAsia" w:ascii="宋体" w:hAnsi="宋体" w:eastAsia="宋体"/>
          <w:color w:val="000000"/>
          <w:sz w:val="32"/>
          <w:szCs w:val="32"/>
          <w:highlight w:val="none"/>
          <w:lang w:eastAsia="zh-CN"/>
        </w:rPr>
        <w:br w:type="page"/>
      </w:r>
      <w:r>
        <w:rPr>
          <w:rFonts w:hint="eastAsia" w:ascii="宋体" w:hAnsi="宋体" w:eastAsia="宋体" w:cs="仿宋_GB2312"/>
          <w:b/>
          <w:bCs/>
          <w:color w:val="auto"/>
          <w:kern w:val="0"/>
          <w:sz w:val="24"/>
          <w:szCs w:val="21"/>
          <w:highlight w:val="none"/>
          <w:lang w:val="en-US" w:eastAsia="zh-CN" w:bidi="ar"/>
        </w:rPr>
        <w:t>附件1：</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r>
        <w:rPr>
          <w:rFonts w:hint="eastAsia" w:ascii="宋体" w:hAnsi="宋体" w:cs="仿宋_GB2312"/>
          <w:b/>
          <w:bCs/>
          <w:color w:val="auto"/>
          <w:kern w:val="0"/>
          <w:sz w:val="28"/>
          <w:szCs w:val="28"/>
          <w:highlight w:val="none"/>
          <w:lang w:val="en-US" w:eastAsia="zh-CN"/>
        </w:rPr>
        <w:t>荥阳市政府采购合同融资政策告知函</w:t>
      </w: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各供应商：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欢迎贵公司参与荥阳市政府采购活动！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xml:space="preserve">贷款渠道和提供贷款的金融机构，可在荥阳市政府采购网“荥阳市政府采购合同融资入口”或工作动态栏查询联系。 </w:t>
      </w:r>
    </w:p>
    <w:p/>
    <w:p>
      <w:pPr>
        <w:spacing w:line="360" w:lineRule="auto"/>
        <w:ind w:firstLine="420" w:firstLineChars="200"/>
        <w:rPr>
          <w:rFonts w:hint="eastAsia" w:ascii="宋体" w:hAnsi="宋体" w:cs="宋体"/>
          <w:szCs w:val="21"/>
        </w:rPr>
      </w:pPr>
    </w:p>
    <w:p>
      <w:pPr>
        <w:rPr>
          <w:rFonts w:hint="eastAsia" w:ascii="宋体" w:hAnsi="宋体" w:cs="宋体"/>
          <w:b/>
          <w:bCs/>
          <w:szCs w:val="21"/>
        </w:rPr>
      </w:pPr>
      <w:r>
        <w:rPr>
          <w:rFonts w:hint="eastAsia" w:ascii="宋体" w:hAnsi="宋体" w:cs="宋体"/>
          <w:b/>
          <w:bCs/>
          <w:szCs w:val="21"/>
        </w:rPr>
        <w:br w:type="page"/>
      </w:r>
    </w:p>
    <w:p>
      <w:pPr>
        <w:spacing w:line="360" w:lineRule="auto"/>
        <w:ind w:firstLine="482" w:firstLineChars="200"/>
        <w:rPr>
          <w:rFonts w:ascii="宋体" w:hAnsi="宋体" w:cs="宋体"/>
          <w:sz w:val="24"/>
        </w:rPr>
      </w:pPr>
      <w:r>
        <w:rPr>
          <w:rFonts w:hint="eastAsia" w:ascii="宋体" w:hAnsi="宋体" w:cs="宋体"/>
          <w:b/>
          <w:bCs/>
          <w:sz w:val="24"/>
        </w:rPr>
        <w:t>附件2</w:t>
      </w:r>
    </w:p>
    <w:p>
      <w:pPr>
        <w:pStyle w:val="37"/>
        <w:shd w:val="clear" w:color="auto" w:fill="FFFFFF"/>
        <w:spacing w:before="0" w:beforeAutospacing="0" w:after="0" w:afterAutospacing="0" w:line="330" w:lineRule="atLeast"/>
        <w:jc w:val="center"/>
        <w:rPr>
          <w:rFonts w:ascii="宋体" w:hAnsi="宋体" w:cs="宋体"/>
          <w:b/>
          <w:bCs/>
          <w:color w:val="333333"/>
          <w:spacing w:val="8"/>
          <w:sz w:val="28"/>
          <w:szCs w:val="28"/>
          <w:shd w:val="clear" w:color="auto" w:fill="FFFFFF"/>
        </w:rPr>
      </w:pPr>
    </w:p>
    <w:tbl>
      <w:tblPr>
        <w:tblStyle w:val="43"/>
        <w:tblW w:w="9637" w:type="dxa"/>
        <w:jc w:val="center"/>
        <w:shd w:val="clear" w:color="auto" w:fill="FFFFFF"/>
        <w:tblLayout w:type="fixed"/>
        <w:tblCellMar>
          <w:top w:w="0" w:type="dxa"/>
          <w:left w:w="0" w:type="dxa"/>
          <w:bottom w:w="0" w:type="dxa"/>
          <w:right w:w="0" w:type="dxa"/>
        </w:tblCellMar>
      </w:tblPr>
      <w:tblGrid>
        <w:gridCol w:w="2164"/>
        <w:gridCol w:w="1397"/>
        <w:gridCol w:w="721"/>
        <w:gridCol w:w="1151"/>
        <w:gridCol w:w="1734"/>
        <w:gridCol w:w="1458"/>
        <w:gridCol w:w="1012"/>
      </w:tblGrid>
      <w:tr>
        <w:tblPrEx>
          <w:shd w:val="clear" w:color="auto" w:fill="FFFFFF"/>
          <w:tblCellMar>
            <w:top w:w="0" w:type="dxa"/>
            <w:left w:w="0" w:type="dxa"/>
            <w:bottom w:w="0" w:type="dxa"/>
            <w:right w:w="0" w:type="dxa"/>
          </w:tblCellMar>
        </w:tblPrEx>
        <w:trPr>
          <w:trHeight w:val="618" w:hRule="atLeast"/>
          <w:jc w:val="center"/>
        </w:trPr>
        <w:tc>
          <w:tcPr>
            <w:tcW w:w="2164"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Style w:val="46"/>
                <w:rFonts w:hint="eastAsia" w:ascii="宋体" w:hAnsi="宋体" w:cs="宋体"/>
                <w:color w:val="FFFFFF"/>
                <w:spacing w:val="8"/>
                <w:sz w:val="21"/>
                <w:szCs w:val="21"/>
              </w:rPr>
              <w:t>行业名称</w:t>
            </w:r>
          </w:p>
        </w:tc>
        <w:tc>
          <w:tcPr>
            <w:tcW w:w="139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指标名称</w:t>
            </w:r>
          </w:p>
        </w:tc>
        <w:tc>
          <w:tcPr>
            <w:tcW w:w="72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计量单位</w:t>
            </w:r>
          </w:p>
        </w:tc>
        <w:tc>
          <w:tcPr>
            <w:tcW w:w="1151"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大型</w:t>
            </w:r>
          </w:p>
        </w:tc>
        <w:tc>
          <w:tcPr>
            <w:tcW w:w="1734"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中型</w:t>
            </w:r>
          </w:p>
        </w:tc>
        <w:tc>
          <w:tcPr>
            <w:tcW w:w="145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小型</w:t>
            </w:r>
          </w:p>
        </w:tc>
        <w:tc>
          <w:tcPr>
            <w:tcW w:w="101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Style w:val="46"/>
                <w:rFonts w:hint="eastAsia" w:ascii="宋体" w:hAnsi="宋体" w:cs="宋体"/>
                <w:color w:val="FFFFFF"/>
                <w:spacing w:val="8"/>
                <w:sz w:val="21"/>
                <w:szCs w:val="21"/>
              </w:rPr>
              <w:t>微型</w:t>
            </w:r>
          </w:p>
        </w:tc>
      </w:tr>
      <w:tr>
        <w:tblPrEx>
          <w:tblCellMar>
            <w:top w:w="0" w:type="dxa"/>
            <w:left w:w="0" w:type="dxa"/>
            <w:bottom w:w="0" w:type="dxa"/>
            <w:right w:w="0" w:type="dxa"/>
          </w:tblCellMar>
        </w:tblPrEx>
        <w:trPr>
          <w:trHeight w:val="578" w:hRule="atLeast"/>
          <w:jc w:val="center"/>
        </w:trPr>
        <w:tc>
          <w:tcPr>
            <w:tcW w:w="2164"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农、林、牧、渔业</w:t>
            </w: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工业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建筑业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Y≥80000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6000≤Y＜80000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300≤Y＜6000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Z≥80000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5000≤Z＜80000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300≤Z＜5000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Z＜300</w:t>
            </w:r>
          </w:p>
        </w:tc>
      </w:tr>
      <w:tr>
        <w:tblPrEx>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批发业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5≤X＜20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X＜5</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Y≥40000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5000≤Y＜40000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w:t>
            </w:r>
          </w:p>
        </w:tc>
      </w:tr>
      <w:tr>
        <w:tblPrEx>
          <w:tblCellMar>
            <w:top w:w="0" w:type="dxa"/>
            <w:left w:w="0" w:type="dxa"/>
            <w:bottom w:w="0" w:type="dxa"/>
            <w:right w:w="0" w:type="dxa"/>
          </w:tblCellMar>
        </w:tblPrEx>
        <w:trPr>
          <w:trHeight w:val="398"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零售业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10≤X＜50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100≤Y＜500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交通运输业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200≤Y＜3000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仓储业*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邮政业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20≤X＜300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Y≥30000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2000≤Y＜30000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住宿业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餐饮业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100≤Y＜2000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信息传输业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X≥2000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100≤X＜2000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1000≤Y＜100000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15"/>
                <w:sz w:val="21"/>
                <w:szCs w:val="21"/>
              </w:rPr>
              <w:t>软件和信息技术服</w:t>
            </w:r>
            <w:r>
              <w:rPr>
                <w:rFonts w:hint="eastAsia" w:ascii="宋体" w:hAnsi="宋体" w:cs="宋体"/>
                <w:color w:val="000000"/>
                <w:spacing w:val="8"/>
                <w:sz w:val="21"/>
                <w:szCs w:val="21"/>
              </w:rPr>
              <w:t>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w:t>
            </w:r>
          </w:p>
        </w:tc>
      </w:tr>
      <w:tr>
        <w:tblPrEx>
          <w:tblCellMar>
            <w:top w:w="0" w:type="dxa"/>
            <w:left w:w="0" w:type="dxa"/>
            <w:bottom w:w="0" w:type="dxa"/>
            <w:right w:w="0" w:type="dxa"/>
          </w:tblCellMar>
        </w:tblPrEx>
        <w:trPr>
          <w:trHeight w:val="549" w:hRule="atLeast"/>
          <w:jc w:val="center"/>
        </w:trPr>
        <w:tc>
          <w:tcPr>
            <w:tcW w:w="2164" w:type="dxa"/>
            <w:vMerge w:val="restart"/>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房地产开发经营</w:t>
            </w:r>
          </w:p>
        </w:tc>
        <w:tc>
          <w:tcPr>
            <w:tcW w:w="1397" w:type="dxa"/>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Y≥200000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1000≤Y＜200000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100≤Y＜1000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Y＜100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single" w:color="4F81BD" w:sz="6" w:space="0"/>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single" w:color="4F81BD" w:sz="6" w:space="0"/>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5000≤Z＜10000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2000≤Z＜5000   </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Z＜2000</w:t>
            </w:r>
          </w:p>
        </w:tc>
      </w:tr>
      <w:tr>
        <w:tblPrEx>
          <w:tblCellMar>
            <w:top w:w="0" w:type="dxa"/>
            <w:left w:w="0" w:type="dxa"/>
            <w:bottom w:w="0" w:type="dxa"/>
            <w:right w:w="0" w:type="dxa"/>
          </w:tblCellMar>
        </w:tblPrEx>
        <w:trPr>
          <w:trHeight w:val="354"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物业管理</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300≤X＜1000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X＜100</w:t>
            </w:r>
          </w:p>
        </w:tc>
      </w:tr>
      <w:tr>
        <w:tblPrEx>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营业收入(Y)</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1000≤Y＜5000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500≤Y＜1000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Y＜500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租赁和商务服务业</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r>
        <w:tblPrEx>
          <w:shd w:val="clear" w:color="auto" w:fill="FFFFFF"/>
          <w:tblCellMar>
            <w:top w:w="0" w:type="dxa"/>
            <w:left w:w="0" w:type="dxa"/>
            <w:bottom w:w="0" w:type="dxa"/>
            <w:right w:w="0" w:type="dxa"/>
          </w:tblCellMar>
        </w:tblPrEx>
        <w:trPr>
          <w:trHeight w:val="549" w:hRule="atLeast"/>
          <w:jc w:val="center"/>
        </w:trPr>
        <w:tc>
          <w:tcPr>
            <w:tcW w:w="2164"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rPr>
                <w:rFonts w:ascii="宋体" w:hAnsi="宋体" w:cs="宋体"/>
                <w:color w:val="333333"/>
                <w:spacing w:val="8"/>
                <w:sz w:val="21"/>
                <w:szCs w:val="21"/>
              </w:rPr>
            </w:pPr>
          </w:p>
        </w:tc>
        <w:tc>
          <w:tcPr>
            <w:tcW w:w="1397"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line="240" w:lineRule="atLeast"/>
              <w:jc w:val="center"/>
              <w:rPr>
                <w:rFonts w:ascii="宋体" w:hAnsi="宋体" w:cs="宋体"/>
                <w:sz w:val="21"/>
                <w:szCs w:val="21"/>
              </w:rPr>
            </w:pPr>
            <w:r>
              <w:rPr>
                <w:rFonts w:hint="eastAsia" w:ascii="宋体" w:hAnsi="宋体" w:cs="宋体"/>
                <w:color w:val="000000"/>
                <w:spacing w:val="8"/>
                <w:sz w:val="21"/>
                <w:szCs w:val="21"/>
              </w:rPr>
              <w:t>资产总额(Z)</w:t>
            </w:r>
          </w:p>
        </w:tc>
        <w:tc>
          <w:tcPr>
            <w:tcW w:w="72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万元</w:t>
            </w:r>
          </w:p>
        </w:tc>
        <w:tc>
          <w:tcPr>
            <w:tcW w:w="1151"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Z≥120000</w:t>
            </w:r>
          </w:p>
        </w:tc>
        <w:tc>
          <w:tcPr>
            <w:tcW w:w="1734"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8000≤Z＜120000</w:t>
            </w:r>
          </w:p>
        </w:tc>
        <w:tc>
          <w:tcPr>
            <w:tcW w:w="1458"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100≤Z＜8000</w:t>
            </w:r>
          </w:p>
        </w:tc>
        <w:tc>
          <w:tcPr>
            <w:tcW w:w="1012"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Z＜100</w:t>
            </w:r>
          </w:p>
        </w:tc>
      </w:tr>
      <w:tr>
        <w:tblPrEx>
          <w:tblCellMar>
            <w:top w:w="0" w:type="dxa"/>
            <w:left w:w="0" w:type="dxa"/>
            <w:bottom w:w="0" w:type="dxa"/>
            <w:right w:w="0" w:type="dxa"/>
          </w:tblCellMar>
        </w:tblPrEx>
        <w:trPr>
          <w:trHeight w:val="563" w:hRule="atLeast"/>
          <w:jc w:val="center"/>
        </w:trPr>
        <w:tc>
          <w:tcPr>
            <w:tcW w:w="2164"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line="240" w:lineRule="atLeast"/>
              <w:jc w:val="both"/>
              <w:rPr>
                <w:rFonts w:ascii="宋体" w:hAnsi="宋体" w:cs="宋体"/>
                <w:sz w:val="21"/>
                <w:szCs w:val="21"/>
              </w:rPr>
            </w:pPr>
            <w:r>
              <w:rPr>
                <w:rFonts w:hint="eastAsia" w:ascii="宋体" w:hAnsi="宋体" w:cs="宋体"/>
                <w:color w:val="000000"/>
                <w:spacing w:val="8"/>
                <w:sz w:val="21"/>
                <w:szCs w:val="21"/>
              </w:rPr>
              <w:t>其他未列明行业 *</w:t>
            </w:r>
          </w:p>
        </w:tc>
        <w:tc>
          <w:tcPr>
            <w:tcW w:w="1397"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从业人员(X)</w:t>
            </w:r>
          </w:p>
        </w:tc>
        <w:tc>
          <w:tcPr>
            <w:tcW w:w="72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人</w:t>
            </w:r>
          </w:p>
        </w:tc>
        <w:tc>
          <w:tcPr>
            <w:tcW w:w="1151"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X≥300</w:t>
            </w:r>
          </w:p>
        </w:tc>
        <w:tc>
          <w:tcPr>
            <w:tcW w:w="1734"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100≤X＜300</w:t>
            </w:r>
          </w:p>
        </w:tc>
        <w:tc>
          <w:tcPr>
            <w:tcW w:w="1458"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 10≤X＜100</w:t>
            </w:r>
          </w:p>
        </w:tc>
        <w:tc>
          <w:tcPr>
            <w:tcW w:w="1012"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7"/>
              <w:wordWrap w:val="0"/>
              <w:spacing w:before="0" w:beforeAutospacing="0" w:after="0" w:afterAutospacing="0"/>
              <w:jc w:val="center"/>
              <w:rPr>
                <w:rFonts w:ascii="宋体" w:hAnsi="宋体" w:cs="宋体"/>
                <w:sz w:val="21"/>
                <w:szCs w:val="21"/>
              </w:rPr>
            </w:pPr>
            <w:r>
              <w:rPr>
                <w:rFonts w:hint="eastAsia" w:ascii="宋体" w:hAnsi="宋体" w:cs="宋体"/>
                <w:color w:val="000000"/>
                <w:spacing w:val="8"/>
                <w:sz w:val="21"/>
                <w:szCs w:val="21"/>
              </w:rPr>
              <w:t>X＜10</w:t>
            </w:r>
          </w:p>
        </w:tc>
      </w:tr>
    </w:tbl>
    <w:p>
      <w:pPr>
        <w:rPr>
          <w:rFonts w:ascii="宋体" w:hAnsi="宋体" w:cs="宋体"/>
          <w:color w:val="000000"/>
          <w:spacing w:val="15"/>
          <w:sz w:val="21"/>
          <w:szCs w:val="21"/>
        </w:rPr>
      </w:pPr>
    </w:p>
    <w:p>
      <w:pPr>
        <w:spacing w:line="360" w:lineRule="auto"/>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说明：</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1.大型、中型和小型企业须同时满足所列指标的下限，否则下划一档；微型企业只须满足所列指标中的一项即可。</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3.企业划分指标以现行统计制度为准。</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（1）从业人员，是指期末从业人员数，没有期末从业人员数的，采用全年平均人员数代替。</w:t>
      </w:r>
    </w:p>
    <w:p>
      <w:pPr>
        <w:spacing w:line="360" w:lineRule="auto"/>
        <w:ind w:firstLine="480" w:firstLineChars="200"/>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color w:val="000000"/>
          <w:spacing w:val="15"/>
          <w:sz w:val="21"/>
          <w:szCs w:val="21"/>
        </w:rPr>
        <w:t>（3）资产总额，采用资产总计代替。</w:t>
      </w:r>
    </w:p>
    <w:p>
      <w:pPr>
        <w:spacing w:line="360" w:lineRule="auto"/>
        <w:jc w:val="center"/>
        <w:outlineLvl w:val="0"/>
        <w:rPr>
          <w:rStyle w:val="61"/>
          <w:rFonts w:hint="eastAsia"/>
        </w:rPr>
      </w:pPr>
      <w:r>
        <w:rPr>
          <w:rFonts w:hint="eastAsia" w:ascii="宋体" w:hAnsi="宋体" w:cs="宋体"/>
          <w:b/>
          <w:bCs/>
          <w:szCs w:val="21"/>
        </w:rPr>
        <w:br w:type="page"/>
      </w:r>
      <w:bookmarkStart w:id="448" w:name="_Toc144974565"/>
      <w:bookmarkStart w:id="449" w:name="_Toc8665"/>
      <w:bookmarkStart w:id="450" w:name="_Toc152042375"/>
      <w:bookmarkStart w:id="451" w:name="_Toc152045598"/>
      <w:r>
        <w:rPr>
          <w:rStyle w:val="61"/>
          <w:rFonts w:hint="eastAsia"/>
        </w:rPr>
        <w:t>第三章  评标办法（综合评分法）</w:t>
      </w:r>
      <w:bookmarkEnd w:id="448"/>
      <w:bookmarkEnd w:id="449"/>
      <w:bookmarkEnd w:id="450"/>
      <w:bookmarkEnd w:id="451"/>
    </w:p>
    <w:p>
      <w:pPr>
        <w:pStyle w:val="15"/>
        <w:rPr>
          <w:rFonts w:hint="eastAsia" w:ascii="宋体" w:hAnsi="宋体" w:cs="宋体"/>
          <w:szCs w:val="21"/>
        </w:rPr>
      </w:pPr>
    </w:p>
    <w:p>
      <w:pPr>
        <w:pStyle w:val="15"/>
        <w:adjustRightInd w:val="0"/>
        <w:ind w:firstLine="420" w:firstLineChars="200"/>
        <w:rPr>
          <w:rFonts w:hint="eastAsia" w:ascii="宋体" w:hAnsi="宋体" w:cs="宋体"/>
          <w:szCs w:val="21"/>
        </w:rPr>
      </w:pPr>
      <w:r>
        <w:rPr>
          <w:rFonts w:hint="eastAsia" w:ascii="宋体" w:hAnsi="宋体" w:cs="宋体"/>
          <w:szCs w:val="21"/>
        </w:rPr>
        <w:t>评标方法：采用综合评分法。</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评标标准：</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分初步评审、详细评审和推荐中标候选人三个阶段。</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1.投标文件的初步评审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评委会委员首先确定每份投标文件是有效标还是无效标，未能对采购文件作出实质性响应，投标文件视为无效标(即为废标)，不进入详细评审；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2.投标文件的详细评审</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经初步评审合格的投标文件，评标委员会根据采购文件规定，对其进行进一步的评审与比较；</w:t>
      </w:r>
    </w:p>
    <w:p>
      <w:pPr>
        <w:adjustRightInd w:val="0"/>
        <w:spacing w:line="360" w:lineRule="auto"/>
        <w:ind w:firstLine="420" w:firstLineChars="200"/>
        <w:rPr>
          <w:rFonts w:hint="eastAsia" w:ascii="宋体" w:hAnsi="宋体" w:cs="宋体"/>
          <w:szCs w:val="21"/>
        </w:rPr>
      </w:pPr>
      <w:r>
        <w:rPr>
          <w:rFonts w:hint="eastAsia" w:ascii="宋体" w:hAnsi="宋体" w:cs="宋体"/>
          <w:szCs w:val="21"/>
        </w:rPr>
        <w:t>3.推荐合格的中标候选人</w:t>
      </w:r>
    </w:p>
    <w:p>
      <w:pPr>
        <w:adjustRightInd w:val="0"/>
        <w:spacing w:line="400" w:lineRule="exact"/>
        <w:ind w:firstLine="420" w:firstLineChars="200"/>
        <w:rPr>
          <w:rFonts w:hint="eastAsia" w:ascii="宋体" w:hAnsi="宋体" w:cs="宋体"/>
          <w:szCs w:val="21"/>
        </w:rPr>
      </w:pPr>
      <w:r>
        <w:rPr>
          <w:rFonts w:hint="eastAsia" w:ascii="宋体" w:hAnsi="宋体" w:cs="宋体"/>
          <w:szCs w:val="21"/>
        </w:rPr>
        <w:t>评标委员会根据采购文件规定的评标办法每包段推荐3名中标候选人。</w:t>
      </w:r>
    </w:p>
    <w:p>
      <w:pPr>
        <w:spacing w:line="360" w:lineRule="auto"/>
        <w:ind w:firstLine="482" w:firstLineChars="200"/>
        <w:jc w:val="center"/>
        <w:rPr>
          <w:rFonts w:hint="eastAsia" w:ascii="宋体" w:hAnsi="宋体" w:cs="宋体"/>
          <w:b/>
          <w:bCs/>
          <w:sz w:val="24"/>
        </w:rPr>
      </w:pPr>
      <w:bookmarkStart w:id="452" w:name="_Toc7040_WPSOffice_Level2"/>
      <w:r>
        <w:rPr>
          <w:rFonts w:hint="eastAsia" w:ascii="宋体" w:hAnsi="宋体" w:cs="宋体"/>
          <w:b/>
          <w:bCs/>
          <w:sz w:val="24"/>
        </w:rPr>
        <w:br w:type="page"/>
      </w:r>
      <w:r>
        <w:rPr>
          <w:rFonts w:hint="eastAsia" w:ascii="宋体" w:hAnsi="宋体" w:cs="宋体"/>
          <w:b/>
          <w:bCs/>
          <w:sz w:val="24"/>
        </w:rPr>
        <w:t>一、</w:t>
      </w:r>
      <w:bookmarkEnd w:id="452"/>
      <w:r>
        <w:rPr>
          <w:rFonts w:hint="eastAsia" w:ascii="宋体" w:hAnsi="宋体" w:cs="宋体"/>
          <w:b/>
          <w:bCs/>
          <w:sz w:val="24"/>
        </w:rPr>
        <w:t>初步评审</w:t>
      </w:r>
    </w:p>
    <w:p>
      <w:pPr>
        <w:spacing w:line="360" w:lineRule="auto"/>
        <w:rPr>
          <w:rFonts w:hint="eastAsia" w:ascii="宋体" w:hAnsi="宋体" w:cs="宋体"/>
        </w:rPr>
      </w:pPr>
      <w:r>
        <w:rPr>
          <w:rFonts w:hint="eastAsia" w:ascii="宋体" w:hAnsi="宋体" w:cs="宋体"/>
        </w:rPr>
        <w:t>1.资格审查。开标结束后，按照《政府采购货物和服务招标投标管理办法》（财政部第87号令）由采购人或代理机构对供应商的资格进行审查。内容如下：</w:t>
      </w:r>
    </w:p>
    <w:tbl>
      <w:tblPr>
        <w:tblStyle w:val="4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47"/>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4657" w:type="dxa"/>
            <w:gridSpan w:val="2"/>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bookmarkStart w:id="453" w:name="OLE_LINK15"/>
            <w:r>
              <w:rPr>
                <w:rFonts w:hint="eastAsia" w:ascii="宋体" w:hAnsi="宋体" w:cs="宋体"/>
                <w:b/>
                <w:szCs w:val="21"/>
              </w:rPr>
              <w:t>评审因素</w:t>
            </w:r>
          </w:p>
        </w:tc>
        <w:tc>
          <w:tcPr>
            <w:tcW w:w="5253" w:type="dxa"/>
            <w:tcBorders>
              <w:bottom w:val="single" w:color="auto" w:sz="4" w:space="0"/>
            </w:tcBorders>
            <w:noWrap/>
            <w:tcMar>
              <w:left w:w="57" w:type="dxa"/>
              <w:right w:w="57" w:type="dxa"/>
            </w:tcMar>
            <w:vAlign w:val="center"/>
          </w:tcPr>
          <w:p>
            <w:pPr>
              <w:spacing w:line="360" w:lineRule="auto"/>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10"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资格性审查</w:t>
            </w:r>
          </w:p>
        </w:tc>
        <w:tc>
          <w:tcPr>
            <w:tcW w:w="3847" w:type="dxa"/>
            <w:noWrap/>
            <w:tcMar>
              <w:left w:w="57" w:type="dxa"/>
              <w:right w:w="57" w:type="dxa"/>
            </w:tcMar>
            <w:vAlign w:val="center"/>
          </w:tcPr>
          <w:p>
            <w:pPr>
              <w:spacing w:line="312" w:lineRule="auto"/>
              <w:jc w:val="center"/>
              <w:rPr>
                <w:rFonts w:hint="eastAsia" w:ascii="宋体" w:hAnsi="宋体" w:cs="宋体"/>
                <w:szCs w:val="21"/>
              </w:rPr>
            </w:pPr>
            <w:r>
              <w:rPr>
                <w:rFonts w:hint="eastAsia" w:ascii="宋体" w:hAnsi="宋体" w:cs="宋体"/>
                <w:szCs w:val="21"/>
              </w:rPr>
              <w:t>具有独立承担民事责任的能力</w:t>
            </w:r>
          </w:p>
        </w:tc>
        <w:tc>
          <w:tcPr>
            <w:tcW w:w="5253" w:type="dxa"/>
            <w:noWrap/>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具有良好的商业信誉和健全的财务会计制度</w:t>
            </w:r>
          </w:p>
        </w:tc>
        <w:tc>
          <w:tcPr>
            <w:tcW w:w="5253" w:type="dxa"/>
            <w:noWrap/>
            <w:vAlign w:val="center"/>
          </w:tcPr>
          <w:p>
            <w:pPr>
              <w:pStyle w:val="22"/>
              <w:spacing w:line="312" w:lineRule="auto"/>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810" w:type="dxa"/>
            <w:vMerge w:val="continue"/>
            <w:noWrap/>
            <w:tcMar>
              <w:left w:w="57" w:type="dxa"/>
              <w:right w:w="57" w:type="dxa"/>
            </w:tcMar>
            <w:vAlign w:val="center"/>
          </w:tcPr>
          <w:p>
            <w:pPr>
              <w:spacing w:line="360" w:lineRule="auto"/>
              <w:ind w:firstLine="630" w:firstLineChars="300"/>
              <w:jc w:val="center"/>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具有履行合同所必</w:t>
            </w:r>
            <w:r>
              <w:rPr>
                <w:rFonts w:hint="eastAsia" w:ascii="宋体" w:hAnsi="宋体" w:cs="宋体"/>
                <w:lang w:val="en-US" w:eastAsia="zh-CN"/>
              </w:rPr>
              <w:t>需</w:t>
            </w:r>
            <w:r>
              <w:rPr>
                <w:rFonts w:hint="eastAsia" w:ascii="宋体" w:hAnsi="宋体" w:cs="宋体"/>
              </w:rPr>
              <w:t>的设备和专业</w:t>
            </w:r>
          </w:p>
          <w:p>
            <w:pPr>
              <w:pStyle w:val="22"/>
              <w:spacing w:line="312" w:lineRule="auto"/>
              <w:jc w:val="center"/>
              <w:rPr>
                <w:rFonts w:hint="eastAsia" w:ascii="宋体" w:hAnsi="宋体" w:cs="宋体"/>
              </w:rPr>
            </w:pPr>
            <w:r>
              <w:rPr>
                <w:rFonts w:hint="eastAsia" w:ascii="宋体" w:hAnsi="宋体" w:cs="宋体"/>
              </w:rPr>
              <w:t>技术能力</w:t>
            </w:r>
          </w:p>
        </w:tc>
        <w:tc>
          <w:tcPr>
            <w:tcW w:w="5253" w:type="dxa"/>
            <w:noWrap/>
            <w:vAlign w:val="center"/>
          </w:tcPr>
          <w:p>
            <w:pPr>
              <w:pStyle w:val="22"/>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有依法缴纳税收和社会保障资金的良好记录</w:t>
            </w:r>
          </w:p>
        </w:tc>
        <w:tc>
          <w:tcPr>
            <w:tcW w:w="5253" w:type="dxa"/>
            <w:noWrap/>
            <w:vAlign w:val="center"/>
          </w:tcPr>
          <w:p>
            <w:pPr>
              <w:pStyle w:val="22"/>
              <w:spacing w:line="312" w:lineRule="auto"/>
              <w:jc w:val="left"/>
              <w:rPr>
                <w:rFonts w:hint="eastAsia" w:ascii="宋体" w:hAnsi="宋体" w:cs="宋体"/>
              </w:rPr>
            </w:pPr>
            <w:r>
              <w:rPr>
                <w:rFonts w:hint="eastAsia" w:ascii="宋体" w:hAnsi="宋体" w:cs="宋体"/>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tcBorders>
              <w:bottom w:val="single" w:color="auto" w:sz="4" w:space="0"/>
            </w:tcBorders>
            <w:noWrap/>
            <w:tcMar>
              <w:left w:w="57" w:type="dxa"/>
              <w:right w:w="57" w:type="dxa"/>
            </w:tcMar>
            <w:vAlign w:val="center"/>
          </w:tcPr>
          <w:p>
            <w:pPr>
              <w:pStyle w:val="22"/>
              <w:spacing w:line="312" w:lineRule="auto"/>
              <w:jc w:val="center"/>
              <w:rPr>
                <w:rFonts w:hint="eastAsia" w:ascii="宋体" w:hAnsi="宋体" w:cs="宋体"/>
              </w:rPr>
            </w:pPr>
            <w:r>
              <w:rPr>
                <w:rFonts w:hint="eastAsia" w:ascii="宋体" w:hAnsi="宋体" w:cs="宋体"/>
              </w:rPr>
              <w:t>参加政府采购活动前三年内，在经营活动中没有重大违法记录</w:t>
            </w:r>
          </w:p>
        </w:tc>
        <w:tc>
          <w:tcPr>
            <w:tcW w:w="5253" w:type="dxa"/>
            <w:tcBorders>
              <w:bottom w:val="single" w:color="auto" w:sz="4" w:space="0"/>
            </w:tcBorders>
            <w:noWrap/>
            <w:vAlign w:val="center"/>
          </w:tcPr>
          <w:p>
            <w:pPr>
              <w:spacing w:line="312" w:lineRule="auto"/>
              <w:jc w:val="left"/>
              <w:rPr>
                <w:rFonts w:hint="eastAsia"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cs="宋体"/>
                <w:szCs w:val="21"/>
              </w:rPr>
            </w:pPr>
            <w:r>
              <w:rPr>
                <w:rStyle w:val="76"/>
                <w:rFonts w:hint="eastAsia" w:ascii="宋体" w:hAnsi="宋体" w:cs="宋体"/>
              </w:rPr>
              <w:t>信用查询</w:t>
            </w:r>
          </w:p>
        </w:tc>
        <w:tc>
          <w:tcPr>
            <w:tcW w:w="5253" w:type="dxa"/>
            <w:noWrap/>
            <w:vAlign w:val="center"/>
          </w:tcPr>
          <w:p>
            <w:pPr>
              <w:spacing w:line="312"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Style w:val="76"/>
                <w:rFonts w:hint="default" w:ascii="宋体" w:hAnsi="宋体" w:eastAsia="宋体" w:cs="宋体"/>
                <w:lang w:val="en-US" w:eastAsia="zh-CN"/>
              </w:rPr>
            </w:pPr>
            <w:r>
              <w:rPr>
                <w:rFonts w:hint="eastAsia" w:ascii="宋体" w:hAnsi="宋体" w:cs="宋体"/>
                <w:szCs w:val="21"/>
              </w:rPr>
              <w:t>单位负责人为同一个人或者存在控股、管理关系的不同单位，不得同时参加投标</w:t>
            </w:r>
          </w:p>
        </w:tc>
        <w:tc>
          <w:tcPr>
            <w:tcW w:w="5253" w:type="dxa"/>
            <w:noWrap/>
            <w:vAlign w:val="center"/>
          </w:tcPr>
          <w:p>
            <w:pPr>
              <w:spacing w:line="360" w:lineRule="auto"/>
              <w:jc w:val="left"/>
              <w:rPr>
                <w:rFonts w:hint="eastAsia" w:ascii="宋体" w:hAnsi="宋体" w:cs="宋体"/>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单位负责人为同一人或者存在直接控股、管理关系的不同供应商，不得参加同一合同项下的政府采购活动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rPr>
            </w:pPr>
            <w:r>
              <w:rPr>
                <w:rFonts w:hint="eastAsia" w:ascii="宋体" w:hAnsi="宋体" w:eastAsia="宋体" w:cs="宋体"/>
                <w:szCs w:val="21"/>
              </w:rPr>
              <w:t>除单一来源采购项目外，为采购项目提供整体设计、规范编制或者项目管理、监理、检测等服务的供应商，不得再参加该采购项目的其他采购活动</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rPr>
            </w:pPr>
            <w:r>
              <w:rPr>
                <w:rFonts w:hint="eastAsia"/>
                <w:lang w:val="en-US" w:eastAsia="zh-CN"/>
              </w:rPr>
              <w:t>本项目不接受联合体</w:t>
            </w:r>
          </w:p>
        </w:tc>
        <w:tc>
          <w:tcPr>
            <w:tcW w:w="5253" w:type="dxa"/>
            <w:noWrap/>
            <w:vAlign w:val="center"/>
          </w:tcPr>
          <w:p>
            <w:pPr>
              <w:spacing w:line="360" w:lineRule="auto"/>
              <w:jc w:val="left"/>
              <w:rPr>
                <w:rFonts w:hint="eastAsia" w:ascii="宋体" w:hAnsi="宋体" w:cs="宋体"/>
                <w:szCs w:val="21"/>
              </w:rPr>
            </w:pPr>
            <w:r>
              <w:rPr>
                <w:rFonts w:hint="eastAsia" w:ascii="宋体" w:hAnsi="宋体" w:cs="宋体"/>
                <w:szCs w:val="21"/>
              </w:rPr>
              <w:t>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10" w:type="dxa"/>
            <w:vMerge w:val="continue"/>
            <w:noWrap/>
            <w:tcMar>
              <w:left w:w="57" w:type="dxa"/>
              <w:right w:w="57" w:type="dxa"/>
            </w:tcMar>
            <w:vAlign w:val="center"/>
          </w:tcPr>
          <w:p>
            <w:pPr>
              <w:spacing w:line="360" w:lineRule="auto"/>
              <w:ind w:firstLine="630" w:firstLineChars="300"/>
              <w:rPr>
                <w:rFonts w:hint="eastAsia" w:ascii="宋体" w:hAnsi="宋体" w:cs="宋体"/>
                <w:szCs w:val="21"/>
              </w:rPr>
            </w:pPr>
          </w:p>
        </w:tc>
        <w:tc>
          <w:tcPr>
            <w:tcW w:w="3847" w:type="dxa"/>
            <w:noWrap/>
            <w:tcMar>
              <w:left w:w="57" w:type="dxa"/>
              <w:right w:w="57" w:type="dxa"/>
            </w:tcMar>
            <w:vAlign w:val="center"/>
          </w:tcPr>
          <w:p>
            <w:pPr>
              <w:spacing w:line="312" w:lineRule="auto"/>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5253" w:type="dxa"/>
            <w:noWrap/>
            <w:vAlign w:val="center"/>
          </w:tcPr>
          <w:p>
            <w:pPr>
              <w:pStyle w:val="22"/>
              <w:spacing w:line="312" w:lineRule="auto"/>
              <w:jc w:val="both"/>
              <w:rPr>
                <w:rFonts w:hint="eastAsia" w:ascii="宋体" w:hAnsi="宋体" w:cs="宋体"/>
              </w:rPr>
            </w:pPr>
            <w:r>
              <w:rPr>
                <w:rFonts w:hint="eastAsia" w:ascii="宋体" w:hAnsi="宋体" w:cs="宋体"/>
              </w:rPr>
              <w:t>法律、行政法规规定的其他条件。</w:t>
            </w:r>
          </w:p>
        </w:tc>
      </w:tr>
      <w:bookmarkEnd w:id="453"/>
    </w:tbl>
    <w:p>
      <w:pPr>
        <w:spacing w:line="360" w:lineRule="auto"/>
        <w:ind w:firstLine="420" w:firstLineChars="200"/>
        <w:rPr>
          <w:rFonts w:hint="eastAsia" w:ascii="宋体" w:hAnsi="宋体" w:cs="宋体"/>
        </w:rPr>
      </w:pPr>
    </w:p>
    <w:p>
      <w:pPr>
        <w:pStyle w:val="107"/>
        <w:rPr>
          <w:rFonts w:hint="eastAsia"/>
        </w:rPr>
      </w:pPr>
    </w:p>
    <w:p>
      <w:pPr>
        <w:numPr>
          <w:ilvl w:val="0"/>
          <w:numId w:val="15"/>
        </w:numPr>
        <w:spacing w:line="360" w:lineRule="auto"/>
        <w:rPr>
          <w:rFonts w:hint="eastAsia" w:ascii="宋体" w:hAnsi="宋体" w:cs="宋体"/>
        </w:rPr>
      </w:pPr>
      <w:r>
        <w:rPr>
          <w:rFonts w:hint="eastAsia" w:ascii="宋体" w:hAnsi="宋体" w:cs="宋体"/>
        </w:rPr>
        <w:t>符合性审查。评标委员会根据评标原则和评标标准对所有资格审查合格的供应商的投标文件进行符合性审查，以确定是否满足招标文件的实质性要求。符合招标文件实质性要求的投标文件，评委将按评分标准进行价格评议和综合评分。</w:t>
      </w:r>
    </w:p>
    <w:p>
      <w:pPr>
        <w:pStyle w:val="107"/>
        <w:widowControl w:val="0"/>
        <w:numPr>
          <w:ilvl w:val="0"/>
          <w:numId w:val="0"/>
        </w:numPr>
        <w:spacing w:line="400" w:lineRule="exact"/>
        <w:jc w:val="both"/>
        <w:rPr>
          <w:rFonts w:hint="eastAsia"/>
        </w:rPr>
      </w:pPr>
    </w:p>
    <w:p>
      <w:pPr>
        <w:pStyle w:val="13"/>
        <w:rPr>
          <w:rFonts w:hint="eastAsia"/>
        </w:rPr>
      </w:pPr>
    </w:p>
    <w:tbl>
      <w:tblPr>
        <w:tblStyle w:val="4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420"/>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15" w:type="dxa"/>
            <w:gridSpan w:val="2"/>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评审因素</w:t>
            </w:r>
          </w:p>
        </w:tc>
        <w:tc>
          <w:tcPr>
            <w:tcW w:w="5421" w:type="dxa"/>
            <w:noWrap/>
            <w:tcMar>
              <w:left w:w="57" w:type="dxa"/>
              <w:right w:w="57" w:type="dxa"/>
            </w:tcMar>
            <w:vAlign w:val="center"/>
          </w:tcPr>
          <w:p>
            <w:pPr>
              <w:spacing w:line="440" w:lineRule="exac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5" w:type="dxa"/>
            <w:vMerge w:val="restart"/>
            <w:noWrap/>
            <w:tcMar>
              <w:left w:w="57" w:type="dxa"/>
              <w:right w:w="57" w:type="dxa"/>
            </w:tcMar>
            <w:vAlign w:val="center"/>
          </w:tcPr>
          <w:p>
            <w:pPr>
              <w:spacing w:line="360" w:lineRule="auto"/>
              <w:jc w:val="center"/>
              <w:rPr>
                <w:rFonts w:hint="eastAsia" w:ascii="宋体" w:hAnsi="宋体" w:cs="宋体"/>
                <w:szCs w:val="21"/>
              </w:rPr>
            </w:pPr>
            <w:r>
              <w:rPr>
                <w:rFonts w:hint="eastAsia" w:ascii="宋体" w:hAnsi="宋体" w:cs="宋体"/>
                <w:szCs w:val="21"/>
              </w:rPr>
              <w:t>符合性审查</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投标文件签署、盖章</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供应商名称</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报价唯一</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kern w:val="0"/>
                <w:szCs w:val="21"/>
              </w:rPr>
              <w:t>投标报价</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kern w:val="0"/>
                <w:szCs w:val="21"/>
              </w:rPr>
              <w:t>报价未超过招标文件中规定的预算金额或者最高限价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top"/>
          </w:tcPr>
          <w:p>
            <w:pPr>
              <w:widowControl/>
              <w:spacing w:line="360" w:lineRule="auto"/>
              <w:jc w:val="center"/>
              <w:rPr>
                <w:rFonts w:hint="eastAsia" w:ascii="宋体" w:hAnsi="宋体" w:cs="宋体"/>
                <w:kern w:val="0"/>
                <w:szCs w:val="21"/>
              </w:rPr>
            </w:pPr>
            <w:r>
              <w:rPr>
                <w:rFonts w:hint="eastAsia" w:ascii="宋体" w:hAnsi="宋体" w:cs="宋体"/>
                <w:szCs w:val="21"/>
              </w:rPr>
              <w:t>机器码</w:t>
            </w:r>
          </w:p>
        </w:tc>
        <w:tc>
          <w:tcPr>
            <w:tcW w:w="5421" w:type="dxa"/>
            <w:noWrap/>
            <w:tcMar>
              <w:left w:w="57" w:type="dxa"/>
              <w:right w:w="57" w:type="dxa"/>
            </w:tcMar>
            <w:vAlign w:val="top"/>
          </w:tcPr>
          <w:p>
            <w:pPr>
              <w:widowControl/>
              <w:spacing w:line="360" w:lineRule="auto"/>
              <w:jc w:val="left"/>
              <w:rPr>
                <w:rFonts w:hint="eastAsia" w:ascii="宋体" w:hAnsi="宋体" w:cs="宋体"/>
                <w:kern w:val="0"/>
                <w:szCs w:val="21"/>
              </w:rPr>
            </w:pPr>
            <w:r>
              <w:rPr>
                <w:rFonts w:hint="eastAsia" w:ascii="宋体" w:hAnsi="宋体" w:cs="宋体"/>
                <w:szCs w:val="21"/>
              </w:rPr>
              <w:t>电子评标系统提示“投标文件制作机器码一致”的，按废标处理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95" w:type="dxa"/>
            <w:vMerge w:val="restart"/>
            <w:noWrap/>
            <w:tcMar>
              <w:left w:w="57" w:type="dxa"/>
              <w:right w:w="57" w:type="dxa"/>
            </w:tcMar>
            <w:vAlign w:val="center"/>
          </w:tcPr>
          <w:p>
            <w:pPr>
              <w:spacing w:line="360" w:lineRule="auto"/>
              <w:rPr>
                <w:rFonts w:hint="eastAsia" w:ascii="宋体" w:hAnsi="宋体" w:cs="宋体"/>
                <w:szCs w:val="21"/>
              </w:rPr>
            </w:pPr>
            <w:r>
              <w:rPr>
                <w:rFonts w:hint="eastAsia" w:ascii="宋体" w:hAnsi="宋体" w:cs="宋体"/>
                <w:szCs w:val="21"/>
              </w:rPr>
              <w:t>实质性响应性评审</w:t>
            </w: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交货地点</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default" w:ascii="宋体" w:hAnsi="宋体" w:eastAsia="宋体" w:cs="宋体"/>
                <w:bCs/>
                <w:szCs w:val="21"/>
                <w:lang w:val="en-US" w:eastAsia="zh-CN"/>
              </w:rPr>
            </w:pPr>
            <w:r>
              <w:rPr>
                <w:rFonts w:hint="eastAsia" w:ascii="宋体" w:hAnsi="宋体" w:eastAsia="宋体" w:cs="宋体"/>
                <w:b w:val="0"/>
                <w:bCs w:val="0"/>
                <w:color w:val="auto"/>
                <w:sz w:val="21"/>
                <w:szCs w:val="21"/>
                <w:highlight w:val="none"/>
                <w:shd w:val="clear" w:color="auto" w:fill="FFFFFF"/>
                <w:lang w:val="en-US" w:eastAsia="zh-CN"/>
              </w:rPr>
              <w:t>交货期</w:t>
            </w:r>
          </w:p>
        </w:tc>
        <w:tc>
          <w:tcPr>
            <w:tcW w:w="5421" w:type="dxa"/>
            <w:noWrap/>
            <w:tcMar>
              <w:left w:w="57" w:type="dxa"/>
              <w:right w:w="57" w:type="dxa"/>
            </w:tcMar>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签订合同后30日历天内（含安装、调试）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质量标准</w:t>
            </w:r>
          </w:p>
        </w:tc>
        <w:tc>
          <w:tcPr>
            <w:tcW w:w="5421" w:type="dxa"/>
            <w:noWrap/>
            <w:tcMar>
              <w:left w:w="57" w:type="dxa"/>
              <w:right w:w="57" w:type="dxa"/>
            </w:tcMar>
            <w:vAlign w:val="center"/>
          </w:tcPr>
          <w:p>
            <w:pPr>
              <w:widowControl/>
              <w:spacing w:line="360" w:lineRule="auto"/>
              <w:jc w:val="left"/>
              <w:rPr>
                <w:rFonts w:hint="eastAsia" w:ascii="宋体" w:hAnsi="宋体" w:cs="宋体"/>
                <w:color w:val="auto"/>
                <w:szCs w:val="21"/>
              </w:rPr>
            </w:pPr>
            <w:r>
              <w:rPr>
                <w:rFonts w:hint="eastAsia" w:ascii="宋体" w:hAnsi="宋体" w:eastAsia="宋体" w:cs="宋体"/>
                <w:sz w:val="21"/>
                <w:szCs w:val="21"/>
                <w:highlight w:val="none"/>
                <w:lang w:val="en-US" w:eastAsia="zh-CN"/>
              </w:rPr>
              <w:t>符合国家、行业相关规范，满足采购人要求；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kern w:val="0"/>
                <w:szCs w:val="21"/>
              </w:rPr>
            </w:pPr>
            <w:r>
              <w:rPr>
                <w:rFonts w:hint="eastAsia" w:ascii="宋体" w:hAnsi="宋体" w:cs="宋体"/>
                <w:bCs/>
                <w:szCs w:val="21"/>
              </w:rPr>
              <w:t>质保期</w:t>
            </w:r>
          </w:p>
        </w:tc>
        <w:tc>
          <w:tcPr>
            <w:tcW w:w="5421" w:type="dxa"/>
            <w:noWrap/>
            <w:tcMar>
              <w:left w:w="57" w:type="dxa"/>
              <w:right w:w="57" w:type="dxa"/>
            </w:tcMar>
            <w:vAlign w:val="center"/>
          </w:tcPr>
          <w:p>
            <w:pPr>
              <w:widowControl/>
              <w:spacing w:line="360" w:lineRule="auto"/>
              <w:jc w:val="left"/>
              <w:rPr>
                <w:rFonts w:hint="default" w:ascii="宋体" w:hAnsi="宋体" w:eastAsia="宋体" w:cs="宋体"/>
                <w:color w:val="auto"/>
                <w:szCs w:val="21"/>
                <w:lang w:val="en-US" w:eastAsia="zh-CN"/>
              </w:rPr>
            </w:pPr>
            <w:r>
              <w:rPr>
                <w:rFonts w:hint="eastAsia" w:ascii="宋体" w:hAnsi="宋体" w:eastAsia="宋体" w:cs="宋体"/>
                <w:sz w:val="21"/>
                <w:szCs w:val="21"/>
                <w:highlight w:val="none"/>
                <w:lang w:val="en-US" w:eastAsia="zh-CN"/>
              </w:rPr>
              <w:t>符合国家及行业相关标准和采购人要求，没有相关标准的不低于24个月；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spacing w:line="360" w:lineRule="auto"/>
              <w:jc w:val="center"/>
              <w:rPr>
                <w:rFonts w:hint="eastAsia" w:ascii="宋体" w:hAnsi="宋体" w:cs="宋体"/>
                <w:bCs/>
                <w:szCs w:val="21"/>
              </w:rPr>
            </w:pPr>
            <w:r>
              <w:rPr>
                <w:rFonts w:hint="eastAsia" w:ascii="宋体" w:hAnsi="宋体" w:cs="宋体"/>
                <w:bCs w:val="0"/>
                <w:szCs w:val="24"/>
              </w:rPr>
              <w:t>合同履行期限</w:t>
            </w:r>
          </w:p>
        </w:tc>
        <w:tc>
          <w:tcPr>
            <w:tcW w:w="5421" w:type="dxa"/>
            <w:noWrap/>
            <w:tcMar>
              <w:left w:w="57" w:type="dxa"/>
              <w:right w:w="57" w:type="dxa"/>
            </w:tcMar>
            <w:vAlign w:val="center"/>
          </w:tcPr>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签订合同之日至质保期结束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ascii="宋体" w:hAnsi="宋体" w:cs="宋体"/>
                <w:szCs w:val="21"/>
              </w:rPr>
              <w:t>投标有效期</w:t>
            </w:r>
          </w:p>
        </w:tc>
        <w:tc>
          <w:tcPr>
            <w:tcW w:w="5421" w:type="dxa"/>
            <w:noWrap/>
            <w:tcMar>
              <w:left w:w="57" w:type="dxa"/>
              <w:right w:w="57" w:type="dxa"/>
            </w:tcMar>
            <w:vAlign w:val="center"/>
          </w:tcPr>
          <w:p>
            <w:pPr>
              <w:widowControl/>
              <w:spacing w:line="360" w:lineRule="auto"/>
              <w:jc w:val="left"/>
              <w:rPr>
                <w:rFonts w:hint="eastAsia" w:ascii="宋体" w:hAnsi="宋体" w:cs="宋体"/>
                <w:szCs w:val="21"/>
              </w:rPr>
            </w:pPr>
            <w:r>
              <w:rPr>
                <w:rFonts w:hint="eastAsia" w:ascii="宋体" w:hAnsi="宋体" w:cs="宋体"/>
                <w:szCs w:val="21"/>
              </w:rPr>
              <w:t>投标文件递交截止之日起 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95" w:type="dxa"/>
            <w:vMerge w:val="continue"/>
            <w:noWrap/>
            <w:tcMar>
              <w:left w:w="57" w:type="dxa"/>
              <w:right w:w="57" w:type="dxa"/>
            </w:tcMar>
            <w:vAlign w:val="center"/>
          </w:tcPr>
          <w:p>
            <w:pPr>
              <w:spacing w:line="360" w:lineRule="auto"/>
              <w:rPr>
                <w:rFonts w:hint="eastAsia" w:ascii="宋体" w:hAnsi="宋体" w:cs="宋体"/>
                <w:szCs w:val="21"/>
              </w:rPr>
            </w:pPr>
          </w:p>
        </w:tc>
        <w:tc>
          <w:tcPr>
            <w:tcW w:w="3420" w:type="dxa"/>
            <w:noWrap/>
            <w:tcMar>
              <w:left w:w="57" w:type="dxa"/>
              <w:right w:w="57" w:type="dxa"/>
            </w:tcMar>
            <w:vAlign w:val="center"/>
          </w:tcPr>
          <w:p>
            <w:pPr>
              <w:widowControl/>
              <w:spacing w:line="360" w:lineRule="auto"/>
              <w:jc w:val="center"/>
              <w:rPr>
                <w:rFonts w:hint="eastAsia" w:ascii="宋体" w:hAnsi="宋体" w:cs="宋体"/>
                <w:szCs w:val="21"/>
              </w:rPr>
            </w:pPr>
            <w:r>
              <w:rPr>
                <w:rFonts w:hint="eastAsia" w:hAnsi="宋体" w:cs="宋体"/>
                <w:szCs w:val="21"/>
              </w:rPr>
              <w:t>其他</w:t>
            </w:r>
          </w:p>
        </w:tc>
        <w:tc>
          <w:tcPr>
            <w:tcW w:w="5421" w:type="dxa"/>
            <w:noWrap/>
            <w:tcMar>
              <w:left w:w="57" w:type="dxa"/>
              <w:right w:w="57" w:type="dxa"/>
            </w:tcMar>
            <w:vAlign w:val="center"/>
          </w:tcPr>
          <w:p>
            <w:pPr>
              <w:widowControl/>
              <w:spacing w:line="360" w:lineRule="auto"/>
              <w:jc w:val="left"/>
              <w:rPr>
                <w:rFonts w:hint="eastAsia" w:ascii="宋体" w:hAnsi="宋体" w:cs="宋体"/>
                <w:kern w:val="0"/>
                <w:szCs w:val="21"/>
              </w:rPr>
            </w:pPr>
            <w:r>
              <w:rPr>
                <w:rFonts w:hint="eastAsia" w:hAnsi="宋体" w:cs="宋体"/>
                <w:szCs w:val="21"/>
              </w:rPr>
              <w:t>其他实质性内容</w:t>
            </w:r>
          </w:p>
        </w:tc>
      </w:tr>
    </w:tbl>
    <w:p>
      <w:pPr>
        <w:spacing w:line="360" w:lineRule="auto"/>
        <w:ind w:firstLine="480" w:firstLineChars="200"/>
        <w:rPr>
          <w:rFonts w:hint="eastAsia" w:ascii="宋体" w:hAnsi="宋体" w:cs="宋体"/>
          <w:sz w:val="24"/>
        </w:rPr>
      </w:pPr>
    </w:p>
    <w:p>
      <w:pPr>
        <w:spacing w:line="360" w:lineRule="auto"/>
        <w:ind w:firstLine="480" w:firstLineChars="200"/>
        <w:jc w:val="center"/>
        <w:rPr>
          <w:rFonts w:hint="eastAsia"/>
        </w:rPr>
      </w:pPr>
      <w:r>
        <w:rPr>
          <w:rFonts w:hint="eastAsia" w:ascii="宋体" w:hAnsi="宋体" w:cs="宋体"/>
          <w:sz w:val="24"/>
        </w:rPr>
        <w:br w:type="page"/>
      </w:r>
      <w:r>
        <w:rPr>
          <w:rFonts w:hint="eastAsia" w:ascii="宋体" w:hAnsi="宋体" w:cs="宋体"/>
          <w:b/>
          <w:bCs/>
          <w:sz w:val="24"/>
        </w:rPr>
        <w:t>二、详细评审</w:t>
      </w:r>
    </w:p>
    <w:tbl>
      <w:tblPr>
        <w:tblStyle w:val="4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77"/>
        <w:gridCol w:w="158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条款内容</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分值组成（总分100分）</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报价</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55</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商务部分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569"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根据《政府采购促进中小企业发展管理办法》（财库[2020]46号）的规定，对于非专门面向中小企业的项目，对小型和微型企业产品的价格给予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投标报价扣除相应比例后称为“优惠后评标价”（即评标价）。</w:t>
            </w:r>
          </w:p>
          <w:p>
            <w:pPr>
              <w:spacing w:line="288"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满足招标文件要且投标价格最低的投标报价为评标基准价，其价格分为满分 30分。其他供应商的价格分统一按照下列公式计算：</w:t>
            </w:r>
          </w:p>
          <w:p>
            <w:pPr>
              <w:pStyle w:val="42"/>
              <w:spacing w:after="0" w:line="36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投标报价得分=(评标基准价/投标报价)×30</w:t>
            </w:r>
          </w:p>
          <w:p>
            <w:pPr>
              <w:pStyle w:val="42"/>
              <w:spacing w:after="0" w:line="360" w:lineRule="exact"/>
              <w:ind w:left="0" w:leftChars="0" w:firstLine="0" w:firstLineChars="0"/>
              <w:rPr>
                <w:rFonts w:hint="eastAsia" w:ascii="宋体" w:hAnsi="宋体" w:eastAsia="宋体" w:cs="宋体"/>
                <w:bCs/>
                <w:sz w:val="21"/>
                <w:szCs w:val="21"/>
              </w:rPr>
            </w:pPr>
            <w:r>
              <w:rPr>
                <w:rFonts w:hint="eastAsia" w:ascii="宋体" w:hAnsi="宋体" w:eastAsia="宋体" w:cs="宋体"/>
                <w:bCs/>
                <w:sz w:val="21"/>
                <w:szCs w:val="21"/>
              </w:rPr>
              <w:t>同一投标人（包括联合体），小微企业、监狱、残疾人福利性企业同一产品价格扣除优惠只享受一次，不得重复享受。</w:t>
            </w:r>
          </w:p>
          <w:p>
            <w:pPr>
              <w:keepNext w:val="0"/>
              <w:keepLines w:val="0"/>
              <w:pageBreakBefore w:val="0"/>
              <w:kinsoku/>
              <w:wordWrap/>
              <w:overflowPunct/>
              <w:topLinePunct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sz w:val="21"/>
                <w:szCs w:val="21"/>
              </w:rPr>
              <w:t>依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58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产品技术指标（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分）</w:t>
            </w:r>
          </w:p>
        </w:tc>
        <w:tc>
          <w:tcPr>
            <w:tcW w:w="5986"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ind w:left="0" w:leftChars="0" w:firstLine="0"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color w:val="auto"/>
                <w:sz w:val="21"/>
                <w:szCs w:val="21"/>
                <w:highlight w:val="none"/>
                <w:lang w:val="zh-CN"/>
              </w:rPr>
              <w:t>根据投标人所投货物对招标文件各项基本技术参数、性能指标的逐项响应承诺情况由评委进行评议并打分，投标人所投产品完全满足招标文件所有技术要求的，得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i w:val="0"/>
                <w:iCs w:val="0"/>
                <w:caps w:val="0"/>
                <w:color w:val="auto"/>
                <w:spacing w:val="0"/>
                <w:sz w:val="21"/>
                <w:szCs w:val="21"/>
                <w:highlight w:val="none"/>
                <w:shd w:val="clear" w:color="auto" w:fill="FFFFFF"/>
              </w:rPr>
              <w:t>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未标注“</w:t>
            </w:r>
            <w:r>
              <w:rPr>
                <w:rFonts w:hint="eastAsia" w:ascii="宋体" w:hAnsi="宋体" w:eastAsia="宋体" w:cs="宋体"/>
                <w:color w:val="auto"/>
                <w:kern w:val="0"/>
                <w:sz w:val="21"/>
                <w:szCs w:val="21"/>
                <w:highlight w:val="none"/>
              </w:rPr>
              <w:t>★</w:t>
            </w:r>
            <w:r>
              <w:rPr>
                <w:rFonts w:hint="eastAsia" w:ascii="宋体" w:hAnsi="宋体" w:eastAsia="宋体" w:cs="宋体"/>
                <w:i w:val="0"/>
                <w:iCs w:val="0"/>
                <w:caps w:val="0"/>
                <w:color w:val="auto"/>
                <w:spacing w:val="0"/>
                <w:sz w:val="21"/>
                <w:szCs w:val="21"/>
                <w:highlight w:val="none"/>
                <w:shd w:val="clear" w:color="auto" w:fill="FFFFFF"/>
              </w:rPr>
              <w:t>”，有一项不满足扣</w:t>
            </w:r>
            <w:r>
              <w:rPr>
                <w:rFonts w:hint="eastAsia" w:ascii="宋体" w:hAnsi="宋体" w:eastAsia="宋体" w:cs="宋体"/>
                <w:i w:val="0"/>
                <w:iCs w:val="0"/>
                <w:caps w:val="0"/>
                <w:color w:val="auto"/>
                <w:spacing w:val="0"/>
                <w:sz w:val="21"/>
                <w:szCs w:val="21"/>
                <w:highlight w:val="none"/>
                <w:shd w:val="clear" w:color="auto" w:fill="FFFFFF"/>
                <w:lang w:val="en-US" w:eastAsia="zh-CN"/>
              </w:rPr>
              <w:t>0.5</w:t>
            </w:r>
            <w:r>
              <w:rPr>
                <w:rFonts w:hint="eastAsia" w:ascii="宋体" w:hAnsi="宋体" w:eastAsia="宋体" w:cs="宋体"/>
                <w:i w:val="0"/>
                <w:iCs w:val="0"/>
                <w:caps w:val="0"/>
                <w:color w:val="auto"/>
                <w:spacing w:val="0"/>
                <w:sz w:val="21"/>
                <w:szCs w:val="21"/>
                <w:highlight w:val="none"/>
                <w:shd w:val="clear" w:color="auto" w:fill="FFFFFF"/>
              </w:rPr>
              <w:t>分</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4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此项总分得</w:t>
            </w:r>
            <w:r>
              <w:rPr>
                <w:rFonts w:hint="eastAsia" w:ascii="宋体" w:hAnsi="宋体" w:eastAsia="宋体" w:cs="宋体"/>
                <w:i w:val="0"/>
                <w:iCs w:val="0"/>
                <w:caps w:val="0"/>
                <w:color w:val="auto"/>
                <w:spacing w:val="0"/>
                <w:sz w:val="21"/>
                <w:szCs w:val="21"/>
                <w:highlight w:val="none"/>
                <w:shd w:val="clear" w:color="auto" w:fill="FFFFFF"/>
                <w:lang w:val="en-US" w:eastAsia="zh-CN"/>
              </w:rPr>
              <w:t>0分的，视为技术要求不满足，其投标无效。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供货方案（人员、车辆、时间、计划等）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5986" w:type="dxa"/>
            <w:tcBorders>
              <w:top w:val="single" w:color="auto" w:sz="4" w:space="0"/>
              <w:left w:val="single" w:color="auto" w:sz="4" w:space="0"/>
              <w:right w:val="single" w:color="auto" w:sz="4" w:space="0"/>
            </w:tcBorders>
            <w:noWrap w:val="0"/>
            <w:vAlign w:val="center"/>
          </w:tcPr>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有详细的供货方案，且具有详细可行的实施计划和明确的工作流程，措施科学、完整，优于采购需求的，得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有较详细的供货方案，且具有较为详细可行的实施计划和的工作流程，措施较科学、完整，满足采购需求， 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有较详细的供货方案，但实施计划和的工作流程一般，基本满足采购需求，得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供货方案不完整，实施计划和工作流程</w:t>
            </w:r>
            <w:r>
              <w:rPr>
                <w:rFonts w:hint="eastAsia" w:ascii="宋体" w:hAnsi="宋体" w:eastAsia="宋体" w:cs="宋体"/>
                <w:color w:val="auto"/>
                <w:sz w:val="21"/>
                <w:szCs w:val="21"/>
                <w:lang w:val="en-US" w:eastAsia="zh-CN"/>
              </w:rPr>
              <w:t>需要进一步完善</w:t>
            </w:r>
            <w:r>
              <w:rPr>
                <w:rFonts w:hint="eastAsia" w:ascii="宋体" w:hAnsi="宋体" w:eastAsia="宋体" w:cs="宋体"/>
                <w:color w:val="auto"/>
                <w:sz w:val="21"/>
                <w:szCs w:val="21"/>
              </w:rPr>
              <w:t xml:space="preserve">，得 1 分。   </w:t>
            </w:r>
          </w:p>
          <w:p>
            <w:pPr>
              <w:numPr>
                <w:ilvl w:val="0"/>
                <w:numId w:val="0"/>
              </w:num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未提供供货方案得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rPr>
              <w:t>供货进度保证措施</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autoSpaceDE w:val="0"/>
              <w:autoSpaceDN w:val="0"/>
              <w:adjustRightInd w:val="0"/>
              <w:spacing w:line="360" w:lineRule="auto"/>
              <w:jc w:val="left"/>
              <w:rPr>
                <w:rFonts w:hint="eastAsia" w:ascii="宋体" w:hAnsi="宋体" w:eastAsia="宋体" w:cs="宋体"/>
                <w:color w:val="auto"/>
                <w:sz w:val="21"/>
                <w:szCs w:val="21"/>
                <w:highlight w:val="none"/>
                <w:lang w:val="zh-CN"/>
              </w:rPr>
            </w:pP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 xml:space="preserve">针对本项目各阶段进度计划时间节的工作安排合理，货物组织控制措施具体明确的得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较为</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lang w:val="en-US" w:bidi="zh-CN"/>
              </w:rPr>
              <w:t>需要进一步完善</w:t>
            </w:r>
            <w:r>
              <w:rPr>
                <w:rFonts w:hint="eastAsia" w:ascii="宋体" w:hAnsi="宋体" w:eastAsia="宋体" w:cs="宋体"/>
                <w:color w:val="auto"/>
                <w:kern w:val="0"/>
                <w:sz w:val="21"/>
                <w:szCs w:val="21"/>
                <w:highlight w:val="none"/>
                <w:lang w:bidi="zh-CN"/>
              </w:rPr>
              <w:t>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val="en-US" w:eastAsia="zh-CN"/>
              </w:rPr>
              <w:t>质量</w:t>
            </w:r>
            <w:r>
              <w:rPr>
                <w:rFonts w:hint="eastAsia" w:ascii="宋体" w:hAnsi="宋体" w:eastAsia="宋体" w:cs="宋体"/>
                <w:color w:val="auto"/>
                <w:kern w:val="0"/>
                <w:sz w:val="21"/>
                <w:szCs w:val="21"/>
                <w:highlight w:val="none"/>
              </w:rPr>
              <w:t>保证措施（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bidi="zh-CN"/>
              </w:rPr>
              <w:t>根据投标人对本次采购项目在投标产品的生产、运输、安装、调试过程中从合理性、可靠性、实用性、经济性等方面所制订的质量保证措施，</w:t>
            </w:r>
            <w:r>
              <w:rPr>
                <w:rFonts w:hint="eastAsia" w:ascii="宋体" w:hAnsi="宋体" w:eastAsia="宋体" w:cs="宋体"/>
                <w:color w:val="auto"/>
                <w:kern w:val="0"/>
                <w:sz w:val="21"/>
                <w:szCs w:val="21"/>
                <w:highlight w:val="none"/>
              </w:rPr>
              <w:t>有详细可行的质量保证措施的得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分，质量保证措施可行但不详尽的得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bidi="zh-CN"/>
              </w:rPr>
              <w:t>，</w:t>
            </w:r>
            <w:r>
              <w:rPr>
                <w:rFonts w:hint="eastAsia" w:ascii="宋体" w:hAnsi="宋体" w:eastAsia="宋体" w:cs="宋体"/>
                <w:color w:val="auto"/>
                <w:kern w:val="0"/>
                <w:sz w:val="21"/>
                <w:szCs w:val="21"/>
                <w:highlight w:val="none"/>
              </w:rPr>
              <w:t>质量保证措施一般的得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分，质量保证措施</w:t>
            </w:r>
            <w:r>
              <w:rPr>
                <w:rFonts w:hint="eastAsia" w:ascii="宋体" w:hAnsi="宋体" w:eastAsia="宋体" w:cs="宋体"/>
                <w:color w:val="auto"/>
                <w:kern w:val="0"/>
                <w:sz w:val="21"/>
                <w:szCs w:val="21"/>
                <w:highlight w:val="none"/>
                <w:lang w:val="en-US" w:eastAsia="zh-CN"/>
              </w:rPr>
              <w:t>较差</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zh-CN"/>
              </w:rPr>
              <w:t>未提供质量保证措施的不得分。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2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针对本项目</w:t>
            </w:r>
            <w:r>
              <w:rPr>
                <w:rFonts w:hint="eastAsia" w:ascii="宋体" w:hAnsi="宋体" w:eastAsia="宋体" w:cs="宋体"/>
                <w:color w:val="auto"/>
                <w:kern w:val="0"/>
                <w:sz w:val="21"/>
                <w:szCs w:val="21"/>
                <w:highlight w:val="none"/>
              </w:rPr>
              <w:t>日常设备维护、事故、故障处理等措施</w:t>
            </w:r>
            <w:r>
              <w:rPr>
                <w:rFonts w:hint="eastAsia" w:ascii="宋体" w:hAnsi="宋体" w:eastAsia="宋体" w:cs="宋体"/>
                <w:color w:val="auto"/>
                <w:kern w:val="0"/>
                <w:sz w:val="21"/>
                <w:szCs w:val="21"/>
                <w:highlight w:val="none"/>
                <w:lang w:bidi="zh-CN"/>
              </w:rPr>
              <w:t xml:space="preserve">具体明确的得 </w:t>
            </w: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2.措施</w:t>
            </w:r>
            <w:r>
              <w:rPr>
                <w:rFonts w:hint="eastAsia" w:ascii="宋体" w:hAnsi="宋体" w:eastAsia="宋体" w:cs="宋体"/>
                <w:color w:val="auto"/>
                <w:kern w:val="0"/>
                <w:sz w:val="21"/>
                <w:szCs w:val="21"/>
                <w:highlight w:val="none"/>
                <w:lang w:bidi="zh-CN"/>
              </w:rPr>
              <w:t>合理，措施基本明确的得</w:t>
            </w: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 xml:space="preserve"> 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工作安排</w:t>
            </w:r>
            <w:r>
              <w:rPr>
                <w:rFonts w:hint="eastAsia" w:ascii="宋体" w:hAnsi="宋体" w:eastAsia="宋体" w:cs="宋体"/>
                <w:color w:val="auto"/>
                <w:kern w:val="0"/>
                <w:sz w:val="21"/>
                <w:szCs w:val="21"/>
                <w:highlight w:val="none"/>
                <w:lang w:val="en-US" w:bidi="zh-CN"/>
              </w:rPr>
              <w:t>一般</w:t>
            </w:r>
            <w:r>
              <w:rPr>
                <w:rFonts w:hint="eastAsia" w:ascii="宋体" w:hAnsi="宋体" w:eastAsia="宋体" w:cs="宋体"/>
                <w:color w:val="auto"/>
                <w:kern w:val="0"/>
                <w:sz w:val="21"/>
                <w:szCs w:val="21"/>
                <w:highlight w:val="none"/>
                <w:lang w:bidi="zh-CN"/>
              </w:rPr>
              <w:t>，措施不充分，内容不明确的得</w:t>
            </w:r>
            <w:r>
              <w:rPr>
                <w:rFonts w:hint="eastAsia" w:ascii="宋体" w:hAnsi="宋体" w:eastAsia="宋体" w:cs="宋体"/>
                <w:color w:val="auto"/>
                <w:kern w:val="0"/>
                <w:sz w:val="21"/>
                <w:szCs w:val="21"/>
                <w:highlight w:val="none"/>
                <w:lang w:val="en-US" w:bidi="zh-CN"/>
              </w:rPr>
              <w:t>3</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针对性不强，措施安排不到位的得</w:t>
            </w:r>
            <w:r>
              <w:rPr>
                <w:rFonts w:hint="eastAsia" w:ascii="宋体" w:hAnsi="宋体" w:eastAsia="宋体" w:cs="宋体"/>
                <w:color w:val="auto"/>
                <w:kern w:val="0"/>
                <w:sz w:val="21"/>
                <w:szCs w:val="21"/>
                <w:highlight w:val="none"/>
                <w:lang w:val="en-US" w:bidi="zh-CN"/>
              </w:rPr>
              <w:t>1</w:t>
            </w:r>
            <w:r>
              <w:rPr>
                <w:rFonts w:hint="eastAsia" w:ascii="宋体" w:hAnsi="宋体" w:eastAsia="宋体" w:cs="宋体"/>
                <w:color w:val="auto"/>
                <w:kern w:val="0"/>
                <w:sz w:val="21"/>
                <w:szCs w:val="21"/>
                <w:highlight w:val="none"/>
                <w:lang w:bidi="zh-CN"/>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33"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77" w:type="dxa"/>
            <w:vMerge w:val="restart"/>
            <w:tcBorders>
              <w:left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r>
              <w:rPr>
                <w:rFonts w:hint="eastAsia" w:ascii="宋体" w:hAnsi="宋体" w:eastAsia="宋体" w:cs="宋体"/>
                <w:color w:val="auto"/>
                <w:sz w:val="21"/>
                <w:szCs w:val="21"/>
                <w:highlight w:val="none"/>
                <w:lang w:val="en-US" w:eastAsia="zh-CN"/>
              </w:rPr>
              <w:t>（15分）</w:t>
            </w:r>
          </w:p>
        </w:tc>
        <w:tc>
          <w:tcPr>
            <w:tcW w:w="1583"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jc w:val="both"/>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节能环保产品证书（</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投标人提供所投产品是的节能产品（政府强制采购产品除外）、环境标志产品的，每有一项产品得1分，共2分。</w:t>
            </w:r>
          </w:p>
          <w:p>
            <w:pPr>
              <w:widowControl/>
              <w:spacing w:line="360" w:lineRule="auto"/>
              <w:ind w:left="0" w:leftChars="0" w:firstLine="0" w:firstLineChars="0"/>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auto"/>
                <w:kern w:val="0"/>
                <w:sz w:val="21"/>
                <w:szCs w:val="21"/>
                <w:highlight w:val="none"/>
              </w:rPr>
              <w:t>（投标人须在投标文件中附该产品经国家确定的认证机构出具的、处于有效期之内的《国家节能产品认证证书》《中国环境标志产品认证证书》复印件）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eastAsia="zh-CN"/>
              </w:rPr>
              <w:t>售后服务（</w:t>
            </w:r>
            <w:r>
              <w:rPr>
                <w:rFonts w:hint="eastAsia" w:ascii="宋体" w:hAnsi="宋体" w:eastAsia="宋体" w:cs="宋体"/>
                <w:color w:val="auto"/>
                <w:kern w:val="0"/>
                <w:sz w:val="21"/>
                <w:szCs w:val="21"/>
                <w:highlight w:val="none"/>
                <w:lang w:val="en-US" w:eastAsia="zh-CN"/>
              </w:rPr>
              <w:t>7分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售后服务内容（包括常见性故障提供解决方案、人员培训方案，产品调试退货的方案及措施，供货的合理性安排等方面）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服务方案、措施及承诺特别全面，合理、可行，可实施性强，对使用部门的人员有制定培训计划，所供设备操作指南简单易懂，能较好的满足本项目要求的得 </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服务方案各方面安排较合理，对使用部门的人员有培训计划，能够提供设备操作指南，可实践实施的得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服务方案各方面安排</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、均为通用性的说明、对使用部门的人员培训计划不具有实践实施性的得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分； </w:t>
            </w:r>
          </w:p>
          <w:p>
            <w:pPr>
              <w:widowControl/>
              <w:spacing w:line="360" w:lineRule="auto"/>
              <w:ind w:left="0" w:leftChars="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有服务方案，但内容与本项目实际不符，</w:t>
            </w:r>
            <w:r>
              <w:rPr>
                <w:rFonts w:hint="eastAsia" w:ascii="宋体" w:hAnsi="宋体" w:eastAsia="宋体" w:cs="宋体"/>
                <w:color w:val="auto"/>
                <w:kern w:val="0"/>
                <w:sz w:val="21"/>
                <w:szCs w:val="21"/>
                <w:highlight w:val="none"/>
                <w:lang w:val="en-US" w:eastAsia="zh-CN"/>
              </w:rPr>
              <w:t>操作性较差1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pPr>
              <w:widowControl/>
              <w:spacing w:line="360" w:lineRule="auto"/>
              <w:ind w:left="0" w:leftChars="0" w:firstLine="0" w:firstLineChars="0"/>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未提供不得分</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3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277"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质保期内外服务方案（</w:t>
            </w:r>
            <w:r>
              <w:rPr>
                <w:rFonts w:hint="eastAsia" w:ascii="宋体" w:hAnsi="宋体" w:eastAsia="宋体" w:cs="宋体"/>
                <w:color w:val="auto"/>
                <w:kern w:val="0"/>
                <w:sz w:val="21"/>
                <w:szCs w:val="21"/>
                <w:highlight w:val="none"/>
                <w:lang w:val="en-US" w:eastAsia="zh-CN"/>
              </w:rPr>
              <w:t>6分</w:t>
            </w:r>
            <w:r>
              <w:rPr>
                <w:rFonts w:hint="eastAsia" w:ascii="宋体" w:hAnsi="宋体" w:eastAsia="宋体" w:cs="宋体"/>
                <w:color w:val="auto"/>
                <w:kern w:val="0"/>
                <w:sz w:val="21"/>
                <w:szCs w:val="21"/>
                <w:highlight w:val="none"/>
                <w:lang w:eastAsia="zh-CN"/>
              </w:rPr>
              <w:t>）</w:t>
            </w:r>
          </w:p>
        </w:tc>
        <w:tc>
          <w:tcPr>
            <w:tcW w:w="5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详细说明质量保证期内</w:t>
            </w:r>
            <w:r>
              <w:rPr>
                <w:rFonts w:hint="eastAsia" w:ascii="宋体" w:hAnsi="宋体" w:eastAsia="宋体" w:cs="宋体"/>
                <w:color w:val="auto"/>
                <w:kern w:val="0"/>
                <w:sz w:val="21"/>
                <w:szCs w:val="21"/>
                <w:highlight w:val="none"/>
                <w:lang w:eastAsia="zh-CN"/>
              </w:rPr>
              <w:t>、质保期外</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售后</w:t>
            </w:r>
            <w:r>
              <w:rPr>
                <w:rFonts w:hint="eastAsia" w:ascii="宋体" w:hAnsi="宋体" w:eastAsia="宋体" w:cs="宋体"/>
                <w:color w:val="auto"/>
                <w:kern w:val="0"/>
                <w:sz w:val="21"/>
                <w:szCs w:val="21"/>
                <w:highlight w:val="none"/>
              </w:rPr>
              <w:t>内容、形式、含维修时间、维修人员组成、解决质量或操作问题的响应时间、解决问题时间、维修单位名称、地点，进行打分：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非常成熟完整、先进可靠，质量保证体系及风险控制体系非常完善，售后响应迅速，技术力量雄厚得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合理，质量保证体系及风险控制体系较为完善，售后响应快，技术力量较可靠得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服务方案</w:t>
            </w:r>
            <w:r>
              <w:rPr>
                <w:rFonts w:hint="eastAsia" w:ascii="宋体" w:hAnsi="宋体" w:eastAsia="宋体" w:cs="宋体"/>
                <w:color w:val="auto"/>
                <w:kern w:val="0"/>
                <w:sz w:val="21"/>
                <w:szCs w:val="21"/>
                <w:highlight w:val="none"/>
              </w:rPr>
              <w:t>一般，质量保证体系及风险控制体系一般，售后响应一般，技术力量薄弱得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分；差或无得0分。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679" w:type="dxa"/>
            <w:gridSpan w:val="4"/>
            <w:tcBorders>
              <w:left w:val="single" w:color="auto" w:sz="4" w:space="0"/>
              <w:right w:val="single" w:color="auto" w:sz="4" w:space="0"/>
            </w:tcBorders>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1.评审标准中如投标人投标文件出现响应缺项的，则该评审项得0分。</w:t>
            </w:r>
          </w:p>
          <w:p>
            <w:pPr>
              <w:tabs>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2.政府采购相关政策：</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2.1对于本项目小型和微型企业产品以扣除优惠比率后的价格参与评审，不作为中标价和合同签约价。中标价和合同签约价仍以其投标文件中的报价为准。</w:t>
            </w:r>
          </w:p>
          <w:p>
            <w:pPr>
              <w:tabs>
                <w:tab w:val="left" w:pos="720"/>
              </w:tabs>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cs="宋体"/>
                <w:color w:val="auto"/>
                <w:szCs w:val="21"/>
                <w:highlight w:val="none"/>
              </w:rPr>
              <w:t>根据《政府采购促进中小企业发展管理办法》(财库〔2020〕46号)</w:t>
            </w:r>
            <w:r>
              <w:rPr>
                <w:rFonts w:hint="eastAsia"/>
                <w:color w:val="auto"/>
                <w:highlight w:val="none"/>
              </w:rPr>
              <w:t>《荥阳市财政局关于政府采购支持稳经济促增长的通知》（荥财字〔2022〕21号）</w:t>
            </w:r>
            <w:r>
              <w:rPr>
                <w:rFonts w:hint="eastAsia" w:ascii="宋体" w:hAnsi="宋体" w:cs="宋体"/>
                <w:color w:val="auto"/>
                <w:szCs w:val="21"/>
                <w:highlight w:val="none"/>
              </w:rPr>
              <w:t>的规定，对于非专门面向中小企业的项目，</w:t>
            </w:r>
            <w:r>
              <w:rPr>
                <w:rFonts w:hint="eastAsia" w:ascii="宋体" w:hAnsi="宋体" w:cs="宋体"/>
                <w:b/>
                <w:color w:val="auto"/>
                <w:szCs w:val="21"/>
                <w:highlight w:val="none"/>
                <w:u w:val="single"/>
              </w:rPr>
              <w:t xml:space="preserve">对小型和微型企业投标总价给予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 的扣除</w:t>
            </w:r>
            <w:r>
              <w:rPr>
                <w:rFonts w:hint="eastAsia" w:ascii="宋体" w:hAnsi="宋体" w:cs="宋体"/>
                <w:color w:val="auto"/>
                <w:szCs w:val="21"/>
                <w:highlight w:val="none"/>
              </w:rPr>
              <w:t>，用扣除后的价格参与评审。</w:t>
            </w:r>
            <w:r>
              <w:rPr>
                <w:rFonts w:hint="eastAsia" w:ascii="宋体" w:hAnsi="宋体" w:cs="宋体"/>
                <w:b/>
                <w:bCs/>
                <w:color w:val="auto"/>
                <w:szCs w:val="21"/>
                <w:highlight w:val="none"/>
              </w:rPr>
              <w:t>投标文件中需附有中小企业声明函，否则不予认可。</w:t>
            </w:r>
            <w:r>
              <w:rPr>
                <w:rFonts w:hint="eastAsia" w:ascii="宋体" w:hAnsi="宋体" w:cs="宋体"/>
                <w:color w:val="auto"/>
                <w:szCs w:val="21"/>
                <w:highlight w:val="none"/>
              </w:rPr>
              <w:t>对于中型企业产品的价格不予扣除。</w:t>
            </w:r>
            <w:r>
              <w:rPr>
                <w:rFonts w:hint="eastAsia" w:ascii="宋体" w:hAnsi="宋体" w:cs="宋体"/>
                <w:b/>
                <w:bCs/>
                <w:color w:val="auto"/>
                <w:szCs w:val="21"/>
                <w:highlight w:val="none"/>
              </w:rPr>
              <w:t>在货物采购项目中，供应商提供的货物既有中小企业制造货物，也有大型企业制</w:t>
            </w:r>
            <w:r>
              <w:rPr>
                <w:rFonts w:hint="eastAsia" w:ascii="宋体" w:hAnsi="宋体" w:eastAsia="宋体" w:cs="宋体"/>
                <w:color w:val="auto"/>
                <w:szCs w:val="21"/>
                <w:highlight w:val="none"/>
              </w:rPr>
              <w:t>造货物的，不享受本办法规定的中小企业扶持政策。</w:t>
            </w:r>
          </w:p>
          <w:p>
            <w:pPr>
              <w:tabs>
                <w:tab w:val="left" w:pos="720"/>
              </w:tabs>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本标段采购标的对应的中小企业划型标准所属行业</w:t>
            </w:r>
            <w:r>
              <w:rPr>
                <w:rFonts w:hint="eastAsia" w:ascii="宋体" w:hAnsi="宋体" w:eastAsia="宋体" w:cs="宋体"/>
                <w:b/>
                <w:bCs/>
                <w:color w:val="auto"/>
                <w:szCs w:val="21"/>
                <w:highlight w:val="none"/>
                <w:lang w:eastAsia="zh-CN"/>
              </w:rPr>
              <w:t>：工业</w:t>
            </w:r>
            <w:r>
              <w:rPr>
                <w:rFonts w:hint="eastAsia" w:ascii="宋体" w:hAnsi="宋体" w:eastAsia="宋体" w:cs="宋体"/>
                <w:b/>
                <w:bCs/>
                <w:color w:val="auto"/>
                <w:szCs w:val="21"/>
                <w:highlight w:val="none"/>
              </w:rPr>
              <w:t>。</w:t>
            </w:r>
          </w:p>
          <w:p>
            <w:pPr>
              <w:tabs>
                <w:tab w:val="left" w:pos="72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划定标准为：中小微企业划分按照《国家统计局关于印发&lt;统计上大中小微型企业划分办法（2017）&gt;的通知》国统字【2017】213号文件及工业和信息化部、国家统计局、国家发展和改革委员会、财政部关于印发《中小企业划型标准规定的通知》（工信部联企业【2011】300号）规定的划分标准为依据。</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.2根据财库〔2014〕68号《财政部司法部关于政府采购支持监狱企业发展有关问题的通知》，监狱企业视同小微企业。</w:t>
            </w:r>
            <w:r>
              <w:rPr>
                <w:rFonts w:hint="eastAsia" w:ascii="宋体" w:hAnsi="宋体" w:cs="宋体"/>
                <w:b/>
                <w:bCs/>
                <w:color w:val="auto"/>
                <w:szCs w:val="21"/>
                <w:highlight w:val="none"/>
              </w:rPr>
              <w:t>监狱企业参加投标活动时，提供由省级以上监狱管理局、戒毒管理局(含新疆生产建设兵团)出具的属于监狱企业的证明文件</w:t>
            </w:r>
            <w:r>
              <w:rPr>
                <w:rFonts w:hint="eastAsia" w:ascii="宋体" w:hAnsi="宋体" w:cs="宋体"/>
                <w:color w:val="auto"/>
                <w:szCs w:val="21"/>
                <w:highlight w:val="none"/>
              </w:rPr>
              <w:t>，不再提供《中小微企业声明函》。</w:t>
            </w:r>
            <w:r>
              <w:rPr>
                <w:rFonts w:hint="eastAsia" w:ascii="宋体" w:hAnsi="宋体" w:cs="宋体"/>
                <w:b/>
                <w:bCs/>
                <w:color w:val="auto"/>
                <w:szCs w:val="21"/>
                <w:highlight w:val="none"/>
              </w:rPr>
              <w:t xml:space="preserve">本项目对监狱企业作为投标人所提供的本企业产品的价格给予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tabs>
                <w:tab w:val="left" w:pos="540"/>
              </w:tabs>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2.3根据财政部民政部中国残疾人联合会《关于促进残疾人就业政府采购政策的通知》（财库〔2017〕141号）规定，</w:t>
            </w:r>
            <w:r>
              <w:rPr>
                <w:rFonts w:hint="eastAsia" w:ascii="宋体" w:hAnsi="宋体" w:cs="宋体"/>
                <w:b/>
                <w:bCs/>
                <w:color w:val="auto"/>
                <w:szCs w:val="21"/>
                <w:highlight w:val="none"/>
              </w:rPr>
              <w:t>残疾人福利性企业参加投标活动时，提供</w:t>
            </w:r>
            <w:r>
              <w:rPr>
                <w:rFonts w:hint="eastAsia" w:ascii="宋体" w:hAnsi="宋体" w:cs="宋体"/>
                <w:b/>
                <w:color w:val="auto"/>
                <w:szCs w:val="21"/>
                <w:highlight w:val="none"/>
              </w:rPr>
              <w:t>残疾人福利性单位声明函，</w:t>
            </w:r>
            <w:r>
              <w:rPr>
                <w:rFonts w:hint="eastAsia" w:ascii="宋体" w:hAnsi="宋体" w:cs="宋体"/>
                <w:b/>
                <w:bCs/>
                <w:color w:val="auto"/>
                <w:szCs w:val="21"/>
                <w:highlight w:val="none"/>
              </w:rPr>
              <w:t xml:space="preserve">本项目对残疾人福利性企业作为投标人所提供的本企业产品的价格给予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 的扣除。</w:t>
            </w:r>
          </w:p>
          <w:p>
            <w:pPr>
              <w:pStyle w:val="37"/>
              <w:spacing w:before="0" w:beforeAutospacing="0" w:after="120" w:afterAutospacing="0" w:line="360" w:lineRule="auto"/>
              <w:rPr>
                <w:rFonts w:hint="eastAsia" w:hAnsi="宋体"/>
                <w:b/>
                <w:bCs/>
                <w:color w:val="auto"/>
                <w:sz w:val="21"/>
                <w:szCs w:val="18"/>
                <w:highlight w:val="none"/>
              </w:rPr>
            </w:pPr>
            <w:r>
              <w:rPr>
                <w:rFonts w:hint="eastAsia" w:hAnsi="宋体"/>
                <w:b/>
                <w:bCs/>
                <w:color w:val="auto"/>
                <w:sz w:val="21"/>
                <w:szCs w:val="18"/>
                <w:highlight w:val="none"/>
              </w:rPr>
              <w:t>同一投标人，小型和微型企业产品（残疾人福利企业、监狱企业）价格扣除优惠只享受一次，不得重复享受。</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2.4根据《国务院办公厅关于建立政府强制采购节能产品制度的通知》（国办发[2007]51 号）规定，节能产品企业参加政府采购活动时，应当提供节能产品政府采购品目清单的证明文件。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2.5根据财政部《国家环保总局关于印发《环境标志产品政府采购实施的意见》的通知》（财库[2006]90 号）规定，环境标志产品企业参加政府采购活动时，应当提供环境标志产品政府采购品目清单的证明文件。</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2.6同品牌处理办法</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用综合评分法，则：（1）如果为单一产品采购项目，提供相同品牌产品且通过资格审查、符合性审查的不同供应商（投标人）参加同一合同项下投标的，按一家供应商（投标人）计算，评审后得分最高的同品牌供应商（投标人）获得中标人推荐资格；评审得分相同的，报价得分最高的获得中标人推荐资格，其他同品牌供应商（投标人）不作为中标候选人。</w:t>
            </w:r>
          </w:p>
          <w:p>
            <w:pPr>
              <w:tabs>
                <w:tab w:val="left" w:pos="540"/>
              </w:tabs>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（2）非单一产品采购项目，将在招标文件中载明核心产品。多家供应商（投标人）提供的核心产品品牌相同的，按（1）“单一产品采购项目”规定处理。</w:t>
            </w:r>
          </w:p>
          <w:p>
            <w:pPr>
              <w:tabs>
                <w:tab w:val="left" w:pos="540"/>
              </w:tabs>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2.7得分并列时的处理原则 </w:t>
            </w:r>
          </w:p>
          <w:p>
            <w:pPr>
              <w:tabs>
                <w:tab w:val="left" w:pos="540"/>
              </w:tabs>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w:t>
            </w:r>
            <w:r>
              <w:rPr>
                <w:rFonts w:hint="eastAsia" w:ascii="宋体" w:hAnsi="宋体" w:eastAsia="宋体" w:cs="宋体"/>
                <w:b w:val="0"/>
                <w:bCs w:val="0"/>
                <w:color w:val="auto"/>
                <w:szCs w:val="21"/>
                <w:highlight w:val="none"/>
                <w:lang w:eastAsia="zh-CN"/>
              </w:rPr>
              <w:t>由采购人采取随机抽取的方式确定。</w:t>
            </w:r>
          </w:p>
        </w:tc>
      </w:tr>
    </w:tbl>
    <w:p>
      <w:pPr>
        <w:pStyle w:val="105"/>
        <w:jc w:val="both"/>
        <w:rPr>
          <w:rFonts w:hint="eastAsia"/>
        </w:rPr>
      </w:pPr>
    </w:p>
    <w:p>
      <w:pPr>
        <w:autoSpaceDE w:val="0"/>
        <w:autoSpaceDN w:val="0"/>
        <w:adjustRightInd w:val="0"/>
        <w:spacing w:line="360" w:lineRule="auto"/>
        <w:ind w:right="-23" w:firstLine="420" w:firstLineChars="200"/>
        <w:jc w:val="left"/>
        <w:rPr>
          <w:rFonts w:hint="eastAsia" w:ascii="宋体" w:hAnsi="宋体" w:cs="宋体"/>
          <w:kern w:val="0"/>
          <w:szCs w:val="21"/>
        </w:rPr>
      </w:pPr>
      <w:r>
        <w:rPr>
          <w:rFonts w:hint="eastAsia" w:ascii="宋体" w:hAnsi="宋体" w:cs="宋体"/>
          <w:kern w:val="0"/>
          <w:szCs w:val="21"/>
        </w:rPr>
        <w:t>本次招标采用综合评分法评标，投标文件满足招标文件全部实质性要求，且按照评审因素的量化指标评审得分最高的</w:t>
      </w:r>
      <w:r>
        <w:rPr>
          <w:rFonts w:hint="eastAsia" w:ascii="宋体" w:hAnsi="宋体" w:cs="宋体"/>
          <w:kern w:val="0"/>
          <w:szCs w:val="21"/>
          <w:lang w:eastAsia="zh-CN"/>
        </w:rPr>
        <w:t>供应商</w:t>
      </w:r>
      <w:r>
        <w:rPr>
          <w:rFonts w:hint="eastAsia" w:ascii="宋体" w:hAnsi="宋体" w:cs="宋体"/>
          <w:kern w:val="0"/>
          <w:szCs w:val="21"/>
        </w:rPr>
        <w:t>为中标候选人的评标方法。</w:t>
      </w:r>
    </w:p>
    <w:p>
      <w:pPr>
        <w:keepNext/>
        <w:keepLines/>
        <w:numPr>
          <w:ilvl w:val="0"/>
          <w:numId w:val="16"/>
        </w:numPr>
        <w:spacing w:line="360" w:lineRule="auto"/>
        <w:jc w:val="left"/>
        <w:outlineLvl w:val="2"/>
        <w:rPr>
          <w:rFonts w:hint="eastAsia" w:ascii="宋体" w:hAnsi="宋体" w:cs="宋体"/>
          <w:b/>
          <w:sz w:val="24"/>
        </w:rPr>
      </w:pPr>
      <w:bookmarkStart w:id="454" w:name="_Toc26533"/>
      <w:bookmarkStart w:id="455" w:name="_Toc24585"/>
      <w:bookmarkStart w:id="456" w:name="_Toc30895"/>
      <w:bookmarkStart w:id="457" w:name="_Toc17219"/>
      <w:bookmarkStart w:id="458" w:name="_Toc13454"/>
      <w:bookmarkStart w:id="459" w:name="_Toc4003"/>
      <w:bookmarkStart w:id="460" w:name="_Toc5920"/>
      <w:bookmarkStart w:id="461" w:name="_Toc3406"/>
      <w:bookmarkStart w:id="462" w:name="_Toc30234"/>
      <w:bookmarkStart w:id="463" w:name="_Toc6135"/>
      <w:bookmarkStart w:id="464" w:name="_Toc30273"/>
      <w:r>
        <w:rPr>
          <w:rFonts w:hint="eastAsia" w:ascii="宋体" w:hAnsi="宋体" w:cs="宋体"/>
          <w:b/>
          <w:sz w:val="24"/>
        </w:rPr>
        <w:t>评审标准</w:t>
      </w:r>
      <w:bookmarkEnd w:id="454"/>
      <w:bookmarkEnd w:id="455"/>
      <w:bookmarkEnd w:id="456"/>
      <w:bookmarkEnd w:id="457"/>
      <w:bookmarkEnd w:id="458"/>
      <w:bookmarkEnd w:id="459"/>
      <w:bookmarkEnd w:id="460"/>
      <w:bookmarkEnd w:id="461"/>
      <w:bookmarkEnd w:id="462"/>
      <w:bookmarkEnd w:id="463"/>
      <w:bookmarkEnd w:id="464"/>
    </w:p>
    <w:p>
      <w:pPr>
        <w:keepNext/>
        <w:keepLines/>
        <w:numPr>
          <w:ilvl w:val="0"/>
          <w:numId w:val="17"/>
        </w:numPr>
        <w:spacing w:line="360" w:lineRule="auto"/>
        <w:jc w:val="left"/>
        <w:outlineLvl w:val="2"/>
        <w:rPr>
          <w:rFonts w:hint="eastAsia" w:ascii="宋体" w:hAnsi="宋体" w:cs="宋体"/>
          <w:b/>
          <w:szCs w:val="21"/>
        </w:rPr>
      </w:pPr>
      <w:bookmarkStart w:id="465" w:name="_Toc14180"/>
      <w:bookmarkStart w:id="466" w:name="_Toc12758"/>
      <w:bookmarkStart w:id="467" w:name="_Toc22982"/>
      <w:bookmarkStart w:id="468" w:name="_Toc24699"/>
      <w:bookmarkStart w:id="469" w:name="_Toc4247"/>
      <w:bookmarkStart w:id="470" w:name="_Toc20002"/>
      <w:bookmarkStart w:id="471" w:name="_Toc2477"/>
      <w:bookmarkStart w:id="472" w:name="_Toc20701"/>
      <w:bookmarkStart w:id="473" w:name="_Toc12847"/>
      <w:bookmarkStart w:id="474" w:name="_Toc21567"/>
      <w:bookmarkStart w:id="475" w:name="_Toc21223"/>
      <w:r>
        <w:rPr>
          <w:rFonts w:hint="eastAsia" w:ascii="宋体" w:hAnsi="宋体" w:cs="宋体"/>
          <w:b/>
          <w:szCs w:val="21"/>
        </w:rPr>
        <w:t>2.1 符合性评审</w:t>
      </w:r>
      <w:bookmarkEnd w:id="465"/>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ind w:left="522" w:right="-23"/>
        <w:jc w:val="left"/>
        <w:rPr>
          <w:rFonts w:hint="eastAsia" w:ascii="宋体" w:hAnsi="宋体" w:cs="宋体"/>
          <w:kern w:val="0"/>
          <w:szCs w:val="21"/>
        </w:rPr>
      </w:pPr>
      <w:r>
        <w:rPr>
          <w:rFonts w:hint="eastAsia" w:ascii="宋体" w:hAnsi="宋体" w:cs="宋体"/>
          <w:kern w:val="0"/>
          <w:szCs w:val="21"/>
        </w:rPr>
        <w:t>符合性审查标准：见评标办法前附表。</w:t>
      </w:r>
    </w:p>
    <w:p>
      <w:pPr>
        <w:keepNext/>
        <w:keepLines/>
        <w:numPr>
          <w:ilvl w:val="0"/>
          <w:numId w:val="17"/>
        </w:numPr>
        <w:spacing w:line="360" w:lineRule="auto"/>
        <w:jc w:val="left"/>
        <w:outlineLvl w:val="2"/>
        <w:rPr>
          <w:rFonts w:hint="eastAsia" w:ascii="宋体" w:hAnsi="宋体" w:cs="宋体"/>
          <w:b/>
          <w:szCs w:val="21"/>
        </w:rPr>
      </w:pPr>
      <w:bookmarkStart w:id="476" w:name="_Toc17735"/>
      <w:bookmarkStart w:id="477" w:name="_Toc27094"/>
      <w:bookmarkStart w:id="478" w:name="_Toc28336"/>
      <w:bookmarkStart w:id="479" w:name="_Toc29139"/>
      <w:bookmarkStart w:id="480" w:name="_Toc23687"/>
      <w:bookmarkStart w:id="481" w:name="_Toc7259"/>
      <w:bookmarkStart w:id="482" w:name="_Toc10856"/>
      <w:bookmarkStart w:id="483" w:name="_Toc31651"/>
      <w:bookmarkStart w:id="484" w:name="_Toc6724"/>
      <w:bookmarkStart w:id="485" w:name="_Toc8248"/>
      <w:bookmarkStart w:id="486" w:name="_Toc5467"/>
      <w:r>
        <w:rPr>
          <w:rFonts w:hint="eastAsia" w:ascii="宋体" w:hAnsi="宋体" w:cs="宋体"/>
          <w:b/>
          <w:szCs w:val="21"/>
        </w:rPr>
        <w:t>2.2 分值构成与评分标准</w:t>
      </w:r>
      <w:bookmarkEnd w:id="476"/>
      <w:bookmarkEnd w:id="477"/>
      <w:bookmarkEnd w:id="478"/>
      <w:bookmarkEnd w:id="479"/>
      <w:bookmarkEnd w:id="480"/>
      <w:bookmarkEnd w:id="481"/>
      <w:bookmarkEnd w:id="482"/>
      <w:bookmarkEnd w:id="483"/>
      <w:bookmarkEnd w:id="484"/>
      <w:bookmarkEnd w:id="485"/>
      <w:bookmarkEnd w:id="486"/>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2.2.1 分</w:t>
      </w:r>
      <w:r>
        <w:rPr>
          <w:rFonts w:hint="eastAsia" w:ascii="宋体" w:hAnsi="宋体" w:cs="宋体"/>
          <w:spacing w:val="-2"/>
          <w:kern w:val="0"/>
          <w:szCs w:val="21"/>
        </w:rPr>
        <w:t>值</w:t>
      </w:r>
      <w:r>
        <w:rPr>
          <w:rFonts w:hint="eastAsia" w:ascii="宋体" w:hAnsi="宋体" w:cs="宋体"/>
          <w:kern w:val="0"/>
          <w:szCs w:val="21"/>
        </w:rPr>
        <w:t>构成</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技术部分：见评标办法前附表；</w:t>
      </w:r>
    </w:p>
    <w:p>
      <w:pPr>
        <w:numPr>
          <w:ilvl w:val="0"/>
          <w:numId w:val="18"/>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商务部分：见评标办法前附表；</w:t>
      </w:r>
    </w:p>
    <w:p>
      <w:pPr>
        <w:autoSpaceDE w:val="0"/>
        <w:autoSpaceDN w:val="0"/>
        <w:adjustRightInd w:val="0"/>
        <w:spacing w:before="7" w:line="360" w:lineRule="auto"/>
        <w:ind w:left="520" w:right="-20"/>
        <w:jc w:val="left"/>
        <w:rPr>
          <w:rFonts w:hint="eastAsia" w:ascii="宋体" w:hAnsi="宋体" w:cs="宋体"/>
          <w:kern w:val="0"/>
          <w:szCs w:val="21"/>
        </w:rPr>
      </w:pPr>
      <w:r>
        <w:rPr>
          <w:rFonts w:hint="eastAsia" w:ascii="宋体" w:hAnsi="宋体" w:cs="宋体"/>
          <w:kern w:val="0"/>
          <w:szCs w:val="21"/>
        </w:rPr>
        <w:t>2.2.2 评</w:t>
      </w:r>
      <w:r>
        <w:rPr>
          <w:rFonts w:hint="eastAsia" w:ascii="宋体" w:hAnsi="宋体" w:cs="宋体"/>
          <w:spacing w:val="-2"/>
          <w:kern w:val="0"/>
          <w:szCs w:val="21"/>
        </w:rPr>
        <w:t>分</w:t>
      </w:r>
      <w:r>
        <w:rPr>
          <w:rFonts w:hint="eastAsia" w:ascii="宋体" w:hAnsi="宋体" w:cs="宋体"/>
          <w:kern w:val="0"/>
          <w:szCs w:val="21"/>
        </w:rPr>
        <w:t>标准</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lang w:val="en-US" w:eastAsia="zh-CN"/>
        </w:rPr>
        <w:t>报价得分</w:t>
      </w:r>
      <w:r>
        <w:rPr>
          <w:rFonts w:hint="eastAsia" w:ascii="宋体" w:hAnsi="宋体" w:cs="宋体"/>
          <w:kern w:val="0"/>
          <w:szCs w:val="21"/>
        </w:rPr>
        <w:t>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技术评分标准：见评标办法前附表；</w:t>
      </w:r>
    </w:p>
    <w:p>
      <w:pPr>
        <w:numPr>
          <w:ilvl w:val="0"/>
          <w:numId w:val="19"/>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商务评分标准：见评标办法前附表；</w:t>
      </w:r>
    </w:p>
    <w:p>
      <w:pPr>
        <w:keepNext/>
        <w:keepLines/>
        <w:numPr>
          <w:ilvl w:val="0"/>
          <w:numId w:val="16"/>
        </w:numPr>
        <w:spacing w:line="360" w:lineRule="auto"/>
        <w:jc w:val="left"/>
        <w:outlineLvl w:val="2"/>
        <w:rPr>
          <w:rFonts w:hint="eastAsia" w:ascii="宋体" w:hAnsi="宋体" w:cs="宋体"/>
          <w:b/>
          <w:sz w:val="24"/>
        </w:rPr>
      </w:pPr>
      <w:bookmarkStart w:id="487" w:name="_Toc5605"/>
      <w:bookmarkStart w:id="488" w:name="_Toc5149"/>
      <w:bookmarkStart w:id="489" w:name="_Toc26726"/>
      <w:bookmarkStart w:id="490" w:name="_Toc29895"/>
      <w:bookmarkStart w:id="491" w:name="_Toc21732"/>
      <w:bookmarkStart w:id="492" w:name="_Toc9670"/>
      <w:bookmarkStart w:id="493" w:name="_Toc1740"/>
      <w:bookmarkStart w:id="494" w:name="_Toc4338"/>
      <w:bookmarkStart w:id="495" w:name="_Toc28724"/>
      <w:bookmarkStart w:id="496" w:name="_Toc16356"/>
      <w:bookmarkStart w:id="497" w:name="_Toc22175"/>
      <w:r>
        <w:rPr>
          <w:rFonts w:hint="eastAsia" w:ascii="宋体" w:hAnsi="宋体" w:cs="宋体"/>
          <w:b/>
          <w:sz w:val="24"/>
        </w:rPr>
        <w:t>评审程序</w:t>
      </w:r>
      <w:bookmarkEnd w:id="487"/>
      <w:bookmarkEnd w:id="488"/>
      <w:bookmarkEnd w:id="489"/>
      <w:bookmarkEnd w:id="490"/>
      <w:bookmarkEnd w:id="491"/>
      <w:bookmarkEnd w:id="492"/>
      <w:bookmarkEnd w:id="493"/>
      <w:bookmarkEnd w:id="494"/>
      <w:bookmarkEnd w:id="495"/>
      <w:bookmarkEnd w:id="496"/>
      <w:bookmarkEnd w:id="497"/>
    </w:p>
    <w:p>
      <w:pPr>
        <w:keepNext/>
        <w:keepLines/>
        <w:numPr>
          <w:ilvl w:val="0"/>
          <w:numId w:val="17"/>
        </w:numPr>
        <w:spacing w:line="360" w:lineRule="auto"/>
        <w:jc w:val="left"/>
        <w:outlineLvl w:val="2"/>
        <w:rPr>
          <w:rFonts w:hint="eastAsia" w:ascii="宋体" w:hAnsi="宋体" w:cs="宋体"/>
          <w:b/>
          <w:szCs w:val="21"/>
        </w:rPr>
      </w:pPr>
      <w:bookmarkStart w:id="498" w:name="_Toc28378"/>
      <w:bookmarkStart w:id="499" w:name="_Toc5708"/>
      <w:bookmarkStart w:id="500" w:name="_Toc18983"/>
      <w:bookmarkStart w:id="501" w:name="_Toc9443"/>
      <w:bookmarkStart w:id="502" w:name="_Toc10682"/>
      <w:bookmarkStart w:id="503" w:name="_Toc1654"/>
      <w:bookmarkStart w:id="504" w:name="_Toc4400"/>
      <w:bookmarkStart w:id="505" w:name="_Toc9613"/>
      <w:bookmarkStart w:id="506" w:name="_Toc17957"/>
      <w:bookmarkStart w:id="507" w:name="_Toc7036"/>
      <w:bookmarkStart w:id="508" w:name="_Toc32083"/>
      <w:r>
        <w:rPr>
          <w:rFonts w:hint="eastAsia" w:ascii="宋体" w:hAnsi="宋体" w:cs="宋体"/>
          <w:b/>
          <w:szCs w:val="21"/>
        </w:rPr>
        <w:t>3.1 符合性审查</w:t>
      </w:r>
      <w:bookmarkEnd w:id="498"/>
      <w:bookmarkEnd w:id="499"/>
      <w:bookmarkEnd w:id="500"/>
      <w:bookmarkEnd w:id="501"/>
      <w:bookmarkEnd w:id="502"/>
      <w:bookmarkEnd w:id="503"/>
      <w:bookmarkEnd w:id="504"/>
      <w:bookmarkEnd w:id="505"/>
      <w:bookmarkEnd w:id="506"/>
      <w:bookmarkEnd w:id="507"/>
      <w:bookmarkEnd w:id="508"/>
    </w:p>
    <w:p>
      <w:pPr>
        <w:autoSpaceDE w:val="0"/>
        <w:autoSpaceDN w:val="0"/>
        <w:adjustRightInd w:val="0"/>
        <w:spacing w:line="360" w:lineRule="auto"/>
        <w:ind w:left="100" w:right="40" w:firstLine="420"/>
        <w:jc w:val="left"/>
        <w:rPr>
          <w:rFonts w:hint="eastAsia" w:ascii="宋体" w:hAnsi="宋体" w:cs="宋体"/>
          <w:b/>
          <w:spacing w:val="-2"/>
          <w:kern w:val="0"/>
          <w:szCs w:val="21"/>
        </w:rPr>
      </w:pP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依</w:t>
      </w:r>
      <w:r>
        <w:rPr>
          <w:rFonts w:hint="eastAsia" w:ascii="宋体" w:hAnsi="宋体" w:cs="宋体"/>
          <w:kern w:val="0"/>
          <w:szCs w:val="21"/>
        </w:rPr>
        <w:t>据本</w:t>
      </w:r>
      <w:r>
        <w:rPr>
          <w:rFonts w:hint="eastAsia" w:ascii="宋体" w:hAnsi="宋体" w:cs="宋体"/>
          <w:spacing w:val="-2"/>
          <w:kern w:val="0"/>
          <w:szCs w:val="21"/>
        </w:rPr>
        <w:t>章评标办法</w:t>
      </w:r>
      <w:r>
        <w:rPr>
          <w:rFonts w:hint="eastAsia" w:ascii="宋体" w:hAnsi="宋体" w:cs="宋体"/>
          <w:kern w:val="0"/>
          <w:szCs w:val="21"/>
        </w:rPr>
        <w:t>前附表</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的标</w:t>
      </w:r>
      <w:r>
        <w:rPr>
          <w:rFonts w:hint="eastAsia" w:ascii="宋体" w:hAnsi="宋体" w:cs="宋体"/>
          <w:kern w:val="0"/>
          <w:szCs w:val="21"/>
        </w:rPr>
        <w:t>准，对</w:t>
      </w:r>
      <w:r>
        <w:rPr>
          <w:rFonts w:hint="eastAsia" w:ascii="宋体" w:hAnsi="宋体" w:cs="宋体"/>
          <w:spacing w:val="-2"/>
          <w:kern w:val="0"/>
          <w:szCs w:val="21"/>
        </w:rPr>
        <w:t>符合资格的</w:t>
      </w:r>
      <w:r>
        <w:rPr>
          <w:rFonts w:hint="eastAsia" w:ascii="宋体" w:hAnsi="宋体" w:cs="宋体"/>
          <w:spacing w:val="-2"/>
          <w:kern w:val="0"/>
          <w:szCs w:val="21"/>
          <w:lang w:eastAsia="zh-CN"/>
        </w:rPr>
        <w:t>供应商</w:t>
      </w:r>
      <w:r>
        <w:rPr>
          <w:rFonts w:hint="eastAsia" w:ascii="宋体" w:hAnsi="宋体" w:cs="宋体"/>
          <w:spacing w:val="-2"/>
          <w:kern w:val="0"/>
          <w:szCs w:val="21"/>
        </w:rPr>
        <w:t>的投标文件进行符合性审查，以确定其是否满足招标文件的实质性要求</w:t>
      </w:r>
      <w:r>
        <w:rPr>
          <w:rFonts w:hint="eastAsia" w:ascii="宋体" w:hAnsi="宋体" w:cs="宋体"/>
          <w:kern w:val="0"/>
          <w:szCs w:val="21"/>
        </w:rPr>
        <w:t>，</w:t>
      </w:r>
      <w:r>
        <w:rPr>
          <w:rFonts w:hint="eastAsia" w:ascii="宋体" w:hAnsi="宋体" w:cs="宋体"/>
          <w:spacing w:val="-2"/>
          <w:kern w:val="0"/>
          <w:szCs w:val="21"/>
        </w:rPr>
        <w:t>有</w:t>
      </w:r>
      <w:r>
        <w:rPr>
          <w:rFonts w:hint="eastAsia" w:ascii="宋体" w:hAnsi="宋体" w:cs="宋体"/>
          <w:kern w:val="0"/>
          <w:szCs w:val="21"/>
        </w:rPr>
        <w:t>一</w:t>
      </w:r>
      <w:r>
        <w:rPr>
          <w:rFonts w:hint="eastAsia" w:ascii="宋体" w:hAnsi="宋体" w:cs="宋体"/>
          <w:spacing w:val="-2"/>
          <w:kern w:val="0"/>
          <w:szCs w:val="21"/>
        </w:rPr>
        <w:t>项</w:t>
      </w:r>
      <w:r>
        <w:rPr>
          <w:rFonts w:hint="eastAsia" w:ascii="宋体" w:hAnsi="宋体" w:cs="宋体"/>
          <w:kern w:val="0"/>
          <w:szCs w:val="21"/>
        </w:rPr>
        <w:t>不</w:t>
      </w:r>
      <w:r>
        <w:rPr>
          <w:rFonts w:hint="eastAsia" w:ascii="宋体" w:hAnsi="宋体" w:cs="宋体"/>
          <w:spacing w:val="-2"/>
          <w:kern w:val="0"/>
          <w:szCs w:val="21"/>
        </w:rPr>
        <w:t>符</w:t>
      </w:r>
      <w:r>
        <w:rPr>
          <w:rFonts w:hint="eastAsia" w:ascii="宋体" w:hAnsi="宋体" w:cs="宋体"/>
          <w:kern w:val="0"/>
          <w:szCs w:val="21"/>
        </w:rPr>
        <w:t>合评审</w:t>
      </w:r>
      <w:r>
        <w:rPr>
          <w:rFonts w:hint="eastAsia" w:ascii="宋体" w:hAnsi="宋体" w:cs="宋体"/>
          <w:spacing w:val="-2"/>
          <w:kern w:val="0"/>
          <w:szCs w:val="21"/>
        </w:rPr>
        <w:t>标</w:t>
      </w:r>
      <w:r>
        <w:rPr>
          <w:rFonts w:hint="eastAsia" w:ascii="宋体" w:hAnsi="宋体" w:cs="宋体"/>
          <w:kern w:val="0"/>
          <w:szCs w:val="21"/>
        </w:rPr>
        <w:t>准</w:t>
      </w:r>
      <w:r>
        <w:rPr>
          <w:rFonts w:hint="eastAsia" w:ascii="宋体" w:hAnsi="宋体" w:cs="宋体"/>
          <w:spacing w:val="-2"/>
          <w:kern w:val="0"/>
          <w:szCs w:val="21"/>
        </w:rPr>
        <w:t>的</w:t>
      </w:r>
      <w:r>
        <w:rPr>
          <w:rFonts w:hint="eastAsia" w:ascii="宋体" w:hAnsi="宋体" w:cs="宋体"/>
          <w:kern w:val="0"/>
          <w:szCs w:val="21"/>
        </w:rPr>
        <w:t>，</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委</w:t>
      </w:r>
      <w:r>
        <w:rPr>
          <w:rFonts w:hint="eastAsia" w:ascii="宋体" w:hAnsi="宋体" w:cs="宋体"/>
          <w:kern w:val="0"/>
          <w:szCs w:val="21"/>
        </w:rPr>
        <w:t>员</w:t>
      </w:r>
      <w:r>
        <w:rPr>
          <w:rFonts w:hint="eastAsia" w:ascii="宋体" w:hAnsi="宋体" w:cs="宋体"/>
          <w:spacing w:val="-2"/>
          <w:kern w:val="0"/>
          <w:szCs w:val="21"/>
        </w:rPr>
        <w:t>会</w:t>
      </w:r>
      <w:r>
        <w:rPr>
          <w:rFonts w:hint="eastAsia" w:ascii="宋体" w:hAnsi="宋体" w:cs="宋体"/>
          <w:kern w:val="0"/>
          <w:szCs w:val="21"/>
        </w:rPr>
        <w:t>应当</w:t>
      </w:r>
      <w:r>
        <w:rPr>
          <w:rFonts w:hint="eastAsia" w:ascii="宋体" w:hAnsi="宋体" w:cs="宋体"/>
          <w:szCs w:val="21"/>
        </w:rPr>
        <w:t>认定其投标无效</w:t>
      </w:r>
      <w:r>
        <w:rPr>
          <w:rFonts w:hint="eastAsia" w:ascii="宋体" w:hAnsi="宋体" w:cs="宋体"/>
          <w:spacing w:val="-2"/>
          <w:kern w:val="0"/>
          <w:szCs w:val="21"/>
        </w:rPr>
        <w:t>。</w:t>
      </w:r>
    </w:p>
    <w:p>
      <w:pPr>
        <w:autoSpaceDE w:val="0"/>
        <w:autoSpaceDN w:val="0"/>
        <w:adjustRightInd w:val="0"/>
        <w:spacing w:before="40" w:line="360" w:lineRule="auto"/>
        <w:ind w:left="65" w:leftChars="31" w:right="140" w:firstLine="207" w:firstLineChars="98"/>
        <w:jc w:val="left"/>
        <w:rPr>
          <w:rFonts w:hint="eastAsia" w:ascii="宋体" w:hAnsi="宋体" w:cs="宋体"/>
          <w:b/>
          <w:kern w:val="0"/>
          <w:szCs w:val="21"/>
        </w:rPr>
      </w:pPr>
      <w:r>
        <w:rPr>
          <w:rFonts w:hint="eastAsia" w:ascii="宋体" w:hAnsi="宋体" w:cs="宋体"/>
          <w:b/>
          <w:kern w:val="0"/>
          <w:szCs w:val="21"/>
        </w:rPr>
        <w:t>3.1.1 投</w:t>
      </w:r>
      <w:r>
        <w:rPr>
          <w:rFonts w:hint="eastAsia" w:ascii="宋体" w:hAnsi="宋体" w:cs="宋体"/>
          <w:b/>
          <w:spacing w:val="-2"/>
          <w:kern w:val="0"/>
          <w:szCs w:val="21"/>
        </w:rPr>
        <w:t>标</w:t>
      </w:r>
      <w:r>
        <w:rPr>
          <w:rFonts w:hint="eastAsia" w:ascii="宋体" w:hAnsi="宋体" w:cs="宋体"/>
          <w:b/>
          <w:kern w:val="0"/>
          <w:szCs w:val="21"/>
        </w:rPr>
        <w:t>报</w:t>
      </w:r>
      <w:r>
        <w:rPr>
          <w:rFonts w:hint="eastAsia" w:ascii="宋体" w:hAnsi="宋体" w:cs="宋体"/>
          <w:b/>
          <w:spacing w:val="-2"/>
          <w:kern w:val="0"/>
          <w:szCs w:val="21"/>
        </w:rPr>
        <w:t>价</w:t>
      </w:r>
      <w:r>
        <w:rPr>
          <w:rFonts w:hint="eastAsia" w:ascii="宋体" w:hAnsi="宋体" w:cs="宋体"/>
          <w:b/>
          <w:kern w:val="0"/>
          <w:szCs w:val="21"/>
        </w:rPr>
        <w:t>有</w:t>
      </w:r>
      <w:r>
        <w:rPr>
          <w:rFonts w:hint="eastAsia" w:ascii="宋体" w:hAnsi="宋体" w:cs="宋体"/>
          <w:b/>
          <w:spacing w:val="-2"/>
          <w:kern w:val="0"/>
          <w:szCs w:val="21"/>
        </w:rPr>
        <w:t>算</w:t>
      </w:r>
      <w:r>
        <w:rPr>
          <w:rFonts w:hint="eastAsia" w:ascii="宋体" w:hAnsi="宋体" w:cs="宋体"/>
          <w:b/>
          <w:kern w:val="0"/>
          <w:szCs w:val="21"/>
        </w:rPr>
        <w:t>术</w:t>
      </w:r>
      <w:r>
        <w:rPr>
          <w:rFonts w:hint="eastAsia" w:ascii="宋体" w:hAnsi="宋体" w:cs="宋体"/>
          <w:b/>
          <w:spacing w:val="-2"/>
          <w:kern w:val="0"/>
          <w:szCs w:val="21"/>
        </w:rPr>
        <w:t>错误</w:t>
      </w:r>
      <w:r>
        <w:rPr>
          <w:rFonts w:hint="eastAsia" w:ascii="宋体" w:hAnsi="宋体" w:cs="宋体"/>
          <w:b/>
          <w:kern w:val="0"/>
          <w:szCs w:val="21"/>
        </w:rPr>
        <w:t>及其</w:t>
      </w:r>
      <w:r>
        <w:rPr>
          <w:rFonts w:hint="eastAsia" w:ascii="宋体" w:hAnsi="宋体" w:cs="宋体"/>
          <w:b/>
          <w:spacing w:val="-2"/>
          <w:kern w:val="0"/>
          <w:szCs w:val="21"/>
        </w:rPr>
        <w:t>他</w:t>
      </w:r>
      <w:r>
        <w:rPr>
          <w:rFonts w:hint="eastAsia" w:ascii="宋体" w:hAnsi="宋体" w:cs="宋体"/>
          <w:b/>
          <w:kern w:val="0"/>
          <w:szCs w:val="21"/>
        </w:rPr>
        <w:t>错</w:t>
      </w:r>
      <w:r>
        <w:rPr>
          <w:rFonts w:hint="eastAsia" w:ascii="宋体" w:hAnsi="宋体" w:cs="宋体"/>
          <w:b/>
          <w:spacing w:val="-2"/>
          <w:kern w:val="0"/>
          <w:szCs w:val="21"/>
        </w:rPr>
        <w:t>误的</w:t>
      </w:r>
      <w:r>
        <w:rPr>
          <w:rFonts w:hint="eastAsia" w:ascii="宋体" w:hAnsi="宋体" w:cs="宋体"/>
          <w:b/>
          <w:spacing w:val="-74"/>
          <w:kern w:val="0"/>
          <w:szCs w:val="21"/>
        </w:rPr>
        <w:t>，</w:t>
      </w:r>
      <w:r>
        <w:rPr>
          <w:rFonts w:hint="eastAsia" w:ascii="宋体" w:hAnsi="宋体" w:cs="宋体"/>
          <w:b/>
          <w:spacing w:val="-2"/>
          <w:kern w:val="0"/>
          <w:szCs w:val="21"/>
        </w:rPr>
        <w:t>评</w:t>
      </w:r>
      <w:r>
        <w:rPr>
          <w:rFonts w:hint="eastAsia" w:ascii="宋体" w:hAnsi="宋体" w:cs="宋体"/>
          <w:b/>
          <w:kern w:val="0"/>
          <w:szCs w:val="21"/>
        </w:rPr>
        <w:t>标</w:t>
      </w:r>
      <w:r>
        <w:rPr>
          <w:rFonts w:hint="eastAsia" w:ascii="宋体" w:hAnsi="宋体" w:cs="宋体"/>
          <w:b/>
          <w:spacing w:val="-2"/>
          <w:kern w:val="0"/>
          <w:szCs w:val="21"/>
        </w:rPr>
        <w:t>委</w:t>
      </w:r>
      <w:r>
        <w:rPr>
          <w:rFonts w:hint="eastAsia" w:ascii="宋体" w:hAnsi="宋体" w:cs="宋体"/>
          <w:b/>
          <w:kern w:val="0"/>
          <w:szCs w:val="21"/>
        </w:rPr>
        <w:t>员</w:t>
      </w:r>
      <w:r>
        <w:rPr>
          <w:rFonts w:hint="eastAsia" w:ascii="宋体" w:hAnsi="宋体" w:cs="宋体"/>
          <w:b/>
          <w:spacing w:val="-2"/>
          <w:kern w:val="0"/>
          <w:szCs w:val="21"/>
        </w:rPr>
        <w:t>会</w:t>
      </w:r>
      <w:r>
        <w:rPr>
          <w:rFonts w:hint="eastAsia" w:ascii="宋体" w:hAnsi="宋体" w:cs="宋体"/>
          <w:b/>
          <w:kern w:val="0"/>
          <w:szCs w:val="21"/>
        </w:rPr>
        <w:t>按以</w:t>
      </w:r>
      <w:r>
        <w:rPr>
          <w:rFonts w:hint="eastAsia" w:ascii="宋体" w:hAnsi="宋体" w:cs="宋体"/>
          <w:b/>
          <w:spacing w:val="-2"/>
          <w:kern w:val="0"/>
          <w:szCs w:val="21"/>
        </w:rPr>
        <w:t>下</w:t>
      </w:r>
      <w:r>
        <w:rPr>
          <w:rFonts w:hint="eastAsia" w:ascii="宋体" w:hAnsi="宋体" w:cs="宋体"/>
          <w:b/>
          <w:kern w:val="0"/>
          <w:szCs w:val="21"/>
        </w:rPr>
        <w:t>原</w:t>
      </w:r>
      <w:r>
        <w:rPr>
          <w:rFonts w:hint="eastAsia" w:ascii="宋体" w:hAnsi="宋体" w:cs="宋体"/>
          <w:b/>
          <w:spacing w:val="-2"/>
          <w:kern w:val="0"/>
          <w:szCs w:val="21"/>
        </w:rPr>
        <w:t>则</w:t>
      </w:r>
      <w:r>
        <w:rPr>
          <w:rFonts w:hint="eastAsia" w:ascii="宋体" w:hAnsi="宋体" w:cs="宋体"/>
          <w:b/>
          <w:kern w:val="0"/>
          <w:szCs w:val="21"/>
        </w:rPr>
        <w:t>要</w:t>
      </w:r>
      <w:r>
        <w:rPr>
          <w:rFonts w:hint="eastAsia" w:ascii="宋体" w:hAnsi="宋体" w:cs="宋体"/>
          <w:b/>
          <w:spacing w:val="-2"/>
          <w:kern w:val="0"/>
          <w:szCs w:val="21"/>
        </w:rPr>
        <w:t>求</w:t>
      </w:r>
      <w:r>
        <w:rPr>
          <w:rFonts w:hint="eastAsia" w:ascii="宋体" w:hAnsi="宋体" w:cs="宋体"/>
          <w:b/>
          <w:kern w:val="0"/>
          <w:szCs w:val="21"/>
          <w:lang w:eastAsia="zh-CN"/>
        </w:rPr>
        <w:t>供应商</w:t>
      </w:r>
      <w:r>
        <w:rPr>
          <w:rFonts w:hint="eastAsia" w:ascii="宋体" w:hAnsi="宋体" w:cs="宋体"/>
          <w:b/>
          <w:spacing w:val="-2"/>
          <w:kern w:val="0"/>
          <w:szCs w:val="21"/>
        </w:rPr>
        <w:t>对</w:t>
      </w:r>
      <w:r>
        <w:rPr>
          <w:rFonts w:hint="eastAsia" w:ascii="宋体" w:hAnsi="宋体" w:cs="宋体"/>
          <w:b/>
          <w:kern w:val="0"/>
          <w:szCs w:val="21"/>
        </w:rPr>
        <w:t>投标</w:t>
      </w:r>
      <w:r>
        <w:rPr>
          <w:rFonts w:hint="eastAsia" w:ascii="宋体" w:hAnsi="宋体" w:cs="宋体"/>
          <w:b/>
          <w:spacing w:val="-2"/>
          <w:kern w:val="0"/>
          <w:szCs w:val="21"/>
        </w:rPr>
        <w:t>报</w:t>
      </w:r>
      <w:r>
        <w:rPr>
          <w:rFonts w:hint="eastAsia" w:ascii="宋体" w:hAnsi="宋体" w:cs="宋体"/>
          <w:b/>
          <w:kern w:val="0"/>
          <w:szCs w:val="21"/>
        </w:rPr>
        <w:t>价进行修</w:t>
      </w:r>
      <w:r>
        <w:rPr>
          <w:rFonts w:hint="eastAsia" w:ascii="宋体" w:hAnsi="宋体" w:cs="宋体"/>
          <w:b/>
          <w:spacing w:val="-2"/>
          <w:kern w:val="0"/>
          <w:szCs w:val="21"/>
        </w:rPr>
        <w:t>正</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投标文件中开标一览表（报价表）内容与投标文件中相应内容不一致的，以开标一览表（报价表）为准；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大写金额和小写金额不一致的，以大写金额为准；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总价金额与按单价汇总金额不一致的，以单价金额计算结果为准。</w:t>
      </w:r>
    </w:p>
    <w:p>
      <w:pPr>
        <w:numPr>
          <w:ilvl w:val="0"/>
          <w:numId w:val="20"/>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同时出现两种以上不一致的，按照前款规定的顺序修正。修正后的报价应当采用书面形式，并加盖公章，或者由法定代表人或其授权的代表签字，</w:t>
      </w:r>
      <w:r>
        <w:rPr>
          <w:rFonts w:hint="eastAsia" w:ascii="宋体" w:hAnsi="宋体" w:cs="宋体"/>
          <w:kern w:val="0"/>
          <w:szCs w:val="21"/>
          <w:lang w:eastAsia="zh-CN"/>
        </w:rPr>
        <w:t>供应商</w:t>
      </w:r>
      <w:r>
        <w:rPr>
          <w:rFonts w:hint="eastAsia" w:ascii="宋体" w:hAnsi="宋体" w:cs="宋体"/>
          <w:kern w:val="0"/>
          <w:szCs w:val="21"/>
        </w:rPr>
        <w:t>不确认的，其投标无效。</w:t>
      </w:r>
    </w:p>
    <w:p>
      <w:pPr>
        <w:keepNext/>
        <w:keepLines/>
        <w:numPr>
          <w:ilvl w:val="0"/>
          <w:numId w:val="17"/>
        </w:numPr>
        <w:spacing w:line="360" w:lineRule="auto"/>
        <w:jc w:val="left"/>
        <w:outlineLvl w:val="2"/>
        <w:rPr>
          <w:rFonts w:hint="eastAsia" w:ascii="宋体" w:hAnsi="宋体" w:cs="宋体"/>
          <w:b/>
          <w:szCs w:val="21"/>
        </w:rPr>
      </w:pPr>
      <w:bookmarkStart w:id="509" w:name="_Toc24284"/>
      <w:bookmarkStart w:id="510" w:name="_Toc12089"/>
      <w:bookmarkStart w:id="511" w:name="_Toc18705"/>
      <w:bookmarkStart w:id="512" w:name="_Toc13336"/>
      <w:bookmarkStart w:id="513" w:name="_Toc10132"/>
      <w:bookmarkStart w:id="514" w:name="_Toc30823"/>
      <w:bookmarkStart w:id="515" w:name="_Toc26213"/>
      <w:bookmarkStart w:id="516" w:name="_Toc30428"/>
      <w:bookmarkStart w:id="517" w:name="_Toc24391"/>
      <w:bookmarkStart w:id="518" w:name="_Toc1221"/>
      <w:bookmarkStart w:id="519" w:name="_Toc22449"/>
      <w:r>
        <w:rPr>
          <w:rFonts w:hint="eastAsia" w:ascii="宋体" w:hAnsi="宋体" w:cs="宋体"/>
          <w:b/>
          <w:szCs w:val="21"/>
        </w:rPr>
        <w:t>3.2 详细评审</w:t>
      </w:r>
      <w:bookmarkEnd w:id="509"/>
      <w:bookmarkEnd w:id="510"/>
      <w:bookmarkEnd w:id="511"/>
      <w:bookmarkEnd w:id="512"/>
      <w:bookmarkEnd w:id="513"/>
      <w:bookmarkEnd w:id="514"/>
      <w:bookmarkEnd w:id="515"/>
      <w:bookmarkEnd w:id="516"/>
      <w:bookmarkEnd w:id="517"/>
      <w:bookmarkEnd w:id="518"/>
      <w:bookmarkEnd w:id="519"/>
    </w:p>
    <w:p>
      <w:pPr>
        <w:autoSpaceDE w:val="0"/>
        <w:autoSpaceDN w:val="0"/>
        <w:adjustRightInd w:val="0"/>
        <w:spacing w:line="360" w:lineRule="auto"/>
        <w:ind w:left="520" w:right="-20"/>
        <w:jc w:val="left"/>
        <w:rPr>
          <w:rFonts w:hint="eastAsia" w:ascii="宋体" w:hAnsi="宋体" w:cs="宋体"/>
          <w:kern w:val="0"/>
          <w:szCs w:val="21"/>
        </w:rPr>
      </w:pPr>
      <w:r>
        <w:rPr>
          <w:rFonts w:hint="eastAsia" w:ascii="宋体" w:hAnsi="宋体" w:cs="宋体"/>
          <w:kern w:val="0"/>
          <w:szCs w:val="21"/>
        </w:rPr>
        <w:t>3.2.1 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w:t>
      </w:r>
      <w:r>
        <w:rPr>
          <w:rFonts w:hint="eastAsia" w:ascii="宋体" w:hAnsi="宋体" w:cs="宋体"/>
          <w:kern w:val="0"/>
          <w:szCs w:val="21"/>
        </w:rPr>
        <w:t>本</w:t>
      </w:r>
      <w:r>
        <w:rPr>
          <w:rFonts w:hint="eastAsia" w:ascii="宋体" w:hAnsi="宋体" w:cs="宋体"/>
          <w:spacing w:val="-2"/>
          <w:kern w:val="0"/>
          <w:szCs w:val="21"/>
        </w:rPr>
        <w:t>章</w:t>
      </w:r>
      <w:r>
        <w:rPr>
          <w:rFonts w:hint="eastAsia" w:ascii="宋体" w:hAnsi="宋体" w:cs="宋体"/>
          <w:kern w:val="0"/>
          <w:szCs w:val="21"/>
        </w:rPr>
        <w:t>评标方法规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量</w:t>
      </w:r>
      <w:r>
        <w:rPr>
          <w:rFonts w:hint="eastAsia" w:ascii="宋体" w:hAnsi="宋体" w:cs="宋体"/>
          <w:kern w:val="0"/>
          <w:szCs w:val="21"/>
        </w:rPr>
        <w:t>化</w:t>
      </w:r>
      <w:r>
        <w:rPr>
          <w:rFonts w:hint="eastAsia" w:ascii="宋体" w:hAnsi="宋体" w:cs="宋体"/>
          <w:spacing w:val="-2"/>
          <w:kern w:val="0"/>
          <w:szCs w:val="21"/>
        </w:rPr>
        <w:t>因</w:t>
      </w:r>
      <w:r>
        <w:rPr>
          <w:rFonts w:hint="eastAsia" w:ascii="宋体" w:hAnsi="宋体" w:cs="宋体"/>
          <w:kern w:val="0"/>
          <w:szCs w:val="21"/>
        </w:rPr>
        <w:t>素</w:t>
      </w:r>
      <w:r>
        <w:rPr>
          <w:rFonts w:hint="eastAsia" w:ascii="宋体" w:hAnsi="宋体" w:cs="宋体"/>
          <w:spacing w:val="-2"/>
          <w:kern w:val="0"/>
          <w:szCs w:val="21"/>
        </w:rPr>
        <w:t>和</w:t>
      </w:r>
      <w:r>
        <w:rPr>
          <w:rFonts w:hint="eastAsia" w:ascii="宋体" w:hAnsi="宋体" w:cs="宋体"/>
          <w:kern w:val="0"/>
          <w:szCs w:val="21"/>
        </w:rPr>
        <w:t>分值</w:t>
      </w:r>
      <w:r>
        <w:rPr>
          <w:rFonts w:hint="eastAsia" w:ascii="宋体" w:hAnsi="宋体" w:cs="宋体"/>
          <w:spacing w:val="-2"/>
          <w:kern w:val="0"/>
          <w:szCs w:val="21"/>
        </w:rPr>
        <w:t>进</w:t>
      </w:r>
      <w:r>
        <w:rPr>
          <w:rFonts w:hint="eastAsia" w:ascii="宋体" w:hAnsi="宋体" w:cs="宋体"/>
          <w:kern w:val="0"/>
          <w:szCs w:val="21"/>
        </w:rPr>
        <w:t>行</w:t>
      </w:r>
      <w:r>
        <w:rPr>
          <w:rFonts w:hint="eastAsia" w:ascii="宋体" w:hAnsi="宋体" w:cs="宋体"/>
          <w:spacing w:val="-2"/>
          <w:kern w:val="0"/>
          <w:szCs w:val="21"/>
        </w:rPr>
        <w:t>打</w:t>
      </w:r>
      <w:r>
        <w:rPr>
          <w:rFonts w:hint="eastAsia" w:ascii="宋体" w:hAnsi="宋体" w:cs="宋体"/>
          <w:kern w:val="0"/>
          <w:szCs w:val="21"/>
        </w:rPr>
        <w:t>分</w:t>
      </w:r>
      <w:r>
        <w:rPr>
          <w:rFonts w:hint="eastAsia" w:ascii="宋体" w:hAnsi="宋体" w:cs="宋体"/>
          <w:spacing w:val="-108"/>
          <w:kern w:val="0"/>
          <w:szCs w:val="21"/>
        </w:rPr>
        <w:t>，</w:t>
      </w:r>
      <w:r>
        <w:rPr>
          <w:rFonts w:hint="eastAsia" w:ascii="宋体" w:hAnsi="宋体" w:cs="宋体"/>
          <w:kern w:val="0"/>
          <w:szCs w:val="21"/>
        </w:rPr>
        <w:t>并</w:t>
      </w:r>
      <w:r>
        <w:rPr>
          <w:rFonts w:hint="eastAsia" w:ascii="宋体" w:hAnsi="宋体" w:cs="宋体"/>
          <w:spacing w:val="-2"/>
          <w:kern w:val="0"/>
          <w:szCs w:val="21"/>
        </w:rPr>
        <w:t>计</w:t>
      </w:r>
      <w:r>
        <w:rPr>
          <w:rFonts w:hint="eastAsia" w:ascii="宋体" w:hAnsi="宋体" w:cs="宋体"/>
          <w:kern w:val="0"/>
          <w:szCs w:val="21"/>
        </w:rPr>
        <w:t>算</w:t>
      </w:r>
      <w:r>
        <w:rPr>
          <w:rFonts w:hint="eastAsia" w:ascii="宋体" w:hAnsi="宋体" w:cs="宋体"/>
          <w:spacing w:val="-2"/>
          <w:kern w:val="0"/>
          <w:szCs w:val="21"/>
        </w:rPr>
        <w:t>出综</w:t>
      </w:r>
      <w:r>
        <w:rPr>
          <w:rFonts w:hint="eastAsia" w:ascii="宋体" w:hAnsi="宋体" w:cs="宋体"/>
          <w:kern w:val="0"/>
          <w:szCs w:val="21"/>
        </w:rPr>
        <w:t>合得</w:t>
      </w:r>
      <w:r>
        <w:rPr>
          <w:rFonts w:hint="eastAsia" w:ascii="宋体" w:hAnsi="宋体" w:cs="宋体"/>
          <w:spacing w:val="-2"/>
          <w:kern w:val="0"/>
          <w:szCs w:val="21"/>
        </w:rPr>
        <w:t>分</w:t>
      </w:r>
      <w:r>
        <w:rPr>
          <w:rFonts w:hint="eastAsia" w:ascii="宋体" w:hAnsi="宋体" w:cs="宋体"/>
          <w:kern w:val="0"/>
          <w:szCs w:val="21"/>
        </w:rPr>
        <w:t>。</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 2.2.2（1）目规定的评审因素和分值对投标报价计算出得分A；</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按本章第2.2.2（2）目规定的评审因素和分值对技术部分计算出得分B；</w:t>
      </w:r>
    </w:p>
    <w:p>
      <w:pPr>
        <w:numPr>
          <w:ilvl w:val="0"/>
          <w:numId w:val="21"/>
        </w:numPr>
        <w:autoSpaceDE w:val="0"/>
        <w:autoSpaceDN w:val="0"/>
        <w:adjustRightInd w:val="0"/>
        <w:spacing w:line="360" w:lineRule="auto"/>
        <w:ind w:right="40" w:firstLine="420" w:firstLineChars="200"/>
        <w:jc w:val="left"/>
        <w:rPr>
          <w:rFonts w:hint="eastAsia" w:ascii="宋体" w:hAnsi="宋体" w:cs="宋体"/>
          <w:kern w:val="0"/>
          <w:szCs w:val="21"/>
        </w:rPr>
      </w:pPr>
      <w:r>
        <w:rPr>
          <w:rFonts w:hint="eastAsia" w:ascii="宋体" w:hAnsi="宋体" w:cs="宋体"/>
          <w:kern w:val="0"/>
          <w:szCs w:val="21"/>
        </w:rPr>
        <w:t>按本章第2.2.2（3）目规定的评审因素和分值对商务部分计算出得分C。</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分</w:t>
      </w:r>
      <w:r>
        <w:rPr>
          <w:rFonts w:hint="eastAsia" w:ascii="宋体" w:hAnsi="宋体" w:cs="宋体"/>
          <w:kern w:val="0"/>
          <w:szCs w:val="21"/>
        </w:rPr>
        <w:t>分</w:t>
      </w:r>
      <w:r>
        <w:rPr>
          <w:rFonts w:hint="eastAsia" w:ascii="宋体" w:hAnsi="宋体" w:cs="宋体"/>
          <w:spacing w:val="-2"/>
          <w:kern w:val="0"/>
          <w:szCs w:val="21"/>
        </w:rPr>
        <w:t>值</w:t>
      </w:r>
      <w:r>
        <w:rPr>
          <w:rFonts w:hint="eastAsia" w:ascii="宋体" w:hAnsi="宋体" w:cs="宋体"/>
          <w:kern w:val="0"/>
          <w:szCs w:val="21"/>
        </w:rPr>
        <w:t>计</w:t>
      </w:r>
      <w:r>
        <w:rPr>
          <w:rFonts w:hint="eastAsia" w:ascii="宋体" w:hAnsi="宋体" w:cs="宋体"/>
          <w:spacing w:val="-2"/>
          <w:kern w:val="0"/>
          <w:szCs w:val="21"/>
        </w:rPr>
        <w:t>算</w:t>
      </w:r>
      <w:r>
        <w:rPr>
          <w:rFonts w:hint="eastAsia" w:ascii="宋体" w:hAnsi="宋体" w:cs="宋体"/>
          <w:kern w:val="0"/>
          <w:szCs w:val="21"/>
        </w:rPr>
        <w:t>保</w:t>
      </w:r>
      <w:r>
        <w:rPr>
          <w:rFonts w:hint="eastAsia" w:ascii="宋体" w:hAnsi="宋体" w:cs="宋体"/>
          <w:spacing w:val="-2"/>
          <w:kern w:val="0"/>
          <w:szCs w:val="21"/>
        </w:rPr>
        <w:t>留小</w:t>
      </w:r>
      <w:r>
        <w:rPr>
          <w:rFonts w:hint="eastAsia" w:ascii="宋体" w:hAnsi="宋体" w:cs="宋体"/>
          <w:kern w:val="0"/>
          <w:szCs w:val="21"/>
        </w:rPr>
        <w:t>数点</w:t>
      </w:r>
      <w:r>
        <w:rPr>
          <w:rFonts w:hint="eastAsia" w:ascii="宋体" w:hAnsi="宋体" w:cs="宋体"/>
          <w:spacing w:val="-2"/>
          <w:kern w:val="0"/>
          <w:szCs w:val="21"/>
        </w:rPr>
        <w:t>后</w:t>
      </w:r>
      <w:r>
        <w:rPr>
          <w:rFonts w:hint="eastAsia" w:ascii="宋体" w:hAnsi="宋体" w:cs="宋体"/>
          <w:kern w:val="0"/>
          <w:szCs w:val="21"/>
        </w:rPr>
        <w:t>两</w:t>
      </w:r>
      <w:r>
        <w:rPr>
          <w:rFonts w:hint="eastAsia" w:ascii="宋体" w:hAnsi="宋体" w:cs="宋体"/>
          <w:spacing w:val="-2"/>
          <w:kern w:val="0"/>
          <w:szCs w:val="21"/>
        </w:rPr>
        <w:t>位</w:t>
      </w:r>
      <w:r>
        <w:rPr>
          <w:rFonts w:hint="eastAsia" w:ascii="宋体" w:hAnsi="宋体" w:cs="宋体"/>
          <w:kern w:val="0"/>
          <w:szCs w:val="21"/>
        </w:rPr>
        <w:t>，</w:t>
      </w:r>
      <w:r>
        <w:rPr>
          <w:rFonts w:hint="eastAsia" w:ascii="宋体" w:hAnsi="宋体" w:cs="宋体"/>
          <w:spacing w:val="-2"/>
          <w:kern w:val="0"/>
          <w:szCs w:val="21"/>
        </w:rPr>
        <w:t>小</w:t>
      </w:r>
      <w:r>
        <w:rPr>
          <w:rFonts w:hint="eastAsia" w:ascii="宋体" w:hAnsi="宋体" w:cs="宋体"/>
          <w:kern w:val="0"/>
          <w:szCs w:val="21"/>
        </w:rPr>
        <w:t>数</w:t>
      </w:r>
      <w:r>
        <w:rPr>
          <w:rFonts w:hint="eastAsia" w:ascii="宋体" w:hAnsi="宋体" w:cs="宋体"/>
          <w:spacing w:val="-2"/>
          <w:kern w:val="0"/>
          <w:szCs w:val="21"/>
        </w:rPr>
        <w:t>点</w:t>
      </w:r>
      <w:r>
        <w:rPr>
          <w:rFonts w:hint="eastAsia" w:ascii="宋体" w:hAnsi="宋体" w:cs="宋体"/>
          <w:kern w:val="0"/>
          <w:szCs w:val="21"/>
        </w:rPr>
        <w:t>后</w:t>
      </w:r>
      <w:r>
        <w:rPr>
          <w:rFonts w:hint="eastAsia" w:ascii="宋体" w:hAnsi="宋体" w:cs="宋体"/>
          <w:spacing w:val="-2"/>
          <w:kern w:val="0"/>
          <w:szCs w:val="21"/>
        </w:rPr>
        <w:t>第</w:t>
      </w:r>
      <w:r>
        <w:rPr>
          <w:rFonts w:hint="eastAsia" w:ascii="宋体" w:hAnsi="宋体" w:cs="宋体"/>
          <w:kern w:val="0"/>
          <w:szCs w:val="21"/>
        </w:rPr>
        <w:t>三位</w:t>
      </w:r>
      <w:r>
        <w:rPr>
          <w:rFonts w:hint="eastAsia" w:ascii="宋体" w:hAnsi="宋体" w:cs="宋体"/>
          <w:spacing w:val="-3"/>
          <w:kern w:val="0"/>
          <w:szCs w:val="21"/>
        </w:rPr>
        <w:t>“</w:t>
      </w:r>
      <w:r>
        <w:rPr>
          <w:rFonts w:hint="eastAsia" w:ascii="宋体" w:hAnsi="宋体" w:cs="宋体"/>
          <w:kern w:val="0"/>
          <w:szCs w:val="21"/>
        </w:rPr>
        <w:t>四</w:t>
      </w:r>
      <w:r>
        <w:rPr>
          <w:rFonts w:hint="eastAsia" w:ascii="宋体" w:hAnsi="宋体" w:cs="宋体"/>
          <w:spacing w:val="-2"/>
          <w:kern w:val="0"/>
          <w:szCs w:val="21"/>
        </w:rPr>
        <w:t>舍</w:t>
      </w:r>
      <w:r>
        <w:rPr>
          <w:rFonts w:hint="eastAsia" w:ascii="宋体" w:hAnsi="宋体" w:cs="宋体"/>
          <w:kern w:val="0"/>
          <w:szCs w:val="21"/>
        </w:rPr>
        <w:t>五入</w:t>
      </w:r>
      <w:r>
        <w:rPr>
          <w:rFonts w:hint="eastAsia" w:ascii="宋体" w:hAnsi="宋体" w:cs="宋体"/>
          <w:spacing w:val="-3"/>
          <w:kern w:val="0"/>
          <w:szCs w:val="21"/>
        </w:rPr>
        <w:t>”</w:t>
      </w:r>
      <w:r>
        <w:rPr>
          <w:rFonts w:hint="eastAsia" w:ascii="宋体" w:hAnsi="宋体" w:cs="宋体"/>
          <w:kern w:val="0"/>
          <w:szCs w:val="21"/>
        </w:rPr>
        <w:t>。</w:t>
      </w:r>
    </w:p>
    <w:p>
      <w:pPr>
        <w:autoSpaceDE w:val="0"/>
        <w:autoSpaceDN w:val="0"/>
        <w:adjustRightInd w:val="0"/>
        <w:spacing w:before="42" w:line="360" w:lineRule="auto"/>
        <w:ind w:left="520" w:right="-20"/>
        <w:jc w:val="left"/>
        <w:rPr>
          <w:rFonts w:hint="eastAsia" w:ascii="宋体" w:hAnsi="宋体" w:cs="宋体"/>
          <w:kern w:val="0"/>
          <w:szCs w:val="21"/>
        </w:rPr>
      </w:pPr>
      <w:r>
        <w:rPr>
          <w:rFonts w:hint="eastAsia" w:ascii="宋体" w:hAnsi="宋体" w:cs="宋体"/>
          <w:kern w:val="0"/>
          <w:szCs w:val="21"/>
        </w:rPr>
        <w:t>3.2.3</w:t>
      </w:r>
      <w:r>
        <w:rPr>
          <w:rFonts w:hint="eastAsia" w:ascii="宋体" w:hAnsi="宋体" w:cs="宋体"/>
          <w:spacing w:val="51"/>
          <w:kern w:val="0"/>
          <w:szCs w:val="21"/>
        </w:rPr>
        <w:t xml:space="preserve"> </w:t>
      </w:r>
      <w:r>
        <w:rPr>
          <w:rFonts w:hint="eastAsia" w:ascii="宋体" w:hAnsi="宋体" w:cs="宋体"/>
          <w:kern w:val="0"/>
          <w:szCs w:val="21"/>
          <w:lang w:eastAsia="zh-CN"/>
        </w:rPr>
        <w:t>供应商</w:t>
      </w:r>
      <w:r>
        <w:rPr>
          <w:rFonts w:hint="eastAsia" w:ascii="宋体" w:hAnsi="宋体" w:cs="宋体"/>
          <w:spacing w:val="-2"/>
          <w:kern w:val="0"/>
          <w:szCs w:val="21"/>
        </w:rPr>
        <w:t>得</w:t>
      </w:r>
      <w:r>
        <w:rPr>
          <w:rFonts w:hint="eastAsia" w:ascii="宋体" w:hAnsi="宋体" w:cs="宋体"/>
          <w:kern w:val="0"/>
          <w:szCs w:val="21"/>
        </w:rPr>
        <w:t>分</w:t>
      </w:r>
      <w:r>
        <w:rPr>
          <w:rFonts w:hint="eastAsia" w:ascii="宋体" w:hAnsi="宋体" w:cs="宋体"/>
          <w:spacing w:val="-1"/>
          <w:kern w:val="0"/>
          <w:szCs w:val="21"/>
        </w:rPr>
        <w:t>=A</w:t>
      </w:r>
      <w:r>
        <w:rPr>
          <w:rFonts w:hint="eastAsia" w:ascii="宋体" w:hAnsi="宋体" w:cs="宋体"/>
          <w:spacing w:val="1"/>
          <w:kern w:val="0"/>
          <w:szCs w:val="21"/>
        </w:rPr>
        <w:t>+</w:t>
      </w:r>
      <w:r>
        <w:rPr>
          <w:rFonts w:hint="eastAsia" w:ascii="宋体" w:hAnsi="宋体" w:cs="宋体"/>
          <w:spacing w:val="-2"/>
          <w:kern w:val="0"/>
          <w:szCs w:val="21"/>
        </w:rPr>
        <w:t>B</w:t>
      </w:r>
      <w:r>
        <w:rPr>
          <w:rFonts w:hint="eastAsia" w:ascii="宋体" w:hAnsi="宋体" w:cs="宋体"/>
          <w:spacing w:val="-1"/>
          <w:kern w:val="0"/>
          <w:szCs w:val="21"/>
        </w:rPr>
        <w:t>+</w:t>
      </w:r>
      <w:r>
        <w:rPr>
          <w:rFonts w:hint="eastAsia" w:ascii="宋体" w:hAnsi="宋体" w:cs="宋体"/>
          <w:spacing w:val="-2"/>
          <w:kern w:val="0"/>
          <w:szCs w:val="21"/>
        </w:rPr>
        <w:t>C</w:t>
      </w:r>
      <w:r>
        <w:rPr>
          <w:rFonts w:hint="eastAsia" w:ascii="宋体" w:hAnsi="宋体" w:cs="宋体"/>
          <w:kern w:val="0"/>
          <w:szCs w:val="21"/>
        </w:rPr>
        <w:t>。</w:t>
      </w:r>
    </w:p>
    <w:p>
      <w:pPr>
        <w:autoSpaceDE w:val="0"/>
        <w:autoSpaceDN w:val="0"/>
        <w:adjustRightInd w:val="0"/>
        <w:spacing w:before="40" w:line="360" w:lineRule="auto"/>
        <w:ind w:left="100" w:right="140" w:firstLine="420"/>
        <w:rPr>
          <w:rFonts w:hint="eastAsia" w:ascii="宋体" w:hAnsi="宋体" w:cs="宋体"/>
          <w:kern w:val="0"/>
          <w:szCs w:val="21"/>
        </w:rPr>
      </w:pPr>
      <w:r>
        <w:rPr>
          <w:rFonts w:hint="eastAsia" w:ascii="宋体" w:hAnsi="宋体" w:cs="宋体"/>
          <w:kern w:val="0"/>
          <w:szCs w:val="21"/>
        </w:rPr>
        <w:t>3.2.4  评标委员会认为</w:t>
      </w:r>
      <w:r>
        <w:rPr>
          <w:rFonts w:hint="eastAsia" w:ascii="宋体" w:hAnsi="宋体" w:cs="宋体"/>
          <w:kern w:val="0"/>
          <w:szCs w:val="21"/>
          <w:lang w:eastAsia="zh-CN"/>
        </w:rPr>
        <w:t>供应商</w:t>
      </w:r>
      <w:r>
        <w:rPr>
          <w:rFonts w:hint="eastAsia" w:ascii="宋体" w:hAnsi="宋体" w:cs="宋体"/>
          <w:kern w:val="0"/>
          <w:szCs w:val="21"/>
        </w:rPr>
        <w:t>的报价明显低于其他通过符合性审查</w:t>
      </w:r>
      <w:r>
        <w:rPr>
          <w:rFonts w:hint="eastAsia" w:ascii="宋体" w:hAnsi="宋体" w:cs="宋体"/>
          <w:kern w:val="0"/>
          <w:szCs w:val="21"/>
          <w:lang w:eastAsia="zh-CN"/>
        </w:rPr>
        <w:t>供应商</w:t>
      </w:r>
      <w:r>
        <w:rPr>
          <w:rFonts w:hint="eastAsia" w:ascii="宋体" w:hAnsi="宋体" w:cs="宋体"/>
          <w:kern w:val="0"/>
          <w:szCs w:val="21"/>
        </w:rPr>
        <w:t>的报价，有可能影响产品质量或者不能诚信履约的，应当要求其在评标现场合理的时间内提供书面说明，必要时提交相关证明材料；</w:t>
      </w:r>
      <w:r>
        <w:rPr>
          <w:rFonts w:hint="eastAsia" w:ascii="宋体" w:hAnsi="宋体" w:cs="宋体"/>
          <w:kern w:val="0"/>
          <w:szCs w:val="21"/>
          <w:lang w:eastAsia="zh-CN"/>
        </w:rPr>
        <w:t>供应商</w:t>
      </w:r>
      <w:r>
        <w:rPr>
          <w:rFonts w:hint="eastAsia" w:ascii="宋体" w:hAnsi="宋体" w:cs="宋体"/>
          <w:kern w:val="0"/>
          <w:szCs w:val="21"/>
        </w:rPr>
        <w:t>不能证明其报价合理性的，评标委员会应当将其作为无效投标处理。</w:t>
      </w:r>
    </w:p>
    <w:p>
      <w:pPr>
        <w:keepNext/>
        <w:keepLines/>
        <w:numPr>
          <w:ilvl w:val="0"/>
          <w:numId w:val="17"/>
        </w:numPr>
        <w:spacing w:line="360" w:lineRule="auto"/>
        <w:jc w:val="left"/>
        <w:outlineLvl w:val="2"/>
        <w:rPr>
          <w:rFonts w:hint="eastAsia" w:ascii="宋体" w:hAnsi="宋体" w:cs="宋体"/>
          <w:b/>
          <w:szCs w:val="21"/>
        </w:rPr>
      </w:pPr>
      <w:bookmarkStart w:id="520" w:name="_Toc7845"/>
      <w:bookmarkStart w:id="521" w:name="_Toc2162"/>
      <w:bookmarkStart w:id="522" w:name="_Toc11785"/>
      <w:bookmarkStart w:id="523" w:name="_Toc6048"/>
      <w:bookmarkStart w:id="524" w:name="_Toc18083"/>
      <w:bookmarkStart w:id="525" w:name="_Toc11722"/>
      <w:bookmarkStart w:id="526" w:name="_Toc5640"/>
      <w:bookmarkStart w:id="527" w:name="_Toc25548"/>
      <w:bookmarkStart w:id="528" w:name="_Toc9150"/>
      <w:bookmarkStart w:id="529" w:name="_Toc2463"/>
      <w:bookmarkStart w:id="530" w:name="_Toc18381"/>
      <w:r>
        <w:rPr>
          <w:rFonts w:hint="eastAsia" w:ascii="宋体" w:hAnsi="宋体" w:cs="宋体"/>
          <w:b/>
          <w:szCs w:val="21"/>
        </w:rPr>
        <w:t>3.3 投标文件的澄清</w:t>
      </w:r>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pacing w:line="360" w:lineRule="auto"/>
        <w:ind w:left="100" w:right="139" w:firstLine="420"/>
        <w:rPr>
          <w:rFonts w:hint="eastAsia" w:ascii="宋体" w:hAnsi="宋体" w:cs="宋体"/>
          <w:kern w:val="0"/>
          <w:szCs w:val="21"/>
        </w:rPr>
      </w:pPr>
      <w:r>
        <w:rPr>
          <w:rFonts w:hint="eastAsia" w:ascii="宋体" w:hAnsi="宋体" w:cs="宋体"/>
          <w:kern w:val="0"/>
          <w:szCs w:val="21"/>
        </w:rPr>
        <w:t>3.3.1 在</w:t>
      </w:r>
      <w:r>
        <w:rPr>
          <w:rFonts w:hint="eastAsia" w:ascii="宋体" w:hAnsi="宋体" w:cs="宋体"/>
          <w:spacing w:val="-2"/>
          <w:kern w:val="0"/>
          <w:szCs w:val="21"/>
        </w:rPr>
        <w:t>评</w:t>
      </w:r>
      <w:r>
        <w:rPr>
          <w:rFonts w:hint="eastAsia" w:ascii="宋体" w:hAnsi="宋体" w:cs="宋体"/>
          <w:kern w:val="0"/>
          <w:szCs w:val="21"/>
        </w:rPr>
        <w:t>标</w:t>
      </w:r>
      <w:r>
        <w:rPr>
          <w:rFonts w:hint="eastAsia" w:ascii="宋体" w:hAnsi="宋体" w:cs="宋体"/>
          <w:spacing w:val="-2"/>
          <w:kern w:val="0"/>
          <w:szCs w:val="21"/>
        </w:rPr>
        <w:t>过</w:t>
      </w:r>
      <w:r>
        <w:rPr>
          <w:rFonts w:hint="eastAsia" w:ascii="宋体" w:hAnsi="宋体" w:cs="宋体"/>
          <w:kern w:val="0"/>
          <w:szCs w:val="21"/>
        </w:rPr>
        <w:t>程中</w:t>
      </w:r>
      <w:r>
        <w:rPr>
          <w:rFonts w:hint="eastAsia" w:ascii="宋体" w:hAnsi="宋体" w:cs="宋体"/>
          <w:spacing w:val="-41"/>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委员</w:t>
      </w:r>
      <w:r>
        <w:rPr>
          <w:rFonts w:hint="eastAsia" w:ascii="宋体" w:hAnsi="宋体" w:cs="宋体"/>
          <w:spacing w:val="-2"/>
          <w:kern w:val="0"/>
          <w:szCs w:val="21"/>
        </w:rPr>
        <w:t>会</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中</w:t>
      </w:r>
      <w:r>
        <w:rPr>
          <w:rFonts w:hint="eastAsia" w:ascii="宋体" w:hAnsi="宋体" w:cs="宋体"/>
          <w:kern w:val="0"/>
          <w:szCs w:val="21"/>
        </w:rPr>
        <w:t>含</w:t>
      </w:r>
      <w:r>
        <w:rPr>
          <w:rFonts w:hint="eastAsia" w:ascii="宋体" w:hAnsi="宋体" w:cs="宋体"/>
          <w:spacing w:val="-2"/>
          <w:kern w:val="0"/>
          <w:szCs w:val="21"/>
        </w:rPr>
        <w:t>义</w:t>
      </w:r>
      <w:r>
        <w:rPr>
          <w:rFonts w:hint="eastAsia" w:ascii="宋体" w:hAnsi="宋体" w:cs="宋体"/>
          <w:kern w:val="0"/>
          <w:szCs w:val="21"/>
        </w:rPr>
        <w:t>不明</w:t>
      </w:r>
      <w:r>
        <w:rPr>
          <w:rFonts w:hint="eastAsia" w:ascii="宋体" w:hAnsi="宋体" w:cs="宋体"/>
          <w:spacing w:val="-2"/>
          <w:kern w:val="0"/>
          <w:szCs w:val="21"/>
        </w:rPr>
        <w:t>确</w:t>
      </w:r>
      <w:r>
        <w:rPr>
          <w:rFonts w:hint="eastAsia" w:ascii="宋体" w:hAnsi="宋体" w:cs="宋体"/>
          <w:spacing w:val="-38"/>
          <w:kern w:val="0"/>
          <w:szCs w:val="21"/>
        </w:rPr>
        <w:t>、</w:t>
      </w:r>
      <w:r>
        <w:rPr>
          <w:rFonts w:hint="eastAsia" w:ascii="宋体" w:hAnsi="宋体" w:cs="宋体"/>
          <w:spacing w:val="-2"/>
          <w:kern w:val="0"/>
          <w:szCs w:val="21"/>
        </w:rPr>
        <w:t>对</w:t>
      </w:r>
      <w:r>
        <w:rPr>
          <w:rFonts w:hint="eastAsia" w:ascii="宋体" w:hAnsi="宋体" w:cs="宋体"/>
          <w:kern w:val="0"/>
          <w:szCs w:val="21"/>
        </w:rPr>
        <w:t>同类问题表述不一</w:t>
      </w:r>
      <w:r>
        <w:rPr>
          <w:rFonts w:hint="eastAsia" w:ascii="宋体" w:hAnsi="宋体" w:cs="宋体"/>
          <w:spacing w:val="-2"/>
          <w:kern w:val="0"/>
          <w:szCs w:val="21"/>
        </w:rPr>
        <w:t>致</w:t>
      </w:r>
      <w:r>
        <w:rPr>
          <w:rFonts w:hint="eastAsia" w:ascii="宋体" w:hAnsi="宋体" w:cs="宋体"/>
          <w:kern w:val="0"/>
          <w:szCs w:val="21"/>
        </w:rPr>
        <w:t>或者</w:t>
      </w:r>
      <w:r>
        <w:rPr>
          <w:rFonts w:hint="eastAsia" w:ascii="宋体" w:hAnsi="宋体" w:cs="宋体"/>
          <w:spacing w:val="-2"/>
          <w:kern w:val="0"/>
          <w:szCs w:val="21"/>
        </w:rPr>
        <w:t>有</w:t>
      </w:r>
      <w:r>
        <w:rPr>
          <w:rFonts w:hint="eastAsia" w:ascii="宋体" w:hAnsi="宋体" w:cs="宋体"/>
          <w:kern w:val="0"/>
          <w:szCs w:val="21"/>
        </w:rPr>
        <w:t>明显文字和计算</w:t>
      </w:r>
      <w:r>
        <w:rPr>
          <w:rFonts w:hint="eastAsia" w:ascii="宋体" w:hAnsi="宋体" w:cs="宋体"/>
          <w:spacing w:val="-2"/>
          <w:kern w:val="0"/>
          <w:szCs w:val="21"/>
        </w:rPr>
        <w:t>错</w:t>
      </w:r>
      <w:r>
        <w:rPr>
          <w:rFonts w:hint="eastAsia" w:ascii="宋体" w:hAnsi="宋体" w:cs="宋体"/>
          <w:kern w:val="0"/>
          <w:szCs w:val="21"/>
        </w:rPr>
        <w:t>误的</w:t>
      </w:r>
      <w:r>
        <w:rPr>
          <w:rFonts w:hint="eastAsia" w:ascii="宋体" w:hAnsi="宋体" w:cs="宋体"/>
          <w:spacing w:val="-2"/>
          <w:kern w:val="0"/>
          <w:szCs w:val="21"/>
        </w:rPr>
        <w:t>内</w:t>
      </w:r>
      <w:r>
        <w:rPr>
          <w:rFonts w:hint="eastAsia" w:ascii="宋体" w:hAnsi="宋体" w:cs="宋体"/>
          <w:kern w:val="0"/>
          <w:szCs w:val="21"/>
        </w:rPr>
        <w:t>容作必要的澄</w:t>
      </w:r>
      <w:r>
        <w:rPr>
          <w:rFonts w:hint="eastAsia" w:ascii="宋体" w:hAnsi="宋体" w:cs="宋体"/>
          <w:spacing w:val="1"/>
          <w:kern w:val="0"/>
          <w:szCs w:val="21"/>
        </w:rPr>
        <w:t>清</w:t>
      </w:r>
      <w:r>
        <w:rPr>
          <w:rFonts w:hint="eastAsia" w:ascii="宋体" w:hAnsi="宋体" w:cs="宋体"/>
          <w:spacing w:val="-2"/>
          <w:kern w:val="0"/>
          <w:szCs w:val="21"/>
        </w:rPr>
        <w:t>、</w:t>
      </w:r>
      <w:r>
        <w:rPr>
          <w:rFonts w:hint="eastAsia" w:ascii="宋体" w:hAnsi="宋体" w:cs="宋体"/>
          <w:kern w:val="0"/>
          <w:szCs w:val="21"/>
        </w:rPr>
        <w:t>说明</w:t>
      </w:r>
      <w:r>
        <w:rPr>
          <w:rFonts w:hint="eastAsia" w:ascii="宋体" w:hAnsi="宋体" w:cs="宋体"/>
          <w:spacing w:val="-2"/>
          <w:kern w:val="0"/>
          <w:szCs w:val="21"/>
        </w:rPr>
        <w:t>或</w:t>
      </w:r>
      <w:r>
        <w:rPr>
          <w:rFonts w:hint="eastAsia" w:ascii="宋体" w:hAnsi="宋体" w:cs="宋体"/>
          <w:kern w:val="0"/>
          <w:szCs w:val="21"/>
        </w:rPr>
        <w:t>补正。澄</w:t>
      </w:r>
      <w:r>
        <w:rPr>
          <w:rFonts w:hint="eastAsia" w:ascii="宋体" w:hAnsi="宋体" w:cs="宋体"/>
          <w:spacing w:val="1"/>
          <w:kern w:val="0"/>
          <w:szCs w:val="21"/>
        </w:rPr>
        <w:t>清</w:t>
      </w:r>
      <w:r>
        <w:rPr>
          <w:rFonts w:hint="eastAsia" w:ascii="宋体" w:hAnsi="宋体" w:cs="宋体"/>
          <w:kern w:val="0"/>
          <w:szCs w:val="21"/>
        </w:rPr>
        <w:t>、</w:t>
      </w:r>
      <w:r>
        <w:rPr>
          <w:rFonts w:hint="eastAsia" w:ascii="宋体" w:hAnsi="宋体" w:cs="宋体"/>
          <w:spacing w:val="-2"/>
          <w:kern w:val="0"/>
          <w:szCs w:val="21"/>
        </w:rPr>
        <w:t>说</w:t>
      </w:r>
      <w:r>
        <w:rPr>
          <w:rFonts w:hint="eastAsia" w:ascii="宋体" w:hAnsi="宋体" w:cs="宋体"/>
          <w:kern w:val="0"/>
          <w:szCs w:val="21"/>
        </w:rPr>
        <w:t>明或补</w:t>
      </w:r>
      <w:r>
        <w:rPr>
          <w:rFonts w:hint="eastAsia" w:ascii="宋体" w:hAnsi="宋体" w:cs="宋体"/>
          <w:spacing w:val="-2"/>
          <w:kern w:val="0"/>
          <w:szCs w:val="21"/>
        </w:rPr>
        <w:t>正</w:t>
      </w:r>
      <w:r>
        <w:rPr>
          <w:rFonts w:hint="eastAsia" w:ascii="宋体" w:hAnsi="宋体" w:cs="宋体"/>
          <w:kern w:val="0"/>
          <w:szCs w:val="21"/>
        </w:rPr>
        <w:t>应</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方</w:t>
      </w:r>
      <w:r>
        <w:rPr>
          <w:rFonts w:hint="eastAsia" w:ascii="宋体" w:hAnsi="宋体" w:cs="宋体"/>
          <w:spacing w:val="-2"/>
          <w:kern w:val="0"/>
          <w:szCs w:val="21"/>
        </w:rPr>
        <w:t>式</w:t>
      </w:r>
      <w:r>
        <w:rPr>
          <w:rFonts w:hint="eastAsia" w:ascii="宋体" w:hAnsi="宋体" w:cs="宋体"/>
          <w:kern w:val="0"/>
          <w:szCs w:val="21"/>
        </w:rPr>
        <w:t>进</w:t>
      </w:r>
      <w:r>
        <w:rPr>
          <w:rFonts w:hint="eastAsia" w:ascii="宋体" w:hAnsi="宋体" w:cs="宋体"/>
          <w:spacing w:val="-2"/>
          <w:kern w:val="0"/>
          <w:szCs w:val="21"/>
        </w:rPr>
        <w:t>行</w:t>
      </w:r>
      <w:r>
        <w:rPr>
          <w:rFonts w:hint="eastAsia" w:ascii="宋体" w:hAnsi="宋体" w:cs="宋体"/>
          <w:szCs w:val="21"/>
        </w:rPr>
        <w:t>，并加盖公章，或者由法定代表人或其授权的代表签字</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不</w:t>
      </w:r>
      <w:r>
        <w:rPr>
          <w:rFonts w:hint="eastAsia" w:ascii="宋体" w:hAnsi="宋体" w:cs="宋体"/>
          <w:kern w:val="0"/>
          <w:szCs w:val="21"/>
        </w:rPr>
        <w:t>接</w:t>
      </w:r>
      <w:r>
        <w:rPr>
          <w:rFonts w:hint="eastAsia" w:ascii="宋体" w:hAnsi="宋体" w:cs="宋体"/>
          <w:spacing w:val="-2"/>
          <w:kern w:val="0"/>
          <w:szCs w:val="21"/>
        </w:rPr>
        <w:t>受</w:t>
      </w:r>
      <w:r>
        <w:rPr>
          <w:rFonts w:hint="eastAsia" w:ascii="宋体" w:hAnsi="宋体" w:cs="宋体"/>
          <w:kern w:val="0"/>
          <w:szCs w:val="21"/>
          <w:lang w:eastAsia="zh-CN"/>
        </w:rPr>
        <w:t>供应商</w:t>
      </w:r>
      <w:r>
        <w:rPr>
          <w:rFonts w:hint="eastAsia" w:ascii="宋体" w:hAnsi="宋体" w:cs="宋体"/>
          <w:kern w:val="0"/>
          <w:szCs w:val="21"/>
        </w:rPr>
        <w:t>主</w:t>
      </w:r>
      <w:r>
        <w:rPr>
          <w:rFonts w:hint="eastAsia" w:ascii="宋体" w:hAnsi="宋体" w:cs="宋体"/>
          <w:spacing w:val="-2"/>
          <w:kern w:val="0"/>
          <w:szCs w:val="21"/>
        </w:rPr>
        <w:t>动</w:t>
      </w:r>
      <w:r>
        <w:rPr>
          <w:rFonts w:hint="eastAsia" w:ascii="宋体" w:hAnsi="宋体" w:cs="宋体"/>
          <w:kern w:val="0"/>
          <w:szCs w:val="21"/>
        </w:rPr>
        <w:t>提</w:t>
      </w:r>
      <w:r>
        <w:rPr>
          <w:rFonts w:hint="eastAsia" w:ascii="宋体" w:hAnsi="宋体" w:cs="宋体"/>
          <w:spacing w:val="-2"/>
          <w:kern w:val="0"/>
          <w:szCs w:val="21"/>
        </w:rPr>
        <w:t>出</w:t>
      </w:r>
      <w:r>
        <w:rPr>
          <w:rFonts w:hint="eastAsia" w:ascii="宋体" w:hAnsi="宋体" w:cs="宋体"/>
          <w:kern w:val="0"/>
          <w:szCs w:val="21"/>
        </w:rPr>
        <w:t>的</w:t>
      </w:r>
      <w:r>
        <w:rPr>
          <w:rFonts w:hint="eastAsia" w:ascii="宋体" w:hAnsi="宋体" w:cs="宋体"/>
          <w:spacing w:val="-2"/>
          <w:kern w:val="0"/>
          <w:szCs w:val="21"/>
        </w:rPr>
        <w:t>澄</w:t>
      </w:r>
      <w:r>
        <w:rPr>
          <w:rFonts w:hint="eastAsia" w:ascii="宋体" w:hAnsi="宋体" w:cs="宋体"/>
          <w:kern w:val="0"/>
          <w:szCs w:val="21"/>
        </w:rPr>
        <w:t>清</w:t>
      </w:r>
      <w:r>
        <w:rPr>
          <w:rFonts w:hint="eastAsia" w:ascii="宋体" w:hAnsi="宋体" w:cs="宋体"/>
          <w:spacing w:val="-2"/>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或补</w:t>
      </w:r>
      <w:r>
        <w:rPr>
          <w:rFonts w:hint="eastAsia" w:ascii="宋体" w:hAnsi="宋体" w:cs="宋体"/>
          <w:spacing w:val="-2"/>
          <w:kern w:val="0"/>
          <w:szCs w:val="21"/>
        </w:rPr>
        <w:t>正</w:t>
      </w:r>
      <w:r>
        <w:rPr>
          <w:rFonts w:hint="eastAsia" w:ascii="宋体" w:hAnsi="宋体" w:cs="宋体"/>
          <w:kern w:val="0"/>
          <w:szCs w:val="21"/>
        </w:rPr>
        <w:t>。</w:t>
      </w:r>
    </w:p>
    <w:p>
      <w:pPr>
        <w:autoSpaceDE w:val="0"/>
        <w:autoSpaceDN w:val="0"/>
        <w:adjustRightInd w:val="0"/>
        <w:spacing w:before="10" w:line="360" w:lineRule="auto"/>
        <w:ind w:left="100" w:right="139" w:firstLine="420"/>
        <w:rPr>
          <w:rFonts w:hint="eastAsia" w:ascii="宋体" w:hAnsi="宋体" w:cs="宋体"/>
          <w:kern w:val="0"/>
          <w:szCs w:val="21"/>
        </w:rPr>
      </w:pPr>
      <w:r>
        <w:rPr>
          <w:rFonts w:hint="eastAsia" w:ascii="宋体" w:hAnsi="宋体" w:cs="宋体"/>
          <w:kern w:val="0"/>
          <w:szCs w:val="21"/>
        </w:rPr>
        <w:t>3.3.2 澄清</w:t>
      </w:r>
      <w:r>
        <w:rPr>
          <w:rFonts w:hint="eastAsia" w:ascii="宋体" w:hAnsi="宋体" w:cs="宋体"/>
          <w:spacing w:val="-41"/>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不</w:t>
      </w:r>
      <w:r>
        <w:rPr>
          <w:rFonts w:hint="eastAsia" w:ascii="宋体" w:hAnsi="宋体" w:cs="宋体"/>
          <w:kern w:val="0"/>
          <w:szCs w:val="21"/>
        </w:rPr>
        <w:t>得超</w:t>
      </w:r>
      <w:r>
        <w:rPr>
          <w:rFonts w:hint="eastAsia" w:ascii="宋体" w:hAnsi="宋体" w:cs="宋体"/>
          <w:spacing w:val="-2"/>
          <w:kern w:val="0"/>
          <w:szCs w:val="21"/>
        </w:rPr>
        <w:t>出</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范</w:t>
      </w:r>
      <w:r>
        <w:rPr>
          <w:rFonts w:hint="eastAsia" w:ascii="宋体" w:hAnsi="宋体" w:cs="宋体"/>
          <w:kern w:val="0"/>
          <w:szCs w:val="21"/>
        </w:rPr>
        <w:t>围</w:t>
      </w:r>
      <w:r>
        <w:rPr>
          <w:rFonts w:hint="eastAsia" w:ascii="宋体" w:hAnsi="宋体" w:cs="宋体"/>
          <w:spacing w:val="-2"/>
          <w:kern w:val="0"/>
          <w:szCs w:val="21"/>
        </w:rPr>
        <w:t>且</w:t>
      </w:r>
      <w:r>
        <w:rPr>
          <w:rFonts w:hint="eastAsia" w:ascii="宋体" w:hAnsi="宋体" w:cs="宋体"/>
          <w:kern w:val="0"/>
          <w:szCs w:val="21"/>
        </w:rPr>
        <w:t>不得</w:t>
      </w:r>
      <w:r>
        <w:rPr>
          <w:rFonts w:hint="eastAsia" w:ascii="宋体" w:hAnsi="宋体" w:cs="宋体"/>
          <w:spacing w:val="-2"/>
          <w:kern w:val="0"/>
          <w:szCs w:val="21"/>
        </w:rPr>
        <w:t>改</w:t>
      </w:r>
      <w:r>
        <w:rPr>
          <w:rFonts w:hint="eastAsia" w:ascii="宋体" w:hAnsi="宋体" w:cs="宋体"/>
          <w:kern w:val="0"/>
          <w:szCs w:val="21"/>
        </w:rPr>
        <w:t>变</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的</w:t>
      </w:r>
      <w:r>
        <w:rPr>
          <w:rFonts w:hint="eastAsia" w:ascii="宋体" w:hAnsi="宋体" w:cs="宋体"/>
          <w:kern w:val="0"/>
          <w:szCs w:val="21"/>
        </w:rPr>
        <w:t>实</w:t>
      </w:r>
      <w:r>
        <w:rPr>
          <w:rFonts w:hint="eastAsia" w:ascii="宋体" w:hAnsi="宋体" w:cs="宋体"/>
          <w:spacing w:val="-2"/>
          <w:kern w:val="0"/>
          <w:szCs w:val="21"/>
        </w:rPr>
        <w:t>质</w:t>
      </w:r>
      <w:r>
        <w:rPr>
          <w:rFonts w:hint="eastAsia" w:ascii="宋体" w:hAnsi="宋体" w:cs="宋体"/>
          <w:kern w:val="0"/>
          <w:szCs w:val="21"/>
        </w:rPr>
        <w:t>性内</w:t>
      </w:r>
      <w:r>
        <w:rPr>
          <w:rFonts w:hint="eastAsia" w:ascii="宋体" w:hAnsi="宋体" w:cs="宋体"/>
          <w:spacing w:val="-2"/>
          <w:kern w:val="0"/>
          <w:szCs w:val="21"/>
        </w:rPr>
        <w:t>容</w:t>
      </w:r>
      <w:r>
        <w:rPr>
          <w:rFonts w:hint="eastAsia" w:ascii="宋体" w:hAnsi="宋体" w:cs="宋体"/>
          <w:spacing w:val="-38"/>
          <w:kern w:val="0"/>
          <w:szCs w:val="21"/>
        </w:rPr>
        <w:t>，</w:t>
      </w:r>
      <w:r>
        <w:rPr>
          <w:rFonts w:hint="eastAsia" w:ascii="宋体" w:hAnsi="宋体" w:cs="宋体"/>
          <w:spacing w:val="-2"/>
          <w:kern w:val="0"/>
          <w:szCs w:val="21"/>
        </w:rPr>
        <w:t>并</w:t>
      </w:r>
      <w:r>
        <w:rPr>
          <w:rFonts w:hint="eastAsia" w:ascii="宋体" w:hAnsi="宋体" w:cs="宋体"/>
          <w:kern w:val="0"/>
          <w:szCs w:val="21"/>
        </w:rPr>
        <w:t>构成投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的</w:t>
      </w:r>
      <w:r>
        <w:rPr>
          <w:rFonts w:hint="eastAsia" w:ascii="宋体" w:hAnsi="宋体" w:cs="宋体"/>
          <w:spacing w:val="-2"/>
          <w:kern w:val="0"/>
          <w:szCs w:val="21"/>
        </w:rPr>
        <w:t>组</w:t>
      </w:r>
      <w:r>
        <w:rPr>
          <w:rFonts w:hint="eastAsia" w:ascii="宋体" w:hAnsi="宋体" w:cs="宋体"/>
          <w:kern w:val="0"/>
          <w:szCs w:val="21"/>
        </w:rPr>
        <w:t>成</w:t>
      </w:r>
      <w:r>
        <w:rPr>
          <w:rFonts w:hint="eastAsia" w:ascii="宋体" w:hAnsi="宋体" w:cs="宋体"/>
          <w:spacing w:val="-2"/>
          <w:kern w:val="0"/>
          <w:szCs w:val="21"/>
        </w:rPr>
        <w:t>部</w:t>
      </w:r>
      <w:r>
        <w:rPr>
          <w:rFonts w:hint="eastAsia" w:ascii="宋体" w:hAnsi="宋体" w:cs="宋体"/>
          <w:kern w:val="0"/>
          <w:szCs w:val="21"/>
        </w:rPr>
        <w:t>分。</w:t>
      </w:r>
    </w:p>
    <w:p>
      <w:pPr>
        <w:autoSpaceDE w:val="0"/>
        <w:autoSpaceDN w:val="0"/>
        <w:adjustRightInd w:val="0"/>
        <w:spacing w:before="11" w:line="360" w:lineRule="auto"/>
        <w:ind w:left="100" w:right="34" w:firstLine="420"/>
        <w:jc w:val="left"/>
        <w:rPr>
          <w:rFonts w:hint="eastAsia" w:ascii="宋体" w:hAnsi="宋体" w:cs="宋体"/>
          <w:kern w:val="0"/>
          <w:szCs w:val="21"/>
        </w:rPr>
      </w:pPr>
      <w:r>
        <w:rPr>
          <w:rFonts w:hint="eastAsia" w:ascii="宋体" w:hAnsi="宋体" w:cs="宋体"/>
          <w:kern w:val="0"/>
          <w:szCs w:val="21"/>
        </w:rPr>
        <w:t>3.3.3</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对</w:t>
      </w:r>
      <w:r>
        <w:rPr>
          <w:rFonts w:hint="eastAsia" w:ascii="宋体" w:hAnsi="宋体" w:cs="宋体"/>
          <w:kern w:val="0"/>
          <w:szCs w:val="21"/>
          <w:lang w:eastAsia="zh-CN"/>
        </w:rPr>
        <w:t>供应商</w:t>
      </w:r>
      <w:r>
        <w:rPr>
          <w:rFonts w:hint="eastAsia" w:ascii="宋体" w:hAnsi="宋体" w:cs="宋体"/>
          <w:kern w:val="0"/>
          <w:szCs w:val="21"/>
        </w:rPr>
        <w:t>提交</w:t>
      </w:r>
      <w:r>
        <w:rPr>
          <w:rFonts w:hint="eastAsia" w:ascii="宋体" w:hAnsi="宋体" w:cs="宋体"/>
          <w:spacing w:val="-2"/>
          <w:kern w:val="0"/>
          <w:szCs w:val="21"/>
        </w:rPr>
        <w:t>的</w:t>
      </w:r>
      <w:r>
        <w:rPr>
          <w:rFonts w:hint="eastAsia" w:ascii="宋体" w:hAnsi="宋体" w:cs="宋体"/>
          <w:kern w:val="0"/>
          <w:szCs w:val="21"/>
        </w:rPr>
        <w:t>澄清</w:t>
      </w:r>
      <w:r>
        <w:rPr>
          <w:rFonts w:hint="eastAsia" w:ascii="宋体" w:hAnsi="宋体" w:cs="宋体"/>
          <w:spacing w:val="-94"/>
          <w:kern w:val="0"/>
          <w:szCs w:val="21"/>
        </w:rPr>
        <w:t>、</w:t>
      </w:r>
      <w:r>
        <w:rPr>
          <w:rFonts w:hint="eastAsia" w:ascii="宋体" w:hAnsi="宋体" w:cs="宋体"/>
          <w:kern w:val="0"/>
          <w:szCs w:val="21"/>
        </w:rPr>
        <w:t>说</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补</w:t>
      </w:r>
      <w:r>
        <w:rPr>
          <w:rFonts w:hint="eastAsia" w:ascii="宋体" w:hAnsi="宋体" w:cs="宋体"/>
          <w:kern w:val="0"/>
          <w:szCs w:val="21"/>
        </w:rPr>
        <w:t>正</w:t>
      </w:r>
      <w:r>
        <w:rPr>
          <w:rFonts w:hint="eastAsia" w:ascii="宋体" w:hAnsi="宋体" w:cs="宋体"/>
          <w:spacing w:val="-2"/>
          <w:kern w:val="0"/>
          <w:szCs w:val="21"/>
        </w:rPr>
        <w:t>有</w:t>
      </w:r>
      <w:r>
        <w:rPr>
          <w:rFonts w:hint="eastAsia" w:ascii="宋体" w:hAnsi="宋体" w:cs="宋体"/>
          <w:kern w:val="0"/>
          <w:szCs w:val="21"/>
        </w:rPr>
        <w:t>疑问的</w:t>
      </w:r>
      <w:r>
        <w:rPr>
          <w:rFonts w:hint="eastAsia" w:ascii="宋体" w:hAnsi="宋体" w:cs="宋体"/>
          <w:spacing w:val="-94"/>
          <w:kern w:val="0"/>
          <w:szCs w:val="21"/>
        </w:rPr>
        <w:t>，</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lang w:eastAsia="zh-CN"/>
        </w:rPr>
        <w:t>供应商</w:t>
      </w:r>
      <w:r>
        <w:rPr>
          <w:rFonts w:hint="eastAsia" w:ascii="宋体" w:hAnsi="宋体" w:cs="宋体"/>
          <w:spacing w:val="-2"/>
          <w:kern w:val="0"/>
          <w:szCs w:val="21"/>
        </w:rPr>
        <w:t>进</w:t>
      </w:r>
      <w:r>
        <w:rPr>
          <w:rFonts w:hint="eastAsia" w:ascii="宋体" w:hAnsi="宋体" w:cs="宋体"/>
          <w:kern w:val="0"/>
          <w:szCs w:val="21"/>
        </w:rPr>
        <w:t>一步</w:t>
      </w:r>
      <w:r>
        <w:rPr>
          <w:rFonts w:hint="eastAsia" w:ascii="宋体" w:hAnsi="宋体" w:cs="宋体"/>
          <w:spacing w:val="-2"/>
          <w:kern w:val="0"/>
          <w:szCs w:val="21"/>
        </w:rPr>
        <w:t>澄</w:t>
      </w:r>
      <w:r>
        <w:rPr>
          <w:rFonts w:hint="eastAsia" w:ascii="宋体" w:hAnsi="宋体" w:cs="宋体"/>
          <w:kern w:val="0"/>
          <w:szCs w:val="21"/>
        </w:rPr>
        <w:t>清、说明</w:t>
      </w:r>
      <w:r>
        <w:rPr>
          <w:rFonts w:hint="eastAsia" w:ascii="宋体" w:hAnsi="宋体" w:cs="宋体"/>
          <w:spacing w:val="-2"/>
          <w:kern w:val="0"/>
          <w:szCs w:val="21"/>
        </w:rPr>
        <w:t>或</w:t>
      </w:r>
      <w:r>
        <w:rPr>
          <w:rFonts w:hint="eastAsia" w:ascii="宋体" w:hAnsi="宋体" w:cs="宋体"/>
          <w:kern w:val="0"/>
          <w:szCs w:val="21"/>
        </w:rPr>
        <w:t>补</w:t>
      </w:r>
      <w:r>
        <w:rPr>
          <w:rFonts w:hint="eastAsia" w:ascii="宋体" w:hAnsi="宋体" w:cs="宋体"/>
          <w:spacing w:val="-3"/>
          <w:kern w:val="0"/>
          <w:szCs w:val="21"/>
        </w:rPr>
        <w:t>正</w:t>
      </w:r>
      <w:r>
        <w:rPr>
          <w:rFonts w:hint="eastAsia" w:ascii="宋体" w:hAnsi="宋体" w:cs="宋体"/>
          <w:kern w:val="0"/>
          <w:szCs w:val="21"/>
        </w:rPr>
        <w:t>，</w:t>
      </w:r>
      <w:r>
        <w:rPr>
          <w:rFonts w:hint="eastAsia" w:ascii="宋体" w:hAnsi="宋体" w:cs="宋体"/>
          <w:spacing w:val="-2"/>
          <w:kern w:val="0"/>
          <w:szCs w:val="21"/>
        </w:rPr>
        <w:t>直</w:t>
      </w:r>
      <w:r>
        <w:rPr>
          <w:rFonts w:hint="eastAsia" w:ascii="宋体" w:hAnsi="宋体" w:cs="宋体"/>
          <w:kern w:val="0"/>
          <w:szCs w:val="21"/>
        </w:rPr>
        <w:t>至</w:t>
      </w:r>
      <w:r>
        <w:rPr>
          <w:rFonts w:hint="eastAsia" w:ascii="宋体" w:hAnsi="宋体" w:cs="宋体"/>
          <w:spacing w:val="-2"/>
          <w:kern w:val="0"/>
          <w:szCs w:val="21"/>
        </w:rPr>
        <w:t>满</w:t>
      </w:r>
      <w:r>
        <w:rPr>
          <w:rFonts w:hint="eastAsia" w:ascii="宋体" w:hAnsi="宋体" w:cs="宋体"/>
          <w:kern w:val="0"/>
          <w:szCs w:val="21"/>
        </w:rPr>
        <w:t>足</w:t>
      </w:r>
      <w:r>
        <w:rPr>
          <w:rFonts w:hint="eastAsia" w:ascii="宋体" w:hAnsi="宋体" w:cs="宋体"/>
          <w:spacing w:val="-2"/>
          <w:kern w:val="0"/>
          <w:szCs w:val="21"/>
        </w:rPr>
        <w:t>评</w:t>
      </w:r>
      <w:r>
        <w:rPr>
          <w:rFonts w:hint="eastAsia" w:ascii="宋体" w:hAnsi="宋体" w:cs="宋体"/>
          <w:kern w:val="0"/>
          <w:szCs w:val="21"/>
        </w:rPr>
        <w:t>标委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的</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rPr>
        <w:t>。</w:t>
      </w:r>
    </w:p>
    <w:p>
      <w:pPr>
        <w:keepNext/>
        <w:keepLines/>
        <w:numPr>
          <w:ilvl w:val="0"/>
          <w:numId w:val="17"/>
        </w:numPr>
        <w:spacing w:line="360" w:lineRule="auto"/>
        <w:jc w:val="left"/>
        <w:outlineLvl w:val="2"/>
        <w:rPr>
          <w:rFonts w:hint="eastAsia" w:ascii="宋体" w:hAnsi="宋体" w:cs="宋体"/>
          <w:b/>
          <w:szCs w:val="21"/>
        </w:rPr>
      </w:pPr>
      <w:bookmarkStart w:id="531" w:name="_Toc25857"/>
      <w:bookmarkStart w:id="532" w:name="_Toc29192"/>
      <w:bookmarkStart w:id="533" w:name="_Toc7956"/>
      <w:bookmarkStart w:id="534" w:name="_Toc27845"/>
      <w:bookmarkStart w:id="535" w:name="_Toc28041"/>
      <w:bookmarkStart w:id="536" w:name="_Toc19665"/>
      <w:bookmarkStart w:id="537" w:name="_Toc19756"/>
      <w:bookmarkStart w:id="538" w:name="_Toc12060"/>
      <w:bookmarkStart w:id="539" w:name="_Toc12108"/>
      <w:bookmarkStart w:id="540" w:name="_Toc19426"/>
      <w:bookmarkStart w:id="541" w:name="_Toc10336"/>
      <w:r>
        <w:rPr>
          <w:rFonts w:hint="eastAsia" w:ascii="宋体" w:hAnsi="宋体" w:cs="宋体"/>
          <w:b/>
          <w:szCs w:val="21"/>
        </w:rPr>
        <w:t>3.4 评标结果</w:t>
      </w:r>
      <w:bookmarkEnd w:id="531"/>
      <w:bookmarkEnd w:id="532"/>
      <w:bookmarkEnd w:id="533"/>
      <w:bookmarkEnd w:id="534"/>
      <w:bookmarkEnd w:id="535"/>
      <w:bookmarkEnd w:id="536"/>
      <w:bookmarkEnd w:id="537"/>
      <w:bookmarkEnd w:id="538"/>
      <w:bookmarkEnd w:id="539"/>
      <w:bookmarkEnd w:id="540"/>
      <w:bookmarkEnd w:id="541"/>
    </w:p>
    <w:p>
      <w:pPr>
        <w:autoSpaceDE w:val="0"/>
        <w:autoSpaceDN w:val="0"/>
        <w:adjustRightInd w:val="0"/>
        <w:spacing w:line="360" w:lineRule="auto"/>
        <w:ind w:left="100" w:right="142" w:firstLine="420"/>
        <w:rPr>
          <w:rFonts w:hint="eastAsia" w:ascii="宋体" w:hAnsi="宋体" w:cs="宋体"/>
          <w:kern w:val="0"/>
          <w:szCs w:val="21"/>
        </w:rPr>
      </w:pPr>
      <w:r>
        <w:rPr>
          <w:rFonts w:hint="eastAsia" w:ascii="宋体" w:hAnsi="宋体" w:cs="宋体"/>
          <w:kern w:val="0"/>
          <w:szCs w:val="21"/>
        </w:rPr>
        <w:t>3.4.1 除</w:t>
      </w:r>
      <w:r>
        <w:rPr>
          <w:rFonts w:hint="eastAsia" w:ascii="宋体" w:hAnsi="宋体" w:cs="宋体"/>
          <w:spacing w:val="-2"/>
          <w:kern w:val="0"/>
          <w:szCs w:val="21"/>
        </w:rPr>
        <w:t>采购人</w:t>
      </w:r>
      <w:r>
        <w:rPr>
          <w:rFonts w:hint="eastAsia" w:ascii="宋体" w:hAnsi="宋体" w:cs="宋体"/>
          <w:kern w:val="0"/>
          <w:szCs w:val="21"/>
        </w:rPr>
        <w:t>授</w:t>
      </w:r>
      <w:r>
        <w:rPr>
          <w:rFonts w:hint="eastAsia" w:ascii="宋体" w:hAnsi="宋体" w:cs="宋体"/>
          <w:spacing w:val="-2"/>
          <w:kern w:val="0"/>
          <w:szCs w:val="21"/>
        </w:rPr>
        <w:t>权</w:t>
      </w:r>
      <w:r>
        <w:rPr>
          <w:rFonts w:hint="eastAsia" w:ascii="宋体" w:hAnsi="宋体" w:cs="宋体"/>
          <w:kern w:val="0"/>
          <w:szCs w:val="21"/>
        </w:rPr>
        <w:t>直</w:t>
      </w:r>
      <w:r>
        <w:rPr>
          <w:rFonts w:hint="eastAsia" w:ascii="宋体" w:hAnsi="宋体" w:cs="宋体"/>
          <w:spacing w:val="-2"/>
          <w:kern w:val="0"/>
          <w:szCs w:val="21"/>
        </w:rPr>
        <w:t>接</w:t>
      </w:r>
      <w:r>
        <w:rPr>
          <w:rFonts w:hint="eastAsia" w:ascii="宋体" w:hAnsi="宋体" w:cs="宋体"/>
          <w:kern w:val="0"/>
          <w:szCs w:val="21"/>
        </w:rPr>
        <w:t>确</w:t>
      </w:r>
      <w:r>
        <w:rPr>
          <w:rFonts w:hint="eastAsia" w:ascii="宋体" w:hAnsi="宋体" w:cs="宋体"/>
          <w:spacing w:val="-2"/>
          <w:kern w:val="0"/>
          <w:szCs w:val="21"/>
        </w:rPr>
        <w:t>定中</w:t>
      </w:r>
      <w:r>
        <w:rPr>
          <w:rFonts w:hint="eastAsia" w:ascii="宋体" w:hAnsi="宋体" w:cs="宋体"/>
          <w:kern w:val="0"/>
          <w:szCs w:val="21"/>
        </w:rPr>
        <w:t>标人</w:t>
      </w:r>
      <w:r>
        <w:rPr>
          <w:rFonts w:hint="eastAsia" w:ascii="宋体" w:hAnsi="宋体" w:cs="宋体"/>
          <w:spacing w:val="-2"/>
          <w:kern w:val="0"/>
          <w:szCs w:val="21"/>
        </w:rPr>
        <w:t>外</w:t>
      </w:r>
      <w:r>
        <w:rPr>
          <w:rFonts w:hint="eastAsia" w:ascii="宋体" w:hAnsi="宋体" w:cs="宋体"/>
          <w:spacing w:val="-53"/>
          <w:kern w:val="0"/>
          <w:szCs w:val="21"/>
        </w:rPr>
        <w:t>，</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按照</w:t>
      </w:r>
      <w:r>
        <w:rPr>
          <w:rFonts w:hint="eastAsia" w:ascii="宋体" w:hAnsi="宋体" w:cs="宋体"/>
          <w:kern w:val="0"/>
          <w:szCs w:val="21"/>
        </w:rPr>
        <w:t>得分</w:t>
      </w:r>
      <w:r>
        <w:rPr>
          <w:rFonts w:hint="eastAsia" w:ascii="宋体" w:hAnsi="宋体" w:cs="宋体"/>
          <w:spacing w:val="-2"/>
          <w:kern w:val="0"/>
          <w:szCs w:val="21"/>
        </w:rPr>
        <w:t>由</w:t>
      </w:r>
      <w:r>
        <w:rPr>
          <w:rFonts w:hint="eastAsia" w:ascii="宋体" w:hAnsi="宋体" w:cs="宋体"/>
          <w:kern w:val="0"/>
          <w:szCs w:val="21"/>
        </w:rPr>
        <w:t>高</w:t>
      </w:r>
      <w:r>
        <w:rPr>
          <w:rFonts w:hint="eastAsia" w:ascii="宋体" w:hAnsi="宋体" w:cs="宋体"/>
          <w:spacing w:val="-2"/>
          <w:kern w:val="0"/>
          <w:szCs w:val="21"/>
        </w:rPr>
        <w:t>到</w:t>
      </w:r>
      <w:r>
        <w:rPr>
          <w:rFonts w:hint="eastAsia" w:ascii="宋体" w:hAnsi="宋体" w:cs="宋体"/>
          <w:kern w:val="0"/>
          <w:szCs w:val="21"/>
        </w:rPr>
        <w:t>低的顺</w:t>
      </w:r>
      <w:r>
        <w:rPr>
          <w:rFonts w:hint="eastAsia" w:ascii="宋体" w:hAnsi="宋体" w:cs="宋体"/>
          <w:spacing w:val="-2"/>
          <w:kern w:val="0"/>
          <w:szCs w:val="21"/>
        </w:rPr>
        <w:t>序</w:t>
      </w:r>
      <w:r>
        <w:rPr>
          <w:rFonts w:hint="eastAsia" w:ascii="宋体" w:hAnsi="宋体" w:cs="宋体"/>
          <w:kern w:val="0"/>
          <w:szCs w:val="21"/>
        </w:rPr>
        <w:t>推</w:t>
      </w:r>
      <w:r>
        <w:rPr>
          <w:rFonts w:hint="eastAsia" w:ascii="宋体" w:hAnsi="宋体" w:cs="宋体"/>
          <w:spacing w:val="-2"/>
          <w:kern w:val="0"/>
          <w:szCs w:val="21"/>
        </w:rPr>
        <w:t>荐3名</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候</w:t>
      </w:r>
      <w:r>
        <w:rPr>
          <w:rFonts w:hint="eastAsia" w:ascii="宋体" w:hAnsi="宋体" w:cs="宋体"/>
          <w:spacing w:val="-2"/>
          <w:kern w:val="0"/>
          <w:szCs w:val="21"/>
        </w:rPr>
        <w:t>选</w:t>
      </w:r>
      <w:r>
        <w:rPr>
          <w:rFonts w:hint="eastAsia" w:ascii="宋体" w:hAnsi="宋体" w:cs="宋体"/>
          <w:kern w:val="0"/>
          <w:szCs w:val="21"/>
        </w:rPr>
        <w:t>人</w:t>
      </w:r>
      <w:r>
        <w:rPr>
          <w:rFonts w:hint="eastAsia" w:ascii="宋体" w:hAnsi="宋体" w:cs="宋体"/>
          <w:spacing w:val="-2"/>
          <w:kern w:val="0"/>
          <w:szCs w:val="21"/>
        </w:rPr>
        <w:t>，</w:t>
      </w:r>
      <w:r>
        <w:rPr>
          <w:rFonts w:hint="eastAsia" w:ascii="宋体" w:hAnsi="宋体" w:cs="宋体"/>
          <w:szCs w:val="21"/>
        </w:rPr>
        <w:t>得分相同的，按投标报价由低到高顺序排列。得分且投标报价相同的并列。投标文件满足招标文件全部实质性要求，且按照评审因素的量化指标评审得分最高的</w:t>
      </w:r>
      <w:r>
        <w:rPr>
          <w:rFonts w:hint="eastAsia" w:ascii="宋体" w:hAnsi="宋体" w:cs="宋体"/>
          <w:szCs w:val="21"/>
          <w:lang w:eastAsia="zh-CN"/>
        </w:rPr>
        <w:t>供应商</w:t>
      </w:r>
      <w:r>
        <w:rPr>
          <w:rFonts w:hint="eastAsia" w:ascii="宋体" w:hAnsi="宋体" w:cs="宋体"/>
          <w:szCs w:val="21"/>
        </w:rPr>
        <w:t>为排名第一的中标候选人。</w:t>
      </w:r>
    </w:p>
    <w:p>
      <w:pPr>
        <w:autoSpaceDE w:val="0"/>
        <w:autoSpaceDN w:val="0"/>
        <w:adjustRightInd w:val="0"/>
        <w:spacing w:before="40" w:line="360" w:lineRule="auto"/>
        <w:ind w:left="100" w:right="140" w:firstLine="420"/>
        <w:rPr>
          <w:rFonts w:hint="eastAsia" w:ascii="宋体" w:hAnsi="宋体" w:cs="宋体"/>
          <w:kern w:val="0"/>
          <w:szCs w:val="21"/>
        </w:rPr>
        <w:sectPr>
          <w:headerReference r:id="rId10" w:type="default"/>
          <w:footerReference r:id="rId11" w:type="default"/>
          <w:pgSz w:w="11906" w:h="16838"/>
          <w:pgMar w:top="1417" w:right="1417" w:bottom="1417" w:left="1417" w:header="777" w:footer="641" w:gutter="0"/>
          <w:cols w:space="720" w:num="1"/>
          <w:docGrid w:linePitch="1" w:charSpace="0"/>
        </w:sectPr>
      </w:pPr>
      <w:r>
        <w:rPr>
          <w:rFonts w:hint="eastAsia" w:ascii="宋体" w:hAnsi="宋体" w:cs="宋体"/>
          <w:kern w:val="0"/>
          <w:szCs w:val="21"/>
        </w:rPr>
        <w:t>3.4.2</w:t>
      </w:r>
      <w:r>
        <w:rPr>
          <w:rFonts w:hint="eastAsia" w:ascii="宋体" w:hAnsi="宋体" w:cs="宋体"/>
          <w:spacing w:val="51"/>
          <w:kern w:val="0"/>
          <w:szCs w:val="21"/>
        </w:rPr>
        <w:t xml:space="preserve"> </w:t>
      </w:r>
      <w:r>
        <w:rPr>
          <w:rFonts w:hint="eastAsia" w:ascii="宋体" w:hAnsi="宋体" w:cs="宋体"/>
          <w:kern w:val="0"/>
          <w:szCs w:val="21"/>
        </w:rPr>
        <w:t>评</w:t>
      </w:r>
      <w:r>
        <w:rPr>
          <w:rFonts w:hint="eastAsia" w:ascii="宋体" w:hAnsi="宋体" w:cs="宋体"/>
          <w:spacing w:val="-2"/>
          <w:kern w:val="0"/>
          <w:szCs w:val="21"/>
        </w:rPr>
        <w:t>标</w:t>
      </w:r>
      <w:r>
        <w:rPr>
          <w:rFonts w:hint="eastAsia" w:ascii="宋体" w:hAnsi="宋体" w:cs="宋体"/>
          <w:kern w:val="0"/>
          <w:szCs w:val="21"/>
        </w:rPr>
        <w:t>委</w:t>
      </w:r>
      <w:r>
        <w:rPr>
          <w:rFonts w:hint="eastAsia" w:ascii="宋体" w:hAnsi="宋体" w:cs="宋体"/>
          <w:spacing w:val="-2"/>
          <w:kern w:val="0"/>
          <w:szCs w:val="21"/>
        </w:rPr>
        <w:t>员</w:t>
      </w:r>
      <w:r>
        <w:rPr>
          <w:rFonts w:hint="eastAsia" w:ascii="宋体" w:hAnsi="宋体" w:cs="宋体"/>
          <w:kern w:val="0"/>
          <w:szCs w:val="21"/>
        </w:rPr>
        <w:t>会</w:t>
      </w:r>
      <w:r>
        <w:rPr>
          <w:rFonts w:hint="eastAsia" w:ascii="宋体" w:hAnsi="宋体" w:cs="宋体"/>
          <w:spacing w:val="-2"/>
          <w:kern w:val="0"/>
          <w:szCs w:val="21"/>
        </w:rPr>
        <w:t>完</w:t>
      </w:r>
      <w:r>
        <w:rPr>
          <w:rFonts w:hint="eastAsia" w:ascii="宋体" w:hAnsi="宋体" w:cs="宋体"/>
          <w:kern w:val="0"/>
          <w:szCs w:val="21"/>
        </w:rPr>
        <w:t>成</w:t>
      </w:r>
      <w:r>
        <w:rPr>
          <w:rFonts w:hint="eastAsia" w:ascii="宋体" w:hAnsi="宋体" w:cs="宋体"/>
          <w:spacing w:val="-2"/>
          <w:kern w:val="0"/>
          <w:szCs w:val="21"/>
        </w:rPr>
        <w:t>评标</w:t>
      </w:r>
      <w:r>
        <w:rPr>
          <w:rFonts w:hint="eastAsia" w:ascii="宋体" w:hAnsi="宋体" w:cs="宋体"/>
          <w:kern w:val="0"/>
          <w:szCs w:val="21"/>
        </w:rPr>
        <w:t>后，</w:t>
      </w:r>
      <w:r>
        <w:rPr>
          <w:rFonts w:hint="eastAsia" w:ascii="宋体" w:hAnsi="宋体" w:cs="宋体"/>
          <w:spacing w:val="-2"/>
          <w:kern w:val="0"/>
          <w:szCs w:val="21"/>
        </w:rPr>
        <w:t>应</w:t>
      </w:r>
      <w:r>
        <w:rPr>
          <w:rFonts w:hint="eastAsia" w:ascii="宋体" w:hAnsi="宋体" w:cs="宋体"/>
          <w:kern w:val="0"/>
          <w:szCs w:val="21"/>
        </w:rPr>
        <w:t>当</w:t>
      </w:r>
      <w:r>
        <w:rPr>
          <w:rFonts w:hint="eastAsia" w:ascii="宋体" w:hAnsi="宋体" w:cs="宋体"/>
          <w:spacing w:val="-2"/>
          <w:kern w:val="0"/>
          <w:szCs w:val="21"/>
        </w:rPr>
        <w:t>向</w:t>
      </w:r>
      <w:r>
        <w:rPr>
          <w:rFonts w:hint="eastAsia" w:ascii="宋体" w:hAnsi="宋体" w:cs="宋体"/>
          <w:kern w:val="0"/>
          <w:szCs w:val="21"/>
        </w:rPr>
        <w:t>采购人</w:t>
      </w:r>
      <w:r>
        <w:rPr>
          <w:rFonts w:hint="eastAsia" w:ascii="宋体" w:hAnsi="宋体" w:cs="宋体"/>
          <w:spacing w:val="-2"/>
          <w:kern w:val="0"/>
          <w:szCs w:val="21"/>
        </w:rPr>
        <w:t>提</w:t>
      </w:r>
      <w:r>
        <w:rPr>
          <w:rFonts w:hint="eastAsia" w:ascii="宋体" w:hAnsi="宋体" w:cs="宋体"/>
          <w:kern w:val="0"/>
          <w:szCs w:val="21"/>
        </w:rPr>
        <w:t>交</w:t>
      </w:r>
      <w:r>
        <w:rPr>
          <w:rFonts w:hint="eastAsia" w:ascii="宋体" w:hAnsi="宋体" w:cs="宋体"/>
          <w:spacing w:val="-2"/>
          <w:kern w:val="0"/>
          <w:szCs w:val="21"/>
        </w:rPr>
        <w:t>书</w:t>
      </w:r>
      <w:r>
        <w:rPr>
          <w:rFonts w:hint="eastAsia" w:ascii="宋体" w:hAnsi="宋体" w:cs="宋体"/>
          <w:kern w:val="0"/>
          <w:szCs w:val="21"/>
        </w:rPr>
        <w:t>面评</w:t>
      </w:r>
      <w:r>
        <w:rPr>
          <w:rFonts w:hint="eastAsia" w:ascii="宋体" w:hAnsi="宋体" w:cs="宋体"/>
          <w:spacing w:val="-2"/>
          <w:kern w:val="0"/>
          <w:szCs w:val="21"/>
        </w:rPr>
        <w:t>标</w:t>
      </w:r>
      <w:r>
        <w:rPr>
          <w:rFonts w:hint="eastAsia" w:ascii="宋体" w:hAnsi="宋体" w:cs="宋体"/>
          <w:kern w:val="0"/>
          <w:szCs w:val="21"/>
        </w:rPr>
        <w:t>报</w:t>
      </w:r>
      <w:r>
        <w:rPr>
          <w:rFonts w:hint="eastAsia" w:ascii="宋体" w:hAnsi="宋体" w:cs="宋体"/>
          <w:spacing w:val="-2"/>
          <w:kern w:val="0"/>
          <w:szCs w:val="21"/>
        </w:rPr>
        <w:t>告</w:t>
      </w:r>
      <w:r>
        <w:rPr>
          <w:rFonts w:hint="eastAsia" w:ascii="宋体" w:hAnsi="宋体" w:cs="宋体"/>
          <w:kern w:val="0"/>
          <w:szCs w:val="21"/>
        </w:rPr>
        <w:t>和</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候</w:t>
      </w:r>
      <w:r>
        <w:rPr>
          <w:rFonts w:hint="eastAsia" w:ascii="宋体" w:hAnsi="宋体" w:cs="宋体"/>
          <w:kern w:val="0"/>
          <w:szCs w:val="21"/>
        </w:rPr>
        <w:t>选</w:t>
      </w:r>
      <w:r>
        <w:rPr>
          <w:rFonts w:hint="eastAsia" w:ascii="宋体" w:hAnsi="宋体" w:cs="宋体"/>
          <w:spacing w:val="-2"/>
          <w:kern w:val="0"/>
          <w:szCs w:val="21"/>
        </w:rPr>
        <w:t>人</w:t>
      </w:r>
      <w:r>
        <w:rPr>
          <w:rFonts w:hint="eastAsia" w:ascii="宋体" w:hAnsi="宋体" w:cs="宋体"/>
          <w:kern w:val="0"/>
          <w:szCs w:val="21"/>
        </w:rPr>
        <w:t>名单。</w:t>
      </w:r>
    </w:p>
    <w:p>
      <w:pPr>
        <w:pStyle w:val="2"/>
        <w:rPr>
          <w:rFonts w:hint="eastAsia"/>
        </w:rPr>
      </w:pPr>
      <w:bookmarkStart w:id="542" w:name="1.评标办法"/>
      <w:bookmarkEnd w:id="542"/>
      <w:bookmarkStart w:id="543" w:name="_Toc23644"/>
      <w:r>
        <w:rPr>
          <w:rFonts w:hint="eastAsia"/>
        </w:rPr>
        <w:t>第四章  合同条款及格式</w:t>
      </w:r>
      <w:bookmarkEnd w:id="543"/>
    </w:p>
    <w:p>
      <w:pPr>
        <w:rPr>
          <w:rFonts w:hint="eastAsia" w:ascii="宋体" w:hAnsi="宋体" w:cs="宋体"/>
        </w:rPr>
      </w:pPr>
    </w:p>
    <w:p>
      <w:pPr>
        <w:pStyle w:val="1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 货 合 同</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采购编号：</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甲方（需方）：</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乙方（供方）：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依照《中华人民共和国民法典》及其他有关法律法规的规定，遵循平等、自愿、公平和诚实信用的原则，就甲方向乙方采购教学设备一批，乙方供货安装等事宜，双方经充分协商，达成一致意见。</w:t>
      </w:r>
      <w:bookmarkStart w:id="544" w:name="_Toc217969516"/>
      <w:bookmarkStart w:id="545" w:name="_Toc180831217"/>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货物的名称、品种、规格和质量</w:t>
      </w:r>
      <w:bookmarkEnd w:id="544"/>
      <w:bookmarkEnd w:id="54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１、货物的名称、品种、规格、品牌：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货物明细清单附后。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２、货物的质量、技术标准：</w:t>
      </w:r>
    </w:p>
    <w:p>
      <w:pPr>
        <w:spacing w:line="36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货物的质量满足国家相关行业的质量标准，并具有国家认可机构检验的质量合格报告。本合同所供货物的规格型号、品牌、基本配置和技术参数、售后服务等须与投标文件一致，如果投标文件与采购招标文件不一致时，必须响应采购招标文件。</w:t>
      </w:r>
    </w:p>
    <w:p>
      <w:pPr>
        <w:spacing w:line="360" w:lineRule="auto"/>
        <w:jc w:val="left"/>
        <w:rPr>
          <w:rFonts w:hint="eastAsia" w:ascii="宋体" w:hAnsi="宋体" w:eastAsia="宋体" w:cs="宋体"/>
          <w:b/>
          <w:color w:val="auto"/>
          <w:sz w:val="21"/>
          <w:szCs w:val="21"/>
          <w:highlight w:val="none"/>
        </w:rPr>
      </w:pPr>
      <w:bookmarkStart w:id="546" w:name="_Toc180831219"/>
      <w:bookmarkStart w:id="547" w:name="_Toc217969518"/>
      <w:r>
        <w:rPr>
          <w:rFonts w:hint="eastAsia" w:ascii="宋体" w:hAnsi="宋体" w:eastAsia="宋体" w:cs="宋体"/>
          <w:b/>
          <w:color w:val="auto"/>
          <w:sz w:val="21"/>
          <w:szCs w:val="21"/>
          <w:highlight w:val="none"/>
        </w:rPr>
        <w:t>第二条  货物的包装标准</w:t>
      </w:r>
      <w:bookmarkEnd w:id="546"/>
      <w:bookmarkEnd w:id="547"/>
    </w:p>
    <w:p>
      <w:pPr>
        <w:spacing w:line="360" w:lineRule="auto"/>
        <w:ind w:firstLine="210" w:firstLineChars="100"/>
        <w:jc w:val="left"/>
        <w:rPr>
          <w:rFonts w:hint="eastAsia" w:ascii="宋体" w:hAnsi="宋体" w:eastAsia="宋体" w:cs="宋体"/>
          <w:color w:val="auto"/>
          <w:sz w:val="21"/>
          <w:szCs w:val="21"/>
          <w:highlight w:val="none"/>
        </w:rPr>
      </w:pPr>
      <w:bookmarkStart w:id="548" w:name="_Toc180831220"/>
      <w:r>
        <w:rPr>
          <w:rFonts w:hint="eastAsia" w:ascii="宋体" w:hAnsi="宋体" w:eastAsia="宋体" w:cs="宋体"/>
          <w:color w:val="auto"/>
          <w:sz w:val="21"/>
          <w:szCs w:val="21"/>
          <w:highlight w:val="none"/>
        </w:rPr>
        <w:t xml:space="preserve">  1、按国家相关标准或主管部门规定执行，无相关标准或规定的，采用足以保护货物不受损的包装方式。 </w:t>
      </w:r>
    </w:p>
    <w:p>
      <w:pPr>
        <w:pStyle w:val="19"/>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2、货物的包装所需用料及包装由乙方负责，乙方须确保其货物包装的安全、耐用，安装前设备在保管、装卸、拆包装过程中，如因乙方包装质量缺陷而导致的货物损坏，由乙方负全责。</w:t>
      </w:r>
      <w:bookmarkEnd w:id="548"/>
      <w:bookmarkStart w:id="549" w:name="_Toc180831221"/>
      <w:bookmarkStart w:id="550" w:name="_Toc217969519"/>
    </w:p>
    <w:p>
      <w:pPr>
        <w:tabs>
          <w:tab w:val="right" w:pos="9708"/>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货物的交货方法、运输方式、交货地点</w:t>
      </w:r>
      <w:bookmarkEnd w:id="549"/>
      <w:bookmarkEnd w:id="550"/>
      <w:bookmarkStart w:id="551" w:name="_Toc180831222"/>
      <w:bookmarkStart w:id="552" w:name="_Toc217969520"/>
      <w:r>
        <w:rPr>
          <w:rFonts w:hint="eastAsia" w:ascii="宋体" w:hAnsi="宋体" w:eastAsia="宋体" w:cs="宋体"/>
          <w:b/>
          <w:color w:val="auto"/>
          <w:sz w:val="21"/>
          <w:szCs w:val="21"/>
          <w:highlight w:val="none"/>
        </w:rPr>
        <w:tab/>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1、交货方法：乙方送货到甲方指定的现场，并负责卸货、二次运输、安装、设备的调试，直至整体验收合格及保修期内的保修。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2、运输方式：乙方自行选择运输方式，确保货物按期送达并在甲方规定的时间内运到。</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3、交货地点：甲方指定地点。</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货物的交货时间</w:t>
      </w:r>
      <w:bookmarkEnd w:id="551"/>
      <w:bookmarkEnd w:id="552"/>
    </w:p>
    <w:p>
      <w:pPr>
        <w:spacing w:line="360" w:lineRule="auto"/>
        <w:ind w:firstLine="420" w:firstLineChars="200"/>
        <w:jc w:val="left"/>
        <w:rPr>
          <w:rFonts w:hint="eastAsia" w:ascii="宋体" w:hAnsi="宋体" w:eastAsia="宋体" w:cs="宋体"/>
          <w:color w:val="auto"/>
          <w:sz w:val="21"/>
          <w:szCs w:val="21"/>
          <w:highlight w:val="none"/>
        </w:rPr>
      </w:pPr>
      <w:bookmarkStart w:id="553" w:name="_Toc217969521"/>
      <w:bookmarkStart w:id="554" w:name="_Toc180831223"/>
      <w:r>
        <w:rPr>
          <w:rFonts w:hint="eastAsia" w:ascii="宋体" w:hAnsi="宋体" w:eastAsia="宋体" w:cs="宋体"/>
          <w:color w:val="auto"/>
          <w:sz w:val="21"/>
          <w:szCs w:val="21"/>
          <w:highlight w:val="none"/>
        </w:rPr>
        <w:t>乙方须在合同签订30日历天内将设备清单(详见附件供货清单)所列的全部设备运送至甲方现场，并安装调试到位完成验收。</w:t>
      </w:r>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验收方法</w:t>
      </w:r>
      <w:bookmarkEnd w:id="553"/>
      <w:bookmarkEnd w:id="554"/>
    </w:p>
    <w:p>
      <w:pPr>
        <w:spacing w:line="360" w:lineRule="auto"/>
        <w:ind w:firstLine="420" w:firstLineChars="200"/>
        <w:jc w:val="left"/>
        <w:rPr>
          <w:rFonts w:hint="eastAsia" w:ascii="宋体" w:hAnsi="宋体" w:eastAsia="宋体" w:cs="宋体"/>
          <w:color w:val="auto"/>
          <w:sz w:val="21"/>
          <w:szCs w:val="21"/>
          <w:highlight w:val="none"/>
        </w:rPr>
      </w:pPr>
      <w:bookmarkStart w:id="555" w:name="_Toc180831224"/>
      <w:r>
        <w:rPr>
          <w:rFonts w:hint="eastAsia" w:ascii="宋体" w:hAnsi="宋体" w:eastAsia="宋体" w:cs="宋体"/>
          <w:color w:val="auto"/>
          <w:sz w:val="21"/>
          <w:szCs w:val="21"/>
          <w:highlight w:val="none"/>
        </w:rPr>
        <w:t>1、乙方将设备送至交货地点后，甲方对实到设备的数量和外观质量进行验收，设备经验收合格后，乙方安装人员进行安装。设备数量和外观质量的验收不免除乙方对设备整体质量保证的责任。</w:t>
      </w:r>
    </w:p>
    <w:p>
      <w:pPr>
        <w:pStyle w:val="1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发现设备外观有质量问题（如设备缺陷、损伤损坏、锈蚀、受潮等现象），认为达不到合同要求时，甲方有权拒绝接收，乙方应在甲方拒绝接收后24小时内派人处理。如乙方未24小时内处理则设备毁损灭失的风险乙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5、甲方对货物的验收、认可，不免除乙方对货物质量缺陷应承担的责任。</w:t>
      </w:r>
      <w:bookmarkStart w:id="556" w:name="_Toc217969522"/>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合同价格</w:t>
      </w:r>
      <w:bookmarkEnd w:id="555"/>
      <w:bookmarkEnd w:id="556"/>
    </w:p>
    <w:p>
      <w:pPr>
        <w:numPr>
          <w:ilvl w:val="0"/>
          <w:numId w:val="22"/>
        </w:numPr>
        <w:spacing w:line="360" w:lineRule="auto"/>
        <w:jc w:val="left"/>
        <w:rPr>
          <w:rFonts w:hint="eastAsia" w:ascii="宋体" w:hAnsi="宋体" w:eastAsia="宋体" w:cs="宋体"/>
          <w:color w:val="auto"/>
          <w:sz w:val="21"/>
          <w:szCs w:val="21"/>
          <w:highlight w:val="none"/>
        </w:rPr>
      </w:pPr>
      <w:bookmarkStart w:id="557" w:name="_Toc217969523"/>
      <w:bookmarkStart w:id="558" w:name="_Toc180831225"/>
      <w:r>
        <w:rPr>
          <w:rFonts w:hint="eastAsia" w:ascii="宋体" w:hAnsi="宋体" w:eastAsia="宋体" w:cs="宋体"/>
          <w:color w:val="auto"/>
          <w:sz w:val="21"/>
          <w:szCs w:val="21"/>
          <w:highlight w:val="none"/>
        </w:rPr>
        <w:t>设备的价格：本项目采用总价包干的方式，合同包干总金额为人民币（</w:t>
      </w:r>
      <w:r>
        <w:rPr>
          <w:rFonts w:hint="eastAsia" w:ascii="宋体" w:hAnsi="宋体" w:eastAsia="宋体" w:cs="宋体"/>
          <w:bCs/>
          <w:color w:val="auto"/>
          <w:sz w:val="21"/>
          <w:szCs w:val="21"/>
          <w:highlight w:val="none"/>
        </w:rPr>
        <w:t>大写）_______________________（¥：_____________元）</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干总价包含设备出厂价、包装费、运输费、卸车费、场内二次运输、安装费、调试费、质保期内的维保费用、设备使用培训费、各类风险、利润、第三方质量检验机构的验收费用等其他一切相关的费用，该包干总价已经包含税金，含税价为为人民币（</w:t>
      </w:r>
      <w:r>
        <w:rPr>
          <w:rFonts w:hint="eastAsia" w:ascii="宋体" w:hAnsi="宋体" w:eastAsia="宋体" w:cs="宋体"/>
          <w:bCs/>
          <w:color w:val="auto"/>
          <w:sz w:val="21"/>
          <w:szCs w:val="21"/>
          <w:highlight w:val="none"/>
        </w:rPr>
        <w:t>大写）_______________________（¥：___________元），</w:t>
      </w:r>
      <w:r>
        <w:rPr>
          <w:rFonts w:hint="eastAsia" w:ascii="宋体" w:hAnsi="宋体" w:eastAsia="宋体" w:cs="宋体"/>
          <w:color w:val="auto"/>
          <w:sz w:val="21"/>
          <w:szCs w:val="21"/>
          <w:highlight w:val="none"/>
        </w:rPr>
        <w:t>本项目税金由</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承担支付。</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货物的付款方式及时间</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1、采购货物安装调试完毕，经第三方验收合格，乙方须提供合同总价100%金额的正规发票后，甲方两年内付清货款。</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乙方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货物的质量保证期</w:t>
      </w:r>
      <w:bookmarkEnd w:id="557"/>
      <w:bookmarkEnd w:id="558"/>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bCs/>
          <w:color w:val="auto"/>
          <w:sz w:val="21"/>
          <w:szCs w:val="21"/>
          <w:highlight w:val="none"/>
        </w:rPr>
      </w:pPr>
      <w:bookmarkStart w:id="559" w:name="_Toc180831226"/>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所提供的协议货物质保期应符合国家或行业相关标准（相关标准以最高标准为准），没有相关标准的不得低于24个月，质量保证期均自设备验收合格后移交甲方接收之日起计（质保期内维保内容及售后服务承诺详见附件）。质保期内免费保修，产品终身维修。</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2、在质量保证期内，凡属乙方设备质量缺陷的，乙方必须在规定时间内进行更换且承担由此给甲方造成的相关损失；如属使用不当造成的问题，乙方仍应及时负责修复或更换，费用由责任方承担。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3、质量保证期内，乙方接到甲方通知后须在</w:t>
      </w:r>
      <w:r>
        <w:rPr>
          <w:rFonts w:hint="eastAsia" w:ascii="宋体" w:hAnsi="宋体" w:eastAsia="宋体" w:cs="宋体"/>
          <w:color w:val="auto"/>
          <w:sz w:val="21"/>
          <w:szCs w:val="21"/>
          <w:highlight w:val="none"/>
          <w:u w:val="single"/>
        </w:rPr>
        <w:t>24小时</w:t>
      </w:r>
      <w:r>
        <w:rPr>
          <w:rFonts w:hint="eastAsia" w:ascii="宋体" w:hAnsi="宋体" w:eastAsia="宋体" w:cs="宋体"/>
          <w:color w:val="auto"/>
          <w:sz w:val="21"/>
          <w:szCs w:val="21"/>
          <w:highlight w:val="none"/>
        </w:rPr>
        <w:t>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4、乙方应对延迟维修及质量缺陷给甲方或第三人造成的全部损失进行赔偿。</w:t>
      </w:r>
    </w:p>
    <w:p>
      <w:pPr>
        <w:keepNext w:val="0"/>
        <w:keepLines w:val="0"/>
        <w:pageBreakBefore w:val="0"/>
        <w:widowControl w:val="0"/>
        <w:kinsoku/>
        <w:wordWrap/>
        <w:overflowPunct/>
        <w:topLinePunct w:val="0"/>
        <w:autoSpaceDE/>
        <w:autoSpaceDN/>
        <w:bidi w:val="0"/>
        <w:adjustRightInd/>
        <w:snapToGrid/>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5、响应人承诺至少 1 年以上保证提供货物的零配件供应，避免因相关零配件停产造成货物无法正常维护的情形发生。</w:t>
      </w:r>
    </w:p>
    <w:bookmarkEnd w:id="559"/>
    <w:p>
      <w:pPr>
        <w:keepNext w:val="0"/>
        <w:keepLines w:val="0"/>
        <w:pageBreakBefore w:val="0"/>
        <w:widowControl w:val="0"/>
        <w:kinsoku/>
        <w:wordWrap/>
        <w:overflowPunct/>
        <w:topLinePunct w:val="0"/>
        <w:autoSpaceDE/>
        <w:autoSpaceDN/>
        <w:bidi w:val="0"/>
        <w:spacing w:line="570" w:lineRule="exact"/>
        <w:jc w:val="left"/>
        <w:textAlignment w:val="auto"/>
        <w:rPr>
          <w:rFonts w:hint="eastAsia" w:ascii="宋体" w:hAnsi="宋体" w:eastAsia="宋体" w:cs="宋体"/>
          <w:b/>
          <w:color w:val="auto"/>
          <w:sz w:val="21"/>
          <w:szCs w:val="21"/>
          <w:highlight w:val="none"/>
        </w:rPr>
      </w:pPr>
      <w:bookmarkStart w:id="560" w:name="_Toc217969524"/>
      <w:bookmarkStart w:id="561" w:name="_Toc180831227"/>
      <w:r>
        <w:rPr>
          <w:rFonts w:hint="eastAsia" w:ascii="宋体" w:hAnsi="宋体" w:eastAsia="宋体" w:cs="宋体"/>
          <w:b/>
          <w:color w:val="auto"/>
          <w:sz w:val="21"/>
          <w:szCs w:val="21"/>
          <w:highlight w:val="none"/>
        </w:rPr>
        <w:t>第九条  禁止转让、分包、贴牌生产</w:t>
      </w:r>
      <w:bookmarkEnd w:id="560"/>
      <w:bookmarkEnd w:id="561"/>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bookmarkStart w:id="562" w:name="_Toc217969525"/>
      <w:bookmarkStart w:id="563" w:name="_Toc180831228"/>
      <w:r>
        <w:rPr>
          <w:rFonts w:hint="eastAsia" w:ascii="宋体" w:hAnsi="宋体" w:eastAsia="宋体" w:cs="宋体"/>
          <w:color w:val="auto"/>
          <w:sz w:val="21"/>
          <w:szCs w:val="21"/>
          <w:highlight w:val="none"/>
        </w:rPr>
        <w:t>1、乙方不得将其在合同中的任何义务全部或部分转让给第三人。</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2、未经甲方同意，乙方不得将合同的任何部分分包出去。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3、甲方任何有关分包的同意，不免除乙方根据合同应担负的责任或应尽的义务，乙方对任何分包商、分包商代理人、分包商的服务人员及工作人员的行为、违约及疏忽所造成的损失承担共同赔偿责任。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472" w:firstLineChars="2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4、乙方不得有将设备委托第三人生产后贴用合同所指定品牌的行为。</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货物的所有权和风险转移</w:t>
      </w:r>
      <w:bookmarkEnd w:id="562"/>
      <w:bookmarkEnd w:id="563"/>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1、甲乙双方验收确认货物并交付由甲方接收时起，货物所有权转移至甲方。</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2、货物的毁损灭失风险，设备安装调试完毕后甲方验收合格并接收货物前由乙方承担，接收货物后由甲方承担。</w:t>
      </w:r>
      <w:bookmarkStart w:id="564" w:name="_Toc217969527"/>
      <w:bookmarkStart w:id="565" w:name="_Toc180831230"/>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双方责任</w:t>
      </w:r>
      <w:bookmarkEnd w:id="564"/>
      <w:bookmarkEnd w:id="565"/>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jc w:val="left"/>
        <w:textAlignment w:val="auto"/>
        <w:rPr>
          <w:rFonts w:hint="eastAsia" w:ascii="宋体" w:hAnsi="宋体" w:eastAsia="宋体" w:cs="宋体"/>
          <w:color w:val="auto"/>
          <w:sz w:val="21"/>
          <w:szCs w:val="21"/>
          <w:highlight w:val="none"/>
        </w:rPr>
      </w:pPr>
      <w:bookmarkStart w:id="566" w:name="_Toc217969529"/>
      <w:bookmarkStart w:id="567" w:name="_Toc180831232"/>
      <w:r>
        <w:rPr>
          <w:rFonts w:hint="eastAsia" w:ascii="宋体" w:hAnsi="宋体" w:eastAsia="宋体" w:cs="宋体"/>
          <w:color w:val="auto"/>
          <w:sz w:val="21"/>
          <w:szCs w:val="21"/>
          <w:highlight w:val="none"/>
        </w:rPr>
        <w:t>（1）甲方责任</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57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1、无正当理由无权拒收设备，否则应承担相应后果。</w:t>
      </w:r>
    </w:p>
    <w:p>
      <w:pPr>
        <w:keepNext w:val="0"/>
        <w:keepLines w:val="0"/>
        <w:pageBreakBefore w:val="0"/>
        <w:widowControl w:val="0"/>
        <w:tabs>
          <w:tab w:val="left" w:pos="386"/>
          <w:tab w:val="left" w:pos="993"/>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2、货物送达交货地后，甲方指定堆放、安装地点。</w:t>
      </w:r>
    </w:p>
    <w:p>
      <w:pPr>
        <w:tabs>
          <w:tab w:val="left" w:pos="386"/>
          <w:tab w:val="left" w:pos="993"/>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（2）乙方责任</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bookmarkStart w:id="568" w:name="_Toc180831231"/>
      <w:r>
        <w:rPr>
          <w:rFonts w:hint="eastAsia" w:ascii="宋体" w:hAnsi="宋体" w:eastAsia="宋体" w:cs="宋体"/>
          <w:color w:val="auto"/>
          <w:sz w:val="21"/>
          <w:szCs w:val="21"/>
          <w:highlight w:val="none"/>
        </w:rPr>
        <w:t>1、乙方保证所供设备为符合本合同约定品牌、规格、产地等条件的全新产品，并保证所有设备来源合法，保证任何第三人不得向甲方主张任何权利。</w:t>
      </w:r>
    </w:p>
    <w:p>
      <w:pPr>
        <w:tabs>
          <w:tab w:val="left" w:pos="386"/>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2、在设备交货后，乙方根据甲方要求的时间负责设备的使用及维护现场培训，确保产品及时投入正常使用。</w:t>
      </w:r>
    </w:p>
    <w:p>
      <w:pPr>
        <w:tabs>
          <w:tab w:val="left" w:pos="0"/>
          <w:tab w:val="left" w:pos="993"/>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保证在合同约定的送货时间将全部设备送抵供货，并在货到现场后及时安装。乙方未在规定时间送货或安装的，每延误一天，向甲方偿付不能交货部分货款0.5‰的违约金。若乙方延误供货超过30天，甲方有权单方解除合同，乙方承担相关违约责任，同时向甲方支付总货款30%的违约金。若乙方出现违约情形产生的违约金及给甲方造成的损失，甲方有权直接在货款金额内予以扣除。</w:t>
      </w:r>
    </w:p>
    <w:bookmarkEnd w:id="568"/>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w:t>
      </w:r>
      <w:bookmarkEnd w:id="566"/>
      <w:bookmarkEnd w:id="56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bookmarkStart w:id="569" w:name="_Toc180831233"/>
      <w:bookmarkStart w:id="570" w:name="_Toc217969530"/>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其它约定</w:t>
      </w:r>
      <w:bookmarkEnd w:id="569"/>
      <w:bookmarkEnd w:id="570"/>
    </w:p>
    <w:p>
      <w:pPr>
        <w:spacing w:line="360" w:lineRule="auto"/>
        <w:ind w:firstLine="420" w:firstLineChars="200"/>
        <w:jc w:val="left"/>
        <w:rPr>
          <w:rFonts w:hint="eastAsia" w:ascii="宋体" w:hAnsi="宋体" w:eastAsia="宋体" w:cs="宋体"/>
          <w:color w:val="auto"/>
          <w:sz w:val="21"/>
          <w:szCs w:val="21"/>
          <w:highlight w:val="none"/>
        </w:rPr>
      </w:pPr>
      <w:bookmarkStart w:id="571" w:name="_Toc180831234"/>
      <w:r>
        <w:rPr>
          <w:rFonts w:hint="eastAsia" w:ascii="宋体" w:hAnsi="宋体" w:eastAsia="宋体" w:cs="宋体"/>
          <w:color w:val="auto"/>
          <w:sz w:val="21"/>
          <w:szCs w:val="21"/>
          <w:highlight w:val="none"/>
        </w:rPr>
        <w:t>1、乙方的通讯地址为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，甲方依上述地址向乙方发送有关信函文件，因乙方所留地址有误或变更地址未通知甲方的，责任由乙方承担，甲方向乙方所发送的信函文件等视为已送达乙方。</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2、本合同如发生纠纷，当事人双方应及时协商解决，协商不成时，任何一方均向甲方所在地人民法院提起诉讼，由此产生的诉讼费、律师费、鉴定费、保全费、保函费由违约方承担。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3、本合同一式伍份，甲方及相关部门执肆份，乙方执一份，具同等法律效力，合同自甲、乙双方签字盖章之日起生效。</w:t>
      </w:r>
      <w:bookmarkStart w:id="572" w:name="_Toc217969531"/>
    </w:p>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合同附件</w:t>
      </w:r>
      <w:bookmarkEnd w:id="571"/>
      <w:bookmarkEnd w:id="572"/>
    </w:p>
    <w:p>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本合同包含的附件</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甲方（盖章）：                      乙方（盖章）： </w:t>
      </w:r>
    </w:p>
    <w:p>
      <w:pPr>
        <w:tabs>
          <w:tab w:val="left" w:pos="7200"/>
        </w:tabs>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甲方法定代表人(授权代表)：          乙方法定代表人(授权代表)：</w:t>
      </w:r>
    </w:p>
    <w:p>
      <w:pPr>
        <w:autoSpaceDE w:val="0"/>
        <w:autoSpaceDN w:val="0"/>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电    话：                          电    话：</w:t>
      </w:r>
    </w:p>
    <w:p>
      <w:pPr>
        <w:pStyle w:val="121"/>
        <w:spacing w:line="360" w:lineRule="auto"/>
        <w:ind w:firstLine="3795" w:firstLineChars="18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签 约 日 期：                </w:t>
      </w:r>
    </w:p>
    <w:p>
      <w:pPr>
        <w:pStyle w:val="121"/>
        <w:spacing w:line="360" w:lineRule="auto"/>
        <w:rPr>
          <w:rFonts w:hint="eastAsia" w:ascii="宋体" w:hAnsi="宋体" w:cs="宋体"/>
          <w:color w:val="auto"/>
          <w:sz w:val="21"/>
          <w:szCs w:val="21"/>
          <w:highlight w:val="none"/>
        </w:rPr>
      </w:pPr>
    </w:p>
    <w:p>
      <w:pPr>
        <w:pStyle w:val="121"/>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附件：供货清单（货物名称、品牌型号、生产厂家、数量及金额）</w:t>
      </w:r>
    </w:p>
    <w:p>
      <w:pPr>
        <w:pStyle w:val="2"/>
        <w:numPr>
          <w:ilvl w:val="0"/>
          <w:numId w:val="23"/>
        </w:numPr>
        <w:jc w:val="center"/>
        <w:rPr>
          <w:rFonts w:hint="eastAsia" w:ascii="宋体" w:hAnsi="宋体" w:cs="宋体"/>
          <w:sz w:val="40"/>
          <w:szCs w:val="40"/>
        </w:rPr>
      </w:pPr>
      <w:r>
        <w:rPr>
          <w:rFonts w:hint="eastAsia" w:ascii="宋体" w:hAnsi="宋体" w:cs="宋体"/>
          <w:sz w:val="40"/>
          <w:szCs w:val="40"/>
        </w:rPr>
        <w:br w:type="page"/>
      </w:r>
      <w:r>
        <w:rPr>
          <w:rFonts w:hint="eastAsia" w:ascii="宋体" w:hAnsi="宋体" w:cs="宋体"/>
          <w:sz w:val="40"/>
          <w:szCs w:val="40"/>
        </w:rPr>
        <w:t xml:space="preserve"> </w:t>
      </w:r>
      <w:bookmarkStart w:id="573" w:name="_Toc31309"/>
      <w:r>
        <w:rPr>
          <w:rFonts w:hint="eastAsia" w:ascii="宋体" w:hAnsi="宋体" w:cs="宋体"/>
          <w:sz w:val="40"/>
          <w:szCs w:val="40"/>
        </w:rPr>
        <w:t>采购内容及技术要求</w:t>
      </w:r>
      <w:bookmarkEnd w:id="5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投标人必须负责所投软硬件设备的安装、调试，并保证系统安全稳定地运行，费用包含在投标总报价中，并报出单项价格。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在完成安装、调试、检测后，须向用户提供检测报告、技术文档，验收的技术标准应达到制造(生产)厂商标明的技术指标，个别不能测试的指标另作详细的文字说明。检测的标准依据国家有关规定执行。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本次采购设备/系统中如果某些技术标准与国家所要求的标准不统一或有不兼容的地方，均以国家强制性标准或最新出台的标准为准。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如果未在招标文件中要求提供其相关行业标准或国家强制性标准的，则投标人有责任给予补充说明。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招标文件中为简述货物的品质、基本性能而标示的品牌型号或指标与某产品相同的仅供投标人选择货物时在质量水平上的参考，不具有限制性，评标以功能和性能为主，投标人可提供品质相同的或优于同类产品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除招标文件要求提供的备件、专用工具和消耗品外，对于招标文件中没有列出，而对系统、设备的质量保证期内正常运行和维护必不可少的备件、专用工具和消耗品，投标人应列出详细清单，并报出单项价格。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 投标产品若属于应满足政府采购有关政策规定的，应当满足其规定：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节能环保产品需根据财库〔2019〕9号文</w:t>
      </w:r>
      <w:r>
        <w:rPr>
          <w:rFonts w:hint="default"/>
        </w:rPr>
        <w:t>“</w:t>
      </w:r>
      <w:r>
        <w:rPr>
          <w:rFonts w:hint="eastAsia"/>
        </w:rPr>
        <w:t>财政部、发展改革委、生态环境部、市场监管总局关于调整优化节能产品、环境标志产品政府采购执行机制的通知</w:t>
      </w:r>
      <w:r>
        <w:rPr>
          <w:rFonts w:hint="default"/>
        </w:rPr>
        <w:t>”</w:t>
      </w:r>
      <w:r>
        <w:rPr>
          <w:rFonts w:hint="eastAsia"/>
        </w:rPr>
        <w:t>提供相关证明材料。①所投产品属于《关于印发环境标志产品政府采购品目清单的通知》(财库〔2019〕18号)目录清单范围内产品的，投标人须提供国家确定的认证机构出具的、处于有效期之内的节能产品、环境标志产品认证证书。②所投货物有属于《关于印发节能产品政府采购品目清单的通知》(财库〔2019〕19号)目录清单范围内产品的，投标人须提供国家确定的认证机构出具的、处于有效期之内的节能产品、环境标志产品认证证书。政府强制采购产品（★号项）必须提供国家确定的认证机构出具的、处于有效期之内的节能产品、环境标志产品认证证书，否则其投标不予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若为信息安全产品，须通过国家信息安全认证中心认证，计算机产品须预装正版操作系统软件。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 若为无线局域网产品，必须符合国家财政部、发改委、信息产业部等部门的规定，投标人必须提供所投货物的《无线局域网认证产品政府采购清单》中的产品，并提供该产品的清单复印件。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 若被列入国家互联网信息办公室、工业和信息化部、公安部、国家认证认可监督管理委员会《网络关键设备和网络安全专用产品目录》的，应当按照相关国家标准的强制性要求，提供由具备资格的机构安全认证合格或者安全检测符合要求的相关证明材料的复印件（具备资格的机构指国家认证认可监督管理委员会、工业和信息化部、公安部、国家互联网信息办公室按照国家有关规定共同认定的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 若涉及网络通讯产品，接口应符合国家或行业主管部门的标准。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 若涉及国家及地方相关强制许可、认证等的产品，应符合相关要求。</w:t>
      </w:r>
    </w:p>
    <w:p>
      <w:pPr>
        <w:pStyle w:val="30"/>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二、货物需求、基本配置和技术参数要求</w:t>
      </w:r>
    </w:p>
    <w:p>
      <w:pPr>
        <w:jc w:val="center"/>
        <w:rPr>
          <w:rFonts w:hint="eastAsia"/>
          <w:sz w:val="28"/>
          <w:szCs w:val="28"/>
          <w:lang w:val="en-US" w:eastAsia="zh-CN"/>
        </w:rPr>
      </w:pPr>
      <w:bookmarkStart w:id="574" w:name="_Toc152045786"/>
      <w:bookmarkStart w:id="575" w:name="_Toc152042575"/>
      <w:bookmarkStart w:id="576" w:name="_Toc144974855"/>
      <w:r>
        <w:rPr>
          <w:rFonts w:hint="eastAsia"/>
          <w:sz w:val="28"/>
          <w:szCs w:val="28"/>
          <w:lang w:val="en-US" w:eastAsia="zh-CN"/>
        </w:rPr>
        <w:t>四标段</w:t>
      </w:r>
    </w:p>
    <w:tbl>
      <w:tblPr>
        <w:tblStyle w:val="43"/>
        <w:tblW w:w="9942"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614"/>
        <w:gridCol w:w="565"/>
        <w:gridCol w:w="565"/>
        <w:gridCol w:w="7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序号</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名称</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单位</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智慧黑板</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1、整机屏幕采用86英寸，UHD超高清LED液晶屏，显示比例16:9，屏幕图像分辨率3840*2160；</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2、整体外观尺寸：宽4200mm，高1200mm，厚95mm。整机采用三拼接平面一体化设计，无推拉式结构及外露连接线；</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3、整机采用内置摄像头、麦克风，无需外接线材连接和任何可见外接线材及模块化拼接痕迹，不占用整机设备端口；</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4、整机主屏和整机两侧副板支持普通粉笔、液体粉笔、水溶性粉笔直接书写；</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★5、整机提供前置输入接口，1路前置HDMI接口，2路前置双通道USB接口，1路Type-C；（提供CNAS级别权威机构出具的检测报告复印件并加盖厂商公章）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6、后置接口具备2路HDMI，1路VGA，2路USB，1路Audio in 3.5mm，1路RS232，1路RJ45，1路USB触控输出，1路Audio out 3.5mm（提供CNAS级别权威机构出具的检测报告复印件并加盖厂商公章）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★7、每台机器支持配置教学智能笔，整机包含1个磁吸充电收纳槽，用于智能笔的收纳和无线充电，可支持充电15分钟，使用45分钟；（提供CNAS级别权威机构出具的检测报告复印件并加盖厂商公章）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8、整机内置智能笔无线接收器，无需连接外部线材即可实现扩音和语音指令功能。（提供CNAS级别权威机构出具的检测报告复印件并加盖厂商公章）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★9、整机 Android 系统版本Android 11，内存2GB，存储空间16GB。（提供CNAS级别权威机构出具的检测报告复印件并加盖厂商公章）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10、整机内置非独立外扩展的4阵列麦克风，可用于对教室环境音频进行采集，麦克风拾音距离12m。（提供CNAS级别权威机构出具的检测报告复印件并加盖厂商公章）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★11、整机内置2.2声道扬声器，位于设备下边框出音，总功率70W，声音清晰度STI 0.70。（提供CNAS级别权威机构出具的检测报告复印件并加盖厂商公章）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12、整机扬声器在100%音量下，可做到1米处声压级90db，10米处声压级80dB；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13、整机屏体亮度400cd/M2,色彩覆盖率 72%NTSC，对比度4000：1；整机屏体最大可视角度178度。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14、整机屏体无需操作即可实现蓝光防护，具备物理防蓝光（过滤蓝光）功能；</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15、依据相关国家标准，整机视网膜蓝光危害（蓝光加权辐射亮度LB）满足IEC TR 62778:2014蓝光危害RG0级别，LB限制范围≤100，蓝光无危害。</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16、支持纸质护眼模式,可支持素描，牛皮纸，宣纸，水彩纸四个模式</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17、整机前置按键，包含开关机、护眼、录课、主页、音量加减；</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18、支持通过前置面板物理按键一键启动录课功能，录制屏幕及整机半径12米的课堂现场音频；</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19、支持整机大屏开关、电脑开开关和节能键三合一；</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20、为提高无线信号接发稳定性并避免信号遮挡，整机内置路由模块；</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21、整机内置AP路由模块，支持50个学生端同时连接到整机自发的AP路由网络，并能够同步接收整机教师端组播推送的视频、课件教学画面，学生端无需连接到外部无线路由器；</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22、整机内置蓝牙模块，支持蓝牙Bluetooth 5.2标准。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★23、整机采用内置广角摄像头，像素1300万，对角角度135°，水平角度117°。（提供CNAS级别权威机构出具的检测报告复印件并加盖厂商公章）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24、整机内置非独立的高清摄像头可用于远程巡课，拍摄范围：摄像头垂直线左右水平距离各3.5米，左右最边缘深度2米范围，可AI识别人像，人像识别距离支持8米以上。（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25、整机摄像头支持人脸识别、快速点人数、随机抽人，可识别镜头前的所有学生，并显示人脸标记、随机抽选。支持同时显示标记60人。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26、整机支持通过人脸识别进行登录账号。</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27、整机触控支持20点触控及同时书写，触摸分辨率32768×32768；定位精度±1mm，最小识别直径3mm，触摸响应时间8ms以内；Windows系统下触摸书写延迟60ms以内。</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28、整机支持多种手势操作，支持多窗口切换、最小化、亮息屏、降半屏、中控菜单调取；</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29、设备可根据需要修改及记忆信号源名称，支持自动识别及切换到新接入的信号源来显示，断开信号源连接后经确认即可返回之前信号源；</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30、安卓系统自检功能，可检测整机内存，存储使用情况；可检测内置电脑，触控系统，光感系统，屏体温度相关硬件状态，可判断硬件是否正常工作；</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31、整机具备前置Type-C接口，通过Type-C接口实现音视频输入，外接电脑设备经双头Type-C线连接至整机，可把外接电脑设备画面投到整机上，同时可在整机上操作画面，可实现触摸电脑的操作，无需再连接触控USB线。</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32、整机支持半屏模式，将Windows显示画面上半部分下拉到屏幕下半部分显示，此时可以正常触控操作Windows系统，点击非Windows显示画面区域（屏幕上半部分），可退出该模式。</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33、钢化玻璃表面硬度9H，钢化玻璃透光率90%；整机主屏采用全物理钢化玻璃，有效保护屏幕显示画面；整机主屏采用防眩光玻璃，屏幕支持防眩光功能。</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34、安卓系统具备文件浏览功能，可实现文件分类，选定、全选、复制、粘贴、删除等功能；</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35、整机具有悬浮菜单，可通过两指调用到屏幕任意位置；在任意信号源通道下均可调用悬浮菜单，悬浮菜单具有批注、擦除，切换信号源等功能，悬浮菜单中的信号源支持自定义修改且可一键直达常用信号源；</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36、Android系统下，应用程序包含：浏览器，文件管理器，相机，系统自检工具，远程OTA升级；</w:t>
            </w:r>
          </w:p>
          <w:p>
            <w:pPr>
              <w:widowControl/>
              <w:spacing w:beforeLines="0" w:afterLines="0" w:line="240" w:lineRule="auto"/>
              <w:ind w:left="0" w:leftChars="0"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37、整机设备副板可以满足带有磁吸的板擦等教具进行吸附在副屏上，支持磁吸附功能。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7"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OPS</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★1.整机架构:为降低电脑模块维护成本，接口严格遵循Intel相关规范,针脚数为行业通用80Pin ,与大屏无单独接线；（提供CNAS级别权威机构出具的检测报告复印件）</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2.为保证产品安全性，采用螺丝固定，无需工具即可快速拆卸电脑模块。</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3.CPU采用Intel第10代酷睿I5处理器；内存：8G DDR4；硬盘：256G SSD；</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4.USB接口要求：USB3.0≥3，USB2.0≥3；</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5.其他接口要求：网络接口不少于1个，DP输出接口不少于1个，HDMI不少于1个，耳机不少于1个，麦克风输入接口不少于1个；</w:t>
            </w:r>
          </w:p>
          <w:p>
            <w:pPr>
              <w:widowControl/>
              <w:spacing w:beforeLines="0" w:afterLines="0" w:line="240" w:lineRule="auto"/>
              <w:ind w:left="0" w:leftChars="0"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6.Wifi：须支持802.11b/g/n；蓝牙须支持Bluetooth 4.2以上。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教学应用系统</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系统与智慧黑板、智能笔硬件衔接适配；支持智慧黑板一键开机后即刻进入教学应用系统界面，无需额外点击操作运行应用系统；支持教师通过二维码扫描、账密输入、智能笔磁吸登录方式进入教学应用系统。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配套教学资源：提供小学、初中学段同步教学资源，10个以上学科配套资源，如语文、数学、英语、物理、化学、生物、政治、历史、地理；配套资源类型包括课件、文本、图片、音频、视频、H5动画；提供全学科电子化教材，其中语文、英语、音乐三大语言类学科提供语言学习资源支持即点即读功能；支持每位教师下载电子课本的下载数量10本以上；</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支持提供校本资源库，资源格式支持txt、word、excel、PowerPoint、图片（如jpg、bmp）、视频（如mp4、flv、avi、rmvb、wmv）及音频（如mp3、wma、wav）；资源内容支持按目录检索条件、资源筛选排序，并支持校本资源的预览、下载、存到个人资源库功能，支持个人的教学资源分享校本资源库。</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3.备课功能：支持通过云端将备课的资源同步至电子课本对应章节目录，无需拷贝；</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（1）资源备课：支持从云端、校本资源库、个人资源库多途径获取资源；</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★（2）PPT备课工具：支持制作PPT课件时可插入教学互动活动，如分类、连线、卡片、画廊、 语言学科评测练习、函数等；支持直接引用与课程相关的云端、校本资源库、个人资源库资源；提供该项功能的软件截图；</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支持教师在网盘存储与管理个人新建课件、教学互动内容；支持按照章节目录存储备课资源；支持教师对个人的资源进行上传、存储和管理，支持教师在个人资源库新建文件夹储存资源，支持将云端资源、校本资源收藏至网盘；</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支持电子课本、课件、电子白板、作业讲评多种授课形式，满足教学新授课、复习课、讲评课的多样化需求；支持电子课本授课时一键获取备课资源，并下载至课本中，支持对电子课本的标注、聚焦、翻页、单双页切换操作；</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6.电子白板教学：电子白板手写中英文实现转写功能，手写字词、单词、句子转写成印刷体，识别为印刷体后支持朗读、评测、生成卡片功能，中文卡片包括拼音、笔顺、部首和结构，英文卡片包括发音、翻译、关联词、常用短语、例句；提供该项功能的软件截图；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学科类工具：提供通用类工具包括点、线、平面图形、立体图形；数学提供尺规、平面几何、立体几何、函数工具，函数工具支持自主编辑函数公式，立体几何支持三维旋转、带颜色填充的展开和收起，拓展学科教学；</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（2）支持对电子白板上书写的中文、英文字词、句子进行网络搜索，辅助教师进行教学扩展；</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7.讲评教学：提供对测试、练习成果照片进行对比讲评；支持练习的数据统计和分析，提供对应数据分析报告，进行讲评教学；</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学科应用教学：支持语文、数学、英语、理化、地史等7门学科的学科教学应用；支持自定义中、英文文本朗读，支持教师导出朗读音频；支持教师选择教材同步内容的单词、生字、词语和课文进行课堂检测；提供与教材关联的初、高中物理化学虚拟实验，且支持自定义实验；提供该项功能的软件截图；</w:t>
            </w:r>
          </w:p>
          <w:p>
            <w:pPr>
              <w:widowControl/>
              <w:spacing w:beforeLines="0" w:afterLines="0" w:line="240" w:lineRule="auto"/>
              <w:ind w:left="0" w:leftChars="0"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微课录课：支持对教师授课主机屏幕进行录制形成课堂授课实录或微课，支持分享到班级、校本微课库，支持通过二维码分享实录视频，支持对微课分类管理和按微课名搜索；支持授课内容（PPT、电子课本、网页、文档）微课进行关键帧提取，支持通过点击关键帧方式快速精准定位微课内容，支持增减关键帧；提供该项功能的软件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5"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智能笔</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★1、在教学系统运行环境下，智能笔可通过一个按键切换画笔颜色与板擦，支持一键切换颜色2种，且支持教师自定义。（提供CNAS级别权威机构出具的检测报告复印件并加盖厂商公章）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搭配智能笔支持上下翻页，飞鼠和虚拟激光笔功能，支持与大屏一体机实现磁吸充电，支持智能笔贴放至一体机大屏放置区域磁吸后可自动登录教学应用系统，无需教师手动输入账号和密码。（提供CNAS级别权威机构出具的检测报告复印件并加盖厂商公章）</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★3、搭配智能笔在一体机大屏端教学系统运行环境下针对 Windows 系统和教学系统支持语音指令能力，能够通过语音指令支持唤醒语音识别时，可直接通过语音打开 PC 内已安装的相关应用、可直接通过语音调用网络搜索引擎搜索查询相应资料、可进行语音转写输入、支持 PPT 上下翻页，音量大小调整，返回桌面等操作。（提供CNAS级别权威机构出具的检测报告复印件并加盖厂商公章） </w:t>
            </w:r>
          </w:p>
          <w:p>
            <w:pPr>
              <w:widowControl/>
              <w:spacing w:beforeLines="0" w:afterLines="0" w:line="240" w:lineRule="auto"/>
              <w:ind w:left="0" w:leftChars="0"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★4、在教学系统运行环境下，提供智能笔全局扩音功能，扩音延迟30ms以内，满足教师移动教学需要。（提供CNAS级别权威机构出具的检测报告复印件并加盖厂商公章）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壁挂视频展台</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6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left="0" w:leftChars="0" w:firstLine="0" w:firstLineChar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7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1.壁挂箱体采用铝合金外壳，美观耐用，四周无锐角无利边设计，关注师生安全。</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2.文稿展示区域采用三折叠式开合托板，展开后托板面积为A4面积，高效利用挂墙面积。</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3.展台像素：采用1200万像素自动对焦镜头，最高分辨率3840*2880。</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4.采用USB高速接口，单根USB线实现数据传输和供电，环保无辐射，箱内USB连线采用隐藏式设计，且USB口下出，有效防止积尘；箱内展台要求模块化前拆设计，不用拆卸挂箱即可更换展台，方便布线和返修。</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5.箱体面板上可以触摸一键启动软件，带放大、缩小、旋转、拍照功能。</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6.带1个5V 2A电源接口，在超五米远距离传输时可选择辅助供电，确保高清数据和供电传输的稳定性。</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7.整机自带LED补光灯，可触摸式三级灯光调节。 </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8.对焦方式：AF自动+MF按需对焦技术，避免画面展示过程中由于纸张移动或阴影变化反复对焦。</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9.展台按键均采用电容式触摸控制，无缝防尘，使用寿命长。</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软件参数：</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1.界面与各功能图标内嵌中文，清晰易用，老师不用查阅帮助就能使用，减少误操作。</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2.软件基础功能：可预设画笔批注的粗细及颜色，支持对展台画面进行移动、缩放。</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3.故障检测：软件支持故障自检功能，帮助用户检测“无画面”的原因，可判断硬件连接、解码器、显卡驱动、摄像头通道占用等问题，并给出引导性的修复和解决方案，同时也有显示微信和技术电话提供协助。</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4.二维码扫码功能：打开扫一扫功能后，将书本上的二维码放入扫描框内即可自动扫描，并进入系统浏览器获取二维码的链接内容，帮助老师快速获取电子教学资源。</w:t>
            </w:r>
          </w:p>
          <w:p>
            <w:pPr>
              <w:widowControl/>
              <w:spacing w:beforeLines="0" w:afterLines="0" w:line="240" w:lineRule="auto"/>
              <w:ind w:left="0" w:leftChars="0" w:firstLine="0" w:firstLineChars="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5.软件自带虚拟黑板功能，截取实物展示的某一重点内容在虚拟黑板模式下进行单独批注讲解，板书支持保存和二次打开、编辑，使授课变得简单轻松。</w:t>
            </w:r>
          </w:p>
          <w:p>
            <w:pPr>
              <w:widowControl/>
              <w:spacing w:beforeLines="0" w:afterLines="0" w:line="240" w:lineRule="auto"/>
              <w:ind w:left="0" w:leftChars="0" w:firstLine="0" w:firstLineChar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6.图像特技：支持延时拍照、聚光灯、负片、镜像、黑白、自动曝光、视频冻结、同屏对比、旋转、屏幕录制。</w:t>
            </w:r>
          </w:p>
        </w:tc>
      </w:tr>
    </w:tbl>
    <w:p>
      <w:pPr>
        <w:pStyle w:val="107"/>
        <w:rPr>
          <w:rFonts w:hint="eastAsia" w:ascii="宋体" w:hAnsi="宋体"/>
          <w:b/>
          <w:kern w:val="0"/>
          <w:sz w:val="21"/>
          <w:szCs w:val="21"/>
          <w:lang w:val="zh-CN"/>
        </w:rPr>
      </w:pPr>
    </w:p>
    <w:p>
      <w:pPr>
        <w:pStyle w:val="107"/>
        <w:rPr>
          <w:rFonts w:hint="eastAsia" w:ascii="宋体" w:hAnsi="宋体" w:cs="宋体"/>
          <w:b w:val="0"/>
          <w:bCs w:val="0"/>
          <w:sz w:val="21"/>
          <w:szCs w:val="21"/>
          <w:highlight w:val="yellow"/>
        </w:rPr>
      </w:pPr>
      <w:r>
        <w:rPr>
          <w:rFonts w:hint="eastAsia" w:ascii="宋体" w:hAnsi="宋体"/>
          <w:b/>
          <w:kern w:val="0"/>
          <w:sz w:val="21"/>
          <w:szCs w:val="21"/>
          <w:lang w:val="zh-CN"/>
        </w:rPr>
        <w:t>注</w:t>
      </w:r>
      <w:r>
        <w:rPr>
          <w:rFonts w:ascii="宋体" w:hAnsi="宋体"/>
          <w:b/>
          <w:kern w:val="0"/>
          <w:sz w:val="21"/>
          <w:szCs w:val="21"/>
          <w:lang w:val="zh-CN"/>
        </w:rPr>
        <w:t>：</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Cs w:val="21"/>
          <w:highlight w:val="none"/>
          <w:u w:val="single"/>
          <w:lang w:val="en-US" w:eastAsia="zh-CN"/>
        </w:rPr>
        <w:t>1、智慧黑板</w:t>
      </w:r>
      <w:r>
        <w:rPr>
          <w:rFonts w:hint="eastAsia" w:ascii="宋体" w:hAnsi="宋体" w:cs="宋体"/>
          <w:b w:val="0"/>
          <w:bCs w:val="0"/>
          <w:szCs w:val="21"/>
          <w:highlight w:val="none"/>
        </w:rPr>
        <w:t>产品为本</w:t>
      </w:r>
      <w:r>
        <w:rPr>
          <w:rFonts w:hint="eastAsia" w:ascii="宋体" w:hAnsi="宋体" w:cs="宋体"/>
          <w:b w:val="0"/>
          <w:bCs w:val="0"/>
          <w:szCs w:val="21"/>
          <w:highlight w:val="none"/>
          <w:lang w:val="en-US" w:eastAsia="zh-CN"/>
        </w:rPr>
        <w:t>标段</w:t>
      </w:r>
      <w:r>
        <w:rPr>
          <w:rFonts w:hint="eastAsia" w:ascii="宋体" w:hAnsi="宋体" w:cs="宋体"/>
          <w:b w:val="0"/>
          <w:bCs w:val="0"/>
          <w:szCs w:val="21"/>
          <w:highlight w:val="none"/>
        </w:rPr>
        <w:t>采购的核心产品。</w:t>
      </w:r>
    </w:p>
    <w:p>
      <w:pPr>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rPr>
        <w:t>投标人应如实描述所投产品的技术参数和性能，不得完全复制粘贴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技术参数和性能描述。因完全复制粘贴</w:t>
      </w:r>
      <w:r>
        <w:rPr>
          <w:rFonts w:hint="eastAsia" w:ascii="宋体" w:hAnsi="宋体" w:cs="宋体"/>
          <w:b w:val="0"/>
          <w:bCs w:val="0"/>
          <w:sz w:val="21"/>
          <w:szCs w:val="21"/>
          <w:highlight w:val="none"/>
          <w:lang w:eastAsia="zh-CN"/>
        </w:rPr>
        <w:t>采购需求及技术要求中的</w:t>
      </w:r>
      <w:r>
        <w:rPr>
          <w:rFonts w:hint="eastAsia" w:ascii="宋体" w:hAnsi="宋体" w:cs="宋体"/>
          <w:b w:val="0"/>
          <w:bCs w:val="0"/>
          <w:sz w:val="21"/>
          <w:szCs w:val="21"/>
          <w:highlight w:val="none"/>
        </w:rPr>
        <w:t>技术参数和性能描述而产生</w:t>
      </w:r>
      <w:r>
        <w:rPr>
          <w:rFonts w:hint="eastAsia" w:ascii="宋体" w:hAnsi="宋体" w:eastAsia="宋体" w:cs="宋体"/>
          <w:b w:val="0"/>
          <w:bCs w:val="0"/>
          <w:sz w:val="21"/>
          <w:szCs w:val="21"/>
          <w:highlight w:val="none"/>
        </w:rPr>
        <w:t>的不利于投标人的评审风险由投标人自行承担。</w:t>
      </w:r>
    </w:p>
    <w:p>
      <w:pPr>
        <w:jc w:val="center"/>
        <w:rPr>
          <w:rFonts w:hint="eastAsia" w:eastAsia="宋体"/>
          <w:lang w:val="en-US" w:eastAsia="zh-CN"/>
        </w:rPr>
      </w:pPr>
      <w:r>
        <w:rPr>
          <w:rFonts w:hint="eastAsia"/>
          <w:sz w:val="28"/>
          <w:szCs w:val="28"/>
        </w:rPr>
        <w:br w:type="page"/>
      </w:r>
    </w:p>
    <w:p>
      <w:pPr>
        <w:pStyle w:val="2"/>
        <w:rPr>
          <w:rFonts w:hint="eastAsia"/>
        </w:rPr>
      </w:pPr>
      <w:bookmarkStart w:id="577" w:name="_Toc9601"/>
      <w:r>
        <w:rPr>
          <w:rFonts w:hint="eastAsia"/>
        </w:rPr>
        <w:t>第六章  投标文件格式</w:t>
      </w:r>
      <w:bookmarkEnd w:id="574"/>
      <w:bookmarkEnd w:id="575"/>
      <w:bookmarkEnd w:id="576"/>
      <w:bookmarkEnd w:id="577"/>
    </w:p>
    <w:p>
      <w:pPr>
        <w:spacing w:line="400" w:lineRule="exact"/>
        <w:rPr>
          <w:rFonts w:hint="eastAsia" w:ascii="宋体" w:hAnsi="宋体" w:cs="宋体"/>
        </w:rPr>
      </w:pPr>
    </w:p>
    <w:p>
      <w:pPr>
        <w:rPr>
          <w:rFonts w:hint="eastAsia" w:ascii="宋体" w:hAnsi="宋体" w:cs="宋体"/>
          <w:b/>
          <w:bCs/>
          <w:sz w:val="32"/>
          <w:szCs w:val="32"/>
        </w:rPr>
      </w:pPr>
      <w:r>
        <w:rPr>
          <w:rFonts w:hint="eastAsia" w:ascii="宋体" w:hAnsi="宋体" w:cs="宋体"/>
        </w:rPr>
        <w:br w:type="page"/>
      </w:r>
    </w:p>
    <w:p>
      <w:pPr>
        <w:wordWrap w:val="0"/>
        <w:spacing w:line="360" w:lineRule="auto"/>
        <w:jc w:val="right"/>
        <w:rPr>
          <w:rFonts w:hint="eastAsia" w:ascii="宋体" w:hAnsi="宋体" w:cs="宋体"/>
          <w:b/>
          <w:bCs/>
          <w:sz w:val="24"/>
        </w:rPr>
      </w:pPr>
      <w:r>
        <w:rPr>
          <w:rFonts w:hint="eastAsia" w:ascii="宋体" w:hAnsi="宋体" w:cs="宋体"/>
          <w:b/>
          <w:bCs/>
          <w:sz w:val="44"/>
          <w:szCs w:val="44"/>
        </w:rPr>
        <w:t xml:space="preserve"> </w:t>
      </w:r>
    </w:p>
    <w:p>
      <w:pPr>
        <w:autoSpaceDE w:val="0"/>
        <w:autoSpaceDN w:val="0"/>
        <w:adjustRightInd w:val="0"/>
        <w:spacing w:line="360" w:lineRule="auto"/>
        <w:jc w:val="center"/>
        <w:rPr>
          <w:rFonts w:hint="eastAsia" w:ascii="宋体" w:hAnsi="宋体" w:cs="宋体"/>
          <w:b/>
          <w:bCs/>
          <w:sz w:val="44"/>
          <w:szCs w:val="44"/>
        </w:rPr>
      </w:pPr>
      <w:r>
        <w:rPr>
          <w:rFonts w:hint="eastAsia" w:ascii="宋体" w:hAnsi="宋体" w:cs="宋体"/>
          <w:b/>
          <w:bCs/>
          <w:sz w:val="44"/>
          <w:szCs w:val="4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标段</w:t>
      </w:r>
      <w:r>
        <w:rPr>
          <w:rFonts w:hint="eastAsia" w:ascii="宋体" w:hAnsi="宋体" w:cs="宋体"/>
          <w:b/>
          <w:bCs/>
          <w:sz w:val="44"/>
          <w:szCs w:val="44"/>
        </w:rPr>
        <w:t xml:space="preserve">   </w:t>
      </w:r>
    </w:p>
    <w:p>
      <w:pPr>
        <w:autoSpaceDE w:val="0"/>
        <w:autoSpaceDN w:val="0"/>
        <w:adjustRightInd w:val="0"/>
        <w:spacing w:line="360" w:lineRule="auto"/>
        <w:ind w:firstLine="883" w:firstLineChars="200"/>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kern w:val="0"/>
          <w:sz w:val="44"/>
          <w:szCs w:val="44"/>
        </w:rPr>
      </w:pPr>
    </w:p>
    <w:p>
      <w:pPr>
        <w:autoSpaceDE w:val="0"/>
        <w:autoSpaceDN w:val="0"/>
        <w:adjustRightInd w:val="0"/>
        <w:spacing w:line="360" w:lineRule="auto"/>
        <w:jc w:val="left"/>
        <w:rPr>
          <w:rFonts w:hint="eastAsia" w:ascii="宋体" w:hAnsi="宋体" w:cs="宋体"/>
          <w:b/>
          <w:bCs/>
          <w:sz w:val="31"/>
          <w:u w:val="single"/>
        </w:rPr>
      </w:pPr>
    </w:p>
    <w:p>
      <w:pPr>
        <w:autoSpaceDE w:val="0"/>
        <w:autoSpaceDN w:val="0"/>
        <w:adjustRightInd w:val="0"/>
        <w:spacing w:line="360" w:lineRule="auto"/>
        <w:ind w:firstLine="3795" w:firstLineChars="1350"/>
        <w:rPr>
          <w:rFonts w:hint="eastAsia" w:ascii="宋体" w:hAnsi="宋体" w:cs="宋体"/>
          <w:b/>
          <w:bCs/>
          <w:kern w:val="0"/>
          <w:sz w:val="28"/>
        </w:rPr>
      </w:pPr>
    </w:p>
    <w:p>
      <w:pPr>
        <w:autoSpaceDE w:val="0"/>
        <w:autoSpaceDN w:val="0"/>
        <w:adjustRightInd w:val="0"/>
        <w:spacing w:line="360" w:lineRule="auto"/>
        <w:jc w:val="center"/>
        <w:rPr>
          <w:rFonts w:hint="eastAsia" w:ascii="宋体" w:hAnsi="宋体" w:cs="宋体"/>
          <w:b/>
          <w:bCs/>
          <w:spacing w:val="60"/>
          <w:kern w:val="0"/>
          <w:sz w:val="72"/>
          <w:szCs w:val="72"/>
        </w:rPr>
      </w:pPr>
      <w:r>
        <w:rPr>
          <w:rFonts w:hint="eastAsia" w:ascii="宋体" w:hAnsi="宋体" w:cs="宋体"/>
          <w:b/>
          <w:bCs/>
          <w:spacing w:val="60"/>
          <w:kern w:val="0"/>
          <w:sz w:val="72"/>
          <w:szCs w:val="72"/>
        </w:rPr>
        <w:t xml:space="preserve">投 标 文 件  </w:t>
      </w:r>
    </w:p>
    <w:p>
      <w:pPr>
        <w:autoSpaceDE w:val="0"/>
        <w:autoSpaceDN w:val="0"/>
        <w:adjustRightInd w:val="0"/>
        <w:spacing w:line="360" w:lineRule="auto"/>
        <w:ind w:firstLine="2711" w:firstLineChars="900"/>
        <w:rPr>
          <w:rFonts w:hint="eastAsia" w:ascii="宋体" w:hAnsi="宋体" w:cs="宋体"/>
          <w:b/>
          <w:bCs/>
          <w:kern w:val="0"/>
          <w:sz w:val="30"/>
          <w:szCs w:val="30"/>
        </w:rPr>
      </w:pPr>
    </w:p>
    <w:p>
      <w:pPr>
        <w:autoSpaceDE w:val="0"/>
        <w:autoSpaceDN w:val="0"/>
        <w:adjustRightInd w:val="0"/>
        <w:spacing w:line="360" w:lineRule="auto"/>
        <w:ind w:firstLine="2711" w:firstLineChars="900"/>
        <w:rPr>
          <w:rFonts w:hint="eastAsia" w:ascii="宋体" w:hAnsi="宋体" w:cs="宋体"/>
          <w:b/>
          <w:bCs/>
          <w:kern w:val="0"/>
          <w:sz w:val="30"/>
          <w:szCs w:val="30"/>
          <w:u w:val="single"/>
        </w:rPr>
      </w:pPr>
      <w:r>
        <w:rPr>
          <w:rFonts w:hint="eastAsia" w:ascii="宋体" w:hAnsi="宋体" w:cs="宋体"/>
          <w:b/>
          <w:bCs/>
          <w:kern w:val="0"/>
          <w:sz w:val="30"/>
          <w:szCs w:val="30"/>
        </w:rPr>
        <w:t>采购编号：</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44"/>
        </w:rPr>
      </w:pPr>
    </w:p>
    <w:p>
      <w:pPr>
        <w:autoSpaceDE w:val="0"/>
        <w:autoSpaceDN w:val="0"/>
        <w:adjustRightInd w:val="0"/>
        <w:spacing w:line="360" w:lineRule="auto"/>
        <w:rPr>
          <w:rFonts w:hint="eastAsia" w:ascii="宋体" w:hAnsi="宋体" w:cs="宋体"/>
          <w:b/>
          <w:bCs/>
          <w:kern w:val="0"/>
          <w:sz w:val="44"/>
        </w:rPr>
      </w:pPr>
    </w:p>
    <w:p>
      <w:pPr>
        <w:pStyle w:val="105"/>
        <w:spacing w:line="360" w:lineRule="auto"/>
        <w:rPr>
          <w:rFonts w:hint="eastAsia" w:hAnsi="宋体" w:cs="宋体"/>
          <w:b/>
          <w:bCs/>
          <w:color w:val="auto"/>
          <w:sz w:val="23"/>
        </w:rPr>
      </w:pPr>
    </w:p>
    <w:p>
      <w:pPr>
        <w:rPr>
          <w:rFonts w:hint="eastAsia" w:ascii="宋体" w:hAnsi="宋体" w:cs="宋体"/>
          <w:b/>
          <w:bCs/>
          <w:sz w:val="23"/>
        </w:rPr>
      </w:pPr>
    </w:p>
    <w:p>
      <w:pPr>
        <w:pStyle w:val="105"/>
        <w:spacing w:line="360" w:lineRule="auto"/>
        <w:rPr>
          <w:rFonts w:hint="eastAsia" w:hAnsi="宋体" w:cs="宋体"/>
          <w:b/>
          <w:bCs/>
          <w:color w:val="auto"/>
          <w:sz w:val="23"/>
          <w:szCs w:val="22"/>
        </w:rPr>
      </w:pPr>
    </w:p>
    <w:p>
      <w:pPr>
        <w:rPr>
          <w:rFonts w:hint="eastAsia" w:ascii="宋体" w:hAnsi="宋体" w:cs="宋体"/>
          <w:b/>
          <w:bCs/>
        </w:rPr>
      </w:pPr>
    </w:p>
    <w:p>
      <w:pPr>
        <w:pStyle w:val="105"/>
        <w:spacing w:line="360" w:lineRule="auto"/>
        <w:rPr>
          <w:rFonts w:hint="eastAsia" w:hAnsi="宋体" w:cs="宋体"/>
        </w:rPr>
      </w:pPr>
    </w:p>
    <w:p>
      <w:pPr>
        <w:pStyle w:val="105"/>
        <w:spacing w:line="480" w:lineRule="auto"/>
        <w:jc w:val="center"/>
        <w:rPr>
          <w:rFonts w:hint="eastAsia" w:hAnsi="宋体" w:cs="宋体"/>
          <w:b/>
          <w:bCs/>
          <w:color w:val="auto"/>
          <w:sz w:val="23"/>
        </w:rPr>
      </w:pPr>
      <w:bookmarkStart w:id="578" w:name="_Toc214433981"/>
      <w:bookmarkStart w:id="579" w:name="_Toc228337190"/>
      <w:bookmarkStart w:id="580" w:name="_Toc227492337"/>
      <w:bookmarkStart w:id="581" w:name="_Toc228591749"/>
      <w:bookmarkStart w:id="582" w:name="_Toc227657579"/>
      <w:bookmarkStart w:id="583" w:name="_Toc228591601"/>
      <w:bookmarkStart w:id="584" w:name="_Toc228881241"/>
      <w:bookmarkStart w:id="585" w:name="_Toc228589255"/>
    </w:p>
    <w:p>
      <w:pPr>
        <w:pStyle w:val="105"/>
        <w:spacing w:line="480" w:lineRule="auto"/>
        <w:jc w:val="center"/>
        <w:rPr>
          <w:rFonts w:hint="eastAsia" w:hAnsi="宋体" w:cs="宋体"/>
          <w:b/>
          <w:bCs/>
          <w:color w:val="auto"/>
          <w:sz w:val="23"/>
        </w:rPr>
      </w:pPr>
    </w:p>
    <w:p>
      <w:pPr>
        <w:pStyle w:val="105"/>
        <w:spacing w:line="480" w:lineRule="auto"/>
        <w:jc w:val="center"/>
        <w:rPr>
          <w:rFonts w:hint="eastAsia" w:hAnsi="宋体" w:cs="宋体"/>
          <w:b/>
          <w:bCs/>
          <w:color w:val="auto"/>
          <w:sz w:val="23"/>
        </w:rPr>
      </w:pPr>
      <w:r>
        <w:rPr>
          <w:rFonts w:hint="eastAsia" w:hAnsi="宋体" w:cs="宋体"/>
          <w:b/>
          <w:bCs/>
          <w:color w:val="auto"/>
          <w:sz w:val="23"/>
        </w:rPr>
        <w:t>供应商：</w:t>
      </w:r>
      <w:r>
        <w:rPr>
          <w:rFonts w:hint="eastAsia" w:hAnsi="宋体" w:cs="宋体"/>
          <w:b/>
          <w:bCs/>
          <w:sz w:val="30"/>
          <w:szCs w:val="30"/>
          <w:u w:val="single"/>
        </w:rPr>
        <w:t xml:space="preserve">                    </w:t>
      </w:r>
      <w:r>
        <w:rPr>
          <w:rFonts w:hint="eastAsia" w:hAnsi="宋体" w:cs="宋体"/>
          <w:b/>
          <w:bCs/>
          <w:color w:val="auto"/>
          <w:sz w:val="23"/>
        </w:rPr>
        <w:t xml:space="preserve">（企业电子签章） </w:t>
      </w:r>
    </w:p>
    <w:p>
      <w:pPr>
        <w:pStyle w:val="105"/>
        <w:spacing w:line="480" w:lineRule="auto"/>
        <w:jc w:val="center"/>
        <w:rPr>
          <w:rFonts w:hint="eastAsia" w:hAnsi="宋体" w:cs="宋体"/>
          <w:b/>
          <w:bCs/>
          <w:color w:val="auto"/>
          <w:sz w:val="23"/>
        </w:rPr>
      </w:pPr>
      <w:r>
        <w:rPr>
          <w:rFonts w:hint="eastAsia" w:hAnsi="宋体" w:cs="宋体"/>
          <w:b/>
          <w:bCs/>
          <w:color w:val="auto"/>
          <w:sz w:val="23"/>
        </w:rPr>
        <w:t>法定代表人或其授权代理人：</w:t>
      </w:r>
      <w:r>
        <w:rPr>
          <w:rFonts w:hint="eastAsia" w:hAnsi="宋体" w:cs="宋体"/>
          <w:b/>
          <w:bCs/>
          <w:sz w:val="30"/>
          <w:szCs w:val="30"/>
          <w:u w:val="single"/>
        </w:rPr>
        <w:t xml:space="preserve">                 </w:t>
      </w:r>
      <w:r>
        <w:rPr>
          <w:rFonts w:hint="eastAsia" w:hAnsi="宋体" w:cs="宋体"/>
          <w:b/>
          <w:bCs/>
          <w:color w:val="auto"/>
          <w:sz w:val="23"/>
        </w:rPr>
        <w:t>（个人电子签章）</w:t>
      </w:r>
    </w:p>
    <w:p>
      <w:pPr>
        <w:pStyle w:val="105"/>
        <w:spacing w:line="480" w:lineRule="auto"/>
        <w:jc w:val="center"/>
        <w:rPr>
          <w:rFonts w:hint="eastAsia" w:hAnsi="宋体" w:cs="宋体"/>
          <w:b/>
          <w:bCs/>
          <w:color w:val="auto"/>
          <w:sz w:val="28"/>
          <w:szCs w:val="28"/>
        </w:rPr>
      </w:pPr>
      <w:r>
        <w:rPr>
          <w:rFonts w:hint="eastAsia" w:hAnsi="宋体" w:cs="宋体"/>
          <w:b/>
          <w:bCs/>
          <w:color w:val="auto"/>
          <w:sz w:val="23"/>
        </w:rPr>
        <w:t xml:space="preserve"> </w:t>
      </w:r>
      <w:bookmarkStart w:id="586" w:name="_Toc2171_WPSOffice_Level1"/>
      <w:r>
        <w:rPr>
          <w:rFonts w:hint="eastAsia" w:hAnsi="宋体" w:cs="宋体"/>
          <w:b/>
          <w:bCs/>
          <w:sz w:val="30"/>
          <w:szCs w:val="30"/>
          <w:u w:val="single"/>
        </w:rPr>
        <w:t xml:space="preserve">          </w:t>
      </w:r>
      <w:r>
        <w:rPr>
          <w:rFonts w:hint="eastAsia" w:hAnsi="宋体" w:cs="宋体"/>
          <w:b/>
          <w:bCs/>
          <w:color w:val="auto"/>
          <w:sz w:val="23"/>
        </w:rPr>
        <w:t>年</w:t>
      </w:r>
      <w:r>
        <w:rPr>
          <w:rFonts w:hint="eastAsia" w:hAnsi="宋体" w:cs="宋体"/>
          <w:b/>
          <w:bCs/>
          <w:sz w:val="30"/>
          <w:szCs w:val="30"/>
          <w:u w:val="single"/>
        </w:rPr>
        <w:t xml:space="preserve">          </w:t>
      </w:r>
      <w:r>
        <w:rPr>
          <w:rFonts w:hint="eastAsia" w:hAnsi="宋体" w:cs="宋体"/>
          <w:b/>
          <w:bCs/>
          <w:color w:val="auto"/>
          <w:sz w:val="23"/>
        </w:rPr>
        <w:t xml:space="preserve">月 </w:t>
      </w:r>
      <w:r>
        <w:rPr>
          <w:rFonts w:hint="eastAsia" w:hAnsi="宋体" w:cs="宋体"/>
          <w:b/>
          <w:bCs/>
          <w:sz w:val="30"/>
          <w:szCs w:val="30"/>
          <w:u w:val="single"/>
        </w:rPr>
        <w:t xml:space="preserve">          </w:t>
      </w:r>
      <w:r>
        <w:rPr>
          <w:rFonts w:hint="eastAsia" w:hAnsi="宋体" w:cs="宋体"/>
          <w:b/>
          <w:bCs/>
          <w:color w:val="auto"/>
          <w:sz w:val="23"/>
        </w:rPr>
        <w:t>日</w:t>
      </w:r>
      <w:bookmarkEnd w:id="586"/>
      <w:r>
        <w:rPr>
          <w:rFonts w:hint="eastAsia" w:hAnsi="宋体" w:cs="宋体"/>
          <w:b/>
          <w:bCs/>
          <w:color w:val="auto"/>
          <w:sz w:val="23"/>
        </w:rPr>
        <w:br w:type="page"/>
      </w:r>
      <w:r>
        <w:rPr>
          <w:rFonts w:hint="eastAsia" w:hAnsi="宋体" w:cs="宋体"/>
          <w:b/>
          <w:bCs/>
          <w:color w:val="auto"/>
          <w:kern w:val="2"/>
          <w:sz w:val="32"/>
          <w:szCs w:val="32"/>
        </w:rPr>
        <w:t>目    录</w:t>
      </w:r>
    </w:p>
    <w:bookmarkEnd w:id="578"/>
    <w:bookmarkEnd w:id="579"/>
    <w:bookmarkEnd w:id="580"/>
    <w:bookmarkEnd w:id="581"/>
    <w:bookmarkEnd w:id="582"/>
    <w:bookmarkEnd w:id="583"/>
    <w:bookmarkEnd w:id="584"/>
    <w:bookmarkEnd w:id="585"/>
    <w:p>
      <w:pPr>
        <w:pStyle w:val="105"/>
        <w:spacing w:line="360" w:lineRule="auto"/>
        <w:jc w:val="center"/>
        <w:rPr>
          <w:rFonts w:hint="eastAsia" w:hAnsi="宋体" w:cs="宋体"/>
          <w:color w:val="auto"/>
          <w:kern w:val="2"/>
          <w:szCs w:val="24"/>
        </w:rPr>
      </w:pPr>
    </w:p>
    <w:p>
      <w:pPr>
        <w:pStyle w:val="17"/>
        <w:numPr>
          <w:ilvl w:val="0"/>
          <w:numId w:val="24"/>
        </w:numPr>
        <w:spacing w:line="360" w:lineRule="auto"/>
        <w:ind w:left="810" w:leftChars="0" w:right="63" w:firstLine="240" w:firstLineChars="0"/>
        <w:jc w:val="left"/>
        <w:rPr>
          <w:rFonts w:hint="eastAsia" w:ascii="宋体" w:hAnsi="宋体" w:cs="宋体"/>
          <w:sz w:val="21"/>
          <w:szCs w:val="21"/>
        </w:rPr>
      </w:pPr>
      <w:bookmarkStart w:id="587" w:name="_Toc31970_WPSOffice_Level2"/>
      <w:r>
        <w:rPr>
          <w:rFonts w:hint="eastAsia" w:ascii="宋体" w:hAnsi="宋体" w:cs="宋体"/>
          <w:sz w:val="21"/>
          <w:szCs w:val="21"/>
        </w:rPr>
        <w:t>法定代表人身份证明</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法定代表人授权书</w:t>
      </w:r>
      <w:bookmarkEnd w:id="587"/>
      <w:r>
        <w:rPr>
          <w:rFonts w:hint="eastAsia" w:ascii="宋体" w:hAnsi="宋体" w:cs="宋体"/>
          <w:sz w:val="21"/>
          <w:szCs w:val="21"/>
        </w:rPr>
        <w:t xml:space="preserve"> </w:t>
      </w:r>
      <w:bookmarkStart w:id="588" w:name="_Toc20103_WPSOffice_Level2"/>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投标函</w:t>
      </w:r>
      <w:bookmarkEnd w:id="588"/>
      <w:r>
        <w:rPr>
          <w:rFonts w:hint="eastAsia" w:ascii="宋体" w:hAnsi="宋体" w:cs="宋体"/>
          <w:sz w:val="21"/>
          <w:szCs w:val="21"/>
        </w:rPr>
        <w:t xml:space="preserve"> </w:t>
      </w:r>
      <w:bookmarkStart w:id="589" w:name="_Toc1702_WPSOffice_Level2"/>
    </w:p>
    <w:bookmarkEnd w:id="589"/>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投标报价表格</w:t>
      </w:r>
      <w:r>
        <w:rPr>
          <w:rFonts w:hint="eastAsia" w:ascii="宋体" w:hAnsi="宋体" w:cs="宋体"/>
          <w:sz w:val="21"/>
          <w:szCs w:val="21"/>
        </w:rPr>
        <w:t xml:space="preserve"> </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投标货物技术偏差表</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 xml:space="preserve">资格证明文件 </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rPr>
        <w:t>供应商简介</w:t>
      </w:r>
    </w:p>
    <w:p>
      <w:pPr>
        <w:pStyle w:val="17"/>
        <w:numPr>
          <w:ilvl w:val="0"/>
          <w:numId w:val="24"/>
        </w:numPr>
        <w:spacing w:line="360" w:lineRule="auto"/>
        <w:ind w:left="810" w:leftChars="0" w:right="63" w:firstLine="240" w:firstLineChars="0"/>
        <w:jc w:val="left"/>
        <w:rPr>
          <w:rFonts w:hint="eastAsia" w:ascii="宋体" w:hAnsi="宋体" w:cs="宋体"/>
          <w:sz w:val="21"/>
          <w:szCs w:val="21"/>
        </w:rPr>
      </w:pPr>
      <w:r>
        <w:rPr>
          <w:rFonts w:hint="eastAsia" w:ascii="宋体" w:hAnsi="宋体" w:cs="宋体"/>
          <w:sz w:val="21"/>
          <w:szCs w:val="21"/>
          <w:lang w:val="en-US" w:eastAsia="zh-CN"/>
        </w:rPr>
        <w:t>技术部分</w:t>
      </w:r>
      <w:r>
        <w:rPr>
          <w:rFonts w:hint="eastAsia" w:ascii="宋体" w:hAnsi="宋体" w:cs="宋体"/>
          <w:sz w:val="21"/>
          <w:szCs w:val="21"/>
        </w:rPr>
        <w:t xml:space="preserve"> </w:t>
      </w:r>
      <w:bookmarkStart w:id="590" w:name="_Toc2597_WPSOffice_Level2"/>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en-US" w:eastAsia="zh-CN"/>
        </w:rPr>
        <w:t>商务部分</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反商业贿赂承诺书</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zh-CN"/>
        </w:rPr>
      </w:pPr>
      <w:r>
        <w:rPr>
          <w:rFonts w:hint="eastAsia" w:ascii="宋体" w:hAnsi="宋体" w:cs="宋体"/>
          <w:sz w:val="21"/>
          <w:szCs w:val="21"/>
          <w:lang w:val="zh-CN"/>
        </w:rPr>
        <w:t>投标承诺函及招标代理服务费承诺函</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小、微企业证明</w:t>
      </w:r>
      <w:bookmarkEnd w:id="590"/>
      <w:r>
        <w:rPr>
          <w:rFonts w:hint="eastAsia" w:ascii="宋体" w:hAnsi="宋体" w:cs="宋体"/>
          <w:sz w:val="21"/>
          <w:szCs w:val="21"/>
        </w:rPr>
        <w:t xml:space="preserve"> </w:t>
      </w:r>
    </w:p>
    <w:p>
      <w:pPr>
        <w:pStyle w:val="17"/>
        <w:numPr>
          <w:ilvl w:val="0"/>
          <w:numId w:val="24"/>
        </w:numPr>
        <w:spacing w:line="360" w:lineRule="auto"/>
        <w:ind w:left="810" w:leftChars="0" w:right="63" w:firstLine="240" w:firstLineChars="0"/>
        <w:jc w:val="left"/>
        <w:rPr>
          <w:rFonts w:hint="eastAsia" w:ascii="宋体" w:hAnsi="宋体" w:eastAsia="宋体" w:cs="宋体"/>
          <w:sz w:val="21"/>
          <w:szCs w:val="21"/>
          <w:lang w:val="en-GB"/>
        </w:rPr>
      </w:pPr>
      <w:r>
        <w:rPr>
          <w:rFonts w:hint="eastAsia" w:ascii="宋体" w:hAnsi="宋体" w:eastAsia="宋体" w:cs="宋体"/>
          <w:sz w:val="21"/>
          <w:szCs w:val="21"/>
          <w:lang w:val="en-GB" w:eastAsia="zh-CN"/>
        </w:rPr>
        <w:t>节能产品、环境标志产品明细表</w:t>
      </w:r>
      <w:r>
        <w:rPr>
          <w:rFonts w:hint="eastAsia" w:ascii="宋体" w:hAnsi="宋体" w:eastAsia="宋体" w:cs="宋体"/>
          <w:sz w:val="21"/>
          <w:szCs w:val="21"/>
          <w:lang w:eastAsia="zh-CN"/>
        </w:rPr>
        <w:t>（如有）</w:t>
      </w:r>
    </w:p>
    <w:p>
      <w:pPr>
        <w:pStyle w:val="17"/>
        <w:numPr>
          <w:ilvl w:val="0"/>
          <w:numId w:val="24"/>
        </w:numPr>
        <w:spacing w:line="360" w:lineRule="auto"/>
        <w:ind w:left="810" w:leftChars="0" w:right="63" w:firstLine="240" w:firstLineChars="0"/>
        <w:jc w:val="left"/>
        <w:rPr>
          <w:rFonts w:hint="eastAsia" w:ascii="宋体" w:hAnsi="宋体" w:cs="宋体"/>
          <w:sz w:val="21"/>
          <w:szCs w:val="21"/>
          <w:lang w:val="en-GB"/>
        </w:rPr>
      </w:pPr>
      <w:r>
        <w:rPr>
          <w:rFonts w:hint="eastAsia" w:ascii="宋体" w:hAnsi="宋体" w:cs="宋体"/>
          <w:sz w:val="21"/>
          <w:szCs w:val="21"/>
        </w:rPr>
        <w:t>供应商认为需要提供的其他材料</w:t>
      </w:r>
    </w:p>
    <w:p>
      <w:pPr>
        <w:pStyle w:val="17"/>
        <w:spacing w:line="360" w:lineRule="auto"/>
        <w:ind w:left="63" w:right="63" w:firstLine="480" w:firstLineChars="200"/>
        <w:jc w:val="left"/>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3"/>
        <w:rPr>
          <w:rFonts w:hint="eastAsia" w:ascii="宋体" w:hAnsi="宋体" w:cs="宋体"/>
        </w:rPr>
      </w:pPr>
      <w:r>
        <w:rPr>
          <w:rFonts w:hint="eastAsia"/>
        </w:rPr>
        <w:br w:type="page"/>
      </w:r>
      <w:bookmarkStart w:id="591" w:name="_Toc14391"/>
      <w:bookmarkStart w:id="592" w:name="_Toc21003_WPSOffice_Level2"/>
      <w:bookmarkStart w:id="593" w:name="_Toc28305"/>
      <w:r>
        <w:rPr>
          <w:rFonts w:hint="eastAsia"/>
          <w:b/>
          <w:bCs w:val="0"/>
        </w:rPr>
        <w:t>一、</w:t>
      </w:r>
      <w:r>
        <w:rPr>
          <w:rFonts w:hint="eastAsia" w:ascii="宋体" w:hAnsi="宋体" w:cs="宋体"/>
          <w:b/>
          <w:bCs w:val="0"/>
        </w:rPr>
        <w:t>法定代表人身份证明</w:t>
      </w:r>
      <w:bookmarkEnd w:id="591"/>
    </w:p>
    <w:p>
      <w:pPr>
        <w:spacing w:line="440" w:lineRule="exact"/>
        <w:rPr>
          <w:szCs w:val="21"/>
        </w:rPr>
      </w:pPr>
      <w:r>
        <w:rPr>
          <w:rFonts w:hint="eastAsia"/>
          <w:szCs w:val="21"/>
        </w:rPr>
        <w:t>供应商</w:t>
      </w:r>
      <w:r>
        <w:rPr>
          <w:szCs w:val="21"/>
        </w:rPr>
        <w:t>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供应商</w:t>
      </w:r>
      <w:r>
        <w:rPr>
          <w:szCs w:val="21"/>
        </w:rPr>
        <w:t>名称）的</w:t>
      </w:r>
      <w:r>
        <w:rPr>
          <w:rFonts w:hint="eastAsia"/>
          <w:szCs w:val="21"/>
        </w:rPr>
        <w:t>法定代表人（单位负责人）</w:t>
      </w:r>
      <w:r>
        <w:rPr>
          <w:szCs w:val="21"/>
        </w:rPr>
        <w:t>。</w:t>
      </w:r>
    </w:p>
    <w:p>
      <w:pPr>
        <w:spacing w:line="440" w:lineRule="exact"/>
        <w:ind w:firstLine="420" w:firstLineChars="200"/>
        <w:rPr>
          <w:szCs w:val="21"/>
        </w:rPr>
      </w:pPr>
      <w:r>
        <w:rPr>
          <w:szCs w:val="21"/>
        </w:rPr>
        <w:t>特此证明。</w:t>
      </w:r>
    </w:p>
    <w:p>
      <w:pPr>
        <w:spacing w:line="440" w:lineRule="exact"/>
        <w:jc w:val="right"/>
        <w:rPr>
          <w:szCs w:val="21"/>
        </w:rPr>
      </w:pPr>
      <w:r>
        <w:rPr>
          <w:rFonts w:hint="eastAsia"/>
          <w:szCs w:val="21"/>
        </w:rPr>
        <w:t>供应商</w:t>
      </w:r>
      <w:r>
        <w:rPr>
          <w:szCs w:val="21"/>
        </w:rPr>
        <w:t>：</w:t>
      </w:r>
      <w:r>
        <w:rPr>
          <w:szCs w:val="21"/>
          <w:u w:val="single"/>
        </w:rPr>
        <w:t xml:space="preserve">                 </w:t>
      </w:r>
      <w:r>
        <w:rPr>
          <w:rFonts w:hint="eastAsia" w:ascii="宋体" w:hAnsi="宋体" w:cs="宋体"/>
        </w:rPr>
        <w:t>（企业电子签章）</w:t>
      </w:r>
    </w:p>
    <w:p>
      <w:pPr>
        <w:spacing w:line="44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outlineLvl w:val="9"/>
        <w:rPr>
          <w:rFonts w:hint="eastAsia"/>
          <w:b/>
          <w:bCs w:val="0"/>
        </w:rPr>
      </w:pPr>
    </w:p>
    <w:p>
      <w:pPr>
        <w:pStyle w:val="3"/>
        <w:rPr>
          <w:rFonts w:hint="eastAsia"/>
        </w:rPr>
      </w:pPr>
      <w:r>
        <w:rPr>
          <w:rFonts w:hint="eastAsia"/>
          <w:b/>
          <w:bCs w:val="0"/>
        </w:rPr>
        <w:br w:type="page"/>
      </w:r>
      <w:bookmarkStart w:id="594" w:name="_Toc20884"/>
      <w:r>
        <w:rPr>
          <w:rFonts w:hint="eastAsia"/>
          <w:b/>
          <w:bCs w:val="0"/>
        </w:rPr>
        <w:t>二、法定代表人授权书</w:t>
      </w:r>
      <w:bookmarkEnd w:id="592"/>
      <w:bookmarkEnd w:id="593"/>
      <w:bookmarkEnd w:id="594"/>
    </w:p>
    <w:p>
      <w:pPr>
        <w:tabs>
          <w:tab w:val="left" w:pos="3880"/>
        </w:tabs>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（供应商名称）的法定代表人，现委托</w:t>
      </w:r>
      <w:r>
        <w:rPr>
          <w:rFonts w:hint="eastAsia" w:ascii="宋体" w:hAnsi="宋体" w:cs="宋体"/>
          <w:sz w:val="21"/>
          <w:szCs w:val="21"/>
          <w:u w:val="single"/>
        </w:rPr>
        <w:t xml:space="preserve">                 </w:t>
      </w:r>
      <w:r>
        <w:rPr>
          <w:rFonts w:hint="eastAsia" w:ascii="宋体" w:hAnsi="宋体" w:cs="宋体"/>
          <w:sz w:val="21"/>
          <w:szCs w:val="21"/>
        </w:rPr>
        <w:t>（姓名、职务）为我方代理人。</w:t>
      </w:r>
      <w:r>
        <w:rPr>
          <w:rFonts w:hint="eastAsia" w:ascii="宋体" w:hAnsi="宋体" w:cs="宋体"/>
          <w:kern w:val="0"/>
          <w:position w:val="-2"/>
          <w:sz w:val="21"/>
          <w:szCs w:val="21"/>
        </w:rPr>
        <w:t>代理</w:t>
      </w:r>
      <w:r>
        <w:rPr>
          <w:rFonts w:hint="eastAsia" w:ascii="宋体" w:hAnsi="宋体" w:cs="宋体"/>
          <w:spacing w:val="-2"/>
          <w:kern w:val="0"/>
          <w:position w:val="-2"/>
          <w:sz w:val="21"/>
          <w:szCs w:val="21"/>
        </w:rPr>
        <w:t>人</w:t>
      </w:r>
      <w:r>
        <w:rPr>
          <w:rFonts w:hint="eastAsia" w:ascii="宋体" w:hAnsi="宋体" w:cs="宋体"/>
          <w:kern w:val="0"/>
          <w:position w:val="-2"/>
          <w:sz w:val="21"/>
          <w:szCs w:val="21"/>
        </w:rPr>
        <w:t>根据授权，</w:t>
      </w:r>
      <w:r>
        <w:rPr>
          <w:rFonts w:hint="eastAsia" w:ascii="宋体" w:hAnsi="宋体" w:cs="宋体"/>
          <w:spacing w:val="-2"/>
          <w:kern w:val="0"/>
          <w:position w:val="-2"/>
          <w:sz w:val="21"/>
          <w:szCs w:val="21"/>
        </w:rPr>
        <w:t>以</w:t>
      </w:r>
      <w:r>
        <w:rPr>
          <w:rFonts w:hint="eastAsia" w:ascii="宋体" w:hAnsi="宋体" w:cs="宋体"/>
          <w:kern w:val="0"/>
          <w:position w:val="-2"/>
          <w:sz w:val="21"/>
          <w:szCs w:val="21"/>
        </w:rPr>
        <w:t>我方名义签署、澄清确认、递交、</w:t>
      </w:r>
      <w:r>
        <w:rPr>
          <w:rFonts w:hint="eastAsia" w:ascii="宋体" w:hAnsi="宋体" w:cs="宋体"/>
          <w:sz w:val="21"/>
          <w:szCs w:val="21"/>
        </w:rPr>
        <w:t>撤回、修改采购项目投标文件、签订合同和处理有关事宜，其法律后果由我方承担。</w:t>
      </w:r>
    </w:p>
    <w:p>
      <w:pPr>
        <w:spacing w:line="360" w:lineRule="auto"/>
        <w:ind w:firstLine="420"/>
        <w:rPr>
          <w:rFonts w:hint="eastAsia" w:ascii="宋体" w:hAnsi="宋体" w:cs="宋体"/>
          <w:sz w:val="21"/>
          <w:szCs w:val="21"/>
        </w:rPr>
      </w:pPr>
    </w:p>
    <w:p>
      <w:pPr>
        <w:spacing w:line="500" w:lineRule="exact"/>
        <w:ind w:firstLine="420" w:firstLineChars="200"/>
        <w:rPr>
          <w:rFonts w:hint="eastAsia" w:ascii="宋体" w:hAnsi="宋体" w:cs="宋体"/>
          <w:sz w:val="21"/>
          <w:szCs w:val="21"/>
          <w:u w:val="single"/>
        </w:rPr>
      </w:pPr>
      <w:r>
        <w:rPr>
          <w:rFonts w:hint="eastAsia" w:ascii="宋体" w:hAnsi="宋体" w:cs="宋体"/>
          <w:sz w:val="21"/>
          <w:szCs w:val="21"/>
        </w:rPr>
        <w:t>委托期限：</w:t>
      </w:r>
      <w:r>
        <w:rPr>
          <w:rFonts w:hint="eastAsia" w:ascii="宋体" w:hAnsi="宋体" w:cs="宋体"/>
          <w:sz w:val="21"/>
          <w:szCs w:val="21"/>
          <w:u w:val="single"/>
        </w:rPr>
        <w:t xml:space="preserve">                  </w:t>
      </w:r>
    </w:p>
    <w:p>
      <w:pPr>
        <w:spacing w:line="500" w:lineRule="exact"/>
        <w:ind w:firstLine="420" w:firstLineChars="200"/>
        <w:rPr>
          <w:rFonts w:hint="eastAsia" w:ascii="宋体" w:hAnsi="宋体" w:cs="宋体"/>
          <w:sz w:val="21"/>
          <w:szCs w:val="21"/>
        </w:rPr>
      </w:pPr>
      <w:r>
        <w:rPr>
          <w:rFonts w:hint="eastAsia" w:ascii="宋体" w:hAnsi="宋体" w:cs="宋体"/>
          <w:sz w:val="21"/>
          <w:szCs w:val="21"/>
        </w:rPr>
        <w:t>代理人无转委托权。</w:t>
      </w:r>
    </w:p>
    <w:p>
      <w:pPr>
        <w:pStyle w:val="17"/>
        <w:ind w:left="63" w:right="63"/>
        <w:rPr>
          <w:rFonts w:hint="eastAsia" w:ascii="宋体" w:hAnsi="宋体" w:cs="宋体"/>
          <w:sz w:val="21"/>
          <w:szCs w:val="21"/>
        </w:rPr>
      </w:pPr>
    </w:p>
    <w:tbl>
      <w:tblPr>
        <w:tblStyle w:val="43"/>
        <w:tblW w:w="8820"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447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c>
          <w:tcPr>
            <w:tcW w:w="4350" w:type="dxa"/>
            <w:noWrap w:val="0"/>
            <w:vAlign w:val="center"/>
          </w:tcPr>
          <w:p>
            <w:pPr>
              <w:jc w:val="left"/>
              <w:rPr>
                <w:rFonts w:hint="eastAsia" w:ascii="宋体" w:hAnsi="宋体" w:cs="宋体"/>
                <w:sz w:val="21"/>
                <w:szCs w:val="21"/>
              </w:rPr>
            </w:pPr>
            <w:r>
              <w:rPr>
                <w:rFonts w:hint="eastAsia" w:ascii="宋体" w:hAnsi="宋体" w:cs="宋体"/>
                <w:sz w:val="21"/>
                <w:szCs w:val="21"/>
              </w:rPr>
              <w:t>授权代理人身份证复印件（正面）</w:t>
            </w:r>
          </w:p>
        </w:tc>
      </w:tr>
    </w:tbl>
    <w:p>
      <w:pPr>
        <w:jc w:val="left"/>
        <w:rPr>
          <w:rFonts w:hint="eastAsia" w:ascii="宋体" w:hAnsi="宋体" w:cs="宋体"/>
          <w:sz w:val="21"/>
          <w:szCs w:val="21"/>
        </w:rPr>
      </w:pPr>
    </w:p>
    <w:p>
      <w:pPr>
        <w:spacing w:line="500" w:lineRule="exact"/>
        <w:rPr>
          <w:rFonts w:hint="eastAsia" w:ascii="宋体" w:hAnsi="宋体" w:cs="宋体"/>
          <w:sz w:val="21"/>
          <w:szCs w:val="21"/>
        </w:rPr>
      </w:pPr>
      <w:bookmarkStart w:id="595" w:name="_资格证明文件"/>
      <w:bookmarkEnd w:id="595"/>
    </w:p>
    <w:p>
      <w:pPr>
        <w:spacing w:line="500" w:lineRule="exact"/>
        <w:rPr>
          <w:rFonts w:hint="eastAsia" w:ascii="宋体" w:hAnsi="宋体" w:cs="宋体"/>
          <w:sz w:val="21"/>
          <w:szCs w:val="21"/>
        </w:rPr>
      </w:pPr>
    </w:p>
    <w:p>
      <w:pPr>
        <w:jc w:val="right"/>
        <w:rPr>
          <w:rFonts w:hint="eastAsia" w:ascii="宋体" w:hAnsi="宋体" w:cs="宋体"/>
          <w:sz w:val="21"/>
          <w:szCs w:val="21"/>
        </w:rPr>
      </w:pPr>
      <w:r>
        <w:rPr>
          <w:rFonts w:hint="eastAsia" w:ascii="宋体" w:hAnsi="宋体" w:cs="宋体"/>
          <w:sz w:val="21"/>
          <w:szCs w:val="21"/>
        </w:rPr>
        <w:t>供应商：</w:t>
      </w:r>
      <w:r>
        <w:rPr>
          <w:rFonts w:hint="eastAsia" w:ascii="宋体" w:hAnsi="宋体" w:cs="宋体"/>
          <w:sz w:val="21"/>
          <w:szCs w:val="21"/>
          <w:u w:val="single"/>
        </w:rPr>
        <w:t xml:space="preserve">               </w:t>
      </w:r>
      <w:r>
        <w:rPr>
          <w:rFonts w:hint="eastAsia" w:ascii="宋体" w:hAnsi="宋体" w:cs="宋体"/>
          <w:sz w:val="21"/>
          <w:szCs w:val="21"/>
        </w:rPr>
        <w:t>（企业电子签章）</w:t>
      </w:r>
    </w:p>
    <w:p>
      <w:pPr>
        <w:jc w:val="right"/>
        <w:rPr>
          <w:rFonts w:hint="eastAsia" w:ascii="宋体" w:hAnsi="宋体" w:cs="宋体"/>
          <w:sz w:val="21"/>
          <w:szCs w:val="21"/>
        </w:rPr>
      </w:pPr>
      <w:r>
        <w:rPr>
          <w:rFonts w:hint="eastAsia" w:ascii="宋体" w:hAnsi="宋体" w:cs="宋体"/>
          <w:sz w:val="21"/>
          <w:szCs w:val="21"/>
        </w:rPr>
        <w:t xml:space="preserve">     </w:t>
      </w:r>
    </w:p>
    <w:p>
      <w:pPr>
        <w:jc w:val="righ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（个人电子签章）</w:t>
      </w:r>
    </w:p>
    <w:p>
      <w:pPr>
        <w:jc w:val="right"/>
        <w:rPr>
          <w:rFonts w:hint="eastAsia" w:ascii="宋体" w:hAnsi="宋体" w:cs="宋体"/>
          <w:sz w:val="21"/>
          <w:szCs w:val="21"/>
        </w:rPr>
      </w:pPr>
    </w:p>
    <w:p>
      <w:pPr>
        <w:tabs>
          <w:tab w:val="left" w:pos="5380"/>
          <w:tab w:val="left" w:pos="6520"/>
          <w:tab w:val="left" w:pos="7680"/>
        </w:tabs>
        <w:autoSpaceDE w:val="0"/>
        <w:autoSpaceDN w:val="0"/>
        <w:adjustRightInd w:val="0"/>
        <w:ind w:right="-20"/>
        <w:jc w:val="right"/>
        <w:rPr>
          <w:rFonts w:hint="eastAsia" w:ascii="宋体" w:hAnsi="宋体" w:cs="宋体"/>
          <w:kern w:val="0"/>
          <w:sz w:val="21"/>
          <w:szCs w:val="21"/>
        </w:rPr>
      </w:pPr>
      <w:r>
        <w:rPr>
          <w:rFonts w:hint="eastAsia" w:ascii="宋体" w:hAnsi="宋体" w:cs="宋体"/>
          <w:kern w:val="0"/>
          <w:sz w:val="21"/>
          <w:szCs w:val="21"/>
        </w:rPr>
        <w:t>日期：</w:t>
      </w:r>
      <w:r>
        <w:rPr>
          <w:rFonts w:hint="eastAsia" w:ascii="宋体" w:hAnsi="宋体" w:cs="宋体"/>
          <w:kern w:val="0"/>
          <w:sz w:val="21"/>
          <w:szCs w:val="21"/>
          <w:u w:val="single"/>
        </w:rPr>
        <w:t xml:space="preserve">     </w:t>
      </w:r>
      <w:r>
        <w:rPr>
          <w:rFonts w:hint="eastAsia" w:ascii="宋体" w:hAnsi="宋体" w:cs="宋体"/>
          <w:spacing w:val="43"/>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pStyle w:val="3"/>
        <w:rPr>
          <w:rFonts w:hint="eastAsia"/>
          <w:bCs w:val="0"/>
        </w:rPr>
      </w:pPr>
      <w:r>
        <w:rPr>
          <w:rFonts w:hint="eastAsia" w:ascii="宋体" w:hAnsi="宋体" w:cs="宋体"/>
        </w:rPr>
        <w:br w:type="page"/>
      </w:r>
      <w:bookmarkStart w:id="596" w:name="_Toc9653"/>
      <w:bookmarkStart w:id="597" w:name="_Toc11688_WPSOffice_Level2"/>
      <w:bookmarkStart w:id="598" w:name="_Toc25347"/>
      <w:r>
        <w:rPr>
          <w:rFonts w:hint="eastAsia"/>
          <w:b/>
        </w:rPr>
        <w:t>三、投标函</w:t>
      </w:r>
      <w:bookmarkEnd w:id="596"/>
      <w:bookmarkEnd w:id="597"/>
      <w:bookmarkEnd w:id="598"/>
    </w:p>
    <w:p>
      <w:pPr>
        <w:pStyle w:val="17"/>
        <w:tabs>
          <w:tab w:val="left" w:pos="1063"/>
          <w:tab w:val="left" w:pos="2982"/>
        </w:tabs>
        <w:spacing w:after="0" w:line="400" w:lineRule="exact"/>
        <w:ind w:left="63" w:right="63" w:firstLine="416" w:firstLineChars="200"/>
        <w:jc w:val="left"/>
        <w:rPr>
          <w:rFonts w:hint="eastAsia" w:ascii="宋体" w:hAnsi="宋体" w:eastAsia="宋体" w:cs="宋体"/>
          <w:szCs w:val="21"/>
          <w:lang w:eastAsia="zh-CN"/>
        </w:rPr>
      </w:pPr>
      <w:r>
        <w:rPr>
          <w:rFonts w:hint="eastAsia" w:ascii="宋体" w:hAnsi="宋体" w:cs="宋体"/>
          <w:spacing w:val="-1"/>
          <w:szCs w:val="21"/>
        </w:rPr>
        <w:t>致：</w:t>
      </w:r>
      <w:r>
        <w:rPr>
          <w:rFonts w:hint="eastAsia" w:ascii="宋体" w:hAnsi="宋体" w:cs="宋体"/>
          <w:bCs w:val="0"/>
          <w:spacing w:val="-1"/>
          <w:kern w:val="2"/>
          <w:sz w:val="21"/>
          <w:szCs w:val="21"/>
          <w:lang w:eastAsia="zh-CN"/>
        </w:rPr>
        <w:t>荥阳市教育局</w:t>
      </w:r>
    </w:p>
    <w:p>
      <w:pPr>
        <w:pStyle w:val="17"/>
        <w:tabs>
          <w:tab w:val="left" w:pos="5819"/>
          <w:tab w:val="left" w:pos="7694"/>
        </w:tabs>
        <w:spacing w:after="0" w:line="400" w:lineRule="exact"/>
        <w:ind w:firstLine="416" w:firstLineChars="200"/>
        <w:jc w:val="left"/>
        <w:rPr>
          <w:rFonts w:hint="eastAsia" w:ascii="宋体" w:hAnsi="宋体" w:cs="宋体"/>
          <w:szCs w:val="21"/>
        </w:rPr>
      </w:pPr>
      <w:r>
        <w:rPr>
          <w:rFonts w:hint="eastAsia" w:ascii="宋体" w:hAnsi="宋体" w:cs="宋体"/>
          <w:spacing w:val="-1"/>
          <w:szCs w:val="21"/>
        </w:rPr>
        <w:t>我们收到了</w:t>
      </w:r>
      <w:r>
        <w:rPr>
          <w:rFonts w:hint="eastAsia" w:ascii="宋体" w:hAnsi="宋体" w:cs="宋体"/>
          <w:spacing w:val="-1"/>
          <w:szCs w:val="21"/>
          <w:lang w:eastAsia="zh-CN"/>
        </w:rPr>
        <w:t>荥阳市教育局2022年义务教育薄弱环节改善与能力提升设施设备购置项目</w:t>
      </w:r>
      <w:r>
        <w:rPr>
          <w:rFonts w:hint="eastAsia" w:ascii="宋体" w:hAnsi="宋体" w:cs="宋体"/>
          <w:spacing w:val="-1"/>
          <w:szCs w:val="21"/>
          <w:highlight w:val="none"/>
          <w:lang w:eastAsia="zh-CN"/>
        </w:rPr>
        <w:t xml:space="preserve"> </w:t>
      </w:r>
      <w:r>
        <w:rPr>
          <w:rFonts w:hint="eastAsia" w:ascii="宋体" w:hAnsi="宋体" w:cs="宋体"/>
          <w:spacing w:val="-1"/>
          <w:szCs w:val="21"/>
          <w:highlight w:val="none"/>
        </w:rPr>
        <w:t>（</w:t>
      </w:r>
      <w:r>
        <w:rPr>
          <w:rFonts w:hint="eastAsia" w:ascii="宋体" w:hAnsi="宋体" w:cs="宋体"/>
          <w:spacing w:val="-1"/>
          <w:szCs w:val="21"/>
          <w:highlight w:val="none"/>
          <w:lang w:val="en-US" w:eastAsia="zh-CN"/>
        </w:rPr>
        <w:t>采购</w:t>
      </w:r>
      <w:r>
        <w:rPr>
          <w:rFonts w:hint="eastAsia" w:ascii="宋体" w:hAnsi="宋体" w:cs="宋体"/>
          <w:spacing w:val="-1"/>
          <w:szCs w:val="21"/>
          <w:highlight w:val="none"/>
        </w:rPr>
        <w:t>编号：</w:t>
      </w:r>
      <w:r>
        <w:rPr>
          <w:rFonts w:hint="eastAsia" w:ascii="宋体" w:hAnsi="宋体" w:eastAsia="宋体" w:cs="宋体"/>
          <w:b w:val="0"/>
          <w:bCs w:val="0"/>
          <w:color w:val="auto"/>
          <w:sz w:val="21"/>
          <w:szCs w:val="21"/>
          <w:highlight w:val="none"/>
          <w:shd w:val="clear" w:color="auto" w:fill="FFFFFF"/>
          <w:lang w:val="en-US" w:eastAsia="zh-CN"/>
        </w:rPr>
        <w:t>荥财公开-202</w:t>
      </w:r>
      <w:r>
        <w:rPr>
          <w:rFonts w:hint="eastAsia" w:ascii="宋体" w:hAnsi="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lang w:val="en-US" w:eastAsia="zh-CN"/>
        </w:rPr>
        <w:t>-</w:t>
      </w:r>
      <w:r>
        <w:rPr>
          <w:rFonts w:hint="eastAsia" w:ascii="宋体" w:hAnsi="宋体" w:cs="宋体"/>
          <w:b w:val="0"/>
          <w:bCs w:val="0"/>
          <w:color w:val="auto"/>
          <w:sz w:val="21"/>
          <w:szCs w:val="21"/>
          <w:highlight w:val="none"/>
          <w:shd w:val="clear" w:color="auto" w:fill="FFFFFF"/>
          <w:lang w:val="en-US" w:eastAsia="zh-CN"/>
        </w:rPr>
        <w:t>7</w:t>
      </w:r>
      <w:r>
        <w:rPr>
          <w:rFonts w:hint="eastAsia" w:ascii="宋体" w:hAnsi="宋体" w:cs="宋体"/>
          <w:spacing w:val="-1"/>
          <w:szCs w:val="21"/>
          <w:highlight w:val="none"/>
        </w:rPr>
        <w:t>）</w:t>
      </w:r>
      <w:r>
        <w:rPr>
          <w:rFonts w:hint="eastAsia" w:ascii="宋体" w:hAnsi="宋体" w:cs="宋体"/>
          <w:spacing w:val="-1"/>
          <w:szCs w:val="21"/>
          <w:highlight w:val="none"/>
          <w:u w:val="single"/>
          <w:lang w:val="en-US" w:eastAsia="zh-CN"/>
        </w:rPr>
        <w:t xml:space="preserve">     </w:t>
      </w:r>
      <w:r>
        <w:rPr>
          <w:rFonts w:hint="eastAsia" w:ascii="宋体" w:hAnsi="宋体" w:cs="宋体"/>
          <w:spacing w:val="-1"/>
          <w:szCs w:val="21"/>
          <w:highlight w:val="none"/>
          <w:u w:val="none"/>
          <w:lang w:val="en-US" w:eastAsia="zh-CN"/>
        </w:rPr>
        <w:t>标段</w:t>
      </w:r>
      <w:r>
        <w:rPr>
          <w:rFonts w:hint="eastAsia" w:ascii="宋体" w:hAnsi="宋体" w:cs="宋体"/>
          <w:spacing w:val="-1"/>
          <w:szCs w:val="21"/>
        </w:rPr>
        <w:t>的</w:t>
      </w:r>
      <w:r>
        <w:rPr>
          <w:rFonts w:hint="eastAsia" w:ascii="宋体" w:hAnsi="宋体" w:cs="宋体"/>
          <w:szCs w:val="21"/>
        </w:rPr>
        <w:t>招标文件，经详细研究，我们决定参加该项目的投标活动并按要求提交投标文件。我们郑重声明以下诸点并负法律责任:</w:t>
      </w:r>
    </w:p>
    <w:p>
      <w:pPr>
        <w:pStyle w:val="17"/>
        <w:numPr>
          <w:ilvl w:val="0"/>
          <w:numId w:val="25"/>
        </w:numPr>
        <w:tabs>
          <w:tab w:val="left" w:pos="3103"/>
          <w:tab w:val="left" w:pos="6703"/>
        </w:tabs>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愿按照招标文件中规定的条款和要求，提供完成招标文件规定的全部工作，投标</w:t>
      </w:r>
      <w:r>
        <w:rPr>
          <w:rFonts w:hint="eastAsia" w:ascii="宋体" w:hAnsi="宋体" w:cs="宋体"/>
          <w:spacing w:val="-1"/>
          <w:szCs w:val="21"/>
        </w:rPr>
        <w:t>报价为</w:t>
      </w:r>
      <w:r>
        <w:rPr>
          <w:rFonts w:hint="eastAsia" w:ascii="宋体" w:hAnsi="宋体" w:cs="宋体"/>
          <w:b/>
          <w:bCs/>
          <w:kern w:val="0"/>
          <w:sz w:val="30"/>
          <w:szCs w:val="30"/>
          <w:u w:val="single"/>
        </w:rPr>
        <w:t xml:space="preserve">      </w:t>
      </w:r>
      <w:r>
        <w:rPr>
          <w:rFonts w:hint="eastAsia" w:ascii="宋体" w:hAnsi="宋体" w:cs="宋体"/>
          <w:kern w:val="0"/>
          <w:sz w:val="22"/>
          <w:szCs w:val="22"/>
        </w:rPr>
        <w:t>元</w:t>
      </w:r>
      <w:r>
        <w:rPr>
          <w:rFonts w:hint="eastAsia" w:ascii="宋体" w:hAnsi="宋体" w:cs="宋体"/>
          <w:spacing w:val="-1"/>
          <w:szCs w:val="21"/>
        </w:rPr>
        <w:t>（大写：</w:t>
      </w:r>
      <w:r>
        <w:rPr>
          <w:rFonts w:hint="eastAsia" w:ascii="宋体" w:hAnsi="宋体" w:cs="宋体"/>
          <w:b/>
          <w:bCs/>
          <w:kern w:val="0"/>
          <w:sz w:val="30"/>
          <w:szCs w:val="30"/>
          <w:u w:val="single"/>
        </w:rPr>
        <w:t xml:space="preserve">          </w:t>
      </w:r>
      <w:r>
        <w:rPr>
          <w:rFonts w:hint="eastAsia" w:ascii="宋体" w:hAnsi="宋体" w:cs="宋体"/>
          <w:spacing w:val="-1"/>
          <w:szCs w:val="21"/>
        </w:rPr>
        <w:t>）</w:t>
      </w:r>
      <w:r>
        <w:rPr>
          <w:rFonts w:hint="eastAsia" w:ascii="宋体" w:hAnsi="宋体" w:cs="宋体"/>
          <w:szCs w:val="21"/>
        </w:rPr>
        <w:t>。</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(2) 如果我们的投标文件被接受，我们将履行招标文件中规定的各项要求。</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pacing w:val="-60"/>
          <w:szCs w:val="21"/>
        </w:rPr>
        <w:t xml:space="preserve"> </w:t>
      </w:r>
      <w:r>
        <w:rPr>
          <w:rFonts w:hint="eastAsia" w:ascii="宋体" w:hAnsi="宋体" w:cs="宋体"/>
          <w:szCs w:val="21"/>
        </w:rPr>
        <w:t>我们同意本招标文件中有关投标有效期的规定。如果中标，有效期延长至合同终止日止。</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(4) 我们愿提供招标文件中要求的所有文件资料。</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(5)</w:t>
      </w:r>
      <w:r>
        <w:rPr>
          <w:rFonts w:hint="eastAsia" w:ascii="宋体" w:hAnsi="宋体" w:cs="宋体"/>
          <w:spacing w:val="-60"/>
          <w:szCs w:val="21"/>
        </w:rPr>
        <w:t xml:space="preserve"> </w:t>
      </w:r>
      <w:r>
        <w:rPr>
          <w:rFonts w:hint="eastAsia" w:ascii="宋体" w:hAnsi="宋体" w:cs="宋体"/>
          <w:szCs w:val="21"/>
        </w:rPr>
        <w:t>我们已经详细审核了全部招标文件，如有需要澄清的问题，我们同意按招标文件规定的时间向采购人提出。逾期不提，我公司同意放弃对这方面有不明及误解的权利。</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pacing w:val="-6"/>
          <w:szCs w:val="21"/>
        </w:rPr>
        <w:t>我们承诺，与采购人、采购人就本次采购的项目委托的咨询机构、</w:t>
      </w:r>
      <w:r>
        <w:rPr>
          <w:rFonts w:hint="eastAsia" w:ascii="宋体" w:hAnsi="宋体" w:cs="宋体"/>
          <w:szCs w:val="21"/>
        </w:rPr>
        <w:t>以及上述机构的附属机构没有行政或经济关联。</w:t>
      </w:r>
    </w:p>
    <w:p>
      <w:pPr>
        <w:pStyle w:val="17"/>
        <w:spacing w:after="0" w:line="400" w:lineRule="exact"/>
        <w:ind w:left="63" w:right="63" w:firstLine="420" w:firstLineChars="200"/>
        <w:jc w:val="left"/>
        <w:rPr>
          <w:rFonts w:hint="eastAsia" w:ascii="宋体" w:hAnsi="宋体" w:cs="宋体"/>
          <w:szCs w:val="21"/>
        </w:rPr>
      </w:pPr>
      <w:r>
        <w:rPr>
          <w:rFonts w:hint="eastAsia" w:ascii="宋体" w:hAnsi="宋体" w:cs="宋体"/>
          <w:szCs w:val="21"/>
        </w:rPr>
        <w:t>(7)</w:t>
      </w:r>
      <w:r>
        <w:rPr>
          <w:rFonts w:hint="eastAsia" w:ascii="宋体" w:hAnsi="宋体" w:cs="宋体"/>
          <w:spacing w:val="-60"/>
          <w:szCs w:val="21"/>
        </w:rPr>
        <w:t xml:space="preserve"> </w:t>
      </w:r>
      <w:r>
        <w:rPr>
          <w:rFonts w:hint="eastAsia" w:ascii="宋体" w:hAnsi="宋体" w:cs="宋体"/>
          <w:szCs w:val="21"/>
        </w:rPr>
        <w:t>我公司同意提供按照采购人可能要求的与其投标有关的一切数据或资料，完全理解采购人不一定接受最低价的投标或收到的任何投标。</w:t>
      </w:r>
    </w:p>
    <w:p>
      <w:pPr>
        <w:pStyle w:val="17"/>
        <w:spacing w:after="0" w:line="400" w:lineRule="exact"/>
        <w:ind w:left="479" w:leftChars="228" w:right="63"/>
        <w:jc w:val="left"/>
        <w:rPr>
          <w:rFonts w:hint="eastAsia" w:ascii="宋体" w:hAnsi="宋体" w:cs="宋体"/>
          <w:szCs w:val="21"/>
        </w:rPr>
      </w:pPr>
      <w:r>
        <w:rPr>
          <w:rFonts w:hint="eastAsia" w:ascii="宋体" w:hAnsi="宋体" w:cs="宋体"/>
          <w:szCs w:val="21"/>
        </w:rPr>
        <w:t>(8)</w:t>
      </w:r>
      <w:r>
        <w:rPr>
          <w:rFonts w:hint="eastAsia" w:ascii="宋体" w:hAnsi="宋体" w:cs="宋体"/>
          <w:spacing w:val="-60"/>
          <w:szCs w:val="21"/>
        </w:rPr>
        <w:t xml:space="preserve"> </w:t>
      </w:r>
      <w:r>
        <w:rPr>
          <w:rFonts w:hint="eastAsia" w:ascii="宋体" w:hAnsi="宋体" w:cs="宋体"/>
          <w:szCs w:val="21"/>
        </w:rPr>
        <w:t>如果我们的投标文件被接受，我们将按招标文件的规定签订并严格履行合同中的责任和义务。</w:t>
      </w:r>
    </w:p>
    <w:p>
      <w:pPr>
        <w:pStyle w:val="17"/>
        <w:spacing w:after="0" w:line="400" w:lineRule="exact"/>
        <w:ind w:left="479" w:leftChars="228" w:right="63"/>
        <w:jc w:val="left"/>
        <w:rPr>
          <w:rFonts w:hint="eastAsia" w:ascii="宋体" w:hAnsi="宋体" w:cs="宋体"/>
        </w:rPr>
      </w:pPr>
      <w:r>
        <w:rPr>
          <w:rFonts w:hint="eastAsia" w:ascii="宋体" w:hAnsi="宋体" w:cs="宋体"/>
        </w:rPr>
        <w:t xml:space="preserve">(9)我公司承诺完全响应招标文件中的各项要求。 </w:t>
      </w:r>
    </w:p>
    <w:p>
      <w:pPr>
        <w:pStyle w:val="104"/>
        <w:ind w:firstLine="420" w:firstLineChars="200"/>
        <w:jc w:val="left"/>
        <w:rPr>
          <w:rFonts w:hint="eastAsia" w:ascii="宋体" w:hAnsi="宋体" w:cs="宋体"/>
        </w:rPr>
      </w:pPr>
      <w:r>
        <w:rPr>
          <w:rFonts w:hint="eastAsia" w:ascii="宋体" w:hAnsi="宋体" w:cs="宋体"/>
          <w:sz w:val="21"/>
        </w:rPr>
        <w:t>与本投标有关的正式通讯地址</w:t>
      </w:r>
      <w:r>
        <w:rPr>
          <w:rFonts w:hint="eastAsia" w:ascii="宋体" w:hAnsi="宋体" w:cs="宋体"/>
        </w:rPr>
        <w:t>：</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地  址：</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邮  编：</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pStyle w:val="17"/>
        <w:tabs>
          <w:tab w:val="left" w:pos="1063"/>
        </w:tabs>
        <w:spacing w:after="0" w:line="400" w:lineRule="exact"/>
        <w:ind w:left="63" w:right="63" w:firstLine="210" w:firstLineChars="100"/>
        <w:jc w:val="left"/>
        <w:rPr>
          <w:rFonts w:hint="eastAsia" w:ascii="宋体" w:hAnsi="宋体" w:cs="宋体"/>
          <w:szCs w:val="21"/>
        </w:rPr>
      </w:pPr>
      <w:r>
        <w:rPr>
          <w:rFonts w:hint="eastAsia" w:ascii="宋体" w:hAnsi="宋体" w:cs="宋体"/>
          <w:szCs w:val="21"/>
        </w:rPr>
        <w:t>电  话：</w:t>
      </w:r>
      <w:r>
        <w:rPr>
          <w:rFonts w:hint="eastAsia" w:ascii="宋体" w:hAnsi="宋体" w:cs="宋体"/>
          <w:spacing w:val="-1"/>
          <w:szCs w:val="21"/>
          <w:u w:val="single" w:color="000000"/>
        </w:rPr>
        <w:t xml:space="preserve"> </w:t>
      </w:r>
      <w:r>
        <w:rPr>
          <w:rFonts w:hint="eastAsia" w:ascii="宋体" w:hAnsi="宋体" w:cs="宋体"/>
          <w:spacing w:val="-1"/>
          <w:szCs w:val="21"/>
          <w:u w:val="single" w:color="000000"/>
        </w:rPr>
        <w:tab/>
      </w:r>
      <w:r>
        <w:rPr>
          <w:rFonts w:hint="eastAsia" w:ascii="宋体" w:hAnsi="宋体" w:cs="宋体"/>
          <w:spacing w:val="-1"/>
          <w:szCs w:val="21"/>
          <w:u w:val="single" w:color="000000"/>
        </w:rPr>
        <w:t xml:space="preserve">                  </w:t>
      </w:r>
    </w:p>
    <w:p>
      <w:pPr>
        <w:tabs>
          <w:tab w:val="left" w:pos="1063"/>
        </w:tabs>
        <w:spacing w:line="400" w:lineRule="exact"/>
        <w:ind w:left="63" w:leftChars="30" w:right="170" w:firstLine="210" w:firstLineChars="100"/>
        <w:jc w:val="left"/>
        <w:rPr>
          <w:rFonts w:hint="eastAsia" w:ascii="宋体" w:hAnsi="宋体" w:cs="宋体"/>
          <w:spacing w:val="-1"/>
          <w:u w:val="single" w:color="000000"/>
        </w:rPr>
      </w:pPr>
      <w:r>
        <w:rPr>
          <w:rFonts w:hint="eastAsia" w:ascii="宋体" w:hAnsi="宋体" w:cs="宋体"/>
        </w:rPr>
        <w:t>传  真：</w:t>
      </w:r>
      <w:r>
        <w:rPr>
          <w:rFonts w:hint="eastAsia" w:ascii="宋体" w:hAnsi="宋体" w:cs="宋体"/>
          <w:spacing w:val="-1"/>
          <w:u w:val="single" w:color="000000"/>
        </w:rPr>
        <w:t xml:space="preserve"> </w:t>
      </w:r>
      <w:r>
        <w:rPr>
          <w:rFonts w:hint="eastAsia" w:ascii="宋体" w:hAnsi="宋体" w:cs="宋体"/>
          <w:spacing w:val="-1"/>
          <w:u w:val="single" w:color="000000"/>
        </w:rPr>
        <w:tab/>
      </w:r>
      <w:r>
        <w:rPr>
          <w:rFonts w:hint="eastAsia" w:ascii="宋体" w:hAnsi="宋体" w:cs="宋体"/>
          <w:spacing w:val="-1"/>
          <w:u w:val="single" w:color="000000"/>
        </w:rPr>
        <w:t xml:space="preserve">                  </w:t>
      </w:r>
    </w:p>
    <w:p>
      <w:pPr>
        <w:tabs>
          <w:tab w:val="left" w:pos="1063"/>
        </w:tabs>
        <w:spacing w:line="400" w:lineRule="exact"/>
        <w:ind w:left="4200" w:leftChars="2000" w:right="170"/>
        <w:jc w:val="left"/>
        <w:rPr>
          <w:rFonts w:hint="eastAsia" w:ascii="宋体" w:hAnsi="宋体" w:cs="宋体"/>
        </w:rPr>
      </w:pPr>
    </w:p>
    <w:p>
      <w:pPr>
        <w:tabs>
          <w:tab w:val="left" w:pos="1063"/>
        </w:tabs>
        <w:spacing w:line="400" w:lineRule="exact"/>
        <w:ind w:right="170"/>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spacing w:line="400" w:lineRule="exact"/>
        <w:ind w:left="4200" w:leftChars="2000"/>
        <w:jc w:val="right"/>
        <w:rPr>
          <w:rFonts w:hint="eastAsia" w:ascii="宋体" w:hAnsi="宋体" w:cs="宋体"/>
        </w:rPr>
      </w:pPr>
      <w:r>
        <w:rPr>
          <w:rFonts w:hint="eastAsia" w:ascii="宋体" w:hAnsi="宋体" w:cs="宋体"/>
        </w:rPr>
        <w:t xml:space="preserve">     </w:t>
      </w:r>
    </w:p>
    <w:p>
      <w:pPr>
        <w:spacing w:line="400" w:lineRule="exact"/>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spacing w:line="400" w:lineRule="exact"/>
        <w:ind w:left="4200" w:leftChars="2000"/>
        <w:jc w:val="right"/>
        <w:rPr>
          <w:rFonts w:hint="eastAsia" w:ascii="宋体" w:hAnsi="宋体" w:cs="宋体"/>
        </w:rPr>
      </w:pPr>
    </w:p>
    <w:p>
      <w:pPr>
        <w:tabs>
          <w:tab w:val="left" w:pos="5380"/>
          <w:tab w:val="left" w:pos="6520"/>
          <w:tab w:val="left" w:pos="7680"/>
        </w:tabs>
        <w:autoSpaceDE w:val="0"/>
        <w:autoSpaceDN w:val="0"/>
        <w:adjustRightInd w:val="0"/>
        <w:spacing w:line="400" w:lineRule="exact"/>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04"/>
        <w:spacing w:line="360" w:lineRule="auto"/>
        <w:ind w:firstLine="420" w:firstLineChars="200"/>
        <w:jc w:val="center"/>
        <w:rPr>
          <w:rFonts w:hint="eastAsia" w:ascii="宋体" w:hAnsi="宋体" w:cs="宋体"/>
          <w:sz w:val="21"/>
        </w:rPr>
      </w:pPr>
    </w:p>
    <w:p>
      <w:pPr>
        <w:spacing w:line="440" w:lineRule="exact"/>
        <w:jc w:val="right"/>
        <w:rPr>
          <w:rFonts w:hint="eastAsia"/>
        </w:rPr>
      </w:pPr>
      <w:r>
        <w:rPr>
          <w:rFonts w:hint="eastAsia" w:ascii="宋体" w:hAnsi="宋体" w:cs="宋体"/>
        </w:rPr>
        <w:br w:type="page"/>
      </w:r>
      <w:bookmarkStart w:id="599" w:name="_Toc1652_WPSOffice_Level2"/>
    </w:p>
    <w:p>
      <w:pPr>
        <w:pStyle w:val="3"/>
        <w:rPr>
          <w:rFonts w:hint="eastAsia"/>
          <w:b/>
          <w:bCs w:val="0"/>
          <w:sz w:val="30"/>
          <w:szCs w:val="30"/>
        </w:rPr>
      </w:pPr>
      <w:bookmarkStart w:id="600" w:name="_Toc30937"/>
      <w:bookmarkStart w:id="601" w:name="_Toc19098"/>
      <w:r>
        <w:rPr>
          <w:rFonts w:hint="eastAsia"/>
          <w:b/>
          <w:bCs w:val="0"/>
          <w:sz w:val="30"/>
          <w:szCs w:val="30"/>
        </w:rPr>
        <w:t>四、</w:t>
      </w:r>
      <w:bookmarkStart w:id="602" w:name="_Toc25483"/>
      <w:r>
        <w:rPr>
          <w:rFonts w:hint="eastAsia" w:ascii="宋体" w:hAnsi="宋体" w:eastAsia="宋体"/>
          <w:b/>
          <w:bCs w:val="0"/>
          <w:color w:val="000000"/>
          <w:sz w:val="30"/>
          <w:szCs w:val="30"/>
          <w:highlight w:val="none"/>
        </w:rPr>
        <w:t>投标报价表格</w:t>
      </w:r>
      <w:bookmarkEnd w:id="602"/>
    </w:p>
    <w:p>
      <w:pPr>
        <w:pStyle w:val="3"/>
        <w:rPr>
          <w:rFonts w:hint="eastAsia"/>
        </w:rPr>
      </w:pPr>
      <w:r>
        <w:rPr>
          <w:rFonts w:hint="eastAsia"/>
          <w:b/>
          <w:bCs w:val="0"/>
          <w:lang w:val="en-US" w:eastAsia="zh-CN"/>
        </w:rPr>
        <w:t>（1）</w:t>
      </w:r>
      <w:r>
        <w:rPr>
          <w:rFonts w:hint="eastAsia"/>
          <w:b/>
          <w:bCs w:val="0"/>
        </w:rPr>
        <w:t>开标一览表</w:t>
      </w:r>
      <w:bookmarkEnd w:id="599"/>
      <w:bookmarkEnd w:id="600"/>
      <w:bookmarkEnd w:id="601"/>
    </w:p>
    <w:tbl>
      <w:tblPr>
        <w:tblStyle w:val="43"/>
        <w:tblW w:w="8606" w:type="dxa"/>
        <w:jc w:val="center"/>
        <w:tblLayout w:type="fixed"/>
        <w:tblCellMar>
          <w:top w:w="0" w:type="dxa"/>
          <w:left w:w="0" w:type="dxa"/>
          <w:bottom w:w="0" w:type="dxa"/>
          <w:right w:w="0" w:type="dxa"/>
        </w:tblCellMar>
      </w:tblPr>
      <w:tblGrid>
        <w:gridCol w:w="2015"/>
        <w:gridCol w:w="6591"/>
      </w:tblGrid>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9"/>
              <w:jc w:val="center"/>
              <w:rPr>
                <w:rFonts w:hint="eastAsia"/>
                <w:szCs w:val="21"/>
              </w:rPr>
            </w:pPr>
            <w:r>
              <w:rPr>
                <w:rFonts w:hint="eastAsia"/>
                <w:b/>
                <w:bCs/>
                <w:szCs w:val="21"/>
              </w:rPr>
              <w:t>供应商名称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4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8"/>
              <w:jc w:val="center"/>
              <w:rPr>
                <w:rFonts w:hint="eastAsia"/>
                <w:szCs w:val="21"/>
              </w:rPr>
            </w:pPr>
            <w:r>
              <w:rPr>
                <w:rFonts w:hint="eastAsia"/>
                <w:b/>
                <w:bCs/>
                <w:szCs w:val="21"/>
              </w:rPr>
              <w:t>项目名称</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95" w:hRule="exac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szCs w:val="21"/>
              </w:rPr>
            </w:pPr>
            <w:r>
              <w:rPr>
                <w:rFonts w:hint="eastAsia"/>
                <w:b/>
                <w:bCs/>
                <w:szCs w:val="21"/>
              </w:rPr>
              <w:t>采购编号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2" w:hRule="atLeast"/>
          <w:jc w:val="center"/>
        </w:trPr>
        <w:tc>
          <w:tcPr>
            <w:tcW w:w="2015" w:type="dxa"/>
            <w:vMerge w:val="restart"/>
            <w:tcBorders>
              <w:top w:val="single" w:color="000000" w:sz="4" w:space="0"/>
              <w:left w:val="single" w:color="000000" w:sz="4" w:space="0"/>
              <w:right w:val="single" w:color="000000" w:sz="4" w:space="0"/>
            </w:tcBorders>
            <w:noWrap w:val="0"/>
            <w:vAlign w:val="center"/>
          </w:tcPr>
          <w:p>
            <w:pPr>
              <w:pStyle w:val="106"/>
              <w:spacing w:line="299" w:lineRule="exact"/>
              <w:jc w:val="center"/>
              <w:rPr>
                <w:rFonts w:hint="eastAsia"/>
                <w:szCs w:val="21"/>
                <w:lang w:val="en-US"/>
              </w:rPr>
            </w:pPr>
            <w:r>
              <w:rPr>
                <w:rFonts w:hint="eastAsia"/>
                <w:b/>
                <w:bCs/>
                <w:szCs w:val="21"/>
                <w:lang w:val="en-US"/>
              </w:rPr>
              <w:t>投标报价</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pPr>
            <w:r>
              <w:rPr>
                <w:rFonts w:hint="eastAsia"/>
              </w:rPr>
              <w:t>大写：</w:t>
            </w:r>
            <w:r>
              <w:rPr>
                <w:szCs w:val="21"/>
                <w:u w:val="single"/>
              </w:rPr>
              <w:t xml:space="preserve">                 </w:t>
            </w:r>
          </w:p>
        </w:tc>
      </w:tr>
      <w:tr>
        <w:tblPrEx>
          <w:tblCellMar>
            <w:top w:w="0" w:type="dxa"/>
            <w:left w:w="0" w:type="dxa"/>
            <w:bottom w:w="0" w:type="dxa"/>
            <w:right w:w="0" w:type="dxa"/>
          </w:tblCellMar>
        </w:tblPrEx>
        <w:trPr>
          <w:trHeight w:val="714" w:hRule="atLeast"/>
          <w:jc w:val="center"/>
        </w:trPr>
        <w:tc>
          <w:tcPr>
            <w:tcW w:w="2015" w:type="dxa"/>
            <w:vMerge w:val="continue"/>
            <w:tcBorders>
              <w:left w:val="single" w:color="000000" w:sz="4" w:space="0"/>
              <w:right w:val="single" w:color="000000" w:sz="4" w:space="0"/>
            </w:tcBorders>
            <w:noWrap w:val="0"/>
            <w:vAlign w:val="center"/>
          </w:tcPr>
          <w:p>
            <w:pPr>
              <w:pStyle w:val="106"/>
              <w:spacing w:line="299" w:lineRule="exact"/>
              <w:jc w:val="center"/>
              <w:rPr>
                <w:rFonts w:hint="eastAsia"/>
                <w:szCs w:val="21"/>
                <w:lang w:val="en-US"/>
              </w:rPr>
            </w:pP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5"/>
              <w:ind w:firstLine="720" w:firstLineChars="300"/>
              <w:jc w:val="both"/>
              <w:rPr>
                <w:rFonts w:hint="eastAsia"/>
              </w:rPr>
            </w:pPr>
            <w:r>
              <w:rPr>
                <w:rFonts w:hint="eastAsia"/>
              </w:rPr>
              <w:t>小写：</w:t>
            </w:r>
            <w:r>
              <w:rPr>
                <w:szCs w:val="21"/>
                <w:u w:val="single"/>
              </w:rPr>
              <w:t xml:space="preserve">                 </w:t>
            </w: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交货地点</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lang w:val="en-US" w:eastAsia="zh-CN"/>
              </w:rPr>
              <w:t>交货</w:t>
            </w:r>
            <w:r>
              <w:rPr>
                <w:rFonts w:hint="eastAsia"/>
                <w:b/>
                <w:bCs/>
                <w:szCs w:val="21"/>
              </w:rPr>
              <w:t>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zCs w:val="21"/>
                <w:u w:val="single"/>
              </w:rPr>
            </w:pPr>
          </w:p>
        </w:tc>
      </w:tr>
      <w:tr>
        <w:tblPrEx>
          <w:tblCellMar>
            <w:top w:w="0" w:type="dxa"/>
            <w:left w:w="0" w:type="dxa"/>
            <w:bottom w:w="0" w:type="dxa"/>
            <w:right w:w="0" w:type="dxa"/>
          </w:tblCellMar>
        </w:tblPrEx>
        <w:trPr>
          <w:trHeight w:val="74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质量标准</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2039"/>
              </w:tabs>
              <w:spacing w:before="100"/>
              <w:ind w:left="-1"/>
              <w:jc w:val="center"/>
              <w:rPr>
                <w:rFonts w:hint="eastAsia"/>
                <w:spacing w:val="-1"/>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质保期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723"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合同履行期限</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41"/>
              <w:ind w:left="-1"/>
              <w:jc w:val="center"/>
              <w:rPr>
                <w:rFonts w:hint="eastAsia"/>
                <w:szCs w:val="21"/>
              </w:rPr>
            </w:pPr>
          </w:p>
        </w:tc>
      </w:tr>
      <w:tr>
        <w:tblPrEx>
          <w:tblCellMar>
            <w:top w:w="0" w:type="dxa"/>
            <w:left w:w="0" w:type="dxa"/>
            <w:bottom w:w="0" w:type="dxa"/>
            <w:right w:w="0" w:type="dxa"/>
          </w:tblCellMar>
        </w:tblPrEx>
        <w:trPr>
          <w:trHeight w:val="69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投标有效期</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0" w:hRule="atLeast"/>
          <w:jc w:val="center"/>
        </w:trPr>
        <w:tc>
          <w:tcPr>
            <w:tcW w:w="2015" w:type="dxa"/>
            <w:tcBorders>
              <w:top w:val="single" w:color="000000" w:sz="4" w:space="0"/>
              <w:left w:val="single" w:color="000000" w:sz="4" w:space="0"/>
              <w:bottom w:val="single" w:color="000000" w:sz="4" w:space="0"/>
              <w:right w:val="single" w:color="000000" w:sz="4" w:space="0"/>
            </w:tcBorders>
            <w:noWrap w:val="0"/>
            <w:vAlign w:val="center"/>
          </w:tcPr>
          <w:p>
            <w:pPr>
              <w:pStyle w:val="106"/>
              <w:spacing w:before="37"/>
              <w:jc w:val="center"/>
              <w:rPr>
                <w:rFonts w:hint="eastAsia"/>
                <w:b/>
                <w:bCs/>
                <w:szCs w:val="21"/>
              </w:rPr>
            </w:pPr>
            <w:r>
              <w:rPr>
                <w:rFonts w:hint="eastAsia"/>
                <w:b/>
                <w:bCs/>
                <w:szCs w:val="21"/>
              </w:rPr>
              <w:t>备注</w:t>
            </w:r>
          </w:p>
        </w:tc>
        <w:tc>
          <w:tcPr>
            <w:tcW w:w="65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p>
        </w:tc>
      </w:tr>
    </w:tbl>
    <w:p>
      <w:pPr>
        <w:spacing w:before="5"/>
        <w:rPr>
          <w:rFonts w:hint="eastAsia" w:ascii="宋体" w:hAnsi="宋体" w:cs="宋体"/>
          <w:b/>
          <w:bCs/>
          <w:sz w:val="22"/>
          <w:szCs w:val="22"/>
        </w:rPr>
      </w:pPr>
    </w:p>
    <w:p>
      <w:pPr>
        <w:spacing w:before="34"/>
        <w:ind w:left="103"/>
        <w:jc w:val="left"/>
        <w:rPr>
          <w:rFonts w:hint="eastAsia" w:ascii="宋体" w:hAnsi="宋体" w:cs="宋体"/>
        </w:rPr>
      </w:pPr>
      <w:r>
        <w:rPr>
          <w:rFonts w:hint="eastAsia" w:ascii="宋体" w:hAnsi="宋体" w:cs="宋体"/>
        </w:rPr>
        <w:t>说明：</w:t>
      </w:r>
    </w:p>
    <w:p>
      <w:pPr>
        <w:spacing w:before="119"/>
        <w:ind w:left="523"/>
        <w:jc w:val="left"/>
        <w:rPr>
          <w:rFonts w:hint="eastAsia" w:ascii="宋体" w:hAnsi="宋体" w:cs="宋体"/>
        </w:rPr>
      </w:pPr>
      <w:r>
        <w:rPr>
          <w:rFonts w:hint="eastAsia" w:ascii="宋体" w:hAnsi="宋体" w:cs="宋体"/>
        </w:rPr>
        <w:t>1、开标一览表中只允许有一个投标报价。</w:t>
      </w:r>
    </w:p>
    <w:p>
      <w:pPr>
        <w:spacing w:before="117"/>
        <w:ind w:left="523"/>
        <w:jc w:val="left"/>
        <w:rPr>
          <w:rFonts w:hint="eastAsia" w:ascii="宋体" w:hAnsi="宋体" w:cs="宋体"/>
        </w:rPr>
      </w:pPr>
      <w:r>
        <w:rPr>
          <w:rFonts w:hint="eastAsia" w:ascii="宋体" w:hAnsi="宋体" w:cs="宋体"/>
        </w:rPr>
        <w:t>2、大小写不一致的以大写为准。</w:t>
      </w:r>
    </w:p>
    <w:p>
      <w:pPr>
        <w:rPr>
          <w:rFonts w:hint="eastAsia" w:ascii="宋体" w:hAnsi="宋体" w:cs="宋体"/>
          <w:sz w:val="22"/>
          <w:szCs w:val="22"/>
        </w:rPr>
      </w:pPr>
    </w:p>
    <w:p>
      <w:pPr>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ind w:left="3780" w:leftChars="1800"/>
        <w:jc w:val="right"/>
        <w:rPr>
          <w:rFonts w:hint="eastAsia" w:ascii="宋体" w:hAnsi="宋体" w:cs="宋体"/>
        </w:rPr>
      </w:pPr>
    </w:p>
    <w:p>
      <w:pPr>
        <w:jc w:val="right"/>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ind w:left="3780" w:leftChars="1800"/>
        <w:jc w:val="right"/>
        <w:rPr>
          <w:rFonts w:hint="eastAsia" w:ascii="宋体" w:hAnsi="宋体" w:cs="宋体"/>
        </w:rPr>
      </w:pPr>
    </w:p>
    <w:p>
      <w:pPr>
        <w:tabs>
          <w:tab w:val="left" w:pos="5380"/>
          <w:tab w:val="left" w:pos="6520"/>
          <w:tab w:val="left" w:pos="7680"/>
        </w:tabs>
        <w:autoSpaceDE w:val="0"/>
        <w:autoSpaceDN w:val="0"/>
        <w:adjustRightInd w:val="0"/>
        <w:ind w:right="-20"/>
        <w:jc w:val="righ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42"/>
        <w:rPr>
          <w:rFonts w:hint="eastAsia"/>
        </w:rPr>
      </w:pPr>
    </w:p>
    <w:p>
      <w:pPr>
        <w:pStyle w:val="105"/>
        <w:rPr>
          <w:rFonts w:hint="eastAsia" w:hAnsi="宋体" w:cs="宋体"/>
        </w:rPr>
      </w:pPr>
    </w:p>
    <w:p>
      <w:pPr>
        <w:spacing w:line="443" w:lineRule="exact"/>
        <w:ind w:right="57"/>
        <w:jc w:val="center"/>
        <w:outlineLvl w:val="9"/>
        <w:rPr>
          <w:b/>
          <w:bCs/>
          <w:sz w:val="28"/>
          <w:szCs w:val="28"/>
        </w:rPr>
      </w:pPr>
      <w:bookmarkStart w:id="603" w:name="_Toc18587_WPSOffice_Level2"/>
      <w:r>
        <w:rPr>
          <w:rFonts w:hint="eastAsia"/>
          <w:b/>
          <w:bCs/>
          <w:sz w:val="28"/>
          <w:szCs w:val="28"/>
          <w:lang w:eastAsia="zh-CN"/>
        </w:rPr>
        <w:t>（</w:t>
      </w:r>
      <w:r>
        <w:rPr>
          <w:rFonts w:hint="eastAsia"/>
          <w:b/>
          <w:bCs/>
          <w:sz w:val="28"/>
          <w:szCs w:val="28"/>
          <w:lang w:val="en-US" w:eastAsia="zh-CN"/>
        </w:rPr>
        <w:t>2</w:t>
      </w:r>
      <w:r>
        <w:rPr>
          <w:rFonts w:hint="eastAsia"/>
          <w:b/>
          <w:bCs/>
          <w:sz w:val="28"/>
          <w:szCs w:val="28"/>
          <w:lang w:eastAsia="zh-CN"/>
        </w:rPr>
        <w:t>）</w:t>
      </w:r>
      <w:r>
        <w:rPr>
          <w:rFonts w:hint="eastAsia"/>
          <w:b/>
          <w:bCs/>
          <w:sz w:val="28"/>
          <w:szCs w:val="28"/>
        </w:rPr>
        <w:t>分项报价表</w:t>
      </w:r>
    </w:p>
    <w:p>
      <w:pPr>
        <w:pStyle w:val="17"/>
        <w:rPr>
          <w:rFonts w:ascii="Microsoft JhengHei"/>
          <w:b/>
          <w:sz w:val="20"/>
        </w:rPr>
      </w:pPr>
    </w:p>
    <w:p>
      <w:pPr>
        <w:spacing w:line="360" w:lineRule="exact"/>
        <w:rPr>
          <w:color w:val="000000"/>
          <w:szCs w:val="21"/>
        </w:rPr>
      </w:pPr>
      <w:r>
        <w:rPr>
          <w:rFonts w:hint="eastAsia"/>
          <w:color w:val="000000"/>
          <w:szCs w:val="21"/>
        </w:rPr>
        <w:t xml:space="preserve">    价格单位：人民币元</w:t>
      </w:r>
    </w:p>
    <w:tbl>
      <w:tblPr>
        <w:tblStyle w:val="43"/>
        <w:tblpPr w:leftFromText="180" w:rightFromText="180" w:vertAnchor="text" w:horzAnchor="margin" w:tblpXSpec="center" w:tblpY="3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0"/>
        <w:gridCol w:w="1266"/>
        <w:gridCol w:w="1181"/>
        <w:gridCol w:w="1093"/>
        <w:gridCol w:w="1062"/>
        <w:gridCol w:w="1090"/>
        <w:gridCol w:w="108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4" w:type="dxa"/>
            <w:noWrap w:val="0"/>
            <w:vAlign w:val="center"/>
          </w:tcPr>
          <w:p>
            <w:pPr>
              <w:spacing w:line="240" w:lineRule="exact"/>
              <w:jc w:val="center"/>
              <w:rPr>
                <w:color w:val="000000"/>
                <w:szCs w:val="21"/>
              </w:rPr>
            </w:pPr>
            <w:r>
              <w:rPr>
                <w:rFonts w:hint="eastAsia"/>
                <w:color w:val="000000"/>
                <w:szCs w:val="21"/>
              </w:rPr>
              <w:t>序</w:t>
            </w:r>
          </w:p>
          <w:p>
            <w:pPr>
              <w:spacing w:line="240" w:lineRule="exact"/>
              <w:jc w:val="center"/>
              <w:rPr>
                <w:color w:val="000000"/>
                <w:szCs w:val="21"/>
              </w:rPr>
            </w:pPr>
            <w:r>
              <w:rPr>
                <w:rFonts w:hint="eastAsia"/>
                <w:color w:val="000000"/>
                <w:szCs w:val="21"/>
              </w:rPr>
              <w:t>号</w:t>
            </w:r>
          </w:p>
        </w:tc>
        <w:tc>
          <w:tcPr>
            <w:tcW w:w="1080" w:type="dxa"/>
            <w:noWrap w:val="0"/>
            <w:vAlign w:val="center"/>
          </w:tcPr>
          <w:p>
            <w:pPr>
              <w:spacing w:line="240" w:lineRule="exact"/>
              <w:jc w:val="center"/>
              <w:rPr>
                <w:color w:val="000000"/>
                <w:szCs w:val="21"/>
              </w:rPr>
            </w:pPr>
            <w:r>
              <w:rPr>
                <w:rFonts w:hint="eastAsia"/>
                <w:color w:val="000000"/>
                <w:szCs w:val="21"/>
              </w:rPr>
              <w:t>投标货</w:t>
            </w:r>
          </w:p>
          <w:p>
            <w:pPr>
              <w:spacing w:line="240" w:lineRule="exact"/>
              <w:jc w:val="center"/>
              <w:rPr>
                <w:color w:val="000000"/>
                <w:szCs w:val="21"/>
              </w:rPr>
            </w:pPr>
            <w:r>
              <w:rPr>
                <w:rFonts w:hint="eastAsia"/>
                <w:color w:val="000000"/>
                <w:szCs w:val="21"/>
              </w:rPr>
              <w:t>物名称</w:t>
            </w:r>
          </w:p>
        </w:tc>
        <w:tc>
          <w:tcPr>
            <w:tcW w:w="1266" w:type="dxa"/>
            <w:noWrap w:val="0"/>
            <w:vAlign w:val="center"/>
          </w:tcPr>
          <w:p>
            <w:pPr>
              <w:pStyle w:val="27"/>
              <w:pBdr>
                <w:bottom w:val="none" w:color="auto" w:sz="0" w:space="0"/>
              </w:pBdr>
              <w:tabs>
                <w:tab w:val="clear" w:pos="4153"/>
                <w:tab w:val="clear" w:pos="8306"/>
              </w:tabs>
              <w:spacing w:line="240" w:lineRule="exact"/>
              <w:rPr>
                <w:color w:val="000000"/>
                <w:sz w:val="21"/>
                <w:szCs w:val="21"/>
              </w:rPr>
            </w:pPr>
            <w:r>
              <w:rPr>
                <w:rFonts w:hint="eastAsia"/>
                <w:color w:val="000000"/>
                <w:sz w:val="21"/>
                <w:szCs w:val="21"/>
              </w:rPr>
              <w:t>品牌</w:t>
            </w:r>
          </w:p>
        </w:tc>
        <w:tc>
          <w:tcPr>
            <w:tcW w:w="1181" w:type="dxa"/>
            <w:noWrap w:val="0"/>
            <w:vAlign w:val="center"/>
          </w:tcPr>
          <w:p>
            <w:pPr>
              <w:spacing w:line="240" w:lineRule="exact"/>
              <w:jc w:val="center"/>
              <w:rPr>
                <w:color w:val="000000"/>
                <w:szCs w:val="21"/>
              </w:rPr>
            </w:pPr>
            <w:r>
              <w:rPr>
                <w:rFonts w:hint="eastAsia"/>
                <w:color w:val="000000"/>
                <w:szCs w:val="21"/>
              </w:rPr>
              <w:t>规格</w:t>
            </w:r>
          </w:p>
          <w:p>
            <w:pPr>
              <w:pStyle w:val="27"/>
              <w:pBdr>
                <w:bottom w:val="none" w:color="auto" w:sz="0" w:space="0"/>
              </w:pBdr>
              <w:tabs>
                <w:tab w:val="clear" w:pos="4153"/>
                <w:tab w:val="clear" w:pos="8306"/>
              </w:tabs>
              <w:spacing w:line="240" w:lineRule="exact"/>
              <w:rPr>
                <w:b/>
                <w:color w:val="000000"/>
                <w:sz w:val="21"/>
                <w:szCs w:val="21"/>
              </w:rPr>
            </w:pPr>
            <w:r>
              <w:rPr>
                <w:rFonts w:hint="eastAsia"/>
                <w:color w:val="000000"/>
                <w:sz w:val="21"/>
                <w:szCs w:val="21"/>
              </w:rPr>
              <w:t>型号</w:t>
            </w:r>
          </w:p>
        </w:tc>
        <w:tc>
          <w:tcPr>
            <w:tcW w:w="1093" w:type="dxa"/>
            <w:noWrap w:val="0"/>
            <w:vAlign w:val="center"/>
          </w:tcPr>
          <w:p>
            <w:pPr>
              <w:spacing w:line="240" w:lineRule="exact"/>
              <w:ind w:firstLine="105" w:firstLineChars="50"/>
              <w:rPr>
                <w:color w:val="000000"/>
                <w:szCs w:val="21"/>
              </w:rPr>
            </w:pPr>
            <w:r>
              <w:rPr>
                <w:rFonts w:hint="eastAsia"/>
                <w:color w:val="000000"/>
                <w:szCs w:val="21"/>
              </w:rPr>
              <w:t>单位</w:t>
            </w:r>
          </w:p>
        </w:tc>
        <w:tc>
          <w:tcPr>
            <w:tcW w:w="1062" w:type="dxa"/>
            <w:noWrap w:val="0"/>
            <w:vAlign w:val="center"/>
          </w:tcPr>
          <w:p>
            <w:pPr>
              <w:spacing w:line="240" w:lineRule="exact"/>
              <w:rPr>
                <w:color w:val="000000"/>
                <w:szCs w:val="21"/>
              </w:rPr>
            </w:pPr>
            <w:r>
              <w:rPr>
                <w:rFonts w:hint="eastAsia"/>
                <w:color w:val="000000"/>
                <w:szCs w:val="21"/>
              </w:rPr>
              <w:t>数量</w:t>
            </w:r>
          </w:p>
        </w:tc>
        <w:tc>
          <w:tcPr>
            <w:tcW w:w="1090" w:type="dxa"/>
            <w:noWrap w:val="0"/>
            <w:vAlign w:val="center"/>
          </w:tcPr>
          <w:p>
            <w:pPr>
              <w:spacing w:line="240" w:lineRule="exact"/>
              <w:jc w:val="center"/>
              <w:rPr>
                <w:color w:val="000000"/>
                <w:szCs w:val="21"/>
              </w:rPr>
            </w:pPr>
            <w:r>
              <w:rPr>
                <w:rFonts w:hint="eastAsia"/>
                <w:color w:val="000000"/>
                <w:szCs w:val="21"/>
              </w:rPr>
              <w:t>单价</w:t>
            </w:r>
          </w:p>
        </w:tc>
        <w:tc>
          <w:tcPr>
            <w:tcW w:w="1088" w:type="dxa"/>
            <w:noWrap w:val="0"/>
            <w:vAlign w:val="center"/>
          </w:tcPr>
          <w:p>
            <w:pPr>
              <w:spacing w:line="240" w:lineRule="exact"/>
              <w:jc w:val="center"/>
              <w:rPr>
                <w:color w:val="000000"/>
                <w:szCs w:val="21"/>
              </w:rPr>
            </w:pPr>
            <w:r>
              <w:rPr>
                <w:rFonts w:hint="eastAsia"/>
                <w:color w:val="000000"/>
                <w:szCs w:val="21"/>
              </w:rPr>
              <w:t>小计</w:t>
            </w:r>
          </w:p>
        </w:tc>
        <w:tc>
          <w:tcPr>
            <w:tcW w:w="1094" w:type="dxa"/>
            <w:noWrap w:val="0"/>
            <w:vAlign w:val="center"/>
          </w:tcPr>
          <w:p>
            <w:pPr>
              <w:spacing w:line="240" w:lineRule="exact"/>
              <w:jc w:val="center"/>
              <w:rPr>
                <w:color w:val="000000"/>
                <w:szCs w:val="21"/>
              </w:rPr>
            </w:pPr>
            <w:r>
              <w:rPr>
                <w:rFonts w:hint="eastAsia"/>
                <w:color w:val="000000"/>
                <w:szCs w:val="21"/>
              </w:rPr>
              <w:t>免费</w:t>
            </w:r>
          </w:p>
          <w:p>
            <w:pPr>
              <w:spacing w:line="240" w:lineRule="exact"/>
              <w:jc w:val="center"/>
              <w:rPr>
                <w:color w:val="000000"/>
                <w:szCs w:val="21"/>
              </w:rPr>
            </w:pPr>
            <w:r>
              <w:rPr>
                <w:rFonts w:hint="eastAsia"/>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4" w:type="dxa"/>
            <w:noWrap w:val="0"/>
            <w:vAlign w:val="top"/>
          </w:tcPr>
          <w:p>
            <w:pPr>
              <w:spacing w:line="400" w:lineRule="exact"/>
              <w:rPr>
                <w:color w:val="000000"/>
                <w:szCs w:val="21"/>
              </w:rPr>
            </w:pPr>
            <w:r>
              <w:rPr>
                <w:rFonts w:hint="eastAsia"/>
                <w:color w:val="000000"/>
                <w:szCs w:val="21"/>
              </w:rPr>
              <w:t>1</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4" w:type="dxa"/>
            <w:noWrap w:val="0"/>
            <w:vAlign w:val="top"/>
          </w:tcPr>
          <w:p>
            <w:pPr>
              <w:spacing w:line="400" w:lineRule="exact"/>
              <w:rPr>
                <w:color w:val="000000"/>
                <w:szCs w:val="21"/>
              </w:rPr>
            </w:pPr>
            <w:r>
              <w:rPr>
                <w:rFonts w:hint="eastAsia"/>
                <w:color w:val="000000"/>
                <w:szCs w:val="21"/>
              </w:rPr>
              <w:t>2</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4" w:type="dxa"/>
            <w:noWrap w:val="0"/>
            <w:vAlign w:val="top"/>
          </w:tcPr>
          <w:p>
            <w:pPr>
              <w:spacing w:line="400" w:lineRule="exact"/>
              <w:rPr>
                <w:color w:val="000000"/>
                <w:szCs w:val="21"/>
              </w:rPr>
            </w:pPr>
            <w:r>
              <w:rPr>
                <w:rFonts w:hint="eastAsia"/>
                <w:color w:val="000000"/>
                <w:szCs w:val="21"/>
              </w:rPr>
              <w:t>3</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94" w:type="dxa"/>
            <w:noWrap w:val="0"/>
            <w:vAlign w:val="top"/>
          </w:tcPr>
          <w:p>
            <w:pPr>
              <w:spacing w:line="400" w:lineRule="exact"/>
              <w:rPr>
                <w:color w:val="000000"/>
                <w:szCs w:val="21"/>
              </w:rPr>
            </w:pPr>
            <w:r>
              <w:rPr>
                <w:rFonts w:hint="eastAsia"/>
                <w:color w:val="000000"/>
                <w:szCs w:val="21"/>
              </w:rPr>
              <w:t>4</w:t>
            </w:r>
          </w:p>
        </w:tc>
        <w:tc>
          <w:tcPr>
            <w:tcW w:w="1080" w:type="dxa"/>
            <w:noWrap w:val="0"/>
            <w:vAlign w:val="top"/>
          </w:tcPr>
          <w:p>
            <w:pPr>
              <w:spacing w:line="400" w:lineRule="exact"/>
              <w:rPr>
                <w:color w:val="000000"/>
                <w:szCs w:val="21"/>
              </w:rPr>
            </w:pPr>
          </w:p>
        </w:tc>
        <w:tc>
          <w:tcPr>
            <w:tcW w:w="1266" w:type="dxa"/>
            <w:noWrap w:val="0"/>
            <w:vAlign w:val="top"/>
          </w:tcPr>
          <w:p>
            <w:pPr>
              <w:spacing w:line="400" w:lineRule="exact"/>
              <w:rPr>
                <w:color w:val="000000"/>
                <w:szCs w:val="21"/>
              </w:rPr>
            </w:pPr>
          </w:p>
        </w:tc>
        <w:tc>
          <w:tcPr>
            <w:tcW w:w="1181" w:type="dxa"/>
            <w:noWrap w:val="0"/>
            <w:vAlign w:val="top"/>
          </w:tcPr>
          <w:p>
            <w:pPr>
              <w:spacing w:line="400" w:lineRule="exact"/>
              <w:rPr>
                <w:color w:val="000000"/>
                <w:szCs w:val="21"/>
              </w:rPr>
            </w:pPr>
          </w:p>
        </w:tc>
        <w:tc>
          <w:tcPr>
            <w:tcW w:w="1093" w:type="dxa"/>
            <w:noWrap w:val="0"/>
            <w:vAlign w:val="top"/>
          </w:tcPr>
          <w:p>
            <w:pPr>
              <w:spacing w:line="400" w:lineRule="exact"/>
              <w:rPr>
                <w:color w:val="000000"/>
                <w:szCs w:val="21"/>
              </w:rPr>
            </w:pPr>
          </w:p>
        </w:tc>
        <w:tc>
          <w:tcPr>
            <w:tcW w:w="1062" w:type="dxa"/>
            <w:noWrap w:val="0"/>
            <w:vAlign w:val="top"/>
          </w:tcPr>
          <w:p>
            <w:pPr>
              <w:spacing w:line="400" w:lineRule="exact"/>
              <w:rPr>
                <w:color w:val="000000"/>
                <w:szCs w:val="21"/>
              </w:rPr>
            </w:pPr>
          </w:p>
        </w:tc>
        <w:tc>
          <w:tcPr>
            <w:tcW w:w="1090" w:type="dxa"/>
            <w:noWrap w:val="0"/>
            <w:vAlign w:val="top"/>
          </w:tcPr>
          <w:p>
            <w:pPr>
              <w:spacing w:line="400" w:lineRule="exact"/>
              <w:rPr>
                <w:color w:val="000000"/>
                <w:szCs w:val="21"/>
              </w:rPr>
            </w:pPr>
          </w:p>
        </w:tc>
        <w:tc>
          <w:tcPr>
            <w:tcW w:w="1088" w:type="dxa"/>
            <w:noWrap w:val="0"/>
            <w:vAlign w:val="top"/>
          </w:tcPr>
          <w:p>
            <w:pPr>
              <w:spacing w:line="400" w:lineRule="exact"/>
              <w:rPr>
                <w:color w:val="000000"/>
                <w:szCs w:val="21"/>
              </w:rPr>
            </w:pPr>
          </w:p>
        </w:tc>
        <w:tc>
          <w:tcPr>
            <w:tcW w:w="1094" w:type="dxa"/>
            <w:noWrap w:val="0"/>
            <w:vAlign w:val="top"/>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74" w:type="dxa"/>
            <w:gridSpan w:val="2"/>
            <w:noWrap w:val="0"/>
            <w:vAlign w:val="center"/>
          </w:tcPr>
          <w:p>
            <w:pPr>
              <w:spacing w:line="400" w:lineRule="exact"/>
              <w:jc w:val="center"/>
              <w:rPr>
                <w:color w:val="000000"/>
                <w:szCs w:val="21"/>
              </w:rPr>
            </w:pPr>
            <w:r>
              <w:rPr>
                <w:rFonts w:hint="eastAsia"/>
                <w:color w:val="000000"/>
                <w:szCs w:val="21"/>
              </w:rPr>
              <w:t>投标总价（元）</w:t>
            </w:r>
          </w:p>
        </w:tc>
        <w:tc>
          <w:tcPr>
            <w:tcW w:w="7874" w:type="dxa"/>
            <w:gridSpan w:val="7"/>
            <w:noWrap w:val="0"/>
            <w:vAlign w:val="top"/>
          </w:tcPr>
          <w:p>
            <w:pPr>
              <w:spacing w:line="500" w:lineRule="exact"/>
              <w:rPr>
                <w:b/>
                <w:color w:val="000000"/>
                <w:szCs w:val="21"/>
              </w:rPr>
            </w:pPr>
            <w:r>
              <w:rPr>
                <w:rFonts w:hint="eastAsia"/>
                <w:b/>
                <w:color w:val="000000"/>
                <w:szCs w:val="21"/>
              </w:rPr>
              <w:t>人民币大写：</w:t>
            </w:r>
          </w:p>
          <w:p>
            <w:pPr>
              <w:spacing w:line="500" w:lineRule="exact"/>
              <w:rPr>
                <w:color w:val="000000"/>
                <w:szCs w:val="21"/>
                <w:u w:val="single"/>
              </w:rPr>
            </w:pPr>
            <w:r>
              <w:rPr>
                <w:rFonts w:hint="eastAsia"/>
                <w:b/>
                <w:color w:val="000000"/>
                <w:szCs w:val="21"/>
              </w:rPr>
              <w:t>小写：</w:t>
            </w:r>
          </w:p>
        </w:tc>
      </w:tr>
    </w:tbl>
    <w:p>
      <w:pPr>
        <w:spacing w:line="400" w:lineRule="exact"/>
        <w:ind w:left="370" w:leftChars="176"/>
        <w:jc w:val="right"/>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rFonts w:hint="eastAsia"/>
          <w:szCs w:val="21"/>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jc w:val="right"/>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rPr>
        <w:t>日</w:t>
      </w:r>
    </w:p>
    <w:p>
      <w:pPr>
        <w:widowControl/>
        <w:spacing w:line="360" w:lineRule="atLeast"/>
        <w:ind w:firstLine="411" w:firstLineChars="196"/>
        <w:rPr>
          <w:szCs w:val="21"/>
        </w:rPr>
      </w:pPr>
      <w:r>
        <w:rPr>
          <w:rFonts w:hint="eastAsia"/>
          <w:szCs w:val="21"/>
        </w:rPr>
        <w:t>注：1、</w:t>
      </w:r>
      <w:r>
        <w:rPr>
          <w:rFonts w:hint="eastAsia"/>
          <w:szCs w:val="21"/>
          <w:lang w:eastAsia="zh-CN"/>
        </w:rPr>
        <w:t>供应商</w:t>
      </w:r>
      <w:r>
        <w:rPr>
          <w:rFonts w:hint="eastAsia"/>
          <w:szCs w:val="21"/>
        </w:rPr>
        <w:t>必须按“分项报价表”的格式详细报出投标总价的各个组成部分的报价，否则作无效投标处理。</w:t>
      </w:r>
    </w:p>
    <w:p>
      <w:pPr>
        <w:widowControl/>
        <w:spacing w:line="360" w:lineRule="atLeast"/>
        <w:ind w:firstLine="831" w:firstLineChars="396"/>
        <w:rPr>
          <w:szCs w:val="21"/>
        </w:rPr>
      </w:pPr>
      <w:r>
        <w:rPr>
          <w:rFonts w:hint="eastAsia"/>
          <w:szCs w:val="21"/>
        </w:rPr>
        <w:t>2、“分项报价表”各分项报价合计应当与“开标一览表”报价合计相等。</w:t>
      </w:r>
    </w:p>
    <w:p>
      <w:pPr>
        <w:rPr>
          <w:rFonts w:hint="eastAsia" w:hAnsi="Times New Roman" w:cs="Times New Roman"/>
        </w:rPr>
      </w:pPr>
      <w:r>
        <w:rPr>
          <w:rFonts w:hint="eastAsia"/>
          <w:szCs w:val="21"/>
        </w:rPr>
        <w:t>3、此表可扩展</w:t>
      </w:r>
    </w:p>
    <w:p>
      <w:pPr>
        <w:jc w:val="center"/>
        <w:outlineLvl w:val="1"/>
        <w:rPr>
          <w:rStyle w:val="95"/>
          <w:rFonts w:ascii="宋体" w:hAnsi="宋体"/>
          <w:sz w:val="28"/>
          <w:szCs w:val="28"/>
        </w:rPr>
      </w:pPr>
      <w:r>
        <w:rPr>
          <w:rFonts w:hint="eastAsia" w:ascii="宋体" w:hAnsi="宋体" w:cs="宋体"/>
          <w:b/>
        </w:rPr>
        <w:br w:type="page"/>
      </w:r>
      <w:bookmarkStart w:id="604" w:name="_Toc12864"/>
      <w:bookmarkStart w:id="605" w:name="_Toc31963"/>
      <w:r>
        <w:rPr>
          <w:rStyle w:val="95"/>
          <w:rFonts w:hint="eastAsia" w:ascii="宋体" w:hAnsi="宋体"/>
          <w:color w:val="000000"/>
          <w:sz w:val="28"/>
          <w:szCs w:val="28"/>
        </w:rPr>
        <w:t>五、投标货物技术偏离表</w:t>
      </w:r>
      <w:bookmarkEnd w:id="604"/>
    </w:p>
    <w:tbl>
      <w:tblPr>
        <w:tblStyle w:val="43"/>
        <w:tblpPr w:leftFromText="180" w:rightFromText="180" w:vertAnchor="text" w:horzAnchor="margin" w:tblpY="297"/>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5"/>
        <w:gridCol w:w="1535"/>
        <w:gridCol w:w="2750"/>
        <w:gridCol w:w="254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75" w:type="dxa"/>
            <w:noWrap w:val="0"/>
            <w:vAlign w:val="top"/>
          </w:tcPr>
          <w:p>
            <w:pPr>
              <w:spacing w:line="340" w:lineRule="exact"/>
              <w:jc w:val="center"/>
              <w:rPr>
                <w:color w:val="000000"/>
              </w:rPr>
            </w:pPr>
            <w:r>
              <w:rPr>
                <w:rFonts w:hint="eastAsia"/>
                <w:color w:val="000000"/>
              </w:rPr>
              <w:t>序</w:t>
            </w:r>
          </w:p>
          <w:p>
            <w:pPr>
              <w:spacing w:line="340" w:lineRule="exact"/>
              <w:jc w:val="center"/>
              <w:rPr>
                <w:color w:val="000000"/>
              </w:rPr>
            </w:pPr>
            <w:r>
              <w:rPr>
                <w:rFonts w:hint="eastAsia"/>
                <w:color w:val="000000"/>
              </w:rPr>
              <w:t>号</w:t>
            </w:r>
          </w:p>
        </w:tc>
        <w:tc>
          <w:tcPr>
            <w:tcW w:w="1535" w:type="dxa"/>
            <w:noWrap w:val="0"/>
            <w:vAlign w:val="center"/>
          </w:tcPr>
          <w:p>
            <w:pPr>
              <w:spacing w:line="340" w:lineRule="exact"/>
              <w:jc w:val="center"/>
              <w:rPr>
                <w:rFonts w:hint="eastAsia" w:eastAsia="宋体"/>
                <w:color w:val="000000"/>
                <w:lang w:eastAsia="zh-CN"/>
              </w:rPr>
            </w:pPr>
            <w:r>
              <w:rPr>
                <w:rFonts w:hint="eastAsia"/>
                <w:color w:val="000000"/>
              </w:rPr>
              <w:t>产品名称</w:t>
            </w:r>
          </w:p>
        </w:tc>
        <w:tc>
          <w:tcPr>
            <w:tcW w:w="2750" w:type="dxa"/>
            <w:noWrap w:val="0"/>
            <w:vAlign w:val="center"/>
          </w:tcPr>
          <w:p>
            <w:pPr>
              <w:spacing w:line="340" w:lineRule="exact"/>
              <w:jc w:val="center"/>
              <w:rPr>
                <w:color w:val="000000"/>
              </w:rPr>
            </w:pPr>
            <w:r>
              <w:rPr>
                <w:rFonts w:hint="eastAsia"/>
                <w:color w:val="000000"/>
              </w:rPr>
              <w:t>招标文件技术</w:t>
            </w:r>
          </w:p>
          <w:p>
            <w:pPr>
              <w:spacing w:line="340" w:lineRule="exact"/>
              <w:jc w:val="center"/>
              <w:rPr>
                <w:color w:val="000000"/>
              </w:rPr>
            </w:pPr>
            <w:r>
              <w:rPr>
                <w:rFonts w:hint="eastAsia"/>
                <w:color w:val="000000"/>
              </w:rPr>
              <w:t>要求（列明技术配置）</w:t>
            </w:r>
          </w:p>
        </w:tc>
        <w:tc>
          <w:tcPr>
            <w:tcW w:w="2546" w:type="dxa"/>
            <w:noWrap w:val="0"/>
            <w:vAlign w:val="center"/>
          </w:tcPr>
          <w:p>
            <w:pPr>
              <w:spacing w:before="120" w:line="340" w:lineRule="exact"/>
              <w:jc w:val="center"/>
              <w:rPr>
                <w:color w:val="000000"/>
              </w:rPr>
            </w:pPr>
            <w:r>
              <w:rPr>
                <w:rFonts w:hint="eastAsia"/>
                <w:color w:val="000000"/>
              </w:rPr>
              <w:t>投标文件技术响应情况（列明所投产品的技术配置）</w:t>
            </w:r>
          </w:p>
        </w:tc>
        <w:tc>
          <w:tcPr>
            <w:tcW w:w="2160" w:type="dxa"/>
            <w:tcBorders>
              <w:right w:val="single" w:color="auto" w:sz="4" w:space="0"/>
            </w:tcBorders>
            <w:noWrap w:val="0"/>
            <w:vAlign w:val="center"/>
          </w:tcPr>
          <w:p>
            <w:pPr>
              <w:spacing w:before="120" w:line="240" w:lineRule="exact"/>
              <w:jc w:val="center"/>
              <w:rPr>
                <w:color w:val="000000"/>
              </w:rPr>
            </w:pPr>
            <w:r>
              <w:rPr>
                <w:rFonts w:hint="eastAsia"/>
                <w:color w:val="000000"/>
              </w:rPr>
              <w:t>偏差描述（描述技术是否具有正、负偏差）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575" w:type="dxa"/>
            <w:tcBorders>
              <w:bottom w:val="single" w:color="auto" w:sz="4" w:space="0"/>
            </w:tcBorders>
            <w:noWrap w:val="0"/>
            <w:vAlign w:val="top"/>
          </w:tcPr>
          <w:p>
            <w:pPr>
              <w:rPr>
                <w:color w:val="000000"/>
              </w:rPr>
            </w:pPr>
          </w:p>
        </w:tc>
        <w:tc>
          <w:tcPr>
            <w:tcW w:w="1535" w:type="dxa"/>
            <w:tcBorders>
              <w:bottom w:val="single" w:color="auto" w:sz="4" w:space="0"/>
            </w:tcBorders>
            <w:noWrap w:val="0"/>
            <w:vAlign w:val="top"/>
          </w:tcPr>
          <w:p>
            <w:pPr>
              <w:rPr>
                <w:color w:val="000000"/>
              </w:rPr>
            </w:pPr>
          </w:p>
        </w:tc>
        <w:tc>
          <w:tcPr>
            <w:tcW w:w="2750" w:type="dxa"/>
            <w:tcBorders>
              <w:bottom w:val="single" w:color="auto" w:sz="4" w:space="0"/>
            </w:tcBorders>
            <w:noWrap w:val="0"/>
            <w:vAlign w:val="top"/>
          </w:tcPr>
          <w:p>
            <w:pPr>
              <w:rPr>
                <w:color w:val="000000"/>
              </w:rPr>
            </w:pPr>
          </w:p>
        </w:tc>
        <w:tc>
          <w:tcPr>
            <w:tcW w:w="2546" w:type="dxa"/>
            <w:tcBorders>
              <w:bottom w:val="single" w:color="auto" w:sz="4" w:space="0"/>
            </w:tcBorders>
            <w:noWrap w:val="0"/>
            <w:vAlign w:val="top"/>
          </w:tcPr>
          <w:p>
            <w:pPr>
              <w:rPr>
                <w:color w:val="000000"/>
              </w:rPr>
            </w:pPr>
          </w:p>
        </w:tc>
        <w:tc>
          <w:tcPr>
            <w:tcW w:w="2160" w:type="dxa"/>
            <w:tcBorders>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trPr>
        <w:tc>
          <w:tcPr>
            <w:tcW w:w="575" w:type="dxa"/>
            <w:tcBorders>
              <w:top w:val="single" w:color="auto" w:sz="4" w:space="0"/>
              <w:bottom w:val="single" w:color="auto" w:sz="4" w:space="0"/>
            </w:tcBorders>
            <w:noWrap w:val="0"/>
            <w:vAlign w:val="top"/>
          </w:tcPr>
          <w:p>
            <w:pPr>
              <w:rPr>
                <w:color w:val="000000"/>
              </w:rPr>
            </w:pPr>
          </w:p>
        </w:tc>
        <w:tc>
          <w:tcPr>
            <w:tcW w:w="1535" w:type="dxa"/>
            <w:tcBorders>
              <w:top w:val="single" w:color="auto" w:sz="4" w:space="0"/>
              <w:bottom w:val="single" w:color="auto" w:sz="4" w:space="0"/>
            </w:tcBorders>
            <w:noWrap w:val="0"/>
            <w:vAlign w:val="top"/>
          </w:tcPr>
          <w:p>
            <w:pPr>
              <w:rPr>
                <w:color w:val="000000"/>
              </w:rPr>
            </w:pPr>
          </w:p>
        </w:tc>
        <w:tc>
          <w:tcPr>
            <w:tcW w:w="2750" w:type="dxa"/>
            <w:tcBorders>
              <w:top w:val="single" w:color="auto" w:sz="4" w:space="0"/>
              <w:bottom w:val="single" w:color="auto" w:sz="4" w:space="0"/>
            </w:tcBorders>
            <w:noWrap w:val="0"/>
            <w:vAlign w:val="top"/>
          </w:tcPr>
          <w:p>
            <w:pPr>
              <w:rPr>
                <w:color w:val="000000"/>
              </w:rPr>
            </w:pPr>
          </w:p>
        </w:tc>
        <w:tc>
          <w:tcPr>
            <w:tcW w:w="2546" w:type="dxa"/>
            <w:tcBorders>
              <w:top w:val="single" w:color="auto" w:sz="4" w:space="0"/>
              <w:bottom w:val="single" w:color="auto" w:sz="4" w:space="0"/>
            </w:tcBorders>
            <w:noWrap w:val="0"/>
            <w:vAlign w:val="top"/>
          </w:tcPr>
          <w:p>
            <w:pPr>
              <w:rPr>
                <w:color w:val="000000"/>
              </w:rPr>
            </w:pPr>
          </w:p>
        </w:tc>
        <w:tc>
          <w:tcPr>
            <w:tcW w:w="2160" w:type="dxa"/>
            <w:tcBorders>
              <w:top w:val="single" w:color="auto" w:sz="4" w:space="0"/>
              <w:bottom w:val="single" w:color="auto" w:sz="4" w:space="0"/>
              <w:right w:val="single" w:color="auto" w:sz="4" w:space="0"/>
            </w:tcBorders>
            <w:noWrap w:val="0"/>
            <w:vAlign w:val="top"/>
          </w:tcPr>
          <w:p>
            <w:pPr>
              <w:rPr>
                <w:color w:val="000000"/>
              </w:rPr>
            </w:pPr>
          </w:p>
        </w:tc>
      </w:tr>
    </w:tbl>
    <w:p>
      <w:pPr>
        <w:spacing w:line="500" w:lineRule="exact"/>
        <w:rPr>
          <w:color w:val="FF0000"/>
          <w:sz w:val="24"/>
        </w:rPr>
      </w:pPr>
    </w:p>
    <w:p>
      <w:pPr>
        <w:spacing w:line="400" w:lineRule="exact"/>
        <w:ind w:left="370" w:leftChars="176"/>
        <w:rPr>
          <w:szCs w:val="21"/>
        </w:rPr>
      </w:pPr>
      <w:r>
        <w:rPr>
          <w:rFonts w:hint="eastAsia"/>
          <w:szCs w:val="21"/>
          <w:lang w:eastAsia="zh-CN"/>
        </w:rPr>
        <w:t>供应商</w:t>
      </w:r>
      <w:r>
        <w:rPr>
          <w:rFonts w:hint="eastAsia"/>
          <w:szCs w:val="21"/>
        </w:rPr>
        <w:t>：</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szCs w:val="21"/>
        </w:rPr>
        <w:t>法定代表人：</w:t>
      </w:r>
      <w:r>
        <w:rPr>
          <w:rFonts w:hint="eastAsia"/>
          <w:szCs w:val="21"/>
          <w:u w:val="single"/>
          <w:lang w:val="en-US" w:eastAsia="zh-CN"/>
        </w:rPr>
        <w:t xml:space="preserve">           </w:t>
      </w:r>
      <w:r>
        <w:rPr>
          <w:szCs w:val="21"/>
        </w:rPr>
        <w:t>(</w:t>
      </w:r>
      <w:r>
        <w:rPr>
          <w:rFonts w:hint="eastAsia"/>
          <w:szCs w:val="21"/>
        </w:rPr>
        <w:t>电子签章</w:t>
      </w:r>
      <w:r>
        <w:rPr>
          <w:szCs w:val="21"/>
        </w:rPr>
        <w:t>)</w:t>
      </w:r>
    </w:p>
    <w:p>
      <w:pPr>
        <w:spacing w:line="400" w:lineRule="exact"/>
        <w:ind w:left="370" w:leftChars="176"/>
        <w:rPr>
          <w:color w:val="000000"/>
        </w:rPr>
      </w:pPr>
      <w:r>
        <w:rPr>
          <w:rFonts w:hint="eastAsia"/>
          <w:color w:val="000000"/>
        </w:rPr>
        <w:t>日　期：</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p>
    <w:p>
      <w:pPr>
        <w:spacing w:line="400" w:lineRule="exact"/>
        <w:ind w:left="370" w:leftChars="176"/>
        <w:rPr>
          <w:b/>
          <w:color w:val="000000"/>
          <w:szCs w:val="21"/>
        </w:rPr>
      </w:pPr>
    </w:p>
    <w:p>
      <w:pPr>
        <w:autoSpaceDE w:val="0"/>
        <w:autoSpaceDN w:val="0"/>
        <w:spacing w:line="360" w:lineRule="exact"/>
        <w:ind w:right="26"/>
        <w:rPr>
          <w:color w:val="000000"/>
          <w:szCs w:val="21"/>
        </w:rPr>
      </w:pPr>
    </w:p>
    <w:p>
      <w:pPr>
        <w:autoSpaceDE w:val="0"/>
        <w:autoSpaceDN w:val="0"/>
        <w:spacing w:line="360" w:lineRule="exact"/>
        <w:ind w:right="26"/>
        <w:rPr>
          <w:color w:val="000000"/>
          <w:szCs w:val="21"/>
        </w:rPr>
      </w:pPr>
      <w:r>
        <w:rPr>
          <w:rFonts w:hint="eastAsia"/>
          <w:color w:val="000000"/>
          <w:szCs w:val="21"/>
        </w:rPr>
        <w:t>注：1．</w:t>
      </w:r>
      <w:r>
        <w:rPr>
          <w:rFonts w:hint="eastAsia"/>
          <w:color w:val="000000"/>
          <w:szCs w:val="21"/>
          <w:lang w:eastAsia="zh-CN"/>
        </w:rPr>
        <w:t>供应商</w:t>
      </w:r>
      <w:r>
        <w:rPr>
          <w:rFonts w:hint="eastAsia"/>
          <w:color w:val="000000"/>
          <w:szCs w:val="21"/>
        </w:rPr>
        <w:t>必须按要求规范填写所有投报产品的技术偏差表。</w:t>
      </w:r>
    </w:p>
    <w:p>
      <w:pPr>
        <w:ind w:firstLine="420" w:firstLineChars="200"/>
        <w:rPr>
          <w:color w:val="000000"/>
          <w:szCs w:val="21"/>
        </w:rPr>
      </w:pPr>
      <w:r>
        <w:rPr>
          <w:rFonts w:hint="eastAsia"/>
          <w:color w:val="000000"/>
          <w:szCs w:val="21"/>
        </w:rPr>
        <w:t>2．</w:t>
      </w:r>
      <w:r>
        <w:rPr>
          <w:rFonts w:hint="eastAsia"/>
          <w:color w:val="000000"/>
          <w:szCs w:val="21"/>
          <w:lang w:eastAsia="zh-CN"/>
        </w:rPr>
        <w:t>供应商</w:t>
      </w:r>
      <w:r>
        <w:rPr>
          <w:rFonts w:hint="eastAsia"/>
          <w:color w:val="000000"/>
          <w:szCs w:val="21"/>
        </w:rPr>
        <w:t>必须根据所投产品的实际情况如实填写，评委会如发现有虚假描述的，技术标部分将视为0分。</w:t>
      </w:r>
    </w:p>
    <w:p>
      <w:pPr>
        <w:outlineLvl w:val="9"/>
        <w:rPr>
          <w:rFonts w:hint="eastAsia" w:ascii="宋体" w:hAnsi="宋体" w:cs="宋体"/>
          <w:b/>
        </w:rPr>
      </w:pPr>
    </w:p>
    <w:p>
      <w:pPr>
        <w:outlineLvl w:val="9"/>
        <w:rPr>
          <w:rFonts w:hint="eastAsia" w:ascii="宋体" w:hAnsi="宋体" w:cs="宋体"/>
          <w:b/>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outlineLvl w:val="9"/>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rPr>
          <w:rFonts w:hint="eastAsia"/>
          <w:b/>
        </w:rPr>
      </w:pPr>
    </w:p>
    <w:p>
      <w:pPr>
        <w:pStyle w:val="3"/>
        <w:rPr>
          <w:rFonts w:hint="eastAsia"/>
          <w:b/>
          <w:sz w:val="24"/>
          <w:szCs w:val="24"/>
        </w:rPr>
      </w:pPr>
      <w:bookmarkStart w:id="606" w:name="_Toc2492"/>
      <w:r>
        <w:rPr>
          <w:rFonts w:hint="eastAsia"/>
          <w:b/>
        </w:rPr>
        <w:t>六、</w:t>
      </w:r>
      <w:bookmarkEnd w:id="603"/>
      <w:r>
        <w:rPr>
          <w:rFonts w:hint="eastAsia"/>
          <w:b/>
        </w:rPr>
        <w:t>资格证明文件</w:t>
      </w:r>
      <w:bookmarkEnd w:id="605"/>
      <w:bookmarkEnd w:id="606"/>
    </w:p>
    <w:p>
      <w:pPr>
        <w:numPr>
          <w:ilvl w:val="0"/>
          <w:numId w:val="0"/>
        </w:numPr>
        <w:spacing w:line="360" w:lineRule="auto"/>
        <w:rPr>
          <w:rFonts w:hint="eastAsia"/>
        </w:rPr>
      </w:pPr>
      <w:r>
        <w:rPr>
          <w:rFonts w:hint="eastAsia"/>
          <w:lang w:val="en-US" w:eastAsia="zh-CN"/>
        </w:rPr>
        <w:t>1、</w:t>
      </w:r>
      <w:r>
        <w:rPr>
          <w:rFonts w:hint="eastAsia"/>
        </w:rPr>
        <w:t xml:space="preserve">满足《中华人民共和国政府采购法》第二十二条规定； </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（1）具有独立承担民事责任的能力（提供承诺函）；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（3）具有履行合同所必需的专业技术能力（提供承诺函）；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（4）具有依法缴纳税收和社会保障资金的良好记录，（提供承诺函）；</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（5）参加政府采购活动前三年内，在经营活动中没有重大违法记录（提供承诺函）；</w:t>
      </w:r>
    </w:p>
    <w:p>
      <w:pPr>
        <w:wordWrap w:val="0"/>
        <w:spacing w:line="360" w:lineRule="auto"/>
        <w:rPr>
          <w:rFonts w:hint="eastAsia"/>
        </w:rPr>
      </w:pPr>
      <w:r>
        <w:rPr>
          <w:rFonts w:hint="eastAsia" w:ascii="宋体" w:hAnsi="宋体" w:cs="宋体"/>
          <w:color w:val="auto"/>
          <w:szCs w:val="21"/>
          <w:highlight w:val="none"/>
        </w:rPr>
        <w:t>（6）具备法律、行政法规规定的其他条件（提供承诺函）。</w:t>
      </w:r>
    </w:p>
    <w:p>
      <w:pPr>
        <w:spacing w:line="360" w:lineRule="auto"/>
        <w:rPr>
          <w:rFonts w:hint="eastAsia"/>
          <w:lang w:val="en-US" w:eastAsia="zh-CN"/>
        </w:rPr>
      </w:pPr>
      <w:r>
        <w:rPr>
          <w:rFonts w:hint="eastAsia"/>
        </w:rPr>
        <w:t>2、落</w:t>
      </w:r>
      <w:r>
        <w:rPr>
          <w:rFonts w:hint="eastAsia"/>
          <w:lang w:val="en-US" w:eastAsia="zh-CN"/>
        </w:rPr>
        <w:t>实政府采购政策满足的资格要求：无。</w:t>
      </w:r>
    </w:p>
    <w:p>
      <w:pPr>
        <w:spacing w:line="360" w:lineRule="auto"/>
        <w:rPr>
          <w:rFonts w:hint="eastAsia"/>
        </w:rPr>
      </w:pPr>
      <w:r>
        <w:rPr>
          <w:rFonts w:hint="eastAsia"/>
          <w:lang w:val="en-US" w:eastAsia="zh-CN"/>
        </w:rPr>
        <w:t>3、</w:t>
      </w:r>
      <w:r>
        <w:rPr>
          <w:rFonts w:hint="eastAsia"/>
        </w:rPr>
        <w:t xml:space="preserve">本项目的特定资格要求 </w:t>
      </w:r>
    </w:p>
    <w:p>
      <w:pPr>
        <w:spacing w:line="360" w:lineRule="auto"/>
        <w:rPr>
          <w:rFonts w:hint="eastAsia"/>
        </w:rPr>
      </w:pPr>
      <w:r>
        <w:rPr>
          <w:rFonts w:hint="eastAsia"/>
        </w:rPr>
        <w:t>3.</w:t>
      </w:r>
      <w:r>
        <w:rPr>
          <w:rFonts w:hint="eastAsia"/>
          <w:lang w:val="en-US" w:eastAsia="zh-CN"/>
        </w:rPr>
        <w:t>1根据《财政部关于在政府采购活动中查询及使用信用记录有关问题的通知》（财库〔2016〕125号）的要求，</w:t>
      </w:r>
      <w:r>
        <w:rPr>
          <w:rFonts w:hint="eastAsia"/>
        </w:rPr>
        <w:t>采购人或采购代理机构将在递交投标文件截止时间至资格审查结束前</w:t>
      </w:r>
      <w:r>
        <w:rPr>
          <w:rFonts w:hint="eastAsia"/>
          <w:lang w:val="en-US" w:eastAsia="zh-CN"/>
        </w:rPr>
        <w:t>通过“信用中国”网站（www.creditchina.gov.cn）、“中国政府采购网”网站（www.ccgp.gov.cn）等渠道</w:t>
      </w:r>
      <w:r>
        <w:rPr>
          <w:rFonts w:hint="eastAsia"/>
        </w:rPr>
        <w:t>查询</w:t>
      </w:r>
      <w:r>
        <w:rPr>
          <w:rFonts w:hint="eastAsia"/>
          <w:lang w:eastAsia="zh-CN"/>
        </w:rPr>
        <w:t>供应商</w:t>
      </w:r>
      <w:r>
        <w:rPr>
          <w:rFonts w:hint="eastAsia"/>
        </w:rPr>
        <w:t>的信用记录</w:t>
      </w:r>
      <w:r>
        <w:rPr>
          <w:rFonts w:hint="eastAsia"/>
          <w:lang w:val="en-US" w:eastAsia="zh-CN"/>
        </w:rPr>
        <w:t>,并保存信用记录结果网页截图，拒绝列入失信被执行人名单、重大税收违法失信主体、政府采购严重违法失信行为记录名单中的供应商参加本项目的采购活动。</w:t>
      </w:r>
      <w:r>
        <w:rPr>
          <w:rFonts w:hint="eastAsia" w:ascii="宋体" w:hAnsi="宋体" w:cs="宋体"/>
          <w:color w:val="auto"/>
          <w:szCs w:val="21"/>
          <w:highlight w:val="none"/>
        </w:rPr>
        <w:t>采购代理机构将于供应商递交投标文件后查询其信用记录，并打印留存。</w:t>
      </w:r>
    </w:p>
    <w:p>
      <w:pPr>
        <w:spacing w:line="360" w:lineRule="auto"/>
        <w:rPr>
          <w:rFonts w:hint="eastAsia"/>
        </w:rPr>
      </w:pPr>
      <w:r>
        <w:rPr>
          <w:rFonts w:hint="eastAsia"/>
        </w:rPr>
        <w:t>3.</w:t>
      </w:r>
      <w:r>
        <w:rPr>
          <w:rFonts w:hint="eastAsia"/>
          <w:lang w:val="en-US" w:eastAsia="zh-CN"/>
        </w:rPr>
        <w:t>2</w:t>
      </w:r>
      <w:r>
        <w:rPr>
          <w:rFonts w:hint="eastAsia"/>
        </w:rPr>
        <w:t>单位负责人为同一人或者存在直接控股、管理关系的不同供应商，不得参加同一合同项下的政府采购活动。</w:t>
      </w:r>
      <w:r>
        <w:rPr>
          <w:rFonts w:hint="eastAsia" w:ascii="宋体" w:hAnsi="宋体" w:cs="宋体"/>
          <w:color w:val="auto"/>
          <w:szCs w:val="21"/>
          <w:highlight w:val="none"/>
        </w:rPr>
        <w:t>（提供承诺函）</w:t>
      </w:r>
    </w:p>
    <w:p>
      <w:pPr>
        <w:spacing w:line="360" w:lineRule="auto"/>
        <w:rPr>
          <w:rFonts w:hint="eastAsia"/>
        </w:rPr>
      </w:pPr>
      <w:r>
        <w:rPr>
          <w:rFonts w:hint="eastAsia"/>
        </w:rPr>
        <w:t>3.</w:t>
      </w:r>
      <w:r>
        <w:rPr>
          <w:rFonts w:hint="eastAsia"/>
          <w:lang w:val="en-US" w:eastAsia="zh-CN"/>
        </w:rPr>
        <w:t>3</w:t>
      </w:r>
      <w:r>
        <w:rPr>
          <w:rFonts w:hint="eastAsia"/>
        </w:rPr>
        <w:t>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（提供承诺函）</w:t>
      </w:r>
    </w:p>
    <w:p>
      <w:pPr>
        <w:pStyle w:val="104"/>
        <w:spacing w:line="360" w:lineRule="auto"/>
        <w:outlineLvl w:val="9"/>
        <w:rPr>
          <w:rFonts w:hint="eastAsia" w:ascii="宋体" w:hAnsi="宋体" w:cs="宋体"/>
          <w:spacing w:val="0"/>
          <w:sz w:val="21"/>
          <w:szCs w:val="24"/>
        </w:rPr>
      </w:pPr>
      <w:r>
        <w:rPr>
          <w:rFonts w:hint="eastAsia"/>
          <w:lang w:val="en-US" w:eastAsia="zh-CN"/>
        </w:rPr>
        <w:t>3.4本项目不接受联合体。</w:t>
      </w:r>
      <w:r>
        <w:rPr>
          <w:rFonts w:hint="eastAsia" w:ascii="宋体" w:hAnsi="宋体" w:cs="宋体"/>
          <w:color w:val="auto"/>
          <w:szCs w:val="21"/>
          <w:highlight w:val="none"/>
        </w:rPr>
        <w:t>（提供承诺函）</w:t>
      </w:r>
    </w:p>
    <w:p>
      <w:pPr>
        <w:spacing w:before="64"/>
        <w:jc w:val="both"/>
        <w:outlineLvl w:val="9"/>
        <w:rPr>
          <w:rFonts w:hint="eastAsia" w:ascii="宋体" w:hAnsi="宋体" w:cs="宋体"/>
          <w:spacing w:val="-5"/>
          <w:sz w:val="21"/>
          <w:szCs w:val="21"/>
        </w:rPr>
      </w:pPr>
    </w:p>
    <w:p>
      <w:pPr>
        <w:pStyle w:val="3"/>
        <w:rPr>
          <w:rFonts w:hint="eastAsia"/>
        </w:rPr>
      </w:pPr>
      <w:r>
        <w:rPr>
          <w:rFonts w:hint="eastAsia" w:ascii="宋体" w:hAnsi="宋体" w:cs="宋体"/>
          <w:spacing w:val="-5"/>
        </w:rPr>
        <w:br w:type="page"/>
      </w:r>
      <w:bookmarkStart w:id="607" w:name="_Toc25516"/>
      <w:bookmarkStart w:id="608" w:name="_Toc19252"/>
      <w:r>
        <w:rPr>
          <w:rFonts w:hint="eastAsia"/>
          <w:b/>
          <w:bCs w:val="0"/>
        </w:rPr>
        <w:t>七、供应商简介</w:t>
      </w:r>
      <w:bookmarkEnd w:id="607"/>
      <w:bookmarkEnd w:id="608"/>
    </w:p>
    <w:p>
      <w:pPr>
        <w:spacing w:before="168"/>
        <w:ind w:right="-52" w:firstLine="3614" w:firstLineChars="1500"/>
        <w:rPr>
          <w:rFonts w:hint="eastAsia" w:ascii="宋体" w:hAnsi="宋体" w:cs="宋体"/>
          <w:b/>
          <w:bCs/>
          <w:sz w:val="24"/>
        </w:rPr>
      </w:pPr>
      <w:r>
        <w:rPr>
          <w:rFonts w:hint="eastAsia" w:ascii="宋体" w:hAnsi="宋体" w:cs="宋体"/>
          <w:b/>
          <w:bCs/>
          <w:sz w:val="24"/>
        </w:rPr>
        <w:t>1.供应商基本情况表</w:t>
      </w:r>
    </w:p>
    <w:p>
      <w:pPr>
        <w:pStyle w:val="104"/>
        <w:rPr>
          <w:rFonts w:hint="eastAsia" w:ascii="宋体" w:hAnsi="宋体" w:cs="宋体"/>
        </w:rPr>
      </w:pPr>
    </w:p>
    <w:tbl>
      <w:tblPr>
        <w:tblStyle w:val="43"/>
        <w:tblW w:w="8568" w:type="dxa"/>
        <w:tblInd w:w="104" w:type="dxa"/>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tblPrEx>
          <w:tblCellMar>
            <w:top w:w="0" w:type="dxa"/>
            <w:left w:w="0" w:type="dxa"/>
            <w:bottom w:w="0" w:type="dxa"/>
            <w:right w:w="0" w:type="dxa"/>
          </w:tblCellMar>
        </w:tblPrEx>
        <w:trPr>
          <w:trHeight w:val="671"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spacing w:before="167"/>
              <w:ind w:right="334"/>
              <w:jc w:val="center"/>
              <w:rPr>
                <w:rFonts w:hint="eastAsia"/>
              </w:rPr>
            </w:pPr>
            <w:r>
              <w:rPr>
                <w:rFonts w:hint="eastAsia"/>
              </w:rPr>
              <w:t xml:space="preserve">   供应商名称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注册地址</w:t>
            </w:r>
          </w:p>
        </w:tc>
        <w:tc>
          <w:tcPr>
            <w:tcW w:w="3420" w:type="dxa"/>
            <w:gridSpan w:val="5"/>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5" w:hRule="exact"/>
        </w:trPr>
        <w:tc>
          <w:tcPr>
            <w:tcW w:w="1728"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联系人</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电 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3" w:hRule="exact"/>
        </w:trPr>
        <w:tc>
          <w:tcPr>
            <w:tcW w:w="1728"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jc w:val="center"/>
              <w:rPr>
                <w:rFonts w:hint="eastAsia"/>
              </w:rPr>
            </w:pPr>
            <w:r>
              <w:rPr>
                <w:rFonts w:hint="eastAsia"/>
              </w:rPr>
              <w:t>传</w:t>
            </w:r>
            <w:r>
              <w:rPr>
                <w:rFonts w:hint="eastAsia"/>
                <w:w w:val="95"/>
              </w:rPr>
              <w:tab/>
            </w:r>
            <w:r>
              <w:rPr>
                <w:rFonts w:hint="eastAsia"/>
              </w:rPr>
              <w:t>真</w:t>
            </w:r>
          </w:p>
        </w:tc>
        <w:tc>
          <w:tcPr>
            <w:tcW w:w="2522"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网 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技术职称</w:t>
            </w:r>
          </w:p>
        </w:tc>
        <w:tc>
          <w:tcPr>
            <w:tcW w:w="1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2"/>
              <w:jc w:val="center"/>
              <w:rPr>
                <w:rFonts w:hint="eastAsia"/>
              </w:rPr>
            </w:pPr>
            <w:r>
              <w:rPr>
                <w:rFonts w:hint="eastAsia"/>
              </w:rPr>
              <w:t>电话</w:t>
            </w: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06"/>
              <w:ind w:firstLine="1470" w:firstLineChars="700"/>
              <w:rPr>
                <w:rFonts w:hint="eastAsia"/>
              </w:rPr>
            </w:pPr>
            <w:r>
              <w:rPr>
                <w:rFonts w:hint="eastAsia"/>
              </w:rPr>
              <w:t>员工总人数：</w:t>
            </w:r>
          </w:p>
        </w:tc>
      </w:tr>
      <w:tr>
        <w:tblPrEx>
          <w:tblCellMar>
            <w:top w:w="0" w:type="dxa"/>
            <w:left w:w="0" w:type="dxa"/>
            <w:bottom w:w="0" w:type="dxa"/>
            <w:right w:w="0" w:type="dxa"/>
          </w:tblCellMar>
        </w:tblPrEx>
        <w:trPr>
          <w:trHeight w:val="6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332"/>
              <w:jc w:val="center"/>
              <w:rPr>
                <w:rFonts w:hint="eastAsia"/>
              </w:rPr>
            </w:pPr>
            <w:r>
              <w:rPr>
                <w:rFonts w:hint="eastAsia"/>
              </w:rPr>
              <w:t xml:space="preserve">   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restart"/>
            <w:tcBorders>
              <w:top w:val="single" w:color="000000" w:sz="4" w:space="0"/>
              <w:left w:val="single" w:color="000000" w:sz="4" w:space="0"/>
              <w:right w:val="single" w:color="000000" w:sz="4" w:space="0"/>
            </w:tcBorders>
            <w:noWrap w:val="0"/>
            <w:vAlign w:val="center"/>
          </w:tcPr>
          <w:p>
            <w:pPr>
              <w:pStyle w:val="106"/>
              <w:jc w:val="center"/>
              <w:rPr>
                <w:rFonts w:hint="eastAsia"/>
              </w:rPr>
            </w:pPr>
            <w:r>
              <w:rPr>
                <w:rFonts w:hint="eastAsia"/>
              </w:rPr>
              <w:t>其中</w:t>
            </w: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高级职称人员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2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中级职称人员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1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jc w:val="center"/>
              <w:rPr>
                <w:rFonts w:hint="eastAsia"/>
              </w:rPr>
            </w:pPr>
            <w:r>
              <w:rPr>
                <w:rFonts w:hint="eastAsia"/>
              </w:rPr>
              <w:t>初级职称人员</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636"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8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6"/>
              <w:tabs>
                <w:tab w:val="left" w:pos="419"/>
              </w:tabs>
              <w:ind w:right="1"/>
              <w:jc w:val="center"/>
              <w:rPr>
                <w:rFonts w:hint="eastAsia"/>
              </w:rPr>
            </w:pPr>
            <w:r>
              <w:rPr>
                <w:rFonts w:hint="eastAsia"/>
              </w:rPr>
              <w:t>技</w:t>
            </w:r>
            <w:r>
              <w:rPr>
                <w:rFonts w:hint="eastAsia"/>
              </w:rPr>
              <w:tab/>
            </w:r>
            <w:r>
              <w:rPr>
                <w:rFonts w:hint="eastAsia"/>
              </w:rPr>
              <w:t>工</w:t>
            </w:r>
          </w:p>
        </w:tc>
        <w:tc>
          <w:tcPr>
            <w:tcW w:w="185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2210" w:hRule="exact"/>
        </w:trPr>
        <w:tc>
          <w:tcPr>
            <w:tcW w:w="1728" w:type="dxa"/>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jc w:val="left"/>
              <w:rPr>
                <w:rFonts w:hint="eastAsia"/>
                <w:b/>
                <w:bCs/>
                <w:sz w:val="20"/>
                <w:szCs w:val="20"/>
              </w:rPr>
            </w:pPr>
          </w:p>
          <w:p>
            <w:pPr>
              <w:pStyle w:val="106"/>
              <w:jc w:val="center"/>
              <w:rPr>
                <w:rFonts w:hint="eastAsia"/>
                <w:b/>
                <w:bCs/>
                <w:sz w:val="20"/>
                <w:szCs w:val="20"/>
              </w:rPr>
            </w:pPr>
          </w:p>
          <w:p>
            <w:pPr>
              <w:pStyle w:val="106"/>
              <w:ind w:right="334"/>
              <w:jc w:val="center"/>
              <w:rPr>
                <w:rFonts w:hint="eastAsia"/>
              </w:rPr>
            </w:pPr>
            <w:r>
              <w:rPr>
                <w:rFonts w:hint="eastAsia"/>
              </w:rPr>
              <w:t xml:space="preserve">   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rPr>
            </w:pPr>
          </w:p>
        </w:tc>
      </w:tr>
      <w:tr>
        <w:tblPrEx>
          <w:tblCellMar>
            <w:top w:w="0" w:type="dxa"/>
            <w:left w:w="0" w:type="dxa"/>
            <w:bottom w:w="0" w:type="dxa"/>
            <w:right w:w="0" w:type="dxa"/>
          </w:tblCellMar>
        </w:tblPrEx>
        <w:trPr>
          <w:trHeight w:val="133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pStyle w:val="106"/>
              <w:ind w:right="1"/>
              <w:jc w:val="center"/>
              <w:rPr>
                <w:rFonts w:hint="eastAsia"/>
              </w:rPr>
            </w:pPr>
            <w:r>
              <w:rPr>
                <w:rFonts w:hint="eastAsia"/>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top"/>
          </w:tcPr>
          <w:p>
            <w:pPr>
              <w:pStyle w:val="106"/>
              <w:jc w:val="left"/>
              <w:rPr>
                <w:rFonts w:hint="eastAsia"/>
                <w:b/>
                <w:bCs/>
                <w:sz w:val="20"/>
                <w:szCs w:val="20"/>
              </w:rPr>
            </w:pPr>
          </w:p>
          <w:p>
            <w:pPr>
              <w:pStyle w:val="106"/>
              <w:spacing w:before="11"/>
              <w:jc w:val="left"/>
              <w:rPr>
                <w:rFonts w:hint="eastAsia"/>
                <w:b/>
                <w:bCs/>
              </w:rPr>
            </w:pPr>
          </w:p>
          <w:p>
            <w:pPr>
              <w:pStyle w:val="106"/>
              <w:ind w:left="102"/>
              <w:jc w:val="left"/>
              <w:rPr>
                <w:rFonts w:hint="eastAsia"/>
              </w:rPr>
            </w:pPr>
          </w:p>
        </w:tc>
      </w:tr>
    </w:tbl>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hint="eastAsia" w:ascii="宋体" w:hAnsi="宋体" w:cs="宋体"/>
          <w:b/>
          <w:bCs/>
          <w:color w:val="auto"/>
          <w:szCs w:val="21"/>
          <w:highlight w:val="none"/>
          <w:lang w:val="en-US" w:eastAsia="zh-CN"/>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提供有效期内的《营业执照》/《事业单位法人证书》/《社会团体法人登记证书》/《民办非企业单位登记证书》等</w:t>
      </w:r>
      <w:r>
        <w:rPr>
          <w:rFonts w:hint="eastAsia" w:ascii="宋体" w:hAnsi="宋体" w:cs="宋体"/>
          <w:b/>
          <w:bCs/>
          <w:color w:val="auto"/>
          <w:szCs w:val="21"/>
          <w:highlight w:val="none"/>
          <w:lang w:eastAsia="zh-CN"/>
        </w:rPr>
        <w:t>证明材料</w:t>
      </w:r>
    </w:p>
    <w:p>
      <w:pPr>
        <w:pStyle w:val="123"/>
        <w:spacing w:line="360" w:lineRule="auto"/>
        <w:ind w:firstLine="0" w:firstLineChars="0"/>
        <w:rPr>
          <w:rFonts w:ascii="宋体" w:hAnsi="宋体" w:cs="宋体"/>
          <w:b/>
          <w:color w:val="auto"/>
          <w:szCs w:val="21"/>
          <w:highlight w:val="none"/>
        </w:rPr>
      </w:pPr>
    </w:p>
    <w:p>
      <w:pPr>
        <w:pStyle w:val="123"/>
        <w:spacing w:line="360" w:lineRule="auto"/>
        <w:ind w:firstLine="0" w:firstLineChars="0"/>
        <w:rPr>
          <w:rFonts w:ascii="宋体" w:hAnsi="宋体" w:cs="宋体"/>
          <w:b/>
          <w:color w:val="auto"/>
          <w:szCs w:val="21"/>
          <w:highlight w:val="none"/>
        </w:rPr>
      </w:pPr>
    </w:p>
    <w:p>
      <w:pPr>
        <w:pStyle w:val="17"/>
        <w:spacing w:before="160"/>
        <w:ind w:left="63" w:right="63"/>
        <w:jc w:val="left"/>
        <w:rPr>
          <w:rFonts w:hint="eastAsia" w:ascii="宋体" w:hAnsi="宋体" w:cs="宋体"/>
          <w:b/>
          <w:bCs/>
          <w:sz w:val="24"/>
        </w:rPr>
      </w:pPr>
    </w:p>
    <w:p>
      <w:pPr>
        <w:pStyle w:val="17"/>
        <w:numPr>
          <w:ilvl w:val="0"/>
          <w:numId w:val="0"/>
        </w:numPr>
        <w:spacing w:before="160"/>
        <w:ind w:right="63" w:rightChars="0"/>
        <w:jc w:val="center"/>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企业简介、认证证书等（如有）；</w:t>
      </w:r>
    </w:p>
    <w:p>
      <w:pPr>
        <w:numPr>
          <w:ilvl w:val="0"/>
          <w:numId w:val="0"/>
        </w:numPr>
        <w:rPr>
          <w:rFonts w:hint="eastAsia"/>
        </w:rPr>
      </w:pPr>
    </w:p>
    <w:p>
      <w:pPr>
        <w:pStyle w:val="17"/>
        <w:spacing w:before="160"/>
        <w:ind w:left="63" w:right="63"/>
        <w:jc w:val="center"/>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.企业荣誉及信用情况；</w:t>
      </w:r>
    </w:p>
    <w:p>
      <w:pPr>
        <w:pStyle w:val="17"/>
        <w:spacing w:before="160"/>
        <w:ind w:left="63" w:right="63"/>
        <w:jc w:val="center"/>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42"/>
        <w:rPr>
          <w:rFonts w:hint="eastAsia" w:ascii="宋体" w:hAnsi="宋体" w:cs="宋体"/>
          <w:b/>
          <w:bCs/>
          <w:sz w:val="24"/>
        </w:rPr>
      </w:pPr>
    </w:p>
    <w:p>
      <w:pPr>
        <w:rPr>
          <w:rFonts w:hint="eastAsia" w:ascii="宋体" w:hAnsi="宋体" w:cs="宋体"/>
          <w:b/>
          <w:bCs/>
          <w:sz w:val="24"/>
        </w:rPr>
      </w:pPr>
    </w:p>
    <w:p>
      <w:pPr>
        <w:pStyle w:val="17"/>
        <w:spacing w:before="160"/>
        <w:ind w:left="63" w:right="63"/>
        <w:jc w:val="center"/>
        <w:rPr>
          <w:rFonts w:hint="eastAsia" w:ascii="宋体" w:hAnsi="宋体" w:cs="宋体"/>
          <w:b/>
          <w:bCs/>
          <w:w w:val="99"/>
        </w:rPr>
      </w:pPr>
      <w:r>
        <w:rPr>
          <w:rFonts w:hint="eastAsia" w:ascii="宋体" w:hAnsi="宋体" w:cs="宋体"/>
          <w:b/>
          <w:bCs/>
          <w:sz w:val="24"/>
        </w:rPr>
        <w:t>4.供应商项目业绩</w:t>
      </w:r>
    </w:p>
    <w:tbl>
      <w:tblPr>
        <w:tblStyle w:val="43"/>
        <w:tblpPr w:leftFromText="180" w:rightFromText="180" w:vertAnchor="text" w:horzAnchor="page" w:tblpX="1733" w:tblpY="455"/>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r>
              <w:rPr>
                <w:rFonts w:hint="eastAsia" w:ascii="宋体" w:hAnsi="宋体" w:cs="宋体"/>
                <w:kern w:val="0"/>
              </w:rPr>
              <w:t>序号</w:t>
            </w:r>
          </w:p>
        </w:tc>
        <w:tc>
          <w:tcPr>
            <w:tcW w:w="2969" w:type="dxa"/>
            <w:noWrap w:val="0"/>
            <w:vAlign w:val="center"/>
          </w:tcPr>
          <w:p>
            <w:pPr>
              <w:jc w:val="center"/>
              <w:rPr>
                <w:rFonts w:hint="eastAsia" w:ascii="宋体" w:hAnsi="宋体" w:cs="宋体"/>
                <w:kern w:val="0"/>
              </w:rPr>
            </w:pPr>
            <w:r>
              <w:rPr>
                <w:rFonts w:hint="eastAsia" w:ascii="宋体" w:hAnsi="宋体" w:cs="宋体"/>
                <w:kern w:val="0"/>
              </w:rPr>
              <w:t>项目名称</w:t>
            </w:r>
          </w:p>
        </w:tc>
        <w:tc>
          <w:tcPr>
            <w:tcW w:w="1782" w:type="dxa"/>
            <w:noWrap w:val="0"/>
            <w:vAlign w:val="center"/>
          </w:tcPr>
          <w:p>
            <w:pPr>
              <w:jc w:val="center"/>
              <w:rPr>
                <w:rFonts w:hint="eastAsia" w:ascii="宋体" w:hAnsi="宋体" w:cs="宋体"/>
                <w:kern w:val="0"/>
              </w:rPr>
            </w:pPr>
            <w:r>
              <w:rPr>
                <w:rFonts w:hint="eastAsia" w:ascii="宋体" w:hAnsi="宋体" w:cs="宋体"/>
                <w:kern w:val="0"/>
              </w:rPr>
              <w:t>实施时间</w:t>
            </w:r>
          </w:p>
        </w:tc>
        <w:tc>
          <w:tcPr>
            <w:tcW w:w="3063" w:type="dxa"/>
            <w:noWrap w:val="0"/>
            <w:vAlign w:val="center"/>
          </w:tcPr>
          <w:p>
            <w:pPr>
              <w:jc w:val="center"/>
              <w:rPr>
                <w:rFonts w:hint="eastAsia" w:ascii="宋体" w:hAnsi="宋体" w:cs="宋体"/>
                <w:kern w:val="0"/>
              </w:rPr>
            </w:pPr>
            <w:r>
              <w:rPr>
                <w:rFonts w:hint="eastAsia" w:ascii="宋体" w:hAnsi="宋体" w:cs="宋体"/>
                <w:kern w:val="0"/>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noWrap w:val="0"/>
            <w:vAlign w:val="center"/>
          </w:tcPr>
          <w:p>
            <w:pPr>
              <w:jc w:val="center"/>
              <w:rPr>
                <w:rFonts w:hint="eastAsia" w:ascii="宋体" w:hAnsi="宋体" w:cs="宋体"/>
                <w:kern w:val="0"/>
              </w:rPr>
            </w:pPr>
          </w:p>
        </w:tc>
        <w:tc>
          <w:tcPr>
            <w:tcW w:w="2969" w:type="dxa"/>
            <w:noWrap w:val="0"/>
            <w:vAlign w:val="center"/>
          </w:tcPr>
          <w:p>
            <w:pPr>
              <w:jc w:val="center"/>
              <w:rPr>
                <w:rFonts w:hint="eastAsia" w:ascii="宋体" w:hAnsi="宋体" w:cs="宋体"/>
                <w:kern w:val="0"/>
              </w:rPr>
            </w:pPr>
          </w:p>
        </w:tc>
        <w:tc>
          <w:tcPr>
            <w:tcW w:w="1782" w:type="dxa"/>
            <w:noWrap w:val="0"/>
            <w:vAlign w:val="center"/>
          </w:tcPr>
          <w:p>
            <w:pPr>
              <w:jc w:val="center"/>
              <w:rPr>
                <w:rFonts w:hint="eastAsia" w:ascii="宋体" w:hAnsi="宋体" w:cs="宋体"/>
                <w:kern w:val="0"/>
              </w:rPr>
            </w:pPr>
          </w:p>
        </w:tc>
        <w:tc>
          <w:tcPr>
            <w:tcW w:w="3063" w:type="dxa"/>
            <w:noWrap w:val="0"/>
            <w:vAlign w:val="center"/>
          </w:tcPr>
          <w:p>
            <w:pPr>
              <w:jc w:val="center"/>
              <w:rPr>
                <w:rFonts w:hint="eastAsia" w:ascii="宋体" w:hAnsi="宋体" w:cs="宋体"/>
                <w:kern w:val="0"/>
              </w:rPr>
            </w:pPr>
          </w:p>
        </w:tc>
      </w:tr>
    </w:tbl>
    <w:p>
      <w:pPr>
        <w:pStyle w:val="104"/>
        <w:spacing w:line="360" w:lineRule="auto"/>
        <w:rPr>
          <w:rFonts w:hint="eastAsia" w:ascii="宋体" w:hAnsi="宋体" w:cs="宋体"/>
        </w:rPr>
      </w:pPr>
    </w:p>
    <w:p>
      <w:pPr>
        <w:pStyle w:val="12"/>
        <w:spacing w:line="360" w:lineRule="auto"/>
        <w:rPr>
          <w:rFonts w:hint="eastAsia" w:ascii="宋体" w:hAnsi="宋体" w:cs="宋体"/>
          <w:sz w:val="24"/>
        </w:rPr>
      </w:pPr>
      <w:r>
        <w:rPr>
          <w:rFonts w:hint="eastAsia" w:ascii="宋体" w:hAnsi="宋体" w:cs="宋体"/>
          <w:bCs/>
          <w:szCs w:val="21"/>
        </w:rPr>
        <w:t>注：供应商所列项目业绩必须真实，后附中标通知书及合同描件。</w:t>
      </w:r>
    </w:p>
    <w:p>
      <w:pPr>
        <w:pStyle w:val="18"/>
        <w:rPr>
          <w:rFonts w:hint="eastAsia" w:ascii="宋体" w:hAnsi="宋体" w:cs="宋体"/>
        </w:rPr>
      </w:pPr>
    </w:p>
    <w:p>
      <w:pPr>
        <w:tabs>
          <w:tab w:val="left" w:pos="840"/>
        </w:tabs>
        <w:autoSpaceDE w:val="0"/>
        <w:autoSpaceDN w:val="0"/>
        <w:adjustRightInd w:val="0"/>
        <w:spacing w:line="360" w:lineRule="auto"/>
        <w:jc w:val="left"/>
        <w:rPr>
          <w:rFonts w:hint="eastAsia" w:ascii="宋体" w:hAnsi="宋体" w:cs="宋体"/>
          <w:kern w:val="0"/>
          <w:sz w:val="28"/>
        </w:rPr>
      </w:pPr>
    </w:p>
    <w:p>
      <w:pPr>
        <w:spacing w:line="360" w:lineRule="auto"/>
        <w:rPr>
          <w:rFonts w:hint="eastAsia" w:ascii="宋体" w:hAnsi="宋体" w:cs="宋体"/>
          <w:sz w:val="24"/>
        </w:rPr>
      </w:pPr>
    </w:p>
    <w:p>
      <w:pPr>
        <w:pStyle w:val="105"/>
        <w:rPr>
          <w:rFonts w:hint="eastAsia" w:hAnsi="宋体" w:cs="宋体"/>
          <w:color w:val="auto"/>
        </w:rPr>
      </w:pPr>
    </w:p>
    <w:p>
      <w:pPr>
        <w:rPr>
          <w:rFonts w:hint="eastAsia" w:ascii="宋体" w:hAnsi="宋体" w:cs="宋体"/>
          <w:b/>
          <w:bCs/>
          <w:sz w:val="24"/>
        </w:rPr>
      </w:pPr>
      <w:bookmarkStart w:id="609" w:name="_Toc17265_WPSOffice_Level2"/>
      <w:r>
        <w:rPr>
          <w:rFonts w:hint="eastAsia" w:ascii="宋体" w:hAnsi="宋体" w:cs="宋体"/>
          <w:b/>
          <w:bCs/>
          <w:sz w:val="24"/>
        </w:rPr>
        <w:br w:type="page"/>
      </w:r>
    </w:p>
    <w:p>
      <w:pPr>
        <w:pStyle w:val="3"/>
        <w:spacing w:line="443" w:lineRule="exact"/>
      </w:pPr>
      <w:bookmarkStart w:id="610" w:name="_Toc20900"/>
      <w:bookmarkStart w:id="611" w:name="_Toc6012"/>
      <w:r>
        <w:rPr>
          <w:rFonts w:hint="eastAsia"/>
          <w:b/>
          <w:bCs w:val="0"/>
        </w:rPr>
        <w:t>八、</w:t>
      </w:r>
      <w:r>
        <w:rPr>
          <w:rFonts w:hint="eastAsia"/>
          <w:b/>
          <w:bCs w:val="0"/>
          <w:lang w:val="en-US" w:eastAsia="zh-CN"/>
        </w:rPr>
        <w:t>技术部分</w:t>
      </w:r>
      <w:bookmarkEnd w:id="610"/>
    </w:p>
    <w:p>
      <w:pPr>
        <w:jc w:val="left"/>
        <w:outlineLvl w:val="9"/>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widowControl/>
        <w:spacing w:line="360" w:lineRule="auto"/>
        <w:jc w:val="center"/>
        <w:rPr>
          <w:rFonts w:ascii="宋体" w:hAnsi="宋体" w:cs="宋体"/>
          <w:color w:val="auto"/>
          <w:szCs w:val="21"/>
          <w:highlight w:val="none"/>
        </w:rPr>
      </w:pPr>
    </w:p>
    <w:p>
      <w:pPr>
        <w:widowControl/>
        <w:numPr>
          <w:ilvl w:val="0"/>
          <w:numId w:val="26"/>
        </w:num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投标产品技术资料</w:t>
      </w:r>
    </w:p>
    <w:p>
      <w:pPr>
        <w:pStyle w:val="107"/>
        <w:spacing w:line="360" w:lineRule="auto"/>
        <w:rPr>
          <w:color w:val="auto"/>
          <w:highlight w:val="none"/>
        </w:rPr>
      </w:pPr>
    </w:p>
    <w:p>
      <w:pPr>
        <w:widowControl/>
        <w:spacing w:line="360" w:lineRule="auto"/>
        <w:jc w:val="left"/>
        <w:rPr>
          <w:rFonts w:hAnsi="宋体" w:cs="宋体"/>
          <w:color w:val="auto"/>
          <w:szCs w:val="21"/>
          <w:highlight w:val="none"/>
        </w:rPr>
      </w:pPr>
      <w:r>
        <w:rPr>
          <w:rFonts w:hint="eastAsia" w:ascii="宋体" w:hAnsi="宋体" w:cs="宋体"/>
          <w:color w:val="auto"/>
          <w:kern w:val="0"/>
          <w:szCs w:val="21"/>
          <w:highlight w:val="none"/>
        </w:rPr>
        <w:t>附：</w:t>
      </w:r>
      <w:r>
        <w:rPr>
          <w:rFonts w:hint="eastAsia" w:hAnsi="宋体" w:cs="宋体"/>
          <w:color w:val="auto"/>
          <w:szCs w:val="21"/>
          <w:highlight w:val="none"/>
        </w:rPr>
        <w:t>投标人可提供有关投标产品符合招标文件要求的证明文件，如说明书、样本、技术白皮书、产品彩页等。</w:t>
      </w:r>
    </w:p>
    <w:p>
      <w:pPr>
        <w:widowControl/>
        <w:spacing w:line="360" w:lineRule="auto"/>
        <w:jc w:val="center"/>
        <w:rPr>
          <w:rFonts w:hint="eastAsia" w:ascii="宋体" w:hAnsi="宋体" w:cs="宋体"/>
          <w:b/>
          <w:bCs/>
          <w:color w:val="auto"/>
          <w:szCs w:val="21"/>
          <w:highlight w:val="none"/>
        </w:rPr>
      </w:pP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2.评分办法中要求提供的内容</w:t>
      </w:r>
    </w:p>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3.投标人认为需提供的技术资料</w:t>
      </w: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ascii="宋体" w:hAnsi="宋体" w:cs="Times New Roman"/>
          <w:bCs w:val="0"/>
          <w:lang w:val="en-US" w:eastAsia="zh-CN"/>
        </w:rPr>
      </w:pPr>
    </w:p>
    <w:p>
      <w:pPr>
        <w:pStyle w:val="42"/>
        <w:rPr>
          <w:rFonts w:hint="eastAsia" w:ascii="宋体" w:hAnsi="宋体" w:cs="Times New Roman"/>
          <w:bCs w:val="0"/>
          <w:lang w:val="en-US" w:eastAsia="zh-CN"/>
        </w:rPr>
      </w:pPr>
    </w:p>
    <w:p>
      <w:pPr>
        <w:rPr>
          <w:rFonts w:hint="eastAsia"/>
          <w:lang w:val="en-US" w:eastAsia="zh-CN"/>
        </w:rPr>
      </w:pPr>
    </w:p>
    <w:bookmarkEnd w:id="609"/>
    <w:bookmarkEnd w:id="611"/>
    <w:p>
      <w:pPr>
        <w:pStyle w:val="42"/>
        <w:rPr>
          <w:rFonts w:hint="eastAsia" w:ascii="宋体" w:hAnsi="宋体" w:cs="Times New Roman"/>
          <w:bCs w:val="0"/>
        </w:rPr>
      </w:pPr>
      <w:bookmarkStart w:id="612" w:name="_Toc20495_WPSOffice_Level2"/>
      <w:bookmarkStart w:id="613" w:name="_Toc19999_WPSOffice_Level1"/>
      <w:bookmarkStart w:id="614" w:name="_Toc20487"/>
      <w:bookmarkStart w:id="615" w:name="_Toc1581_WPSOffice_Level1"/>
      <w:bookmarkStart w:id="616" w:name="_Toc6787_WPSOffice_Level1"/>
      <w:bookmarkStart w:id="617" w:name="_Toc339972632"/>
      <w:bookmarkStart w:id="618" w:name="_Toc28100"/>
      <w:bookmarkStart w:id="619" w:name="_Toc355809725"/>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rPr>
          <w:rFonts w:hint="eastAsia" w:ascii="宋体" w:hAnsi="宋体" w:cs="Times New Roman"/>
          <w:bCs w:val="0"/>
        </w:rPr>
      </w:pPr>
    </w:p>
    <w:p>
      <w:pPr>
        <w:pStyle w:val="42"/>
        <w:rPr>
          <w:rFonts w:hint="eastAsia" w:ascii="宋体" w:hAnsi="宋体" w:cs="Times New Roman"/>
          <w:bCs w:val="0"/>
        </w:rPr>
      </w:pPr>
    </w:p>
    <w:p>
      <w:pPr>
        <w:pStyle w:val="3"/>
        <w:spacing w:line="443" w:lineRule="exact"/>
        <w:rPr>
          <w:rFonts w:hint="default" w:eastAsia="宋体" w:cs="Times New Roman"/>
          <w:b/>
          <w:bCs w:val="0"/>
          <w:lang w:val="en-US" w:eastAsia="zh-CN"/>
        </w:rPr>
      </w:pPr>
      <w:r>
        <w:rPr>
          <w:rFonts w:hint="eastAsia" w:eastAsia="宋体" w:cs="Times New Roman"/>
          <w:b/>
          <w:bCs w:val="0"/>
          <w:lang w:val="en-US" w:eastAsia="zh-CN"/>
        </w:rPr>
        <w:t>九</w:t>
      </w:r>
      <w:r>
        <w:rPr>
          <w:rFonts w:hint="eastAsia" w:eastAsia="宋体" w:cs="Times New Roman"/>
          <w:b/>
          <w:bCs w:val="0"/>
        </w:rPr>
        <w:t>、</w:t>
      </w:r>
      <w:r>
        <w:rPr>
          <w:rFonts w:hint="eastAsia" w:cs="Times New Roman"/>
          <w:b/>
          <w:bCs w:val="0"/>
          <w:lang w:val="en-US" w:eastAsia="zh-CN"/>
        </w:rPr>
        <w:t>商务部分</w:t>
      </w:r>
    </w:p>
    <w:p>
      <w:pPr>
        <w:pStyle w:val="42"/>
        <w:rPr>
          <w:rFonts w:hint="eastAsia" w:ascii="宋体" w:hAnsi="宋体" w:cs="Times New Roman"/>
          <w:bCs w:val="0"/>
        </w:rPr>
      </w:pPr>
    </w:p>
    <w:p>
      <w:pPr>
        <w:rPr>
          <w:rFonts w:hint="eastAsia" w:ascii="宋体" w:hAnsi="宋体" w:cs="Times New Roman"/>
          <w:bCs w:val="0"/>
        </w:rPr>
      </w:pPr>
    </w:p>
    <w:p>
      <w:pPr>
        <w:pStyle w:val="33"/>
        <w:spacing w:line="360" w:lineRule="auto"/>
        <w:ind w:left="0" w:leftChars="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投标人需提供但不限于提供以下内容：</w:t>
      </w:r>
    </w:p>
    <w:p>
      <w:pPr>
        <w:pStyle w:val="33"/>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1.评审标准中商务部分需要提供的内容；</w:t>
      </w:r>
    </w:p>
    <w:p>
      <w:pPr>
        <w:tabs>
          <w:tab w:val="left" w:pos="840"/>
        </w:tabs>
        <w:autoSpaceDE w:val="0"/>
        <w:autoSpaceDN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.投标人认为需提供的其他资料。</w:t>
      </w:r>
    </w:p>
    <w:p>
      <w:pPr>
        <w:spacing w:line="360" w:lineRule="auto"/>
        <w:rPr>
          <w:rFonts w:hint="eastAsia"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 （单位电子签章）：_________________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 （个人电子签章或签字）：_____________</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p>
    <w:p>
      <w:pPr>
        <w:pStyle w:val="42"/>
        <w:rPr>
          <w:rFonts w:hint="eastAsia" w:ascii="宋体" w:hAnsi="宋体" w:cs="Times New Roman"/>
          <w:bCs w:val="0"/>
        </w:rPr>
      </w:pPr>
    </w:p>
    <w:p>
      <w:pPr>
        <w:rPr>
          <w:rFonts w:hint="eastAsia" w:ascii="宋体" w:hAnsi="宋体" w:cs="Times New Roman"/>
          <w:bCs w:val="0"/>
        </w:rPr>
      </w:pPr>
      <w:r>
        <w:rPr>
          <w:rFonts w:hint="eastAsia" w:ascii="宋体" w:hAnsi="宋体" w:cs="Times New Roman"/>
          <w:bCs w:val="0"/>
        </w:rPr>
        <w:br w:type="page"/>
      </w:r>
    </w:p>
    <w:p>
      <w:pPr>
        <w:pStyle w:val="42"/>
        <w:rPr>
          <w:rFonts w:hint="eastAsia" w:ascii="宋体" w:hAnsi="宋体" w:cs="Times New Roman"/>
          <w:bCs w:val="0"/>
        </w:rPr>
      </w:pPr>
    </w:p>
    <w:p>
      <w:pPr>
        <w:pStyle w:val="3"/>
        <w:rPr>
          <w:rFonts w:hint="eastAsia"/>
          <w:b/>
          <w:bCs w:val="0"/>
        </w:rPr>
      </w:pPr>
      <w:bookmarkStart w:id="620" w:name="_Toc31065"/>
      <w:bookmarkStart w:id="621" w:name="_Toc32148"/>
      <w:r>
        <w:rPr>
          <w:rFonts w:hint="eastAsia"/>
          <w:b/>
          <w:bCs w:val="0"/>
          <w:lang w:val="en-US" w:eastAsia="zh-CN"/>
        </w:rPr>
        <w:t>十</w:t>
      </w:r>
      <w:r>
        <w:rPr>
          <w:rFonts w:hint="eastAsia"/>
          <w:b/>
          <w:bCs w:val="0"/>
        </w:rPr>
        <w:t>、反商业贿赂承诺书</w:t>
      </w:r>
      <w:bookmarkEnd w:id="612"/>
      <w:bookmarkEnd w:id="613"/>
      <w:bookmarkEnd w:id="614"/>
      <w:bookmarkEnd w:id="615"/>
      <w:bookmarkEnd w:id="616"/>
      <w:bookmarkEnd w:id="617"/>
      <w:bookmarkEnd w:id="618"/>
      <w:bookmarkEnd w:id="619"/>
      <w:bookmarkEnd w:id="620"/>
      <w:bookmarkEnd w:id="621"/>
    </w:p>
    <w:p>
      <w:pPr>
        <w:spacing w:line="480" w:lineRule="exact"/>
        <w:rPr>
          <w:rFonts w:hint="eastAsia" w:ascii="宋体" w:hAnsi="宋体" w:cs="宋体"/>
        </w:rPr>
      </w:pPr>
      <w:r>
        <w:rPr>
          <w:rFonts w:hint="eastAsia" w:ascii="宋体" w:hAnsi="宋体" w:cs="宋体"/>
        </w:rPr>
        <w:t>我公司承诺：</w:t>
      </w:r>
    </w:p>
    <w:p>
      <w:pPr>
        <w:spacing w:line="480" w:lineRule="exact"/>
        <w:ind w:firstLine="555"/>
        <w:rPr>
          <w:rFonts w:hint="eastAsia" w:ascii="宋体" w:hAnsi="宋体" w:cs="宋体"/>
        </w:rPr>
      </w:pPr>
      <w:r>
        <w:rPr>
          <w:rFonts w:hint="eastAsia" w:ascii="宋体" w:hAnsi="宋体" w:cs="宋体"/>
        </w:rPr>
        <w:t>在</w:t>
      </w:r>
      <w:r>
        <w:rPr>
          <w:rFonts w:hint="eastAsia" w:ascii="宋体" w:hAnsi="宋体" w:cs="宋体"/>
          <w:u w:val="single"/>
        </w:rPr>
        <w:t xml:space="preserve"> （采购项目名称）</w:t>
      </w:r>
      <w:r>
        <w:rPr>
          <w:rFonts w:hint="eastAsia" w:ascii="宋体" w:hAnsi="宋体" w:cs="宋体"/>
        </w:rPr>
        <w:t>采购活动中，我公司保证做到：</w:t>
      </w:r>
    </w:p>
    <w:p>
      <w:pPr>
        <w:spacing w:line="480" w:lineRule="exact"/>
        <w:ind w:firstLine="555"/>
        <w:rPr>
          <w:rFonts w:hint="eastAsia" w:ascii="宋体" w:hAnsi="宋体" w:cs="宋体"/>
        </w:rPr>
      </w:pPr>
      <w:r>
        <w:rPr>
          <w:rFonts w:hint="eastAsia" w:ascii="宋体" w:hAnsi="宋体" w:cs="宋体"/>
        </w:rPr>
        <w:t>1. 公平竞争参加本次采购活动。</w:t>
      </w:r>
    </w:p>
    <w:p>
      <w:pPr>
        <w:spacing w:line="480" w:lineRule="exact"/>
        <w:ind w:firstLine="556"/>
        <w:rPr>
          <w:rFonts w:hint="eastAsia"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hint="eastAsia" w:ascii="宋体" w:hAnsi="宋体" w:cs="宋体"/>
        </w:rPr>
      </w:pPr>
      <w:r>
        <w:rPr>
          <w:rFonts w:hint="eastAsia" w:ascii="宋体" w:hAnsi="宋体" w:cs="宋体"/>
        </w:rPr>
        <w:t>3. 若出现上述行为，我公司及参与评标的工作人员愿意接受按照国家法律法规等有关规定给予的处罚。</w:t>
      </w:r>
    </w:p>
    <w:p>
      <w:pPr>
        <w:spacing w:line="480" w:lineRule="exact"/>
        <w:ind w:firstLine="555"/>
        <w:rPr>
          <w:rFonts w:hint="eastAsia" w:ascii="宋体" w:hAnsi="宋体" w:cs="宋体"/>
        </w:rPr>
      </w:pPr>
    </w:p>
    <w:p>
      <w:pPr>
        <w:ind w:firstLine="4200" w:firstLineChars="2000"/>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（企业电子签章）</w:t>
      </w:r>
    </w:p>
    <w:p>
      <w:pPr>
        <w:rPr>
          <w:rFonts w:hint="eastAsia" w:ascii="宋体" w:hAnsi="宋体" w:cs="宋体"/>
        </w:rPr>
      </w:pPr>
      <w:r>
        <w:rPr>
          <w:rFonts w:hint="eastAsia" w:ascii="宋体" w:hAnsi="宋体" w:cs="宋体"/>
        </w:rPr>
        <w:t xml:space="preserve">     </w:t>
      </w:r>
    </w:p>
    <w:p>
      <w:pPr>
        <w:ind w:firstLine="3780" w:firstLineChars="1800"/>
        <w:rPr>
          <w:rFonts w:hint="eastAsia"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（个人电子签章）</w:t>
      </w:r>
    </w:p>
    <w:p>
      <w:pPr>
        <w:rPr>
          <w:rFonts w:hint="eastAsia" w:ascii="宋体" w:hAnsi="宋体" w:cs="宋体"/>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rPr>
          <w:rFonts w:hint="eastAsia" w:ascii="宋体" w:hAnsi="宋体" w:cs="宋体"/>
        </w:rPr>
      </w:pPr>
      <w:r>
        <w:rPr>
          <w:rFonts w:hint="eastAsia" w:ascii="宋体" w:hAnsi="宋体" w:cs="宋体"/>
          <w:kern w:val="0"/>
        </w:rPr>
        <w:br w:type="page"/>
      </w:r>
    </w:p>
    <w:p>
      <w:pPr>
        <w:pStyle w:val="3"/>
        <w:rPr>
          <w:rFonts w:hint="eastAsia"/>
          <w:b/>
          <w:bCs w:val="0"/>
        </w:rPr>
      </w:pPr>
      <w:bookmarkStart w:id="622" w:name="_Toc31122"/>
      <w:bookmarkStart w:id="623" w:name="_Toc7344"/>
      <w:bookmarkStart w:id="624" w:name="_Toc13884_WPSOffice_Level2"/>
      <w:r>
        <w:rPr>
          <w:rFonts w:hint="eastAsia"/>
          <w:b/>
          <w:bCs w:val="0"/>
        </w:rPr>
        <w:t>十</w:t>
      </w:r>
      <w:r>
        <w:rPr>
          <w:rFonts w:hint="eastAsia"/>
          <w:b/>
          <w:bCs w:val="0"/>
          <w:lang w:val="en-US" w:eastAsia="zh-CN"/>
        </w:rPr>
        <w:t>一</w:t>
      </w:r>
      <w:r>
        <w:rPr>
          <w:rFonts w:hint="eastAsia"/>
          <w:b/>
          <w:bCs w:val="0"/>
        </w:rPr>
        <w:t>、</w:t>
      </w:r>
      <w:bookmarkStart w:id="625" w:name="_Toc16417885"/>
      <w:r>
        <w:rPr>
          <w:rFonts w:hint="eastAsia"/>
          <w:b/>
          <w:bCs w:val="0"/>
        </w:rPr>
        <w:t>投标承诺函及招标代理服务费承诺函</w:t>
      </w:r>
      <w:bookmarkEnd w:id="622"/>
      <w:bookmarkEnd w:id="623"/>
      <w:bookmarkEnd w:id="625"/>
    </w:p>
    <w:p>
      <w:pPr>
        <w:spacing w:line="480" w:lineRule="exact"/>
        <w:ind w:firstLine="556"/>
        <w:jc w:val="center"/>
        <w:rPr>
          <w:rFonts w:hint="eastAsia" w:ascii="宋体" w:hAnsi="宋体" w:cs="宋体"/>
          <w:b/>
          <w:bCs/>
          <w:sz w:val="24"/>
        </w:rPr>
      </w:pPr>
      <w:r>
        <w:rPr>
          <w:rFonts w:hint="eastAsia" w:ascii="宋体" w:hAnsi="宋体" w:cs="宋体"/>
          <w:b/>
          <w:bCs/>
          <w:sz w:val="24"/>
        </w:rPr>
        <w:t>1.资格承诺声明函</w:t>
      </w: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1A1A1A"/>
          <w:sz w:val="21"/>
          <w:szCs w:val="21"/>
          <w:highlight w:val="none"/>
          <w:u w:val="single"/>
        </w:rPr>
      </w:pPr>
    </w:p>
    <w:p>
      <w:pPr>
        <w:pStyle w:val="17"/>
        <w:keepNext w:val="0"/>
        <w:keepLines w:val="0"/>
        <w:pageBreakBefore w:val="0"/>
        <w:widowControl w:val="0"/>
        <w:kinsoku/>
        <w:wordWrap/>
        <w:overflowPunct/>
        <w:topLinePunct w:val="0"/>
        <w:autoSpaceDE/>
        <w:autoSpaceDN/>
        <w:bidi w:val="0"/>
        <w:adjustRightInd/>
        <w:snapToGrid/>
        <w:spacing w:line="360" w:lineRule="auto"/>
        <w:ind w:left="21" w:leftChars="0" w:right="0" w:hanging="21" w:hangingChars="1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致（ 采购</w:t>
      </w:r>
      <w:r>
        <w:rPr>
          <w:rFonts w:hint="eastAsia" w:ascii="宋体" w:hAnsi="宋体" w:cs="宋体"/>
          <w:color w:val="auto"/>
          <w:sz w:val="21"/>
          <w:szCs w:val="21"/>
          <w:highlight w:val="none"/>
          <w:u w:val="single"/>
          <w:lang w:val="en-US"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w w:val="80"/>
          <w:sz w:val="21"/>
          <w:szCs w:val="21"/>
          <w:highlight w:val="none"/>
          <w:u w:val="singl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sz w:val="21"/>
          <w:szCs w:val="21"/>
          <w:highlight w:val="none"/>
        </w:rPr>
      </w:pPr>
      <w:r>
        <w:rPr>
          <w:rFonts w:hint="eastAsia" w:ascii="宋体" w:hAnsi="宋体" w:eastAsia="宋体" w:cs="宋体"/>
          <w:color w:val="1A1A1A"/>
          <w:spacing w:val="-4"/>
          <w:sz w:val="21"/>
          <w:szCs w:val="21"/>
          <w:highlight w:val="none"/>
        </w:rPr>
        <w:t>我单位自愿参加本次政府采购活动，严格遵守《中华人民共和国政府采购法》及相关法律法规，依法诚信经营，依法遵守本次政府采购活动的各项规定</w:t>
      </w:r>
      <w:r>
        <w:rPr>
          <w:rFonts w:hint="eastAsia" w:ascii="宋体" w:hAnsi="宋体" w:eastAsia="宋体" w:cs="宋体"/>
          <w:color w:val="414141"/>
          <w:spacing w:val="-64"/>
          <w:sz w:val="21"/>
          <w:szCs w:val="21"/>
          <w:highlight w:val="none"/>
        </w:rPr>
        <w:t>。</w:t>
      </w:r>
      <w:r>
        <w:rPr>
          <w:rFonts w:hint="eastAsia" w:ascii="宋体" w:hAnsi="宋体" w:eastAsia="宋体" w:cs="宋体"/>
          <w:color w:val="414141"/>
          <w:spacing w:val="-64"/>
          <w:sz w:val="21"/>
          <w:szCs w:val="21"/>
          <w:highlight w:val="none"/>
          <w:lang w:val="en-US" w:eastAsia="zh-CN"/>
        </w:rPr>
        <w:t xml:space="preserve"> </w:t>
      </w:r>
      <w:r>
        <w:rPr>
          <w:rFonts w:hint="eastAsia" w:ascii="宋体" w:hAnsi="宋体" w:eastAsia="宋体" w:cs="宋体"/>
          <w:color w:val="1A1A1A"/>
          <w:spacing w:val="5"/>
          <w:sz w:val="21"/>
          <w:szCs w:val="21"/>
          <w:highlight w:val="none"/>
        </w:rPr>
        <w:t xml:space="preserve">我单位郑重承诺声明如下 </w:t>
      </w:r>
      <w:r>
        <w:rPr>
          <w:rFonts w:hint="eastAsia" w:ascii="宋体" w:hAnsi="宋体" w:eastAsia="宋体" w:cs="宋体"/>
          <w:color w:val="1A1A1A"/>
          <w:w w:val="70"/>
          <w:sz w:val="21"/>
          <w:szCs w:val="21"/>
          <w:highlight w:val="none"/>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32"/>
        <w:jc w:val="both"/>
        <w:textAlignment w:val="auto"/>
        <w:rPr>
          <w:rFonts w:hint="eastAsia" w:ascii="宋体" w:hAnsi="宋体" w:eastAsia="宋体" w:cs="宋体"/>
          <w:color w:val="1A1A1A"/>
          <w:sz w:val="21"/>
          <w:szCs w:val="21"/>
          <w:highlight w:val="none"/>
        </w:rPr>
      </w:pPr>
      <w:r>
        <w:rPr>
          <w:rFonts w:hint="eastAsia" w:ascii="宋体" w:hAnsi="宋体" w:eastAsia="宋体" w:cs="宋体"/>
          <w:color w:val="1A1A1A"/>
          <w:spacing w:val="-4"/>
          <w:sz w:val="21"/>
          <w:szCs w:val="21"/>
          <w:highlight w:val="none"/>
        </w:rPr>
        <w:t>一、我单位全称为</w:t>
      </w:r>
      <w:r>
        <w:rPr>
          <w:rFonts w:hint="eastAsia" w:ascii="宋体" w:hAnsi="宋体" w:eastAsia="宋体" w:cs="宋体"/>
          <w:color w:val="1A1A1A"/>
          <w:spacing w:val="-4"/>
          <w:sz w:val="21"/>
          <w:szCs w:val="21"/>
          <w:highlight w:val="none"/>
          <w:u w:val="single"/>
        </w:rPr>
        <w:t xml:space="preserve">  </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，注册地点为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，统一社会信用代码为</w:t>
      </w:r>
      <w:r>
        <w:rPr>
          <w:rFonts w:hint="eastAsia" w:ascii="宋体" w:hAnsi="宋体" w:eastAsia="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lang w:val="en-US" w:eastAsia="zh-CN"/>
        </w:rPr>
        <w:t xml:space="preserve"> </w:t>
      </w:r>
      <w:r>
        <w:rPr>
          <w:rFonts w:hint="eastAsia" w:ascii="宋体" w:hAnsi="宋体" w:eastAsia="宋体" w:cs="宋体"/>
          <w:color w:val="1A1A1A"/>
          <w:spacing w:val="-4"/>
          <w:sz w:val="21"/>
          <w:szCs w:val="21"/>
          <w:highlight w:val="none"/>
        </w:rPr>
        <w:t>，法定代表人（单位负责人）</w:t>
      </w:r>
      <w:r>
        <w:rPr>
          <w:rFonts w:hint="eastAsia" w:ascii="宋体" w:hAnsi="宋体" w:eastAsia="宋体" w:cs="宋体"/>
          <w:color w:val="1A1A1A"/>
          <w:spacing w:val="-4"/>
          <w:sz w:val="21"/>
          <w:szCs w:val="21"/>
          <w:highlight w:val="none"/>
          <w:lang w:eastAsia="zh-CN"/>
        </w:rPr>
        <w:t>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rPr>
        <w:t>，联系方式为</w:t>
      </w:r>
      <w:r>
        <w:rPr>
          <w:rFonts w:hint="eastAsia" w:ascii="宋体" w:hAnsi="宋体" w:cs="宋体"/>
          <w:color w:val="1A1A1A"/>
          <w:spacing w:val="-4"/>
          <w:sz w:val="21"/>
          <w:szCs w:val="21"/>
          <w:highlight w:val="none"/>
          <w:u w:val="single"/>
          <w:lang w:val="en-US" w:eastAsia="zh-CN"/>
        </w:rPr>
        <w:t xml:space="preserve">      </w:t>
      </w:r>
      <w:r>
        <w:rPr>
          <w:rFonts w:hint="eastAsia" w:ascii="宋体" w:hAnsi="宋体" w:eastAsia="宋体" w:cs="宋体"/>
          <w:color w:val="1A1A1A"/>
          <w:spacing w:val="-4"/>
          <w:sz w:val="21"/>
          <w:szCs w:val="21"/>
          <w:highlight w:val="none"/>
          <w:u w:val="single"/>
        </w:rPr>
        <w:tab/>
      </w:r>
      <w:r>
        <w:rPr>
          <w:rFonts w:hint="eastAsia" w:ascii="宋体" w:hAnsi="宋体" w:eastAsia="宋体" w:cs="宋体"/>
          <w:color w:val="1A1A1A"/>
          <w:spacing w:val="-4"/>
          <w:sz w:val="21"/>
          <w:szCs w:val="21"/>
          <w:highlight w:val="none"/>
        </w:rPr>
        <w:t>。</w:t>
      </w:r>
      <w:r>
        <w:rPr>
          <w:rFonts w:hint="eastAsia" w:ascii="宋体" w:hAnsi="宋体" w:eastAsia="宋体" w:cs="宋体"/>
          <w:color w:val="1A1A1A"/>
          <w:spacing w:val="-4"/>
          <w:sz w:val="21"/>
          <w:szCs w:val="21"/>
          <w:highlight w:val="none"/>
        </w:rPr>
        <w:tab/>
      </w:r>
      <w:r>
        <w:rPr>
          <w:rFonts w:hint="eastAsia" w:ascii="宋体" w:hAnsi="宋体" w:eastAsia="宋体" w:cs="宋体"/>
          <w:color w:val="1A1A1A"/>
          <w:sz w:val="21"/>
          <w:szCs w:val="21"/>
          <w:highlight w:val="none"/>
        </w:rPr>
        <w:t>二、我单位具有独立承担民事责任的能力。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三、我单位具有良好的商业信誉和健全的财务会计制度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四、我单位具有履行合同所必需的设备和专业技术能力。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五、我单位有依法缴纳税收和社会保障资金的良好记录。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六、我单位参加政府采购活动前三年内，在经营活动中没有重大违法记录。（重大违法记录，是指供应商因违法经营受到刑事处罚或者</w:t>
      </w:r>
      <w:r>
        <w:rPr>
          <w:rFonts w:hint="eastAsia" w:ascii="宋体" w:hAnsi="宋体" w:eastAsia="宋体" w:cs="宋体"/>
          <w:color w:val="1A1A1A"/>
          <w:sz w:val="21"/>
          <w:szCs w:val="21"/>
          <w:highlight w:val="none"/>
          <w:lang w:eastAsia="zh-CN"/>
        </w:rPr>
        <w:t>责</w:t>
      </w:r>
      <w:r>
        <w:rPr>
          <w:rFonts w:hint="eastAsia" w:ascii="宋体" w:hAnsi="宋体" w:eastAsia="宋体" w:cs="宋体"/>
          <w:color w:val="1A1A1A"/>
          <w:sz w:val="21"/>
          <w:szCs w:val="21"/>
          <w:highlight w:val="none"/>
        </w:rPr>
        <w:t>令停产停业、吊销许可证或者执照、较大数额罚款等行政处罚。）</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七、我单位具备法律、行政法规规定的其他条件。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lef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sz w:val="21"/>
          <w:szCs w:val="21"/>
          <w:highlight w:val="none"/>
        </w:rPr>
      </w:pP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none"/>
          <w:lang w:val="en-US" w:eastAsia="zh-CN"/>
        </w:rPr>
      </w:pPr>
      <w:r>
        <w:rPr>
          <w:rFonts w:hint="eastAsia" w:ascii="宋体" w:hAnsi="宋体" w:eastAsia="宋体" w:cs="宋体"/>
          <w:color w:val="1A1A1A"/>
          <w:sz w:val="21"/>
          <w:szCs w:val="21"/>
          <w:highlight w:val="none"/>
        </w:rPr>
        <w:t>承诺单位（盖章）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val="0"/>
        <w:overflowPunct/>
        <w:topLinePunct w:val="0"/>
        <w:autoSpaceDE/>
        <w:autoSpaceDN/>
        <w:bidi w:val="0"/>
        <w:adjustRightInd/>
        <w:snapToGrid/>
        <w:spacing w:line="360" w:lineRule="auto"/>
        <w:ind w:left="0" w:leftChars="0" w:right="0" w:firstLine="457" w:firstLineChars="218"/>
        <w:jc w:val="right"/>
        <w:textAlignment w:val="auto"/>
        <w:rPr>
          <w:rFonts w:hint="default" w:ascii="宋体" w:hAnsi="宋体" w:eastAsia="宋体" w:cs="宋体"/>
          <w:color w:val="1A1A1A"/>
          <w:sz w:val="21"/>
          <w:szCs w:val="21"/>
          <w:highlight w:val="none"/>
          <w:u w:val="single"/>
          <w:lang w:val="en-US" w:eastAsia="zh-CN"/>
        </w:rPr>
      </w:pPr>
      <w:r>
        <w:rPr>
          <w:rFonts w:hint="eastAsia" w:ascii="宋体" w:hAnsi="宋体" w:eastAsia="宋体" w:cs="宋体"/>
          <w:color w:val="1A1A1A"/>
          <w:sz w:val="21"/>
          <w:szCs w:val="21"/>
          <w:highlight w:val="none"/>
        </w:rPr>
        <w:t>法定代表人或授权代表（签名或盖章） ：</w:t>
      </w:r>
      <w:r>
        <w:rPr>
          <w:rFonts w:hint="eastAsia" w:ascii="宋体" w:hAnsi="宋体" w:cs="宋体"/>
          <w:color w:val="1A1A1A"/>
          <w:sz w:val="21"/>
          <w:szCs w:val="21"/>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firstLine="457" w:firstLineChars="218"/>
        <w:jc w:val="right"/>
        <w:textAlignment w:val="auto"/>
        <w:rPr>
          <w:rFonts w:hint="eastAsia" w:ascii="宋体" w:hAnsi="宋体" w:eastAsia="宋体" w:cs="宋体"/>
          <w:color w:val="1A1A1A"/>
          <w:sz w:val="21"/>
          <w:szCs w:val="21"/>
          <w:highlight w:val="none"/>
        </w:rPr>
      </w:pPr>
      <w:r>
        <w:rPr>
          <w:rFonts w:hint="eastAsia" w:ascii="宋体" w:hAnsi="宋体" w:eastAsia="宋体" w:cs="宋体"/>
          <w:color w:val="1A1A1A"/>
          <w:sz w:val="21"/>
          <w:szCs w:val="21"/>
          <w:highlight w:val="none"/>
        </w:rPr>
        <w:t>日期：</w:t>
      </w:r>
      <w:r>
        <w:rPr>
          <w:rFonts w:hint="eastAsia" w:ascii="宋体" w:hAnsi="宋体" w:eastAsia="宋体" w:cs="宋体"/>
          <w:color w:val="1A1A1A"/>
          <w:sz w:val="21"/>
          <w:szCs w:val="21"/>
          <w:highlight w:val="non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年</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月</w:t>
      </w:r>
      <w:r>
        <w:rPr>
          <w:rFonts w:hint="eastAsia" w:ascii="宋体" w:hAnsi="宋体" w:eastAsia="宋体" w:cs="宋体"/>
          <w:color w:val="1A1A1A"/>
          <w:sz w:val="21"/>
          <w:szCs w:val="21"/>
          <w:highlight w:val="none"/>
          <w:u w:val="single"/>
          <w:lang w:val="en-US" w:eastAsia="zh-CN"/>
        </w:rPr>
        <w:t xml:space="preserve">     </w:t>
      </w:r>
      <w:r>
        <w:rPr>
          <w:rFonts w:hint="eastAsia" w:ascii="宋体" w:hAnsi="宋体" w:eastAsia="宋体" w:cs="宋体"/>
          <w:color w:val="1A1A1A"/>
          <w:sz w:val="21"/>
          <w:szCs w:val="21"/>
          <w:highlight w:val="none"/>
        </w:rPr>
        <w:t>日</w:t>
      </w:r>
    </w:p>
    <w:p>
      <w:pPr>
        <w:spacing w:line="480" w:lineRule="exact"/>
        <w:ind w:firstLine="556"/>
        <w:jc w:val="center"/>
        <w:rPr>
          <w:rFonts w:hint="eastAsia" w:ascii="宋体" w:hAnsi="宋体" w:cs="宋体"/>
          <w:b/>
          <w:bCs/>
          <w:sz w:val="24"/>
        </w:rPr>
      </w:pPr>
      <w:r>
        <w:rPr>
          <w:rFonts w:hint="eastAsia" w:ascii="宋体" w:hAnsi="宋体" w:cs="宋体"/>
          <w:b/>
          <w:bCs/>
          <w:sz w:val="28"/>
          <w:szCs w:val="28"/>
        </w:rPr>
        <w:br w:type="page"/>
      </w:r>
    </w:p>
    <w:p>
      <w:pPr>
        <w:widowControl/>
        <w:shd w:val="clear" w:color="auto" w:fill="FFFFFF"/>
        <w:spacing w:line="360" w:lineRule="auto"/>
        <w:jc w:val="center"/>
        <w:rPr>
          <w:rFonts w:hint="eastAsia" w:ascii="宋体" w:hAnsi="宋体" w:cs="宋体"/>
          <w:b/>
          <w:bCs/>
          <w:sz w:val="24"/>
          <w:lang w:val="zh-CN"/>
        </w:rPr>
      </w:pPr>
      <w:r>
        <w:rPr>
          <w:rFonts w:hint="eastAsia" w:ascii="宋体" w:hAnsi="宋体" w:cs="宋体"/>
          <w:b/>
          <w:bCs/>
          <w:sz w:val="24"/>
        </w:rPr>
        <w:t>2.</w:t>
      </w:r>
      <w:r>
        <w:rPr>
          <w:rFonts w:hint="eastAsia" w:ascii="宋体" w:hAnsi="宋体" w:cs="宋体"/>
          <w:b/>
          <w:bCs/>
          <w:sz w:val="24"/>
          <w:lang w:val="zh-CN"/>
        </w:rPr>
        <w:t>招标代理服务费承诺函</w:t>
      </w:r>
    </w:p>
    <w:p>
      <w:pPr>
        <w:widowControl/>
        <w:shd w:val="clear" w:color="auto" w:fill="FFFFFF"/>
        <w:spacing w:line="360" w:lineRule="auto"/>
        <w:rPr>
          <w:rFonts w:hint="eastAsia" w:ascii="宋体" w:hAnsi="宋体" w:cs="宋体"/>
          <w:spacing w:val="7"/>
          <w:szCs w:val="21"/>
        </w:rPr>
      </w:pPr>
      <w:r>
        <w:rPr>
          <w:rFonts w:hint="eastAsia" w:ascii="宋体" w:hAnsi="宋体" w:cs="宋体"/>
          <w:spacing w:val="7"/>
          <w:szCs w:val="21"/>
        </w:rPr>
        <w:t> </w:t>
      </w:r>
    </w:p>
    <w:p>
      <w:pPr>
        <w:spacing w:line="480" w:lineRule="exact"/>
        <w:ind w:firstLine="556"/>
        <w:rPr>
          <w:rFonts w:hint="eastAsia" w:ascii="宋体" w:hAnsi="宋体" w:cs="宋体"/>
          <w:szCs w:val="21"/>
        </w:rPr>
      </w:pPr>
      <w:r>
        <w:rPr>
          <w:rFonts w:hint="eastAsia" w:ascii="宋体" w:hAnsi="宋体" w:cs="宋体"/>
          <w:szCs w:val="21"/>
        </w:rPr>
        <w:t>致（采购人及采购代理机构）：</w:t>
      </w:r>
    </w:p>
    <w:p>
      <w:pPr>
        <w:spacing w:line="480" w:lineRule="exact"/>
        <w:ind w:firstLine="556"/>
        <w:rPr>
          <w:rFonts w:hint="eastAsia" w:ascii="宋体" w:hAnsi="宋体" w:cs="宋体"/>
          <w:szCs w:val="21"/>
        </w:rPr>
      </w:pPr>
      <w:r>
        <w:rPr>
          <w:rFonts w:hint="eastAsia" w:ascii="宋体" w:hAnsi="宋体" w:cs="宋体"/>
          <w:szCs w:val="21"/>
        </w:rPr>
        <w:t>我们在贵公司组织的（项目名称：    ，采购编号：   ）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spacing w:line="480" w:lineRule="exact"/>
        <w:ind w:firstLine="556"/>
        <w:rPr>
          <w:rFonts w:hint="eastAsia" w:ascii="宋体" w:hAnsi="宋体" w:cs="宋体"/>
          <w:szCs w:val="21"/>
        </w:rPr>
      </w:pPr>
      <w:r>
        <w:rPr>
          <w:rFonts w:hint="eastAsia" w:ascii="宋体" w:hAnsi="宋体" w:cs="宋体"/>
          <w:szCs w:val="21"/>
        </w:rPr>
        <w:t>特此承诺。</w:t>
      </w:r>
    </w:p>
    <w:p>
      <w:pPr>
        <w:spacing w:line="480" w:lineRule="exact"/>
        <w:ind w:firstLine="556"/>
        <w:rPr>
          <w:rFonts w:hint="eastAsia" w:ascii="宋体" w:hAnsi="宋体" w:cs="宋体"/>
          <w:szCs w:val="21"/>
        </w:rPr>
      </w:pPr>
      <w:r>
        <w:rPr>
          <w:rFonts w:hint="eastAsia" w:ascii="宋体" w:hAnsi="宋体" w:cs="宋体"/>
          <w:szCs w:val="21"/>
        </w:rPr>
        <w:t> </w:t>
      </w:r>
    </w:p>
    <w:p>
      <w:pPr>
        <w:spacing w:line="480" w:lineRule="exact"/>
        <w:ind w:firstLine="556"/>
        <w:rPr>
          <w:rFonts w:hint="eastAsia" w:ascii="宋体" w:hAnsi="宋体" w:cs="宋体"/>
          <w:szCs w:val="21"/>
        </w:rPr>
      </w:pPr>
      <w:r>
        <w:rPr>
          <w:rFonts w:hint="eastAsia" w:ascii="宋体" w:hAnsi="宋体" w:cs="宋体"/>
          <w:szCs w:val="21"/>
        </w:rPr>
        <w:t> </w:t>
      </w:r>
    </w:p>
    <w:p>
      <w:pPr>
        <w:ind w:firstLine="4200" w:firstLineChars="20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（企业电子签章）</w:t>
      </w:r>
    </w:p>
    <w:p>
      <w:pPr>
        <w:rPr>
          <w:rFonts w:hint="eastAsia" w:ascii="宋体" w:hAnsi="宋体" w:cs="宋体"/>
          <w:szCs w:val="21"/>
        </w:rPr>
      </w:pPr>
      <w:r>
        <w:rPr>
          <w:rFonts w:hint="eastAsia" w:ascii="宋体" w:hAnsi="宋体" w:cs="宋体"/>
          <w:szCs w:val="21"/>
        </w:rPr>
        <w:t xml:space="preserve">     </w:t>
      </w:r>
    </w:p>
    <w:p>
      <w:pPr>
        <w:ind w:firstLine="3780" w:firstLineChars="1800"/>
        <w:rPr>
          <w:rFonts w:hint="eastAsia" w:ascii="宋体" w:hAnsi="宋体" w:cs="宋体"/>
          <w:szCs w:val="21"/>
        </w:rPr>
      </w:pPr>
      <w:r>
        <w:rPr>
          <w:rFonts w:hint="eastAsia" w:ascii="宋体" w:hAnsi="宋体" w:cs="宋体"/>
          <w:szCs w:val="21"/>
        </w:rPr>
        <w:t>法定代表人或授权代理人：</w:t>
      </w:r>
      <w:r>
        <w:rPr>
          <w:rFonts w:hint="eastAsia" w:ascii="宋体" w:hAnsi="宋体" w:cs="宋体"/>
          <w:szCs w:val="21"/>
          <w:u w:val="single"/>
        </w:rPr>
        <w:t xml:space="preserve">         </w:t>
      </w:r>
      <w:r>
        <w:rPr>
          <w:rFonts w:hint="eastAsia" w:ascii="宋体" w:hAnsi="宋体" w:cs="宋体"/>
          <w:szCs w:val="21"/>
        </w:rPr>
        <w:t>（个人电子签章）</w:t>
      </w:r>
    </w:p>
    <w:p>
      <w:pPr>
        <w:rPr>
          <w:rFonts w:hint="eastAsia" w:ascii="宋体" w:hAnsi="宋体" w:cs="宋体"/>
          <w:szCs w:val="21"/>
        </w:rPr>
      </w:pPr>
    </w:p>
    <w:p>
      <w:pPr>
        <w:tabs>
          <w:tab w:val="left" w:pos="5380"/>
          <w:tab w:val="left" w:pos="6520"/>
          <w:tab w:val="left" w:pos="7680"/>
        </w:tabs>
        <w:autoSpaceDE w:val="0"/>
        <w:autoSpaceDN w:val="0"/>
        <w:adjustRightInd w:val="0"/>
        <w:ind w:right="-20" w:firstLine="4620" w:firstLineChars="2200"/>
        <w:jc w:val="left"/>
        <w:rPr>
          <w:rFonts w:hint="eastAsia"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spacing w:val="43"/>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105"/>
        <w:rPr>
          <w:rFonts w:hint="eastAsia" w:hAnsi="宋体" w:cs="宋体"/>
          <w:sz w:val="22"/>
          <w:szCs w:val="22"/>
        </w:rPr>
      </w:pPr>
    </w:p>
    <w:p>
      <w:pPr>
        <w:rPr>
          <w:rFonts w:hint="eastAsia"/>
        </w:rPr>
      </w:pPr>
    </w:p>
    <w:p>
      <w:pPr>
        <w:pStyle w:val="3"/>
        <w:rPr>
          <w:rFonts w:hint="eastAsia"/>
        </w:rPr>
      </w:pPr>
      <w:r>
        <w:rPr>
          <w:rFonts w:hint="eastAsia"/>
        </w:rPr>
        <w:br w:type="page"/>
      </w:r>
      <w:bookmarkStart w:id="626" w:name="_Toc2372"/>
      <w:bookmarkStart w:id="627" w:name="_Toc22955"/>
      <w:r>
        <w:rPr>
          <w:rFonts w:hint="eastAsia"/>
          <w:b/>
          <w:bCs w:val="0"/>
        </w:rPr>
        <w:t>十</w:t>
      </w:r>
      <w:r>
        <w:rPr>
          <w:rFonts w:hint="eastAsia"/>
          <w:b/>
          <w:bCs w:val="0"/>
          <w:lang w:val="en-US" w:eastAsia="zh-CN"/>
        </w:rPr>
        <w:t>二</w:t>
      </w:r>
      <w:r>
        <w:rPr>
          <w:rFonts w:hint="eastAsia"/>
          <w:b/>
          <w:bCs w:val="0"/>
        </w:rPr>
        <w:t>、小、微企业证明</w:t>
      </w:r>
      <w:bookmarkEnd w:id="626"/>
      <w:bookmarkEnd w:id="627"/>
    </w:p>
    <w:p>
      <w:pPr>
        <w:pStyle w:val="105"/>
        <w:jc w:val="center"/>
        <w:rPr>
          <w:rFonts w:hint="eastAsia"/>
          <w:lang w:val="en-US" w:eastAsia="zh-CN"/>
        </w:rPr>
      </w:pPr>
      <w:r>
        <w:rPr>
          <w:rFonts w:hint="eastAsia" w:ascii="宋体" w:hAnsi="宋体" w:cs="宋体"/>
          <w:b/>
          <w:bCs/>
          <w:sz w:val="24"/>
        </w:rPr>
        <w:t>1.</w:t>
      </w:r>
      <w:bookmarkStart w:id="628" w:name="_Toc2655_WPSOffice_Level1"/>
      <w:bookmarkStart w:id="629" w:name="_Toc14029"/>
      <w:bookmarkStart w:id="630" w:name="_Toc22437"/>
      <w:bookmarkStart w:id="631" w:name="_Toc11778_WPSOffice_Level2"/>
      <w:bookmarkStart w:id="632" w:name="_Toc21261"/>
      <w:bookmarkStart w:id="633" w:name="OLE_LINK13"/>
      <w:bookmarkStart w:id="634" w:name="OLE_LINK14"/>
      <w:r>
        <w:rPr>
          <w:rFonts w:hint="eastAsia" w:ascii="宋体" w:hAnsi="宋体" w:eastAsia="宋体" w:cs="宋体"/>
          <w:b/>
          <w:bCs/>
          <w:color w:val="auto"/>
          <w:sz w:val="30"/>
          <w:szCs w:val="30"/>
          <w:highlight w:val="none"/>
          <w:lang w:eastAsia="zh-CN"/>
        </w:rPr>
        <w:t>中小企业声明函（货物）</w:t>
      </w:r>
    </w:p>
    <w:p>
      <w:pPr>
        <w:pStyle w:val="10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（供应商属于中小企业的填写，不属于的无需填写此项内容）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本公司（联合体）郑重声明，根据《政府采购促进中小企业发展管理办法》（财库﹝2020﹞46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号）的规定，本公司（联合体）参加</w:t>
      </w:r>
      <w:r>
        <w:rPr>
          <w:rFonts w:hint="eastAsia" w:ascii="宋体" w:hAnsi="宋体" w:eastAsia="宋体" w:cs="宋体"/>
          <w:color w:val="auto"/>
          <w:sz w:val="21"/>
          <w:szCs w:val="21"/>
          <w:highlight w:val="none"/>
          <w:u w:val="single"/>
          <w:lang w:eastAsia="zh-CN"/>
        </w:rPr>
        <w:t>（单位名称）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lang w:eastAsia="zh-CN"/>
        </w:rPr>
        <w:t>采购活动，提供的货物全部由符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合政策要求的中小企业制造。相关企业（含联合体中的中小企业、签订分包意向协议的中小企业）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的具体情况如下：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w:t>
      </w:r>
      <w:r>
        <w:rPr>
          <w:rFonts w:hint="eastAsia" w:ascii="宋体" w:hAnsi="宋体" w:eastAsia="宋体" w:cs="宋体"/>
          <w:color w:val="auto"/>
          <w:sz w:val="21"/>
          <w:szCs w:val="21"/>
          <w:highlight w:val="none"/>
          <w:u w:val="single"/>
          <w:lang w:eastAsia="zh-CN"/>
        </w:rPr>
        <w:t>（标的名称）</w:t>
      </w:r>
      <w:r>
        <w:rPr>
          <w:rFonts w:hint="eastAsia" w:ascii="宋体" w:hAnsi="宋体" w:eastAsia="宋体" w:cs="宋体"/>
          <w:color w:val="auto"/>
          <w:sz w:val="21"/>
          <w:szCs w:val="21"/>
          <w:highlight w:val="none"/>
          <w:lang w:eastAsia="zh-CN"/>
        </w:rPr>
        <w:t>，属于</w:t>
      </w:r>
      <w:r>
        <w:rPr>
          <w:rFonts w:hint="eastAsia" w:ascii="宋体" w:hAnsi="宋体" w:eastAsia="宋体" w:cs="宋体"/>
          <w:color w:val="auto"/>
          <w:sz w:val="21"/>
          <w:szCs w:val="21"/>
          <w:highlight w:val="none"/>
          <w:u w:val="single"/>
          <w:lang w:eastAsia="zh-CN"/>
        </w:rPr>
        <w:t>（采购文件中明确的所属行业）行业</w:t>
      </w:r>
      <w:r>
        <w:rPr>
          <w:rFonts w:hint="eastAsia" w:ascii="宋体" w:hAnsi="宋体" w:eastAsia="宋体" w:cs="宋体"/>
          <w:color w:val="auto"/>
          <w:sz w:val="21"/>
          <w:szCs w:val="21"/>
          <w:highlight w:val="none"/>
          <w:lang w:eastAsia="zh-CN"/>
        </w:rPr>
        <w:t>；制造商为</w:t>
      </w:r>
      <w:r>
        <w:rPr>
          <w:rFonts w:hint="eastAsia" w:ascii="宋体" w:hAnsi="宋体" w:eastAsia="宋体" w:cs="宋体"/>
          <w:color w:val="auto"/>
          <w:sz w:val="21"/>
          <w:szCs w:val="21"/>
          <w:highlight w:val="none"/>
          <w:u w:val="single"/>
          <w:lang w:eastAsia="zh-CN"/>
        </w:rPr>
        <w:t>（企业名称）</w:t>
      </w:r>
      <w:r>
        <w:rPr>
          <w:rFonts w:hint="eastAsia" w:ascii="宋体" w:hAnsi="宋体" w:eastAsia="宋体" w:cs="宋体"/>
          <w:color w:val="auto"/>
          <w:sz w:val="21"/>
          <w:szCs w:val="21"/>
          <w:highlight w:val="none"/>
          <w:lang w:eastAsia="zh-CN"/>
        </w:rPr>
        <w:t>，从业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万元，属于</w:t>
      </w:r>
      <w:r>
        <w:rPr>
          <w:rFonts w:hint="eastAsia" w:ascii="宋体" w:hAnsi="宋体" w:eastAsia="宋体" w:cs="宋体"/>
          <w:color w:val="auto"/>
          <w:sz w:val="21"/>
          <w:szCs w:val="21"/>
          <w:highlight w:val="none"/>
          <w:u w:val="single"/>
          <w:lang w:eastAsia="zh-CN"/>
        </w:rPr>
        <w:t>（中型企业、小型企业、微型企业）</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以上企业，不属于大企业的分支机构，不存在控股股东为大企业的情形，也不存在与大企业的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负责人为同一人的情形。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企业名称（盖章）：</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 1、符合中小企业划分标准(见工业和信息化部国家统计局国家发展和改革委员会财政部《关于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印发中小企业划型标准规定的通知》(工信部联企业(2011)300 号));从业人员、营业收入、资产总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额填报上一年度数据，无上一年度数据的新成立企业可不填报。符合中小企业划分标准的个体工商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3、在政府采购活动中，投标人提供的服务由中小企业承接，即提供服务的人员为中小企业依照《中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华人民共和国劳动合同法》订立劳动合同的从业人员的，才能享受本办法规定的中小企业扶持政策。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exact"/>
        <w:ind w:firstLine="556"/>
        <w:jc w:val="left"/>
        <w:textAlignment w:val="auto"/>
        <w:rPr>
          <w:rFonts w:hint="eastAsia" w:ascii="宋体" w:hAnsi="宋体" w:cs="宋体"/>
          <w:b/>
          <w:bCs/>
          <w:sz w:val="24"/>
        </w:rPr>
      </w:pPr>
      <w:r>
        <w:rPr>
          <w:rFonts w:hint="eastAsia" w:ascii="宋体" w:hAnsi="宋体" w:eastAsia="宋体" w:cs="宋体"/>
          <w:color w:val="auto"/>
          <w:sz w:val="21"/>
          <w:szCs w:val="21"/>
          <w:highlight w:val="none"/>
          <w:lang w:eastAsia="zh-CN"/>
        </w:rPr>
        <w:t xml:space="preserve">( 提醒: : 我单位会随中标结果公开中标供应商的 《 中小企业声明函 》 。 供应商按照本办法规定提供声明函内容不实的 ， 属于提供虚假材料谋取中标 、 成交 ， 依照 《 中华人民共和国政府采购法 》 等国家有关规定追究相应责任。) </w:t>
      </w:r>
      <w:r>
        <w:rPr>
          <w:rFonts w:hint="eastAsia" w:ascii="宋体" w:hAnsi="宋体" w:eastAsia="宋体" w:cs="宋体"/>
          <w:color w:val="auto"/>
          <w:sz w:val="21"/>
          <w:szCs w:val="21"/>
          <w:highlight w:val="none"/>
          <w:lang w:eastAsia="zh-CN"/>
        </w:rPr>
        <w:br w:type="page"/>
      </w:r>
      <w:r>
        <w:rPr>
          <w:rFonts w:hint="eastAsia" w:ascii="宋体" w:hAnsi="宋体" w:cs="宋体"/>
          <w:b/>
          <w:bCs/>
          <w:sz w:val="24"/>
        </w:rPr>
        <w:t>2.残疾人福利性单位声明函</w:t>
      </w:r>
      <w:bookmarkEnd w:id="628"/>
      <w:bookmarkEnd w:id="629"/>
      <w:bookmarkEnd w:id="630"/>
      <w:bookmarkEnd w:id="631"/>
      <w:bookmarkEnd w:id="632"/>
    </w:p>
    <w:bookmarkEnd w:id="633"/>
    <w:bookmarkEnd w:id="634"/>
    <w:p>
      <w:pPr>
        <w:spacing w:line="360" w:lineRule="auto"/>
        <w:rPr>
          <w:rFonts w:hint="eastAsia" w:ascii="宋体" w:hAnsi="宋体" w:cs="宋体"/>
          <w:b/>
          <w:spacing w:val="6"/>
        </w:rPr>
      </w:pPr>
    </w:p>
    <w:p>
      <w:pPr>
        <w:spacing w:line="360" w:lineRule="auto"/>
        <w:ind w:firstLine="444" w:firstLineChars="200"/>
        <w:rPr>
          <w:rFonts w:hint="eastAsia" w:ascii="宋体" w:hAnsi="宋体" w:cs="宋体"/>
          <w:spacing w:val="6"/>
        </w:rPr>
      </w:pPr>
      <w:r>
        <w:rPr>
          <w:rFonts w:hint="eastAsia" w:ascii="宋体" w:hAnsi="宋体" w:cs="宋体"/>
          <w:spacing w:val="6"/>
        </w:rPr>
        <w:t>本单位郑重声明，根据《财政部民政部中国残疾人联合会关于促进残疾人就业政府采购政策的通知》（财库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w:t>
      </w:r>
      <w:r>
        <w:rPr>
          <w:rFonts w:hint="eastAsia" w:ascii="宋体" w:hAnsi="宋体" w:cs="宋体"/>
          <w:spacing w:val="6"/>
          <w:u w:val="single"/>
        </w:rPr>
        <w:t xml:space="preserve">       </w:t>
      </w:r>
      <w:r>
        <w:rPr>
          <w:rFonts w:hint="eastAsia" w:ascii="宋体" w:hAnsi="宋体" w:cs="宋体"/>
          <w:spacing w:val="6"/>
        </w:rPr>
        <w:t>单位的</w:t>
      </w:r>
      <w:r>
        <w:rPr>
          <w:rFonts w:hint="eastAsia" w:ascii="宋体" w:hAnsi="宋体" w:cs="宋体"/>
          <w:spacing w:val="6"/>
          <w:u w:val="single"/>
        </w:rPr>
        <w:t xml:space="preserve">      </w:t>
      </w:r>
      <w:r>
        <w:rPr>
          <w:rFonts w:hint="eastAsia" w:ascii="宋体" w:hAnsi="宋体" w:cs="宋体"/>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pPr>
        <w:spacing w:line="360" w:lineRule="auto"/>
        <w:ind w:firstLine="444" w:firstLineChars="200"/>
        <w:rPr>
          <w:rFonts w:hint="eastAsia" w:ascii="宋体" w:hAnsi="宋体" w:cs="宋体"/>
          <w:spacing w:val="6"/>
        </w:rPr>
      </w:pPr>
    </w:p>
    <w:p>
      <w:pPr>
        <w:spacing w:line="360" w:lineRule="auto"/>
        <w:ind w:firstLine="444" w:firstLineChars="200"/>
        <w:rPr>
          <w:rFonts w:hint="eastAsia" w:ascii="宋体" w:hAnsi="宋体" w:cs="宋体"/>
          <w:spacing w:val="6"/>
        </w:rPr>
      </w:pP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单位名称：</w:t>
      </w: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u w:val="single"/>
        </w:rPr>
        <w:t xml:space="preserve"> </w:t>
      </w:r>
      <w:r>
        <w:rPr>
          <w:rFonts w:hint="eastAsia" w:ascii="宋体" w:hAnsi="宋体" w:cs="宋体"/>
        </w:rPr>
        <w:t>（企业电子签章）</w:t>
      </w:r>
      <w:r>
        <w:rPr>
          <w:rFonts w:hint="eastAsia" w:ascii="宋体" w:hAnsi="宋体" w:cs="宋体"/>
          <w:spacing w:val="6"/>
        </w:rPr>
        <w:t xml:space="preserve">   </w:t>
      </w:r>
    </w:p>
    <w:p>
      <w:pPr>
        <w:tabs>
          <w:tab w:val="left" w:pos="840"/>
        </w:tabs>
        <w:autoSpaceDE w:val="0"/>
        <w:autoSpaceDN w:val="0"/>
        <w:adjustRightInd w:val="0"/>
        <w:spacing w:line="360" w:lineRule="auto"/>
        <w:jc w:val="center"/>
        <w:rPr>
          <w:rFonts w:hint="eastAsia" w:ascii="宋体" w:hAnsi="宋体" w:cs="宋体"/>
          <w:spacing w:val="6"/>
        </w:rPr>
      </w:pPr>
      <w:r>
        <w:rPr>
          <w:rFonts w:hint="eastAsia" w:ascii="宋体" w:hAnsi="宋体" w:cs="宋体"/>
          <w:spacing w:val="6"/>
        </w:rPr>
        <w:t xml:space="preserve">                         日 期：</w:t>
      </w:r>
      <w:r>
        <w:rPr>
          <w:rFonts w:hint="eastAsia" w:ascii="宋体" w:hAnsi="宋体" w:cs="宋体"/>
          <w:kern w:val="0"/>
          <w:u w:val="single"/>
        </w:rPr>
        <w:t xml:space="preserve">      </w:t>
      </w:r>
      <w:r>
        <w:rPr>
          <w:rFonts w:hint="eastAsia" w:ascii="宋体" w:hAnsi="宋体" w:cs="宋体"/>
          <w:spacing w:val="6"/>
        </w:rPr>
        <w:t>年</w:t>
      </w:r>
      <w:r>
        <w:rPr>
          <w:rFonts w:hint="eastAsia" w:ascii="宋体" w:hAnsi="宋体" w:cs="宋体"/>
          <w:kern w:val="0"/>
          <w:u w:val="single"/>
        </w:rPr>
        <w:t xml:space="preserve">      </w:t>
      </w:r>
      <w:r>
        <w:rPr>
          <w:rFonts w:hint="eastAsia" w:ascii="宋体" w:hAnsi="宋体" w:cs="宋体"/>
          <w:spacing w:val="6"/>
        </w:rPr>
        <w:t>月</w:t>
      </w:r>
      <w:r>
        <w:rPr>
          <w:rFonts w:hint="eastAsia" w:ascii="宋体" w:hAnsi="宋体" w:cs="宋体"/>
          <w:kern w:val="0"/>
          <w:u w:val="single"/>
        </w:rPr>
        <w:t xml:space="preserve">      </w:t>
      </w:r>
      <w:r>
        <w:rPr>
          <w:rFonts w:hint="eastAsia" w:ascii="宋体" w:hAnsi="宋体" w:cs="宋体"/>
          <w:spacing w:val="6"/>
        </w:rPr>
        <w:t>日</w:t>
      </w:r>
    </w:p>
    <w:p>
      <w:pPr>
        <w:tabs>
          <w:tab w:val="left" w:pos="840"/>
        </w:tabs>
        <w:autoSpaceDE w:val="0"/>
        <w:autoSpaceDN w:val="0"/>
        <w:adjustRightInd w:val="0"/>
        <w:spacing w:line="360" w:lineRule="auto"/>
        <w:jc w:val="center"/>
        <w:rPr>
          <w:rFonts w:hint="eastAsia" w:ascii="宋体" w:hAnsi="宋体" w:cs="宋体"/>
          <w:b/>
          <w:sz w:val="24"/>
        </w:rPr>
      </w:pPr>
    </w:p>
    <w:p>
      <w:pPr>
        <w:widowControl/>
        <w:spacing w:line="360" w:lineRule="auto"/>
        <w:rPr>
          <w:rFonts w:hint="eastAsia" w:ascii="宋体" w:hAnsi="宋体" w:cs="宋体"/>
          <w:b/>
        </w:rPr>
      </w:pPr>
      <w:r>
        <w:rPr>
          <w:rFonts w:hint="eastAsia" w:ascii="宋体" w:hAnsi="宋体" w:cs="宋体"/>
          <w:b/>
        </w:rPr>
        <w:t>（注：如果供应商</w:t>
      </w:r>
      <w:r>
        <w:rPr>
          <w:rFonts w:hint="eastAsia" w:ascii="宋体" w:hAnsi="宋体" w:cs="宋体"/>
          <w:b/>
          <w:spacing w:val="10"/>
          <w:kern w:val="0"/>
        </w:rPr>
        <w:t>不属于残疾人福利性单位</w:t>
      </w:r>
      <w:r>
        <w:rPr>
          <w:rFonts w:hint="eastAsia" w:ascii="宋体" w:hAnsi="宋体" w:cs="宋体"/>
          <w:b/>
        </w:rPr>
        <w:t>，则不需要提供。否则，因此导致虚假投标的后果由供应商自行承担。）</w:t>
      </w:r>
    </w:p>
    <w:p>
      <w:pPr>
        <w:pStyle w:val="105"/>
        <w:rPr>
          <w:rFonts w:hint="eastAsia" w:hAnsi="宋体" w:cs="宋体"/>
          <w:b/>
        </w:rPr>
      </w:pPr>
    </w:p>
    <w:p>
      <w:pPr>
        <w:widowControl/>
        <w:spacing w:line="340" w:lineRule="exact"/>
        <w:jc w:val="center"/>
        <w:rPr>
          <w:rFonts w:hint="eastAsia" w:ascii="宋体" w:hAnsi="宋体" w:cs="宋体"/>
          <w:b/>
          <w:bCs/>
          <w:sz w:val="24"/>
        </w:rPr>
      </w:pPr>
      <w:r>
        <w:rPr>
          <w:rFonts w:hint="eastAsia" w:ascii="宋体" w:hAnsi="宋体" w:cs="宋体"/>
          <w:b/>
          <w:bCs/>
          <w:sz w:val="24"/>
        </w:rPr>
        <w:t>3.监狱企业证明材料</w:t>
      </w:r>
    </w:p>
    <w:p>
      <w:pPr>
        <w:ind w:firstLine="420" w:firstLineChars="200"/>
        <w:rPr>
          <w:rFonts w:hint="eastAsia"/>
        </w:rPr>
      </w:pPr>
    </w:p>
    <w:p>
      <w:pPr>
        <w:ind w:firstLine="420" w:firstLineChars="200"/>
        <w:rPr>
          <w:rFonts w:hint="eastAsia"/>
        </w:rPr>
      </w:pPr>
      <w:r>
        <w:rPr>
          <w:rFonts w:hint="eastAsia"/>
        </w:rPr>
        <w:t>.由</w:t>
      </w:r>
      <w:r>
        <w:rPr>
          <w:rFonts w:hint="eastAsia"/>
          <w:lang w:eastAsia="zh-CN"/>
        </w:rPr>
        <w:t>供应商</w:t>
      </w:r>
      <w:r>
        <w:rPr>
          <w:rFonts w:hint="eastAsia"/>
        </w:rPr>
        <w:t>提供由省级以上监狱管理局、戒毒管理局（含新疆生产建设兵团）出具的属于监狱企业的证明文件。</w:t>
      </w:r>
    </w:p>
    <w:p>
      <w:pPr>
        <w:widowControl/>
        <w:spacing w:line="360" w:lineRule="auto"/>
        <w:rPr>
          <w:rFonts w:hint="eastAsia" w:ascii="宋体" w:hAnsi="宋体" w:cs="宋体"/>
          <w:b/>
        </w:rPr>
      </w:pPr>
    </w:p>
    <w:p>
      <w:pPr>
        <w:widowControl/>
        <w:spacing w:line="360" w:lineRule="auto"/>
        <w:rPr>
          <w:rFonts w:hint="eastAsia" w:ascii="宋体" w:hAnsi="宋体" w:cs="宋体"/>
          <w:b/>
        </w:rPr>
      </w:pPr>
      <w:r>
        <w:rPr>
          <w:rFonts w:hint="eastAsia" w:ascii="宋体" w:hAnsi="宋体" w:cs="宋体"/>
          <w:b/>
        </w:rPr>
        <w:t>（注：如不符合条件可不提供或删除。否则，因此导致虚假投标的后果由供应商自行承担。）</w:t>
      </w:r>
    </w:p>
    <w:bookmarkEnd w:id="624"/>
    <w:p>
      <w:pPr>
        <w:rPr>
          <w:rFonts w:hint="eastAsia" w:ascii="宋体" w:hAnsi="宋体" w:cs="宋体"/>
          <w:sz w:val="24"/>
        </w:rPr>
      </w:pPr>
    </w:p>
    <w:p>
      <w:pPr>
        <w:pStyle w:val="3"/>
        <w:rPr>
          <w:rFonts w:hint="eastAsia" w:ascii="宋体" w:hAnsi="宋体" w:cs="宋体"/>
          <w:b/>
          <w:sz w:val="24"/>
          <w:szCs w:val="24"/>
        </w:rPr>
      </w:pPr>
      <w:bookmarkStart w:id="635" w:name="_Toc27230_WPSOffice_Level1"/>
      <w:bookmarkStart w:id="636" w:name="_Toc11380"/>
      <w:bookmarkStart w:id="637" w:name="_Toc410_WPSOffice_Level2"/>
      <w:bookmarkStart w:id="638" w:name="_Toc22948_WPSOffice_Level1"/>
      <w:bookmarkStart w:id="639" w:name="_Toc12764_WPSOffice_Level1"/>
      <w:r>
        <w:rPr>
          <w:rFonts w:hint="eastAsia" w:ascii="宋体" w:hAnsi="宋体" w:cs="宋体"/>
          <w:b/>
          <w:sz w:val="24"/>
          <w:szCs w:val="24"/>
        </w:rPr>
        <w:br w:type="page"/>
      </w:r>
      <w:bookmarkStart w:id="640" w:name="_Toc24708"/>
    </w:p>
    <w:p>
      <w:pPr>
        <w:pStyle w:val="3"/>
        <w:rPr>
          <w:rFonts w:hint="eastAsia" w:eastAsia="宋体" w:cs="Times New Roman"/>
          <w:b/>
          <w:bCs w:val="0"/>
          <w:lang w:val="en-GB" w:eastAsia="zh-CN"/>
        </w:rPr>
      </w:pPr>
      <w:bookmarkStart w:id="641" w:name="_Toc3518"/>
      <w:bookmarkStart w:id="642" w:name="_Toc6010"/>
      <w:r>
        <w:rPr>
          <w:rFonts w:hint="eastAsia" w:eastAsia="宋体" w:cs="Times New Roman"/>
          <w:b/>
          <w:bCs w:val="0"/>
        </w:rPr>
        <w:t>十</w:t>
      </w:r>
      <w:r>
        <w:rPr>
          <w:rFonts w:hint="eastAsia" w:eastAsia="宋体" w:cs="Times New Roman"/>
          <w:b/>
          <w:bCs w:val="0"/>
          <w:lang w:val="en-US" w:eastAsia="zh-CN"/>
        </w:rPr>
        <w:t>三</w:t>
      </w:r>
      <w:r>
        <w:rPr>
          <w:rFonts w:hint="eastAsia" w:eastAsia="宋体" w:cs="Times New Roman"/>
          <w:b/>
          <w:bCs w:val="0"/>
          <w:lang w:eastAsia="zh-CN"/>
        </w:rPr>
        <w:t>、</w:t>
      </w:r>
      <w:r>
        <w:rPr>
          <w:rFonts w:hint="eastAsia" w:eastAsia="宋体" w:cs="Times New Roman"/>
          <w:b/>
          <w:bCs w:val="0"/>
          <w:lang w:val="en-GB" w:eastAsia="zh-CN"/>
        </w:rPr>
        <w:t>节能产品、环境标志产品明细表</w:t>
      </w:r>
      <w:r>
        <w:rPr>
          <w:rFonts w:hint="eastAsia" w:eastAsia="宋体" w:cs="Times New Roman"/>
          <w:b/>
          <w:bCs w:val="0"/>
          <w:lang w:eastAsia="zh-CN"/>
        </w:rPr>
        <w:t>（如有）</w:t>
      </w:r>
      <w:bookmarkEnd w:id="641"/>
      <w:bookmarkEnd w:id="642"/>
    </w:p>
    <w:p>
      <w:pPr>
        <w:pStyle w:val="12"/>
        <w:ind w:firstLine="0"/>
        <w:jc w:val="center"/>
        <w:rPr>
          <w:rFonts w:hint="eastAsia" w:ascii="宋体" w:hAnsi="宋体"/>
          <w:b/>
          <w:color w:val="auto"/>
          <w:sz w:val="24"/>
          <w:szCs w:val="24"/>
          <w:highlight w:val="none"/>
          <w:lang w:val="en-GB"/>
        </w:rPr>
      </w:pPr>
      <w:r>
        <w:rPr>
          <w:rFonts w:hint="eastAsia" w:ascii="宋体" w:hAnsi="宋体"/>
          <w:b/>
          <w:color w:val="auto"/>
          <w:sz w:val="24"/>
          <w:szCs w:val="24"/>
          <w:highlight w:val="none"/>
          <w:lang w:val="en-GB"/>
        </w:rPr>
        <w:t>节能产品明细表</w:t>
      </w:r>
    </w:p>
    <w:p>
      <w:pPr>
        <w:pStyle w:val="12"/>
        <w:spacing w:line="360" w:lineRule="auto"/>
        <w:ind w:firstLine="0"/>
        <w:rPr>
          <w:rFonts w:hint="eastAsia" w:ascii="宋体" w:hAnsi="宋体" w:cs="宋体"/>
          <w:sz w:val="24"/>
          <w:szCs w:val="24"/>
          <w:highlight w:val="none"/>
          <w:lang w:val="en-GB"/>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节字标志认证证书号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国家节能产品认证证书有效截止日期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rPr>
          <w:rFonts w:hint="eastAsia" w:ascii="宋体" w:hAnsi="宋体"/>
          <w:color w:val="000000"/>
          <w:szCs w:val="21"/>
          <w:highlight w:val="none"/>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tabs>
          <w:tab w:val="left" w:pos="840"/>
        </w:tabs>
        <w:autoSpaceDE w:val="0"/>
        <w:autoSpaceDN w:val="0"/>
        <w:adjustRightInd w:val="0"/>
        <w:spacing w:line="360" w:lineRule="auto"/>
        <w:jc w:val="center"/>
        <w:rPr>
          <w:rFonts w:hint="eastAsia" w:ascii="宋体" w:hAnsi="宋体" w:cs="宋体"/>
          <w:b/>
          <w:szCs w:val="21"/>
          <w:highlight w:val="none"/>
          <w:lang w:val="en-GB"/>
        </w:rPr>
      </w:pPr>
      <w:r>
        <w:rPr>
          <w:rFonts w:hint="eastAsia" w:ascii="宋体" w:hAnsi="宋体"/>
          <w:b/>
          <w:color w:val="000000"/>
          <w:sz w:val="24"/>
          <w:highlight w:val="none"/>
          <w:lang w:val="en-GB"/>
        </w:rPr>
        <w:t>环境标志产品明细表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序号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lang w:eastAsia="zh-CN"/>
              </w:rPr>
              <w:t>设备</w:t>
            </w:r>
            <w:r>
              <w:rPr>
                <w:rFonts w:hint="eastAsia" w:ascii="宋体" w:hAnsi="宋体" w:cs="宋体"/>
                <w:szCs w:val="21"/>
                <w:highlight w:val="none"/>
              </w:rPr>
              <w:t>名称</w:t>
            </w:r>
          </w:p>
        </w:tc>
        <w:tc>
          <w:tcPr>
            <w:tcW w:w="916"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品牌</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型号</w:t>
            </w:r>
          </w:p>
        </w:tc>
        <w:tc>
          <w:tcPr>
            <w:tcW w:w="916"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制造商名称</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中国环境标志认证证书编号</w:t>
            </w:r>
          </w:p>
        </w:tc>
        <w:tc>
          <w:tcPr>
            <w:tcW w:w="917" w:type="dxa"/>
            <w:noWrap w:val="0"/>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认证证书有效</w:t>
            </w:r>
          </w:p>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截止日期</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数量</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单价</w:t>
            </w:r>
          </w:p>
        </w:tc>
        <w:tc>
          <w:tcPr>
            <w:tcW w:w="917" w:type="dxa"/>
            <w:noWrap w:val="0"/>
            <w:vAlign w:val="center"/>
          </w:tcPr>
          <w:p>
            <w:pPr>
              <w:adjustRightInd w:val="0"/>
              <w:snapToGrid w:val="0"/>
              <w:jc w:val="center"/>
              <w:rPr>
                <w:rFonts w:hint="eastAsia" w:ascii="宋体" w:hAnsi="宋体" w:cs="宋体"/>
                <w:b/>
                <w:szCs w:val="21"/>
                <w:highlight w:val="none"/>
                <w:lang w:val="en-GB"/>
              </w:rPr>
            </w:pPr>
            <w:r>
              <w:rPr>
                <w:rFonts w:hint="eastAsia" w:ascii="宋体" w:hAnsi="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6"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c>
          <w:tcPr>
            <w:tcW w:w="917" w:type="dxa"/>
            <w:noWrap w:val="0"/>
            <w:vAlign w:val="top"/>
          </w:tcPr>
          <w:p>
            <w:pPr>
              <w:tabs>
                <w:tab w:val="left" w:pos="840"/>
              </w:tabs>
              <w:autoSpaceDE w:val="0"/>
              <w:autoSpaceDN w:val="0"/>
              <w:adjustRightInd w:val="0"/>
              <w:spacing w:line="360" w:lineRule="auto"/>
              <w:rPr>
                <w:rFonts w:hint="eastAsia" w:ascii="宋体" w:hAnsi="宋体" w:cs="宋体"/>
                <w:b/>
                <w:szCs w:val="21"/>
                <w:highlight w:val="none"/>
                <w:lang w:val="en-GB"/>
              </w:rPr>
            </w:pPr>
          </w:p>
        </w:tc>
      </w:tr>
    </w:tbl>
    <w:p>
      <w:pPr>
        <w:tabs>
          <w:tab w:val="left" w:pos="840"/>
        </w:tabs>
        <w:autoSpaceDE w:val="0"/>
        <w:autoSpaceDN w:val="0"/>
        <w:adjustRightInd w:val="0"/>
        <w:spacing w:line="360" w:lineRule="auto"/>
        <w:rPr>
          <w:rFonts w:hint="eastAsia" w:ascii="宋体" w:hAnsi="宋体" w:cs="宋体"/>
          <w:b/>
          <w:szCs w:val="21"/>
          <w:highlight w:val="none"/>
          <w:lang w:val="en-GB"/>
        </w:rPr>
      </w:pPr>
    </w:p>
    <w:p>
      <w:pPr>
        <w:spacing w:line="480" w:lineRule="exact"/>
        <w:ind w:firstLine="3360" w:firstLineChars="1600"/>
        <w:rPr>
          <w:rFonts w:hint="eastAsia" w:ascii="宋体" w:hAnsi="宋体"/>
          <w:b w:val="0"/>
          <w:bCs/>
          <w:szCs w:val="21"/>
          <w:highlight w:val="none"/>
        </w:rPr>
      </w:pPr>
      <w:r>
        <w:rPr>
          <w:rFonts w:hint="eastAsia" w:ascii="宋体" w:hAnsi="宋体" w:cs="微软雅黑"/>
          <w:kern w:val="0"/>
          <w:sz w:val="21"/>
          <w:szCs w:val="21"/>
          <w:highlight w:val="none"/>
          <w:lang w:eastAsia="zh-CN"/>
        </w:rPr>
        <w:t>投</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标</w:t>
      </w:r>
      <w:r>
        <w:rPr>
          <w:rFonts w:hint="eastAsia" w:ascii="宋体" w:hAnsi="宋体" w:cs="微软雅黑"/>
          <w:kern w:val="0"/>
          <w:sz w:val="21"/>
          <w:szCs w:val="21"/>
          <w:highlight w:val="none"/>
          <w:lang w:val="en-US" w:eastAsia="zh-CN"/>
        </w:rPr>
        <w:t xml:space="preserve"> </w:t>
      </w:r>
      <w:r>
        <w:rPr>
          <w:rFonts w:hint="eastAsia" w:ascii="宋体" w:hAnsi="宋体" w:cs="微软雅黑"/>
          <w:kern w:val="0"/>
          <w:sz w:val="21"/>
          <w:szCs w:val="21"/>
          <w:highlight w:val="none"/>
          <w:lang w:eastAsia="zh-CN"/>
        </w:rPr>
        <w:t>人</w:t>
      </w:r>
      <w:r>
        <w:rPr>
          <w:rFonts w:hint="eastAsia" w:ascii="宋体" w:hAnsi="宋体"/>
          <w:b w:val="0"/>
          <w:bCs/>
          <w:szCs w:val="21"/>
          <w:highlight w:val="none"/>
        </w:rPr>
        <w:t>：</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b w:val="0"/>
          <w:bCs/>
          <w:szCs w:val="21"/>
          <w:highlight w:val="none"/>
          <w:lang w:eastAsia="zh-CN"/>
        </w:rPr>
        <w:t>盖章</w:t>
      </w:r>
      <w:r>
        <w:rPr>
          <w:rFonts w:hint="eastAsia" w:ascii="宋体" w:hAnsi="宋体"/>
          <w:b w:val="0"/>
          <w:bCs/>
          <w:szCs w:val="21"/>
          <w:highlight w:val="none"/>
        </w:rPr>
        <w:t>）</w:t>
      </w:r>
    </w:p>
    <w:p>
      <w:pPr>
        <w:spacing w:line="480" w:lineRule="exact"/>
        <w:ind w:firstLine="3360" w:firstLineChars="1600"/>
        <w:rPr>
          <w:rFonts w:hint="eastAsia" w:ascii="宋体" w:hAnsi="宋体"/>
          <w:b w:val="0"/>
          <w:bCs/>
          <w:szCs w:val="21"/>
          <w:highlight w:val="none"/>
        </w:rPr>
      </w:pPr>
      <w:r>
        <w:rPr>
          <w:rFonts w:hint="eastAsia" w:ascii="宋体" w:hAnsi="宋体"/>
          <w:b w:val="0"/>
          <w:bCs/>
          <w:szCs w:val="21"/>
          <w:highlight w:val="none"/>
        </w:rPr>
        <w:t>法定代表人或其委托代理人：</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rPr>
        <w:t>（</w:t>
      </w:r>
      <w:r>
        <w:rPr>
          <w:rFonts w:hint="eastAsia" w:ascii="宋体" w:hAnsi="宋体"/>
          <w:color w:val="000000"/>
          <w:szCs w:val="21"/>
          <w:highlight w:val="none"/>
        </w:rPr>
        <w:t>签字或盖章</w:t>
      </w:r>
      <w:r>
        <w:rPr>
          <w:rFonts w:hint="eastAsia" w:ascii="宋体" w:hAnsi="宋体"/>
          <w:b w:val="0"/>
          <w:bCs/>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4620" w:firstLineChars="2200"/>
        <w:jc w:val="left"/>
        <w:textAlignment w:val="auto"/>
        <w:outlineLvl w:val="9"/>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spacing w:val="43"/>
          <w:kern w:val="0"/>
          <w:sz w:val="21"/>
          <w:szCs w:val="21"/>
          <w:highlight w:val="none"/>
          <w:u w:val="single"/>
        </w:rPr>
        <w:t xml:space="preserve"> </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rPr>
        <w:t>日</w:t>
      </w:r>
    </w:p>
    <w:p>
      <w:pPr>
        <w:pStyle w:val="122"/>
        <w:spacing w:line="360" w:lineRule="auto"/>
        <w:ind w:left="718" w:hanging="718" w:hangingChars="342"/>
        <w:rPr>
          <w:rFonts w:hint="eastAsia" w:ascii="宋体" w:hAnsi="宋体" w:cs="宋体"/>
          <w:szCs w:val="21"/>
          <w:highlight w:val="none"/>
          <w:lang w:val="en-GB"/>
        </w:rPr>
      </w:pPr>
    </w:p>
    <w:p>
      <w:pPr>
        <w:pStyle w:val="122"/>
        <w:spacing w:line="360" w:lineRule="auto"/>
        <w:ind w:left="718" w:hanging="718" w:hangingChars="342"/>
        <w:rPr>
          <w:rFonts w:hint="eastAsia" w:ascii="宋体" w:hAnsi="宋体" w:cs="宋体"/>
          <w:szCs w:val="21"/>
          <w:highlight w:val="none"/>
          <w:lang w:val="en-GB"/>
        </w:rPr>
      </w:pPr>
      <w:r>
        <w:rPr>
          <w:rFonts w:hint="eastAsia" w:ascii="宋体" w:hAnsi="宋体" w:cs="宋体"/>
          <w:szCs w:val="21"/>
          <w:highlight w:val="none"/>
          <w:lang w:val="en-GB"/>
        </w:rPr>
        <w:t>填报要求：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本表的</w:t>
      </w:r>
      <w:r>
        <w:rPr>
          <w:rFonts w:hint="eastAsia" w:ascii="宋体" w:hAnsi="宋体" w:cs="宋体"/>
          <w:szCs w:val="21"/>
          <w:highlight w:val="none"/>
          <w:lang w:eastAsia="zh-CN"/>
        </w:rPr>
        <w:t>设备</w:t>
      </w:r>
      <w:r>
        <w:rPr>
          <w:rFonts w:hint="eastAsia" w:ascii="宋体" w:hAnsi="宋体" w:cs="宋体"/>
          <w:szCs w:val="21"/>
          <w:highlight w:val="none"/>
        </w:rPr>
        <w:t>名称、</w:t>
      </w:r>
      <w:r>
        <w:rPr>
          <w:rFonts w:hint="eastAsia" w:ascii="宋体" w:hAnsi="宋体" w:cs="宋体"/>
          <w:szCs w:val="21"/>
          <w:highlight w:val="none"/>
          <w:lang w:eastAsia="zh-CN"/>
        </w:rPr>
        <w:t>品牌</w:t>
      </w:r>
      <w:r>
        <w:rPr>
          <w:rFonts w:hint="eastAsia" w:ascii="宋体" w:hAnsi="宋体" w:cs="宋体"/>
          <w:szCs w:val="21"/>
          <w:highlight w:val="none"/>
        </w:rPr>
        <w:t>型号、金额应与</w:t>
      </w:r>
      <w:r>
        <w:rPr>
          <w:rFonts w:hint="eastAsia" w:ascii="宋体" w:hAnsi="宋体" w:cs="宋体"/>
          <w:bCs/>
          <w:szCs w:val="21"/>
          <w:highlight w:val="none"/>
        </w:rPr>
        <w:t>货物分项报价一览表</w:t>
      </w:r>
      <w:r>
        <w:rPr>
          <w:rFonts w:hint="eastAsia" w:ascii="宋体" w:hAnsi="宋体" w:cs="宋体"/>
          <w:szCs w:val="21"/>
          <w:highlight w:val="none"/>
        </w:rPr>
        <w:t>一致。</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 节能产品是指财政部和国家发展改革委员会公布的《节能产品政府采购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w:t>
      </w:r>
      <w:r>
        <w:rPr>
          <w:rFonts w:hint="eastAsia" w:ascii="宋体" w:hAnsi="宋体" w:cs="宋体"/>
          <w:b/>
          <w:szCs w:val="21"/>
          <w:highlight w:val="none"/>
        </w:rPr>
        <w:t>国家确定的认证机构出具的、处于有效期之内的《国家节能产品认证证书》复印件，否则评标委员会有权不予认可。</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 环境标志产品是指财政部、环境保护部发布的《环境标志产品政府采购</w:t>
      </w:r>
      <w:r>
        <w:rPr>
          <w:rFonts w:hint="eastAsia" w:ascii="宋体" w:hAnsi="宋体" w:cs="宋体"/>
          <w:szCs w:val="21"/>
          <w:highlight w:val="none"/>
          <w:lang w:eastAsia="zh-CN"/>
        </w:rPr>
        <w:t>品目</w:t>
      </w:r>
      <w:r>
        <w:rPr>
          <w:rFonts w:hint="eastAsia" w:ascii="宋体" w:hAnsi="宋体" w:cs="宋体"/>
          <w:szCs w:val="21"/>
          <w:highlight w:val="none"/>
        </w:rPr>
        <w:t>清单》中的产品</w:t>
      </w:r>
      <w:r>
        <w:rPr>
          <w:rFonts w:hint="eastAsia" w:ascii="宋体" w:hAnsi="宋体" w:cs="宋体"/>
          <w:szCs w:val="21"/>
          <w:highlight w:val="none"/>
          <w:lang w:eastAsia="zh-CN"/>
        </w:rPr>
        <w:t>，</w:t>
      </w:r>
      <w:r>
        <w:rPr>
          <w:rFonts w:hint="eastAsia" w:ascii="宋体" w:hAnsi="宋体" w:cs="宋体"/>
          <w:szCs w:val="21"/>
          <w:highlight w:val="none"/>
        </w:rPr>
        <w:t>可在中华人民共和国财政部网站（http://www.mof.gov.cn）、中国政府采购网（http://www.ccgp.gov.cn/）查阅。</w:t>
      </w:r>
      <w:r>
        <w:rPr>
          <w:rFonts w:hint="eastAsia" w:ascii="宋体" w:hAnsi="宋体" w:cs="宋体"/>
          <w:b/>
          <w:szCs w:val="21"/>
          <w:highlight w:val="none"/>
        </w:rPr>
        <w:t>投标人须在投标文件中附该产品</w:t>
      </w:r>
      <w:r>
        <w:rPr>
          <w:rFonts w:hint="eastAsia" w:ascii="宋体" w:hAnsi="宋体" w:cs="宋体"/>
          <w:b/>
          <w:szCs w:val="21"/>
          <w:highlight w:val="none"/>
          <w:lang w:eastAsia="zh-CN"/>
        </w:rPr>
        <w:t>经国家确定的认证机构出具的、处于有效期之内的《中国环境标志产品认证证书》复印件</w:t>
      </w:r>
      <w:r>
        <w:rPr>
          <w:rFonts w:hint="eastAsia" w:ascii="宋体" w:hAnsi="宋体" w:cs="宋体"/>
          <w:b/>
          <w:szCs w:val="21"/>
          <w:highlight w:val="none"/>
        </w:rPr>
        <w:t>，否则评委委员会有权不予认可。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 请投标人正确填写本表，所填内容将作为评审的依据。其内容或数据应与对应的证明资料相符。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 没有相关产品可不提供本表。</w:t>
      </w:r>
    </w:p>
    <w:p>
      <w:pPr>
        <w:rPr>
          <w:rFonts w:hint="eastAsia"/>
          <w:highlight w:val="none"/>
        </w:rPr>
      </w:pPr>
    </w:p>
    <w:p>
      <w:pPr>
        <w:pStyle w:val="3"/>
        <w:rPr>
          <w:rFonts w:hint="eastAsia" w:ascii="宋体" w:hAnsi="宋体" w:cs="宋体"/>
          <w:b/>
          <w:sz w:val="24"/>
          <w:szCs w:val="24"/>
        </w:rPr>
      </w:pPr>
      <w:r>
        <w:rPr>
          <w:rFonts w:hint="eastAsia" w:ascii="宋体" w:hAnsi="宋体" w:cs="宋体"/>
          <w:b/>
          <w:sz w:val="24"/>
          <w:szCs w:val="24"/>
        </w:rPr>
        <w:br w:type="page"/>
      </w:r>
    </w:p>
    <w:p>
      <w:pPr>
        <w:pStyle w:val="3"/>
        <w:rPr>
          <w:rFonts w:hint="eastAsia"/>
        </w:rPr>
      </w:pPr>
      <w:bookmarkStart w:id="643" w:name="_Toc27108"/>
      <w:r>
        <w:rPr>
          <w:rFonts w:hint="eastAsia"/>
          <w:b/>
          <w:bCs w:val="0"/>
        </w:rPr>
        <w:t>十</w:t>
      </w:r>
      <w:r>
        <w:rPr>
          <w:rFonts w:hint="eastAsia"/>
          <w:b/>
          <w:bCs w:val="0"/>
          <w:lang w:val="en-US" w:eastAsia="zh-CN"/>
        </w:rPr>
        <w:t>四</w:t>
      </w:r>
      <w:r>
        <w:rPr>
          <w:rFonts w:hint="eastAsia"/>
          <w:b/>
          <w:bCs w:val="0"/>
        </w:rPr>
        <w:t>、</w:t>
      </w:r>
      <w:bookmarkEnd w:id="635"/>
      <w:bookmarkEnd w:id="636"/>
      <w:bookmarkEnd w:id="637"/>
      <w:bookmarkEnd w:id="638"/>
      <w:bookmarkEnd w:id="639"/>
      <w:r>
        <w:rPr>
          <w:rFonts w:hint="eastAsia"/>
          <w:b/>
          <w:bCs w:val="0"/>
        </w:rPr>
        <w:t>供应商认为需要提供的其他材料</w:t>
      </w:r>
      <w:bookmarkEnd w:id="640"/>
      <w:bookmarkEnd w:id="643"/>
    </w:p>
    <w:p>
      <w:pPr>
        <w:spacing w:before="64" w:line="609" w:lineRule="auto"/>
        <w:ind w:right="-94"/>
        <w:jc w:val="center"/>
        <w:rPr>
          <w:rFonts w:hint="eastAsia" w:ascii="宋体" w:hAnsi="宋体" w:cs="宋体"/>
          <w:b/>
          <w:bCs/>
          <w:szCs w:val="21"/>
        </w:rPr>
      </w:pPr>
      <w:r>
        <w:rPr>
          <w:rFonts w:hint="eastAsia" w:ascii="宋体" w:hAnsi="宋体" w:cs="宋体"/>
          <w:b/>
          <w:bCs/>
          <w:szCs w:val="21"/>
        </w:rPr>
        <w:t>招标文件要求提供的其他证明文件或供应商认为有必要提供的其他证明材料。</w:t>
      </w:r>
    </w:p>
    <w:p>
      <w:pPr>
        <w:widowControl/>
        <w:spacing w:line="360" w:lineRule="auto"/>
        <w:rPr>
          <w:rFonts w:hint="eastAsia" w:ascii="宋体" w:hAnsi="宋体" w:cs="宋体"/>
          <w:b/>
        </w:rPr>
      </w:pPr>
    </w:p>
    <w:p>
      <w:pPr>
        <w:rPr>
          <w:rFonts w:hint="eastAsia" w:ascii="宋体" w:hAnsi="宋体" w:cs="宋体"/>
        </w:rPr>
      </w:pPr>
    </w:p>
    <w:p>
      <w:pPr>
        <w:rPr>
          <w:rFonts w:hint="eastAsia" w:ascii="宋体" w:hAnsi="宋体" w:cs="宋体"/>
        </w:rPr>
      </w:pPr>
    </w:p>
    <w:p>
      <w:pPr>
        <w:rPr>
          <w:rFonts w:hint="eastAsia" w:ascii="宋体" w:hAnsi="宋体" w:cs="宋体"/>
        </w:rPr>
      </w:pPr>
    </w:p>
    <w:p/>
    <w:sectPr>
      <w:footerReference r:id="rId12" w:type="default"/>
      <w:pgSz w:w="11906" w:h="16838"/>
      <w:pgMar w:top="1440" w:right="1266" w:bottom="1440" w:left="16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799"/>
        <w:tab w:val="clear" w:pos="4153"/>
      </w:tabs>
      <w:rPr>
        <w:sz w:val="24"/>
        <w:szCs w:val="24"/>
      </w:rPr>
    </w:pPr>
    <w:r>
      <w:rPr>
        <w:rFonts w:hint="eastAsia" w:ascii="宋体" w:hAnsi="宋体" w:cs="宋体"/>
        <w:b/>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宋体"/>
        <w:lang w:eastAsia="zh-CN"/>
      </w:rPr>
    </w:pPr>
    <w:r>
      <w:rPr>
        <w:rFonts w:hint="eastAsia"/>
        <w:lang w:eastAsia="zh-CN"/>
      </w:rPr>
      <w:t>睿群工程咨询有限公司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955" cy="131445"/>
              <wp:effectExtent l="0" t="0" r="0" b="0"/>
              <wp:wrapNone/>
              <wp:docPr id="2" name="文本框 16"/>
              <wp:cNvGraphicFramePr/>
              <a:graphic xmlns:a="http://schemas.openxmlformats.org/drawingml/2006/main">
                <a:graphicData uri="http://schemas.microsoft.com/office/word/2010/wordprocessingShape">
                  <wps:wsp>
                    <wps:cNvSpPr txBox="1"/>
                    <wps:spPr>
                      <a:xfrm>
                        <a:off x="0" y="0"/>
                        <a:ext cx="274955" cy="131445"/>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square" lIns="0" tIns="0" rIns="0" bIns="0" upright="0">
                      <a:spAutoFit/>
                    </wps:bodyPr>
                  </wps:wsp>
                </a:graphicData>
              </a:graphic>
            </wp:anchor>
          </w:drawing>
        </mc:Choice>
        <mc:Fallback>
          <w:pict>
            <v:shape id="文本框 16" o:spid="_x0000_s1026" o:spt="202" type="#_x0000_t202" style="position:absolute;left:0pt;margin-top:0pt;height:10.35pt;width:21.65pt;mso-position-horizontal:center;mso-position-horizontal-relative:margin;z-index:251659264;mso-width-relative:page;mso-height-relative:page;" filled="f" stroked="f" coordsize="21600,21600" o:gfxdata="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EAI49IAAAADAQAADwAAAAAAAAABACAAAAAiAAAAZHJz&#10;L2Rvd25yZXYueG1sUEsBAhQAFAAAAAgAh07iQPAnOVnRAQAAmgMAAA4AAAAAAAAAAQAgAAAAIQEA&#10;AGRycy9lMm9Eb2MueG1sUEsFBgAAAAAGAAYAWQEAAGQ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Style w:val="47"/>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rFonts w:hint="eastAsia"/>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rFonts w:hint="eastAsia"/>
      </w:rPr>
    </w:pPr>
    <w:r>
      <w:rPr>
        <w:rFonts w:hint="eastAsia"/>
        <w:sz w:val="20"/>
        <w:szCs w:val="20"/>
      </w:rPr>
      <w:t>知识产权宣教中心多媒体内容制作项目（专业版）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pPr>
    <w:r>
      <w:rPr>
        <w:rFonts w:hint="eastAsia" w:ascii="宋体" w:hAnsi="宋体" w:cs="宋体"/>
        <w:bCs/>
        <w:kern w:val="0"/>
        <w:sz w:val="18"/>
        <w:szCs w:val="18"/>
        <w:lang w:eastAsia="zh-CN"/>
      </w:rPr>
      <w:t xml:space="preserve">荥阳市教育局2022年义务教育薄弱环节改善与能力提升设施设备购置项目 </w:t>
    </w:r>
    <w:r>
      <w:rPr>
        <w:rFonts w:hint="eastAsia"/>
        <w:sz w:val="20"/>
        <w:szCs w:val="20"/>
      </w:rPr>
      <w:t xml:space="preserve">              </w:t>
    </w:r>
    <w:r>
      <w:rPr>
        <w:rFonts w:hint="eastAsia"/>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right"/>
      <w:rPr>
        <w:rFonts w:hint="eastAsia"/>
        <w:color w:val="000000"/>
        <w:sz w:val="18"/>
        <w:szCs w:val="18"/>
      </w:rPr>
    </w:pPr>
  </w:p>
  <w:p>
    <w:pPr>
      <w:pBdr>
        <w:bottom w:val="single" w:color="auto" w:sz="4" w:space="1"/>
      </w:pBdr>
      <w:jc w:val="left"/>
      <w:rPr>
        <w:color w:val="000000"/>
      </w:rPr>
    </w:pPr>
    <w:r>
      <w:rPr>
        <w:rFonts w:hint="eastAsia" w:ascii="宋体" w:hAnsi="宋体" w:cs="宋体"/>
        <w:bCs/>
        <w:kern w:val="0"/>
        <w:sz w:val="18"/>
        <w:szCs w:val="18"/>
        <w:lang w:eastAsia="zh-CN"/>
      </w:rPr>
      <w:t>荥阳市教育局2022年义务教育薄弱环节改善与能力提升设施设备购置项目</w:t>
    </w:r>
    <w:r>
      <w:rPr>
        <w:rFonts w:hint="eastAsia" w:ascii="宋体" w:hAnsi="宋体" w:cs="宋体"/>
        <w:bCs/>
        <w:kern w:val="0"/>
        <w:sz w:val="18"/>
        <w:szCs w:val="18"/>
        <w:lang w:val="en-US" w:eastAsia="zh-CN"/>
      </w:rPr>
      <w:t xml:space="preserve">  </w:t>
    </w:r>
    <w:r>
      <w:rPr>
        <w:rFonts w:hint="eastAsia" w:ascii="宋体" w:hAnsi="宋体" w:cs="宋体"/>
        <w:bCs/>
        <w:kern w:val="0"/>
        <w:sz w:val="20"/>
        <w:szCs w:val="20"/>
        <w:lang w:val="en-US" w:eastAsia="zh-CN"/>
      </w:rPr>
      <w:t xml:space="preserve">                 </w:t>
    </w:r>
    <w:r>
      <w:rPr>
        <w:rFonts w:hint="eastAsia"/>
        <w:color w:val="000000"/>
        <w:sz w:val="18"/>
        <w:szCs w:val="18"/>
        <w:lang w:val="en-US" w:eastAsia="zh-CN"/>
      </w:rPr>
      <w:t xml:space="preserve">  </w:t>
    </w:r>
    <w:r>
      <w:rPr>
        <w:rFonts w:hint="eastAsia"/>
        <w:color w:val="00000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4B082D9"/>
    <w:multiLevelType w:val="singleLevel"/>
    <w:tmpl w:val="94B082D9"/>
    <w:lvl w:ilvl="0" w:tentative="0">
      <w:start w:val="1"/>
      <w:numFmt w:val="chineseCounting"/>
      <w:suff w:val="nothing"/>
      <w:lvlText w:val="%1、"/>
      <w:lvlJc w:val="left"/>
      <w:pPr>
        <w:ind w:left="-93"/>
      </w:pPr>
      <w:rPr>
        <w:rFonts w:hint="eastAsia"/>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7B8B997"/>
    <w:multiLevelType w:val="singleLevel"/>
    <w:tmpl w:val="A7B8B997"/>
    <w:lvl w:ilvl="0" w:tentative="0">
      <w:start w:val="1"/>
      <w:numFmt w:val="decimal"/>
      <w:suff w:val="nothing"/>
      <w:lvlText w:val="%1、"/>
      <w:lvlJc w:val="left"/>
    </w:lvl>
  </w:abstractNum>
  <w:abstractNum w:abstractNumId="6">
    <w:nsid w:val="AF4B525F"/>
    <w:multiLevelType w:val="singleLevel"/>
    <w:tmpl w:val="AF4B525F"/>
    <w:lvl w:ilvl="0" w:tentative="0">
      <w:start w:val="1"/>
      <w:numFmt w:val="decimal"/>
      <w:lvlText w:val="(%1)"/>
      <w:lvlJc w:val="left"/>
      <w:pPr>
        <w:ind w:left="425" w:hanging="425"/>
      </w:pPr>
      <w:rPr>
        <w:rFonts w:hint="default"/>
      </w:rPr>
    </w:lvl>
  </w:abstractNum>
  <w:abstractNum w:abstractNumId="7">
    <w:nsid w:val="C14B5515"/>
    <w:multiLevelType w:val="singleLevel"/>
    <w:tmpl w:val="C14B5515"/>
    <w:lvl w:ilvl="0" w:tentative="0">
      <w:start w:val="2"/>
      <w:numFmt w:val="decimal"/>
      <w:lvlText w:val="%1."/>
      <w:lvlJc w:val="left"/>
      <w:pPr>
        <w:tabs>
          <w:tab w:val="left" w:pos="312"/>
        </w:tabs>
      </w:pPr>
    </w:lvl>
  </w:abstractNum>
  <w:abstractNum w:abstractNumId="8">
    <w:nsid w:val="CD806B66"/>
    <w:multiLevelType w:val="singleLevel"/>
    <w:tmpl w:val="CD806B66"/>
    <w:lvl w:ilvl="0" w:tentative="0">
      <w:start w:val="1"/>
      <w:numFmt w:val="decimal"/>
      <w:lvlText w:val="(%1)"/>
      <w:lvlJc w:val="left"/>
      <w:pPr>
        <w:ind w:left="425" w:hanging="425"/>
      </w:pPr>
      <w:rPr>
        <w:rFonts w:hint="default"/>
      </w:rPr>
    </w:lvl>
  </w:abstractNum>
  <w:abstractNum w:abstractNumId="9">
    <w:nsid w:val="D7F52C59"/>
    <w:multiLevelType w:val="singleLevel"/>
    <w:tmpl w:val="D7F52C59"/>
    <w:lvl w:ilvl="0" w:tentative="0">
      <w:start w:val="1"/>
      <w:numFmt w:val="decimal"/>
      <w:lvlText w:val="(%1)"/>
      <w:lvlJc w:val="left"/>
      <w:pPr>
        <w:ind w:left="425" w:hanging="425"/>
      </w:pPr>
      <w:rPr>
        <w:rFonts w:hint="default"/>
      </w:rPr>
    </w:lvl>
  </w:abstractNum>
  <w:abstractNum w:abstractNumId="10">
    <w:nsid w:val="E97F08C8"/>
    <w:multiLevelType w:val="singleLevel"/>
    <w:tmpl w:val="E97F08C8"/>
    <w:lvl w:ilvl="0" w:tentative="0">
      <w:start w:val="1"/>
      <w:numFmt w:val="decimal"/>
      <w:suff w:val="space"/>
      <w:lvlText w:val="(%1)"/>
      <w:lvlJc w:val="left"/>
    </w:lvl>
  </w:abstractNum>
  <w:abstractNum w:abstractNumId="11">
    <w:nsid w:val="E986965A"/>
    <w:multiLevelType w:val="singleLevel"/>
    <w:tmpl w:val="E986965A"/>
    <w:lvl w:ilvl="0" w:tentative="0">
      <w:start w:val="5"/>
      <w:numFmt w:val="chineseCounting"/>
      <w:suff w:val="space"/>
      <w:lvlText w:val="第%1章"/>
      <w:lvlJc w:val="left"/>
      <w:rPr>
        <w:rFonts w:hint="eastAsia"/>
      </w:rPr>
    </w:lvl>
  </w:abstractNum>
  <w:abstractNum w:abstractNumId="12">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3">
    <w:nsid w:val="1A1D00D7"/>
    <w:multiLevelType w:val="multilevel"/>
    <w:tmpl w:val="1A1D00D7"/>
    <w:lvl w:ilvl="0" w:tentative="0">
      <w:start w:val="1"/>
      <w:numFmt w:val="decimal"/>
      <w:lvlText w:val="%1、"/>
      <w:lvlJc w:val="left"/>
      <w:pPr>
        <w:tabs>
          <w:tab w:val="left" w:pos="840"/>
        </w:tabs>
        <w:ind w:left="840" w:hanging="360"/>
      </w:pPr>
      <w:rPr>
        <w:rFonts w:hint="default"/>
        <w:color w:val="00000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20965E80"/>
    <w:multiLevelType w:val="singleLevel"/>
    <w:tmpl w:val="20965E80"/>
    <w:lvl w:ilvl="0" w:tentative="0">
      <w:start w:val="1"/>
      <w:numFmt w:val="decimal"/>
      <w:lvlText w:val="%1."/>
      <w:lvlJc w:val="left"/>
      <w:pPr>
        <w:tabs>
          <w:tab w:val="left" w:pos="312"/>
        </w:tabs>
      </w:pPr>
    </w:lvl>
  </w:abstractNum>
  <w:abstractNum w:abstractNumId="15">
    <w:nsid w:val="2D6A2507"/>
    <w:multiLevelType w:val="singleLevel"/>
    <w:tmpl w:val="2D6A2507"/>
    <w:lvl w:ilvl="0" w:tentative="0">
      <w:start w:val="1"/>
      <w:numFmt w:val="decimal"/>
      <w:lvlText w:val="(%1)"/>
      <w:lvlJc w:val="left"/>
      <w:pPr>
        <w:ind w:left="425" w:hanging="425"/>
      </w:pPr>
      <w:rPr>
        <w:rFonts w:hint="default"/>
      </w:rPr>
    </w:lvl>
  </w:abstractNum>
  <w:abstractNum w:abstractNumId="16">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7">
    <w:nsid w:val="52E129BB"/>
    <w:multiLevelType w:val="singleLevel"/>
    <w:tmpl w:val="52E129BB"/>
    <w:lvl w:ilvl="0" w:tentative="0">
      <w:start w:val="1"/>
      <w:numFmt w:val="decimal"/>
      <w:lvlText w:val="(%1)"/>
      <w:lvlJc w:val="left"/>
      <w:pPr>
        <w:ind w:left="425" w:hanging="425"/>
      </w:pPr>
      <w:rPr>
        <w:rFonts w:hint="default"/>
      </w:rPr>
    </w:lvl>
  </w:abstractNum>
  <w:abstractNum w:abstractNumId="18">
    <w:nsid w:val="54A48C29"/>
    <w:multiLevelType w:val="singleLevel"/>
    <w:tmpl w:val="54A48C29"/>
    <w:lvl w:ilvl="0" w:tentative="0">
      <w:start w:val="1"/>
      <w:numFmt w:val="decimal"/>
      <w:lvlText w:val="(%1)"/>
      <w:lvlJc w:val="left"/>
      <w:pPr>
        <w:ind w:left="425" w:hanging="425"/>
      </w:pPr>
      <w:rPr>
        <w:rFonts w:hint="default"/>
      </w:rPr>
    </w:lvl>
  </w:abstractNum>
  <w:abstractNum w:abstractNumId="19">
    <w:nsid w:val="6A3DEC23"/>
    <w:multiLevelType w:val="singleLevel"/>
    <w:tmpl w:val="6A3DEC23"/>
    <w:lvl w:ilvl="0" w:tentative="0">
      <w:start w:val="1"/>
      <w:numFmt w:val="decimal"/>
      <w:lvlText w:val="(%1)"/>
      <w:lvlJc w:val="left"/>
      <w:pPr>
        <w:ind w:left="425" w:hanging="425"/>
      </w:pPr>
      <w:rPr>
        <w:rFonts w:hint="default"/>
      </w:rPr>
    </w:lvl>
  </w:abstractNum>
  <w:abstractNum w:abstractNumId="20">
    <w:nsid w:val="6BDA4796"/>
    <w:multiLevelType w:val="singleLevel"/>
    <w:tmpl w:val="6BDA4796"/>
    <w:lvl w:ilvl="0" w:tentative="0">
      <w:start w:val="1"/>
      <w:numFmt w:val="decimal"/>
      <w:lvlText w:val="(%1)"/>
      <w:lvlJc w:val="left"/>
      <w:pPr>
        <w:ind w:left="425" w:hanging="425"/>
      </w:pPr>
      <w:rPr>
        <w:rFonts w:hint="default"/>
      </w:rPr>
    </w:lvl>
  </w:abstractNum>
  <w:abstractNum w:abstractNumId="21">
    <w:nsid w:val="744ACFF8"/>
    <w:multiLevelType w:val="singleLevel"/>
    <w:tmpl w:val="744ACFF8"/>
    <w:lvl w:ilvl="0" w:tentative="0">
      <w:start w:val="1"/>
      <w:numFmt w:val="decimal"/>
      <w:suff w:val="space"/>
      <w:lvlText w:val="%1."/>
      <w:lvlJc w:val="left"/>
    </w:lvl>
  </w:abstractNum>
  <w:abstractNum w:abstractNumId="22">
    <w:nsid w:val="75BB5789"/>
    <w:multiLevelType w:val="singleLevel"/>
    <w:tmpl w:val="75BB5789"/>
    <w:lvl w:ilvl="0" w:tentative="0">
      <w:start w:val="1"/>
      <w:numFmt w:val="decimal"/>
      <w:lvlText w:val="(%1)"/>
      <w:lvlJc w:val="left"/>
      <w:pPr>
        <w:ind w:left="425" w:hanging="425"/>
      </w:pPr>
      <w:rPr>
        <w:rFonts w:hint="default"/>
      </w:rPr>
    </w:lvl>
  </w:abstractNum>
  <w:abstractNum w:abstractNumId="23">
    <w:nsid w:val="7755585C"/>
    <w:multiLevelType w:val="multilevel"/>
    <w:tmpl w:val="7755585C"/>
    <w:lvl w:ilvl="0" w:tentative="0">
      <w:start w:val="1"/>
      <w:numFmt w:val="bullet"/>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77A3072A"/>
    <w:multiLevelType w:val="singleLevel"/>
    <w:tmpl w:val="77A3072A"/>
    <w:lvl w:ilvl="0" w:tentative="0">
      <w:start w:val="1"/>
      <w:numFmt w:val="decimal"/>
      <w:lvlText w:val="(%1)"/>
      <w:lvlJc w:val="left"/>
      <w:pPr>
        <w:ind w:left="425" w:hanging="425"/>
      </w:pPr>
      <w:rPr>
        <w:rFonts w:hint="default"/>
      </w:rPr>
    </w:lvl>
  </w:abstractNum>
  <w:abstractNum w:abstractNumId="25">
    <w:nsid w:val="7D82545E"/>
    <w:multiLevelType w:val="singleLevel"/>
    <w:tmpl w:val="7D82545E"/>
    <w:lvl w:ilvl="0" w:tentative="0">
      <w:start w:val="1"/>
      <w:numFmt w:val="decimal"/>
      <w:lvlText w:val="(%1)"/>
      <w:lvlJc w:val="left"/>
      <w:pPr>
        <w:ind w:left="425" w:hanging="425"/>
      </w:pPr>
      <w:rPr>
        <w:rFonts w:hint="default"/>
      </w:rPr>
    </w:lvl>
  </w:abstractNum>
  <w:num w:numId="1">
    <w:abstractNumId w:val="12"/>
  </w:num>
  <w:num w:numId="2">
    <w:abstractNumId w:val="5"/>
  </w:num>
  <w:num w:numId="3">
    <w:abstractNumId w:val="4"/>
  </w:num>
  <w:num w:numId="4">
    <w:abstractNumId w:val="3"/>
  </w:num>
  <w:num w:numId="5">
    <w:abstractNumId w:val="18"/>
  </w:num>
  <w:num w:numId="6">
    <w:abstractNumId w:val="19"/>
  </w:num>
  <w:num w:numId="7">
    <w:abstractNumId w:val="22"/>
  </w:num>
  <w:num w:numId="8">
    <w:abstractNumId w:val="16"/>
  </w:num>
  <w:num w:numId="9">
    <w:abstractNumId w:val="20"/>
  </w:num>
  <w:num w:numId="10">
    <w:abstractNumId w:val="6"/>
  </w:num>
  <w:num w:numId="11">
    <w:abstractNumId w:val="17"/>
  </w:num>
  <w:num w:numId="12">
    <w:abstractNumId w:val="0"/>
  </w:num>
  <w:num w:numId="13">
    <w:abstractNumId w:val="9"/>
  </w:num>
  <w:num w:numId="14">
    <w:abstractNumId w:val="25"/>
  </w:num>
  <w:num w:numId="15">
    <w:abstractNumId w:val="7"/>
  </w:num>
  <w:num w:numId="16">
    <w:abstractNumId w:val="21"/>
  </w:num>
  <w:num w:numId="17">
    <w:abstractNumId w:val="23"/>
  </w:num>
  <w:num w:numId="18">
    <w:abstractNumId w:val="15"/>
  </w:num>
  <w:num w:numId="19">
    <w:abstractNumId w:val="8"/>
  </w:num>
  <w:num w:numId="20">
    <w:abstractNumId w:val="24"/>
  </w:num>
  <w:num w:numId="21">
    <w:abstractNumId w:val="1"/>
  </w:num>
  <w:num w:numId="22">
    <w:abstractNumId w:val="13"/>
  </w:num>
  <w:num w:numId="23">
    <w:abstractNumId w:val="11"/>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2IzNzNmOWFlNDY5ODJhOWI4NDNhMGZjYTY4MjYifQ=="/>
  </w:docVars>
  <w:rsids>
    <w:rsidRoot w:val="00172A27"/>
    <w:rsid w:val="00002F8F"/>
    <w:rsid w:val="00006214"/>
    <w:rsid w:val="00021875"/>
    <w:rsid w:val="00026597"/>
    <w:rsid w:val="00026ED3"/>
    <w:rsid w:val="0002783A"/>
    <w:rsid w:val="00041677"/>
    <w:rsid w:val="000608BD"/>
    <w:rsid w:val="00064EA2"/>
    <w:rsid w:val="000679DE"/>
    <w:rsid w:val="00067DE0"/>
    <w:rsid w:val="0008651F"/>
    <w:rsid w:val="0009297E"/>
    <w:rsid w:val="00093C44"/>
    <w:rsid w:val="000A4695"/>
    <w:rsid w:val="000A5389"/>
    <w:rsid w:val="000E0FC9"/>
    <w:rsid w:val="000E1A9B"/>
    <w:rsid w:val="000E1B11"/>
    <w:rsid w:val="00101130"/>
    <w:rsid w:val="00107994"/>
    <w:rsid w:val="00111E61"/>
    <w:rsid w:val="00116D5F"/>
    <w:rsid w:val="001225AE"/>
    <w:rsid w:val="00144689"/>
    <w:rsid w:val="00164FD0"/>
    <w:rsid w:val="00171D8F"/>
    <w:rsid w:val="0019085A"/>
    <w:rsid w:val="001B27E2"/>
    <w:rsid w:val="001D422D"/>
    <w:rsid w:val="001E2CA9"/>
    <w:rsid w:val="001F134C"/>
    <w:rsid w:val="0020553E"/>
    <w:rsid w:val="00205AC8"/>
    <w:rsid w:val="00207F82"/>
    <w:rsid w:val="002345A4"/>
    <w:rsid w:val="002760EA"/>
    <w:rsid w:val="00283360"/>
    <w:rsid w:val="002A56C1"/>
    <w:rsid w:val="002B4574"/>
    <w:rsid w:val="002D47A4"/>
    <w:rsid w:val="002E154D"/>
    <w:rsid w:val="002E2413"/>
    <w:rsid w:val="00345362"/>
    <w:rsid w:val="00347749"/>
    <w:rsid w:val="003557F2"/>
    <w:rsid w:val="00356687"/>
    <w:rsid w:val="00363781"/>
    <w:rsid w:val="003654B8"/>
    <w:rsid w:val="00377AE2"/>
    <w:rsid w:val="003B04CC"/>
    <w:rsid w:val="003B599A"/>
    <w:rsid w:val="003B7215"/>
    <w:rsid w:val="003D0252"/>
    <w:rsid w:val="003D07CE"/>
    <w:rsid w:val="003E0C96"/>
    <w:rsid w:val="00400B4F"/>
    <w:rsid w:val="00404288"/>
    <w:rsid w:val="00460179"/>
    <w:rsid w:val="00461303"/>
    <w:rsid w:val="00462E90"/>
    <w:rsid w:val="004757BC"/>
    <w:rsid w:val="00476ADA"/>
    <w:rsid w:val="004776C3"/>
    <w:rsid w:val="00495726"/>
    <w:rsid w:val="004B179F"/>
    <w:rsid w:val="004B5538"/>
    <w:rsid w:val="004C342C"/>
    <w:rsid w:val="004C6E3E"/>
    <w:rsid w:val="004C71F4"/>
    <w:rsid w:val="004D62FB"/>
    <w:rsid w:val="004F064E"/>
    <w:rsid w:val="004F30AE"/>
    <w:rsid w:val="004F6553"/>
    <w:rsid w:val="00502BCB"/>
    <w:rsid w:val="00532413"/>
    <w:rsid w:val="0056088F"/>
    <w:rsid w:val="00560F98"/>
    <w:rsid w:val="005623DE"/>
    <w:rsid w:val="00577375"/>
    <w:rsid w:val="0058299E"/>
    <w:rsid w:val="00591927"/>
    <w:rsid w:val="005A2DA0"/>
    <w:rsid w:val="005A2F66"/>
    <w:rsid w:val="005A6266"/>
    <w:rsid w:val="005B5A59"/>
    <w:rsid w:val="005D5B20"/>
    <w:rsid w:val="005D71ED"/>
    <w:rsid w:val="0060382B"/>
    <w:rsid w:val="00613E0B"/>
    <w:rsid w:val="00625711"/>
    <w:rsid w:val="006343AD"/>
    <w:rsid w:val="00646F22"/>
    <w:rsid w:val="00666D15"/>
    <w:rsid w:val="00681430"/>
    <w:rsid w:val="00694620"/>
    <w:rsid w:val="006A1E1F"/>
    <w:rsid w:val="006B1DCB"/>
    <w:rsid w:val="006B66E8"/>
    <w:rsid w:val="006E4BB8"/>
    <w:rsid w:val="00705121"/>
    <w:rsid w:val="007067F7"/>
    <w:rsid w:val="00720409"/>
    <w:rsid w:val="00721AC6"/>
    <w:rsid w:val="0072279F"/>
    <w:rsid w:val="00727B40"/>
    <w:rsid w:val="00727FFC"/>
    <w:rsid w:val="00740A0B"/>
    <w:rsid w:val="007578FE"/>
    <w:rsid w:val="0076206E"/>
    <w:rsid w:val="007643F3"/>
    <w:rsid w:val="00765055"/>
    <w:rsid w:val="0076795C"/>
    <w:rsid w:val="00777D3B"/>
    <w:rsid w:val="00794FAB"/>
    <w:rsid w:val="007B04F7"/>
    <w:rsid w:val="007B338F"/>
    <w:rsid w:val="007B4709"/>
    <w:rsid w:val="007C759F"/>
    <w:rsid w:val="007D031E"/>
    <w:rsid w:val="007E69D3"/>
    <w:rsid w:val="008009F0"/>
    <w:rsid w:val="00805E5C"/>
    <w:rsid w:val="00810559"/>
    <w:rsid w:val="00824245"/>
    <w:rsid w:val="0082549A"/>
    <w:rsid w:val="008364CB"/>
    <w:rsid w:val="00836951"/>
    <w:rsid w:val="00841970"/>
    <w:rsid w:val="00850DC5"/>
    <w:rsid w:val="008548B9"/>
    <w:rsid w:val="008568CF"/>
    <w:rsid w:val="00881E37"/>
    <w:rsid w:val="00895746"/>
    <w:rsid w:val="008963A0"/>
    <w:rsid w:val="008A4822"/>
    <w:rsid w:val="008C08D2"/>
    <w:rsid w:val="008D49A3"/>
    <w:rsid w:val="009035EB"/>
    <w:rsid w:val="0092448F"/>
    <w:rsid w:val="00927BE9"/>
    <w:rsid w:val="0093306F"/>
    <w:rsid w:val="0093668C"/>
    <w:rsid w:val="00977151"/>
    <w:rsid w:val="00996F0D"/>
    <w:rsid w:val="009A222B"/>
    <w:rsid w:val="009C33E9"/>
    <w:rsid w:val="009C5660"/>
    <w:rsid w:val="009D6C16"/>
    <w:rsid w:val="009E6AD8"/>
    <w:rsid w:val="009F5B61"/>
    <w:rsid w:val="00A11294"/>
    <w:rsid w:val="00A11804"/>
    <w:rsid w:val="00A162F0"/>
    <w:rsid w:val="00A17BB0"/>
    <w:rsid w:val="00A2353E"/>
    <w:rsid w:val="00A40178"/>
    <w:rsid w:val="00A95B57"/>
    <w:rsid w:val="00AA2FAB"/>
    <w:rsid w:val="00AA6468"/>
    <w:rsid w:val="00AF2108"/>
    <w:rsid w:val="00AF4A45"/>
    <w:rsid w:val="00B0113A"/>
    <w:rsid w:val="00B04BCF"/>
    <w:rsid w:val="00B17C97"/>
    <w:rsid w:val="00B21D5B"/>
    <w:rsid w:val="00B30AB6"/>
    <w:rsid w:val="00B32FFF"/>
    <w:rsid w:val="00B3611E"/>
    <w:rsid w:val="00B46C55"/>
    <w:rsid w:val="00B55E4D"/>
    <w:rsid w:val="00B603F7"/>
    <w:rsid w:val="00B65EDE"/>
    <w:rsid w:val="00B812FD"/>
    <w:rsid w:val="00BA6CE3"/>
    <w:rsid w:val="00BB3A2F"/>
    <w:rsid w:val="00BB4A44"/>
    <w:rsid w:val="00BE1360"/>
    <w:rsid w:val="00BE137E"/>
    <w:rsid w:val="00C03899"/>
    <w:rsid w:val="00C05C40"/>
    <w:rsid w:val="00C20191"/>
    <w:rsid w:val="00C24F2C"/>
    <w:rsid w:val="00C33629"/>
    <w:rsid w:val="00C469D5"/>
    <w:rsid w:val="00C63B2C"/>
    <w:rsid w:val="00C64F7C"/>
    <w:rsid w:val="00C657E1"/>
    <w:rsid w:val="00C7177E"/>
    <w:rsid w:val="00C80025"/>
    <w:rsid w:val="00C91194"/>
    <w:rsid w:val="00CA19C5"/>
    <w:rsid w:val="00CE7C8F"/>
    <w:rsid w:val="00D04329"/>
    <w:rsid w:val="00D2723E"/>
    <w:rsid w:val="00D328F3"/>
    <w:rsid w:val="00D34EC3"/>
    <w:rsid w:val="00D37C02"/>
    <w:rsid w:val="00D4199E"/>
    <w:rsid w:val="00D41B09"/>
    <w:rsid w:val="00D41BEB"/>
    <w:rsid w:val="00D43625"/>
    <w:rsid w:val="00D53563"/>
    <w:rsid w:val="00D70012"/>
    <w:rsid w:val="00DA1C7B"/>
    <w:rsid w:val="00DA3929"/>
    <w:rsid w:val="00DB0C4C"/>
    <w:rsid w:val="00DD254A"/>
    <w:rsid w:val="00E12693"/>
    <w:rsid w:val="00E2174A"/>
    <w:rsid w:val="00E40582"/>
    <w:rsid w:val="00E75992"/>
    <w:rsid w:val="00E824A8"/>
    <w:rsid w:val="00E87D77"/>
    <w:rsid w:val="00E929B7"/>
    <w:rsid w:val="00E9388F"/>
    <w:rsid w:val="00EB453E"/>
    <w:rsid w:val="00EC0F52"/>
    <w:rsid w:val="00EC179B"/>
    <w:rsid w:val="00ED234A"/>
    <w:rsid w:val="00ED4CA9"/>
    <w:rsid w:val="00F1115A"/>
    <w:rsid w:val="00F2435B"/>
    <w:rsid w:val="00F36BF9"/>
    <w:rsid w:val="00F45868"/>
    <w:rsid w:val="00F53245"/>
    <w:rsid w:val="00F5573E"/>
    <w:rsid w:val="00F61860"/>
    <w:rsid w:val="00F864DA"/>
    <w:rsid w:val="00F962D9"/>
    <w:rsid w:val="00FB084C"/>
    <w:rsid w:val="00FB24F8"/>
    <w:rsid w:val="00FB38CC"/>
    <w:rsid w:val="00FB46D4"/>
    <w:rsid w:val="00FB53CA"/>
    <w:rsid w:val="00FC24ED"/>
    <w:rsid w:val="00FD2243"/>
    <w:rsid w:val="00FD7DEC"/>
    <w:rsid w:val="00FE0CE5"/>
    <w:rsid w:val="00FE2260"/>
    <w:rsid w:val="00FF5F14"/>
    <w:rsid w:val="0102302B"/>
    <w:rsid w:val="01126DA4"/>
    <w:rsid w:val="013E1264"/>
    <w:rsid w:val="014A24A8"/>
    <w:rsid w:val="014B38A5"/>
    <w:rsid w:val="018C3B79"/>
    <w:rsid w:val="01F51679"/>
    <w:rsid w:val="02135F6A"/>
    <w:rsid w:val="024759C9"/>
    <w:rsid w:val="024A64B1"/>
    <w:rsid w:val="025E6E5F"/>
    <w:rsid w:val="026A5D6B"/>
    <w:rsid w:val="03AC28FF"/>
    <w:rsid w:val="03F70E86"/>
    <w:rsid w:val="04114A1D"/>
    <w:rsid w:val="041455DD"/>
    <w:rsid w:val="042A39E8"/>
    <w:rsid w:val="04526C47"/>
    <w:rsid w:val="048B2019"/>
    <w:rsid w:val="04CE5E43"/>
    <w:rsid w:val="04D22E05"/>
    <w:rsid w:val="04E67FFB"/>
    <w:rsid w:val="053A7DB4"/>
    <w:rsid w:val="059F2AF6"/>
    <w:rsid w:val="059F730C"/>
    <w:rsid w:val="05D96174"/>
    <w:rsid w:val="05DF5D37"/>
    <w:rsid w:val="05E05033"/>
    <w:rsid w:val="05F81C32"/>
    <w:rsid w:val="06402847"/>
    <w:rsid w:val="06585C26"/>
    <w:rsid w:val="06841259"/>
    <w:rsid w:val="06B24B5E"/>
    <w:rsid w:val="06C350FC"/>
    <w:rsid w:val="07052EC4"/>
    <w:rsid w:val="071D2E24"/>
    <w:rsid w:val="074A4915"/>
    <w:rsid w:val="077246D1"/>
    <w:rsid w:val="07E5342C"/>
    <w:rsid w:val="07FF7C31"/>
    <w:rsid w:val="08063D0C"/>
    <w:rsid w:val="0812322C"/>
    <w:rsid w:val="083050E7"/>
    <w:rsid w:val="083A3988"/>
    <w:rsid w:val="087D0688"/>
    <w:rsid w:val="08842583"/>
    <w:rsid w:val="08A15A8E"/>
    <w:rsid w:val="08B200C5"/>
    <w:rsid w:val="08CA2E8B"/>
    <w:rsid w:val="08DF2A74"/>
    <w:rsid w:val="08E3624F"/>
    <w:rsid w:val="09162F62"/>
    <w:rsid w:val="09366992"/>
    <w:rsid w:val="094874C5"/>
    <w:rsid w:val="09610AB2"/>
    <w:rsid w:val="09C67A04"/>
    <w:rsid w:val="09CA7906"/>
    <w:rsid w:val="09DD0782"/>
    <w:rsid w:val="09F13E3E"/>
    <w:rsid w:val="0A2152E4"/>
    <w:rsid w:val="0A3605A2"/>
    <w:rsid w:val="0A695088"/>
    <w:rsid w:val="0A706310"/>
    <w:rsid w:val="0AF42CEC"/>
    <w:rsid w:val="0B2A4180"/>
    <w:rsid w:val="0B82767F"/>
    <w:rsid w:val="0B9634E4"/>
    <w:rsid w:val="0BA73EF3"/>
    <w:rsid w:val="0BF01665"/>
    <w:rsid w:val="0BF207F8"/>
    <w:rsid w:val="0BFD3F44"/>
    <w:rsid w:val="0C6272D1"/>
    <w:rsid w:val="0C7816B2"/>
    <w:rsid w:val="0CAD3DD1"/>
    <w:rsid w:val="0CCB2088"/>
    <w:rsid w:val="0D0F4E21"/>
    <w:rsid w:val="0D1E29B5"/>
    <w:rsid w:val="0D393D93"/>
    <w:rsid w:val="0D6C287F"/>
    <w:rsid w:val="0D6D3CFF"/>
    <w:rsid w:val="0D7E75E2"/>
    <w:rsid w:val="0D854347"/>
    <w:rsid w:val="0D870646"/>
    <w:rsid w:val="0DB06D41"/>
    <w:rsid w:val="0DCB041C"/>
    <w:rsid w:val="0DEE4242"/>
    <w:rsid w:val="0E6D7C34"/>
    <w:rsid w:val="0EA56056"/>
    <w:rsid w:val="0EDD0244"/>
    <w:rsid w:val="0F472425"/>
    <w:rsid w:val="0F662457"/>
    <w:rsid w:val="0FB97A4C"/>
    <w:rsid w:val="0FFD40AC"/>
    <w:rsid w:val="101D296C"/>
    <w:rsid w:val="106743C5"/>
    <w:rsid w:val="108D1B05"/>
    <w:rsid w:val="10E83037"/>
    <w:rsid w:val="10EC2446"/>
    <w:rsid w:val="10FC58B1"/>
    <w:rsid w:val="112525B6"/>
    <w:rsid w:val="112D225A"/>
    <w:rsid w:val="11701D65"/>
    <w:rsid w:val="11725698"/>
    <w:rsid w:val="11752729"/>
    <w:rsid w:val="11803FBC"/>
    <w:rsid w:val="11996E49"/>
    <w:rsid w:val="11C27CBA"/>
    <w:rsid w:val="11CF3B43"/>
    <w:rsid w:val="12115E90"/>
    <w:rsid w:val="121F3DA7"/>
    <w:rsid w:val="124851AA"/>
    <w:rsid w:val="125364A7"/>
    <w:rsid w:val="12A07140"/>
    <w:rsid w:val="12A1040B"/>
    <w:rsid w:val="1323629B"/>
    <w:rsid w:val="1330022A"/>
    <w:rsid w:val="134771ED"/>
    <w:rsid w:val="135104EB"/>
    <w:rsid w:val="135554B0"/>
    <w:rsid w:val="13624E86"/>
    <w:rsid w:val="1391782A"/>
    <w:rsid w:val="13963A30"/>
    <w:rsid w:val="13AB309C"/>
    <w:rsid w:val="13CF7C54"/>
    <w:rsid w:val="13ED1C6D"/>
    <w:rsid w:val="14114FA0"/>
    <w:rsid w:val="142C14A6"/>
    <w:rsid w:val="148E7E08"/>
    <w:rsid w:val="1499664F"/>
    <w:rsid w:val="14AE0AC4"/>
    <w:rsid w:val="14F65065"/>
    <w:rsid w:val="14FD16AA"/>
    <w:rsid w:val="15313CED"/>
    <w:rsid w:val="155746C4"/>
    <w:rsid w:val="15600ED4"/>
    <w:rsid w:val="159F63E5"/>
    <w:rsid w:val="15A44489"/>
    <w:rsid w:val="15C85803"/>
    <w:rsid w:val="15E2445F"/>
    <w:rsid w:val="161A0404"/>
    <w:rsid w:val="16354B03"/>
    <w:rsid w:val="164037A5"/>
    <w:rsid w:val="168D1658"/>
    <w:rsid w:val="16CA4A10"/>
    <w:rsid w:val="172D137F"/>
    <w:rsid w:val="1773474C"/>
    <w:rsid w:val="177970C7"/>
    <w:rsid w:val="17D21144"/>
    <w:rsid w:val="17F51370"/>
    <w:rsid w:val="180E5950"/>
    <w:rsid w:val="1810016A"/>
    <w:rsid w:val="181C0751"/>
    <w:rsid w:val="182B675C"/>
    <w:rsid w:val="182E1536"/>
    <w:rsid w:val="18494CA6"/>
    <w:rsid w:val="189315BA"/>
    <w:rsid w:val="18F7701E"/>
    <w:rsid w:val="1912235E"/>
    <w:rsid w:val="191D7D60"/>
    <w:rsid w:val="19307B8C"/>
    <w:rsid w:val="194B5DF8"/>
    <w:rsid w:val="196242DB"/>
    <w:rsid w:val="19AE1C1B"/>
    <w:rsid w:val="19B801A9"/>
    <w:rsid w:val="19D81594"/>
    <w:rsid w:val="1A010DED"/>
    <w:rsid w:val="1A3920AD"/>
    <w:rsid w:val="1A3E7034"/>
    <w:rsid w:val="1A43692D"/>
    <w:rsid w:val="1A4F0E7B"/>
    <w:rsid w:val="1A722BB7"/>
    <w:rsid w:val="1A7D3AE8"/>
    <w:rsid w:val="1AA9282C"/>
    <w:rsid w:val="1AFA32BB"/>
    <w:rsid w:val="1B15604C"/>
    <w:rsid w:val="1B8926D7"/>
    <w:rsid w:val="1B926D74"/>
    <w:rsid w:val="1BA510CF"/>
    <w:rsid w:val="1BAF4FDD"/>
    <w:rsid w:val="1BBD523C"/>
    <w:rsid w:val="1BC71148"/>
    <w:rsid w:val="1BCA0507"/>
    <w:rsid w:val="1BD7165F"/>
    <w:rsid w:val="1BDC6854"/>
    <w:rsid w:val="1BE63D7B"/>
    <w:rsid w:val="1C490D95"/>
    <w:rsid w:val="1C71779C"/>
    <w:rsid w:val="1C971BB4"/>
    <w:rsid w:val="1CC660EA"/>
    <w:rsid w:val="1CD65F04"/>
    <w:rsid w:val="1CE90635"/>
    <w:rsid w:val="1CEC2500"/>
    <w:rsid w:val="1D097EB2"/>
    <w:rsid w:val="1D0E0EDE"/>
    <w:rsid w:val="1D3842EF"/>
    <w:rsid w:val="1D525571"/>
    <w:rsid w:val="1D760808"/>
    <w:rsid w:val="1D8835C3"/>
    <w:rsid w:val="1D8B0FF0"/>
    <w:rsid w:val="1D967763"/>
    <w:rsid w:val="1D974470"/>
    <w:rsid w:val="1DB235E4"/>
    <w:rsid w:val="1DD21457"/>
    <w:rsid w:val="1DF4531E"/>
    <w:rsid w:val="1E2A78EC"/>
    <w:rsid w:val="1E8870C4"/>
    <w:rsid w:val="1EAF2DF6"/>
    <w:rsid w:val="1EEF5728"/>
    <w:rsid w:val="1EF15CA0"/>
    <w:rsid w:val="1F0110F5"/>
    <w:rsid w:val="1F2C1266"/>
    <w:rsid w:val="1F503EE2"/>
    <w:rsid w:val="1F574D7D"/>
    <w:rsid w:val="1FB3151E"/>
    <w:rsid w:val="1FBC30EB"/>
    <w:rsid w:val="1FC83704"/>
    <w:rsid w:val="20337E32"/>
    <w:rsid w:val="20914C20"/>
    <w:rsid w:val="20A70049"/>
    <w:rsid w:val="20AB630D"/>
    <w:rsid w:val="20AC5C87"/>
    <w:rsid w:val="20D437F3"/>
    <w:rsid w:val="20D822F9"/>
    <w:rsid w:val="21180903"/>
    <w:rsid w:val="215E2357"/>
    <w:rsid w:val="21606E79"/>
    <w:rsid w:val="22084618"/>
    <w:rsid w:val="222828E9"/>
    <w:rsid w:val="22490884"/>
    <w:rsid w:val="224F4445"/>
    <w:rsid w:val="227C7539"/>
    <w:rsid w:val="227D1541"/>
    <w:rsid w:val="228121AF"/>
    <w:rsid w:val="22B206FB"/>
    <w:rsid w:val="22DF21AD"/>
    <w:rsid w:val="22FB1223"/>
    <w:rsid w:val="23451EF6"/>
    <w:rsid w:val="23726543"/>
    <w:rsid w:val="239812A9"/>
    <w:rsid w:val="23B865EF"/>
    <w:rsid w:val="23B93E27"/>
    <w:rsid w:val="23EC33A2"/>
    <w:rsid w:val="247954BE"/>
    <w:rsid w:val="24B55D40"/>
    <w:rsid w:val="24E62345"/>
    <w:rsid w:val="24E93A02"/>
    <w:rsid w:val="250B10FE"/>
    <w:rsid w:val="2525376A"/>
    <w:rsid w:val="25286B98"/>
    <w:rsid w:val="25466C9B"/>
    <w:rsid w:val="258A542D"/>
    <w:rsid w:val="25A52F94"/>
    <w:rsid w:val="25E114BF"/>
    <w:rsid w:val="260626D2"/>
    <w:rsid w:val="26445B2D"/>
    <w:rsid w:val="265624C2"/>
    <w:rsid w:val="269D3F24"/>
    <w:rsid w:val="26C92C37"/>
    <w:rsid w:val="26E349B7"/>
    <w:rsid w:val="2729767F"/>
    <w:rsid w:val="27533C65"/>
    <w:rsid w:val="27DF4491"/>
    <w:rsid w:val="282C411C"/>
    <w:rsid w:val="283938D1"/>
    <w:rsid w:val="285C3939"/>
    <w:rsid w:val="28D9481C"/>
    <w:rsid w:val="29C6272E"/>
    <w:rsid w:val="29CC1BF4"/>
    <w:rsid w:val="29F1199E"/>
    <w:rsid w:val="29FD1B4D"/>
    <w:rsid w:val="29FF3EF9"/>
    <w:rsid w:val="2A1C61F0"/>
    <w:rsid w:val="2AB65A4A"/>
    <w:rsid w:val="2AC700FA"/>
    <w:rsid w:val="2ACC3397"/>
    <w:rsid w:val="2B0D7EE3"/>
    <w:rsid w:val="2B1A64D9"/>
    <w:rsid w:val="2B4079ED"/>
    <w:rsid w:val="2B5934F5"/>
    <w:rsid w:val="2B5D151D"/>
    <w:rsid w:val="2B953229"/>
    <w:rsid w:val="2BAB5C55"/>
    <w:rsid w:val="2BAF0F6E"/>
    <w:rsid w:val="2BE42A5E"/>
    <w:rsid w:val="2C434307"/>
    <w:rsid w:val="2CC54231"/>
    <w:rsid w:val="2CC75246"/>
    <w:rsid w:val="2CE96033"/>
    <w:rsid w:val="2CEA75ED"/>
    <w:rsid w:val="2CEE0C58"/>
    <w:rsid w:val="2D1D175E"/>
    <w:rsid w:val="2D287CF0"/>
    <w:rsid w:val="2D545FC2"/>
    <w:rsid w:val="2D7E1126"/>
    <w:rsid w:val="2D8D7909"/>
    <w:rsid w:val="2D90426A"/>
    <w:rsid w:val="2DB005FA"/>
    <w:rsid w:val="2DB775F6"/>
    <w:rsid w:val="2DB92BEE"/>
    <w:rsid w:val="2DFF133D"/>
    <w:rsid w:val="2E0C231D"/>
    <w:rsid w:val="2E17746E"/>
    <w:rsid w:val="2E2725E7"/>
    <w:rsid w:val="2EB676FA"/>
    <w:rsid w:val="2EB828AE"/>
    <w:rsid w:val="2EE05C7C"/>
    <w:rsid w:val="2F155AF9"/>
    <w:rsid w:val="2F3D4B75"/>
    <w:rsid w:val="2F630CE8"/>
    <w:rsid w:val="2FEE0923"/>
    <w:rsid w:val="301554FD"/>
    <w:rsid w:val="3022252A"/>
    <w:rsid w:val="30391D04"/>
    <w:rsid w:val="30BB6B09"/>
    <w:rsid w:val="310667CE"/>
    <w:rsid w:val="311E1150"/>
    <w:rsid w:val="31386356"/>
    <w:rsid w:val="319477A7"/>
    <w:rsid w:val="31A41F5C"/>
    <w:rsid w:val="31EF2811"/>
    <w:rsid w:val="32241001"/>
    <w:rsid w:val="322C2EB7"/>
    <w:rsid w:val="323A4CC0"/>
    <w:rsid w:val="32401B2F"/>
    <w:rsid w:val="32484C32"/>
    <w:rsid w:val="327279D6"/>
    <w:rsid w:val="32874DF7"/>
    <w:rsid w:val="328F5EA8"/>
    <w:rsid w:val="329E53C9"/>
    <w:rsid w:val="32A5291C"/>
    <w:rsid w:val="32AE1F47"/>
    <w:rsid w:val="32B169DC"/>
    <w:rsid w:val="32C43313"/>
    <w:rsid w:val="32C52A53"/>
    <w:rsid w:val="330C5D59"/>
    <w:rsid w:val="3334722A"/>
    <w:rsid w:val="33647044"/>
    <w:rsid w:val="33C15195"/>
    <w:rsid w:val="33D17414"/>
    <w:rsid w:val="34070A4D"/>
    <w:rsid w:val="342C39B9"/>
    <w:rsid w:val="3438394F"/>
    <w:rsid w:val="3438548F"/>
    <w:rsid w:val="34602937"/>
    <w:rsid w:val="34694286"/>
    <w:rsid w:val="349C1728"/>
    <w:rsid w:val="34ED5364"/>
    <w:rsid w:val="34F177D9"/>
    <w:rsid w:val="3513499F"/>
    <w:rsid w:val="35341603"/>
    <w:rsid w:val="3539701A"/>
    <w:rsid w:val="35C40FFF"/>
    <w:rsid w:val="35D87698"/>
    <w:rsid w:val="361B2040"/>
    <w:rsid w:val="362F1A15"/>
    <w:rsid w:val="36353F83"/>
    <w:rsid w:val="36666B1A"/>
    <w:rsid w:val="36AA72B7"/>
    <w:rsid w:val="36C72F82"/>
    <w:rsid w:val="36FF649E"/>
    <w:rsid w:val="37030425"/>
    <w:rsid w:val="3704739F"/>
    <w:rsid w:val="371B105D"/>
    <w:rsid w:val="37382A38"/>
    <w:rsid w:val="373D491F"/>
    <w:rsid w:val="374525DB"/>
    <w:rsid w:val="37454C4E"/>
    <w:rsid w:val="37625A09"/>
    <w:rsid w:val="379D7A93"/>
    <w:rsid w:val="37BE2342"/>
    <w:rsid w:val="37D144CC"/>
    <w:rsid w:val="37DE7A68"/>
    <w:rsid w:val="37F64D7E"/>
    <w:rsid w:val="37F94051"/>
    <w:rsid w:val="380226FF"/>
    <w:rsid w:val="380D0495"/>
    <w:rsid w:val="383151E7"/>
    <w:rsid w:val="384A0ED5"/>
    <w:rsid w:val="38D00BA2"/>
    <w:rsid w:val="39121C67"/>
    <w:rsid w:val="39123BF8"/>
    <w:rsid w:val="398954B7"/>
    <w:rsid w:val="39AE58D5"/>
    <w:rsid w:val="39D521A4"/>
    <w:rsid w:val="39D96C39"/>
    <w:rsid w:val="3A32079C"/>
    <w:rsid w:val="3A4178D0"/>
    <w:rsid w:val="3A433354"/>
    <w:rsid w:val="3A4A29B9"/>
    <w:rsid w:val="3A5705C0"/>
    <w:rsid w:val="3A590C7F"/>
    <w:rsid w:val="3AA90F0A"/>
    <w:rsid w:val="3AEF2C27"/>
    <w:rsid w:val="3AF539DD"/>
    <w:rsid w:val="3B0F0291"/>
    <w:rsid w:val="3B2618FF"/>
    <w:rsid w:val="3B291361"/>
    <w:rsid w:val="3B8362AA"/>
    <w:rsid w:val="3BB44CFB"/>
    <w:rsid w:val="3BC95855"/>
    <w:rsid w:val="3BD0676B"/>
    <w:rsid w:val="3BEC508A"/>
    <w:rsid w:val="3C5C0230"/>
    <w:rsid w:val="3C9F6939"/>
    <w:rsid w:val="3CCD3669"/>
    <w:rsid w:val="3D3F5B6B"/>
    <w:rsid w:val="3D667A21"/>
    <w:rsid w:val="3D837F2A"/>
    <w:rsid w:val="3DB058AD"/>
    <w:rsid w:val="3DF566A4"/>
    <w:rsid w:val="3E262F10"/>
    <w:rsid w:val="3E8A5B26"/>
    <w:rsid w:val="3E972778"/>
    <w:rsid w:val="3EA075E0"/>
    <w:rsid w:val="3EAA003B"/>
    <w:rsid w:val="3EBE7766"/>
    <w:rsid w:val="3EEF23D0"/>
    <w:rsid w:val="3F2C66EB"/>
    <w:rsid w:val="3F3D61AB"/>
    <w:rsid w:val="3F4968C0"/>
    <w:rsid w:val="3F676B27"/>
    <w:rsid w:val="3F75200D"/>
    <w:rsid w:val="3F8C213C"/>
    <w:rsid w:val="3F8D5282"/>
    <w:rsid w:val="3FA37899"/>
    <w:rsid w:val="3FAA46C3"/>
    <w:rsid w:val="3FCC6C54"/>
    <w:rsid w:val="3FEB6F4F"/>
    <w:rsid w:val="3FF47137"/>
    <w:rsid w:val="402B30EE"/>
    <w:rsid w:val="403126AF"/>
    <w:rsid w:val="40343821"/>
    <w:rsid w:val="40B73AA4"/>
    <w:rsid w:val="40CB60A4"/>
    <w:rsid w:val="412626B7"/>
    <w:rsid w:val="41484A65"/>
    <w:rsid w:val="41560595"/>
    <w:rsid w:val="4195430C"/>
    <w:rsid w:val="41BF41CE"/>
    <w:rsid w:val="41CC1842"/>
    <w:rsid w:val="41D52BE9"/>
    <w:rsid w:val="41E7035A"/>
    <w:rsid w:val="41F53121"/>
    <w:rsid w:val="421A0E2B"/>
    <w:rsid w:val="422D499D"/>
    <w:rsid w:val="42460309"/>
    <w:rsid w:val="42482787"/>
    <w:rsid w:val="42BF012C"/>
    <w:rsid w:val="4303100E"/>
    <w:rsid w:val="435254D7"/>
    <w:rsid w:val="43675002"/>
    <w:rsid w:val="436D2F40"/>
    <w:rsid w:val="43D95A83"/>
    <w:rsid w:val="44306BFC"/>
    <w:rsid w:val="44554A6E"/>
    <w:rsid w:val="446755FD"/>
    <w:rsid w:val="44E160CA"/>
    <w:rsid w:val="453768A1"/>
    <w:rsid w:val="45622E7B"/>
    <w:rsid w:val="456C19E2"/>
    <w:rsid w:val="45AD2E0E"/>
    <w:rsid w:val="4615087F"/>
    <w:rsid w:val="461A6440"/>
    <w:rsid w:val="462D44AF"/>
    <w:rsid w:val="46976527"/>
    <w:rsid w:val="46A732D7"/>
    <w:rsid w:val="470731BC"/>
    <w:rsid w:val="476C0ACD"/>
    <w:rsid w:val="477474BD"/>
    <w:rsid w:val="477A4D26"/>
    <w:rsid w:val="47A91223"/>
    <w:rsid w:val="47E128CC"/>
    <w:rsid w:val="47EE05E8"/>
    <w:rsid w:val="48782BE0"/>
    <w:rsid w:val="48A02B91"/>
    <w:rsid w:val="48A11871"/>
    <w:rsid w:val="48B87109"/>
    <w:rsid w:val="48E47CFB"/>
    <w:rsid w:val="48F21E14"/>
    <w:rsid w:val="4911445A"/>
    <w:rsid w:val="49296FAB"/>
    <w:rsid w:val="494F0794"/>
    <w:rsid w:val="49A346D0"/>
    <w:rsid w:val="4A26538C"/>
    <w:rsid w:val="4A282A3A"/>
    <w:rsid w:val="4A28542A"/>
    <w:rsid w:val="4A2B032A"/>
    <w:rsid w:val="4AA208F3"/>
    <w:rsid w:val="4AB24A79"/>
    <w:rsid w:val="4ABA0935"/>
    <w:rsid w:val="4ACF0372"/>
    <w:rsid w:val="4B2C4A4B"/>
    <w:rsid w:val="4B2D1E2D"/>
    <w:rsid w:val="4B4F11BC"/>
    <w:rsid w:val="4B5C319F"/>
    <w:rsid w:val="4B733D57"/>
    <w:rsid w:val="4BAC3890"/>
    <w:rsid w:val="4BD85DF9"/>
    <w:rsid w:val="4BE724A6"/>
    <w:rsid w:val="4C005A0A"/>
    <w:rsid w:val="4C833A4B"/>
    <w:rsid w:val="4CC609BD"/>
    <w:rsid w:val="4D47167E"/>
    <w:rsid w:val="4D4F5D27"/>
    <w:rsid w:val="4D861A8F"/>
    <w:rsid w:val="4D8E3D20"/>
    <w:rsid w:val="4D93235E"/>
    <w:rsid w:val="4DAB79E8"/>
    <w:rsid w:val="4DD72B4B"/>
    <w:rsid w:val="4E2A772C"/>
    <w:rsid w:val="4E5C18C4"/>
    <w:rsid w:val="4E600FE2"/>
    <w:rsid w:val="4E752F5F"/>
    <w:rsid w:val="4E8D6A94"/>
    <w:rsid w:val="4EC2097B"/>
    <w:rsid w:val="4ECD47AE"/>
    <w:rsid w:val="4ED91A7C"/>
    <w:rsid w:val="4EFB1686"/>
    <w:rsid w:val="4F084C29"/>
    <w:rsid w:val="4F1E0150"/>
    <w:rsid w:val="4FBF3934"/>
    <w:rsid w:val="4FCF4575"/>
    <w:rsid w:val="4FD217A6"/>
    <w:rsid w:val="4FD34635"/>
    <w:rsid w:val="4FD64D87"/>
    <w:rsid w:val="500F0046"/>
    <w:rsid w:val="503D24E9"/>
    <w:rsid w:val="508401FE"/>
    <w:rsid w:val="50892BD1"/>
    <w:rsid w:val="50EC1C63"/>
    <w:rsid w:val="515079A2"/>
    <w:rsid w:val="51520F3E"/>
    <w:rsid w:val="515F472E"/>
    <w:rsid w:val="51783625"/>
    <w:rsid w:val="519F195C"/>
    <w:rsid w:val="51A1338C"/>
    <w:rsid w:val="51B10DF8"/>
    <w:rsid w:val="51B5544F"/>
    <w:rsid w:val="51C36BA9"/>
    <w:rsid w:val="51CD0931"/>
    <w:rsid w:val="51D1285D"/>
    <w:rsid w:val="51E5628A"/>
    <w:rsid w:val="51F05637"/>
    <w:rsid w:val="526E08BD"/>
    <w:rsid w:val="528B6CCD"/>
    <w:rsid w:val="528E0E65"/>
    <w:rsid w:val="52A748B1"/>
    <w:rsid w:val="52BF57CE"/>
    <w:rsid w:val="52DC1496"/>
    <w:rsid w:val="5317539D"/>
    <w:rsid w:val="532C052C"/>
    <w:rsid w:val="53351CE9"/>
    <w:rsid w:val="539250E9"/>
    <w:rsid w:val="53A674C0"/>
    <w:rsid w:val="53D20F6D"/>
    <w:rsid w:val="53FB1D72"/>
    <w:rsid w:val="540B0B55"/>
    <w:rsid w:val="54341281"/>
    <w:rsid w:val="543E6311"/>
    <w:rsid w:val="54441FAF"/>
    <w:rsid w:val="546F0977"/>
    <w:rsid w:val="54C86CE0"/>
    <w:rsid w:val="54E41783"/>
    <w:rsid w:val="54E84F79"/>
    <w:rsid w:val="54FC4C7F"/>
    <w:rsid w:val="5507102C"/>
    <w:rsid w:val="5527468F"/>
    <w:rsid w:val="55613FEE"/>
    <w:rsid w:val="55733033"/>
    <w:rsid w:val="5592279D"/>
    <w:rsid w:val="563A788C"/>
    <w:rsid w:val="56653E3C"/>
    <w:rsid w:val="568A0F46"/>
    <w:rsid w:val="56A72D4E"/>
    <w:rsid w:val="56BD56FE"/>
    <w:rsid w:val="56D547EC"/>
    <w:rsid w:val="56EE4F2B"/>
    <w:rsid w:val="570A713B"/>
    <w:rsid w:val="576A49FC"/>
    <w:rsid w:val="577D50A2"/>
    <w:rsid w:val="57874075"/>
    <w:rsid w:val="578B1FD6"/>
    <w:rsid w:val="57926E3D"/>
    <w:rsid w:val="57B161CF"/>
    <w:rsid w:val="57C4602E"/>
    <w:rsid w:val="57D81E7E"/>
    <w:rsid w:val="57E92D6E"/>
    <w:rsid w:val="57F94FB0"/>
    <w:rsid w:val="58142779"/>
    <w:rsid w:val="58391087"/>
    <w:rsid w:val="58540942"/>
    <w:rsid w:val="58A65D17"/>
    <w:rsid w:val="58DB5F06"/>
    <w:rsid w:val="58F35E13"/>
    <w:rsid w:val="5963074A"/>
    <w:rsid w:val="59866C39"/>
    <w:rsid w:val="59BB07CF"/>
    <w:rsid w:val="59E173FB"/>
    <w:rsid w:val="59EB04E8"/>
    <w:rsid w:val="5A5346E6"/>
    <w:rsid w:val="5A890EE9"/>
    <w:rsid w:val="5AC037AB"/>
    <w:rsid w:val="5AE44B18"/>
    <w:rsid w:val="5AFC76A9"/>
    <w:rsid w:val="5B1E2BCC"/>
    <w:rsid w:val="5B7E1C97"/>
    <w:rsid w:val="5C081B64"/>
    <w:rsid w:val="5C221871"/>
    <w:rsid w:val="5C323699"/>
    <w:rsid w:val="5C3656F6"/>
    <w:rsid w:val="5C853178"/>
    <w:rsid w:val="5CA95CB2"/>
    <w:rsid w:val="5CAA3703"/>
    <w:rsid w:val="5CC71655"/>
    <w:rsid w:val="5D1D7146"/>
    <w:rsid w:val="5D4B6B4F"/>
    <w:rsid w:val="5D8265DD"/>
    <w:rsid w:val="5DF16576"/>
    <w:rsid w:val="5DF67CA5"/>
    <w:rsid w:val="5E0527F5"/>
    <w:rsid w:val="5E0E6DB5"/>
    <w:rsid w:val="5E2918C2"/>
    <w:rsid w:val="5E4148F9"/>
    <w:rsid w:val="5E461DC8"/>
    <w:rsid w:val="5E540369"/>
    <w:rsid w:val="5EB46037"/>
    <w:rsid w:val="5ECA5D90"/>
    <w:rsid w:val="5ECF3A69"/>
    <w:rsid w:val="5F134C74"/>
    <w:rsid w:val="5F276881"/>
    <w:rsid w:val="5F495EC5"/>
    <w:rsid w:val="5F504374"/>
    <w:rsid w:val="5F85125C"/>
    <w:rsid w:val="5F9D1004"/>
    <w:rsid w:val="5FFA4321"/>
    <w:rsid w:val="60071511"/>
    <w:rsid w:val="60095DEA"/>
    <w:rsid w:val="605E356A"/>
    <w:rsid w:val="605F4241"/>
    <w:rsid w:val="60704697"/>
    <w:rsid w:val="607C4084"/>
    <w:rsid w:val="60813049"/>
    <w:rsid w:val="609D0C2D"/>
    <w:rsid w:val="60BF7418"/>
    <w:rsid w:val="60D46BFF"/>
    <w:rsid w:val="60E2080D"/>
    <w:rsid w:val="60F76D35"/>
    <w:rsid w:val="61085442"/>
    <w:rsid w:val="611C1396"/>
    <w:rsid w:val="612A68A9"/>
    <w:rsid w:val="616266C7"/>
    <w:rsid w:val="61784797"/>
    <w:rsid w:val="61830301"/>
    <w:rsid w:val="619033B5"/>
    <w:rsid w:val="61AC25E1"/>
    <w:rsid w:val="61CC463A"/>
    <w:rsid w:val="61F85385"/>
    <w:rsid w:val="6205139C"/>
    <w:rsid w:val="621B4C4C"/>
    <w:rsid w:val="6242059C"/>
    <w:rsid w:val="62A20290"/>
    <w:rsid w:val="62AA5179"/>
    <w:rsid w:val="62C139CD"/>
    <w:rsid w:val="62C64D6D"/>
    <w:rsid w:val="62D92B99"/>
    <w:rsid w:val="62DC0FD6"/>
    <w:rsid w:val="62E3331D"/>
    <w:rsid w:val="63072A18"/>
    <w:rsid w:val="63216843"/>
    <w:rsid w:val="6370403C"/>
    <w:rsid w:val="63CD4EB2"/>
    <w:rsid w:val="63FB41AD"/>
    <w:rsid w:val="641A314C"/>
    <w:rsid w:val="641B7899"/>
    <w:rsid w:val="644A1EE6"/>
    <w:rsid w:val="64752784"/>
    <w:rsid w:val="64CA6D8A"/>
    <w:rsid w:val="653A0F48"/>
    <w:rsid w:val="657D7899"/>
    <w:rsid w:val="65AF250A"/>
    <w:rsid w:val="660224B8"/>
    <w:rsid w:val="66A24D5E"/>
    <w:rsid w:val="66A54514"/>
    <w:rsid w:val="66D76B92"/>
    <w:rsid w:val="66F35272"/>
    <w:rsid w:val="66F53BC3"/>
    <w:rsid w:val="66FD0CFC"/>
    <w:rsid w:val="67117748"/>
    <w:rsid w:val="674D4BF7"/>
    <w:rsid w:val="676C2230"/>
    <w:rsid w:val="677A4AF2"/>
    <w:rsid w:val="67B124E5"/>
    <w:rsid w:val="67EB4686"/>
    <w:rsid w:val="68215A11"/>
    <w:rsid w:val="68900759"/>
    <w:rsid w:val="68901C56"/>
    <w:rsid w:val="689D3E51"/>
    <w:rsid w:val="68D23A69"/>
    <w:rsid w:val="69222202"/>
    <w:rsid w:val="69782777"/>
    <w:rsid w:val="697A3DC7"/>
    <w:rsid w:val="698A3BC2"/>
    <w:rsid w:val="699F61B1"/>
    <w:rsid w:val="69B739D5"/>
    <w:rsid w:val="69B95EC1"/>
    <w:rsid w:val="69C121A8"/>
    <w:rsid w:val="69DD54EC"/>
    <w:rsid w:val="6A0804B3"/>
    <w:rsid w:val="6A3613F4"/>
    <w:rsid w:val="6A514484"/>
    <w:rsid w:val="6A6E0DE8"/>
    <w:rsid w:val="6AD243DF"/>
    <w:rsid w:val="6B4E34D1"/>
    <w:rsid w:val="6B7C45E9"/>
    <w:rsid w:val="6B8A1AD3"/>
    <w:rsid w:val="6BF22927"/>
    <w:rsid w:val="6C275C18"/>
    <w:rsid w:val="6C284B63"/>
    <w:rsid w:val="6C2B0252"/>
    <w:rsid w:val="6C2D7643"/>
    <w:rsid w:val="6C810808"/>
    <w:rsid w:val="6CA72AB7"/>
    <w:rsid w:val="6CB52B79"/>
    <w:rsid w:val="6CD92C2E"/>
    <w:rsid w:val="6CE5370B"/>
    <w:rsid w:val="6CEA74D9"/>
    <w:rsid w:val="6D533BBA"/>
    <w:rsid w:val="6D7B121F"/>
    <w:rsid w:val="6E27439E"/>
    <w:rsid w:val="6E8D2A0A"/>
    <w:rsid w:val="6EC902CB"/>
    <w:rsid w:val="6ED911A6"/>
    <w:rsid w:val="6EDA7698"/>
    <w:rsid w:val="6F312B33"/>
    <w:rsid w:val="6F400C69"/>
    <w:rsid w:val="6F680A94"/>
    <w:rsid w:val="6F6F6821"/>
    <w:rsid w:val="6FA7396E"/>
    <w:rsid w:val="6FF93FE8"/>
    <w:rsid w:val="70042E70"/>
    <w:rsid w:val="701B49B9"/>
    <w:rsid w:val="702A5359"/>
    <w:rsid w:val="705D3FDF"/>
    <w:rsid w:val="705F093F"/>
    <w:rsid w:val="708C32D3"/>
    <w:rsid w:val="710401C9"/>
    <w:rsid w:val="7139513C"/>
    <w:rsid w:val="714E47BF"/>
    <w:rsid w:val="71621A01"/>
    <w:rsid w:val="72340BB9"/>
    <w:rsid w:val="723F5F6D"/>
    <w:rsid w:val="72B04C6A"/>
    <w:rsid w:val="73021E0B"/>
    <w:rsid w:val="731C02A5"/>
    <w:rsid w:val="731C3A32"/>
    <w:rsid w:val="736F7DDB"/>
    <w:rsid w:val="737D4C8F"/>
    <w:rsid w:val="73815E84"/>
    <w:rsid w:val="73D13110"/>
    <w:rsid w:val="73FA6DDC"/>
    <w:rsid w:val="7455036E"/>
    <w:rsid w:val="74777F52"/>
    <w:rsid w:val="7479372F"/>
    <w:rsid w:val="749D7FE0"/>
    <w:rsid w:val="74AB2541"/>
    <w:rsid w:val="74C24702"/>
    <w:rsid w:val="74CA63A8"/>
    <w:rsid w:val="74DD6F92"/>
    <w:rsid w:val="74E8409C"/>
    <w:rsid w:val="7543180D"/>
    <w:rsid w:val="756911E2"/>
    <w:rsid w:val="75CE652B"/>
    <w:rsid w:val="760D7639"/>
    <w:rsid w:val="761B69B4"/>
    <w:rsid w:val="762D2F4A"/>
    <w:rsid w:val="762F036A"/>
    <w:rsid w:val="7659470C"/>
    <w:rsid w:val="767F6963"/>
    <w:rsid w:val="76BC57A5"/>
    <w:rsid w:val="76C50383"/>
    <w:rsid w:val="76C863B6"/>
    <w:rsid w:val="76CA5634"/>
    <w:rsid w:val="774E6BA2"/>
    <w:rsid w:val="77826DE2"/>
    <w:rsid w:val="77B65FDC"/>
    <w:rsid w:val="77D178F8"/>
    <w:rsid w:val="77E97B9B"/>
    <w:rsid w:val="78257FBB"/>
    <w:rsid w:val="78313125"/>
    <w:rsid w:val="78464924"/>
    <w:rsid w:val="785E36B0"/>
    <w:rsid w:val="789A4742"/>
    <w:rsid w:val="78AC6C44"/>
    <w:rsid w:val="78B23587"/>
    <w:rsid w:val="78B83AE5"/>
    <w:rsid w:val="78C630E1"/>
    <w:rsid w:val="78D4026C"/>
    <w:rsid w:val="78E86E68"/>
    <w:rsid w:val="79002D6F"/>
    <w:rsid w:val="791851C7"/>
    <w:rsid w:val="798A2B34"/>
    <w:rsid w:val="799B6D60"/>
    <w:rsid w:val="79A94DA3"/>
    <w:rsid w:val="79C65EEF"/>
    <w:rsid w:val="79DC2982"/>
    <w:rsid w:val="79DE4A2C"/>
    <w:rsid w:val="79E84CE8"/>
    <w:rsid w:val="79F365C6"/>
    <w:rsid w:val="7A2D154E"/>
    <w:rsid w:val="7A407E9A"/>
    <w:rsid w:val="7AA43818"/>
    <w:rsid w:val="7ACF3B9B"/>
    <w:rsid w:val="7B20430C"/>
    <w:rsid w:val="7B433C31"/>
    <w:rsid w:val="7B8A363F"/>
    <w:rsid w:val="7BD66A85"/>
    <w:rsid w:val="7C24093D"/>
    <w:rsid w:val="7C4633AC"/>
    <w:rsid w:val="7C5B443F"/>
    <w:rsid w:val="7C8640A2"/>
    <w:rsid w:val="7C8F7738"/>
    <w:rsid w:val="7CA85A4F"/>
    <w:rsid w:val="7CD852FD"/>
    <w:rsid w:val="7D0B3B96"/>
    <w:rsid w:val="7D197605"/>
    <w:rsid w:val="7D3A787F"/>
    <w:rsid w:val="7D40494A"/>
    <w:rsid w:val="7D605246"/>
    <w:rsid w:val="7E0B18A1"/>
    <w:rsid w:val="7E5408AA"/>
    <w:rsid w:val="7E632E07"/>
    <w:rsid w:val="7E716376"/>
    <w:rsid w:val="7E78345E"/>
    <w:rsid w:val="7E8D7490"/>
    <w:rsid w:val="7E9F6E99"/>
    <w:rsid w:val="7ECD4416"/>
    <w:rsid w:val="7EE724C1"/>
    <w:rsid w:val="7F202960"/>
    <w:rsid w:val="7FB80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numPr>
        <w:ilvl w:val="0"/>
        <w:numId w:val="0"/>
      </w:numPr>
      <w:spacing w:beforeLines="0" w:afterLines="0" w:line="480" w:lineRule="auto"/>
      <w:jc w:val="center"/>
      <w:outlineLvl w:val="0"/>
    </w:pPr>
    <w:rPr>
      <w:rFonts w:ascii="Times New Roman" w:hAnsi="Times New Roman" w:eastAsia="宋体" w:cs="Times New Roman"/>
      <w:b/>
      <w:bCs/>
      <w:kern w:val="44"/>
      <w:sz w:val="36"/>
      <w:szCs w:val="44"/>
    </w:rPr>
  </w:style>
  <w:style w:type="paragraph" w:styleId="3">
    <w:name w:val="heading 2"/>
    <w:basedOn w:val="1"/>
    <w:next w:val="1"/>
    <w:link w:val="62"/>
    <w:autoRedefine/>
    <w:qFormat/>
    <w:uiPriority w:val="0"/>
    <w:pPr>
      <w:keepNext/>
      <w:keepLines/>
      <w:spacing w:line="360" w:lineRule="auto"/>
      <w:jc w:val="center"/>
      <w:outlineLvl w:val="1"/>
    </w:pPr>
    <w:rPr>
      <w:rFonts w:ascii="Arial" w:hAnsi="Arial"/>
      <w:bCs/>
      <w:sz w:val="30"/>
      <w:szCs w:val="32"/>
    </w:rPr>
  </w:style>
  <w:style w:type="paragraph" w:styleId="4">
    <w:name w:val="heading 3"/>
    <w:basedOn w:val="1"/>
    <w:next w:val="1"/>
    <w:link w:val="63"/>
    <w:qFormat/>
    <w:uiPriority w:val="0"/>
    <w:pPr>
      <w:keepNext/>
      <w:keepLines/>
      <w:numPr>
        <w:ilvl w:val="2"/>
        <w:numId w:val="1"/>
      </w:numPr>
      <w:spacing w:line="400" w:lineRule="exact"/>
      <w:jc w:val="center"/>
      <w:outlineLvl w:val="2"/>
    </w:pPr>
    <w:rPr>
      <w:rFonts w:ascii="Times New Roman" w:hAnsi="Times New Roman" w:eastAsia="宋体"/>
      <w:b/>
      <w:bCs/>
      <w:sz w:val="24"/>
      <w:szCs w:val="32"/>
    </w:rPr>
  </w:style>
  <w:style w:type="paragraph" w:styleId="5">
    <w:name w:val="heading 4"/>
    <w:basedOn w:val="1"/>
    <w:next w:val="1"/>
    <w:link w:val="64"/>
    <w:autoRedefine/>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link w:val="65"/>
    <w:autoRedefine/>
    <w:qFormat/>
    <w:uiPriority w:val="0"/>
    <w:pPr>
      <w:keepNext/>
      <w:keepLines/>
      <w:numPr>
        <w:ilvl w:val="4"/>
        <w:numId w:val="1"/>
      </w:numPr>
      <w:spacing w:beforeLines="0" w:afterLines="0" w:line="375" w:lineRule="auto"/>
      <w:jc w:val="center"/>
      <w:outlineLvl w:val="4"/>
    </w:pPr>
    <w:rPr>
      <w:rFonts w:ascii="Times New Roman" w:hAnsi="Times New Roman" w:eastAsia="宋体"/>
      <w:b/>
      <w:bCs/>
      <w:sz w:val="28"/>
      <w:szCs w:val="28"/>
    </w:rPr>
  </w:style>
  <w:style w:type="paragraph" w:styleId="7">
    <w:name w:val="heading 6"/>
    <w:basedOn w:val="1"/>
    <w:next w:val="1"/>
    <w:link w:val="66"/>
    <w:autoRedefine/>
    <w:qFormat/>
    <w:uiPriority w:val="0"/>
    <w:pPr>
      <w:keepNext/>
      <w:keepLines/>
      <w:numPr>
        <w:ilvl w:val="5"/>
        <w:numId w:val="1"/>
      </w:numPr>
      <w:spacing w:before="240" w:beforeLines="0" w:after="64" w:afterLines="0" w:line="319" w:lineRule="auto"/>
      <w:outlineLvl w:val="5"/>
    </w:pPr>
    <w:rPr>
      <w:rFonts w:ascii="Arial" w:hAnsi="Arial" w:eastAsia="黑体"/>
      <w:b/>
      <w:bCs/>
      <w:kern w:val="2"/>
      <w:sz w:val="24"/>
      <w:szCs w:val="24"/>
    </w:rPr>
  </w:style>
  <w:style w:type="paragraph" w:styleId="8">
    <w:name w:val="heading 7"/>
    <w:basedOn w:val="1"/>
    <w:next w:val="1"/>
    <w:link w:val="67"/>
    <w:autoRedefine/>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sz w:val="24"/>
      <w:szCs w:val="24"/>
    </w:rPr>
  </w:style>
  <w:style w:type="paragraph" w:styleId="9">
    <w:name w:val="heading 8"/>
    <w:basedOn w:val="1"/>
    <w:next w:val="1"/>
    <w:link w:val="68"/>
    <w:autoRedefine/>
    <w:qFormat/>
    <w:uiPriority w:val="0"/>
    <w:pPr>
      <w:keepNext/>
      <w:keepLines/>
      <w:numPr>
        <w:ilvl w:val="7"/>
        <w:numId w:val="1"/>
      </w:numPr>
      <w:spacing w:before="240" w:beforeLines="0" w:after="64" w:afterLines="0" w:line="319" w:lineRule="auto"/>
      <w:outlineLvl w:val="7"/>
    </w:pPr>
    <w:rPr>
      <w:rFonts w:ascii="Arial" w:hAnsi="Arial" w:eastAsia="黑体"/>
      <w:sz w:val="24"/>
      <w:szCs w:val="24"/>
    </w:rPr>
  </w:style>
  <w:style w:type="paragraph" w:styleId="10">
    <w:name w:val="heading 9"/>
    <w:basedOn w:val="1"/>
    <w:next w:val="1"/>
    <w:link w:val="69"/>
    <w:qFormat/>
    <w:uiPriority w:val="0"/>
    <w:pPr>
      <w:keepNext/>
      <w:keepLines/>
      <w:numPr>
        <w:ilvl w:val="8"/>
        <w:numId w:val="1"/>
      </w:numPr>
      <w:spacing w:before="240" w:beforeLines="0" w:after="64" w:afterLines="0" w:line="319" w:lineRule="auto"/>
      <w:outlineLvl w:val="8"/>
    </w:pPr>
    <w:rPr>
      <w:rFonts w:ascii="Arial" w:hAnsi="Arial" w:eastAsia="黑体" w:cs="Times New Roman"/>
      <w:szCs w:val="21"/>
    </w:rPr>
  </w:style>
  <w:style w:type="character" w:default="1" w:styleId="45">
    <w:name w:val="Default Paragraph Font"/>
    <w:autoRedefine/>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eastAsia="宋体" w:cs="Times New Roman"/>
      <w:szCs w:val="22"/>
    </w:rPr>
  </w:style>
  <w:style w:type="paragraph" w:styleId="12">
    <w:name w:val="Normal Indent"/>
    <w:basedOn w:val="1"/>
    <w:link w:val="70"/>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1"/>
    <w:autoRedefine/>
    <w:qFormat/>
    <w:uiPriority w:val="0"/>
    <w:pPr>
      <w:tabs>
        <w:tab w:val="right" w:leader="dot" w:pos="8302"/>
      </w:tabs>
    </w:pPr>
    <w:rPr>
      <w:rFonts w:ascii="宋体" w:hAnsi="宋体" w:eastAsia="Times New Roman"/>
      <w:sz w:val="21"/>
      <w:szCs w:val="24"/>
    </w:rPr>
  </w:style>
  <w:style w:type="paragraph" w:styleId="15">
    <w:name w:val="annotation text"/>
    <w:basedOn w:val="1"/>
    <w:link w:val="72"/>
    <w:autoRedefine/>
    <w:qFormat/>
    <w:uiPriority w:val="0"/>
    <w:pPr>
      <w:jc w:val="left"/>
    </w:pPr>
    <w:rPr>
      <w:rFonts w:ascii="Times New Roman" w:hAnsi="Times New Roman" w:cs="Times New Roman"/>
      <w:kern w:val="2"/>
      <w:sz w:val="21"/>
      <w:szCs w:val="24"/>
    </w:rPr>
  </w:style>
  <w:style w:type="paragraph" w:styleId="16">
    <w:name w:val="Body Text 3"/>
    <w:basedOn w:val="1"/>
    <w:link w:val="73"/>
    <w:autoRedefine/>
    <w:qFormat/>
    <w:uiPriority w:val="0"/>
    <w:rPr>
      <w:rFonts w:hAnsi="Times New Roman" w:cs="Times New Roman"/>
      <w:kern w:val="2"/>
      <w:sz w:val="24"/>
      <w:szCs w:val="20"/>
    </w:rPr>
  </w:style>
  <w:style w:type="paragraph" w:styleId="17">
    <w:name w:val="Body Text"/>
    <w:basedOn w:val="1"/>
    <w:next w:val="18"/>
    <w:link w:val="74"/>
    <w:autoRedefine/>
    <w:qFormat/>
    <w:uiPriority w:val="0"/>
    <w:pPr>
      <w:spacing w:after="120" w:afterLines="0"/>
    </w:pPr>
    <w:rPr>
      <w:rFonts w:ascii="Times New Roman" w:hAnsi="Times New Roman" w:cs="Times New Roman"/>
      <w:kern w:val="2"/>
      <w:sz w:val="21"/>
      <w:szCs w:val="24"/>
    </w:rPr>
  </w:style>
  <w:style w:type="paragraph" w:styleId="18">
    <w:name w:val="Body Text 2"/>
    <w:basedOn w:val="1"/>
    <w:next w:val="17"/>
    <w:autoRedefine/>
    <w:qFormat/>
    <w:uiPriority w:val="0"/>
    <w:pPr>
      <w:spacing w:after="120" w:line="480" w:lineRule="auto"/>
    </w:pPr>
  </w:style>
  <w:style w:type="paragraph" w:styleId="19">
    <w:name w:val="Body Text Indent"/>
    <w:basedOn w:val="1"/>
    <w:next w:val="20"/>
    <w:link w:val="75"/>
    <w:autoRedefine/>
    <w:qFormat/>
    <w:uiPriority w:val="0"/>
    <w:pPr>
      <w:spacing w:after="120" w:afterLines="0"/>
      <w:ind w:left="420" w:leftChars="200"/>
    </w:pPr>
    <w:rPr>
      <w:rFonts w:ascii="Times New Roman" w:hAnsi="Times New Roman" w:cs="Times New Roman"/>
      <w:kern w:val="2"/>
      <w:sz w:val="21"/>
      <w:szCs w:val="24"/>
    </w:rPr>
  </w:style>
  <w:style w:type="paragraph" w:styleId="20">
    <w:name w:val="envelope return"/>
    <w:basedOn w:val="1"/>
    <w:autoRedefine/>
    <w:unhideWhenUsed/>
    <w:qFormat/>
    <w:uiPriority w:val="99"/>
    <w:pPr>
      <w:snapToGrid w:val="0"/>
      <w:spacing w:after="100" w:afterAutospacing="1"/>
    </w:pPr>
    <w:rPr>
      <w:rFonts w:ascii="Cambria" w:hAnsi="Cambria"/>
    </w:rPr>
  </w:style>
  <w:style w:type="paragraph" w:styleId="21">
    <w:name w:val="toc 3"/>
    <w:basedOn w:val="1"/>
    <w:next w:val="1"/>
    <w:autoRedefine/>
    <w:qFormat/>
    <w:uiPriority w:val="39"/>
    <w:pPr>
      <w:ind w:left="840" w:leftChars="400"/>
    </w:pPr>
  </w:style>
  <w:style w:type="paragraph" w:styleId="22">
    <w:name w:val="Plain Text"/>
    <w:basedOn w:val="1"/>
    <w:link w:val="76"/>
    <w:autoRedefine/>
    <w:qFormat/>
    <w:uiPriority w:val="0"/>
    <w:rPr>
      <w:rFonts w:hAnsi="Courier New" w:cs="Courier New"/>
      <w:kern w:val="2"/>
      <w:sz w:val="21"/>
      <w:szCs w:val="21"/>
    </w:rPr>
  </w:style>
  <w:style w:type="paragraph" w:styleId="23">
    <w:name w:val="toc 8"/>
    <w:basedOn w:val="1"/>
    <w:next w:val="1"/>
    <w:autoRedefine/>
    <w:qFormat/>
    <w:uiPriority w:val="39"/>
    <w:pPr>
      <w:ind w:left="2940" w:leftChars="1400"/>
    </w:pPr>
    <w:rPr>
      <w:rFonts w:ascii="Calibri" w:hAnsi="Calibri" w:eastAsia="宋体" w:cs="Times New Roman"/>
      <w:szCs w:val="22"/>
    </w:rPr>
  </w:style>
  <w:style w:type="paragraph" w:styleId="24">
    <w:name w:val="Date"/>
    <w:basedOn w:val="1"/>
    <w:next w:val="1"/>
    <w:link w:val="77"/>
    <w:autoRedefine/>
    <w:qFormat/>
    <w:uiPriority w:val="0"/>
    <w:rPr>
      <w:rFonts w:ascii="Times New Roman" w:hAnsi="Times New Roman" w:cs="Times New Roman"/>
      <w:kern w:val="2"/>
      <w:sz w:val="24"/>
      <w:szCs w:val="20"/>
    </w:rPr>
  </w:style>
  <w:style w:type="paragraph" w:styleId="25">
    <w:name w:val="Balloon Text"/>
    <w:basedOn w:val="1"/>
    <w:link w:val="78"/>
    <w:autoRedefine/>
    <w:qFormat/>
    <w:uiPriority w:val="0"/>
    <w:rPr>
      <w:rFonts w:ascii="Times New Roman" w:hAnsi="Times New Roman" w:cs="Times New Roman"/>
      <w:kern w:val="2"/>
      <w:sz w:val="18"/>
      <w:szCs w:val="18"/>
    </w:rPr>
  </w:style>
  <w:style w:type="paragraph" w:styleId="26">
    <w:name w:val="footer"/>
    <w:basedOn w:val="1"/>
    <w:link w:val="79"/>
    <w:autoRedefine/>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27">
    <w:name w:val="header"/>
    <w:basedOn w:val="1"/>
    <w:link w:val="80"/>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28">
    <w:name w:val="toc 1"/>
    <w:basedOn w:val="1"/>
    <w:next w:val="1"/>
    <w:autoRedefine/>
    <w:qFormat/>
    <w:uiPriority w:val="39"/>
    <w:pPr>
      <w:widowControl/>
      <w:spacing w:after="100" w:afterLines="0" w:line="276" w:lineRule="auto"/>
      <w:jc w:val="center"/>
    </w:pPr>
    <w:rPr>
      <w:rFonts w:ascii="Calibri" w:hAnsi="Calibri"/>
      <w:kern w:val="0"/>
      <w:sz w:val="22"/>
      <w:szCs w:val="22"/>
    </w:rPr>
  </w:style>
  <w:style w:type="paragraph" w:styleId="29">
    <w:name w:val="toc 4"/>
    <w:basedOn w:val="1"/>
    <w:next w:val="1"/>
    <w:autoRedefine/>
    <w:qFormat/>
    <w:uiPriority w:val="39"/>
    <w:pPr>
      <w:ind w:left="1260" w:leftChars="600"/>
    </w:pPr>
    <w:rPr>
      <w:rFonts w:ascii="Calibri" w:hAnsi="Calibri" w:eastAsia="宋体" w:cs="Times New Roman"/>
      <w:szCs w:val="22"/>
    </w:rPr>
  </w:style>
  <w:style w:type="paragraph" w:styleId="30">
    <w:name w:val="footnote text"/>
    <w:basedOn w:val="1"/>
    <w:autoRedefine/>
    <w:qFormat/>
    <w:uiPriority w:val="99"/>
    <w:rPr>
      <w:sz w:val="20"/>
      <w:szCs w:val="20"/>
    </w:rPr>
  </w:style>
  <w:style w:type="paragraph" w:styleId="31">
    <w:name w:val="toc 6"/>
    <w:basedOn w:val="1"/>
    <w:next w:val="1"/>
    <w:autoRedefine/>
    <w:qFormat/>
    <w:uiPriority w:val="39"/>
    <w:pPr>
      <w:ind w:left="2100" w:leftChars="1000"/>
    </w:pPr>
    <w:rPr>
      <w:rFonts w:ascii="Calibri" w:hAnsi="Calibri" w:eastAsia="宋体" w:cs="Times New Roman"/>
      <w:szCs w:val="22"/>
    </w:rPr>
  </w:style>
  <w:style w:type="paragraph" w:styleId="32">
    <w:name w:val="List 5"/>
    <w:basedOn w:val="1"/>
    <w:autoRedefine/>
    <w:qFormat/>
    <w:uiPriority w:val="0"/>
    <w:pPr>
      <w:ind w:left="2100" w:hanging="420"/>
    </w:pPr>
    <w:rPr>
      <w:rFonts w:eastAsia="楷体_GB2312"/>
      <w:sz w:val="32"/>
      <w:szCs w:val="20"/>
    </w:rPr>
  </w:style>
  <w:style w:type="paragraph" w:styleId="33">
    <w:name w:val="Body Text Indent 3"/>
    <w:basedOn w:val="1"/>
    <w:link w:val="81"/>
    <w:autoRedefine/>
    <w:qFormat/>
    <w:uiPriority w:val="0"/>
    <w:pPr>
      <w:spacing w:after="120" w:afterLines="0"/>
      <w:ind w:left="420" w:leftChars="200"/>
    </w:pPr>
    <w:rPr>
      <w:rFonts w:ascii="Times New Roman" w:hAnsi="Times New Roman" w:cs="Times New Roman"/>
      <w:kern w:val="2"/>
      <w:sz w:val="16"/>
      <w:szCs w:val="16"/>
    </w:rPr>
  </w:style>
  <w:style w:type="paragraph" w:styleId="34">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35">
    <w:name w:val="toc 9"/>
    <w:basedOn w:val="1"/>
    <w:next w:val="1"/>
    <w:autoRedefine/>
    <w:qFormat/>
    <w:uiPriority w:val="39"/>
    <w:pPr>
      <w:ind w:left="3360" w:leftChars="1600"/>
    </w:pPr>
    <w:rPr>
      <w:rFonts w:ascii="Calibri" w:hAnsi="Calibri" w:eastAsia="宋体" w:cs="Times New Roman"/>
      <w:szCs w:val="22"/>
    </w:rPr>
  </w:style>
  <w:style w:type="paragraph" w:styleId="36">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7">
    <w:name w:val="Normal (Web)"/>
    <w:basedOn w:val="1"/>
    <w:next w:val="1"/>
    <w:autoRedefine/>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1"/>
    </w:rPr>
  </w:style>
  <w:style w:type="paragraph" w:styleId="39">
    <w:name w:val="Title"/>
    <w:basedOn w:val="1"/>
    <w:next w:val="1"/>
    <w:link w:val="82"/>
    <w:autoRedefine/>
    <w:qFormat/>
    <w:uiPriority w:val="0"/>
    <w:pPr>
      <w:adjustRightInd w:val="0"/>
      <w:spacing w:before="240" w:beforeLines="0" w:after="60" w:afterLines="0" w:line="420" w:lineRule="atLeast"/>
      <w:jc w:val="center"/>
      <w:textAlignment w:val="baseline"/>
      <w:outlineLvl w:val="0"/>
    </w:pPr>
    <w:rPr>
      <w:rFonts w:ascii="Arial" w:hAnsi="Arial" w:cs="Times New Roman"/>
      <w:b/>
      <w:sz w:val="32"/>
      <w:szCs w:val="20"/>
    </w:rPr>
  </w:style>
  <w:style w:type="paragraph" w:styleId="40">
    <w:name w:val="annotation subject"/>
    <w:basedOn w:val="15"/>
    <w:next w:val="15"/>
    <w:link w:val="83"/>
    <w:autoRedefine/>
    <w:qFormat/>
    <w:uiPriority w:val="0"/>
    <w:rPr>
      <w:b/>
      <w:bCs/>
    </w:rPr>
  </w:style>
  <w:style w:type="paragraph" w:styleId="41">
    <w:name w:val="Body Text First Indent"/>
    <w:basedOn w:val="17"/>
    <w:next w:val="1"/>
    <w:autoRedefine/>
    <w:qFormat/>
    <w:uiPriority w:val="0"/>
    <w:pPr>
      <w:ind w:firstLine="420"/>
    </w:pPr>
    <w:rPr>
      <w:rFonts w:eastAsia="楷体_GB2312"/>
      <w:sz w:val="32"/>
      <w:szCs w:val="20"/>
    </w:rPr>
  </w:style>
  <w:style w:type="paragraph" w:styleId="42">
    <w:name w:val="Body Text First Indent 2"/>
    <w:basedOn w:val="1"/>
    <w:next w:val="1"/>
    <w:autoRedefine/>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rFonts w:ascii="Times New Roman" w:hAnsi="Times New Roman" w:eastAsia="宋体" w:cs="Times New Roman"/>
    </w:rPr>
  </w:style>
  <w:style w:type="character" w:styleId="47">
    <w:name w:val="page number"/>
    <w:basedOn w:val="45"/>
    <w:autoRedefine/>
    <w:qFormat/>
    <w:uiPriority w:val="0"/>
    <w:rPr>
      <w:rFonts w:ascii="Times New Roman" w:hAnsi="Times New Roman" w:eastAsia="宋体" w:cs="Times New Roman"/>
    </w:rPr>
  </w:style>
  <w:style w:type="character" w:styleId="48">
    <w:name w:val="FollowedHyperlink"/>
    <w:basedOn w:val="45"/>
    <w:autoRedefine/>
    <w:qFormat/>
    <w:uiPriority w:val="0"/>
    <w:rPr>
      <w:rFonts w:ascii="Times New Roman" w:hAnsi="Times New Roman" w:eastAsia="宋体" w:cs="Times New Roman"/>
      <w:color w:val="333333"/>
      <w:sz w:val="18"/>
      <w:szCs w:val="18"/>
      <w:u w:val="none"/>
    </w:rPr>
  </w:style>
  <w:style w:type="character" w:styleId="49">
    <w:name w:val="Emphasis"/>
    <w:basedOn w:val="45"/>
    <w:autoRedefine/>
    <w:qFormat/>
    <w:uiPriority w:val="0"/>
    <w:rPr>
      <w:rFonts w:ascii="Times New Roman" w:hAnsi="Times New Roman" w:eastAsia="宋体" w:cs="Times New Roman"/>
    </w:rPr>
  </w:style>
  <w:style w:type="character" w:styleId="50">
    <w:name w:val="HTML Definition"/>
    <w:basedOn w:val="45"/>
    <w:autoRedefine/>
    <w:qFormat/>
    <w:uiPriority w:val="0"/>
    <w:rPr>
      <w:rFonts w:ascii="Times New Roman" w:hAnsi="Times New Roman" w:eastAsia="宋体" w:cs="Times New Roman"/>
    </w:rPr>
  </w:style>
  <w:style w:type="character" w:styleId="51">
    <w:name w:val="HTML Typewriter"/>
    <w:basedOn w:val="45"/>
    <w:autoRedefine/>
    <w:qFormat/>
    <w:uiPriority w:val="0"/>
    <w:rPr>
      <w:rFonts w:hint="default" w:ascii="monospace" w:hAnsi="monospace" w:eastAsia="monospace" w:cs="monospace"/>
      <w:sz w:val="20"/>
    </w:rPr>
  </w:style>
  <w:style w:type="character" w:styleId="52">
    <w:name w:val="HTML Acronym"/>
    <w:basedOn w:val="45"/>
    <w:autoRedefine/>
    <w:qFormat/>
    <w:uiPriority w:val="0"/>
    <w:rPr>
      <w:rFonts w:ascii="Times New Roman" w:hAnsi="Times New Roman" w:eastAsia="宋体" w:cs="Times New Roman"/>
    </w:rPr>
  </w:style>
  <w:style w:type="character" w:styleId="53">
    <w:name w:val="HTML Variable"/>
    <w:basedOn w:val="45"/>
    <w:autoRedefine/>
    <w:qFormat/>
    <w:uiPriority w:val="0"/>
    <w:rPr>
      <w:rFonts w:ascii="Times New Roman" w:hAnsi="Times New Roman" w:eastAsia="宋体" w:cs="Times New Roman"/>
    </w:rPr>
  </w:style>
  <w:style w:type="character" w:styleId="54">
    <w:name w:val="Hyperlink"/>
    <w:basedOn w:val="45"/>
    <w:autoRedefine/>
    <w:qFormat/>
    <w:uiPriority w:val="99"/>
    <w:rPr>
      <w:rFonts w:ascii="Times New Roman" w:hAnsi="Times New Roman" w:eastAsia="宋体" w:cs="Times New Roman"/>
      <w:color w:val="333333"/>
      <w:sz w:val="18"/>
      <w:szCs w:val="18"/>
      <w:u w:val="none"/>
    </w:rPr>
  </w:style>
  <w:style w:type="character" w:styleId="55">
    <w:name w:val="HTML Code"/>
    <w:basedOn w:val="45"/>
    <w:autoRedefine/>
    <w:qFormat/>
    <w:uiPriority w:val="0"/>
    <w:rPr>
      <w:rFonts w:ascii="monospace" w:hAnsi="monospace" w:eastAsia="monospace" w:cs="monospace"/>
      <w:sz w:val="20"/>
    </w:rPr>
  </w:style>
  <w:style w:type="character" w:styleId="56">
    <w:name w:val="annotation reference"/>
    <w:basedOn w:val="45"/>
    <w:autoRedefine/>
    <w:qFormat/>
    <w:uiPriority w:val="0"/>
    <w:rPr>
      <w:rFonts w:ascii="Times New Roman" w:hAnsi="Times New Roman" w:eastAsia="宋体" w:cs="Times New Roman"/>
      <w:sz w:val="21"/>
      <w:szCs w:val="21"/>
    </w:rPr>
  </w:style>
  <w:style w:type="character" w:styleId="57">
    <w:name w:val="HTML Cite"/>
    <w:basedOn w:val="45"/>
    <w:autoRedefine/>
    <w:qFormat/>
    <w:uiPriority w:val="0"/>
    <w:rPr>
      <w:rFonts w:ascii="Times New Roman" w:hAnsi="Times New Roman" w:eastAsia="宋体" w:cs="Times New Roman"/>
    </w:rPr>
  </w:style>
  <w:style w:type="character" w:styleId="58">
    <w:name w:val="HTML Keyboard"/>
    <w:basedOn w:val="45"/>
    <w:autoRedefine/>
    <w:qFormat/>
    <w:uiPriority w:val="0"/>
    <w:rPr>
      <w:rFonts w:hint="default" w:ascii="monospace" w:hAnsi="monospace" w:eastAsia="monospace" w:cs="monospace"/>
      <w:sz w:val="20"/>
    </w:rPr>
  </w:style>
  <w:style w:type="character" w:styleId="59">
    <w:name w:val="HTML Sample"/>
    <w:basedOn w:val="45"/>
    <w:autoRedefine/>
    <w:qFormat/>
    <w:uiPriority w:val="0"/>
    <w:rPr>
      <w:rFonts w:hint="default" w:ascii="monospace" w:hAnsi="monospace" w:eastAsia="monospace" w:cs="monospace"/>
    </w:rPr>
  </w:style>
  <w:style w:type="paragraph" w:customStyle="1" w:styleId="60">
    <w:name w:val="toc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61">
    <w:name w:val="标题 1 Char"/>
    <w:basedOn w:val="45"/>
    <w:link w:val="2"/>
    <w:autoRedefine/>
    <w:qFormat/>
    <w:uiPriority w:val="0"/>
    <w:rPr>
      <w:rFonts w:ascii="Times New Roman" w:hAnsi="Times New Roman" w:eastAsia="宋体" w:cs="Times New Roman"/>
      <w:b/>
      <w:bCs/>
      <w:kern w:val="44"/>
      <w:sz w:val="36"/>
      <w:szCs w:val="44"/>
    </w:rPr>
  </w:style>
  <w:style w:type="character" w:customStyle="1" w:styleId="62">
    <w:name w:val="标题 2 Char"/>
    <w:basedOn w:val="45"/>
    <w:link w:val="3"/>
    <w:autoRedefine/>
    <w:qFormat/>
    <w:uiPriority w:val="0"/>
    <w:rPr>
      <w:rFonts w:ascii="Arial" w:hAnsi="Arial" w:eastAsia="宋体" w:cs="Times New Roman"/>
      <w:bCs/>
      <w:sz w:val="30"/>
      <w:szCs w:val="32"/>
    </w:rPr>
  </w:style>
  <w:style w:type="character" w:customStyle="1" w:styleId="63">
    <w:name w:val="标题 3 Char"/>
    <w:basedOn w:val="45"/>
    <w:link w:val="4"/>
    <w:autoRedefine/>
    <w:qFormat/>
    <w:uiPriority w:val="0"/>
    <w:rPr>
      <w:rFonts w:ascii="Times New Roman" w:hAnsi="Times New Roman" w:eastAsia="宋体" w:cs="Times New Roman"/>
      <w:b/>
      <w:bCs/>
      <w:sz w:val="24"/>
      <w:szCs w:val="32"/>
    </w:rPr>
  </w:style>
  <w:style w:type="character" w:customStyle="1" w:styleId="64">
    <w:name w:val="标题 4 Char"/>
    <w:basedOn w:val="45"/>
    <w:link w:val="5"/>
    <w:autoRedefine/>
    <w:qFormat/>
    <w:uiPriority w:val="0"/>
    <w:rPr>
      <w:rFonts w:ascii="Arial" w:hAnsi="Arial" w:eastAsia="黑体" w:cs="Times New Roman"/>
      <w:b/>
      <w:bCs/>
      <w:sz w:val="28"/>
      <w:szCs w:val="28"/>
    </w:rPr>
  </w:style>
  <w:style w:type="character" w:customStyle="1" w:styleId="65">
    <w:name w:val="标题 5 Char"/>
    <w:basedOn w:val="45"/>
    <w:link w:val="6"/>
    <w:autoRedefine/>
    <w:qFormat/>
    <w:uiPriority w:val="0"/>
    <w:rPr>
      <w:rFonts w:ascii="Times New Roman" w:hAnsi="Times New Roman" w:eastAsia="宋体" w:cs="Times New Roman"/>
      <w:b/>
      <w:bCs/>
      <w:sz w:val="28"/>
      <w:szCs w:val="28"/>
    </w:rPr>
  </w:style>
  <w:style w:type="character" w:customStyle="1" w:styleId="66">
    <w:name w:val="标题 6 Char"/>
    <w:basedOn w:val="45"/>
    <w:link w:val="7"/>
    <w:autoRedefine/>
    <w:qFormat/>
    <w:uiPriority w:val="0"/>
    <w:rPr>
      <w:rFonts w:ascii="Arial" w:hAnsi="Arial" w:eastAsia="黑体" w:cs="Times New Roman"/>
      <w:b/>
      <w:bCs/>
      <w:kern w:val="2"/>
      <w:sz w:val="24"/>
      <w:szCs w:val="24"/>
    </w:rPr>
  </w:style>
  <w:style w:type="character" w:customStyle="1" w:styleId="67">
    <w:name w:val="标题 7 Char"/>
    <w:basedOn w:val="45"/>
    <w:link w:val="8"/>
    <w:autoRedefine/>
    <w:qFormat/>
    <w:uiPriority w:val="0"/>
    <w:rPr>
      <w:rFonts w:ascii="Times New Roman" w:hAnsi="Times New Roman" w:eastAsia="仿宋_GB2312" w:cs="Times New Roman"/>
      <w:b/>
      <w:bCs/>
      <w:sz w:val="24"/>
      <w:szCs w:val="24"/>
    </w:rPr>
  </w:style>
  <w:style w:type="character" w:customStyle="1" w:styleId="68">
    <w:name w:val="标题 8 Char"/>
    <w:basedOn w:val="45"/>
    <w:link w:val="9"/>
    <w:autoRedefine/>
    <w:qFormat/>
    <w:uiPriority w:val="0"/>
    <w:rPr>
      <w:rFonts w:ascii="Arial" w:hAnsi="Arial" w:eastAsia="黑体" w:cs="Times New Roman"/>
      <w:sz w:val="24"/>
      <w:szCs w:val="24"/>
    </w:rPr>
  </w:style>
  <w:style w:type="character" w:customStyle="1" w:styleId="69">
    <w:name w:val="标题 9 Char"/>
    <w:basedOn w:val="45"/>
    <w:link w:val="10"/>
    <w:autoRedefine/>
    <w:qFormat/>
    <w:uiPriority w:val="0"/>
    <w:rPr>
      <w:rFonts w:ascii="Arial" w:hAnsi="Arial" w:eastAsia="黑体" w:cs="Times New Roman"/>
      <w:szCs w:val="21"/>
    </w:rPr>
  </w:style>
  <w:style w:type="character" w:customStyle="1" w:styleId="70">
    <w:name w:val="正文缩进 Char"/>
    <w:link w:val="12"/>
    <w:autoRedefine/>
    <w:qFormat/>
    <w:uiPriority w:val="0"/>
    <w:rPr>
      <w:rFonts w:ascii="Times New Roman" w:hAnsi="Times New Roman" w:eastAsia="宋体" w:cs="Times New Roman"/>
    </w:rPr>
  </w:style>
  <w:style w:type="character" w:customStyle="1" w:styleId="71">
    <w:name w:val="文档结构图 Char1"/>
    <w:link w:val="14"/>
    <w:autoRedefine/>
    <w:qFormat/>
    <w:uiPriority w:val="0"/>
    <w:rPr>
      <w:rFonts w:ascii="宋体" w:hAnsi="宋体" w:eastAsia="Times New Roman" w:cs="Times New Roman"/>
      <w:sz w:val="21"/>
      <w:szCs w:val="24"/>
    </w:rPr>
  </w:style>
  <w:style w:type="character" w:customStyle="1" w:styleId="72">
    <w:name w:val="批注文字 Char"/>
    <w:basedOn w:val="45"/>
    <w:link w:val="15"/>
    <w:autoRedefine/>
    <w:qFormat/>
    <w:uiPriority w:val="0"/>
    <w:rPr>
      <w:rFonts w:ascii="Times New Roman" w:hAnsi="Times New Roman" w:eastAsia="宋体" w:cs="Times New Roman"/>
      <w:kern w:val="2"/>
      <w:sz w:val="21"/>
      <w:szCs w:val="24"/>
    </w:rPr>
  </w:style>
  <w:style w:type="character" w:customStyle="1" w:styleId="73">
    <w:name w:val="正文文本 3 Char"/>
    <w:basedOn w:val="45"/>
    <w:link w:val="16"/>
    <w:autoRedefine/>
    <w:qFormat/>
    <w:uiPriority w:val="0"/>
    <w:rPr>
      <w:rFonts w:ascii="Times New Roman" w:hAnsi="Times New Roman" w:eastAsia="宋体" w:cs="Times New Roman"/>
      <w:kern w:val="2"/>
      <w:sz w:val="24"/>
      <w:szCs w:val="20"/>
    </w:rPr>
  </w:style>
  <w:style w:type="character" w:customStyle="1" w:styleId="74">
    <w:name w:val="正文文本 Char"/>
    <w:basedOn w:val="45"/>
    <w:link w:val="17"/>
    <w:autoRedefine/>
    <w:qFormat/>
    <w:uiPriority w:val="0"/>
    <w:rPr>
      <w:rFonts w:ascii="Times New Roman" w:hAnsi="Times New Roman" w:eastAsia="宋体" w:cs="Times New Roman"/>
      <w:kern w:val="2"/>
      <w:sz w:val="21"/>
      <w:szCs w:val="24"/>
    </w:rPr>
  </w:style>
  <w:style w:type="character" w:customStyle="1" w:styleId="75">
    <w:name w:val="正文文本缩进 Char"/>
    <w:basedOn w:val="45"/>
    <w:link w:val="19"/>
    <w:autoRedefine/>
    <w:qFormat/>
    <w:uiPriority w:val="0"/>
    <w:rPr>
      <w:rFonts w:ascii="Times New Roman" w:hAnsi="Times New Roman" w:eastAsia="宋体" w:cs="Times New Roman"/>
      <w:kern w:val="2"/>
      <w:sz w:val="21"/>
      <w:szCs w:val="24"/>
    </w:rPr>
  </w:style>
  <w:style w:type="character" w:customStyle="1" w:styleId="76">
    <w:name w:val="纯文本 Char"/>
    <w:basedOn w:val="45"/>
    <w:link w:val="22"/>
    <w:autoRedefine/>
    <w:qFormat/>
    <w:uiPriority w:val="0"/>
    <w:rPr>
      <w:rFonts w:ascii="Times New Roman" w:hAnsi="Courier New" w:eastAsia="宋体" w:cs="Courier New"/>
      <w:kern w:val="2"/>
      <w:sz w:val="21"/>
      <w:szCs w:val="21"/>
    </w:rPr>
  </w:style>
  <w:style w:type="character" w:customStyle="1" w:styleId="77">
    <w:name w:val="日期 Char"/>
    <w:basedOn w:val="45"/>
    <w:link w:val="24"/>
    <w:autoRedefine/>
    <w:qFormat/>
    <w:uiPriority w:val="0"/>
    <w:rPr>
      <w:rFonts w:ascii="Times New Roman" w:hAnsi="Times New Roman" w:eastAsia="宋体" w:cs="Times New Roman"/>
      <w:kern w:val="2"/>
      <w:sz w:val="24"/>
      <w:szCs w:val="20"/>
    </w:rPr>
  </w:style>
  <w:style w:type="character" w:customStyle="1" w:styleId="78">
    <w:name w:val="批注框文本 Char"/>
    <w:basedOn w:val="45"/>
    <w:link w:val="25"/>
    <w:autoRedefine/>
    <w:qFormat/>
    <w:uiPriority w:val="0"/>
    <w:rPr>
      <w:rFonts w:ascii="Times New Roman" w:hAnsi="Times New Roman" w:eastAsia="宋体" w:cs="Times New Roman"/>
      <w:kern w:val="2"/>
      <w:sz w:val="18"/>
      <w:szCs w:val="18"/>
    </w:rPr>
  </w:style>
  <w:style w:type="character" w:customStyle="1" w:styleId="79">
    <w:name w:val="页脚 Char"/>
    <w:basedOn w:val="45"/>
    <w:link w:val="26"/>
    <w:autoRedefine/>
    <w:qFormat/>
    <w:uiPriority w:val="99"/>
    <w:rPr>
      <w:rFonts w:ascii="Times New Roman" w:hAnsi="Times New Roman" w:eastAsia="宋体" w:cs="Times New Roman"/>
      <w:kern w:val="2"/>
      <w:sz w:val="18"/>
      <w:szCs w:val="18"/>
    </w:rPr>
  </w:style>
  <w:style w:type="character" w:customStyle="1" w:styleId="80">
    <w:name w:val="页眉 Char"/>
    <w:basedOn w:val="45"/>
    <w:link w:val="27"/>
    <w:autoRedefine/>
    <w:qFormat/>
    <w:uiPriority w:val="99"/>
    <w:rPr>
      <w:rFonts w:ascii="Times New Roman" w:hAnsi="Times New Roman" w:eastAsia="宋体" w:cs="Times New Roman"/>
      <w:kern w:val="2"/>
      <w:sz w:val="18"/>
      <w:szCs w:val="18"/>
    </w:rPr>
  </w:style>
  <w:style w:type="character" w:customStyle="1" w:styleId="81">
    <w:name w:val="正文文本缩进 3 Char"/>
    <w:basedOn w:val="45"/>
    <w:link w:val="33"/>
    <w:autoRedefine/>
    <w:qFormat/>
    <w:uiPriority w:val="0"/>
    <w:rPr>
      <w:rFonts w:ascii="Times New Roman" w:hAnsi="Times New Roman" w:eastAsia="宋体" w:cs="Times New Roman"/>
      <w:kern w:val="2"/>
      <w:sz w:val="16"/>
      <w:szCs w:val="16"/>
    </w:rPr>
  </w:style>
  <w:style w:type="character" w:customStyle="1" w:styleId="82">
    <w:name w:val="标题 Char"/>
    <w:basedOn w:val="45"/>
    <w:link w:val="39"/>
    <w:autoRedefine/>
    <w:qFormat/>
    <w:uiPriority w:val="0"/>
    <w:rPr>
      <w:rFonts w:ascii="Arial" w:hAnsi="Arial" w:eastAsia="宋体" w:cs="Times New Roman"/>
      <w:b/>
      <w:sz w:val="32"/>
      <w:szCs w:val="20"/>
    </w:rPr>
  </w:style>
  <w:style w:type="character" w:customStyle="1" w:styleId="83">
    <w:name w:val="批注主题 Char"/>
    <w:basedOn w:val="72"/>
    <w:link w:val="40"/>
    <w:autoRedefine/>
    <w:qFormat/>
    <w:uiPriority w:val="0"/>
    <w:rPr>
      <w:b/>
      <w:bCs/>
    </w:rPr>
  </w:style>
  <w:style w:type="character" w:customStyle="1" w:styleId="84">
    <w:name w:val="页脚 字符"/>
    <w:autoRedefine/>
    <w:qFormat/>
    <w:uiPriority w:val="99"/>
    <w:rPr>
      <w:rFonts w:ascii="Times New Roman" w:hAnsi="Times New Roman" w:eastAsia="宋体" w:cs="Times New Roman"/>
      <w:kern w:val="2"/>
      <w:sz w:val="18"/>
      <w:szCs w:val="18"/>
    </w:rPr>
  </w:style>
  <w:style w:type="character" w:customStyle="1" w:styleId="85">
    <w:name w:val="font161"/>
    <w:basedOn w:val="45"/>
    <w:autoRedefine/>
    <w:qFormat/>
    <w:uiPriority w:val="0"/>
    <w:rPr>
      <w:rFonts w:ascii="Times New Roman" w:hAnsi="Times New Roman" w:eastAsia="宋体" w:cs="Times New Roman"/>
      <w:b/>
      <w:bCs/>
      <w:sz w:val="32"/>
      <w:szCs w:val="32"/>
    </w:rPr>
  </w:style>
  <w:style w:type="character" w:customStyle="1" w:styleId="86">
    <w:name w:val="font61"/>
    <w:basedOn w:val="45"/>
    <w:autoRedefine/>
    <w:qFormat/>
    <w:uiPriority w:val="0"/>
    <w:rPr>
      <w:rFonts w:hint="eastAsia" w:ascii="宋体" w:hAnsi="宋体" w:eastAsia="宋体" w:cs="宋体"/>
      <w:color w:val="000000"/>
      <w:sz w:val="24"/>
      <w:szCs w:val="24"/>
      <w:u w:val="none"/>
    </w:rPr>
  </w:style>
  <w:style w:type="character" w:customStyle="1" w:styleId="87">
    <w:name w:val="font41"/>
    <w:basedOn w:val="45"/>
    <w:autoRedefine/>
    <w:qFormat/>
    <w:uiPriority w:val="0"/>
    <w:rPr>
      <w:rFonts w:hint="default" w:ascii="仿宋_GB2312" w:hAnsi="Times New Roman" w:eastAsia="仿宋_GB2312" w:cs="仿宋_GB2312"/>
      <w:color w:val="000000"/>
      <w:sz w:val="22"/>
      <w:szCs w:val="22"/>
      <w:u w:val="none"/>
    </w:rPr>
  </w:style>
  <w:style w:type="character" w:customStyle="1" w:styleId="88">
    <w:name w:val="dash6b63_6587__char1"/>
    <w:autoRedefine/>
    <w:qFormat/>
    <w:uiPriority w:val="0"/>
    <w:rPr>
      <w:rFonts w:ascii="Calibri" w:hAnsi="Calibri" w:eastAsia="宋体" w:cs="Calibri"/>
      <w:sz w:val="20"/>
      <w:szCs w:val="20"/>
    </w:rPr>
  </w:style>
  <w:style w:type="character" w:customStyle="1" w:styleId="89">
    <w:name w:val="font01"/>
    <w:basedOn w:val="45"/>
    <w:autoRedefine/>
    <w:qFormat/>
    <w:uiPriority w:val="0"/>
    <w:rPr>
      <w:rFonts w:hint="eastAsia" w:ascii="宋体" w:hAnsi="宋体" w:eastAsia="宋体" w:cs="宋体"/>
      <w:color w:val="000000"/>
      <w:sz w:val="24"/>
      <w:szCs w:val="24"/>
      <w:u w:val="none"/>
    </w:rPr>
  </w:style>
  <w:style w:type="character" w:customStyle="1" w:styleId="90">
    <w:name w:val="hover16"/>
    <w:basedOn w:val="45"/>
    <w:autoRedefine/>
    <w:qFormat/>
    <w:uiPriority w:val="0"/>
  </w:style>
  <w:style w:type="character" w:customStyle="1" w:styleId="91">
    <w:name w:val="font151"/>
    <w:basedOn w:val="45"/>
    <w:autoRedefine/>
    <w:qFormat/>
    <w:uiPriority w:val="0"/>
    <w:rPr>
      <w:rFonts w:ascii="微软雅黑" w:hAnsi="微软雅黑" w:eastAsia="微软雅黑" w:cs="微软雅黑"/>
      <w:color w:val="000000"/>
      <w:sz w:val="22"/>
      <w:szCs w:val="22"/>
      <w:u w:val="none"/>
    </w:rPr>
  </w:style>
  <w:style w:type="character" w:customStyle="1" w:styleId="92">
    <w:name w:val="hover"/>
    <w:basedOn w:val="45"/>
    <w:autoRedefine/>
    <w:qFormat/>
    <w:uiPriority w:val="0"/>
  </w:style>
  <w:style w:type="character" w:customStyle="1" w:styleId="93">
    <w:name w:val="font31"/>
    <w:basedOn w:val="45"/>
    <w:autoRedefine/>
    <w:qFormat/>
    <w:uiPriority w:val="0"/>
    <w:rPr>
      <w:rFonts w:hint="eastAsia" w:ascii="宋体" w:hAnsi="宋体" w:eastAsia="宋体" w:cs="宋体"/>
      <w:color w:val="000000"/>
      <w:sz w:val="20"/>
      <w:szCs w:val="20"/>
      <w:u w:val="none"/>
    </w:rPr>
  </w:style>
  <w:style w:type="character" w:customStyle="1" w:styleId="94">
    <w:name w:val="font51"/>
    <w:basedOn w:val="45"/>
    <w:autoRedefine/>
    <w:qFormat/>
    <w:uiPriority w:val="0"/>
    <w:rPr>
      <w:rFonts w:hint="eastAsia" w:ascii="宋体" w:hAnsi="宋体" w:eastAsia="宋体" w:cs="宋体"/>
      <w:color w:val="000000"/>
      <w:sz w:val="24"/>
      <w:szCs w:val="24"/>
      <w:u w:val="none"/>
    </w:rPr>
  </w:style>
  <w:style w:type="character" w:customStyle="1" w:styleId="95">
    <w:name w:val="Char Char Char Char Char Char Char Char Char"/>
    <w:autoRedefine/>
    <w:qFormat/>
    <w:uiPriority w:val="0"/>
    <w:rPr>
      <w:rFonts w:ascii="Times New Roman" w:hAnsi="Times New Roman" w:eastAsia="宋体" w:cs="Times New Roman"/>
      <w:b/>
      <w:bCs/>
      <w:kern w:val="44"/>
      <w:sz w:val="44"/>
      <w:szCs w:val="44"/>
      <w:lang w:val="en-US" w:eastAsia="zh-CN" w:bidi="ar-SA"/>
    </w:rPr>
  </w:style>
  <w:style w:type="character" w:customStyle="1" w:styleId="96">
    <w:name w:val="文档结构图 Char"/>
    <w:basedOn w:val="45"/>
    <w:autoRedefine/>
    <w:qFormat/>
    <w:uiPriority w:val="0"/>
    <w:rPr>
      <w:rFonts w:ascii="Times New Roman" w:hAnsi="Times New Roman" w:eastAsia="Times New Roman" w:cs="Times New Roman"/>
      <w:sz w:val="21"/>
      <w:szCs w:val="24"/>
    </w:rPr>
  </w:style>
  <w:style w:type="character" w:customStyle="1" w:styleId="97">
    <w:name w:val="font11"/>
    <w:basedOn w:val="45"/>
    <w:autoRedefine/>
    <w:qFormat/>
    <w:uiPriority w:val="0"/>
    <w:rPr>
      <w:rFonts w:hint="default" w:ascii="仿宋_GB2312" w:hAnsi="Times New Roman" w:eastAsia="仿宋_GB2312" w:cs="仿宋_GB2312"/>
      <w:color w:val="000000"/>
      <w:sz w:val="22"/>
      <w:szCs w:val="22"/>
      <w:u w:val="none"/>
    </w:rPr>
  </w:style>
  <w:style w:type="character" w:customStyle="1" w:styleId="98">
    <w:name w:val="font21"/>
    <w:basedOn w:val="45"/>
    <w:autoRedefine/>
    <w:qFormat/>
    <w:uiPriority w:val="0"/>
    <w:rPr>
      <w:rFonts w:hint="default" w:ascii="Times New Roman" w:hAnsi="Times New Roman" w:eastAsia="宋体" w:cs="Times New Roman"/>
      <w:color w:val="000000"/>
      <w:sz w:val="20"/>
      <w:szCs w:val="20"/>
      <w:u w:val="none"/>
    </w:rPr>
  </w:style>
  <w:style w:type="character" w:customStyle="1" w:styleId="99">
    <w:name w:val="font91"/>
    <w:basedOn w:val="45"/>
    <w:autoRedefine/>
    <w:qFormat/>
    <w:uiPriority w:val="0"/>
    <w:rPr>
      <w:rFonts w:hint="eastAsia" w:ascii="宋体" w:hAnsi="宋体" w:eastAsia="宋体" w:cs="宋体"/>
      <w:color w:val="000000"/>
      <w:sz w:val="22"/>
      <w:szCs w:val="22"/>
      <w:u w:val="none"/>
    </w:rPr>
  </w:style>
  <w:style w:type="character" w:customStyle="1" w:styleId="100">
    <w:name w:val="hover17"/>
    <w:basedOn w:val="45"/>
    <w:autoRedefine/>
    <w:qFormat/>
    <w:uiPriority w:val="0"/>
    <w:rPr>
      <w:rFonts w:ascii="Times New Roman" w:hAnsi="Times New Roman" w:eastAsia="宋体" w:cs="Times New Roman"/>
    </w:rPr>
  </w:style>
  <w:style w:type="character" w:customStyle="1" w:styleId="101">
    <w:name w:val="font141"/>
    <w:basedOn w:val="45"/>
    <w:qFormat/>
    <w:uiPriority w:val="0"/>
    <w:rPr>
      <w:rFonts w:ascii="Calibri" w:hAnsi="Calibri" w:cs="Calibri"/>
      <w:color w:val="000000"/>
      <w:sz w:val="21"/>
      <w:szCs w:val="21"/>
      <w:u w:val="none"/>
    </w:rPr>
  </w:style>
  <w:style w:type="character" w:customStyle="1" w:styleId="102">
    <w:name w:val="font122"/>
    <w:basedOn w:val="45"/>
    <w:autoRedefine/>
    <w:qFormat/>
    <w:uiPriority w:val="0"/>
    <w:rPr>
      <w:rFonts w:hint="eastAsia" w:ascii="宋体" w:hAnsi="宋体" w:eastAsia="宋体" w:cs="宋体"/>
      <w:color w:val="000000"/>
      <w:sz w:val="20"/>
      <w:szCs w:val="20"/>
      <w:u w:val="none"/>
    </w:rPr>
  </w:style>
  <w:style w:type="character" w:customStyle="1" w:styleId="103">
    <w:name w:val="font12"/>
    <w:basedOn w:val="45"/>
    <w:autoRedefine/>
    <w:qFormat/>
    <w:uiPriority w:val="0"/>
    <w:rPr>
      <w:rFonts w:hint="eastAsia" w:ascii="宋体" w:hAnsi="宋体" w:eastAsia="宋体" w:cs="宋体"/>
      <w:color w:val="00B0F0"/>
      <w:sz w:val="20"/>
      <w:szCs w:val="20"/>
      <w:u w:val="none"/>
    </w:rPr>
  </w:style>
  <w:style w:type="paragraph" w:customStyle="1" w:styleId="104">
    <w:name w:val="No Spacing1"/>
    <w:basedOn w:val="1"/>
    <w:autoRedefine/>
    <w:qFormat/>
    <w:uiPriority w:val="0"/>
    <w:pPr>
      <w:spacing w:line="400" w:lineRule="exact"/>
    </w:pPr>
    <w:rPr>
      <w:sz w:val="24"/>
    </w:rPr>
  </w:style>
  <w:style w:type="paragraph" w:customStyle="1" w:styleId="105">
    <w:name w:val="Default"/>
    <w:next w:val="30"/>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6">
    <w:name w:val="Table Paragraph"/>
    <w:basedOn w:val="1"/>
    <w:autoRedefine/>
    <w:qFormat/>
    <w:uiPriority w:val="1"/>
    <w:rPr>
      <w:rFonts w:ascii="宋体" w:hAnsi="宋体" w:eastAsia="宋体" w:cs="宋体"/>
      <w:lang w:val="zh-CN" w:eastAsia="zh-CN" w:bidi="zh-CN"/>
    </w:rPr>
  </w:style>
  <w:style w:type="paragraph" w:customStyle="1" w:styleId="107">
    <w:name w:val="无间隔1"/>
    <w:basedOn w:val="1"/>
    <w:next w:val="13"/>
    <w:autoRedefine/>
    <w:qFormat/>
    <w:uiPriority w:val="1"/>
    <w:pPr>
      <w:spacing w:line="400" w:lineRule="exact"/>
    </w:pPr>
    <w:rPr>
      <w:rFonts w:eastAsia="宋体"/>
      <w:sz w:val="24"/>
    </w:rPr>
  </w:style>
  <w:style w:type="paragraph" w:customStyle="1" w:styleId="1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9">
    <w:name w:val="1"/>
    <w:basedOn w:val="1"/>
    <w:autoRedefine/>
    <w:qFormat/>
    <w:uiPriority w:val="0"/>
  </w:style>
  <w:style w:type="paragraph" w:customStyle="1" w:styleId="110">
    <w:name w:val="表格文字"/>
    <w:basedOn w:val="1"/>
    <w:autoRedefine/>
    <w:qFormat/>
    <w:uiPriority w:val="0"/>
    <w:pPr>
      <w:adjustRightInd w:val="0"/>
      <w:spacing w:line="420" w:lineRule="atLeast"/>
      <w:jc w:val="left"/>
      <w:textAlignment w:val="baseline"/>
    </w:pPr>
    <w:rPr>
      <w:kern w:val="0"/>
      <w:szCs w:val="20"/>
    </w:rPr>
  </w:style>
  <w:style w:type="paragraph" w:customStyle="1" w:styleId="111">
    <w:name w:val="Char"/>
    <w:basedOn w:val="1"/>
    <w:autoRedefine/>
    <w:qFormat/>
    <w:uiPriority w:val="0"/>
    <w:pPr>
      <w:tabs>
        <w:tab w:val="left" w:pos="360"/>
      </w:tabs>
    </w:pPr>
    <w:rPr>
      <w:sz w:val="24"/>
    </w:rPr>
  </w:style>
  <w:style w:type="paragraph" w:customStyle="1" w:styleId="112">
    <w:name w:val="样式 标题 1 + 四号 居中 段前: 12 磅 段后: 12 磅 行距: 单倍行距"/>
    <w:basedOn w:val="2"/>
    <w:autoRedefine/>
    <w:qFormat/>
    <w:uiPriority w:val="0"/>
    <w:pPr>
      <w:spacing w:before="240" w:after="240" w:line="240" w:lineRule="auto"/>
      <w:ind w:left="792" w:firstLine="288"/>
    </w:pPr>
    <w:rPr>
      <w:bCs w:val="0"/>
      <w:sz w:val="28"/>
      <w:szCs w:val="32"/>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 Char Char10 Char"/>
    <w:basedOn w:val="1"/>
    <w:autoRedefine/>
    <w:qFormat/>
    <w:uiPriority w:val="0"/>
  </w:style>
  <w:style w:type="paragraph" w:customStyle="1" w:styleId="115">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Cs w:val="0"/>
      <w:kern w:val="2"/>
      <w:sz w:val="28"/>
      <w:szCs w:val="20"/>
    </w:rPr>
  </w:style>
  <w:style w:type="paragraph" w:customStyle="1" w:styleId="116">
    <w:name w:val="样式 标题 1 + 黑体 三号 非加粗 居中 段前: 6 磅 段后: 6 磅 行距: 固定值 20 磅"/>
    <w:basedOn w:val="2"/>
    <w:autoRedefine/>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17">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bCs w:val="0"/>
      <w:kern w:val="2"/>
      <w:sz w:val="24"/>
      <w:szCs w:val="20"/>
    </w:rPr>
  </w:style>
  <w:style w:type="paragraph" w:customStyle="1" w:styleId="118">
    <w:name w:val="_Style 106"/>
    <w:basedOn w:val="2"/>
    <w:next w:val="1"/>
    <w:autoRedefine/>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19">
    <w:name w:val="Char1"/>
    <w:basedOn w:val="1"/>
    <w:autoRedefine/>
    <w:qFormat/>
    <w:uiPriority w:val="0"/>
    <w:pPr>
      <w:widowControl/>
      <w:spacing w:after="160" w:afterLines="0" w:line="240" w:lineRule="exact"/>
      <w:jc w:val="left"/>
    </w:pPr>
    <w:rPr>
      <w:rFonts w:ascii="宋体" w:hAnsi="宋体"/>
      <w:kern w:val="0"/>
      <w:sz w:val="20"/>
      <w:szCs w:val="20"/>
      <w:lang w:eastAsia="en-US"/>
    </w:rPr>
  </w:style>
  <w:style w:type="paragraph" w:customStyle="1" w:styleId="120">
    <w:name w:val="p0"/>
    <w:basedOn w:val="1"/>
    <w:autoRedefine/>
    <w:qFormat/>
    <w:uiPriority w:val="0"/>
    <w:pPr>
      <w:widowControl/>
    </w:pPr>
    <w:rPr>
      <w:kern w:val="0"/>
      <w:szCs w:val="21"/>
    </w:rPr>
  </w:style>
  <w:style w:type="paragraph" w:customStyle="1" w:styleId="121">
    <w:name w:val="No Spacing_a3960b44-4951-4145-98c7-33701be89d06"/>
    <w:basedOn w:val="1"/>
    <w:autoRedefine/>
    <w:qFormat/>
    <w:uiPriority w:val="1"/>
    <w:pPr>
      <w:spacing w:line="400" w:lineRule="exact"/>
    </w:pPr>
  </w:style>
  <w:style w:type="paragraph" w:customStyle="1" w:styleId="12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62280</Words>
  <Characters>67858</Characters>
  <Lines>0</Lines>
  <Paragraphs>0</Paragraphs>
  <TotalTime>35</TotalTime>
  <ScaleCrop>false</ScaleCrop>
  <LinksUpToDate>false</LinksUpToDate>
  <CharactersWithSpaces>70441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2021-06-15T03:32:00Z</dcterms:created>
  <dc:creator>Administrator</dc:creator>
  <cp:lastModifiedBy>周帅</cp:lastModifiedBy>
  <cp:lastPrinted>2023-06-21T08:30:00Z</cp:lastPrinted>
  <dcterms:modified xsi:type="dcterms:W3CDTF">2024-04-25T03:37:04Z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65672AC2154A4CACB769D82480D1AA20</vt:lpwstr>
  </property>
</Properties>
</file>